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382EEE" w14:textId="035CEFCC" w:rsidR="00617154" w:rsidRDefault="000E77AD" w:rsidP="000E77AD">
      <w:pPr>
        <w:pStyle w:val="Pagedecouverture"/>
        <w:rPr>
          <w:noProof/>
        </w:rPr>
      </w:pPr>
      <w:bookmarkStart w:id="0" w:name="LW_BM_COVERPAGE"/>
      <w:r>
        <w:rPr>
          <w:noProof/>
        </w:rPr>
        <w:pict w14:anchorId="29AF62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1038F7C-236E-4674-9787-F477C9E38A50" style="width:455.25pt;height:336.75pt">
            <v:imagedata r:id="rId11" o:title=""/>
          </v:shape>
        </w:pict>
      </w:r>
    </w:p>
    <w:bookmarkEnd w:id="0"/>
    <w:p w14:paraId="663ED88E" w14:textId="2D6775BB" w:rsidR="00101252" w:rsidRPr="00101252" w:rsidRDefault="00101252" w:rsidP="006800CF">
      <w:pPr>
        <w:pStyle w:val="Pagedecouverture"/>
        <w:rPr>
          <w:noProof/>
        </w:rPr>
        <w:sectPr w:rsidR="00101252" w:rsidRPr="00101252" w:rsidSect="000E77AD">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660D2EF2" w14:textId="77777777" w:rsidR="006D46BC" w:rsidRDefault="006D46BC" w:rsidP="00BB03BB">
      <w:pPr>
        <w:pStyle w:val="Heading1"/>
        <w:numPr>
          <w:ilvl w:val="0"/>
          <w:numId w:val="1"/>
        </w:numPr>
        <w:spacing w:before="0" w:after="120" w:line="240" w:lineRule="auto"/>
        <w:ind w:left="714" w:hanging="357"/>
        <w:rPr>
          <w:rStyle w:val="normaltextrun"/>
          <w:rFonts w:ascii="Times New Roman Bold" w:eastAsiaTheme="minorEastAsia" w:hAnsi="Times New Roman Bold" w:cs="Times New Roman"/>
          <w:b/>
          <w:caps/>
          <w:noProof/>
          <w:color w:val="auto"/>
          <w:sz w:val="24"/>
          <w:szCs w:val="24"/>
        </w:rPr>
      </w:pPr>
      <w:bookmarkStart w:id="1" w:name="_GoBack"/>
      <w:bookmarkEnd w:id="1"/>
      <w:r>
        <w:rPr>
          <w:rStyle w:val="normaltextrun"/>
          <w:rFonts w:ascii="Times New Roman Bold" w:hAnsi="Times New Roman Bold"/>
          <w:b/>
          <w:caps/>
          <w:noProof/>
          <w:color w:val="auto"/>
          <w:sz w:val="24"/>
        </w:rPr>
        <w:lastRenderedPageBreak/>
        <w:t>INTRODUCERE</w:t>
      </w:r>
    </w:p>
    <w:p w14:paraId="22CEE60A" w14:textId="77777777" w:rsidR="006D46BC" w:rsidRDefault="006D46BC" w:rsidP="006D46BC">
      <w:pPr>
        <w:pStyle w:val="Text1"/>
        <w:spacing w:after="160"/>
        <w:ind w:left="0"/>
        <w:rPr>
          <w:noProof/>
        </w:rPr>
      </w:pPr>
      <w:r>
        <w:rPr>
          <w:noProof/>
        </w:rPr>
        <w:t>Trăim într-o perioadă marcată de tensiuni politice ridicate, de alianțe în schimbare și de norme diplomatice în continuă evoluție. Într-o lume remodelată rapid de schimbările climatice și de degradarea mediului, de perturbările lanțurilor valorice și de concurența acerbă la nivel mondial, Europa și industriile europene se confruntă cu provocări și cu alegeri existențiale cu privire la modalitățile de tranziție durabilă pe piața mondială. Multilateralismul și diplomația eficace sunt esențiale pentru a aborda aceste provocări, pentru a convinge alte țări să își sporească nivelul de ambiție în materie de climă, pentru a ne spori securitatea energetică și pentru a accelera tranziția curată ireversibilă la nivel mondial.</w:t>
      </w:r>
    </w:p>
    <w:p w14:paraId="765BC53A" w14:textId="77777777" w:rsidR="006D46BC" w:rsidRPr="004A19C9" w:rsidRDefault="006D46BC" w:rsidP="006D46BC">
      <w:pPr>
        <w:pStyle w:val="Text1"/>
        <w:spacing w:after="160"/>
        <w:ind w:left="0"/>
        <w:rPr>
          <w:noProof/>
        </w:rPr>
      </w:pPr>
      <w:r>
        <w:rPr>
          <w:noProof/>
        </w:rPr>
        <w:t xml:space="preserve">Pe baza Pactului pentru o industrie curată, care reprezintă planul nostru de afaceri transformator pentru Europa, prezenta comunicare comună a Comisiei Europene și a Înaltei Reprezentante prezintă </w:t>
      </w:r>
      <w:r>
        <w:rPr>
          <w:b/>
          <w:bCs/>
          <w:noProof/>
        </w:rPr>
        <w:t>o viziune pentru conturarea unei tranziții curate și reziliente la nivel mondial.</w:t>
      </w:r>
      <w:r>
        <w:rPr>
          <w:b/>
          <w:noProof/>
        </w:rPr>
        <w:t xml:space="preserve"> Aceasta este strategia noastră internațională pentru asigurarea poziției Europei pe piețele mondiale și pentru stimularea schimbărilor durabile, care sprijină, de asemenea, punctele noastre forte industriale și tehnologice.</w:t>
      </w:r>
      <w:r>
        <w:rPr>
          <w:noProof/>
        </w:rPr>
        <w:t xml:space="preserve"> </w:t>
      </w:r>
    </w:p>
    <w:p w14:paraId="39AA39BB" w14:textId="0A4B71AE" w:rsidR="006D46BC" w:rsidRDefault="006D46BC" w:rsidP="006D46BC">
      <w:pPr>
        <w:pStyle w:val="Text1"/>
        <w:spacing w:after="160"/>
        <w:ind w:left="0"/>
        <w:rPr>
          <w:noProof/>
        </w:rPr>
      </w:pPr>
      <w:r>
        <w:rPr>
          <w:noProof/>
        </w:rPr>
        <w:t>Tranziția curată oferă multe oportunități. Acest lucru este deosebit de relevant, deoarece UE depinde de importurile de combustibili fosili și de alte resurse esențiale. Pentru a ține pasul cu alte puteri majore, trebuie să asigurăm și să extindem rolul Europei în tranziția curată la nivel mondial. Acest lucru va necesita investiții semnificative, dar costul lipsei de acțiune este mult mai mare în contextul creșterii impactului pe care îl au schimbările climatice, poluarea și pierderea biodiversității asupra economiei, securității, oamenilor și sănătății. Trebuie să extindem la nivel mondial Pactul pentru o industrie curată, să consolidăm parteneriatele existente și să creăm altele noi care să fie reciproc avantajoase.</w:t>
      </w:r>
    </w:p>
    <w:p w14:paraId="527597EB" w14:textId="539132D8" w:rsidR="006D46BC" w:rsidRPr="004F4A98" w:rsidRDefault="006D46BC" w:rsidP="006D46BC">
      <w:pPr>
        <w:pStyle w:val="Text1"/>
        <w:spacing w:after="160"/>
        <w:ind w:left="0"/>
        <w:rPr>
          <w:noProof/>
          <w:highlight w:val="yellow"/>
        </w:rPr>
      </w:pPr>
      <w:r>
        <w:rPr>
          <w:noProof/>
        </w:rPr>
        <w:t xml:space="preserve">Un sistem multilateral funcțional și o ordine internațională bazată pe norme, în centrul căreia se află Organizația Națiunilor Unite, sunt în interesul Europei. Mesajul UE către partenerii săi mondiali este clar: depunem eforturi pentru a îndeplini obiectivele stabilite în Acordul de la Paris, suntem un partener de încredere care respectă normele și suntem deschiși la cooperare. </w:t>
      </w:r>
    </w:p>
    <w:p w14:paraId="0451FC2C" w14:textId="77777777" w:rsidR="006D46BC" w:rsidRDefault="006D46BC" w:rsidP="006D46BC">
      <w:pPr>
        <w:pStyle w:val="Text1"/>
        <w:spacing w:after="160"/>
        <w:ind w:left="0"/>
        <w:rPr>
          <w:noProof/>
        </w:rPr>
      </w:pPr>
      <w:r>
        <w:rPr>
          <w:noProof/>
        </w:rPr>
        <w:t>Cooperarea multilaterală funcționează. La zece ani de la adoptarea sa, Acordul de la Paris dă rezultate. În 2015, se preconiza o încălzire globală cu 3,7 °C până în 2100. În prezent, în urma politicilor actuale, se preconizează o încălzire de 2,7 °C, în timp ce punerea în aplicare deplină a tuturor contribuțiilor stabilite la nivel național (CSN) pentru 2030 și a angajamentelor pe termen lung ar reduce încălzirea la 2,1-2,3 °C (</w:t>
      </w:r>
      <w:r>
        <w:rPr>
          <w:rStyle w:val="FootnoteReference"/>
          <w:rFonts w:eastAsiaTheme="majorEastAsia"/>
          <w:noProof/>
        </w:rPr>
        <w:footnoteReference w:id="2"/>
      </w:r>
      <w:r>
        <w:rPr>
          <w:noProof/>
        </w:rPr>
        <w:t>). UE și-a redus emisiile cu 37 % și produce în prezent doar 6 % din emisiile globale de gaze cu efect de seră (</w:t>
      </w:r>
      <w:r>
        <w:rPr>
          <w:rStyle w:val="FootnoteReference"/>
          <w:rFonts w:eastAsiaTheme="majorEastAsia"/>
          <w:noProof/>
        </w:rPr>
        <w:footnoteReference w:id="3"/>
      </w:r>
      <w:r>
        <w:rPr>
          <w:noProof/>
        </w:rPr>
        <w:t>), o cifră proporțională cu procentul său din populația mondială. UE și statele sale membre sunt cel mai mare contribuitor la finanțarea combaterii schimbărilor climatice din lume. Îndrumați de știință, ne îndeplinim angajamentele și vom continua să facem acest lucru. În prezent, și alți actori trebuie să își intensifice eforturile, atât pentru a reduce emisiile, cât și pentru a spori finanțarea.</w:t>
      </w:r>
    </w:p>
    <w:p w14:paraId="5843E9BE" w14:textId="5E77BC03" w:rsidR="006D46BC" w:rsidRDefault="006D46BC" w:rsidP="006D46BC">
      <w:pPr>
        <w:pStyle w:val="Text1"/>
        <w:spacing w:after="160"/>
        <w:ind w:left="0"/>
        <w:rPr>
          <w:noProof/>
        </w:rPr>
      </w:pPr>
      <w:r>
        <w:rPr>
          <w:noProof/>
        </w:rPr>
        <w:t>În cadrul COP28, aproape 200 de țări, inclusiv UE, și-au asumat un angajament colectiv revoluționar privind tranziția către o energie curată. Guvernele au convenit să tripleze capacitatea de producție de energie din surse regenerabile la nivel mondial și să dubleze îmbunătățirile în materie de eficiență energetică până în 2030, precum și să renunțe treptat la combustibilii fosili în sistemele energetice într-un mod just, ordonat și echitabil, astfel încât să se ajungă la zero emisii nete până în 2050. AIE estimează în prezent o creștere de 2,6 ori a capacității globale de energie din surse regenerabile până în 2030, determinată de implementări record și de creșterea competitivității cu combustibilii fosili (</w:t>
      </w:r>
      <w:r>
        <w:rPr>
          <w:rStyle w:val="FootnoteReference"/>
          <w:noProof/>
        </w:rPr>
        <w:footnoteReference w:id="4"/>
      </w:r>
      <w:r>
        <w:rPr>
          <w:noProof/>
        </w:rPr>
        <w:t>). Totuși, pentru a îndeplini aceste obiective, sunt încă necesare eforturi semnificative în ceea ce privește eficiența energetică. Angajamentul și spiritul de conducere de care a dat dovadă Europa în ceea ce privește stabilirea acestor obiective subliniază rolul multilateralismului și al diplomației eficace în accelerarea tranziției curate la nivel mondial.</w:t>
      </w:r>
    </w:p>
    <w:p w14:paraId="406AFBFC" w14:textId="3274BA6C" w:rsidR="006D46BC" w:rsidRDefault="006D46BC" w:rsidP="006D46BC">
      <w:pPr>
        <w:pStyle w:val="Text1"/>
        <w:spacing w:after="160"/>
        <w:ind w:left="0"/>
        <w:rPr>
          <w:noProof/>
        </w:rPr>
      </w:pPr>
      <w:r>
        <w:rPr>
          <w:noProof/>
        </w:rPr>
        <w:t>UE va continua să își adapteze diplomația în domeniul energiei și al climei la noua realitate. Activitățile noastre diplomatice, desfășurate în strânsă cooperare cu statele membre ale UE în cadrul abordării de tip „Echipa Europa”, vor proteja interesele fundamentale ale UE, vor stimula acțiunile globale în domeniul climei și al mediului, vor promova adaptarea la schimbările climatice și vor asigura securitatea aprovizionării cu energie și accesul la materii prime. Diplomația noastră va răspunde, de asemenea, mai bine impactului pe care tranziția curată a Europei îl are în mod inevitabil asupra partenerilor noștri din afara Europei. Vom continua să ne sprijinim partenerii în elaborarea propriilor lor politici ambițioase în domeniul climei și al energiei, promovând stabilirea prețului carbonului și standarde pentru o tranziție echitabilă. Vom aborda, de asemenea, noile amenințări fizice și hibride la adresa securității infrastructurii critice pe care crizele climatice, de mediu și ale apei le exacerbează și care pun în pericol atât interesele europene, cât și pe cele ale partenerilor noștri.</w:t>
      </w:r>
    </w:p>
    <w:p w14:paraId="6351C3D8" w14:textId="54CD3ADE" w:rsidR="006D46BC" w:rsidRDefault="006D46BC" w:rsidP="006D46BC">
      <w:pPr>
        <w:pStyle w:val="Text1"/>
        <w:spacing w:after="160"/>
        <w:ind w:left="0"/>
        <w:rPr>
          <w:noProof/>
        </w:rPr>
      </w:pPr>
      <w:r>
        <w:rPr>
          <w:noProof/>
        </w:rPr>
        <w:t>Aceasta este oferta Europei pentru întreaga lume: suntem pregătiți să construim în continuare coaliții și să aprofundăm parteneriatele noastre pentru a accelera tranziția curată la nivel mondial și pentru a stimula o creștere durabilă și rezilientă peste tot în lume, în calitate de partener credibil, orientat spre viitor și de încredere.</w:t>
      </w:r>
    </w:p>
    <w:p w14:paraId="52D31261" w14:textId="77777777" w:rsidR="006D46BC" w:rsidRDefault="006D46BC" w:rsidP="006D46BC">
      <w:pPr>
        <w:pStyle w:val="Heading1"/>
        <w:numPr>
          <w:ilvl w:val="0"/>
          <w:numId w:val="1"/>
        </w:numPr>
        <w:spacing w:after="120" w:line="240" w:lineRule="auto"/>
        <w:ind w:left="714" w:hanging="357"/>
        <w:rPr>
          <w:rFonts w:ascii="Times New Roman Bold" w:eastAsiaTheme="minorEastAsia" w:hAnsi="Times New Roman Bold" w:cs="Times New Roman"/>
          <w:b/>
          <w:caps/>
          <w:noProof/>
          <w:color w:val="auto"/>
          <w:sz w:val="24"/>
          <w:szCs w:val="24"/>
        </w:rPr>
      </w:pPr>
      <w:r>
        <w:rPr>
          <w:rStyle w:val="normaltextrun"/>
          <w:rFonts w:ascii="Times New Roman Bold" w:hAnsi="Times New Roman Bold"/>
          <w:b/>
          <w:caps/>
          <w:noProof/>
          <w:color w:val="auto"/>
          <w:sz w:val="24"/>
        </w:rPr>
        <w:t>Promovarea acțiunilor climatice la nivel mondial, a securității energetice și a industrializării curate pentru a face față unei lumi în schimbare</w:t>
      </w:r>
    </w:p>
    <w:p w14:paraId="0674F613" w14:textId="77777777" w:rsidR="006D46BC" w:rsidRDefault="006D46BC" w:rsidP="006D46BC">
      <w:pPr>
        <w:pStyle w:val="Heading1"/>
        <w:numPr>
          <w:ilvl w:val="1"/>
          <w:numId w:val="1"/>
        </w:numPr>
        <w:spacing w:before="240" w:after="120" w:line="240" w:lineRule="auto"/>
        <w:rPr>
          <w:rStyle w:val="normaltextrun"/>
          <w:rFonts w:ascii="Times New Roman Bold" w:eastAsiaTheme="minorEastAsia" w:hAnsi="Times New Roman Bold" w:cs="Times New Roman"/>
          <w:b/>
          <w:noProof/>
          <w:color w:val="auto"/>
          <w:sz w:val="24"/>
          <w:szCs w:val="24"/>
        </w:rPr>
      </w:pPr>
      <w:r>
        <w:rPr>
          <w:rStyle w:val="normaltextrun"/>
          <w:rFonts w:ascii="Times New Roman Bold" w:hAnsi="Times New Roman Bold"/>
          <w:b/>
          <w:noProof/>
          <w:color w:val="auto"/>
          <w:sz w:val="24"/>
        </w:rPr>
        <w:t>O lume în tranziție</w:t>
      </w:r>
    </w:p>
    <w:p w14:paraId="5010DA6B" w14:textId="605832E2" w:rsidR="006D46BC" w:rsidRDefault="006D46BC" w:rsidP="006D46BC">
      <w:pPr>
        <w:pStyle w:val="Text1"/>
        <w:spacing w:after="160"/>
        <w:ind w:left="0"/>
        <w:rPr>
          <w:noProof/>
        </w:rPr>
      </w:pPr>
      <w:r>
        <w:rPr>
          <w:noProof/>
        </w:rPr>
        <w:t xml:space="preserve">Viziunea noastră are la bază </w:t>
      </w:r>
      <w:r>
        <w:rPr>
          <w:b/>
          <w:bCs/>
          <w:noProof/>
        </w:rPr>
        <w:t>schimbările majore la nivel mondial care au avut loc de la Acordul de la Paris din 2015</w:t>
      </w:r>
      <w:r>
        <w:rPr>
          <w:noProof/>
        </w:rPr>
        <w:t>.</w:t>
      </w:r>
      <w:r>
        <w:rPr>
          <w:b/>
          <w:noProof/>
        </w:rPr>
        <w:t xml:space="preserve"> </w:t>
      </w:r>
      <w:r>
        <w:rPr>
          <w:noProof/>
        </w:rPr>
        <w:t xml:space="preserve">În acel moment, tranziția curată la nivel mondial era doar o posibilitate. Astăzi, ea a devenit o realitate. </w:t>
      </w:r>
      <w:r>
        <w:rPr>
          <w:b/>
          <w:bCs/>
          <w:noProof/>
        </w:rPr>
        <w:t>Investițiile curate au depășit finanțarea pentru combustibilii fosili:</w:t>
      </w:r>
      <w:r>
        <w:rPr>
          <w:noProof/>
        </w:rPr>
        <w:t xml:space="preserve"> pentru fiecare 1 euro investit la nivel mondial în combustibili fosili, 2 euro sunt investiți în energie curată (</w:t>
      </w:r>
      <w:r>
        <w:rPr>
          <w:rStyle w:val="FootnoteReference"/>
          <w:noProof/>
        </w:rPr>
        <w:footnoteReference w:id="5"/>
      </w:r>
      <w:r>
        <w:rPr>
          <w:noProof/>
        </w:rPr>
        <w:t>). Ceea ce, mai demult, era considerat un cost care trebuia suportat pentru a ne asigura existența, a devenit un motor al competitivității, rezilienței și prosperității. Scăderea costurilor tehnologice și reorientarea investițiilor remodelează economia mondială. Întrebarea nu mai este dacă tranziția va avea loc, ci cât de repede, unde și cine va beneficia de aceasta.</w:t>
      </w:r>
    </w:p>
    <w:p w14:paraId="31981875" w14:textId="51F32FBC" w:rsidR="006D46BC" w:rsidRDefault="006D46BC" w:rsidP="006D46BC">
      <w:pPr>
        <w:pStyle w:val="Text1"/>
        <w:spacing w:after="160"/>
        <w:ind w:left="0"/>
        <w:rPr>
          <w:noProof/>
        </w:rPr>
      </w:pPr>
      <w:bookmarkStart w:id="2" w:name="_Hlk208904565"/>
      <w:r>
        <w:rPr>
          <w:b/>
          <w:bCs/>
          <w:noProof/>
        </w:rPr>
        <w:t>În același timp, are loc o decuplare între economia mondială și emisii</w:t>
      </w:r>
      <w:r>
        <w:rPr>
          <w:noProof/>
        </w:rPr>
        <w:t>, acestea din urmă crescând cu doar 0,8 % în 2023, în timp ce economia mondială a crescut cu 3 %. În UE: PIB-ul a crescut cu 68 % între 1990 și 2023, în timp ce emisiile au scăzut cu 37 % în aceeași perioadă, ceea ce demonstrează decuplarea continuă dintre emisii și creșterea economică (</w:t>
      </w:r>
      <w:r>
        <w:rPr>
          <w:rStyle w:val="FootnoteReference"/>
          <w:noProof/>
        </w:rPr>
        <w:footnoteReference w:id="6"/>
      </w:r>
      <w:r>
        <w:rPr>
          <w:noProof/>
        </w:rPr>
        <w:t xml:space="preserve">). </w:t>
      </w:r>
      <w:bookmarkEnd w:id="2"/>
      <w:r>
        <w:rPr>
          <w:noProof/>
        </w:rPr>
        <w:t>Un factor determinant important al acestui fapt este extinderea surselor de energie electrică cu emisii scăzute de dioxid de carbon.</w:t>
      </w:r>
    </w:p>
    <w:p w14:paraId="32EF1553" w14:textId="070836C9" w:rsidR="006D46BC" w:rsidRDefault="006D46BC" w:rsidP="00BB03BB">
      <w:pPr>
        <w:pStyle w:val="Text1"/>
        <w:spacing w:after="0"/>
        <w:ind w:left="0"/>
        <w:rPr>
          <w:noProof/>
        </w:rPr>
      </w:pPr>
      <w:r>
        <w:rPr>
          <w:noProof/>
        </w:rPr>
        <w:t>Cu toate acestea, pentru a limita încălzirea globală la 1,5 °C, este necesar să se reducă emisiile de gaze cu efect de seră într-un mod mai profund, mai rapid și mai susținut la nivel mondial: cu 43 % până în 2030 și cu 60 % până în 2035, în comparație cu nivelurile din 2019, pentru a ajunge la zero emisii nete de CO</w:t>
      </w:r>
      <w:r>
        <w:rPr>
          <w:noProof/>
          <w:vertAlign w:val="subscript"/>
        </w:rPr>
        <w:t>2</w:t>
      </w:r>
      <w:r>
        <w:rPr>
          <w:noProof/>
        </w:rPr>
        <w:t xml:space="preserve"> până în 2050 (</w:t>
      </w:r>
      <w:r>
        <w:rPr>
          <w:rStyle w:val="FootnoteReference"/>
          <w:noProof/>
        </w:rPr>
        <w:footnoteReference w:id="7"/>
      </w:r>
      <w:r>
        <w:rPr>
          <w:noProof/>
        </w:rPr>
        <w:t xml:space="preserve">). Acest lucru necesită o tranziție gestionată și accelerată </w:t>
      </w:r>
      <w:r>
        <w:rPr>
          <w:b/>
          <w:bCs/>
          <w:noProof/>
        </w:rPr>
        <w:t>către eliminarea combustibililor fosili</w:t>
      </w:r>
      <w:r>
        <w:rPr>
          <w:noProof/>
        </w:rPr>
        <w:t xml:space="preserve">, o extindere masivă a utilizării </w:t>
      </w:r>
      <w:r>
        <w:rPr>
          <w:b/>
          <w:bCs/>
          <w:noProof/>
        </w:rPr>
        <w:t>energiei din surse regenerabile</w:t>
      </w:r>
      <w:r>
        <w:rPr>
          <w:noProof/>
        </w:rPr>
        <w:t xml:space="preserve">, creșterea </w:t>
      </w:r>
      <w:r>
        <w:rPr>
          <w:b/>
          <w:bCs/>
          <w:noProof/>
        </w:rPr>
        <w:t>eficienței energetice</w:t>
      </w:r>
      <w:r>
        <w:rPr>
          <w:noProof/>
        </w:rPr>
        <w:t xml:space="preserve"> în toate sectoarele, promovarea utilizării eficiente a resurselor și a economiei circulare și accelerarea implementării </w:t>
      </w:r>
      <w:r>
        <w:rPr>
          <w:b/>
          <w:bCs/>
          <w:noProof/>
        </w:rPr>
        <w:t>tehnologiilor cu emisii scăzute de carbon sau fără emisii</w:t>
      </w:r>
      <w:r>
        <w:rPr>
          <w:noProof/>
        </w:rPr>
        <w:t>. Reducerile drastice ale altor emisii decât cele de CO</w:t>
      </w:r>
      <w:r>
        <w:rPr>
          <w:noProof/>
          <w:vertAlign w:val="subscript"/>
        </w:rPr>
        <w:t>2</w:t>
      </w:r>
      <w:r>
        <w:rPr>
          <w:noProof/>
        </w:rPr>
        <w:t xml:space="preserve">, în special ale emisiilor de metan și gaze fluorurate, precum și decarbonizarea sectoarelor-cheie, în special a sectorului transporturilor și a industriei, sunt, de asemenea, esențiale. </w:t>
      </w:r>
    </w:p>
    <w:tbl>
      <w:tblPr>
        <w:tblStyle w:val="TableGrid"/>
        <w:tblW w:w="8931" w:type="dxa"/>
        <w:tblInd w:w="-150" w:type="dxa"/>
        <w:tblLook w:val="04A0" w:firstRow="1" w:lastRow="0" w:firstColumn="1" w:lastColumn="0" w:noHBand="0" w:noVBand="1"/>
      </w:tblPr>
      <w:tblGrid>
        <w:gridCol w:w="8931"/>
      </w:tblGrid>
      <w:tr w:rsidR="006D46BC" w14:paraId="53CB81E1" w14:textId="77777777" w:rsidTr="00435FC3">
        <w:tc>
          <w:tcPr>
            <w:tcW w:w="8931" w:type="dxa"/>
          </w:tcPr>
          <w:p w14:paraId="1911DC4F" w14:textId="77777777" w:rsidR="006D46BC" w:rsidRDefault="006D46BC" w:rsidP="00435FC3">
            <w:pPr>
              <w:pStyle w:val="Text1"/>
              <w:keepNext/>
              <w:spacing w:before="160" w:after="160"/>
              <w:ind w:left="0"/>
              <w:jc w:val="center"/>
              <w:rPr>
                <w:b/>
                <w:noProof/>
              </w:rPr>
            </w:pPr>
            <w:bookmarkStart w:id="3" w:name="_Hlk208904779"/>
            <w:r>
              <w:rPr>
                <w:b/>
                <w:bCs/>
                <w:noProof/>
              </w:rPr>
              <w:t>Tranziția curată la nivel mondial se accelerează – progresele înregistrate începând cu 2015 (</w:t>
            </w:r>
            <w:r>
              <w:rPr>
                <w:rStyle w:val="FootnoteReference"/>
                <w:rFonts w:eastAsiaTheme="majorEastAsia"/>
                <w:bCs/>
                <w:noProof/>
              </w:rPr>
              <w:footnoteReference w:id="8"/>
            </w:r>
            <w:r>
              <w:rPr>
                <w:b/>
                <w:bCs/>
                <w:noProof/>
              </w:rPr>
              <w:t>)</w:t>
            </w:r>
          </w:p>
          <w:p w14:paraId="5D3D7D4B" w14:textId="3219A19B" w:rsidR="006D46BC" w:rsidRDefault="006D46BC" w:rsidP="00435FC3">
            <w:pPr>
              <w:pStyle w:val="Text1"/>
              <w:numPr>
                <w:ilvl w:val="0"/>
                <w:numId w:val="3"/>
              </w:numPr>
              <w:spacing w:after="120"/>
              <w:ind w:left="714" w:hanging="357"/>
              <w:rPr>
                <w:noProof/>
              </w:rPr>
            </w:pPr>
            <w:r>
              <w:rPr>
                <w:b/>
                <w:bCs/>
                <w:noProof/>
              </w:rPr>
              <w:t>Emisiile globale de gaze cu efect de seră au crescut cu 8,5 %</w:t>
            </w:r>
            <w:r>
              <w:rPr>
                <w:noProof/>
              </w:rPr>
              <w:t xml:space="preserve"> din 2015, în timp ce </w:t>
            </w:r>
            <w:r>
              <w:rPr>
                <w:b/>
                <w:bCs/>
                <w:noProof/>
              </w:rPr>
              <w:t>PIB-ul</w:t>
            </w:r>
            <w:r>
              <w:rPr>
                <w:noProof/>
              </w:rPr>
              <w:t xml:space="preserve"> real la nivel mondial </w:t>
            </w:r>
            <w:r>
              <w:rPr>
                <w:b/>
                <w:bCs/>
                <w:noProof/>
              </w:rPr>
              <w:t>a crescut cu 40,9 %</w:t>
            </w:r>
            <w:r>
              <w:rPr>
                <w:noProof/>
              </w:rPr>
              <w:t>.</w:t>
            </w:r>
          </w:p>
          <w:p w14:paraId="1AFC81BC" w14:textId="77777777" w:rsidR="006D46BC" w:rsidRDefault="006D46BC" w:rsidP="00435FC3">
            <w:pPr>
              <w:pStyle w:val="Text1"/>
              <w:numPr>
                <w:ilvl w:val="0"/>
                <w:numId w:val="3"/>
              </w:numPr>
              <w:spacing w:after="120"/>
              <w:ind w:left="714" w:hanging="357"/>
              <w:rPr>
                <w:noProof/>
              </w:rPr>
            </w:pPr>
            <w:r>
              <w:rPr>
                <w:b/>
                <w:bCs/>
                <w:noProof/>
              </w:rPr>
              <w:t>Capacitatea de producție a energiei din surse regenerabile la nivel mondial a crescut cu 140 %</w:t>
            </w:r>
            <w:r>
              <w:rPr>
                <w:noProof/>
              </w:rPr>
              <w:t xml:space="preserve"> din 2015, de la 1 849 GW la 4 443 GW în 2024.</w:t>
            </w:r>
          </w:p>
          <w:p w14:paraId="6409DAD1" w14:textId="31B800C6" w:rsidR="006D46BC" w:rsidRDefault="006D46BC" w:rsidP="00435FC3">
            <w:pPr>
              <w:pStyle w:val="Text1"/>
              <w:numPr>
                <w:ilvl w:val="0"/>
                <w:numId w:val="3"/>
              </w:numPr>
              <w:spacing w:after="120"/>
              <w:ind w:left="714" w:hanging="357"/>
              <w:rPr>
                <w:b/>
                <w:noProof/>
              </w:rPr>
            </w:pPr>
            <w:r>
              <w:rPr>
                <w:noProof/>
              </w:rPr>
              <w:t xml:space="preserve">În 2024, </w:t>
            </w:r>
            <w:r>
              <w:rPr>
                <w:b/>
                <w:bCs/>
                <w:noProof/>
              </w:rPr>
              <w:t xml:space="preserve">capacitatea de producție a energiei din surse regenerabile a crescut cu încă 582 GW </w:t>
            </w:r>
            <w:r w:rsidRPr="00817F89">
              <w:rPr>
                <w:noProof/>
              </w:rPr>
              <w:t>la nivel mondial</w:t>
            </w:r>
            <w:r>
              <w:rPr>
                <w:b/>
                <w:bCs/>
                <w:noProof/>
              </w:rPr>
              <w:t>,</w:t>
            </w:r>
            <w:r>
              <w:rPr>
                <w:noProof/>
              </w:rPr>
              <w:t xml:space="preserve"> ceea ce reprezintă 80 % din creșterea cererii totale de energie electrică, adică </w:t>
            </w:r>
            <w:r>
              <w:rPr>
                <w:b/>
                <w:bCs/>
                <w:noProof/>
              </w:rPr>
              <w:t>o creștere cu 283 % față de 2015</w:t>
            </w:r>
            <w:r>
              <w:rPr>
                <w:noProof/>
              </w:rPr>
              <w:t xml:space="preserve"> (152 GW). </w:t>
            </w:r>
          </w:p>
          <w:p w14:paraId="691C75BD" w14:textId="7B02737C" w:rsidR="006D46BC" w:rsidRDefault="006D46BC" w:rsidP="00435FC3">
            <w:pPr>
              <w:pStyle w:val="Text1"/>
              <w:numPr>
                <w:ilvl w:val="0"/>
                <w:numId w:val="3"/>
              </w:numPr>
              <w:spacing w:after="120"/>
              <w:ind w:left="714" w:hanging="357"/>
              <w:rPr>
                <w:b/>
                <w:noProof/>
              </w:rPr>
            </w:pPr>
            <w:r>
              <w:rPr>
                <w:b/>
                <w:bCs/>
                <w:noProof/>
              </w:rPr>
              <w:t>Producția de energie electrică din surse regenerabile este mai ieftină decât producția de energie din combustibili fosili:</w:t>
            </w:r>
            <w:r>
              <w:rPr>
                <w:noProof/>
              </w:rPr>
              <w:t xml:space="preserve"> în perioada 2015-2024, costul mediu egalizat la nivel mondial al energiei solare fotovoltaice a scăzut cu 68 %, cel al energiei eoliene onshore a scăzut cu 56 % și cel al energiei eoliene offshore cu 49 % (</w:t>
            </w:r>
            <w:r>
              <w:rPr>
                <w:rStyle w:val="FootnoteReference"/>
                <w:rFonts w:eastAsiaTheme="majorEastAsia"/>
                <w:noProof/>
              </w:rPr>
              <w:footnoteReference w:id="9"/>
            </w:r>
            <w:r>
              <w:rPr>
                <w:noProof/>
              </w:rPr>
              <w:t>).</w:t>
            </w:r>
          </w:p>
          <w:p w14:paraId="03DDD07F" w14:textId="77777777" w:rsidR="006D46BC" w:rsidRDefault="006D46BC" w:rsidP="00435FC3">
            <w:pPr>
              <w:pStyle w:val="Text1"/>
              <w:numPr>
                <w:ilvl w:val="0"/>
                <w:numId w:val="3"/>
              </w:numPr>
              <w:spacing w:after="120"/>
              <w:ind w:left="714" w:hanging="357"/>
              <w:rPr>
                <w:b/>
                <w:noProof/>
              </w:rPr>
            </w:pPr>
            <w:r>
              <w:rPr>
                <w:b/>
                <w:bCs/>
                <w:noProof/>
              </w:rPr>
              <w:t>63 de reactoare nucleare sunt în curs de construcție</w:t>
            </w:r>
            <w:r>
              <w:rPr>
                <w:noProof/>
              </w:rPr>
              <w:t xml:space="preserve"> în întreaga lume, având </w:t>
            </w:r>
            <w:r>
              <w:rPr>
                <w:b/>
                <w:bCs/>
                <w:noProof/>
              </w:rPr>
              <w:t>o capacitate de peste 70 gigawați (GW)</w:t>
            </w:r>
            <w:r>
              <w:rPr>
                <w:noProof/>
              </w:rPr>
              <w:t xml:space="preserve">, unul dintre </w:t>
            </w:r>
            <w:r>
              <w:rPr>
                <w:b/>
                <w:bCs/>
                <w:noProof/>
              </w:rPr>
              <w:t>cele mai ridicate niveluri înregistrate din 1990 până în prezent</w:t>
            </w:r>
            <w:r>
              <w:rPr>
                <w:noProof/>
              </w:rPr>
              <w:t>.</w:t>
            </w:r>
          </w:p>
          <w:p w14:paraId="6F943CC6" w14:textId="281547CC" w:rsidR="006D46BC" w:rsidRDefault="006D46BC" w:rsidP="00435FC3">
            <w:pPr>
              <w:pStyle w:val="Text1"/>
              <w:numPr>
                <w:ilvl w:val="0"/>
                <w:numId w:val="3"/>
              </w:numPr>
              <w:spacing w:after="120"/>
              <w:ind w:left="714" w:hanging="357"/>
              <w:rPr>
                <w:b/>
                <w:noProof/>
              </w:rPr>
            </w:pPr>
            <w:r>
              <w:rPr>
                <w:b/>
                <w:bCs/>
                <w:noProof/>
              </w:rPr>
              <w:t>În 2024, s-au realizat investiții în energia pe bază de combustibili fosili în valoare de o mie de miliarde EUR la nivel mondial, față de investiții de două mii de miliarde EUR în energie curată – un raport de 2:1 în favoarea energiei curate</w:t>
            </w:r>
            <w:r>
              <w:rPr>
                <w:noProof/>
              </w:rPr>
              <w:t>.</w:t>
            </w:r>
            <w:r>
              <w:rPr>
                <w:b/>
                <w:noProof/>
              </w:rPr>
              <w:t xml:space="preserve"> </w:t>
            </w:r>
            <w:r>
              <w:rPr>
                <w:noProof/>
              </w:rPr>
              <w:t>Investițiile în energia curată au crescut cu 78 % față de 2015 (1,4 mii de miliarde EUR în combustibili fosili, față de 1,1 mii de miliarde EUR în energia curată).</w:t>
            </w:r>
          </w:p>
          <w:p w14:paraId="24EC7151" w14:textId="77777777" w:rsidR="006D46BC" w:rsidRDefault="006D46BC" w:rsidP="00435FC3">
            <w:pPr>
              <w:pStyle w:val="Text1"/>
              <w:numPr>
                <w:ilvl w:val="0"/>
                <w:numId w:val="3"/>
              </w:numPr>
              <w:spacing w:after="120"/>
              <w:ind w:left="714" w:hanging="357"/>
              <w:rPr>
                <w:b/>
                <w:noProof/>
              </w:rPr>
            </w:pPr>
            <w:r>
              <w:rPr>
                <w:noProof/>
              </w:rPr>
              <w:t xml:space="preserve">Cota UE din aceste investiții în energia curată a fost de 19 %, adică 334 de miliarde EUR, ceea ce reprezintă </w:t>
            </w:r>
            <w:r>
              <w:rPr>
                <w:b/>
                <w:noProof/>
              </w:rPr>
              <w:t>o creștere totală de 111 % față de 2015</w:t>
            </w:r>
            <w:r>
              <w:rPr>
                <w:noProof/>
              </w:rPr>
              <w:t xml:space="preserve"> (158 de miliarde EUR).</w:t>
            </w:r>
          </w:p>
          <w:p w14:paraId="1DC3EDCB" w14:textId="77777777" w:rsidR="006D46BC" w:rsidRDefault="006D46BC" w:rsidP="00435FC3">
            <w:pPr>
              <w:pStyle w:val="Text1"/>
              <w:numPr>
                <w:ilvl w:val="0"/>
                <w:numId w:val="3"/>
              </w:numPr>
              <w:spacing w:after="120"/>
              <w:ind w:left="714" w:hanging="357"/>
              <w:rPr>
                <w:b/>
                <w:noProof/>
              </w:rPr>
            </w:pPr>
            <w:r>
              <w:rPr>
                <w:b/>
                <w:bCs/>
                <w:noProof/>
              </w:rPr>
              <w:t>Capacitatea mondială de producție de tehnologii energetice curate se extinde rapid</w:t>
            </w:r>
            <w:r>
              <w:rPr>
                <w:noProof/>
              </w:rPr>
              <w:t>: între 2021 și 2023, capacitatea de producție a crescut de la puțin peste 450 GW la 1,2 TW pentru modulele solare fotovoltaice, de la 125 GW la 180 GW pentru energia eoliană, de la 10,5 la 22,2 milioane de unități pentru vehiculele electrice, de la 1,1 TWh la 2,5 TWh pentru baterii și s-a triplat la 25 GW pentru electrolizoare.</w:t>
            </w:r>
          </w:p>
          <w:p w14:paraId="00865586" w14:textId="77777777" w:rsidR="006D46BC" w:rsidRDefault="006D46BC" w:rsidP="00435FC3">
            <w:pPr>
              <w:pStyle w:val="Text1"/>
              <w:numPr>
                <w:ilvl w:val="0"/>
                <w:numId w:val="3"/>
              </w:numPr>
              <w:spacing w:after="120"/>
              <w:ind w:left="714" w:hanging="357"/>
              <w:rPr>
                <w:b/>
                <w:noProof/>
              </w:rPr>
            </w:pPr>
            <w:r>
              <w:rPr>
                <w:noProof/>
              </w:rPr>
              <w:t xml:space="preserve">În 2024 existau </w:t>
            </w:r>
            <w:r>
              <w:rPr>
                <w:b/>
                <w:noProof/>
              </w:rPr>
              <w:t>36,3 milioane de locuri de muncă în domeniul tehnologiilor curate la nivel mondial – în creștere cu 21 % față de 2019</w:t>
            </w:r>
            <w:r>
              <w:rPr>
                <w:noProof/>
              </w:rPr>
              <w:t xml:space="preserve"> (30 de milioane). În 2023, în UE au fost create 100 000 de noi locuri de muncă în domeniul tehnologiilor curate, reprezentând 4 % din totalul creșterii numărului de locuri de muncă.</w:t>
            </w:r>
          </w:p>
          <w:p w14:paraId="3C8BA1D0" w14:textId="77777777" w:rsidR="006D46BC" w:rsidRDefault="006D46BC" w:rsidP="00435FC3">
            <w:pPr>
              <w:pStyle w:val="Text1"/>
              <w:numPr>
                <w:ilvl w:val="0"/>
                <w:numId w:val="3"/>
              </w:numPr>
              <w:spacing w:after="120"/>
              <w:ind w:left="714" w:hanging="357"/>
              <w:rPr>
                <w:b/>
                <w:noProof/>
              </w:rPr>
            </w:pPr>
            <w:r>
              <w:rPr>
                <w:noProof/>
              </w:rPr>
              <w:t xml:space="preserve">În 2025, în 80 de jurisdicții existau sau erau în curs de elaborare </w:t>
            </w:r>
            <w:r>
              <w:rPr>
                <w:b/>
                <w:bCs/>
                <w:noProof/>
              </w:rPr>
              <w:t>instrumente naționale de stabilire a prețului carbonului</w:t>
            </w:r>
            <w:r>
              <w:rPr>
                <w:noProof/>
              </w:rPr>
              <w:t>, un număr dublu față de cele 40 de jurisdicții din 2015.</w:t>
            </w:r>
            <w:bookmarkEnd w:id="3"/>
          </w:p>
        </w:tc>
      </w:tr>
    </w:tbl>
    <w:p w14:paraId="41426776" w14:textId="38292C41" w:rsidR="006D46BC" w:rsidRPr="004F4A98" w:rsidRDefault="006D46BC" w:rsidP="006D46BC">
      <w:pPr>
        <w:pStyle w:val="Text1"/>
        <w:spacing w:before="160" w:after="160"/>
        <w:ind w:left="0"/>
        <w:rPr>
          <w:noProof/>
        </w:rPr>
      </w:pPr>
      <w:r>
        <w:rPr>
          <w:noProof/>
        </w:rPr>
        <w:t xml:space="preserve">Combustibilii fosili și producătorii acestora încă modelează geopolitica și generează 80 % din consumul mondial de energie primară. De la crizele petroliere din anii 1970, dependența de combustibilii fosili a fost utilizată ca armă în mod repetat de unii producători de combustibili fosili, cel mai recent de Rusia. Dar acest lucru are două fațete: dependența economică de exporturile de combustibili fosili face ca Rusia și alți producători să fie vulnerabili. Este posibilă o cale alternativă: </w:t>
      </w:r>
      <w:r>
        <w:rPr>
          <w:b/>
          <w:bCs/>
          <w:noProof/>
        </w:rPr>
        <w:t>unii producători majori, de exemplu producătorii din Golf, aleg să se adapteze</w:t>
      </w:r>
      <w:r>
        <w:rPr>
          <w:noProof/>
        </w:rPr>
        <w:t xml:space="preserve"> și să investească în energia electrică din surse regenerabile și în hidrogen și derivații săi. Deși combustibilii fosili vor continua să fie utilizați în timpul tranziției, opțiunea sigură pe termen lung pentru economiile care depind de importurile sau exporturile de combustibili fosili este de a se baza pe energie curată și la prețuri accesibile.</w:t>
      </w:r>
    </w:p>
    <w:p w14:paraId="65145776" w14:textId="77777777" w:rsidR="00D15578" w:rsidRDefault="006D46BC" w:rsidP="006D46BC">
      <w:pPr>
        <w:pStyle w:val="Text1"/>
        <w:spacing w:after="160"/>
        <w:ind w:left="0"/>
        <w:rPr>
          <w:noProof/>
        </w:rPr>
      </w:pPr>
      <w:bookmarkStart w:id="4" w:name="_Hlk208906104"/>
      <w:r>
        <w:rPr>
          <w:b/>
          <w:noProof/>
        </w:rPr>
        <w:t xml:space="preserve">Rolul energiei din surse regenerabile și al tehnologiilor curate ca factori de creștere va deveni mai important. </w:t>
      </w:r>
      <w:r>
        <w:rPr>
          <w:noProof/>
        </w:rPr>
        <w:t xml:space="preserve">Până în 2040, se preconizează că sursele regenerabile de energie, energia nucleară și alte forme de energie curată vor furniza 50 % din energia mondială. Se preconizează că piața mondială a tehnologiilor curate va crește de la 600 de miliarde EUR în 2023 la peste două mii de miliarde EUR până în 2035. </w:t>
      </w:r>
    </w:p>
    <w:p w14:paraId="4D672234" w14:textId="5D4B27A0" w:rsidR="00D15578" w:rsidRPr="00D15578" w:rsidRDefault="00D15578" w:rsidP="00D15578">
      <w:pPr>
        <w:pStyle w:val="Heading1"/>
        <w:numPr>
          <w:ilvl w:val="1"/>
          <w:numId w:val="1"/>
        </w:numPr>
        <w:spacing w:after="120" w:line="240" w:lineRule="auto"/>
        <w:ind w:left="788" w:hanging="431"/>
        <w:rPr>
          <w:rFonts w:ascii="Times New Roman Bold" w:eastAsiaTheme="minorEastAsia" w:hAnsi="Times New Roman Bold" w:cs="Times New Roman"/>
          <w:b/>
          <w:noProof/>
          <w:color w:val="auto"/>
          <w:sz w:val="24"/>
          <w:szCs w:val="24"/>
        </w:rPr>
      </w:pPr>
      <w:r>
        <w:rPr>
          <w:rStyle w:val="normaltextrun"/>
          <w:rFonts w:ascii="Times New Roman Bold" w:hAnsi="Times New Roman Bold"/>
          <w:b/>
          <w:noProof/>
          <w:color w:val="auto"/>
          <w:sz w:val="24"/>
        </w:rPr>
        <w:t>Protejarea și promovarea industriei europene</w:t>
      </w:r>
    </w:p>
    <w:p w14:paraId="2B87E1BA" w14:textId="30126987" w:rsidR="006D46BC" w:rsidRDefault="006D46BC" w:rsidP="006D46BC">
      <w:pPr>
        <w:pStyle w:val="Text1"/>
        <w:spacing w:after="160"/>
        <w:ind w:left="0"/>
        <w:rPr>
          <w:rFonts w:asciiTheme="majorBidi" w:hAnsiTheme="majorBidi" w:cstheme="majorBidi"/>
          <w:noProof/>
        </w:rPr>
      </w:pPr>
      <w:r>
        <w:rPr>
          <w:noProof/>
        </w:rPr>
        <w:t>UE trebuie să profite de avantajele acestei creșteri și și-a stabilit ca obiectiv atingerea ponderii de 15 % din producția mondială de tehnologii curate în Regulamentul privind industria „zero net”.</w:t>
      </w:r>
      <w:r>
        <w:rPr>
          <w:rFonts w:asciiTheme="majorBidi" w:hAnsiTheme="majorBidi"/>
          <w:noProof/>
        </w:rPr>
        <w:t xml:space="preserve"> </w:t>
      </w:r>
      <w:r>
        <w:rPr>
          <w:noProof/>
        </w:rPr>
        <w:t>UE are potențialul de a-și spori exporturile de soluții tehnologice curate către țări care caută alternative. Este de așteptat ca piața UE pentru tehnologii curate să crească la 375 de miliarde EUR în 2035, însă UE trebuie să își accelereze eforturile pentru a beneficia de avantajele creșterii piețelor tehnologiilor curate din UE și din întreaga lume</w:t>
      </w:r>
      <w:bookmarkEnd w:id="4"/>
      <w:r>
        <w:rPr>
          <w:rFonts w:asciiTheme="majorBidi" w:hAnsiTheme="majorBidi"/>
          <w:noProof/>
        </w:rPr>
        <w:t>(</w:t>
      </w:r>
      <w:r>
        <w:rPr>
          <w:rStyle w:val="FootnoteReference"/>
          <w:noProof/>
        </w:rPr>
        <w:footnoteReference w:id="10"/>
      </w:r>
      <w:r>
        <w:rPr>
          <w:rFonts w:asciiTheme="majorBidi" w:hAnsiTheme="majorBidi"/>
          <w:noProof/>
        </w:rPr>
        <w:t>)</w:t>
      </w:r>
      <w:r>
        <w:rPr>
          <w:noProof/>
        </w:rPr>
        <w:t>.</w:t>
      </w:r>
    </w:p>
    <w:p w14:paraId="16EB5777" w14:textId="77777777" w:rsidR="006D46BC" w:rsidRDefault="006D46BC" w:rsidP="006D46BC">
      <w:pPr>
        <w:pStyle w:val="Text1"/>
        <w:spacing w:after="160"/>
        <w:ind w:left="0"/>
        <w:rPr>
          <w:noProof/>
        </w:rPr>
      </w:pPr>
      <w:r>
        <w:rPr>
          <w:b/>
          <w:bCs/>
          <w:noProof/>
        </w:rPr>
        <w:t>UE a lansat proiecte de pionierat în domeniul cercetării și inovării în sectorul energiei din surse regenerabile</w:t>
      </w:r>
      <w:r>
        <w:rPr>
          <w:noProof/>
        </w:rPr>
        <w:t>, susținându-și poziția de lider în sectorul industrial prin creșterea treptată a cererii interne și a exporturilor. În 2023, statele membre au furnizat o finanțare de aproape 8,5 miliarde EUR pentru prioritățile de cercetare și inovare ale uniunii energetice, la care se adaugă peste 2 miliarde EUR pentru proiectele relevante din cadrul programului Orizont Europa. Această sumă plasează UE în fruntea marilor economii în ceea ce privește finanțarea publică a tehnologiilor energetice curate (</w:t>
      </w:r>
      <w:r>
        <w:rPr>
          <w:rStyle w:val="FootnoteReference"/>
          <w:noProof/>
        </w:rPr>
        <w:footnoteReference w:id="11"/>
      </w:r>
      <w:r>
        <w:rPr>
          <w:noProof/>
        </w:rPr>
        <w:t xml:space="preserve">). </w:t>
      </w:r>
    </w:p>
    <w:p w14:paraId="5D87413A" w14:textId="36E44135" w:rsidR="006D46BC" w:rsidRPr="00F13B91" w:rsidRDefault="006D46BC" w:rsidP="006D46BC">
      <w:pPr>
        <w:pStyle w:val="Text1"/>
        <w:spacing w:after="160"/>
        <w:ind w:left="0"/>
        <w:rPr>
          <w:rFonts w:asciiTheme="majorBidi" w:hAnsiTheme="majorBidi" w:cstheme="majorBidi"/>
          <w:noProof/>
        </w:rPr>
      </w:pPr>
      <w:r>
        <w:rPr>
          <w:noProof/>
        </w:rPr>
        <w:t xml:space="preserve">Cu toate acestea, pe piața tehnologiilor curate a apărut un nou lider. În ultimii ani, printr-o politică industrială ambițioasă pe termen lung, sprijinită de o supracapacitate subvenționată de stat și prin economii de scară, </w:t>
      </w:r>
      <w:r>
        <w:rPr>
          <w:b/>
          <w:bCs/>
          <w:noProof/>
        </w:rPr>
        <w:t>China a acaparat părți semnificative ale unor întregi lanțuri valorice și a devenit lider mondial în domeniul tehnologiilor curate</w:t>
      </w:r>
      <w:r>
        <w:rPr>
          <w:noProof/>
        </w:rPr>
        <w:t>. În 2024, China a fabricat peste 70 % din vehiculele electrice la nivel mondial, 80 % din turbinele eoliene și 90 % din modulele fotovoltaice (</w:t>
      </w:r>
      <w:r>
        <w:rPr>
          <w:rStyle w:val="FootnoteReference"/>
          <w:noProof/>
        </w:rPr>
        <w:footnoteReference w:id="12"/>
      </w:r>
      <w:r>
        <w:rPr>
          <w:noProof/>
        </w:rPr>
        <w:t>).</w:t>
      </w:r>
    </w:p>
    <w:p w14:paraId="28DE3579" w14:textId="5C010AFA" w:rsidR="006D46BC" w:rsidRDefault="006D46BC" w:rsidP="006D46BC">
      <w:pPr>
        <w:pStyle w:val="Text1"/>
        <w:spacing w:after="160"/>
        <w:ind w:left="0"/>
        <w:rPr>
          <w:b/>
          <w:noProof/>
        </w:rPr>
      </w:pPr>
      <w:r>
        <w:rPr>
          <w:noProof/>
        </w:rPr>
        <w:t xml:space="preserve">Dacă, în perioada 2015-2023, 95 % din creșterea cheltuielilor de capital pentru energia curată a avut loc pe piețele avansate și în China, </w:t>
      </w:r>
      <w:r>
        <w:rPr>
          <w:b/>
          <w:noProof/>
        </w:rPr>
        <w:t>în prezent, tranziția curată se extinde la nivel mondial.</w:t>
      </w:r>
      <w:bookmarkStart w:id="5" w:name="_Hlk208906261"/>
      <w:r>
        <w:rPr>
          <w:b/>
          <w:noProof/>
        </w:rPr>
        <w:t xml:space="preserve"> </w:t>
      </w:r>
      <w:r>
        <w:rPr>
          <w:noProof/>
        </w:rPr>
        <w:t>În Africa, importurile de panouri solare au crescut cu 60 % între iunie 2024 și 2025, atingând 15 GW, 25 de țări importând fiecare peste 100 MW (</w:t>
      </w:r>
      <w:r>
        <w:rPr>
          <w:rStyle w:val="FootnoteReference"/>
          <w:noProof/>
        </w:rPr>
        <w:footnoteReference w:id="13"/>
      </w:r>
      <w:r>
        <w:rPr>
          <w:noProof/>
        </w:rPr>
        <w:t>). Piața automobilelor electrice este în plină expansiune, vânzările la nivelul economiilor în curs de dezvoltare și emergente din Africa, Asia și America Latină crescând cu 60 % în 2024 (</w:t>
      </w:r>
      <w:r>
        <w:rPr>
          <w:rStyle w:val="FootnoteReference"/>
          <w:noProof/>
        </w:rPr>
        <w:footnoteReference w:id="14"/>
      </w:r>
      <w:r>
        <w:rPr>
          <w:noProof/>
        </w:rPr>
        <w:t>). De exemplu, în 2024, 60 % din autoturismele noi vândute în Etiopia erau vehicule electrice cu baterii, după ce țara a interzis importurile de motoare cu ardere internă (</w:t>
      </w:r>
      <w:r>
        <w:rPr>
          <w:rStyle w:val="FootnoteReference"/>
          <w:noProof/>
        </w:rPr>
        <w:footnoteReference w:id="15"/>
      </w:r>
      <w:r>
        <w:rPr>
          <w:noProof/>
        </w:rPr>
        <w:t>). În 2024, 65 % din energia electrică produsă în America Latină și zona Caraibe a provenit din surse curate (</w:t>
      </w:r>
      <w:r>
        <w:rPr>
          <w:rStyle w:val="FootnoteReference"/>
          <w:noProof/>
        </w:rPr>
        <w:footnoteReference w:id="16"/>
      </w:r>
      <w:r>
        <w:rPr>
          <w:noProof/>
        </w:rPr>
        <w:t xml:space="preserve">). </w:t>
      </w:r>
      <w:bookmarkEnd w:id="5"/>
      <w:r>
        <w:rPr>
          <w:noProof/>
        </w:rPr>
        <w:t>Se preconizează că piața mondială a bateriilor se va dubla în următorii cinci ani, iar piața turbinelor eoliene crește cu peste 10 % anual. Aceste schimbări la nivel mondial nu se referă doar la acțiunile climatice, ele vizează, de asemenea, dezvoltarea durabilă, importurile costisitoare de combustibili fosili fiind înlocuite cu energie din surse regenerabile la prețuri accesibile.</w:t>
      </w:r>
      <w:r>
        <w:rPr>
          <w:b/>
          <w:noProof/>
        </w:rPr>
        <w:t xml:space="preserve"> </w:t>
      </w:r>
    </w:p>
    <w:p w14:paraId="6FB62FE8" w14:textId="7CA67847" w:rsidR="006D46BC" w:rsidRDefault="006D46BC" w:rsidP="006D46BC">
      <w:pPr>
        <w:pStyle w:val="Text1"/>
        <w:spacing w:after="160"/>
        <w:ind w:left="0"/>
        <w:rPr>
          <w:noProof/>
        </w:rPr>
      </w:pPr>
      <w:r>
        <w:rPr>
          <w:b/>
          <w:noProof/>
        </w:rPr>
        <w:t xml:space="preserve">Însă acest lucru nu este suficient: </w:t>
      </w:r>
      <w:r>
        <w:rPr>
          <w:b/>
          <w:bCs/>
          <w:noProof/>
        </w:rPr>
        <w:t>tranziția s-a extins în prezent la nivel mondial, dar ritmul ei nu este suficient de rapid în afara piețelor avansate și a Chinei.</w:t>
      </w:r>
      <w:r>
        <w:rPr>
          <w:noProof/>
        </w:rPr>
        <w:t xml:space="preserve"> Angajamentele europene în materie de energie și climă trebuie să încurajeze țările terțe să depună mai multe eforturi, inclusiv prin abordarea poziției dominante a Chinei în acest domeniu. Africa deține peste 60 % din cele mai bune resurse solare la nivel mondial, dar nu atrage decât 2 % din investiții, iar peste 600 de milioane de persoane nu au acces la electricitate (</w:t>
      </w:r>
      <w:r>
        <w:rPr>
          <w:rStyle w:val="FootnoteReference"/>
          <w:noProof/>
        </w:rPr>
        <w:footnoteReference w:id="17"/>
      </w:r>
      <w:r>
        <w:rPr>
          <w:noProof/>
        </w:rPr>
        <w:t>). Investițiile în producție și implementare sunt încă îngreunate de riscuri reale și percepute, de lipsa infrastructurii de sprijin și de piețele de capital subdezvoltate.</w:t>
      </w:r>
    </w:p>
    <w:p w14:paraId="11C8ECC8" w14:textId="7ECE3C4E" w:rsidR="00D15578" w:rsidRDefault="00D15578" w:rsidP="006D46BC">
      <w:pPr>
        <w:pStyle w:val="Text1"/>
        <w:spacing w:after="160"/>
        <w:ind w:left="0"/>
        <w:rPr>
          <w:noProof/>
        </w:rPr>
      </w:pPr>
      <w:r>
        <w:rPr>
          <w:noProof/>
        </w:rPr>
        <w:t>Pe lângă Pactul UE pentru o industrie curată, care vizează transformarea decarbonizării într-un motor de creștere pentru industriile europene, UE va continua să identifice, să evalueze și să gestioneze riscurile la adresa securității sale economice, astfel cum se va detalia în viitoarea doctrină privind securitatea economică.</w:t>
      </w:r>
    </w:p>
    <w:p w14:paraId="3B58C607" w14:textId="77777777" w:rsidR="006D46BC" w:rsidRDefault="006D46BC" w:rsidP="00D15578">
      <w:pPr>
        <w:pStyle w:val="Heading1"/>
        <w:numPr>
          <w:ilvl w:val="1"/>
          <w:numId w:val="1"/>
        </w:numPr>
        <w:spacing w:after="120" w:line="240" w:lineRule="auto"/>
        <w:ind w:left="788" w:hanging="431"/>
        <w:rPr>
          <w:rStyle w:val="normaltextrun"/>
          <w:rFonts w:ascii="Times New Roman Bold" w:eastAsiaTheme="minorEastAsia" w:hAnsi="Times New Roman Bold" w:cs="Times New Roman"/>
          <w:b/>
          <w:noProof/>
          <w:color w:val="auto"/>
          <w:sz w:val="24"/>
          <w:szCs w:val="24"/>
        </w:rPr>
      </w:pPr>
      <w:r>
        <w:rPr>
          <w:rStyle w:val="normaltextrun"/>
          <w:rFonts w:ascii="Times New Roman Bold" w:hAnsi="Times New Roman Bold"/>
          <w:b/>
          <w:noProof/>
          <w:color w:val="auto"/>
          <w:sz w:val="24"/>
        </w:rPr>
        <w:t>UE înregistrează progrese în ceea ce privește decarbonizarea și tranziția curată</w:t>
      </w:r>
    </w:p>
    <w:p w14:paraId="57B1C000" w14:textId="19612944" w:rsidR="006D46BC" w:rsidRDefault="006D46BC" w:rsidP="0034579F">
      <w:pPr>
        <w:pStyle w:val="Text1"/>
        <w:spacing w:before="160" w:after="160"/>
        <w:ind w:left="0"/>
        <w:rPr>
          <w:noProof/>
        </w:rPr>
      </w:pPr>
      <w:r>
        <w:rPr>
          <w:noProof/>
        </w:rPr>
        <w:t xml:space="preserve">În acest context global, este în interesul UE să continue decarbonizarea economiei și a industriei sale pentru a acapara o cotă echitabilă din piețele mondiale ale tehnologiilor curate și pentru a se asigura că întreprinderile noastre din domeniul tehnologiei curate sunt competitive la nivel mondial. Întreprinderile și investitorii europeni au nevoie de previzibilitate și certitudine pentru a avea beneficii. </w:t>
      </w:r>
      <w:r>
        <w:rPr>
          <w:b/>
          <w:bCs/>
          <w:noProof/>
        </w:rPr>
        <w:t>Pactul pentru o industrie curată</w:t>
      </w:r>
      <w:r>
        <w:rPr>
          <w:noProof/>
        </w:rPr>
        <w:t>, planul UE pentru competitivitate și decarbonizare, stă la baza acestui demers. Planul este menit să abordeze principalele obstacole care ne încetinesc întreprinderile și să consolideze argumentele economice în contextul geopolitic dificil din prezent. Îmbunătățim accesul la energie, materiale și resurse la prețuri accesibile, sporim investițiile publice și private, dezvoltăm piețe-lider, îmbunătățim competențele și creăm locuri de muncă de calitate. UE renunță treptat la o economie costisitoare și volatilă bazată pe combustibili fosili.</w:t>
      </w:r>
    </w:p>
    <w:p w14:paraId="591FA873" w14:textId="3F78D7B7" w:rsidR="006D46BC" w:rsidRDefault="006D46BC" w:rsidP="0034579F">
      <w:pPr>
        <w:pStyle w:val="Text1"/>
        <w:spacing w:before="160" w:after="160"/>
        <w:ind w:left="0"/>
        <w:rPr>
          <w:noProof/>
        </w:rPr>
      </w:pPr>
      <w:r>
        <w:rPr>
          <w:noProof/>
        </w:rPr>
        <w:t xml:space="preserve">Obținem deja rezultate care ne consolidează atât economia, cât și ambiția în materie de climă. UE este pe cale să își îndeplinească obiectivul de reducere a emisiilor de gaze cu efect de seră până în 2030 – o reducere internă netă cu cel puțin 55 % comparativ cu 1990 – și să atingă neutralitatea climatică până în 2050, în conformitate cu </w:t>
      </w:r>
      <w:r>
        <w:rPr>
          <w:b/>
          <w:bCs/>
          <w:noProof/>
        </w:rPr>
        <w:t>Legea europeană a climei</w:t>
      </w:r>
      <w:r>
        <w:rPr>
          <w:noProof/>
        </w:rPr>
        <w:t xml:space="preserve"> și cu </w:t>
      </w:r>
      <w:r>
        <w:rPr>
          <w:b/>
          <w:bCs/>
          <w:noProof/>
        </w:rPr>
        <w:t>Pactul verde european</w:t>
      </w:r>
      <w:r>
        <w:rPr>
          <w:noProof/>
        </w:rPr>
        <w:t xml:space="preserve">. Europa intră în cea de-a patra iarnă de la începerea războiului de agresiune al Rusiei împotriva Ucrainei, iar </w:t>
      </w:r>
      <w:r>
        <w:rPr>
          <w:b/>
          <w:bCs/>
          <w:noProof/>
        </w:rPr>
        <w:t>planul</w:t>
      </w:r>
      <w:r>
        <w:rPr>
          <w:noProof/>
        </w:rPr>
        <w:t xml:space="preserve"> și foaia de parcurs </w:t>
      </w:r>
      <w:r>
        <w:rPr>
          <w:b/>
          <w:bCs/>
          <w:noProof/>
        </w:rPr>
        <w:t>REPowerEU</w:t>
      </w:r>
      <w:r>
        <w:rPr>
          <w:noProof/>
        </w:rPr>
        <w:t xml:space="preserve"> menite să elimine treptat dependența Europei de energia rusească au accelerat tranziția la energia curată în UE, care a fost facilitată în mod suplimentar de sancțiunile severe impuse de UE asupra sectorului energetic rusesc. Ca urmare a acestui fapt, UE a luat măsuri pentru a-și diversifica furnizorii, a aprofunda relațiile comerciale, a stimula energia din surse regenerabile și eficiența energetică și pentru a realiza economii de energie. Privind în perspectivă, propunerea de modificare a Legii climei, care va include un obiectiv privind emisiile pentru 2040, va oferi o mai mare previzibilitate și stabilitate, stimulând investițiile în tranziția curată a UE.</w:t>
      </w:r>
    </w:p>
    <w:p w14:paraId="2E8E258F" w14:textId="1D8544D7" w:rsidR="006D46BC" w:rsidRPr="0034579F" w:rsidRDefault="006D46BC" w:rsidP="0034579F">
      <w:pPr>
        <w:pStyle w:val="Text1"/>
        <w:spacing w:before="160" w:after="160"/>
        <w:ind w:left="0"/>
        <w:rPr>
          <w:b/>
          <w:noProof/>
        </w:rPr>
      </w:pPr>
      <w:r>
        <w:rPr>
          <w:noProof/>
        </w:rPr>
        <w:t>În 2024, sursele regenerabile de energie au generat 47 % din energia electrică în UE, iar consumul final de energie din UE a scăzut cu 5,7 % între 2021 și 2023 (</w:t>
      </w:r>
      <w:r>
        <w:rPr>
          <w:rStyle w:val="FootnoteReference"/>
          <w:noProof/>
        </w:rPr>
        <w:footnoteReference w:id="18"/>
      </w:r>
      <w:r>
        <w:rPr>
          <w:noProof/>
        </w:rPr>
        <w:t>). Între 2021 și 2023, consumatorii de energie electrică din UE au economisit 100 de miliarde EUR datorită energiei electrice generate de instalațiile solare fotovoltaice și eoliene nou instalate (</w:t>
      </w:r>
      <w:r>
        <w:rPr>
          <w:rStyle w:val="FootnoteReference"/>
          <w:noProof/>
        </w:rPr>
        <w:footnoteReference w:id="19"/>
      </w:r>
      <w:r>
        <w:rPr>
          <w:noProof/>
        </w:rPr>
        <w:t xml:space="preserve">). Flota nucleară a UE funcționează în prezent la un factor de mare capacitate de peste 80 %, contribuind la obiectivele de aprovizionare cu energie electrică la capacitatea de bază și la obiectivele de decarbonizare, fiind, în același timp, o componentă importantă pentru competitivitatea industrială și securitatea aprovizionării în anumite state membre (deși prețurile la energie în UE determinate de combustibilii fosili importați rămân ridicate în comparație cu nivelurile prețurilor înainte ca Rusia să utilizeze ca armă exporturile de energie în 2021, UE reușește, încet, dar sigur, să le reducă pentru consumatori și industrie prin trecerea la energie din surse regenerabile și curată, explorând, în același timp, alte surse de energie curată, efort care este continuat prin </w:t>
      </w:r>
      <w:r>
        <w:rPr>
          <w:b/>
          <w:bCs/>
          <w:noProof/>
        </w:rPr>
        <w:t>Planul de acțiune pentru energie la prețuri accesibile</w:t>
      </w:r>
      <w:r>
        <w:rPr>
          <w:noProof/>
        </w:rPr>
        <w:t>).</w:t>
      </w:r>
    </w:p>
    <w:p w14:paraId="1E43BA5D" w14:textId="6DA65642" w:rsidR="006D46BC" w:rsidRDefault="006D46BC" w:rsidP="006D46BC">
      <w:pPr>
        <w:pStyle w:val="Text1"/>
        <w:spacing w:after="160"/>
        <w:ind w:left="0"/>
        <w:rPr>
          <w:noProof/>
        </w:rPr>
      </w:pPr>
      <w:r>
        <w:rPr>
          <w:rFonts w:asciiTheme="majorBidi" w:hAnsiTheme="majorBidi"/>
          <w:noProof/>
        </w:rPr>
        <w:t xml:space="preserve">UE a demonstrat că </w:t>
      </w:r>
      <w:r>
        <w:rPr>
          <w:rFonts w:asciiTheme="majorBidi" w:hAnsiTheme="majorBidi"/>
          <w:b/>
          <w:bCs/>
          <w:noProof/>
        </w:rPr>
        <w:t>modelul nostru de decarbonizare este, în același timp, un model de creștere</w:t>
      </w:r>
      <w:r>
        <w:rPr>
          <w:rFonts w:asciiTheme="majorBidi" w:hAnsiTheme="majorBidi"/>
          <w:noProof/>
        </w:rPr>
        <w:t xml:space="preserve">. </w:t>
      </w:r>
      <w:bookmarkStart w:id="6" w:name="_Hlk208906485"/>
      <w:r>
        <w:rPr>
          <w:rFonts w:asciiTheme="majorBidi" w:hAnsiTheme="majorBidi"/>
          <w:b/>
          <w:bCs/>
          <w:noProof/>
        </w:rPr>
        <w:t>Schema UE de comercializare a certificatelor de emisii</w:t>
      </w:r>
      <w:r>
        <w:rPr>
          <w:rFonts w:asciiTheme="majorBidi" w:hAnsiTheme="majorBidi"/>
          <w:noProof/>
        </w:rPr>
        <w:t xml:space="preserve"> (ETS) a creat stimulente financiare puternice pentru tranziție, contribuind la reducerea cu aproape 50 % a emisiilor de GES generate de producția de energie electrică și de industrie în perioada dintre lansarea schemei în 2005 și 2023, în timp ce economia UE a continuat să crească. </w:t>
      </w:r>
      <w:r>
        <w:rPr>
          <w:noProof/>
        </w:rPr>
        <w:t xml:space="preserve">În viitor, mecanismul de ajustare a carbonului la frontieră va preveni relocarea emisiilor de dioxid de carbon. </w:t>
      </w:r>
      <w:bookmarkEnd w:id="6"/>
      <w:r>
        <w:rPr>
          <w:noProof/>
        </w:rPr>
        <w:t>Investițiile în energia curată au crescut la 335 de miliarde EUR în 2025, creând 1,8 milioane de noi locuri de muncă (</w:t>
      </w:r>
      <w:r>
        <w:rPr>
          <w:rStyle w:val="FootnoteReference"/>
          <w:noProof/>
        </w:rPr>
        <w:footnoteReference w:id="20"/>
      </w:r>
      <w:r>
        <w:rPr>
          <w:noProof/>
        </w:rPr>
        <w:t>).</w:t>
      </w:r>
      <w:r>
        <w:rPr>
          <w:rFonts w:asciiTheme="majorBidi" w:hAnsiTheme="majorBidi"/>
          <w:noProof/>
        </w:rPr>
        <w:t xml:space="preserve"> </w:t>
      </w:r>
      <w:r>
        <w:rPr>
          <w:b/>
          <w:bCs/>
          <w:noProof/>
        </w:rPr>
        <w:t>Industria UE își intensifică capacitatea de producție pentru tehnologii curate și investițiile conexe.</w:t>
      </w:r>
      <w:r>
        <w:rPr>
          <w:noProof/>
        </w:rPr>
        <w:t xml:space="preserve"> În prezent, UE este un exportator net de tehnologii „zero net”, cum ar fi tehnologiile hidroelectrice, termosolare și de rețea. În 2024, UE a exportat tehnologii hidroelectrice în valoare de aproape 300 de milioane EUR. În același an, UE a exportat, de asemenea, componente de rețea în valoare de peste 6,5 miliarde EUR (</w:t>
      </w:r>
      <w:r>
        <w:rPr>
          <w:rStyle w:val="FootnoteReference"/>
          <w:noProof/>
        </w:rPr>
        <w:footnoteReference w:id="21"/>
      </w:r>
      <w:r>
        <w:rPr>
          <w:noProof/>
        </w:rPr>
        <w:t xml:space="preserve">). În paralel, UE a lansat 60 de proiecte strategice în temeiul Regulamentului privind materiile prime critice, dintre care 13 se află în afara UE, consolidând capacitatea UE de extracție, prelucrare și reciclare a materiilor prime critice esențiale pentru tranziția curată și tranziția digitală, în conformitate cu viitorul </w:t>
      </w:r>
      <w:r>
        <w:rPr>
          <w:b/>
          <w:bCs/>
          <w:noProof/>
        </w:rPr>
        <w:t>act legislativ privind economia circulară</w:t>
      </w:r>
      <w:r>
        <w:rPr>
          <w:noProof/>
        </w:rPr>
        <w:t>. Comisia va prezenta, de asemenea,</w:t>
      </w:r>
      <w:r>
        <w:rPr>
          <w:b/>
          <w:bCs/>
          <w:noProof/>
        </w:rPr>
        <w:t xml:space="preserve"> o strategie în domeniul bioeconomiei</w:t>
      </w:r>
      <w:r>
        <w:rPr>
          <w:noProof/>
        </w:rPr>
        <w:t>.</w:t>
      </w:r>
    </w:p>
    <w:p w14:paraId="27514C57" w14:textId="74B3ABB3" w:rsidR="006D46BC" w:rsidRDefault="006D46BC" w:rsidP="006D46BC">
      <w:pPr>
        <w:pStyle w:val="Text1"/>
        <w:spacing w:after="160"/>
        <w:ind w:left="0"/>
        <w:rPr>
          <w:noProof/>
        </w:rPr>
      </w:pPr>
      <w:r>
        <w:rPr>
          <w:b/>
          <w:bCs/>
          <w:noProof/>
        </w:rPr>
        <w:t>Digitalizarea</w:t>
      </w:r>
      <w:r>
        <w:rPr>
          <w:noProof/>
        </w:rPr>
        <w:t xml:space="preserve"> este esențială pentru accelerarea transformării industriale și economice curate a Europei. Instrumentele digitale, inclusiv inteligența artificială, gemenii digitali și tehnologia blockchain, pot consolida eficiența energetică și utilizarea eficientă a resurselor, pot gestiona optimizarea rețelelor, pot reduce deșeurile și pot îmbunătăți circularitatea. Prin integrarea acestor inovații digitale în parteneriatele mondiale, UE poate accelera tranziția curată, consolidând în același timp competitivitatea, transparența și responsabilitatea în materie de mediu la nivel mondial.</w:t>
      </w:r>
    </w:p>
    <w:p w14:paraId="74EA752D" w14:textId="77777777" w:rsidR="006D46BC" w:rsidRDefault="006D46BC" w:rsidP="006D46BC">
      <w:pPr>
        <w:pStyle w:val="Text1"/>
        <w:spacing w:after="160"/>
        <w:ind w:left="0"/>
        <w:rPr>
          <w:noProof/>
        </w:rPr>
      </w:pPr>
      <w:r>
        <w:rPr>
          <w:noProof/>
        </w:rPr>
        <w:t xml:space="preserve">Noul </w:t>
      </w:r>
      <w:r>
        <w:rPr>
          <w:b/>
          <w:bCs/>
          <w:noProof/>
        </w:rPr>
        <w:t>Pact pentru o industrie curată</w:t>
      </w:r>
      <w:r>
        <w:rPr>
          <w:noProof/>
        </w:rPr>
        <w:t xml:space="preserve"> se bucură de succes. Măsuri precum creșterea capacității de risc a InvestEU, noul cadru privind ajutoarele de stat în contextul Pactului pentru o industrie curată și propunerea privind Fondul european pentru competitivitate consolidează și aliniază mai bine utilizarea resurselor UE și a celor naționale pentru a mobiliza finanțare privată și a reduce riscurile aferente. Împreună cu Regulamentul privind industria „zero net”, aceste măsuri vor sprijini tranziția curată, vor consolida producția și implementarea tehnologiilor „zero net” în UE, vor crea </w:t>
      </w:r>
      <w:r>
        <w:rPr>
          <w:b/>
          <w:bCs/>
          <w:noProof/>
        </w:rPr>
        <w:t>piețe-lider</w:t>
      </w:r>
      <w:r>
        <w:rPr>
          <w:noProof/>
        </w:rPr>
        <w:t xml:space="preserve"> pentru produsele curate și vor diversifica lanțurile noastre de aprovizionare.</w:t>
      </w:r>
    </w:p>
    <w:p w14:paraId="619E3BCD" w14:textId="3C243F48" w:rsidR="006D46BC" w:rsidRDefault="006D46BC" w:rsidP="006D46BC">
      <w:pPr>
        <w:pStyle w:val="Text1"/>
        <w:spacing w:after="160"/>
        <w:ind w:left="0"/>
        <w:rPr>
          <w:noProof/>
        </w:rPr>
      </w:pPr>
      <w:r>
        <w:rPr>
          <w:noProof/>
        </w:rPr>
        <w:t xml:space="preserve">UE va prezenta în curând un </w:t>
      </w:r>
      <w:r>
        <w:rPr>
          <w:b/>
          <w:bCs/>
          <w:noProof/>
        </w:rPr>
        <w:t>act legislativ privind accelerarea activității industriale</w:t>
      </w:r>
      <w:r>
        <w:rPr>
          <w:noProof/>
        </w:rPr>
        <w:t xml:space="preserve"> pentru a crea piețe-lider pentru produse bazate pe tehnologii curate, </w:t>
      </w:r>
      <w:r>
        <w:rPr>
          <w:b/>
          <w:bCs/>
          <w:noProof/>
        </w:rPr>
        <w:t>etichete privind emisiile scăzute de carbon</w:t>
      </w:r>
      <w:r>
        <w:rPr>
          <w:noProof/>
        </w:rPr>
        <w:t xml:space="preserve"> pentru produsele mari consumatoare de energie și un </w:t>
      </w:r>
      <w:r>
        <w:rPr>
          <w:b/>
          <w:bCs/>
          <w:noProof/>
        </w:rPr>
        <w:t>pachet de stimulare a producției de baterii</w:t>
      </w:r>
      <w:r>
        <w:rPr>
          <w:noProof/>
        </w:rPr>
        <w:t xml:space="preserve"> pentru a sprijini ecosistemul bateriilor din UE, ca parte a Planului de acțiune pentru sectorul autovehiculelor.</w:t>
      </w:r>
    </w:p>
    <w:p w14:paraId="0E691C70" w14:textId="7B39F98F" w:rsidR="006D46BC" w:rsidRDefault="006D46BC" w:rsidP="006D46BC">
      <w:pPr>
        <w:pStyle w:val="Text1"/>
        <w:spacing w:after="160"/>
        <w:ind w:left="0"/>
        <w:rPr>
          <w:noProof/>
        </w:rPr>
      </w:pPr>
      <w:r>
        <w:rPr>
          <w:noProof/>
        </w:rPr>
        <w:t>Pe măsură ce Europa face progrese în ceea ce privește tranziția curată și depune eforturi pentru a stimula competitivitatea industrială, ea trebuie, de asemenea, să-și construiască o poziție de securitate credibilă pentru viitor, consolidând rolul UE în stimularea unor politici solide de adaptare la schimbările climatice în Europa și la nivel internațional. Indiferent dacă este vorba despre topirea gheții în Oceanul Arctic, care deschide culoare maritime, despre arșița din Sahel, unde puteri necinstite exploatează societăți fragile și creează conflicte pentru propriul lor câștig, sau despre fenomenele meteorologice extreme care cauzează daune societății și infrastructurii militare, este esențial să se integreze mai bine legătura dintre climă, pace și securitate în politica externă a UE, inclusiv în politica de securitate și apărare comună (PSAC) și în cooperarea și parteneriatele internaționale. Schimbările climatice și disponibilitatea unor noi tehnologii energetice și în materie de pregătire vor modifica modul în care funcționează societatea și forțele noastre armate și modul în care acestea consolidează reziliența infrastructurilor lor. Succesiunea remarcabilă a ciclurilor de inovare în Ucraina în vederea unei adaptări bazate pe tehnologii militare de vârf și a unei reziliențe sporite este un exemplu în acest sens. Este esențial să se asigure accesul la energie la nivel local din motive de securitate și din motive economice. În sfârșit, având în vedere, de asemenea, importanța tot mai mare a tehnologiei cu dublă utilizare, este necesar ca UE să gestioneze interacțiunea dintre imperativele sale de securitate și obiectivele sale privind tranziția curată și să utilizeze oportunitățile în acest sens, acolo unde este posibil.</w:t>
      </w:r>
    </w:p>
    <w:p w14:paraId="7174BCEA" w14:textId="77777777" w:rsidR="006D46BC" w:rsidRDefault="006D46BC" w:rsidP="006D46BC">
      <w:pPr>
        <w:pStyle w:val="Text1"/>
        <w:spacing w:after="160"/>
        <w:ind w:left="0"/>
        <w:rPr>
          <w:noProof/>
        </w:rPr>
      </w:pPr>
      <w:r>
        <w:rPr>
          <w:noProof/>
        </w:rPr>
        <w:t>În concluzie, UE își decarbonizează economia internă, înregistrează progrese în ceea ce privește tranziția justă și sprijină tranziția la nivel mondial prin investiții în cercetare și prin exportul de tehnologii curate. Această abordare reflectă pe deplin dimensiunea internă și externă a Pactului verde european și a Pactului pentru o industrie curată, care vizează atingerea neutralității climatice până la jumătatea secolului și modernizarea în același timp a economiilor noastre. Acest lucru este strâns legat de capacitatea noastră de a colabora cu parteneri din întreaga lume pentru a-i sprijini în eforturile lor către o tranziție curată.</w:t>
      </w:r>
    </w:p>
    <w:p w14:paraId="2680611C" w14:textId="77777777" w:rsidR="006D46BC" w:rsidRDefault="006D46BC" w:rsidP="00D15578">
      <w:pPr>
        <w:pStyle w:val="Heading1"/>
        <w:keepNext/>
        <w:numPr>
          <w:ilvl w:val="0"/>
          <w:numId w:val="1"/>
        </w:numPr>
        <w:spacing w:after="120" w:line="240" w:lineRule="auto"/>
        <w:ind w:left="714" w:hanging="357"/>
        <w:rPr>
          <w:rStyle w:val="normaltextrun"/>
          <w:rFonts w:ascii="Times New Roman Bold" w:eastAsiaTheme="minorEastAsia" w:hAnsi="Times New Roman Bold" w:cs="Times New Roman"/>
          <w:b/>
          <w:caps/>
          <w:noProof/>
          <w:color w:val="auto"/>
          <w:sz w:val="24"/>
          <w:szCs w:val="24"/>
        </w:rPr>
      </w:pPr>
      <w:r>
        <w:rPr>
          <w:rStyle w:val="normaltextrun"/>
          <w:rFonts w:ascii="Times New Roman Bold" w:hAnsi="Times New Roman Bold"/>
          <w:b/>
          <w:caps/>
          <w:noProof/>
          <w:color w:val="auto"/>
          <w:sz w:val="24"/>
        </w:rPr>
        <w:t>Colaborarea strategică cu partenerii mondiali</w:t>
      </w:r>
    </w:p>
    <w:p w14:paraId="261A2BA4" w14:textId="77777777" w:rsidR="006D46BC" w:rsidRDefault="006D46BC" w:rsidP="006D46BC">
      <w:pPr>
        <w:pStyle w:val="Text1"/>
        <w:spacing w:after="160"/>
        <w:ind w:left="0"/>
        <w:rPr>
          <w:noProof/>
        </w:rPr>
      </w:pPr>
      <w:r>
        <w:rPr>
          <w:noProof/>
        </w:rPr>
        <w:t>Astfel cum se prevede în Pactul pentru o industrie curată, UE adoptă o abordare strategică privind cooperarea reciproc avantajoasă în domeniul energiei și al climei, punând accentul pe diplomație, pe cooperarea tehnică și în materie de reglementare și pe economie, unindu-și eforturile cu statele membre la nivel național. Vom încerca să aprofundăm parteneriatele noastre bilaterale și să ne bazăm pe alianțe multilaterale și plurilaterale pentru a impulsiona o tranziție justă, circulară și rezilientă la nivel mondial.</w:t>
      </w:r>
    </w:p>
    <w:p w14:paraId="5508FC75" w14:textId="77777777" w:rsidR="006D46BC" w:rsidRDefault="006D46BC" w:rsidP="00D15578">
      <w:pPr>
        <w:pStyle w:val="Heading1"/>
        <w:keepNext/>
        <w:numPr>
          <w:ilvl w:val="1"/>
          <w:numId w:val="1"/>
        </w:numPr>
        <w:spacing w:after="120" w:line="240" w:lineRule="auto"/>
        <w:ind w:left="788" w:hanging="431"/>
        <w:rPr>
          <w:rStyle w:val="normaltextrun"/>
          <w:rFonts w:ascii="Times New Roman Bold" w:eastAsiaTheme="minorEastAsia" w:hAnsi="Times New Roman Bold" w:cs="Times New Roman"/>
          <w:b/>
          <w:noProof/>
          <w:color w:val="auto"/>
          <w:sz w:val="24"/>
          <w:szCs w:val="24"/>
        </w:rPr>
      </w:pPr>
      <w:r>
        <w:rPr>
          <w:rStyle w:val="normaltextrun"/>
          <w:rFonts w:ascii="Times New Roman Bold" w:hAnsi="Times New Roman Bold"/>
          <w:b/>
          <w:noProof/>
          <w:color w:val="auto"/>
          <w:sz w:val="24"/>
        </w:rPr>
        <w:t>Crearea de parteneriate economice reciproc avantajoase pentru un viitor prosper</w:t>
      </w:r>
    </w:p>
    <w:p w14:paraId="54C9F217" w14:textId="147F8DC5" w:rsidR="006D46BC" w:rsidRDefault="006D46BC" w:rsidP="006D46BC">
      <w:pPr>
        <w:pStyle w:val="Text1"/>
        <w:spacing w:after="160"/>
        <w:ind w:left="0"/>
        <w:rPr>
          <w:noProof/>
        </w:rPr>
      </w:pPr>
      <w:r>
        <w:rPr>
          <w:noProof/>
        </w:rPr>
        <w:t>Promovarea parteneriatelor economice curate se află în centrul dimensiunii externe a Pactului pentru o industrie curată. Pe baza acordurilor comerciale sau a acordurilor de facilitare a investițiilor durabile, a parteneriatelor pentru comerț și investiții curate sau a memorandumurilor de înțelegere adaptate, în special în ceea ce privește lanțurile valorice durabile sau cooperarea între întreprinderi, aceste parteneriate intenționează să sprijine soluții reciproc avantajoase, să stimuleze cooperarea și să integreze lanțurile de aprovizionare în vederea sprijinirii în continuare a tranziției la scară mondială.</w:t>
      </w:r>
    </w:p>
    <w:p w14:paraId="6259312C" w14:textId="7C6E720A" w:rsidR="006D46BC" w:rsidRDefault="006D46BC" w:rsidP="006D46BC">
      <w:pPr>
        <w:pStyle w:val="Text1"/>
        <w:spacing w:after="160"/>
        <w:ind w:left="0"/>
        <w:rPr>
          <w:noProof/>
        </w:rPr>
      </w:pPr>
      <w:r>
        <w:rPr>
          <w:noProof/>
        </w:rPr>
        <w:t>La fel ca în cazul acordurilor comerciale ale UE, UE va stimula parteneriatele economice curate existente și viitoare pentru a-și încuraja partenerii să dezvolte căi credibile și realizabile de realizare a obiectivelor Acordului de la Paris, inclusiv prin intermediul contribuțiilor lor stabilite la nivel național.</w:t>
      </w:r>
    </w:p>
    <w:p w14:paraId="12C05681" w14:textId="77777777" w:rsidR="006D46BC" w:rsidRDefault="006D46BC" w:rsidP="006D46BC">
      <w:pPr>
        <w:pStyle w:val="Text1"/>
        <w:spacing w:after="160"/>
        <w:ind w:left="0"/>
        <w:rPr>
          <w:noProof/>
          <w:highlight w:val="yellow"/>
        </w:rPr>
      </w:pPr>
      <w:r>
        <w:rPr>
          <w:noProof/>
        </w:rPr>
        <w:t xml:space="preserve">UE va promova proiecte de investiții în parteneriat cu întreprinderile și instituțiile financiare europene și din țările partenere. Adoptând o abordare de tip „Echipa Europa”, UE își va mobiliza rețeaua diplomatică, structurile de facilitare existente, platformele și instrumentele de stabilire de contacte și va organiza </w:t>
      </w:r>
      <w:r>
        <w:rPr>
          <w:b/>
          <w:bCs/>
          <w:noProof/>
        </w:rPr>
        <w:t>forumuri de afaceri pentru o tranziție curată</w:t>
      </w:r>
      <w:r>
        <w:rPr>
          <w:noProof/>
        </w:rPr>
        <w:t xml:space="preserve"> și </w:t>
      </w:r>
      <w:r>
        <w:rPr>
          <w:b/>
          <w:bCs/>
          <w:noProof/>
        </w:rPr>
        <w:t>misiuni la nivel înalt de promovare a întreprinderilor și a comerțului</w:t>
      </w:r>
      <w:r>
        <w:rPr>
          <w:noProof/>
        </w:rPr>
        <w:t>.</w:t>
      </w:r>
      <w:r>
        <w:rPr>
          <w:b/>
          <w:noProof/>
        </w:rPr>
        <w:t xml:space="preserve"> </w:t>
      </w:r>
      <w:r>
        <w:rPr>
          <w:noProof/>
        </w:rPr>
        <w:t xml:space="preserve">Scopul este de a promova utilizarea și implementarea tehnologiilor curate ale UE și de a garanta faptul că investițiile și proiectele finanțate de UE în țările partenere sunt coerente cu interesele UE. UE va explora, de asemenea, posibilitatea de a oferi sprijin sub formă de credite la export pentru tehnologiile curate ale UE. În special, UE va sprijini finanțarea și punerea în practică a unor </w:t>
      </w:r>
      <w:r>
        <w:rPr>
          <w:b/>
          <w:bCs/>
          <w:noProof/>
        </w:rPr>
        <w:t>proiecte</w:t>
      </w:r>
      <w:r>
        <w:rPr>
          <w:noProof/>
        </w:rPr>
        <w:t xml:space="preserve"> </w:t>
      </w:r>
      <w:r>
        <w:rPr>
          <w:b/>
          <w:bCs/>
          <w:noProof/>
        </w:rPr>
        <w:t>emblematice de mari dimensiuni</w:t>
      </w:r>
      <w:r>
        <w:rPr>
          <w:noProof/>
        </w:rPr>
        <w:t xml:space="preserve"> în țările partenere prin intermediul strategiei Global Gateway, cum ar fi centralele de energie electrică din surse regenerabile, instalațiile de producție de tehnologii curate și proiecte de cercetare și dezvoltare în domeniul tehnologiilor curate, reunind întreprinderi, instituții financiare, mediul academic și furnizori de educație și formare de la nivelul UE și de la nivel local. Pentru a orienta și a extinde aceste proiecte, va fi instituit un </w:t>
      </w:r>
      <w:r>
        <w:rPr>
          <w:b/>
          <w:bCs/>
          <w:noProof/>
        </w:rPr>
        <w:t>Consiliu de afaceri extern al UE pentru o tranziție curată</w:t>
      </w:r>
      <w:r>
        <w:rPr>
          <w:noProof/>
        </w:rPr>
        <w:t xml:space="preserve">, cu scopul de a consilia Comisia cu privire la prioritățile de investiții în tehnologii curate în țările partenere, pe baza nevoilor operaționale. </w:t>
      </w:r>
      <w:r>
        <w:rPr>
          <w:b/>
          <w:bCs/>
          <w:noProof/>
        </w:rPr>
        <w:t>Un coordonator special al UE pentru tranziția curată la nivel mondial</w:t>
      </w:r>
      <w:r>
        <w:rPr>
          <w:noProof/>
        </w:rPr>
        <w:t xml:space="preserve"> va coordona această acțiune, va colabora cu întreprinderile și va sprijini abordarea de tip „Echipa Europa”.</w:t>
      </w:r>
    </w:p>
    <w:p w14:paraId="77C34D74" w14:textId="1FAF1BF8" w:rsidR="006D46BC" w:rsidRDefault="006D46BC" w:rsidP="006D46BC">
      <w:pPr>
        <w:pStyle w:val="Text1"/>
        <w:spacing w:after="160"/>
        <w:ind w:left="0"/>
        <w:rPr>
          <w:noProof/>
        </w:rPr>
      </w:pPr>
      <w:r>
        <w:rPr>
          <w:noProof/>
        </w:rPr>
        <w:t xml:space="preserve">Acordurile comerciale reprezintă un motor important pentru creșterea durabilă atât în UE, cât și în țările partenere, în special în ceea ce privește angajamentele de punere în aplicare a Convenției-cadru a Națiunilor Unite asupra schimbărilor climatice (CCONUSC) și a Acordului de la Paris. UE dispune deja de cea mai mare rețea de </w:t>
      </w:r>
      <w:r>
        <w:rPr>
          <w:b/>
          <w:noProof/>
        </w:rPr>
        <w:t>acorduri de liber schimb</w:t>
      </w:r>
      <w:r>
        <w:rPr>
          <w:noProof/>
        </w:rPr>
        <w:t xml:space="preserve"> (ALS) din lume, acoperind 76 de țări și 44 % din totalul comerțului cu mărfuri al UE, și continuă negocierile cu mai mulți parteneri (</w:t>
      </w:r>
      <w:r>
        <w:rPr>
          <w:rStyle w:val="FootnoteReference"/>
          <w:noProof/>
        </w:rPr>
        <w:footnoteReference w:id="22"/>
      </w:r>
      <w:r>
        <w:rPr>
          <w:noProof/>
        </w:rPr>
        <w:t xml:space="preserve">). Acordurile de liber schimb ale UE includ capitole privind energia, materiile prime, cooperarea în materie de reglementare, comerțul și dezvoltarea durabilă. Ele contribuie la facilitarea comerțului și a investițiilor în lanțurile valorice ale energiei curate și la asigurarea accesului nedenaturat la materiile prime critice, sprijinind în același timp metode de producție curate și mai eficiente și oportunități de acces pe piață pentru bunuri și servicii verzi. Digitalizarea va fi un factor favorizant esențial al acestui comerț curat, sprijinind elaborarea de politici bazate pe date, interoperabilitatea transfrontalieră și pașapoartele digitale ale produselor pentru a monitoriza performanța în materie de resurse și emisii. În paralel, am lansat negocieri în vederea unor noi </w:t>
      </w:r>
      <w:r>
        <w:rPr>
          <w:b/>
          <w:bCs/>
          <w:noProof/>
        </w:rPr>
        <w:t>parteneriate pentru comerț și investiții curate</w:t>
      </w:r>
      <w:r>
        <w:rPr>
          <w:noProof/>
        </w:rPr>
        <w:t xml:space="preserve">, pentru a oferi un sprijin mai rapid, mai flexibil și adaptat nevoilor UE și ale partenerilor săi. Primul parteneriat de acest tip este în curs de negociere cu Africa de Sud. </w:t>
      </w:r>
    </w:p>
    <w:p w14:paraId="1A7F5CFE" w14:textId="77777777" w:rsidR="006D46BC" w:rsidRDefault="006D46BC" w:rsidP="006D46BC">
      <w:pPr>
        <w:pStyle w:val="Text1"/>
        <w:spacing w:after="160"/>
        <w:ind w:left="0"/>
        <w:rPr>
          <w:noProof/>
        </w:rPr>
      </w:pPr>
      <w:r>
        <w:rPr>
          <w:noProof/>
        </w:rPr>
        <w:t xml:space="preserve">În ultimii patru ani, UE a semnat peste 40 de parteneriate bilaterale pentru o tranziție curată la nivel mondial, completând inițiativele similare din partea statelor membre. Aceste parteneriate vor fi puse în aplicare printr-o coordonare mai strânsă între UE și statele membre. De asemenea, UE va continua să promoveze eliminarea treptată a cărbunelui la nivel mondial, precum și dezvoltarea cu emisii scăzute și rezilientă la schimbările climatice, prin inițiative precum </w:t>
      </w:r>
      <w:r>
        <w:rPr>
          <w:b/>
          <w:bCs/>
          <w:noProof/>
        </w:rPr>
        <w:t>parteneriatele pentru o tranziție energetică justă</w:t>
      </w:r>
      <w:r>
        <w:rPr>
          <w:noProof/>
        </w:rPr>
        <w:t xml:space="preserve">. </w:t>
      </w:r>
      <w:r>
        <w:rPr>
          <w:b/>
          <w:bCs/>
          <w:noProof/>
        </w:rPr>
        <w:t>Platforma UE pentru energie și materii prime</w:t>
      </w:r>
      <w:r>
        <w:rPr>
          <w:noProof/>
        </w:rPr>
        <w:t xml:space="preserve"> va fi, de asemenea, un instrument-cheie pentru crearea de legături între politici și întreprinderi, sprijinind cooperarea în domeniul materiilor prime, al hidrogenului, al bateriilor și al altor sectoare ale energiei curate.</w:t>
      </w:r>
    </w:p>
    <w:p w14:paraId="231F4DDF" w14:textId="77777777" w:rsidR="006D46BC" w:rsidRDefault="006D46BC" w:rsidP="00D15578">
      <w:pPr>
        <w:pStyle w:val="Heading1"/>
        <w:keepNext/>
        <w:numPr>
          <w:ilvl w:val="1"/>
          <w:numId w:val="1"/>
        </w:numPr>
        <w:spacing w:after="120" w:line="240" w:lineRule="auto"/>
        <w:ind w:left="788" w:hanging="431"/>
        <w:rPr>
          <w:rStyle w:val="normaltextrun"/>
          <w:rFonts w:ascii="Times New Roman Bold" w:eastAsiaTheme="minorEastAsia" w:hAnsi="Times New Roman Bold" w:cs="Times New Roman"/>
          <w:b/>
          <w:noProof/>
          <w:color w:val="auto"/>
          <w:sz w:val="24"/>
          <w:szCs w:val="24"/>
        </w:rPr>
      </w:pPr>
      <w:r>
        <w:rPr>
          <w:rStyle w:val="normaltextrun"/>
          <w:rFonts w:ascii="Times New Roman Bold" w:hAnsi="Times New Roman Bold"/>
          <w:b/>
          <w:noProof/>
          <w:color w:val="auto"/>
          <w:sz w:val="24"/>
        </w:rPr>
        <w:t>Consolidarea multilateralismului și a alianțelor pentru a ne îndeplini angajamentele globale</w:t>
      </w:r>
    </w:p>
    <w:p w14:paraId="02FB3670" w14:textId="77777777" w:rsidR="006D46BC" w:rsidRDefault="006D46BC" w:rsidP="006D46BC">
      <w:pPr>
        <w:pStyle w:val="Text1"/>
        <w:spacing w:after="160"/>
        <w:ind w:left="0"/>
        <w:rPr>
          <w:noProof/>
        </w:rPr>
      </w:pPr>
      <w:r>
        <w:rPr>
          <w:noProof/>
        </w:rPr>
        <w:t xml:space="preserve">UE va depune eforturi pentru a menține impulsul politic pentru tranziția curată la nivel mondial la toate nivelurile. Un aspect esențial în acest sens este </w:t>
      </w:r>
      <w:r>
        <w:rPr>
          <w:b/>
          <w:bCs/>
          <w:noProof/>
        </w:rPr>
        <w:t>angajamentul nostru de neclintit față de multilateralism</w:t>
      </w:r>
      <w:r>
        <w:rPr>
          <w:noProof/>
        </w:rPr>
        <w:t xml:space="preserve"> și o ordine internațională bazată pe norme, precum și sprijinul pentru structuri instituționale consolidate care să poată răspunde mai bine noilor realități. Obligațiile statelor de a coopera și de a lua măsuri colective și ambițioase în domeniul climei au fost reafirmate recent prin avizul consultativ al Curții Internaționale de Justiție.</w:t>
      </w:r>
    </w:p>
    <w:p w14:paraId="7A6412AB" w14:textId="77777777" w:rsidR="006D46BC" w:rsidRDefault="006D46BC" w:rsidP="006D46BC">
      <w:pPr>
        <w:pStyle w:val="Text1"/>
        <w:spacing w:after="160"/>
        <w:ind w:left="0"/>
        <w:rPr>
          <w:noProof/>
        </w:rPr>
      </w:pPr>
      <w:r>
        <w:rPr>
          <w:b/>
          <w:bCs/>
          <w:noProof/>
        </w:rPr>
        <w:t>Acordul de la Paris</w:t>
      </w:r>
      <w:r>
        <w:rPr>
          <w:noProof/>
        </w:rPr>
        <w:t xml:space="preserve"> este în prezent pe deplin operațional, iar acțiunile climatice multilaterale au adus o schimbare clară. Cu toate acestea, există în continuare decalaje între ambiția colectivă și punerea în aplicare concretă. </w:t>
      </w:r>
      <w:bookmarkStart w:id="7" w:name="_Hlk210672607"/>
      <w:r>
        <w:rPr>
          <w:noProof/>
        </w:rPr>
        <w:t xml:space="preserve">UE va continua să colaboreze cu aliații și partenerii săi în cadrul </w:t>
      </w:r>
      <w:r>
        <w:rPr>
          <w:b/>
          <w:bCs/>
          <w:noProof/>
        </w:rPr>
        <w:t>Convenției-cadru a Națiunilor Unite asupra schimbărilor climatice</w:t>
      </w:r>
      <w:r>
        <w:rPr>
          <w:noProof/>
        </w:rPr>
        <w:t xml:space="preserve"> (CCONUSC), precum și prin intermediul forurilor și inițiativelor </w:t>
      </w:r>
      <w:r>
        <w:rPr>
          <w:b/>
          <w:bCs/>
          <w:noProof/>
        </w:rPr>
        <w:t xml:space="preserve">plurilaterale </w:t>
      </w:r>
      <w:r>
        <w:rPr>
          <w:noProof/>
        </w:rPr>
        <w:t xml:space="preserve">și </w:t>
      </w:r>
      <w:r>
        <w:rPr>
          <w:b/>
          <w:bCs/>
          <w:noProof/>
        </w:rPr>
        <w:t>bilaterale</w:t>
      </w:r>
      <w:r>
        <w:rPr>
          <w:noProof/>
        </w:rPr>
        <w:t>, pentru a pune în aplicare rezultatele primei evaluări la nivel mondial în temeiul Acordului de la Paris și pentru a stabili și a pune în aplicare planuri ambițioase de acțiune în domeniul climei. UE va sprijini, de asemenea, acțiuni menite să sporească eficiența procesului multilateral privind clima în vederea realizării de progrese în ceea ce privește obiectivele climatice globale.</w:t>
      </w:r>
    </w:p>
    <w:bookmarkEnd w:id="7"/>
    <w:p w14:paraId="6C2D1BDD" w14:textId="77777777" w:rsidR="006D46BC" w:rsidRDefault="006D46BC" w:rsidP="006D46BC">
      <w:pPr>
        <w:pStyle w:val="Text1"/>
        <w:spacing w:after="160"/>
        <w:ind w:left="0"/>
        <w:rPr>
          <w:noProof/>
        </w:rPr>
      </w:pPr>
      <w:r>
        <w:rPr>
          <w:noProof/>
        </w:rPr>
        <w:t xml:space="preserve">UE va urmări aceste obiective în cadrul </w:t>
      </w:r>
      <w:r>
        <w:rPr>
          <w:b/>
          <w:bCs/>
          <w:noProof/>
        </w:rPr>
        <w:t>G7</w:t>
      </w:r>
      <w:r>
        <w:rPr>
          <w:noProof/>
        </w:rPr>
        <w:t xml:space="preserve"> și </w:t>
      </w:r>
      <w:r>
        <w:rPr>
          <w:b/>
          <w:bCs/>
          <w:noProof/>
        </w:rPr>
        <w:t>G20</w:t>
      </w:r>
      <w:r>
        <w:rPr>
          <w:noProof/>
        </w:rPr>
        <w:t xml:space="preserve"> și va continua să pledeze pentru o tranziție realizată în mod ordonat și just prin care să se renunțe la combustibilii fosili, cu sprijinul </w:t>
      </w:r>
      <w:r>
        <w:rPr>
          <w:b/>
          <w:bCs/>
          <w:noProof/>
        </w:rPr>
        <w:t>Agenției Internaționale a Energiei</w:t>
      </w:r>
      <w:r>
        <w:rPr>
          <w:noProof/>
        </w:rPr>
        <w:t xml:space="preserve"> (AIE) și al </w:t>
      </w:r>
      <w:r>
        <w:rPr>
          <w:b/>
          <w:bCs/>
          <w:noProof/>
        </w:rPr>
        <w:t>Agenției Internaționale pentru Energie Regenerabilă</w:t>
      </w:r>
      <w:r>
        <w:rPr>
          <w:noProof/>
        </w:rPr>
        <w:t xml:space="preserve"> (IRENA). Prin intermediul </w:t>
      </w:r>
      <w:r>
        <w:rPr>
          <w:b/>
          <w:bCs/>
          <w:noProof/>
        </w:rPr>
        <w:t>Forumului mondial privind tranziția energetică</w:t>
      </w:r>
      <w:r>
        <w:rPr>
          <w:noProof/>
        </w:rPr>
        <w:t xml:space="preserve">, UE va continua să reunească lideri politici și de afaceri pentru a accelera colaborarea cu țările partenere în vederea triplării capacității mondiale de energie din surse regenerabile și a dublării îmbunătățirilor în materie de eficiență energetică până în 2030. Alte acțiuni includ colaborarea cu partenerii în ceea ce privește măsurile climatice legate de comerț în cadrul </w:t>
      </w:r>
      <w:r>
        <w:rPr>
          <w:b/>
          <w:bCs/>
          <w:noProof/>
        </w:rPr>
        <w:t>OMC</w:t>
      </w:r>
      <w:r>
        <w:rPr>
          <w:noProof/>
        </w:rPr>
        <w:t xml:space="preserve">, implicarea în </w:t>
      </w:r>
      <w:r>
        <w:rPr>
          <w:b/>
          <w:bCs/>
          <w:noProof/>
        </w:rPr>
        <w:t>Coaliția miniștrilor comerțului privind schimbările climatice</w:t>
      </w:r>
      <w:r>
        <w:rPr>
          <w:noProof/>
        </w:rPr>
        <w:t xml:space="preserve"> și participarea activă la inițiativa plurilaterală privind reforma subvențiilor pentru combustibilii fosili și la exercițiul de transparență „Coaliția de voință” al </w:t>
      </w:r>
      <w:r>
        <w:rPr>
          <w:b/>
          <w:bCs/>
          <w:noProof/>
        </w:rPr>
        <w:t>OCDE</w:t>
      </w:r>
      <w:r>
        <w:rPr>
          <w:noProof/>
        </w:rPr>
        <w:t>.</w:t>
      </w:r>
    </w:p>
    <w:p w14:paraId="1992D3DD" w14:textId="32368F28" w:rsidR="006D46BC" w:rsidRDefault="006D46BC" w:rsidP="006D46BC">
      <w:pPr>
        <w:pStyle w:val="Text1"/>
        <w:spacing w:after="160"/>
        <w:ind w:left="0"/>
        <w:rPr>
          <w:noProof/>
        </w:rPr>
      </w:pPr>
      <w:r>
        <w:rPr>
          <w:noProof/>
        </w:rPr>
        <w:t xml:space="preserve">UE va depune eforturi pentru a accelera implementarea tehnologiilor cu emisii zero și cu emisii scăzute în industriile și în sectoarele cu emisii greu de redus, inclusiv în cadrul G7, al </w:t>
      </w:r>
      <w:r>
        <w:rPr>
          <w:b/>
          <w:bCs/>
          <w:noProof/>
        </w:rPr>
        <w:t>Clubului pentru climă</w:t>
      </w:r>
      <w:r>
        <w:rPr>
          <w:noProof/>
        </w:rPr>
        <w:t xml:space="preserve">, al </w:t>
      </w:r>
      <w:r>
        <w:rPr>
          <w:b/>
          <w:bCs/>
          <w:noProof/>
        </w:rPr>
        <w:t>Forumului incluziv</w:t>
      </w:r>
      <w:r>
        <w:rPr>
          <w:noProof/>
        </w:rPr>
        <w:t xml:space="preserve"> al OCDE </w:t>
      </w:r>
      <w:r>
        <w:rPr>
          <w:b/>
          <w:bCs/>
          <w:noProof/>
        </w:rPr>
        <w:t>privind abordările de atenuare a schimbărilor climatice</w:t>
      </w:r>
      <w:r>
        <w:rPr>
          <w:noProof/>
        </w:rPr>
        <w:t xml:space="preserve">, precum și în cadrul </w:t>
      </w:r>
      <w:r>
        <w:rPr>
          <w:b/>
          <w:bCs/>
          <w:noProof/>
        </w:rPr>
        <w:t>Conferinței ministeriale privind energia curată</w:t>
      </w:r>
      <w:r>
        <w:rPr>
          <w:noProof/>
        </w:rPr>
        <w:t xml:space="preserve"> și al </w:t>
      </w:r>
      <w:r>
        <w:rPr>
          <w:b/>
          <w:bCs/>
          <w:noProof/>
        </w:rPr>
        <w:t>„Misiunii inovare”</w:t>
      </w:r>
      <w:r>
        <w:rPr>
          <w:noProof/>
        </w:rPr>
        <w:t xml:space="preserve">. UE va impulsiona procesele de decarbonizare a transportului internațional în cadrul </w:t>
      </w:r>
      <w:r>
        <w:rPr>
          <w:b/>
          <w:bCs/>
          <w:noProof/>
        </w:rPr>
        <w:t>Organizației Aviației Civile Internaționale</w:t>
      </w:r>
      <w:r>
        <w:rPr>
          <w:noProof/>
        </w:rPr>
        <w:t xml:space="preserve"> și al </w:t>
      </w:r>
      <w:r>
        <w:rPr>
          <w:b/>
          <w:bCs/>
          <w:noProof/>
        </w:rPr>
        <w:t>Organizației Maritime Internaționale</w:t>
      </w:r>
      <w:r>
        <w:rPr>
          <w:noProof/>
        </w:rPr>
        <w:t>, inclusiv prin sprijinirea cadrului său „zero net”, și va promova în mod activ depunerea unor eforturi la nivel mondial pentru promovarea combustibililor din surse regenerabile și cu emisii scăzute de dioxid de carbon în transportul maritim și aerian. De asemenea, vom continua acțiunile de atenuare a altor emisii decât cele de CO</w:t>
      </w:r>
      <w:r>
        <w:rPr>
          <w:noProof/>
          <w:vertAlign w:val="subscript"/>
        </w:rPr>
        <w:t>2</w:t>
      </w:r>
      <w:r>
        <w:rPr>
          <w:noProof/>
        </w:rPr>
        <w:t xml:space="preserve">, inclusiv prin coordonarea în comun a </w:t>
      </w:r>
      <w:r>
        <w:rPr>
          <w:b/>
          <w:bCs/>
          <w:noProof/>
        </w:rPr>
        <w:t>Angajamentului mondial referitor la metan</w:t>
      </w:r>
      <w:r>
        <w:rPr>
          <w:noProof/>
        </w:rPr>
        <w:t xml:space="preserve"> și prin punerea în aplicare a </w:t>
      </w:r>
      <w:r>
        <w:rPr>
          <w:b/>
          <w:bCs/>
          <w:noProof/>
        </w:rPr>
        <w:t>Protocolului de la Montreal</w:t>
      </w:r>
      <w:r>
        <w:rPr>
          <w:noProof/>
        </w:rPr>
        <w:t xml:space="preserve"> privind substanțele care epuizează stratul de ozon. În același timp, UE va continua acțiunile de promovare a altor acorduri multilaterale pentru a aborda într-un mod integrat pierderea biodiversității, deșertificarea și poluarea și pentru a sprijini acțiunile privind aspectele transversale prin inițiative multilaterale de protecție a mediului, cum ar fi cele privind apa și pădurile, precum și pentru a promova </w:t>
      </w:r>
      <w:r>
        <w:rPr>
          <w:b/>
          <w:bCs/>
          <w:noProof/>
        </w:rPr>
        <w:t>serviciile ecosistemice și soluțiile bazate pe natură</w:t>
      </w:r>
      <w:r>
        <w:rPr>
          <w:noProof/>
        </w:rPr>
        <w:t xml:space="preserve">. </w:t>
      </w:r>
    </w:p>
    <w:p w14:paraId="30D69263" w14:textId="721EC2D3" w:rsidR="006D46BC" w:rsidRDefault="006D46BC" w:rsidP="006D46BC">
      <w:pPr>
        <w:pStyle w:val="Text1"/>
        <w:spacing w:after="160"/>
        <w:ind w:left="0"/>
        <w:rPr>
          <w:noProof/>
        </w:rPr>
      </w:pPr>
      <w:r>
        <w:rPr>
          <w:noProof/>
        </w:rPr>
        <w:t xml:space="preserve">Accelerarea tranziției curate, adaptarea și consolidarea rezilienței în țările partenere contribuie la reducerea costurilor insecurității. Aceasta este o parte esențială a abordării UE. UE se angajează să consolideze acțiunile care abordează legătura dintre </w:t>
      </w:r>
      <w:r>
        <w:rPr>
          <w:b/>
          <w:bCs/>
          <w:noProof/>
        </w:rPr>
        <w:t>schimbările climatice, degradarea mediului și securitatea și reziliența</w:t>
      </w:r>
      <w:r>
        <w:rPr>
          <w:noProof/>
        </w:rPr>
        <w:t xml:space="preserve"> prin angajamente multilaterale (ONU și NATO) și bilaterale (prin parteneriate și dialoguri în materie de securitate și apărare) și va pune în aplicare acțiunile prevăzute în </w:t>
      </w:r>
      <w:r>
        <w:rPr>
          <w:b/>
          <w:noProof/>
        </w:rPr>
        <w:t>Comunicarea comună din 2023 privind legătura dintre climă și securitate</w:t>
      </w:r>
      <w:r>
        <w:rPr>
          <w:noProof/>
        </w:rPr>
        <w:t>. De asemenea, UE va colabora cu partenerii săi pentru a aborda riscurile de securitate și de mediu generate de navele care nu corespund standardelor și practicile de navigație riscante.</w:t>
      </w:r>
    </w:p>
    <w:p w14:paraId="32BAB649" w14:textId="77777777" w:rsidR="006D46BC" w:rsidRDefault="006D46BC" w:rsidP="006D46BC">
      <w:pPr>
        <w:pStyle w:val="Text1"/>
        <w:spacing w:after="160"/>
        <w:ind w:left="0"/>
        <w:rPr>
          <w:noProof/>
        </w:rPr>
      </w:pPr>
      <w:r>
        <w:rPr>
          <w:noProof/>
        </w:rPr>
        <w:t xml:space="preserve">UE va continua să colaboreze cu alianțele mondiale și regionale pentru a urmări îndeplinirea obiectivelor climatice și industriale. Vom continua să sprijinim alianțele interguvernamentale și multipartite care urmăresc să promoveze obiectivele pe termen lung ale tranziției energetice, cum ar fi </w:t>
      </w:r>
      <w:r>
        <w:rPr>
          <w:b/>
          <w:bCs/>
          <w:noProof/>
        </w:rPr>
        <w:t>Alianța internațională pentru energia solară</w:t>
      </w:r>
      <w:r>
        <w:rPr>
          <w:noProof/>
        </w:rPr>
        <w:t xml:space="preserve">, </w:t>
      </w:r>
      <w:r>
        <w:rPr>
          <w:b/>
          <w:bCs/>
          <w:noProof/>
        </w:rPr>
        <w:t>Alianța mondială privind energia eoliană offshore</w:t>
      </w:r>
      <w:r>
        <w:rPr>
          <w:noProof/>
        </w:rPr>
        <w:t xml:space="preserve">, </w:t>
      </w:r>
      <w:r>
        <w:rPr>
          <w:b/>
          <w:bCs/>
          <w:noProof/>
        </w:rPr>
        <w:t>„Beyond Oil and Gas Alliance”</w:t>
      </w:r>
      <w:r>
        <w:rPr>
          <w:noProof/>
        </w:rPr>
        <w:t xml:space="preserve"> și </w:t>
      </w:r>
      <w:r>
        <w:rPr>
          <w:b/>
          <w:bCs/>
          <w:noProof/>
        </w:rPr>
        <w:t>„Powering Past Coal Alliance”</w:t>
      </w:r>
      <w:r>
        <w:rPr>
          <w:noProof/>
        </w:rPr>
        <w:t>.</w:t>
      </w:r>
    </w:p>
    <w:p w14:paraId="3FEFCB96" w14:textId="77777777" w:rsidR="006D46BC" w:rsidRDefault="006D46BC" w:rsidP="00D15578">
      <w:pPr>
        <w:pStyle w:val="Heading1"/>
        <w:numPr>
          <w:ilvl w:val="1"/>
          <w:numId w:val="1"/>
        </w:numPr>
        <w:spacing w:after="120" w:line="240" w:lineRule="auto"/>
        <w:ind w:left="788" w:hanging="431"/>
        <w:rPr>
          <w:rStyle w:val="normaltextrun"/>
          <w:rFonts w:ascii="Times New Roman Bold" w:eastAsiaTheme="minorEastAsia" w:hAnsi="Times New Roman Bold" w:cs="Times New Roman"/>
          <w:b/>
          <w:noProof/>
          <w:color w:val="auto"/>
          <w:sz w:val="24"/>
          <w:szCs w:val="24"/>
        </w:rPr>
      </w:pPr>
      <w:r>
        <w:rPr>
          <w:rStyle w:val="normaltextrun"/>
          <w:rFonts w:ascii="Times New Roman Bold" w:hAnsi="Times New Roman Bold"/>
          <w:b/>
          <w:noProof/>
          <w:color w:val="auto"/>
          <w:sz w:val="24"/>
        </w:rPr>
        <w:t>Cooperarea în materie de politici și reglementare</w:t>
      </w:r>
    </w:p>
    <w:p w14:paraId="6D6214C1" w14:textId="77777777" w:rsidR="006D46BC" w:rsidRDefault="006D46BC" w:rsidP="006D46BC">
      <w:pPr>
        <w:pStyle w:val="Text1"/>
        <w:spacing w:after="120"/>
        <w:ind w:left="0"/>
        <w:rPr>
          <w:noProof/>
        </w:rPr>
      </w:pPr>
      <w:r>
        <w:rPr>
          <w:b/>
          <w:bCs/>
          <w:noProof/>
        </w:rPr>
        <w:t>Cooperarea în materie de politici și reglementare</w:t>
      </w:r>
      <w:r>
        <w:rPr>
          <w:noProof/>
        </w:rPr>
        <w:t xml:space="preserve"> este esențială pentru a sprijini țările partenere în elaborarea și punerea în aplicare a unor politici eficace în domeniul climei, al energiei și al industriei. UE adoptă o abordare sistemică privind cooperarea cu țările partenere, care acoperă transformarea industrială, tranzițiile energetice, reducerea emisiilor și a poluării, adaptarea și reziliența, precum și securitatea nucleară, completate de cercetare și inovare, digitalizare și de finanțarea durabilă. </w:t>
      </w:r>
    </w:p>
    <w:p w14:paraId="66C31317" w14:textId="77777777" w:rsidR="006D46BC" w:rsidRPr="0034579F" w:rsidRDefault="006D46BC" w:rsidP="006D46BC">
      <w:pPr>
        <w:pStyle w:val="Text1"/>
        <w:spacing w:after="120"/>
        <w:ind w:left="0"/>
        <w:rPr>
          <w:noProof/>
        </w:rPr>
      </w:pPr>
      <w:r>
        <w:rPr>
          <w:noProof/>
        </w:rPr>
        <w:t xml:space="preserve">Pentru a promova această abordare, UE stimulează schimburile de politici, de reglementări și de cunoștințe, oferă asistență tehnică în cadrul </w:t>
      </w:r>
      <w:r>
        <w:rPr>
          <w:b/>
          <w:bCs/>
          <w:noProof/>
        </w:rPr>
        <w:t>dialogurilor bilaterale la nivel înalt privind energia și clima</w:t>
      </w:r>
      <w:r>
        <w:rPr>
          <w:noProof/>
        </w:rPr>
        <w:t xml:space="preserve"> și mobilizează expertiza sectorului public din UE pentru a sprijini procesele de reformă din întreaga lume. Vom continua să colaborăm cu alți parteneri pentru a asigura cadre de reglementare coordonate, inclusiv prin intermediul </w:t>
      </w:r>
      <w:r>
        <w:rPr>
          <w:b/>
          <w:bCs/>
          <w:noProof/>
        </w:rPr>
        <w:t>alianțelor verzi</w:t>
      </w:r>
      <w:r>
        <w:rPr>
          <w:noProof/>
        </w:rPr>
        <w:t xml:space="preserve"> (cu Japonia, Canada, Norvegia), </w:t>
      </w:r>
      <w:r>
        <w:rPr>
          <w:b/>
          <w:bCs/>
          <w:noProof/>
        </w:rPr>
        <w:t>al parteneriatelor verzi</w:t>
      </w:r>
      <w:r>
        <w:rPr>
          <w:noProof/>
        </w:rPr>
        <w:t xml:space="preserve"> (cu Republica Coreea, Maroc) și al planurilor lor de acțiune comune, precum și prin alte inițiative sectoriale. De asemenea, vom continua să colaborăm cu autoritățile subnaționale în cadrul </w:t>
      </w:r>
      <w:r>
        <w:rPr>
          <w:b/>
          <w:bCs/>
          <w:noProof/>
        </w:rPr>
        <w:t>Convenției globale a primarilor pentru climă și energie</w:t>
      </w:r>
      <w:r>
        <w:rPr>
          <w:noProof/>
        </w:rPr>
        <w:t xml:space="preserve"> pentru a pune în aplicare proiecte concrete și pentru a face schimb de bune practici.</w:t>
      </w:r>
    </w:p>
    <w:p w14:paraId="64C0579C" w14:textId="3AFAB557" w:rsidR="006D46BC" w:rsidRDefault="006D46BC" w:rsidP="0034579F">
      <w:pPr>
        <w:pStyle w:val="Text1"/>
        <w:spacing w:after="120"/>
        <w:ind w:left="0"/>
        <w:rPr>
          <w:noProof/>
        </w:rPr>
      </w:pPr>
      <w:r>
        <w:rPr>
          <w:b/>
          <w:bCs/>
          <w:noProof/>
        </w:rPr>
        <w:t>Stabilirea prețului carbonului</w:t>
      </w:r>
      <w:r>
        <w:rPr>
          <w:noProof/>
        </w:rPr>
        <w:t xml:space="preserve"> este un element central al setului de instrumente al UE privind politica în domeniul climei. </w:t>
      </w:r>
      <w:bookmarkStart w:id="8" w:name="_Hlk207793967"/>
      <w:r>
        <w:rPr>
          <w:noProof/>
        </w:rPr>
        <w:t>Aceasta este</w:t>
      </w:r>
      <w:bookmarkEnd w:id="8"/>
      <w:r>
        <w:rPr>
          <w:noProof/>
        </w:rPr>
        <w:t xml:space="preserve"> una dintre cele mai rentabile modalități de a reduce emisiile, de a promova inovarea și de a genera venituri pentru finanțarea tranziției. Adoptarea și extinderea recentă a politicilor de stabilire a prețului carbonului de către economii importante, cum ar fi China, Japonia și Brazilia, confirmă faptul că această politică este esențială pentru atingerea obiectivelor climatice globale</w:t>
      </w:r>
      <w:r>
        <w:rPr>
          <w:rStyle w:val="FootnoteReference"/>
          <w:noProof/>
          <w:lang w:val="en-IE"/>
        </w:rPr>
        <w:footnoteReference w:id="23"/>
      </w:r>
      <w:r>
        <w:rPr>
          <w:noProof/>
        </w:rPr>
        <w:t xml:space="preserve">. Având în vedere creșterea considerabilă a numărului țărilor din întreaga lume care introduc stabilirea prețului carbonului, </w:t>
      </w:r>
      <w:r>
        <w:rPr>
          <w:b/>
          <w:bCs/>
          <w:noProof/>
        </w:rPr>
        <w:t>Grupul operativ</w:t>
      </w:r>
      <w:r>
        <w:rPr>
          <w:noProof/>
        </w:rPr>
        <w:t xml:space="preserve"> al Comisiei Europene privind stabilirea prețului carbonului sprijină alte țări în elaborarea unor politici solide și în asigurarea unor abordări cu o integritate ridicată în materie de mediu pe piețele internaționale ale carbonului. UE va continua să sprijine schimbul de cunoștințe în acest domeniu prin intermediul memorandumurilor de înțelegere privind schemele de comercializare a certificatelor de emisii și va coordona </w:t>
      </w:r>
      <w:r>
        <w:rPr>
          <w:b/>
          <w:bCs/>
          <w:noProof/>
        </w:rPr>
        <w:t>Procesul de la Florența</w:t>
      </w:r>
      <w:r>
        <w:rPr>
          <w:noProof/>
        </w:rPr>
        <w:t xml:space="preserve"> pentru jurisdicțiile-cheie cu programe de comercializare a certificatelor de emisii. În plus, Mecanismul de ajustare a carbonului la frontieră oferă un semnal transparent și bazat pe norme privind prețul carbonului pentru importurile pe piața UE, evitând relocarea emisiilor de dioxid de carbon și, prin urmare, stimulând decarbonizarea în afara Europei.</w:t>
      </w:r>
    </w:p>
    <w:p w14:paraId="41EDD7FC" w14:textId="25A14FB1" w:rsidR="006D46BC" w:rsidRDefault="006D46BC" w:rsidP="006D46BC">
      <w:pPr>
        <w:pStyle w:val="Text1"/>
        <w:spacing w:after="160"/>
        <w:ind w:left="0"/>
        <w:rPr>
          <w:rFonts w:eastAsiaTheme="minorEastAsia" w:hAnsi="Arial" w:cs="Arial"/>
          <w:noProof/>
          <w:color w:val="000000"/>
          <w:shd w:val="clear" w:color="auto" w:fill="FFFFFF"/>
        </w:rPr>
      </w:pPr>
      <w:bookmarkStart w:id="9" w:name="_Hlk210640997"/>
      <w:r>
        <w:rPr>
          <w:noProof/>
        </w:rPr>
        <w:t xml:space="preserve">De asemenea, UE va continua să colaboreze în mod proactiv cu țările partenere pentru a îmbunătăți coerența între politicile interne și externe ale UE. Vom adopta o abordare detaliată în ceea ce privește evaluarea impactului transfrontalier potențial al noii legislații a UE. Ne vom baza pe succesele strategiei „Global Gateway”. Instituind în comun parteneriate reciproc avantajoase, vom asculta nevoile acestor țări, inclusiv în domeniul decarbonizării (a se vedea punctul 3.5 de mai jos). În timp ce mecanismul de ajustare a carbonului la frontieră intră treptat în vigoare, intenționăm să maximizăm contribuția instrumentului „Europa globală” la nevoile de decarbonizare și de adaptare ale țărilor în curs de dezvoltare, în conformitate cu ținta pentru cheltuieli de 30 % pentru climă și mediu stabilită în cadrul instrumentului. </w:t>
      </w:r>
      <w:r>
        <w:rPr>
          <w:rFonts w:hAnsi="Arial"/>
          <w:noProof/>
          <w:color w:val="000000"/>
          <w:shd w:val="clear" w:color="auto" w:fill="FFFFFF"/>
        </w:rPr>
        <w:t>Acest lucru ar contribui la atenuarea preocup</w:t>
      </w:r>
      <w:r>
        <w:rPr>
          <w:rFonts w:hAnsi="Arial"/>
          <w:noProof/>
          <w:color w:val="000000"/>
          <w:shd w:val="clear" w:color="auto" w:fill="FFFFFF"/>
        </w:rPr>
        <w:t>ă</w:t>
      </w:r>
      <w:r>
        <w:rPr>
          <w:rFonts w:hAnsi="Arial"/>
          <w:noProof/>
          <w:color w:val="000000"/>
          <w:shd w:val="clear" w:color="auto" w:fill="FFFFFF"/>
        </w:rPr>
        <w:t>rilor exprimate cu privire la legisla</w:t>
      </w:r>
      <w:r>
        <w:rPr>
          <w:rFonts w:hAnsi="Arial"/>
          <w:noProof/>
          <w:color w:val="000000"/>
          <w:shd w:val="clear" w:color="auto" w:fill="FFFFFF"/>
        </w:rPr>
        <w:t>ț</w:t>
      </w:r>
      <w:r>
        <w:rPr>
          <w:rFonts w:hAnsi="Arial"/>
          <w:noProof/>
          <w:color w:val="000000"/>
          <w:shd w:val="clear" w:color="auto" w:fill="FFFFFF"/>
        </w:rPr>
        <w:t xml:space="preserve">ia UE, precum </w:t>
      </w:r>
      <w:r>
        <w:rPr>
          <w:rFonts w:hAnsi="Arial"/>
          <w:noProof/>
          <w:color w:val="000000"/>
          <w:shd w:val="clear" w:color="auto" w:fill="FFFFFF"/>
        </w:rPr>
        <w:t>ș</w:t>
      </w:r>
      <w:r>
        <w:rPr>
          <w:rFonts w:hAnsi="Arial"/>
          <w:noProof/>
          <w:color w:val="000000"/>
          <w:shd w:val="clear" w:color="auto" w:fill="FFFFFF"/>
        </w:rPr>
        <w:t>i la</w:t>
      </w:r>
      <w:r>
        <w:rPr>
          <w:noProof/>
        </w:rPr>
        <w:t xml:space="preserve"> consolidarea parteneriatelor și la sprijinirea unor reforme mai ample în materie de reglementare.</w:t>
      </w:r>
      <w:r>
        <w:rPr>
          <w:b/>
          <w:noProof/>
        </w:rPr>
        <w:t xml:space="preserve"> </w:t>
      </w:r>
      <w:r>
        <w:rPr>
          <w:noProof/>
        </w:rPr>
        <w:t xml:space="preserve">În acest scop, vom face apel, de asemenea, la expertiza statelor membre ale UE, precum și la utilizarea specifică a </w:t>
      </w:r>
      <w:r>
        <w:rPr>
          <w:b/>
          <w:bCs/>
          <w:noProof/>
        </w:rPr>
        <w:t>asistenței tehnice și a schimbului de informații (TAIEX)</w:t>
      </w:r>
      <w:r>
        <w:rPr>
          <w:noProof/>
        </w:rPr>
        <w:t xml:space="preserve"> pentru tranziția curată.</w:t>
      </w:r>
    </w:p>
    <w:bookmarkEnd w:id="9"/>
    <w:p w14:paraId="5C83AFFE" w14:textId="77777777" w:rsidR="006D46BC" w:rsidRPr="00892408" w:rsidRDefault="006D46BC" w:rsidP="006D46BC">
      <w:pPr>
        <w:pStyle w:val="Text1"/>
        <w:spacing w:after="120"/>
        <w:ind w:left="0"/>
        <w:rPr>
          <w:noProof/>
        </w:rPr>
      </w:pPr>
      <w:r>
        <w:rPr>
          <w:noProof/>
        </w:rPr>
        <w:t xml:space="preserve">Cooperarea internațională privind </w:t>
      </w:r>
      <w:r>
        <w:rPr>
          <w:b/>
          <w:bCs/>
          <w:noProof/>
        </w:rPr>
        <w:t>standardizarea</w:t>
      </w:r>
      <w:r>
        <w:rPr>
          <w:noProof/>
        </w:rPr>
        <w:t xml:space="preserve"> în domeniul tehnologiilor durabile și eficiente din punctul de vedere al utilizării resurselor reprezintă, de asemenea, o parte esențială a activității de promovare a unei piețe mondiale prospere a tehnologiilor curate, deblocând în același timp investițiile și reducând costurile. În acest scop, UE va continua să se implice activ în </w:t>
      </w:r>
      <w:r>
        <w:rPr>
          <w:b/>
          <w:bCs/>
          <w:noProof/>
        </w:rPr>
        <w:t>organizațiile de standardizare internaționale</w:t>
      </w:r>
      <w:r>
        <w:rPr>
          <w:noProof/>
        </w:rPr>
        <w:t xml:space="preserve"> relevante. Acest lucru va sprijini extinderea piețelor-lider pentru produse și tehnologii curate în întreaga lume, creând oportunități de export și de investiții pentru întreprinderile din UE și îmbunătățind oportunitățile de acces la piețele UE pentru țările partenere.</w:t>
      </w:r>
    </w:p>
    <w:p w14:paraId="43038E1F" w14:textId="77777777" w:rsidR="006D46BC" w:rsidRDefault="006D46BC" w:rsidP="00D15578">
      <w:pPr>
        <w:pStyle w:val="Heading1"/>
        <w:keepNext/>
        <w:numPr>
          <w:ilvl w:val="1"/>
          <w:numId w:val="1"/>
        </w:numPr>
        <w:spacing w:after="120" w:line="240" w:lineRule="auto"/>
        <w:ind w:left="788" w:hanging="431"/>
        <w:rPr>
          <w:rFonts w:ascii="Times New Roman Bold" w:eastAsiaTheme="minorEastAsia" w:hAnsi="Times New Roman Bold" w:cs="Times New Roman"/>
          <w:b/>
          <w:noProof/>
          <w:color w:val="auto"/>
          <w:sz w:val="24"/>
          <w:szCs w:val="24"/>
        </w:rPr>
      </w:pPr>
      <w:r>
        <w:rPr>
          <w:rFonts w:ascii="Times New Roman Bold" w:hAnsi="Times New Roman Bold"/>
          <w:b/>
          <w:noProof/>
          <w:color w:val="auto"/>
          <w:sz w:val="24"/>
        </w:rPr>
        <w:t xml:space="preserve">Combaterea tentativelor de manipulare a informațiilor </w:t>
      </w:r>
    </w:p>
    <w:p w14:paraId="7A7015D9" w14:textId="77777777" w:rsidR="006D46BC" w:rsidRDefault="006D46BC" w:rsidP="006D46BC">
      <w:pPr>
        <w:pStyle w:val="Text1"/>
        <w:ind w:left="0"/>
        <w:rPr>
          <w:noProof/>
        </w:rPr>
      </w:pPr>
      <w:r>
        <w:rPr>
          <w:noProof/>
        </w:rPr>
        <w:t xml:space="preserve">Pe măsură ce Uniunea Europeană își consolidează competitivitatea și securitatea cu ajutorul tranziției curate, actorii ostili manipulează în mod intenționat și intervin în spațiul informațional mondial, atât în știință, cât și în politică. </w:t>
      </w:r>
    </w:p>
    <w:p w14:paraId="390316D3" w14:textId="77777777" w:rsidR="006D46BC" w:rsidRDefault="006D46BC" w:rsidP="006D46BC">
      <w:pPr>
        <w:pStyle w:val="Text1"/>
        <w:ind w:left="0"/>
        <w:rPr>
          <w:noProof/>
        </w:rPr>
      </w:pPr>
      <w:r>
        <w:rPr>
          <w:noProof/>
        </w:rPr>
        <w:t xml:space="preserve">Acești actori încearcă să descrie în mod fals energia din surse regenerabile ca fiind un eșec, iar politicile în materie de energie și climă ale UE și sancțiunile UE aplicate energiei rusești ca fiind lipsite de viziune, dăunătoare și ineficiente. Pentru a combate dezinformarea și informarea greșită este esențial, fără îndoială, să se asigure o cercetare solidă în domeniul climei și al energiei, precum și să se disemineze public datele și cunoștințele:  fiind unul dintre cei mai mari finanțatori mondiali ai cercetării în domeniul climei și al energiei, UE se află într-o poziție unică pentru a continua să facă acest lucru. </w:t>
      </w:r>
    </w:p>
    <w:p w14:paraId="468F7332" w14:textId="77777777" w:rsidR="006D46BC" w:rsidRDefault="006D46BC" w:rsidP="006D46BC">
      <w:pPr>
        <w:pStyle w:val="Text1"/>
        <w:ind w:left="0"/>
        <w:rPr>
          <w:noProof/>
        </w:rPr>
      </w:pPr>
      <w:r>
        <w:rPr>
          <w:noProof/>
        </w:rPr>
        <w:t xml:space="preserve">UE monitorizează și analizează aceste </w:t>
      </w:r>
      <w:r>
        <w:rPr>
          <w:b/>
          <w:bCs/>
          <w:noProof/>
        </w:rPr>
        <w:t>acțiuni străine de manipulare a informațiilor și ingerințe străine</w:t>
      </w:r>
      <w:r>
        <w:rPr>
          <w:noProof/>
        </w:rPr>
        <w:t xml:space="preserve"> legate de climă, sensibilizează publicul cu privire la această chestiune, promovează informații bazate pe fapte și sprijină mass-media independentă și inițiativele de verificare a informațiilor. UE </w:t>
      </w:r>
      <w:r>
        <w:rPr>
          <w:b/>
          <w:bCs/>
          <w:noProof/>
        </w:rPr>
        <w:t>va continua</w:t>
      </w:r>
      <w:r>
        <w:rPr>
          <w:noProof/>
        </w:rPr>
        <w:t xml:space="preserve"> să combată </w:t>
      </w:r>
      <w:r>
        <w:rPr>
          <w:b/>
          <w:bCs/>
          <w:noProof/>
        </w:rPr>
        <w:t>orice dezinformare și orice acțiune străină de manipulare a informațiilor și ingerință străină legată de climă</w:t>
      </w:r>
      <w:r>
        <w:rPr>
          <w:noProof/>
        </w:rPr>
        <w:t xml:space="preserve"> care încearcă să încetinească tranziția energetică și acțiunile climatice la nivel mondial. UE își va dubla eforturile de combatere a acțiunilor străine de manipulare a informațiilor și a ingerințelor străine prin expunerea și perturbarea acestora, oferind diplomaților UE competențele și know-how-ul necesare pentru a respinge acțiunile străine de manipulare a informațiilor și ingerințele străine legate de climă la nivel mondial și promovând informațiile bazate pe fapte.</w:t>
      </w:r>
    </w:p>
    <w:p w14:paraId="08431724" w14:textId="77777777" w:rsidR="006D46BC" w:rsidRDefault="006D46BC" w:rsidP="006D46BC">
      <w:pPr>
        <w:pStyle w:val="Text1"/>
        <w:ind w:left="0"/>
        <w:rPr>
          <w:noProof/>
        </w:rPr>
      </w:pPr>
      <w:r>
        <w:rPr>
          <w:noProof/>
        </w:rPr>
        <w:t xml:space="preserve">De asemenea, UE consolidează </w:t>
      </w:r>
      <w:r>
        <w:rPr>
          <w:b/>
          <w:bCs/>
          <w:noProof/>
        </w:rPr>
        <w:t>cooperarea internațională privind dezinformarea și informarea greșită legate de climă și energie</w:t>
      </w:r>
      <w:r>
        <w:rPr>
          <w:noProof/>
        </w:rPr>
        <w:t>, finanțând dezvoltarea de instrumente pentru a contracara aceste practici, în cooperare cu partenerii săi și prin intermediul unor foruri precum Inițiativa pentru integritatea informațiilor privind schimbările climatice.</w:t>
      </w:r>
    </w:p>
    <w:p w14:paraId="10DB689E" w14:textId="77777777" w:rsidR="006D46BC" w:rsidRDefault="006D46BC" w:rsidP="00D15578">
      <w:pPr>
        <w:pStyle w:val="Heading1"/>
        <w:numPr>
          <w:ilvl w:val="1"/>
          <w:numId w:val="1"/>
        </w:numPr>
        <w:spacing w:after="120" w:line="240" w:lineRule="auto"/>
        <w:ind w:left="788" w:hanging="431"/>
        <w:rPr>
          <w:rStyle w:val="normaltextrun"/>
          <w:rFonts w:ascii="Times New Roman Bold" w:eastAsiaTheme="minorEastAsia" w:hAnsi="Times New Roman Bold" w:cs="Times New Roman"/>
          <w:b/>
          <w:noProof/>
          <w:color w:val="auto"/>
          <w:sz w:val="24"/>
          <w:szCs w:val="24"/>
        </w:rPr>
      </w:pPr>
      <w:r>
        <w:rPr>
          <w:rStyle w:val="normaltextrun"/>
          <w:rFonts w:ascii="Times New Roman Bold" w:hAnsi="Times New Roman Bold"/>
          <w:b/>
          <w:noProof/>
          <w:color w:val="auto"/>
          <w:sz w:val="24"/>
        </w:rPr>
        <w:t>Mărirea finanțării pentru a se asigura o creștere și o dezvoltare curate</w:t>
      </w:r>
    </w:p>
    <w:p w14:paraId="4C493324" w14:textId="77777777" w:rsidR="006D46BC" w:rsidRDefault="006D46BC" w:rsidP="006D46BC">
      <w:pPr>
        <w:pStyle w:val="Text1"/>
        <w:spacing w:after="160"/>
        <w:ind w:left="0"/>
        <w:rPr>
          <w:rFonts w:asciiTheme="majorBidi" w:hAnsiTheme="majorBidi" w:cstheme="majorBidi"/>
          <w:noProof/>
        </w:rPr>
      </w:pPr>
      <w:r>
        <w:rPr>
          <w:rFonts w:asciiTheme="majorBidi" w:hAnsiTheme="majorBidi"/>
          <w:noProof/>
        </w:rPr>
        <w:t xml:space="preserve">Ritmul tranziției către o energie curată și al tranziției industriale curate depinde de capacitatea noastră colectivă la nivel mondial de a mobiliza și de a mări finanțarea publică și privată. Pe tot parcursul procesului, vom depune eforturi pentru a asigura </w:t>
      </w:r>
      <w:r>
        <w:rPr>
          <w:rFonts w:asciiTheme="majorBidi" w:hAnsiTheme="majorBidi"/>
          <w:b/>
          <w:bCs/>
          <w:noProof/>
        </w:rPr>
        <w:t>coerența tuturor fluxurilor de finanțare cu o traiectorie de dezvoltare cu emisii scăzute de dioxid de carbon și rezilientă la schimbările climatice</w:t>
      </w:r>
      <w:r>
        <w:rPr>
          <w:rFonts w:asciiTheme="majorBidi" w:hAnsiTheme="majorBidi"/>
          <w:noProof/>
        </w:rPr>
        <w:t xml:space="preserve">. Pentru a sprijini țările în curs de dezvoltare în acest demers, </w:t>
      </w:r>
      <w:r>
        <w:rPr>
          <w:rFonts w:asciiTheme="majorBidi" w:hAnsiTheme="majorBidi"/>
          <w:b/>
          <w:bCs/>
          <w:noProof/>
        </w:rPr>
        <w:t>noul obiectiv colectiv cuantificat privind finanțarea combaterii schimbărilor climatice (NCQG)</w:t>
      </w:r>
      <w:r>
        <w:rPr>
          <w:rFonts w:asciiTheme="majorBidi" w:hAnsiTheme="majorBidi"/>
          <w:noProof/>
        </w:rPr>
        <w:t xml:space="preserve"> a fost stabilit la 300 de miliarde USD anual până în 2035, țările dezvoltate asumându-și rolul de lider în acest sens, și a fost lansat un apel mai larg adresat tuturor actorilor pentru ca această sumă să crească la 1 300 de miliarde USD anual până în 2035. În calitate de cel mai mare contribuitor la finanțarea combaterii schimbărilor climatice și pe baza cadrului nostru de finanțare durabilă, UE va contribui la punerea în aplicare a noului obiectiv colectiv cuantificat (NCQG) privind finanțarea combaterii schimbărilor climatice prin utilizarea Global Gateway, a viitorului instrument „Europa globală” și prin sprijinirea reformei instituțiilor financiare mondiale și prin mobilizarea altor surse de finanțare.</w:t>
      </w:r>
    </w:p>
    <w:p w14:paraId="2F3BB955" w14:textId="2AE58366" w:rsidR="006D46BC" w:rsidRDefault="006D46BC" w:rsidP="006D46BC">
      <w:pPr>
        <w:pStyle w:val="Text1"/>
        <w:spacing w:after="160"/>
        <w:ind w:left="0"/>
        <w:rPr>
          <w:rFonts w:asciiTheme="majorBidi" w:hAnsiTheme="majorBidi" w:cstheme="majorBidi"/>
          <w:noProof/>
        </w:rPr>
      </w:pPr>
      <w:r>
        <w:rPr>
          <w:rFonts w:asciiTheme="majorBidi" w:hAnsiTheme="majorBidi"/>
          <w:b/>
          <w:bCs/>
          <w:noProof/>
        </w:rPr>
        <w:t>Global Gateway</w:t>
      </w:r>
      <w:r>
        <w:rPr>
          <w:rFonts w:asciiTheme="majorBidi" w:hAnsiTheme="majorBidi"/>
          <w:noProof/>
        </w:rPr>
        <w:t xml:space="preserve"> este principalul instrument al UE pentru a sprijini tranziția curată și rezilientă în economiile emergente și în curs de dezvoltare. </w:t>
      </w:r>
      <w:r>
        <w:rPr>
          <w:noProof/>
        </w:rPr>
        <w:t xml:space="preserve">În cadrul </w:t>
      </w:r>
      <w:r>
        <w:rPr>
          <w:b/>
          <w:bCs/>
          <w:noProof/>
        </w:rPr>
        <w:t>abordării de tip „Echipa Europa”</w:t>
      </w:r>
      <w:r>
        <w:rPr>
          <w:noProof/>
        </w:rPr>
        <w:t>, el combină resurse din partea UE și a statelor sale membre, a agențiilor de dezvoltare, a băncilor și a întreprinderilor pentru a mobiliza investiții cu efect de levier în valoare de 300 de miliarde EUR până în 2027, jumătate dintre proiectele emblematice vizând clima și energia. Global Gateway, în colaborare cu partenerii noștri de implementare, cum ar fi Grupul Băncii Europene de Investiții (BEI), oferă instrumente inovatoare, inclusiv garanții, repartizarea riscurilor și finanțare mixtă pentru a reduce costul capitalului și a debloca investițiile din sectorul privat, completate de asistență tehnică și de activități menite să creeze medii favorabile investițiilor.</w:t>
      </w:r>
      <w:r>
        <w:rPr>
          <w:rFonts w:asciiTheme="majorBidi" w:hAnsiTheme="majorBidi"/>
          <w:noProof/>
        </w:rPr>
        <w:t xml:space="preserve"> În acest scop, </w:t>
      </w:r>
      <w:r>
        <w:rPr>
          <w:rFonts w:asciiTheme="majorBidi" w:hAnsiTheme="majorBidi"/>
          <w:b/>
          <w:bCs/>
          <w:noProof/>
        </w:rPr>
        <w:t>Platforma de investiții Global Gateway</w:t>
      </w:r>
      <w:r>
        <w:rPr>
          <w:rFonts w:asciiTheme="majorBidi" w:hAnsiTheme="majorBidi"/>
          <w:noProof/>
        </w:rPr>
        <w:t xml:space="preserve"> va consolida coordonarea, schimbul de informații și cooperarea dintre UE și statele sale membre.</w:t>
      </w:r>
    </w:p>
    <w:p w14:paraId="2141AFC6" w14:textId="709DFB64" w:rsidR="006D46BC" w:rsidRDefault="006D46BC" w:rsidP="006D46BC">
      <w:pPr>
        <w:pStyle w:val="Text1"/>
        <w:ind w:left="0"/>
        <w:rPr>
          <w:noProof/>
        </w:rPr>
      </w:pPr>
      <w:r>
        <w:rPr>
          <w:rFonts w:asciiTheme="majorBidi" w:hAnsiTheme="majorBidi"/>
          <w:noProof/>
        </w:rPr>
        <w:t xml:space="preserve">Privind în perspectivă, Comisia Europeană a propus instrumentul </w:t>
      </w:r>
      <w:r>
        <w:rPr>
          <w:rFonts w:asciiTheme="majorBidi" w:hAnsiTheme="majorBidi"/>
          <w:b/>
          <w:bCs/>
          <w:noProof/>
        </w:rPr>
        <w:t>„Europa globală”</w:t>
      </w:r>
      <w:r>
        <w:rPr>
          <w:rFonts w:asciiTheme="majorBidi" w:hAnsiTheme="majorBidi"/>
          <w:noProof/>
        </w:rPr>
        <w:t xml:space="preserve">, un instrument transformator de finanțare a acțiunii externe. </w:t>
      </w:r>
      <w:r>
        <w:rPr>
          <w:noProof/>
        </w:rPr>
        <w:t xml:space="preserve">Cu un buget propus de </w:t>
      </w:r>
      <w:r>
        <w:rPr>
          <w:b/>
          <w:bCs/>
          <w:noProof/>
        </w:rPr>
        <w:t>200 de miliarde EUR pentru perioada 2028-2034</w:t>
      </w:r>
      <w:r>
        <w:rPr>
          <w:noProof/>
        </w:rPr>
        <w:t xml:space="preserve"> și cu o țintă pentru cheltuieli de 30 % pentru climă și mediu, instrumentul </w:t>
      </w:r>
      <w:r>
        <w:rPr>
          <w:rStyle w:val="normaltextrun"/>
          <w:noProof/>
        </w:rPr>
        <w:t>va sprijini țările partenere să adopte căi credibile de acțiune în domeniul climei și</w:t>
      </w:r>
      <w:r>
        <w:rPr>
          <w:noProof/>
        </w:rPr>
        <w:t xml:space="preserve"> va stimula cererea în sectoarele industriale curate. Sprijinul financiar din partea UE va fi însoțit de stimularea diversificării lanțurilor de aprovizionare în domeniul tehnologiilor curate, de reducerea dependențelor existente și de consolidarea securității economice și va fi implementat într-un mod care să țină seama de conflicte. În plus, „Europa globală” </w:t>
      </w:r>
      <w:r>
        <w:rPr>
          <w:rStyle w:val="normaltextrun"/>
          <w:noProof/>
        </w:rPr>
        <w:t xml:space="preserve">va consolida implicarea sectorului privat al UE, sprijinind întreprinderile din UE în străinătate și creând o cerere de produse curate din UE pe piețele țărilor partenere. </w:t>
      </w:r>
      <w:r>
        <w:rPr>
          <w:b/>
          <w:bCs/>
          <w:noProof/>
        </w:rPr>
        <w:t>Țările cele mai vulnerabile la schimbările climatice</w:t>
      </w:r>
      <w:r>
        <w:rPr>
          <w:noProof/>
        </w:rPr>
        <w:t xml:space="preserve">, în special </w:t>
      </w:r>
      <w:r>
        <w:rPr>
          <w:b/>
          <w:bCs/>
          <w:noProof/>
        </w:rPr>
        <w:t>țările cel mai puțin dezvoltate</w:t>
      </w:r>
      <w:r>
        <w:rPr>
          <w:noProof/>
        </w:rPr>
        <w:t xml:space="preserve"> și </w:t>
      </w:r>
      <w:r>
        <w:rPr>
          <w:b/>
          <w:bCs/>
          <w:noProof/>
        </w:rPr>
        <w:t>statele insulare mici în curs de dezvoltare</w:t>
      </w:r>
      <w:r>
        <w:rPr>
          <w:noProof/>
        </w:rPr>
        <w:t xml:space="preserve">, vor primi sprijin specific din partea UE, inclusiv prin sprijinirea înființării de modele de afaceri pentru adaptarea la schimbările climatice împreună cu instituțiile financiare internaționale și în cadrul </w:t>
      </w:r>
      <w:r>
        <w:rPr>
          <w:b/>
          <w:bCs/>
          <w:noProof/>
        </w:rPr>
        <w:t>Inițiativei „Echipa Europa” privind adaptarea și reziliența</w:t>
      </w:r>
      <w:r>
        <w:rPr>
          <w:noProof/>
        </w:rPr>
        <w:t xml:space="preserve"> în Africa.</w:t>
      </w:r>
      <w:r>
        <w:rPr>
          <w:rFonts w:asciiTheme="majorBidi" w:hAnsiTheme="majorBidi"/>
          <w:noProof/>
        </w:rPr>
        <w:t xml:space="preserve"> De asemenea, UE va continua să sprijine reziliența la schimbările climatice, inclusiv în contexte fragile și afectate de conflicte, bazându-se pe instrumentele sale de dezvoltare, de consolidare a păcii și umanitare.</w:t>
      </w:r>
    </w:p>
    <w:p w14:paraId="7000F3C0" w14:textId="77777777" w:rsidR="006D46BC" w:rsidRDefault="006D46BC" w:rsidP="006D46BC">
      <w:pPr>
        <w:pStyle w:val="Text1"/>
        <w:spacing w:after="160"/>
        <w:ind w:left="0"/>
        <w:rPr>
          <w:rFonts w:asciiTheme="majorBidi" w:hAnsiTheme="majorBidi" w:cstheme="majorBidi"/>
          <w:noProof/>
        </w:rPr>
      </w:pPr>
      <w:r>
        <w:rPr>
          <w:noProof/>
        </w:rPr>
        <w:t xml:space="preserve">UE va depune eforturi pentru a sprijini </w:t>
      </w:r>
      <w:r>
        <w:rPr>
          <w:b/>
          <w:bCs/>
          <w:noProof/>
        </w:rPr>
        <w:t>reforma instituțiilor financiare internaționale mondiale</w:t>
      </w:r>
      <w:r>
        <w:rPr>
          <w:noProof/>
        </w:rPr>
        <w:t>, astfel încât acestea să fie capabile să consolideze sprijinul pentru tranziția curată și rezilientă la nivel mondial.</w:t>
      </w:r>
      <w:r>
        <w:rPr>
          <w:rFonts w:asciiTheme="majorBidi" w:hAnsiTheme="majorBidi"/>
          <w:noProof/>
        </w:rPr>
        <w:t xml:space="preserve"> În acest scop, vom consolida coerența și cooperarea dintre actorii UE în cadrul băncilor multilaterale de dezvoltare, asigurându-ne că valorificăm pe deplin întreaga noastră putere financiară combinată pentru politicile și finanțarea care sprijină tranziția curată și interesele noastre. În acest context, Grupul BEI va continua să sprijine întreprinderile și tehnologiile din UE la nivel mondial, susținând campionii UE din domeniul tehnologiilor curate, prin instrumente de garantare, de datorie și de capital, precum și prin inițiative precum stimularea comerțului și a investițiilor.</w:t>
      </w:r>
    </w:p>
    <w:p w14:paraId="6F940F1F" w14:textId="012A5E49" w:rsidR="006D46BC" w:rsidRDefault="006D46BC" w:rsidP="006D46BC">
      <w:pPr>
        <w:pStyle w:val="Text1"/>
        <w:spacing w:after="160"/>
        <w:ind w:left="0"/>
        <w:rPr>
          <w:rFonts w:asciiTheme="majorBidi" w:hAnsiTheme="majorBidi" w:cstheme="majorBidi"/>
          <w:noProof/>
        </w:rPr>
      </w:pPr>
      <w:r>
        <w:rPr>
          <w:rFonts w:asciiTheme="majorBidi" w:hAnsiTheme="majorBidi"/>
          <w:noProof/>
        </w:rPr>
        <w:t xml:space="preserve">De asemenea, vom mobiliza și alte surse de finanțare și vom aborda barierele financiare cu care se confruntă țările în procesul de tranziție, inclusiv nivelurile nesustenabile ale datoriei și mobilizarea insuficientă a resurselor interne. În acest scop, </w:t>
      </w:r>
      <w:r>
        <w:rPr>
          <w:rFonts w:asciiTheme="majorBidi" w:hAnsiTheme="majorBidi"/>
          <w:b/>
          <w:bCs/>
          <w:noProof/>
        </w:rPr>
        <w:t>Inițiativa privind obligațiunile verzi mondiale</w:t>
      </w:r>
      <w:r>
        <w:rPr>
          <w:rFonts w:asciiTheme="majorBidi" w:hAnsiTheme="majorBidi"/>
          <w:noProof/>
        </w:rPr>
        <w:t xml:space="preserve"> va ajuta țările partenere să aibă acces la finanțare privată la scară largă. În cadrul G7 și G20, UE va continua să pledeze pentru o mai bună coordonare internațională a finanțării în ceea ce privește standardele, mobilizarea finanțării combaterii schimbărilor climatice și riscurile legate de durabilitate. </w:t>
      </w:r>
      <w:r>
        <w:rPr>
          <w:noProof/>
        </w:rPr>
        <w:t xml:space="preserve">În plus, UE va continua să promoveze politici naționale eficace de mobilizare a capitalului privat, cum ar fi regimurile în materie de transparență și de publicare a informațiilor, pentru a orienta investițiile către tranziția curată și rezilientă. </w:t>
      </w:r>
      <w:r w:rsidRPr="00817F89">
        <w:rPr>
          <w:rFonts w:asciiTheme="majorBidi" w:hAnsiTheme="majorBidi"/>
          <w:noProof/>
        </w:rPr>
        <w:t>Inițiativa</w:t>
      </w:r>
      <w:r>
        <w:rPr>
          <w:rFonts w:asciiTheme="majorBidi" w:hAnsiTheme="majorBidi"/>
          <w:b/>
          <w:bCs/>
          <w:noProof/>
        </w:rPr>
        <w:t xml:space="preserve"> privind coordonarea consolidată între agențiile de creditare a exportului și instituțiile de finanțare</w:t>
      </w:r>
      <w:r>
        <w:rPr>
          <w:rFonts w:asciiTheme="majorBidi" w:hAnsiTheme="majorBidi"/>
          <w:noProof/>
        </w:rPr>
        <w:t xml:space="preserve"> </w:t>
      </w:r>
      <w:r>
        <w:rPr>
          <w:rFonts w:asciiTheme="majorBidi" w:hAnsiTheme="majorBidi"/>
          <w:b/>
          <w:bCs/>
          <w:noProof/>
        </w:rPr>
        <w:t>a dezvoltării</w:t>
      </w:r>
      <w:r>
        <w:rPr>
          <w:rFonts w:asciiTheme="majorBidi" w:hAnsiTheme="majorBidi"/>
          <w:noProof/>
        </w:rPr>
        <w:t xml:space="preserve"> va integra mai bine finanțarea pentru exporturile UE. Vom continua să promovăm surse alternative și inovatoare, cum ar fi obligațiunile tematice cu utilizare specifică a veniturilor, garanțiile și taxele de solidaritate, inclusiv din sectorul combustibililor fosili. </w:t>
      </w:r>
    </w:p>
    <w:p w14:paraId="1E151A90" w14:textId="77777777" w:rsidR="006D46BC" w:rsidRDefault="006D46BC" w:rsidP="00D15578">
      <w:pPr>
        <w:pStyle w:val="Heading1"/>
        <w:numPr>
          <w:ilvl w:val="1"/>
          <w:numId w:val="1"/>
        </w:numPr>
        <w:spacing w:after="120" w:line="240" w:lineRule="auto"/>
        <w:ind w:left="788" w:hanging="431"/>
        <w:rPr>
          <w:rStyle w:val="normaltextrun"/>
          <w:rFonts w:ascii="Times New Roman Bold" w:eastAsiaTheme="minorEastAsia" w:hAnsi="Times New Roman Bold" w:cs="Times New Roman"/>
          <w:b/>
          <w:noProof/>
          <w:color w:val="auto"/>
          <w:sz w:val="24"/>
          <w:szCs w:val="24"/>
        </w:rPr>
      </w:pPr>
      <w:r>
        <w:rPr>
          <w:rStyle w:val="normaltextrun"/>
          <w:rFonts w:ascii="Times New Roman Bold" w:hAnsi="Times New Roman Bold"/>
          <w:b/>
          <w:noProof/>
          <w:color w:val="auto"/>
          <w:sz w:val="24"/>
        </w:rPr>
        <w:t>Comunicare personalizată cu parteneri-cheie</w:t>
      </w:r>
    </w:p>
    <w:p w14:paraId="2AA8DB5C" w14:textId="77777777" w:rsidR="006D46BC" w:rsidRDefault="006D46BC" w:rsidP="006D46BC">
      <w:pPr>
        <w:pStyle w:val="Text1"/>
        <w:spacing w:after="160"/>
        <w:ind w:left="0"/>
        <w:rPr>
          <w:noProof/>
        </w:rPr>
      </w:pPr>
      <w:r>
        <w:rPr>
          <w:noProof/>
        </w:rPr>
        <w:t xml:space="preserve">Pentru a răspunde nevoilor și provocărilor unice cu care se confruntă diferite țări și regiuni, UE și statele sale membre, în cadrul unei abordări de tip „Echipa Europa”, vor elabora </w:t>
      </w:r>
      <w:r>
        <w:rPr>
          <w:b/>
          <w:bCs/>
          <w:noProof/>
        </w:rPr>
        <w:t>inițiative personalizate</w:t>
      </w:r>
      <w:r>
        <w:rPr>
          <w:noProof/>
        </w:rPr>
        <w:t xml:space="preserve"> împreună cu partenerii. În acest proces, vom acorda o atenție deosebită intereselor întreprinderilor europene.</w:t>
      </w:r>
    </w:p>
    <w:p w14:paraId="2AF4121E" w14:textId="3EB178B4" w:rsidR="006D46BC" w:rsidRDefault="006D46BC" w:rsidP="006D46BC">
      <w:pPr>
        <w:pStyle w:val="Text1"/>
        <w:keepNext/>
        <w:spacing w:after="160"/>
        <w:ind w:left="0"/>
        <w:rPr>
          <w:rFonts w:asciiTheme="majorBidi" w:hAnsiTheme="majorBidi" w:cstheme="majorBidi"/>
          <w:noProof/>
        </w:rPr>
      </w:pPr>
      <w:r>
        <w:rPr>
          <w:noProof/>
        </w:rPr>
        <w:t xml:space="preserve">Având în vedere că </w:t>
      </w:r>
      <w:r>
        <w:rPr>
          <w:b/>
          <w:bCs/>
          <w:noProof/>
        </w:rPr>
        <w:t>membrii G20</w:t>
      </w:r>
      <w:r>
        <w:rPr>
          <w:noProof/>
        </w:rPr>
        <w:t xml:space="preserve"> generează 80 % din emisiile globale de GES, acțiunile comune și ambițioase cu cele mai mari economii sunt esențiale pentru a inversa creșterea temperaturii în următorul deceniu. Dintre acestea, </w:t>
      </w:r>
      <w:r>
        <w:rPr>
          <w:b/>
          <w:bCs/>
          <w:noProof/>
        </w:rPr>
        <w:t>China</w:t>
      </w:r>
      <w:r>
        <w:rPr>
          <w:noProof/>
        </w:rPr>
        <w:t xml:space="preserve"> se remarcă prin faptul că este responsabilă pentru 29 % din emisiile globale. În același timp, ea s-a impus ca lider în domeniul energiei din surse regenerabile, al mineralelor critice și al tehnologiilor curate. UE va aprofunda cooperarea cu China în ceea ce privește stabilirea prețului carbonului, tranziția energetică, emisiile de metan și adaptarea. În paralel, trebuie să depunem eforturi pentru a asigura lanțuri de aprovizionare fiabile și o concurență loială în aceste sectoare. Acest lucru implică afirmarea dreptului UE de a contracara denaturările comerțului internațional care rezultă din supracapacitatea sponsorizată de stat, prin utilizarea instrumentelor de apărare comercială. </w:t>
      </w:r>
      <w:r>
        <w:rPr>
          <w:b/>
          <w:bCs/>
          <w:noProof/>
        </w:rPr>
        <w:t>Statele Unite</w:t>
      </w:r>
      <w:r>
        <w:rPr>
          <w:noProof/>
        </w:rPr>
        <w:t xml:space="preserve"> reprezintă în prezent un partener comercial major al UE în domeniul energiei și un aliat esențial în accelerarea eliminării treptate de către UE a combustibililor fosili din Rusia. Cu toate acestea, SUA este, de asemenea, al doilea cel mai mare emițător de gaze cu efect de seră la nivel mondial și a părăsit recent Acordul de la Paris. UE va continua să coopereze cu SUA în ceea ce privește tranziția către o energie curată și tehnologiile curate, inclusiv cu entități subnaționale, întreprinderi și grupuri de reflecție. În februarie 2025, UE și </w:t>
      </w:r>
      <w:r>
        <w:rPr>
          <w:b/>
          <w:bCs/>
          <w:noProof/>
        </w:rPr>
        <w:t>India</w:t>
      </w:r>
      <w:r>
        <w:rPr>
          <w:noProof/>
        </w:rPr>
        <w:t>, al treilea cel mai mare emițător la nivel mondial și țara cea mai populată din lume, au convenit să extindă cooperarea interguvernamentală și industrială privind energia curată, adaptarea la schimbările climatice și reziliența.</w:t>
      </w:r>
      <w:r>
        <w:rPr>
          <w:rFonts w:asciiTheme="majorBidi" w:hAnsiTheme="majorBidi"/>
          <w:noProof/>
        </w:rPr>
        <w:t xml:space="preserve"> Consiliul pentru comerț și tehnologie reprezintă, de asemenea, o oportunitate de a dezvolta lanțuri de aprovizionare curate și de a sprijini decarbonizarea în UE și India. În acest spirit, UE a prezentat recent Comunicarea comună privind o nouă Agendă strategică UE-India, care include cooperarea în domeniul politicilor privind clima și energia.</w:t>
      </w:r>
    </w:p>
    <w:p w14:paraId="7067DD7D" w14:textId="397066BC" w:rsidR="006D46BC" w:rsidRDefault="006D46BC" w:rsidP="006D46BC">
      <w:pPr>
        <w:pStyle w:val="Text1"/>
        <w:spacing w:after="120"/>
        <w:ind w:left="0"/>
        <w:rPr>
          <w:noProof/>
        </w:rPr>
      </w:pPr>
      <w:r>
        <w:rPr>
          <w:noProof/>
        </w:rPr>
        <w:t xml:space="preserve">UE își va intensifica dialogul cu </w:t>
      </w:r>
      <w:r>
        <w:rPr>
          <w:b/>
          <w:bCs/>
          <w:noProof/>
        </w:rPr>
        <w:t>țările candidate și potențial candidate</w:t>
      </w:r>
      <w:r>
        <w:rPr>
          <w:noProof/>
        </w:rPr>
        <w:t xml:space="preserve"> pentru ca acestea să-și sporească securitatea energetică și reziliența la schimbările climatice, să-și modernizeze economiile, să-și îmbunătățească alinierea reglementărilor și să-și sporească capacitatea administrativă în acest scop, în timp ce se pregătesc pentru aderarea la UE. În ceea ce privește </w:t>
      </w:r>
      <w:r>
        <w:rPr>
          <w:b/>
          <w:bCs/>
          <w:noProof/>
        </w:rPr>
        <w:t>Ucraina și Moldova</w:t>
      </w:r>
      <w:r>
        <w:rPr>
          <w:noProof/>
        </w:rPr>
        <w:t xml:space="preserve">, care suportă consecințele directe ale războiului brutal al Rusiei, UE va menține, de asemenea, sprijinul pe termen scurt pentru aprovizionarea cu energie și sprijinul pe termen lung pentru un sistem energetic flexibil bine protejat, bazat în mare măsură pe energia din surse regenerabile. De asemenea, vom continua să colaborăm cu </w:t>
      </w:r>
      <w:r>
        <w:rPr>
          <w:b/>
          <w:bCs/>
          <w:noProof/>
        </w:rPr>
        <w:t>Comunitatea Energiei</w:t>
      </w:r>
      <w:r>
        <w:rPr>
          <w:noProof/>
        </w:rPr>
        <w:t xml:space="preserve"> pentru a accelera alinierea reglementărilor țărilor candidate la acquis-ul UE în domeniul energiei și al climei.</w:t>
      </w:r>
    </w:p>
    <w:p w14:paraId="5BA90762" w14:textId="77777777" w:rsidR="006D46BC" w:rsidRPr="0034579F" w:rsidRDefault="006D46BC" w:rsidP="006D46BC">
      <w:pPr>
        <w:pStyle w:val="Text1"/>
        <w:spacing w:after="120"/>
        <w:ind w:left="0"/>
        <w:rPr>
          <w:rFonts w:asciiTheme="majorBidi" w:hAnsiTheme="majorBidi"/>
          <w:noProof/>
        </w:rPr>
      </w:pPr>
      <w:r>
        <w:rPr>
          <w:noProof/>
        </w:rPr>
        <w:t xml:space="preserve">UE va colabora cu </w:t>
      </w:r>
      <w:r>
        <w:rPr>
          <w:b/>
          <w:bCs/>
          <w:noProof/>
        </w:rPr>
        <w:t>partenerii săi din Europa Occidentală</w:t>
      </w:r>
      <w:r>
        <w:rPr>
          <w:noProof/>
        </w:rPr>
        <w:t xml:space="preserve"> pentru a sprijini lanțurile valorice integrate ale tehnologiilor curate în cadrul actualului set de cadre. Este vorba, în special, despre Spațiul Economic European, Acordul dintre UE și Elveția pentru crearea unei legături între respectivele lor scheme de comercializare a certificatelor de emisii de gaze cu efect de seră și Acordul comercial și de cooperare UE-Regatul Unit, inclusiv noile negocieri privind un acord de legătură cu privire la ETS.</w:t>
      </w:r>
      <w:r>
        <w:rPr>
          <w:rFonts w:asciiTheme="majorBidi" w:hAnsiTheme="majorBidi"/>
          <w:noProof/>
        </w:rPr>
        <w:t xml:space="preserve"> </w:t>
      </w:r>
    </w:p>
    <w:p w14:paraId="7E8D27EB" w14:textId="2148112C" w:rsidR="006D46BC" w:rsidRDefault="006D46BC" w:rsidP="006D46BC">
      <w:pPr>
        <w:pStyle w:val="Text1"/>
        <w:spacing w:after="120"/>
        <w:ind w:left="0"/>
        <w:rPr>
          <w:noProof/>
        </w:rPr>
      </w:pPr>
      <w:r>
        <w:rPr>
          <w:noProof/>
        </w:rPr>
        <w:t xml:space="preserve">Având în vedere provocările comune în materie de climă și de securitate și potențialul enorm de cooperare în domeniul energiei din surse regenerabile și al tehnologiilor curate, UE și vecinii </w:t>
      </w:r>
      <w:r>
        <w:rPr>
          <w:b/>
          <w:bCs/>
          <w:noProof/>
        </w:rPr>
        <w:t>mediteraneeni</w:t>
      </w:r>
      <w:r>
        <w:rPr>
          <w:noProof/>
        </w:rPr>
        <w:t xml:space="preserve"> sunt parteneri naturali în aceste domenii. Astfel cum se prevede în Pactul pentru Mediterana, vom depune eforturi pentru a îmbunătăți stabilitatea și reziliența economică și pentru a ne aprofunda integrarea. În cadrul Inițiativei privind cooperarea transmediteraneeană în domeniul energiei și al tehnologiilor curate (T-MED), vom promova decarbonizarea și competitivitatea în întreaga regiune și vom intensifica cooperarea în materie de gestionare a riscurilor climatice prin investiții în proiecte emblematice de interes reciproc care stimulează creșterea economică și crearea de locuri de muncă și abordează dependența de exportul de combustibili fosili. În vecinătatea noastră, vom continua să depunem eforturi pentru aprovizionarea sigură și stabilă cu energie. Vom încerca să promovăm proiecte energetice la scară largă și investiții în infrastructură care să genereze valoare atât pentru Europa, cât și pentru țările partenere și care să sprijine tranzițiile noastre colective către o energie curată, cum ar fi GREGY, ELMED, linia de interconexiune din Marea Mediterană (Great Sea Interconnector), și vor fi luate în considerare opțiunile de instalare a unor noi cabluri submarine în Marea Neagră. Acest lucru va fi însoțit de intensificarea activității UE în materie de securitate climatică în vecinătatea europeană pentru a preveni fragilitatea care poate pune în pericol parteneriatele noastre.</w:t>
      </w:r>
    </w:p>
    <w:p w14:paraId="0841631A" w14:textId="28E39F97" w:rsidR="006D46BC" w:rsidRDefault="006D46BC" w:rsidP="006D46BC">
      <w:pPr>
        <w:pStyle w:val="Text1"/>
        <w:spacing w:after="200"/>
        <w:ind w:left="0"/>
        <w:rPr>
          <w:noProof/>
        </w:rPr>
      </w:pPr>
      <w:r>
        <w:rPr>
          <w:noProof/>
        </w:rPr>
        <w:t xml:space="preserve">De asemenea, UE își va intensifica colaborarea cu alte regiuni cu dezvoltare rapidă, inclusiv cu </w:t>
      </w:r>
      <w:r>
        <w:rPr>
          <w:b/>
          <w:bCs/>
          <w:noProof/>
        </w:rPr>
        <w:t>Asia de Sud-Est</w:t>
      </w:r>
      <w:r>
        <w:rPr>
          <w:noProof/>
        </w:rPr>
        <w:t xml:space="preserve"> și </w:t>
      </w:r>
      <w:r>
        <w:rPr>
          <w:b/>
          <w:bCs/>
          <w:noProof/>
        </w:rPr>
        <w:t>insulele din Pacific</w:t>
      </w:r>
      <w:r>
        <w:rPr>
          <w:noProof/>
        </w:rPr>
        <w:t xml:space="preserve">, </w:t>
      </w:r>
      <w:r>
        <w:rPr>
          <w:b/>
          <w:bCs/>
          <w:noProof/>
        </w:rPr>
        <w:t>Africa</w:t>
      </w:r>
      <w:r>
        <w:rPr>
          <w:noProof/>
        </w:rPr>
        <w:t xml:space="preserve"> și țările din </w:t>
      </w:r>
      <w:r>
        <w:rPr>
          <w:b/>
          <w:bCs/>
          <w:noProof/>
        </w:rPr>
        <w:t>America Latină</w:t>
      </w:r>
      <w:r>
        <w:rPr>
          <w:noProof/>
        </w:rPr>
        <w:t xml:space="preserve">, </w:t>
      </w:r>
      <w:r>
        <w:rPr>
          <w:b/>
          <w:bCs/>
          <w:noProof/>
        </w:rPr>
        <w:t>zona Caraibe</w:t>
      </w:r>
      <w:r>
        <w:rPr>
          <w:noProof/>
        </w:rPr>
        <w:t xml:space="preserve"> și </w:t>
      </w:r>
      <w:r>
        <w:rPr>
          <w:b/>
          <w:bCs/>
          <w:noProof/>
        </w:rPr>
        <w:t>Asia Centrală</w:t>
      </w:r>
      <w:r>
        <w:rPr>
          <w:noProof/>
        </w:rPr>
        <w:t>, pentru a promova adoptarea tehnologiilor curate, pentru a elabora politici de stabilire a prețului carbonului și pentru a aborda impactul schimbărilor climatice. UE va organiza reuniuni interregionale periodice, inclusiv summitul UE-Asia Centrală din acest an, reuniunea la nivel ministerial UE-ASEAN privind mediul și clima, summiturile UE-Uniunea Africană și summiturile UE-CELAC, pentru a crea oportunități reciproce pentru tranziția curată. Multe dintre aceste țări sunt, de asemenea, aliați angajați în lupta împotriva schimbărilor climatice la nivel multilateral și intern.</w:t>
      </w:r>
    </w:p>
    <w:p w14:paraId="4F839251" w14:textId="77777777" w:rsidR="006D46BC" w:rsidRPr="0011538A" w:rsidRDefault="006D46BC" w:rsidP="00D15578">
      <w:pPr>
        <w:pStyle w:val="Heading1"/>
        <w:numPr>
          <w:ilvl w:val="0"/>
          <w:numId w:val="1"/>
        </w:numPr>
        <w:spacing w:before="240" w:after="240" w:line="240" w:lineRule="auto"/>
        <w:ind w:left="357" w:hanging="357"/>
        <w:rPr>
          <w:rFonts w:ascii="Times New Roman Bold" w:eastAsiaTheme="minorEastAsia" w:hAnsi="Times New Roman Bold" w:cs="Times New Roman"/>
          <w:b/>
          <w:caps/>
          <w:noProof/>
          <w:color w:val="auto"/>
          <w:sz w:val="24"/>
          <w:szCs w:val="24"/>
        </w:rPr>
      </w:pPr>
      <w:r>
        <w:rPr>
          <w:rStyle w:val="normaltextrun"/>
          <w:rFonts w:ascii="Times New Roman Bold" w:hAnsi="Times New Roman Bold"/>
          <w:b/>
          <w:caps/>
          <w:noProof/>
          <w:color w:val="auto"/>
          <w:sz w:val="24"/>
        </w:rPr>
        <w:t>Acțiuni-cheie și concluzii</w:t>
      </w:r>
    </w:p>
    <w:p w14:paraId="05911E46" w14:textId="77777777" w:rsidR="006D46BC" w:rsidRDefault="006D46BC" w:rsidP="006D46BC">
      <w:pPr>
        <w:pStyle w:val="Text1"/>
        <w:keepNext/>
        <w:pBdr>
          <w:top w:val="single" w:sz="4" w:space="1" w:color="000000"/>
          <w:left w:val="single" w:sz="4" w:space="4" w:color="000000"/>
          <w:bottom w:val="single" w:sz="4" w:space="1" w:color="000000"/>
          <w:right w:val="single" w:sz="4" w:space="4" w:color="000000"/>
        </w:pBdr>
        <w:spacing w:after="160"/>
        <w:ind w:left="0"/>
        <w:rPr>
          <w:b/>
          <w:noProof/>
        </w:rPr>
      </w:pPr>
      <w:r>
        <w:rPr>
          <w:b/>
          <w:noProof/>
        </w:rPr>
        <w:t>Abordarea strategică a UE în ceea ce privește angajamentul la nivel mondial în domeniul energiei și al climei – 10 acțiuni-cheie</w:t>
      </w:r>
    </w:p>
    <w:p w14:paraId="2B4305AC" w14:textId="77777777" w:rsidR="006D46BC" w:rsidRDefault="006D46BC" w:rsidP="00BB03BB">
      <w:pPr>
        <w:pStyle w:val="ListParagraph"/>
        <w:keepLines/>
        <w:numPr>
          <w:ilvl w:val="0"/>
          <w:numId w:val="4"/>
        </w:numPr>
        <w:pBdr>
          <w:top w:val="single" w:sz="4" w:space="1" w:color="000000"/>
          <w:left w:val="single" w:sz="4" w:space="4" w:color="000000"/>
          <w:bottom w:val="single" w:sz="4" w:space="1" w:color="000000"/>
          <w:right w:val="single" w:sz="4" w:space="4" w:color="000000"/>
        </w:pBdr>
        <w:spacing w:after="120" w:line="240" w:lineRule="auto"/>
        <w:ind w:left="357" w:hanging="357"/>
        <w:contextualSpacing w:val="0"/>
        <w:jc w:val="both"/>
        <w:rPr>
          <w:rFonts w:ascii="Times New Roman" w:hAnsi="Times New Roman" w:cs="Times New Roman"/>
          <w:noProof/>
        </w:rPr>
      </w:pPr>
      <w:r>
        <w:rPr>
          <w:rFonts w:ascii="Times New Roman" w:hAnsi="Times New Roman"/>
          <w:b/>
          <w:bCs/>
          <w:noProof/>
          <w:u w:val="single"/>
        </w:rPr>
        <w:t>Menținerea impulsului politic</w:t>
      </w:r>
      <w:r>
        <w:rPr>
          <w:rFonts w:ascii="Times New Roman" w:hAnsi="Times New Roman"/>
          <w:noProof/>
        </w:rPr>
        <w:t xml:space="preserve"> prin foruri și inițiative multilaterale, plurilaterale și bilaterale pentru punerea în aplicare a Acordului de la Paris cu toate țările și părțile interesate: guverne, întreprinderi, investitori și cetățeni. Stimularea îndeplinirii la nivel mondial a angajamentelor prezentate în evaluarea la nivel mondial, în special triplarea implementării energiei din surse regenerabile și dublarea eficienței energetice până în 2030, precum și renunțarea la combustibilii fosili.</w:t>
      </w:r>
    </w:p>
    <w:p w14:paraId="453D71B3" w14:textId="3F6E1CBA" w:rsidR="006D46BC" w:rsidRDefault="006D46BC" w:rsidP="00BB03BB">
      <w:pPr>
        <w:pStyle w:val="ListParagraph"/>
        <w:keepLines/>
        <w:numPr>
          <w:ilvl w:val="0"/>
          <w:numId w:val="4"/>
        </w:numPr>
        <w:pBdr>
          <w:top w:val="single" w:sz="4" w:space="1" w:color="000000"/>
          <w:left w:val="single" w:sz="4" w:space="4" w:color="000000"/>
          <w:bottom w:val="single" w:sz="4" w:space="1" w:color="000000"/>
          <w:right w:val="single" w:sz="4" w:space="4" w:color="000000"/>
        </w:pBdr>
        <w:spacing w:after="120" w:line="240" w:lineRule="auto"/>
        <w:ind w:left="357" w:hanging="357"/>
        <w:contextualSpacing w:val="0"/>
        <w:jc w:val="both"/>
        <w:rPr>
          <w:rFonts w:ascii="Times New Roman" w:hAnsi="Times New Roman" w:cs="Times New Roman"/>
          <w:noProof/>
        </w:rPr>
      </w:pPr>
      <w:r>
        <w:rPr>
          <w:rFonts w:ascii="Times New Roman" w:hAnsi="Times New Roman"/>
          <w:b/>
          <w:bCs/>
          <w:noProof/>
          <w:u w:val="single"/>
        </w:rPr>
        <w:t>Sprijinirea întreprinderilor din sectorul tehnologiilor curate al UE în ceea ce privește stimularea oportunităților internaționale</w:t>
      </w:r>
      <w:r>
        <w:rPr>
          <w:rFonts w:ascii="Times New Roman" w:hAnsi="Times New Roman"/>
          <w:noProof/>
        </w:rPr>
        <w:t xml:space="preserve"> prin organizarea de </w:t>
      </w:r>
      <w:r>
        <w:rPr>
          <w:rFonts w:ascii="Times New Roman" w:hAnsi="Times New Roman"/>
          <w:b/>
          <w:bCs/>
          <w:noProof/>
        </w:rPr>
        <w:t>forumuri de afaceri</w:t>
      </w:r>
      <w:r>
        <w:rPr>
          <w:rFonts w:ascii="Times New Roman" w:hAnsi="Times New Roman"/>
          <w:noProof/>
        </w:rPr>
        <w:t xml:space="preserve">, înființarea unui </w:t>
      </w:r>
      <w:r>
        <w:rPr>
          <w:rFonts w:ascii="Times New Roman" w:hAnsi="Times New Roman"/>
          <w:b/>
          <w:bCs/>
          <w:noProof/>
        </w:rPr>
        <w:t>Consiliu de afaceri extern al UE pentru o tranziție curată</w:t>
      </w:r>
      <w:r>
        <w:rPr>
          <w:rFonts w:ascii="Times New Roman" w:hAnsi="Times New Roman"/>
          <w:noProof/>
        </w:rPr>
        <w:t xml:space="preserve"> și organizarea unor </w:t>
      </w:r>
      <w:r>
        <w:rPr>
          <w:rFonts w:ascii="Times New Roman" w:hAnsi="Times New Roman"/>
          <w:b/>
          <w:bCs/>
          <w:noProof/>
        </w:rPr>
        <w:t>misiuni la nivel înalt de promovare a întreprinderilor și a comerțului în domeniul tehnologiilor curate</w:t>
      </w:r>
      <w:r>
        <w:rPr>
          <w:rFonts w:ascii="Times New Roman" w:hAnsi="Times New Roman"/>
          <w:noProof/>
        </w:rPr>
        <w:t xml:space="preserve">, precum și prin valorificarea structurilor deja existente. </w:t>
      </w:r>
      <w:r>
        <w:rPr>
          <w:rFonts w:ascii="Times New Roman" w:hAnsi="Times New Roman"/>
          <w:b/>
          <w:bCs/>
          <w:noProof/>
        </w:rPr>
        <w:t>Consolidarea expertizei în materie de promovare a întreprinderilor în anumite delegații ale UE</w:t>
      </w:r>
      <w:r>
        <w:rPr>
          <w:rFonts w:ascii="Times New Roman" w:hAnsi="Times New Roman"/>
          <w:noProof/>
        </w:rPr>
        <w:t xml:space="preserve">. </w:t>
      </w:r>
    </w:p>
    <w:p w14:paraId="613FAE2D" w14:textId="77777777" w:rsidR="006D46BC" w:rsidRDefault="006D46BC" w:rsidP="00BB03BB">
      <w:pPr>
        <w:pStyle w:val="ListParagraph"/>
        <w:keepLines/>
        <w:numPr>
          <w:ilvl w:val="0"/>
          <w:numId w:val="4"/>
        </w:numPr>
        <w:pBdr>
          <w:top w:val="single" w:sz="4" w:space="1" w:color="000000"/>
          <w:left w:val="single" w:sz="4" w:space="4" w:color="000000"/>
          <w:bottom w:val="single" w:sz="4" w:space="1" w:color="000000"/>
          <w:right w:val="single" w:sz="4" w:space="4" w:color="000000"/>
        </w:pBdr>
        <w:spacing w:after="120" w:line="240" w:lineRule="auto"/>
        <w:ind w:left="357" w:hanging="357"/>
        <w:contextualSpacing w:val="0"/>
        <w:jc w:val="both"/>
        <w:rPr>
          <w:rFonts w:ascii="Times New Roman" w:hAnsi="Times New Roman" w:cs="Times New Roman"/>
          <w:noProof/>
        </w:rPr>
      </w:pPr>
      <w:r>
        <w:rPr>
          <w:rFonts w:ascii="Times New Roman" w:hAnsi="Times New Roman"/>
          <w:b/>
          <w:bCs/>
          <w:noProof/>
          <w:u w:val="single"/>
        </w:rPr>
        <w:t>Punerea în legătură a întreprinderilor europene</w:t>
      </w:r>
      <w:r>
        <w:rPr>
          <w:rFonts w:ascii="Times New Roman" w:hAnsi="Times New Roman"/>
          <w:b/>
          <w:bCs/>
          <w:noProof/>
        </w:rPr>
        <w:t xml:space="preserve"> cu proiecte de investiții</w:t>
      </w:r>
      <w:r>
        <w:rPr>
          <w:rFonts w:ascii="Times New Roman" w:hAnsi="Times New Roman"/>
          <w:noProof/>
        </w:rPr>
        <w:t xml:space="preserve"> din străinătate prin intermediul </w:t>
      </w:r>
      <w:r>
        <w:rPr>
          <w:rFonts w:ascii="Times New Roman" w:hAnsi="Times New Roman"/>
          <w:b/>
          <w:bCs/>
          <w:noProof/>
        </w:rPr>
        <w:t>Platformei de investiții Global Gateway</w:t>
      </w:r>
      <w:r>
        <w:rPr>
          <w:rFonts w:ascii="Times New Roman" w:hAnsi="Times New Roman"/>
          <w:noProof/>
        </w:rPr>
        <w:t>.</w:t>
      </w:r>
      <w:r>
        <w:rPr>
          <w:rFonts w:ascii="Times New Roman" w:hAnsi="Times New Roman"/>
          <w:b/>
          <w:noProof/>
        </w:rPr>
        <w:t xml:space="preserve"> </w:t>
      </w:r>
      <w:r>
        <w:rPr>
          <w:rFonts w:ascii="Times New Roman" w:hAnsi="Times New Roman"/>
          <w:noProof/>
        </w:rPr>
        <w:t xml:space="preserve">Dezvoltarea unor </w:t>
      </w:r>
      <w:r>
        <w:rPr>
          <w:rFonts w:ascii="Times New Roman" w:hAnsi="Times New Roman"/>
          <w:b/>
          <w:bCs/>
          <w:noProof/>
        </w:rPr>
        <w:t>instrumente financiare de reducere a riscurilor</w:t>
      </w:r>
      <w:r>
        <w:rPr>
          <w:rFonts w:ascii="Times New Roman" w:hAnsi="Times New Roman"/>
          <w:noProof/>
        </w:rPr>
        <w:t xml:space="preserve"> în cooperare cu </w:t>
      </w:r>
      <w:r>
        <w:rPr>
          <w:rFonts w:ascii="Times New Roman" w:hAnsi="Times New Roman"/>
          <w:b/>
          <w:bCs/>
          <w:noProof/>
        </w:rPr>
        <w:t>partenerii</w:t>
      </w:r>
      <w:r>
        <w:rPr>
          <w:rFonts w:ascii="Times New Roman" w:hAnsi="Times New Roman"/>
          <w:noProof/>
        </w:rPr>
        <w:t xml:space="preserve"> din cadrul „Echipei Europa”, </w:t>
      </w:r>
      <w:r>
        <w:rPr>
          <w:rFonts w:ascii="Times New Roman" w:hAnsi="Times New Roman"/>
          <w:b/>
          <w:bCs/>
          <w:noProof/>
        </w:rPr>
        <w:t>inclusiv cu BEI</w:t>
      </w:r>
      <w:r>
        <w:rPr>
          <w:rFonts w:ascii="Times New Roman" w:hAnsi="Times New Roman"/>
          <w:noProof/>
        </w:rPr>
        <w:t>, pentru a sprijini investițiile întreprinderilor UE în tranziția curată în țările partenere.</w:t>
      </w:r>
    </w:p>
    <w:p w14:paraId="6309DF7E" w14:textId="77777777" w:rsidR="006D46BC" w:rsidRDefault="006D46BC" w:rsidP="00BB03BB">
      <w:pPr>
        <w:pStyle w:val="ListParagraph"/>
        <w:keepLines/>
        <w:numPr>
          <w:ilvl w:val="0"/>
          <w:numId w:val="4"/>
        </w:numPr>
        <w:pBdr>
          <w:top w:val="single" w:sz="4" w:space="1" w:color="000000"/>
          <w:left w:val="single" w:sz="4" w:space="4" w:color="000000"/>
          <w:bottom w:val="single" w:sz="4" w:space="1" w:color="000000"/>
          <w:right w:val="single" w:sz="4" w:space="4" w:color="000000"/>
        </w:pBdr>
        <w:spacing w:after="120" w:line="240" w:lineRule="auto"/>
        <w:ind w:left="357" w:hanging="357"/>
        <w:contextualSpacing w:val="0"/>
        <w:jc w:val="both"/>
        <w:rPr>
          <w:rFonts w:ascii="Times New Roman" w:hAnsi="Times New Roman" w:cs="Times New Roman"/>
          <w:noProof/>
        </w:rPr>
      </w:pPr>
      <w:r>
        <w:rPr>
          <w:rFonts w:ascii="Times New Roman" w:hAnsi="Times New Roman"/>
          <w:b/>
          <w:bCs/>
          <w:noProof/>
          <w:u w:val="single"/>
        </w:rPr>
        <w:t>Mobilizarea instrumentului „Europa globală”</w:t>
      </w:r>
      <w:r>
        <w:rPr>
          <w:rFonts w:ascii="Times New Roman" w:hAnsi="Times New Roman"/>
          <w:noProof/>
        </w:rPr>
        <w:t>, astfel cum a fost propus, pentru a sprijini întreprinderile din UE în străinătate și cererea de produse curate din UE, stimulând în mod inerent țările partenere să adopte căi credibile de acțiune climatică, aliniate la Acordul de la Paris.</w:t>
      </w:r>
    </w:p>
    <w:p w14:paraId="0CCFDB3D" w14:textId="7E50E03C" w:rsidR="006D46BC" w:rsidRDefault="006D46BC" w:rsidP="00BB03BB">
      <w:pPr>
        <w:pStyle w:val="ListParagraph"/>
        <w:keepLines/>
        <w:numPr>
          <w:ilvl w:val="0"/>
          <w:numId w:val="4"/>
        </w:numPr>
        <w:pBdr>
          <w:top w:val="single" w:sz="4" w:space="1" w:color="000000"/>
          <w:left w:val="single" w:sz="4" w:space="4" w:color="000000"/>
          <w:bottom w:val="single" w:sz="4" w:space="1" w:color="000000"/>
          <w:right w:val="single" w:sz="4" w:space="4" w:color="000000"/>
        </w:pBdr>
        <w:spacing w:after="120" w:line="240" w:lineRule="auto"/>
        <w:ind w:left="357" w:hanging="357"/>
        <w:contextualSpacing w:val="0"/>
        <w:jc w:val="both"/>
        <w:rPr>
          <w:rFonts w:ascii="Times New Roman" w:hAnsi="Times New Roman" w:cs="Times New Roman"/>
          <w:noProof/>
        </w:rPr>
      </w:pPr>
      <w:r>
        <w:rPr>
          <w:rFonts w:ascii="Times New Roman" w:hAnsi="Times New Roman"/>
          <w:b/>
          <w:noProof/>
          <w:u w:val="single"/>
        </w:rPr>
        <w:t>Extinderea rețelelor de parteneriate reciproc avantajoase pentru lanțuri valorice curate și reziliente la nivel mondial</w:t>
      </w:r>
      <w:r>
        <w:rPr>
          <w:rFonts w:ascii="Times New Roman" w:hAnsi="Times New Roman"/>
          <w:noProof/>
        </w:rPr>
        <w:t>, inclusiv prin negocierea acordurilor de liber schimb existente și viitoare, noile parteneriate pentru comerț și investiții curate și alte instrumente pentru comerț și parteneriate. Încurajarea cooperării cu organizațiile internaționale de standardizare și elaborarea de standarde și de etichete privind emisiile scăzute de carbon acceptate la nivel mondial.</w:t>
      </w:r>
    </w:p>
    <w:p w14:paraId="1D1A6D4F" w14:textId="77777777" w:rsidR="006D46BC" w:rsidRDefault="006D46BC" w:rsidP="00BB03BB">
      <w:pPr>
        <w:pStyle w:val="ListParagraph"/>
        <w:keepLines/>
        <w:numPr>
          <w:ilvl w:val="0"/>
          <w:numId w:val="4"/>
        </w:numPr>
        <w:pBdr>
          <w:top w:val="single" w:sz="4" w:space="1" w:color="000000"/>
          <w:left w:val="single" w:sz="4" w:space="4" w:color="000000"/>
          <w:bottom w:val="single" w:sz="4" w:space="1" w:color="000000"/>
          <w:right w:val="single" w:sz="4" w:space="4" w:color="000000"/>
        </w:pBdr>
        <w:spacing w:after="120" w:line="240" w:lineRule="auto"/>
        <w:ind w:left="357" w:hanging="357"/>
        <w:contextualSpacing w:val="0"/>
        <w:jc w:val="both"/>
        <w:rPr>
          <w:rFonts w:ascii="Times New Roman" w:hAnsi="Times New Roman" w:cs="Times New Roman"/>
          <w:noProof/>
        </w:rPr>
      </w:pPr>
      <w:r>
        <w:rPr>
          <w:rFonts w:ascii="Times New Roman" w:hAnsi="Times New Roman"/>
          <w:b/>
          <w:bCs/>
          <w:noProof/>
          <w:u w:val="single"/>
        </w:rPr>
        <w:t>Cooperarea triunghiulară pilot</w:t>
      </w:r>
      <w:r>
        <w:rPr>
          <w:rFonts w:ascii="Times New Roman" w:hAnsi="Times New Roman"/>
          <w:b/>
          <w:bCs/>
          <w:noProof/>
        </w:rPr>
        <w:t xml:space="preserve"> între întreprinderile din UE și parteneri avansați din afara UE cu privire la proiecte de investiții în tranziția curată</w:t>
      </w:r>
      <w:r>
        <w:rPr>
          <w:rFonts w:ascii="Times New Roman" w:hAnsi="Times New Roman"/>
          <w:noProof/>
        </w:rPr>
        <w:t xml:space="preserve"> din vecinătatea noastră, din țările emergente și în curs de dezvoltare.</w:t>
      </w:r>
    </w:p>
    <w:p w14:paraId="19E02161" w14:textId="1EF8009C" w:rsidR="006D46BC" w:rsidRDefault="006D46BC" w:rsidP="00BB03BB">
      <w:pPr>
        <w:pStyle w:val="ListParagraph"/>
        <w:keepLines/>
        <w:numPr>
          <w:ilvl w:val="0"/>
          <w:numId w:val="4"/>
        </w:numPr>
        <w:pBdr>
          <w:top w:val="single" w:sz="4" w:space="1" w:color="000000"/>
          <w:left w:val="single" w:sz="4" w:space="4" w:color="000000"/>
          <w:bottom w:val="single" w:sz="4" w:space="1" w:color="000000"/>
          <w:right w:val="single" w:sz="4" w:space="4" w:color="000000"/>
        </w:pBdr>
        <w:spacing w:after="120" w:line="240" w:lineRule="auto"/>
        <w:ind w:left="357" w:hanging="357"/>
        <w:jc w:val="both"/>
        <w:rPr>
          <w:rFonts w:ascii="Times New Roman" w:hAnsi="Times New Roman" w:cs="Times New Roman"/>
          <w:noProof/>
        </w:rPr>
      </w:pPr>
      <w:r>
        <w:rPr>
          <w:rFonts w:ascii="Times New Roman" w:hAnsi="Times New Roman"/>
          <w:b/>
          <w:bCs/>
          <w:noProof/>
          <w:u w:val="single"/>
        </w:rPr>
        <w:t>Consolidarea cooperării în materie de politici și de reglementări</w:t>
      </w:r>
      <w:r>
        <w:rPr>
          <w:rFonts w:ascii="Times New Roman" w:hAnsi="Times New Roman"/>
          <w:noProof/>
        </w:rPr>
        <w:t xml:space="preserve"> cu privire la toate aspectele tranziției curate și reziliente cu autoritățile de reglementare, implicând, după caz, societatea civilă, mediul academic și mediul de afaceri. Mobilizarea expertizei statelor membre ale UE pentru a sprijini țările partenere în ceea ce privește reformele în materie de reglementare și punerea în aplicare a legislației UE, precum și prin utilizarea specifică a TAIEX pentru tranziția curată.</w:t>
      </w:r>
    </w:p>
    <w:p w14:paraId="466D4A20" w14:textId="77777777" w:rsidR="006D46BC" w:rsidRDefault="006D46BC" w:rsidP="00BB03BB">
      <w:pPr>
        <w:pStyle w:val="ListParagraph"/>
        <w:keepLines/>
        <w:numPr>
          <w:ilvl w:val="0"/>
          <w:numId w:val="4"/>
        </w:numPr>
        <w:pBdr>
          <w:top w:val="single" w:sz="4" w:space="1" w:color="000000"/>
          <w:left w:val="single" w:sz="4" w:space="4" w:color="000000"/>
          <w:bottom w:val="single" w:sz="4" w:space="1" w:color="000000"/>
          <w:right w:val="single" w:sz="4" w:space="4" w:color="000000"/>
        </w:pBdr>
        <w:spacing w:after="120" w:line="240" w:lineRule="auto"/>
        <w:ind w:left="357" w:hanging="357"/>
        <w:contextualSpacing w:val="0"/>
        <w:jc w:val="both"/>
        <w:rPr>
          <w:rFonts w:ascii="Times New Roman" w:hAnsi="Times New Roman" w:cs="Times New Roman"/>
          <w:noProof/>
        </w:rPr>
      </w:pPr>
      <w:r>
        <w:rPr>
          <w:rFonts w:ascii="Times New Roman" w:hAnsi="Times New Roman"/>
          <w:b/>
          <w:bCs/>
          <w:noProof/>
          <w:u w:val="single"/>
        </w:rPr>
        <w:t>Reformarea instituțiilor financiare mondiale pentru o tranziție curată și rezilientă</w:t>
      </w:r>
      <w:r>
        <w:rPr>
          <w:rFonts w:ascii="Times New Roman" w:hAnsi="Times New Roman"/>
          <w:noProof/>
        </w:rPr>
        <w:t xml:space="preserve"> și dezvoltarea de noi surse inovatoare de finanțare a combaterii schimbărilor climatice la nivel internațional, inclusiv finanțarea din partea industriei combustibililor fosili, și stabilirea unei legături cu cadrul UE privind finanțarea durabilă. Colaborarea cu </w:t>
      </w:r>
      <w:r>
        <w:rPr>
          <w:rFonts w:ascii="Times New Roman" w:hAnsi="Times New Roman"/>
          <w:b/>
          <w:bCs/>
          <w:noProof/>
        </w:rPr>
        <w:t>statele membre ale UE pentru a mobiliza finanțare din partea băncilor multilaterale de dezvoltare</w:t>
      </w:r>
      <w:r>
        <w:rPr>
          <w:rFonts w:ascii="Times New Roman" w:hAnsi="Times New Roman"/>
          <w:noProof/>
        </w:rPr>
        <w:t>.</w:t>
      </w:r>
    </w:p>
    <w:p w14:paraId="69C176D4" w14:textId="77777777" w:rsidR="006D46BC" w:rsidRDefault="006D46BC" w:rsidP="00BB03BB">
      <w:pPr>
        <w:pStyle w:val="ListParagraph"/>
        <w:keepLines/>
        <w:numPr>
          <w:ilvl w:val="0"/>
          <w:numId w:val="4"/>
        </w:numPr>
        <w:pBdr>
          <w:top w:val="single" w:sz="4" w:space="1" w:color="000000"/>
          <w:left w:val="single" w:sz="4" w:space="4" w:color="000000"/>
          <w:bottom w:val="single" w:sz="4" w:space="1" w:color="000000"/>
          <w:right w:val="single" w:sz="4" w:space="4" w:color="000000"/>
        </w:pBdr>
        <w:spacing w:after="120" w:line="240" w:lineRule="auto"/>
        <w:ind w:left="357" w:hanging="357"/>
        <w:contextualSpacing w:val="0"/>
        <w:jc w:val="both"/>
        <w:rPr>
          <w:rFonts w:ascii="Times New Roman" w:hAnsi="Times New Roman" w:cs="Times New Roman"/>
          <w:noProof/>
        </w:rPr>
      </w:pPr>
      <w:r>
        <w:rPr>
          <w:rFonts w:ascii="Times New Roman" w:hAnsi="Times New Roman"/>
          <w:b/>
          <w:bCs/>
          <w:noProof/>
          <w:u w:val="single"/>
        </w:rPr>
        <w:t>Facilitarea investițiilor în proiecte de adaptare și reziliență</w:t>
      </w:r>
      <w:r>
        <w:rPr>
          <w:rFonts w:ascii="Times New Roman" w:hAnsi="Times New Roman"/>
          <w:noProof/>
        </w:rPr>
        <w:t xml:space="preserve"> la scară largă și sprijinirea creării de modele de afaceri pentru adaptarea la schimbările climatice, în special în țările cel mai puțin dezvoltate și în statele insulare mici în curs de dezvoltare. </w:t>
      </w:r>
    </w:p>
    <w:p w14:paraId="3DF88E9D" w14:textId="46ABE49A" w:rsidR="006D46BC" w:rsidRDefault="006D46BC" w:rsidP="00BB03BB">
      <w:pPr>
        <w:pStyle w:val="ListParagraph"/>
        <w:keepLines/>
        <w:numPr>
          <w:ilvl w:val="0"/>
          <w:numId w:val="4"/>
        </w:numPr>
        <w:pBdr>
          <w:top w:val="single" w:sz="4" w:space="1" w:color="000000"/>
          <w:left w:val="single" w:sz="4" w:space="4" w:color="000000"/>
          <w:bottom w:val="single" w:sz="4" w:space="1" w:color="000000"/>
          <w:right w:val="single" w:sz="4" w:space="4" w:color="000000"/>
        </w:pBdr>
        <w:spacing w:after="120" w:line="240" w:lineRule="auto"/>
        <w:ind w:left="357" w:hanging="357"/>
        <w:contextualSpacing w:val="0"/>
        <w:jc w:val="both"/>
        <w:rPr>
          <w:rFonts w:ascii="Times New Roman" w:hAnsi="Times New Roman" w:cs="Times New Roman"/>
          <w:noProof/>
        </w:rPr>
      </w:pPr>
      <w:r>
        <w:rPr>
          <w:rFonts w:ascii="Times New Roman" w:hAnsi="Times New Roman"/>
          <w:b/>
          <w:bCs/>
          <w:noProof/>
          <w:u w:val="single"/>
        </w:rPr>
        <w:t>Intensificarea activității UE în materie de securitate climatică în cadrul angajamentelor sale internaționale</w:t>
      </w:r>
      <w:r>
        <w:rPr>
          <w:rFonts w:ascii="Times New Roman" w:hAnsi="Times New Roman"/>
          <w:noProof/>
        </w:rPr>
        <w:t xml:space="preserve">, cum ar fi propunerea de schimburi periodice de informații în cadrul parteneriatelor în materie de securitate și apărare cu privire la impactul schimbărilor climatice asupra situațiilor de fragilitate și a riscurilor de conflict, precum și combaterea acțiunilor străine de manipulare a informațiilor, a ingerințelor străine și a dezinformării cu privire la schimbările climatice și tranziția energetică. </w:t>
      </w:r>
    </w:p>
    <w:p w14:paraId="77B14BE8" w14:textId="77777777" w:rsidR="006D46BC" w:rsidRDefault="006D46BC" w:rsidP="006D46BC">
      <w:pPr>
        <w:pStyle w:val="Text1"/>
        <w:spacing w:after="160"/>
        <w:ind w:left="0"/>
        <w:rPr>
          <w:noProof/>
        </w:rPr>
      </w:pPr>
      <w:r>
        <w:rPr>
          <w:noProof/>
        </w:rPr>
        <w:t xml:space="preserve">Prin această comunicare comună, Comisia Europeană și Înalta Reprezentantă prezintă o viziune pentru conturarea unei tranziții curate și reziliente la nivel mondial, în care soluțiile climatice, energetice și industriale merg mână în mână. </w:t>
      </w:r>
    </w:p>
    <w:p w14:paraId="67BA03EE" w14:textId="77777777" w:rsidR="006D46BC" w:rsidRDefault="006D46BC" w:rsidP="006D46BC">
      <w:pPr>
        <w:pStyle w:val="Text1"/>
        <w:spacing w:after="160"/>
        <w:ind w:left="0"/>
        <w:rPr>
          <w:noProof/>
        </w:rPr>
      </w:pPr>
      <w:r>
        <w:rPr>
          <w:noProof/>
        </w:rPr>
        <w:t>Revoluția industrială curată este în curs de desfășurare în întreaga lume. UE contribuie în mod activ la această transformare și va continua să beneficieze de ea. Pentru a profita de aceste beneficii, UE trebuie să fie motorul industrial care furnizează soluții tehnologice curate și soluții de adaptare țărilor din întreaga lume. Acest lucru necesită continuarea și extinderea cooperării strânse cu partenerii noștri. Suntem pregătiți să ne mobilizăm expertiza și resursele pentru a realiza tranziția către o economie mondială curată și rezilientă.</w:t>
      </w:r>
    </w:p>
    <w:p w14:paraId="6635BD04" w14:textId="5CAFAF14" w:rsidR="006D46BC" w:rsidRDefault="006D46BC" w:rsidP="006D46BC">
      <w:pPr>
        <w:pStyle w:val="Text1"/>
        <w:spacing w:after="160"/>
        <w:ind w:left="0"/>
        <w:rPr>
          <w:noProof/>
        </w:rPr>
      </w:pPr>
      <w:r>
        <w:rPr>
          <w:noProof/>
        </w:rPr>
        <w:t xml:space="preserve">Parteneriatele economice nu sunt doar complementare diplomației în domeniul climei și al energiei, ci constituie coloana vertebrală a acestei activități. Tranziția curată trebuie să fie echitabilă, rezilientă la impact, favorabilă investițiilor și mondială. Prin piețe deschise, lanțuri de aprovizionare de încredere și creștere industrială comună, UE este pregătită să colaboreze cu partenerii săi pentru a construi un viitor mai prosper, mai durabil și mai rezilient pentru toți. Consolidarea partenerilor de încredere în rețelele și lanțurile noastre de aprovizionare, precum și instrumentele de apărare comercială ale UE sunt elemente esențiale pentru consolidarea rezilienței. </w:t>
      </w:r>
      <w:bookmarkStart w:id="10" w:name="_Hlk209616098"/>
      <w:r>
        <w:rPr>
          <w:noProof/>
        </w:rPr>
        <w:t>Făcând din inovare un motor vizibil al viziunii sale la nivel mondial, UE se poate asigura că progresele științifice și tehnologice actuale susțin piețele și parteneriatele de mâine.</w:t>
      </w:r>
      <w:bookmarkEnd w:id="10"/>
    </w:p>
    <w:p w14:paraId="1A2308AC" w14:textId="39882A1A" w:rsidR="00AE2E91" w:rsidRDefault="006D46BC" w:rsidP="006D46BC">
      <w:pPr>
        <w:pStyle w:val="Text1"/>
        <w:spacing w:after="160"/>
        <w:ind w:left="0"/>
        <w:rPr>
          <w:noProof/>
        </w:rPr>
      </w:pPr>
      <w:r>
        <w:rPr>
          <w:noProof/>
        </w:rPr>
        <w:t>Comisia Europeană și Înalta Reprezentantă vor raporta periodic cu privire la progresele înregistrate în punerea în aplicare a prezentei comunicări. Ele vor purta un dialog periodic cu statele membre și cu părțile interesate cu privire la rolul la nivel mondial al UE și al statelor sale membre în ceea ce privește impulsionarea tranziției climatice și energetice în întreaga lume și atingerea obiectivelor noastre comune.</w:t>
      </w:r>
    </w:p>
    <w:sectPr w:rsidR="00AE2E91" w:rsidSect="00010207">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E9CD4B" w14:textId="77777777" w:rsidR="00DF0723" w:rsidRDefault="00DF0723">
      <w:pPr>
        <w:spacing w:after="0" w:line="240" w:lineRule="auto"/>
      </w:pPr>
      <w:r>
        <w:separator/>
      </w:r>
    </w:p>
  </w:endnote>
  <w:endnote w:type="continuationSeparator" w:id="0">
    <w:p w14:paraId="1B559D6E" w14:textId="77777777" w:rsidR="00DF0723" w:rsidRDefault="00DF0723">
      <w:pPr>
        <w:spacing w:after="0" w:line="240" w:lineRule="auto"/>
      </w:pPr>
      <w:r>
        <w:continuationSeparator/>
      </w:r>
    </w:p>
  </w:endnote>
  <w:endnote w:type="continuationNotice" w:id="1">
    <w:p w14:paraId="175FF789" w14:textId="77777777" w:rsidR="00DF0723" w:rsidRDefault="00DF07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DengXian">
    <w:altName w:val="SimSu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83CC8" w14:textId="2BE5D829" w:rsidR="000E77AD" w:rsidRPr="000E77AD" w:rsidRDefault="000E77AD" w:rsidP="000E77AD">
    <w:pPr>
      <w:pStyle w:val="FooterCoverPage"/>
      <w:rPr>
        <w:rFonts w:ascii="Arial" w:hAnsi="Arial" w:cs="Arial"/>
        <w:b/>
        <w:sz w:val="48"/>
      </w:rPr>
    </w:pPr>
    <w:r w:rsidRPr="000E77AD">
      <w:rPr>
        <w:rFonts w:ascii="Arial" w:hAnsi="Arial" w:cs="Arial"/>
        <w:b/>
        <w:sz w:val="48"/>
      </w:rPr>
      <w:t>RO</w:t>
    </w:r>
    <w:r w:rsidRPr="000E77AD">
      <w:rPr>
        <w:rFonts w:ascii="Arial" w:hAnsi="Arial" w:cs="Arial"/>
        <w:b/>
        <w:sz w:val="48"/>
      </w:rPr>
      <w:tab/>
    </w:r>
    <w:r w:rsidRPr="000E77AD">
      <w:rPr>
        <w:rFonts w:ascii="Arial" w:hAnsi="Arial" w:cs="Arial"/>
        <w:b/>
        <w:sz w:val="48"/>
      </w:rPr>
      <w:tab/>
    </w:r>
    <w:r w:rsidRPr="000E77AD">
      <w:tab/>
    </w:r>
    <w:r w:rsidRPr="000E77AD">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132B10" w14:textId="77B57908" w:rsidR="000E77AD" w:rsidRPr="000E77AD" w:rsidRDefault="000E77AD" w:rsidP="000E77AD">
    <w:pPr>
      <w:pStyle w:val="FooterCoverPage"/>
      <w:rPr>
        <w:rFonts w:ascii="Arial" w:hAnsi="Arial" w:cs="Arial"/>
        <w:b/>
        <w:sz w:val="48"/>
      </w:rPr>
    </w:pPr>
    <w:r w:rsidRPr="000E77AD">
      <w:rPr>
        <w:rFonts w:ascii="Arial" w:hAnsi="Arial" w:cs="Arial"/>
        <w:b/>
        <w:sz w:val="48"/>
      </w:rPr>
      <w:t>RO</w:t>
    </w:r>
    <w:r w:rsidRPr="000E77AD">
      <w:rPr>
        <w:rFonts w:ascii="Arial" w:hAnsi="Arial" w:cs="Arial"/>
        <w:b/>
        <w:sz w:val="48"/>
      </w:rPr>
      <w:tab/>
    </w:r>
    <w:r w:rsidRPr="000E77AD">
      <w:rPr>
        <w:rFonts w:ascii="Arial" w:hAnsi="Arial" w:cs="Arial"/>
        <w:b/>
        <w:sz w:val="48"/>
      </w:rPr>
      <w:tab/>
    </w:r>
    <w:r w:rsidRPr="000E77AD">
      <w:tab/>
    </w:r>
    <w:r w:rsidRPr="000E77AD">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281798" w14:textId="77777777" w:rsidR="000E77AD" w:rsidRPr="000E77AD" w:rsidRDefault="000E77AD" w:rsidP="000E77A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F925A9" w14:textId="77777777" w:rsidR="00AE2E91" w:rsidRDefault="00AE2E91">
    <w:pPr>
      <w:pStyle w:val="Footer"/>
    </w:pPr>
  </w:p>
  <w:p w14:paraId="7C266E5A" w14:textId="77777777" w:rsidR="00AE2E91" w:rsidRDefault="00AE2E91"/>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FAC5ED" w14:textId="639EEAB7" w:rsidR="00AE2E91" w:rsidRDefault="00BD7618">
    <w:pPr>
      <w:pStyle w:val="Footer"/>
      <w:jc w:val="center"/>
      <w:rPr>
        <w:rFonts w:asciiTheme="majorBidi" w:hAnsiTheme="majorBidi" w:cstheme="majorBidi"/>
        <w:sz w:val="20"/>
        <w:szCs w:val="20"/>
      </w:rPr>
    </w:pPr>
    <w:r>
      <w:fldChar w:fldCharType="begin"/>
    </w:r>
    <w:r>
      <w:rPr>
        <w:rFonts w:hint="eastAsia"/>
      </w:rPr>
      <w:instrText>PAGE  \* MERGEFORMAT</w:instrText>
    </w:r>
    <w:r>
      <w:fldChar w:fldCharType="separate"/>
    </w:r>
    <w:r w:rsidR="000E77AD" w:rsidRPr="000E77AD">
      <w:rPr>
        <w:rFonts w:asciiTheme="majorBidi" w:hAnsiTheme="majorBidi" w:cstheme="majorBidi"/>
        <w:noProof/>
        <w:sz w:val="20"/>
      </w:rPr>
      <w:t>1</w:t>
    </w:r>
    <w:r>
      <w:rPr>
        <w:rFonts w:asciiTheme="majorBidi" w:hAnsiTheme="majorBidi" w:cstheme="majorBidi"/>
        <w:sz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2D50B8" w14:textId="77777777" w:rsidR="00AE2E91" w:rsidRDefault="00AE2E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73C55A" w14:textId="77777777" w:rsidR="00DF0723" w:rsidRDefault="00DF0723">
      <w:r>
        <w:separator/>
      </w:r>
    </w:p>
  </w:footnote>
  <w:footnote w:type="continuationSeparator" w:id="0">
    <w:p w14:paraId="1D20752F" w14:textId="77777777" w:rsidR="00DF0723" w:rsidRDefault="00DF0723">
      <w:r>
        <w:continuationSeparator/>
      </w:r>
    </w:p>
  </w:footnote>
  <w:footnote w:type="continuationNotice" w:id="1">
    <w:p w14:paraId="012AC135" w14:textId="77777777" w:rsidR="00DF0723" w:rsidRDefault="00DF0723">
      <w:pPr>
        <w:spacing w:after="0" w:line="240" w:lineRule="auto"/>
      </w:pPr>
    </w:p>
  </w:footnote>
  <w:footnote w:id="2">
    <w:p w14:paraId="60CC7821" w14:textId="61DB2F83" w:rsidR="006D46BC" w:rsidRPr="007017D6" w:rsidRDefault="006D46BC" w:rsidP="006D46BC">
      <w:pPr>
        <w:pStyle w:val="FootnoteText"/>
      </w:pPr>
      <w:r>
        <w:t>(</w:t>
      </w:r>
      <w:r>
        <w:rPr>
          <w:rStyle w:val="FootnoteReference"/>
          <w:rFonts w:eastAsiaTheme="majorEastAsia"/>
        </w:rPr>
        <w:footnoteRef/>
      </w:r>
      <w:r>
        <w:t>)</w:t>
      </w:r>
      <w:r>
        <w:tab/>
      </w:r>
      <w:hyperlink r:id="rId1" w:history="1">
        <w:r>
          <w:rPr>
            <w:rStyle w:val="Hyperlink"/>
          </w:rPr>
          <w:t>Contribuții stabilite la nivel național în temeiul Acordului de la Paris</w:t>
        </w:r>
      </w:hyperlink>
      <w:r>
        <w:t>.</w:t>
      </w:r>
      <w:r w:rsidR="00BD610D">
        <w:t xml:space="preserve"> </w:t>
      </w:r>
      <w:hyperlink r:id="rId2" w:history="1">
        <w:r>
          <w:rPr>
            <w:rStyle w:val="Hyperlink"/>
          </w:rPr>
          <w:t>Raport de sinteză realizat de către secretariat |</w:t>
        </w:r>
      </w:hyperlink>
      <w:hyperlink r:id="rId3" w:history="1">
        <w:r>
          <w:rPr>
            <w:rStyle w:val="Hyperlink"/>
          </w:rPr>
          <w:t>CCONUSC</w:t>
        </w:r>
      </w:hyperlink>
      <w:r>
        <w:t>.</w:t>
      </w:r>
    </w:p>
  </w:footnote>
  <w:footnote w:id="3">
    <w:p w14:paraId="1F29675A" w14:textId="77777777" w:rsidR="006D46BC" w:rsidRDefault="006D46BC" w:rsidP="0034579F">
      <w:pPr>
        <w:pStyle w:val="FootnoteText"/>
      </w:pPr>
      <w:r>
        <w:t>(</w:t>
      </w:r>
      <w:r>
        <w:rPr>
          <w:rStyle w:val="FootnoteReference"/>
          <w:rFonts w:eastAsiaTheme="majorEastAsia"/>
        </w:rPr>
        <w:footnoteRef/>
      </w:r>
      <w:r>
        <w:t>)</w:t>
      </w:r>
      <w:r>
        <w:tab/>
        <w:t xml:space="preserve">China generează 29 %, SUA 11 % și India 8 %. </w:t>
      </w:r>
      <w:hyperlink r:id="rId4" w:history="1">
        <w:r>
          <w:rPr>
            <w:rStyle w:val="Hyperlink"/>
          </w:rPr>
          <w:t>Raportul EDGAR 2025, Centrul Comun de Cercetare al Comisiei Europene</w:t>
        </w:r>
      </w:hyperlink>
      <w:r>
        <w:t>.</w:t>
      </w:r>
    </w:p>
  </w:footnote>
  <w:footnote w:id="4">
    <w:p w14:paraId="126EA79D" w14:textId="77777777" w:rsidR="006D46BC" w:rsidRDefault="006D46BC" w:rsidP="006D46BC">
      <w:pPr>
        <w:pStyle w:val="FootnoteText"/>
      </w:pPr>
      <w:r>
        <w:t>(</w:t>
      </w:r>
      <w:r>
        <w:rPr>
          <w:rStyle w:val="FootnoteReference"/>
        </w:rPr>
        <w:footnoteRef/>
      </w:r>
      <w:r>
        <w:t>)</w:t>
      </w:r>
      <w:r>
        <w:tab/>
      </w:r>
      <w:hyperlink r:id="rId5" w:history="1">
        <w:r>
          <w:rPr>
            <w:rStyle w:val="Hyperlink"/>
          </w:rPr>
          <w:t>Raportul din 2025 al AIE privind energia din surse regenerabile</w:t>
        </w:r>
      </w:hyperlink>
      <w:r>
        <w:t xml:space="preserve">. </w:t>
      </w:r>
    </w:p>
  </w:footnote>
  <w:footnote w:id="5">
    <w:p w14:paraId="3A20E330" w14:textId="77777777" w:rsidR="006D46BC" w:rsidRDefault="006D46BC" w:rsidP="006D46BC">
      <w:pPr>
        <w:pStyle w:val="FootnoteText"/>
      </w:pPr>
      <w:r>
        <w:t>(</w:t>
      </w:r>
      <w:r>
        <w:rPr>
          <w:rStyle w:val="FootnoteReference"/>
        </w:rPr>
        <w:footnoteRef/>
      </w:r>
      <w:r>
        <w:t xml:space="preserve">) </w:t>
      </w:r>
      <w:r>
        <w:tab/>
      </w:r>
      <w:hyperlink r:id="rId6" w:history="1">
        <w:r>
          <w:rPr>
            <w:rStyle w:val="Hyperlink"/>
          </w:rPr>
          <w:t>AIE, Investițiile în domeniul energiei la nivel mondial, 2025</w:t>
        </w:r>
      </w:hyperlink>
      <w:r>
        <w:t xml:space="preserve">. </w:t>
      </w:r>
    </w:p>
  </w:footnote>
  <w:footnote w:id="6">
    <w:p w14:paraId="1AB88846" w14:textId="7BC80D16" w:rsidR="006D46BC" w:rsidRPr="00356E12" w:rsidRDefault="006D46BC" w:rsidP="006D46BC">
      <w:pPr>
        <w:pStyle w:val="FootnoteText"/>
      </w:pPr>
      <w:r>
        <w:t>(</w:t>
      </w:r>
      <w:r>
        <w:rPr>
          <w:rStyle w:val="FootnoteReference"/>
        </w:rPr>
        <w:footnoteRef/>
      </w:r>
      <w:r>
        <w:t xml:space="preserve">) </w:t>
      </w:r>
      <w:r>
        <w:tab/>
        <w:t xml:space="preserve">COM(2024) 498 final: </w:t>
      </w:r>
      <w:hyperlink r:id="rId7" w:history="1">
        <w:r>
          <w:rPr>
            <w:rStyle w:val="Hyperlink"/>
          </w:rPr>
          <w:t>Raportul intermediar privind acțiunile climatice ale UE pentru 2024</w:t>
        </w:r>
      </w:hyperlink>
      <w:r>
        <w:t>.</w:t>
      </w:r>
    </w:p>
  </w:footnote>
  <w:footnote w:id="7">
    <w:p w14:paraId="3450A51F" w14:textId="77777777" w:rsidR="006D46BC" w:rsidRPr="00C3516C" w:rsidRDefault="006D46BC" w:rsidP="006D46BC">
      <w:pPr>
        <w:pStyle w:val="FootnoteText"/>
      </w:pPr>
      <w:r>
        <w:t>(</w:t>
      </w:r>
      <w:r>
        <w:rPr>
          <w:rStyle w:val="FootnoteReference"/>
        </w:rPr>
        <w:footnoteRef/>
      </w:r>
      <w:r>
        <w:t>)</w:t>
      </w:r>
      <w:r>
        <w:tab/>
      </w:r>
      <w:hyperlink r:id="rId8" w:history="1">
        <w:r>
          <w:rPr>
            <w:rStyle w:val="Hyperlink"/>
          </w:rPr>
          <w:t>Al șaselea raport de evaluare al IPCC (AR6) Raport de sinteză, Rezumat pentru factorii de decizie</w:t>
        </w:r>
      </w:hyperlink>
      <w:r>
        <w:t>.</w:t>
      </w:r>
    </w:p>
  </w:footnote>
  <w:footnote w:id="8">
    <w:p w14:paraId="14DB58E0" w14:textId="77777777" w:rsidR="006D46BC" w:rsidRDefault="006D46BC" w:rsidP="006D46BC">
      <w:pPr>
        <w:pStyle w:val="FootnoteText"/>
      </w:pPr>
      <w:r>
        <w:t>(</w:t>
      </w:r>
      <w:r>
        <w:rPr>
          <w:rStyle w:val="FootnoteReference"/>
          <w:rFonts w:eastAsiaTheme="majorEastAsia"/>
        </w:rPr>
        <w:footnoteRef/>
      </w:r>
      <w:r>
        <w:t>)</w:t>
      </w:r>
      <w:r>
        <w:tab/>
      </w:r>
      <w:hyperlink r:id="rId9" w:history="1">
        <w:r>
          <w:rPr>
            <w:rStyle w:val="Hyperlink"/>
          </w:rPr>
          <w:t>IRENA, Statistici privind energia din surse regenerabile, 2025</w:t>
        </w:r>
      </w:hyperlink>
      <w:r>
        <w:t xml:space="preserve">, </w:t>
      </w:r>
      <w:hyperlink r:id="rId10" w:history="1">
        <w:r>
          <w:rPr>
            <w:rStyle w:val="Hyperlink"/>
          </w:rPr>
          <w:t>AIE, Investițiile în domeniul energiei la nivel mondial, 2025</w:t>
        </w:r>
      </w:hyperlink>
      <w:r>
        <w:t xml:space="preserve">, </w:t>
      </w:r>
      <w:hyperlink r:id="rId11" w:history="1">
        <w:r>
          <w:rPr>
            <w:rStyle w:val="Hyperlink"/>
          </w:rPr>
          <w:t>AIE, Ocuparea forței de muncă în sectorul energetic la nivel mondial, 2024</w:t>
        </w:r>
      </w:hyperlink>
      <w:r>
        <w:t xml:space="preserve">, </w:t>
      </w:r>
      <w:hyperlink r:id="rId12" w:history="1">
        <w:r>
          <w:rPr>
            <w:rStyle w:val="Hyperlink"/>
          </w:rPr>
          <w:t>AIE, Perspective asupra tehnologiilor energetice, 2024</w:t>
        </w:r>
      </w:hyperlink>
      <w:r>
        <w:t xml:space="preserve">, </w:t>
      </w:r>
      <w:hyperlink r:id="rId13" w:history="1">
        <w:r>
          <w:rPr>
            <w:rStyle w:val="Hyperlink"/>
          </w:rPr>
          <w:t>AIE, Perspective privind energia la nivel mondial, 2024</w:t>
        </w:r>
      </w:hyperlink>
      <w:r>
        <w:t xml:space="preserve">, </w:t>
      </w:r>
      <w:hyperlink r:id="rId14" w:history="1">
        <w:r>
          <w:rPr>
            <w:rStyle w:val="Hyperlink"/>
          </w:rPr>
          <w:t>AIE, Analiza privind energia la nivel mondial, 2025</w:t>
        </w:r>
      </w:hyperlink>
      <w:r>
        <w:t>, ratele de schimb EUR/USD pentru 2024.</w:t>
      </w:r>
    </w:p>
  </w:footnote>
  <w:footnote w:id="9">
    <w:p w14:paraId="3DED4F35" w14:textId="77777777" w:rsidR="006D46BC" w:rsidRDefault="006D46BC" w:rsidP="006D46BC">
      <w:pPr>
        <w:pStyle w:val="FootnoteText"/>
      </w:pPr>
      <w:r>
        <w:t>(</w:t>
      </w:r>
      <w:r>
        <w:rPr>
          <w:rStyle w:val="FootnoteReference"/>
          <w:rFonts w:eastAsiaTheme="majorEastAsia"/>
        </w:rPr>
        <w:footnoteRef/>
      </w:r>
      <w:r>
        <w:t>)</w:t>
      </w:r>
      <w:r>
        <w:tab/>
        <w:t>0,040 EUR/kWh pentru energia solară fotovoltaică, 0,031 EUR/kWh pentru energia eoliană onshore și 0,073 EUR/kWh pentru energia eoliană offshore, față de 0,067 EUR/kWh pentru cărbune și 0,079 EUR/kWh pentru gaze (</w:t>
      </w:r>
      <w:hyperlink r:id="rId15" w:history="1">
        <w:r>
          <w:rPr>
            <w:rStyle w:val="Hyperlink"/>
          </w:rPr>
          <w:t>IRENA, Costurile de producere a energiei din surse regenerabile, 2024)</w:t>
        </w:r>
      </w:hyperlink>
      <w:r>
        <w:t>.</w:t>
      </w:r>
    </w:p>
  </w:footnote>
  <w:footnote w:id="10">
    <w:p w14:paraId="5404892E" w14:textId="77777777" w:rsidR="006D46BC" w:rsidRDefault="006D46BC" w:rsidP="006D46BC">
      <w:pPr>
        <w:pStyle w:val="FootnoteText"/>
      </w:pPr>
      <w:r>
        <w:t>(</w:t>
      </w:r>
      <w:r>
        <w:rPr>
          <w:rStyle w:val="FootnoteReference"/>
        </w:rPr>
        <w:footnoteRef/>
      </w:r>
      <w:r>
        <w:t xml:space="preserve">) </w:t>
      </w:r>
      <w:r>
        <w:tab/>
      </w:r>
      <w:hyperlink r:id="rId16" w:history="1">
        <w:r>
          <w:rPr>
            <w:rStyle w:val="Hyperlink"/>
          </w:rPr>
          <w:t>AIE, Perspective asupra tehnologiilor energetice, 2024</w:t>
        </w:r>
      </w:hyperlink>
      <w:r>
        <w:t>.</w:t>
      </w:r>
    </w:p>
  </w:footnote>
  <w:footnote w:id="11">
    <w:p w14:paraId="4D0F9D40" w14:textId="77777777" w:rsidR="006D46BC" w:rsidRDefault="006D46BC" w:rsidP="006D46BC">
      <w:pPr>
        <w:pStyle w:val="FootnoteText"/>
      </w:pPr>
      <w:r>
        <w:t>(</w:t>
      </w:r>
      <w:r>
        <w:rPr>
          <w:rStyle w:val="FootnoteReference"/>
        </w:rPr>
        <w:footnoteRef/>
      </w:r>
      <w:r>
        <w:t xml:space="preserve">) </w:t>
      </w:r>
      <w:r>
        <w:tab/>
        <w:t>Progresele în materie de competitivitate a tehnologiilor energetice curate [COM(2025) 74 final].</w:t>
      </w:r>
    </w:p>
  </w:footnote>
  <w:footnote w:id="12">
    <w:p w14:paraId="6B107D89" w14:textId="77777777" w:rsidR="006D46BC" w:rsidRDefault="006D46BC" w:rsidP="006D46BC">
      <w:pPr>
        <w:pStyle w:val="FootnoteText"/>
      </w:pPr>
      <w:r>
        <w:t>(</w:t>
      </w:r>
      <w:r>
        <w:rPr>
          <w:rStyle w:val="FootnoteReference"/>
        </w:rPr>
        <w:footnoteRef/>
      </w:r>
      <w:r>
        <w:t>)</w:t>
      </w:r>
      <w:r>
        <w:tab/>
        <w:t xml:space="preserve">García-Herrero &amp; Mu, </w:t>
      </w:r>
      <w:hyperlink r:id="rId17" w:history="1">
        <w:r>
          <w:rPr>
            <w:rStyle w:val="Hyperlink"/>
          </w:rPr>
          <w:t>„China can decarbonise the world – but even that won’t fix its overcapacity problem”</w:t>
        </w:r>
      </w:hyperlink>
      <w:r>
        <w:t xml:space="preserve">, 24 septembrie 2025, Brugel. </w:t>
      </w:r>
    </w:p>
  </w:footnote>
  <w:footnote w:id="13">
    <w:p w14:paraId="72ACD013" w14:textId="77777777" w:rsidR="006D46BC" w:rsidRPr="006A3D7F" w:rsidRDefault="006D46BC" w:rsidP="006D46BC">
      <w:pPr>
        <w:pStyle w:val="FootnoteText"/>
      </w:pPr>
      <w:r>
        <w:t>(</w:t>
      </w:r>
      <w:r>
        <w:rPr>
          <w:rStyle w:val="FootnoteReference"/>
        </w:rPr>
        <w:footnoteRef/>
      </w:r>
      <w:r>
        <w:t xml:space="preserve">) </w:t>
      </w:r>
      <w:r>
        <w:tab/>
        <w:t xml:space="preserve">EMBER, </w:t>
      </w:r>
      <w:hyperlink r:id="rId18" w:history="1">
        <w:r>
          <w:rPr>
            <w:rStyle w:val="Hyperlink"/>
          </w:rPr>
          <w:t>„The first evidence of a take-off in solar in Africa”</w:t>
        </w:r>
      </w:hyperlink>
      <w:r>
        <w:t xml:space="preserve">, 26 August 2025. </w:t>
      </w:r>
    </w:p>
  </w:footnote>
  <w:footnote w:id="14">
    <w:p w14:paraId="6AB76AE7" w14:textId="77777777" w:rsidR="006D46BC" w:rsidRPr="00F72677" w:rsidRDefault="006D46BC" w:rsidP="006D46BC">
      <w:pPr>
        <w:pStyle w:val="FootnoteText"/>
      </w:pPr>
      <w:r>
        <w:t>(</w:t>
      </w:r>
      <w:r>
        <w:rPr>
          <w:rStyle w:val="FootnoteReference"/>
        </w:rPr>
        <w:footnoteRef/>
      </w:r>
      <w:r>
        <w:t>)</w:t>
      </w:r>
      <w:r>
        <w:tab/>
      </w:r>
      <w:hyperlink r:id="rId19" w:history="1">
        <w:r>
          <w:rPr>
            <w:rStyle w:val="Hyperlink"/>
          </w:rPr>
          <w:t>AIE, Perspectivele privind vehiculele electrice la nivel mondial, 2025</w:t>
        </w:r>
      </w:hyperlink>
      <w:r>
        <w:t>.</w:t>
      </w:r>
    </w:p>
  </w:footnote>
  <w:footnote w:id="15">
    <w:p w14:paraId="198CFF74" w14:textId="77777777" w:rsidR="006D46BC" w:rsidRDefault="006D46BC" w:rsidP="006D46BC">
      <w:pPr>
        <w:pStyle w:val="FootnoteText"/>
      </w:pPr>
      <w:r>
        <w:t>(</w:t>
      </w:r>
      <w:r>
        <w:rPr>
          <w:rStyle w:val="FootnoteReference"/>
        </w:rPr>
        <w:footnoteRef/>
      </w:r>
      <w:r>
        <w:t>)</w:t>
      </w:r>
      <w:r>
        <w:tab/>
        <w:t xml:space="preserve">Ministerul etiopian al Apei și Energiei și alții, </w:t>
      </w:r>
      <w:hyperlink r:id="rId20" w:history="1">
        <w:r>
          <w:rPr>
            <w:rStyle w:val="Hyperlink"/>
          </w:rPr>
          <w:t>Perspective privind energia în Etiopia, 2025</w:t>
        </w:r>
      </w:hyperlink>
      <w:r>
        <w:t xml:space="preserve">, mai 2025. </w:t>
      </w:r>
    </w:p>
  </w:footnote>
  <w:footnote w:id="16">
    <w:p w14:paraId="5130CF52" w14:textId="77777777" w:rsidR="006D46BC" w:rsidRPr="00EB2B8A" w:rsidRDefault="006D46BC" w:rsidP="006D46BC">
      <w:pPr>
        <w:pStyle w:val="FootnoteText"/>
      </w:pPr>
      <w:r>
        <w:t>(</w:t>
      </w:r>
      <w:r>
        <w:rPr>
          <w:rStyle w:val="FootnoteReference"/>
        </w:rPr>
        <w:footnoteRef/>
      </w:r>
      <w:r>
        <w:t>)</w:t>
      </w:r>
      <w:r>
        <w:tab/>
        <w:t xml:space="preserve">EMBER, </w:t>
      </w:r>
      <w:hyperlink r:id="rId21" w:history="1">
        <w:r>
          <w:rPr>
            <w:rStyle w:val="Hyperlink"/>
          </w:rPr>
          <w:t>Prezentare generală privind America Latină și regiunea Caraibe</w:t>
        </w:r>
      </w:hyperlink>
      <w:r>
        <w:t>, 26 august 2025.</w:t>
      </w:r>
    </w:p>
  </w:footnote>
  <w:footnote w:id="17">
    <w:p w14:paraId="588E4FE2" w14:textId="77777777" w:rsidR="006D46BC" w:rsidRPr="00607418" w:rsidRDefault="006D46BC" w:rsidP="006D46BC">
      <w:pPr>
        <w:pStyle w:val="FootnoteText"/>
      </w:pPr>
      <w:r>
        <w:t>(</w:t>
      </w:r>
      <w:r>
        <w:rPr>
          <w:rStyle w:val="FootnoteReference"/>
        </w:rPr>
        <w:footnoteRef/>
      </w:r>
      <w:r>
        <w:t>)</w:t>
      </w:r>
      <w:r>
        <w:tab/>
      </w:r>
      <w:hyperlink r:id="rId22" w:history="1">
        <w:r>
          <w:rPr>
            <w:rStyle w:val="Hyperlink"/>
          </w:rPr>
          <w:t>AIE, Investițiile în domeniul energiei la nivel mondial, 2025</w:t>
        </w:r>
      </w:hyperlink>
      <w:r>
        <w:t xml:space="preserve"> și </w:t>
      </w:r>
      <w:hyperlink r:id="rId23" w:history="1">
        <w:r>
          <w:rPr>
            <w:rStyle w:val="Hyperlink"/>
          </w:rPr>
          <w:t>AIE, Perspective privind energia în Africa, 2022</w:t>
        </w:r>
      </w:hyperlink>
      <w:r>
        <w:t>.</w:t>
      </w:r>
    </w:p>
  </w:footnote>
  <w:footnote w:id="18">
    <w:p w14:paraId="669B7BCC" w14:textId="77777777" w:rsidR="006D46BC" w:rsidRPr="00C111E5" w:rsidRDefault="006D46BC" w:rsidP="006D46BC">
      <w:pPr>
        <w:pStyle w:val="FootnoteText"/>
      </w:pPr>
      <w:r>
        <w:t>(</w:t>
      </w:r>
      <w:r>
        <w:rPr>
          <w:rStyle w:val="FootnoteReference"/>
        </w:rPr>
        <w:footnoteRef/>
      </w:r>
      <w:r>
        <w:t xml:space="preserve">) </w:t>
      </w:r>
      <w:r>
        <w:tab/>
        <w:t xml:space="preserve">Eurostat (set de date </w:t>
      </w:r>
      <w:hyperlink r:id="rId24" w:history="1">
        <w:r>
          <w:rPr>
            <w:rStyle w:val="Hyperlink"/>
          </w:rPr>
          <w:t>nrg_ind_eff</w:t>
        </w:r>
      </w:hyperlink>
      <w:r>
        <w:t>).</w:t>
      </w:r>
    </w:p>
  </w:footnote>
  <w:footnote w:id="19">
    <w:p w14:paraId="75E9341F" w14:textId="77777777" w:rsidR="006D46BC" w:rsidRDefault="006D46BC" w:rsidP="006D46BC">
      <w:pPr>
        <w:pStyle w:val="FootnoteText"/>
      </w:pPr>
      <w:r>
        <w:t>(</w:t>
      </w:r>
      <w:r>
        <w:rPr>
          <w:rStyle w:val="FootnoteReference"/>
        </w:rPr>
        <w:footnoteRef/>
      </w:r>
      <w:r>
        <w:t>)</w:t>
      </w:r>
      <w:r>
        <w:tab/>
      </w:r>
      <w:hyperlink r:id="rId25" w:history="1">
        <w:r>
          <w:rPr>
            <w:rStyle w:val="Hyperlink"/>
          </w:rPr>
          <w:t>AIE, Actualizare privind piața energiei din surse regenerabile – iunie 2023</w:t>
        </w:r>
      </w:hyperlink>
      <w:r>
        <w:t xml:space="preserve">. </w:t>
      </w:r>
    </w:p>
  </w:footnote>
  <w:footnote w:id="20">
    <w:p w14:paraId="0E818280" w14:textId="77777777" w:rsidR="006D46BC" w:rsidRDefault="006D46BC" w:rsidP="006D46BC">
      <w:pPr>
        <w:pStyle w:val="FootnoteText"/>
      </w:pPr>
      <w:r>
        <w:t>(</w:t>
      </w:r>
      <w:r>
        <w:rPr>
          <w:rStyle w:val="FootnoteReference"/>
        </w:rPr>
        <w:footnoteRef/>
      </w:r>
      <w:r>
        <w:t>)</w:t>
      </w:r>
      <w:r>
        <w:tab/>
      </w:r>
      <w:hyperlink r:id="rId26" w:history="1">
        <w:r>
          <w:rPr>
            <w:rStyle w:val="Hyperlink"/>
          </w:rPr>
          <w:t>AIE, Investițiile în domeniul energiei la nivel mondial, 2025</w:t>
        </w:r>
      </w:hyperlink>
      <w:r>
        <w:t xml:space="preserve"> și </w:t>
      </w:r>
      <w:hyperlink r:id="rId27" w:history="1">
        <w:r>
          <w:rPr>
            <w:rStyle w:val="Hyperlink"/>
          </w:rPr>
          <w:t>IRENA, Energia din surse regenerabile și locurile de muncă: evaluarea anuală din 2025</w:t>
        </w:r>
      </w:hyperlink>
      <w:r>
        <w:t>.</w:t>
      </w:r>
    </w:p>
  </w:footnote>
  <w:footnote w:id="21">
    <w:p w14:paraId="2B985C02" w14:textId="2CE46723" w:rsidR="00763E90" w:rsidRDefault="00763E90">
      <w:pPr>
        <w:pStyle w:val="FootnoteText"/>
      </w:pPr>
      <w:r>
        <w:t>(</w:t>
      </w:r>
      <w:r>
        <w:rPr>
          <w:rStyle w:val="FootnoteReference"/>
        </w:rPr>
        <w:footnoteRef/>
      </w:r>
      <w:r>
        <w:t>)</w:t>
      </w:r>
      <w:r>
        <w:tab/>
        <w:t xml:space="preserve">Eurostat (COMEXT DS-059341, 2024).  </w:t>
      </w:r>
    </w:p>
  </w:footnote>
  <w:footnote w:id="22">
    <w:p w14:paraId="19781815" w14:textId="77777777" w:rsidR="006D46BC" w:rsidRPr="00EB724F" w:rsidRDefault="006D46BC" w:rsidP="006D46BC">
      <w:pPr>
        <w:pStyle w:val="FootnoteText"/>
      </w:pPr>
      <w:r>
        <w:t>(</w:t>
      </w:r>
      <w:r>
        <w:rPr>
          <w:rStyle w:val="FootnoteReference"/>
        </w:rPr>
        <w:footnoteRef/>
      </w:r>
      <w:r>
        <w:t>) UE a încheiat recent negocierile privind noile acorduri de liber schimb cu Mercosur, Mexic și Indonezia. Sunt în curs de desfășurare alte negocieri pentru acorduri de liber schimb cu Australia, India, Malaysia, Filipine, Thailanda și Emiratele Arabe Unite.</w:t>
      </w:r>
    </w:p>
  </w:footnote>
  <w:footnote w:id="23">
    <w:p w14:paraId="2F409E38" w14:textId="30BAA2F6" w:rsidR="006D46BC" w:rsidRDefault="006D46BC" w:rsidP="006D46BC">
      <w:pPr>
        <w:pStyle w:val="FootnoteText"/>
      </w:pPr>
      <w:r>
        <w:rPr>
          <w:rStyle w:val="FootnoteReference"/>
        </w:rPr>
        <w:footnoteRef/>
      </w:r>
      <w:r>
        <w:t xml:space="preserve"> </w:t>
      </w:r>
      <w:r>
        <w:tab/>
        <w:t xml:space="preserve">Stabilirea prețului carbonului acoperă în prezent aproximativ 28 % din emisiile globale de GES, existând în prezent 43 de taxe pe carbon și 37 de ETS-uri; a se vedea </w:t>
      </w:r>
      <w:hyperlink r:id="rId28" w:history="1">
        <w:r>
          <w:rPr>
            <w:rStyle w:val="Hyperlink"/>
          </w:rPr>
          <w:t>Raportul din 2025 al Băncii Mondiale privind situația și tendințele stabilirii prețului carbonului</w:t>
        </w:r>
      </w:hyperlink>
      <w:r w:rsidR="00BD610D">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D1F7B0" w14:textId="77777777" w:rsidR="000E77AD" w:rsidRPr="000E77AD" w:rsidRDefault="000E77AD" w:rsidP="000E77A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099810" w14:textId="77777777" w:rsidR="000E77AD" w:rsidRPr="000E77AD" w:rsidRDefault="000E77AD" w:rsidP="000E77A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014A72" w14:textId="77777777" w:rsidR="000E77AD" w:rsidRPr="000E77AD" w:rsidRDefault="000E77AD" w:rsidP="000E77A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4852D8" w14:textId="77777777" w:rsidR="00AE2E91" w:rsidRDefault="00AE2E91">
    <w:pPr>
      <w:pStyle w:val="Header"/>
    </w:pPr>
  </w:p>
  <w:p w14:paraId="0F9EE936" w14:textId="77777777" w:rsidR="00AE2E91" w:rsidRDefault="00AE2E91"/>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2E1E87" w14:textId="77777777" w:rsidR="00AE2E91" w:rsidRDefault="00AE2E91"/>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D276C8" w14:textId="77777777" w:rsidR="00AE2E91" w:rsidRDefault="00AE2E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9D713C"/>
    <w:multiLevelType w:val="multilevel"/>
    <w:tmpl w:val="378B4C4C"/>
    <w:lvl w:ilvl="0">
      <w:start w:val="1"/>
      <w:numFmt w:val="decimal"/>
      <w:lvlText w:val="%1."/>
      <w:lvlJc w:val="left"/>
      <w:pPr>
        <w:ind w:left="360" w:hanging="360"/>
      </w:pPr>
      <w:rPr>
        <w:rFonts w:hint="default"/>
        <w:shd w:val="clear" w:color="auto" w:fill="auto"/>
      </w:rPr>
    </w:lvl>
    <w:lvl w:ilvl="1">
      <w:start w:val="1"/>
      <w:numFmt w:val="decimal"/>
      <w:lvlText w:val="%1.%2."/>
      <w:lvlJc w:val="left"/>
      <w:pPr>
        <w:ind w:left="792" w:hanging="432"/>
      </w:pPr>
      <w:rPr>
        <w:shd w:val="clear" w:color="auto" w:fill="auto"/>
      </w:rPr>
    </w:lvl>
    <w:lvl w:ilvl="2">
      <w:start w:val="1"/>
      <w:numFmt w:val="decimal"/>
      <w:lvlText w:val="%1.%2.%3."/>
      <w:lvlJc w:val="left"/>
      <w:pPr>
        <w:ind w:left="1224" w:hanging="504"/>
      </w:pPr>
      <w:rPr>
        <w:shd w:val="clear" w:color="auto" w:fill="auto"/>
      </w:rPr>
    </w:lvl>
    <w:lvl w:ilvl="3">
      <w:start w:val="1"/>
      <w:numFmt w:val="decimal"/>
      <w:lvlText w:val="%1.%2.%3.%4."/>
      <w:lvlJc w:val="left"/>
      <w:pPr>
        <w:ind w:left="1728" w:hanging="648"/>
      </w:pPr>
      <w:rPr>
        <w:shd w:val="clear" w:color="auto" w:fill="auto"/>
      </w:rPr>
    </w:lvl>
    <w:lvl w:ilvl="4">
      <w:start w:val="1"/>
      <w:numFmt w:val="decimal"/>
      <w:lvlText w:val="%1.%2.%3.%4.%5."/>
      <w:lvlJc w:val="left"/>
      <w:pPr>
        <w:ind w:left="2232" w:hanging="792"/>
      </w:pPr>
      <w:rPr>
        <w:shd w:val="clear" w:color="auto" w:fill="auto"/>
      </w:rPr>
    </w:lvl>
    <w:lvl w:ilvl="5">
      <w:start w:val="1"/>
      <w:numFmt w:val="decimal"/>
      <w:lvlText w:val="%1.%2.%3.%4.%5.%6."/>
      <w:lvlJc w:val="left"/>
      <w:pPr>
        <w:ind w:left="2736" w:hanging="936"/>
      </w:pPr>
      <w:rPr>
        <w:shd w:val="clear" w:color="auto" w:fill="auto"/>
      </w:rPr>
    </w:lvl>
    <w:lvl w:ilvl="6">
      <w:start w:val="1"/>
      <w:numFmt w:val="decimal"/>
      <w:lvlText w:val="%1.%2.%3.%4.%5.%6.%7."/>
      <w:lvlJc w:val="left"/>
      <w:pPr>
        <w:ind w:left="3240" w:hanging="1080"/>
      </w:pPr>
      <w:rPr>
        <w:shd w:val="clear" w:color="auto" w:fill="auto"/>
      </w:rPr>
    </w:lvl>
    <w:lvl w:ilvl="7">
      <w:start w:val="1"/>
      <w:numFmt w:val="decimal"/>
      <w:lvlText w:val="%1.%2.%3.%4.%5.%6.%7.%8."/>
      <w:lvlJc w:val="left"/>
      <w:pPr>
        <w:ind w:left="3744" w:hanging="1224"/>
      </w:pPr>
      <w:rPr>
        <w:shd w:val="clear" w:color="auto" w:fill="auto"/>
      </w:rPr>
    </w:lvl>
    <w:lvl w:ilvl="8">
      <w:start w:val="1"/>
      <w:numFmt w:val="decimal"/>
      <w:lvlText w:val="%1.%2.%3.%4.%5.%6.%7.%8.%9."/>
      <w:lvlJc w:val="left"/>
      <w:pPr>
        <w:ind w:left="4320" w:hanging="1440"/>
      </w:pPr>
      <w:rPr>
        <w:shd w:val="clear" w:color="auto" w:fill="auto"/>
      </w:rPr>
    </w:lvl>
  </w:abstractNum>
  <w:abstractNum w:abstractNumId="1" w15:restartNumberingAfterBreak="0">
    <w:nsid w:val="2F000000"/>
    <w:multiLevelType w:val="hybridMultilevel"/>
    <w:tmpl w:val="5AD20226"/>
    <w:lvl w:ilvl="0" w:tplc="CF0A4150">
      <w:start w:val="1"/>
      <w:numFmt w:val="bullet"/>
      <w:lvlText w:val=""/>
      <w:lvlJc w:val="left"/>
      <w:pPr>
        <w:ind w:left="720" w:hanging="360"/>
      </w:pPr>
      <w:rPr>
        <w:rFonts w:ascii="Symbol" w:eastAsia="Symbol" w:hAnsi="Symbol" w:cs="Symbol" w:hint="default"/>
        <w:shd w:val="clear" w:color="auto" w:fill="auto"/>
      </w:rPr>
    </w:lvl>
    <w:lvl w:ilvl="1" w:tplc="1DF82E72">
      <w:start w:val="1"/>
      <w:numFmt w:val="bullet"/>
      <w:lvlText w:val="o"/>
      <w:lvlJc w:val="left"/>
      <w:pPr>
        <w:ind w:left="1440" w:hanging="360"/>
      </w:pPr>
      <w:rPr>
        <w:rFonts w:ascii="Courier New" w:eastAsia="Courier New" w:hAnsi="Courier New" w:cs="Courier New" w:hint="default"/>
        <w:shd w:val="clear" w:color="auto" w:fill="auto"/>
      </w:rPr>
    </w:lvl>
    <w:lvl w:ilvl="2" w:tplc="1DB89584">
      <w:start w:val="1"/>
      <w:numFmt w:val="bullet"/>
      <w:lvlText w:val=""/>
      <w:lvlJc w:val="left"/>
      <w:pPr>
        <w:ind w:left="2160" w:hanging="360"/>
      </w:pPr>
      <w:rPr>
        <w:rFonts w:ascii="Wingdings" w:eastAsia="Wingdings" w:hAnsi="Wingdings" w:cs="Wingdings" w:hint="default"/>
        <w:shd w:val="clear" w:color="auto" w:fill="auto"/>
      </w:rPr>
    </w:lvl>
    <w:lvl w:ilvl="3" w:tplc="921A6054">
      <w:start w:val="1"/>
      <w:numFmt w:val="bullet"/>
      <w:lvlText w:val=""/>
      <w:lvlJc w:val="left"/>
      <w:pPr>
        <w:ind w:left="2880" w:hanging="360"/>
      </w:pPr>
      <w:rPr>
        <w:rFonts w:ascii="Symbol" w:eastAsia="Symbol" w:hAnsi="Symbol" w:cs="Symbol" w:hint="default"/>
        <w:shd w:val="clear" w:color="auto" w:fill="auto"/>
      </w:rPr>
    </w:lvl>
    <w:lvl w:ilvl="4" w:tplc="0F14D902">
      <w:start w:val="1"/>
      <w:numFmt w:val="bullet"/>
      <w:lvlText w:val="o"/>
      <w:lvlJc w:val="left"/>
      <w:pPr>
        <w:ind w:left="3600" w:hanging="360"/>
      </w:pPr>
      <w:rPr>
        <w:rFonts w:ascii="Courier New" w:eastAsia="Courier New" w:hAnsi="Courier New" w:cs="Courier New" w:hint="default"/>
        <w:shd w:val="clear" w:color="auto" w:fill="auto"/>
      </w:rPr>
    </w:lvl>
    <w:lvl w:ilvl="5" w:tplc="CEB466AC">
      <w:start w:val="1"/>
      <w:numFmt w:val="bullet"/>
      <w:lvlText w:val=""/>
      <w:lvlJc w:val="left"/>
      <w:pPr>
        <w:ind w:left="4320" w:hanging="360"/>
      </w:pPr>
      <w:rPr>
        <w:rFonts w:ascii="Wingdings" w:eastAsia="Wingdings" w:hAnsi="Wingdings" w:cs="Wingdings" w:hint="default"/>
        <w:shd w:val="clear" w:color="auto" w:fill="auto"/>
      </w:rPr>
    </w:lvl>
    <w:lvl w:ilvl="6" w:tplc="6548F796">
      <w:start w:val="1"/>
      <w:numFmt w:val="bullet"/>
      <w:lvlText w:val=""/>
      <w:lvlJc w:val="left"/>
      <w:pPr>
        <w:ind w:left="5040" w:hanging="360"/>
      </w:pPr>
      <w:rPr>
        <w:rFonts w:ascii="Symbol" w:eastAsia="Symbol" w:hAnsi="Symbol" w:cs="Symbol" w:hint="default"/>
        <w:shd w:val="clear" w:color="auto" w:fill="auto"/>
      </w:rPr>
    </w:lvl>
    <w:lvl w:ilvl="7" w:tplc="E4809732">
      <w:start w:val="1"/>
      <w:numFmt w:val="bullet"/>
      <w:lvlText w:val="o"/>
      <w:lvlJc w:val="left"/>
      <w:pPr>
        <w:ind w:left="5760" w:hanging="360"/>
      </w:pPr>
      <w:rPr>
        <w:rFonts w:ascii="Courier New" w:eastAsia="Courier New" w:hAnsi="Courier New" w:cs="Courier New" w:hint="default"/>
        <w:shd w:val="clear" w:color="auto" w:fill="auto"/>
      </w:rPr>
    </w:lvl>
    <w:lvl w:ilvl="8" w:tplc="F7505B30">
      <w:start w:val="1"/>
      <w:numFmt w:val="bullet"/>
      <w:lvlText w:val=""/>
      <w:lvlJc w:val="left"/>
      <w:pPr>
        <w:ind w:left="6480" w:hanging="360"/>
      </w:pPr>
      <w:rPr>
        <w:rFonts w:ascii="Wingdings" w:eastAsia="Wingdings" w:hAnsi="Wingdings" w:cs="Wingdings" w:hint="default"/>
        <w:shd w:val="clear" w:color="auto" w:fill="auto"/>
      </w:rPr>
    </w:lvl>
  </w:abstractNum>
  <w:abstractNum w:abstractNumId="2" w15:restartNumberingAfterBreak="0">
    <w:nsid w:val="2F000001"/>
    <w:multiLevelType w:val="multilevel"/>
    <w:tmpl w:val="378B4C4C"/>
    <w:lvl w:ilvl="0">
      <w:start w:val="1"/>
      <w:numFmt w:val="decimal"/>
      <w:lvlText w:val="%1."/>
      <w:lvlJc w:val="left"/>
      <w:pPr>
        <w:ind w:left="360" w:hanging="360"/>
      </w:pPr>
      <w:rPr>
        <w:rFonts w:hint="default"/>
        <w:shd w:val="clear" w:color="auto" w:fill="auto"/>
      </w:rPr>
    </w:lvl>
    <w:lvl w:ilvl="1">
      <w:start w:val="1"/>
      <w:numFmt w:val="decimal"/>
      <w:lvlText w:val="%1.%2."/>
      <w:lvlJc w:val="left"/>
      <w:pPr>
        <w:ind w:left="792" w:hanging="432"/>
      </w:pPr>
      <w:rPr>
        <w:shd w:val="clear" w:color="auto" w:fill="auto"/>
      </w:rPr>
    </w:lvl>
    <w:lvl w:ilvl="2">
      <w:start w:val="1"/>
      <w:numFmt w:val="decimal"/>
      <w:lvlText w:val="%1.%2.%3."/>
      <w:lvlJc w:val="left"/>
      <w:pPr>
        <w:ind w:left="1224" w:hanging="504"/>
      </w:pPr>
      <w:rPr>
        <w:shd w:val="clear" w:color="auto" w:fill="auto"/>
      </w:rPr>
    </w:lvl>
    <w:lvl w:ilvl="3">
      <w:start w:val="1"/>
      <w:numFmt w:val="decimal"/>
      <w:lvlText w:val="%1.%2.%3.%4."/>
      <w:lvlJc w:val="left"/>
      <w:pPr>
        <w:ind w:left="1728" w:hanging="648"/>
      </w:pPr>
      <w:rPr>
        <w:shd w:val="clear" w:color="auto" w:fill="auto"/>
      </w:rPr>
    </w:lvl>
    <w:lvl w:ilvl="4">
      <w:start w:val="1"/>
      <w:numFmt w:val="decimal"/>
      <w:lvlText w:val="%1.%2.%3.%4.%5."/>
      <w:lvlJc w:val="left"/>
      <w:pPr>
        <w:ind w:left="2232" w:hanging="792"/>
      </w:pPr>
      <w:rPr>
        <w:shd w:val="clear" w:color="auto" w:fill="auto"/>
      </w:rPr>
    </w:lvl>
    <w:lvl w:ilvl="5">
      <w:start w:val="1"/>
      <w:numFmt w:val="decimal"/>
      <w:lvlText w:val="%1.%2.%3.%4.%5.%6."/>
      <w:lvlJc w:val="left"/>
      <w:pPr>
        <w:ind w:left="2736" w:hanging="936"/>
      </w:pPr>
      <w:rPr>
        <w:shd w:val="clear" w:color="auto" w:fill="auto"/>
      </w:rPr>
    </w:lvl>
    <w:lvl w:ilvl="6">
      <w:start w:val="1"/>
      <w:numFmt w:val="decimal"/>
      <w:lvlText w:val="%1.%2.%3.%4.%5.%6.%7."/>
      <w:lvlJc w:val="left"/>
      <w:pPr>
        <w:ind w:left="3240" w:hanging="1080"/>
      </w:pPr>
      <w:rPr>
        <w:shd w:val="clear" w:color="auto" w:fill="auto"/>
      </w:rPr>
    </w:lvl>
    <w:lvl w:ilvl="7">
      <w:start w:val="1"/>
      <w:numFmt w:val="decimal"/>
      <w:lvlText w:val="%1.%2.%3.%4.%5.%6.%7.%8."/>
      <w:lvlJc w:val="left"/>
      <w:pPr>
        <w:ind w:left="3744" w:hanging="1224"/>
      </w:pPr>
      <w:rPr>
        <w:shd w:val="clear" w:color="auto" w:fill="auto"/>
      </w:rPr>
    </w:lvl>
    <w:lvl w:ilvl="8">
      <w:start w:val="1"/>
      <w:numFmt w:val="decimal"/>
      <w:lvlText w:val="%1.%2.%3.%4.%5.%6.%7.%8.%9."/>
      <w:lvlJc w:val="left"/>
      <w:pPr>
        <w:ind w:left="4320" w:hanging="1440"/>
      </w:pPr>
      <w:rPr>
        <w:shd w:val="clear" w:color="auto" w:fill="auto"/>
      </w:rPr>
    </w:lvl>
  </w:abstractNum>
  <w:abstractNum w:abstractNumId="3" w15:restartNumberingAfterBreak="0">
    <w:nsid w:val="2F000002"/>
    <w:multiLevelType w:val="hybridMultilevel"/>
    <w:tmpl w:val="403E1E2A"/>
    <w:lvl w:ilvl="0" w:tplc="56F4534E">
      <w:start w:val="1"/>
      <w:numFmt w:val="decimal"/>
      <w:lvlText w:val="%1."/>
      <w:lvlJc w:val="left"/>
      <w:pPr>
        <w:ind w:left="720" w:hanging="360"/>
      </w:pPr>
      <w:rPr>
        <w:rFonts w:hint="default"/>
        <w:b/>
        <w:shd w:val="clear" w:color="auto" w:fill="auto"/>
      </w:rPr>
    </w:lvl>
    <w:lvl w:ilvl="1" w:tplc="6A6AEA30">
      <w:start w:val="1"/>
      <w:numFmt w:val="lowerLetter"/>
      <w:lvlText w:val="%2."/>
      <w:lvlJc w:val="left"/>
      <w:pPr>
        <w:ind w:left="1440" w:hanging="360"/>
      </w:pPr>
      <w:rPr>
        <w:shd w:val="clear" w:color="auto" w:fill="auto"/>
      </w:rPr>
    </w:lvl>
    <w:lvl w:ilvl="2" w:tplc="B67057D4">
      <w:start w:val="1"/>
      <w:numFmt w:val="lowerRoman"/>
      <w:lvlText w:val="%3."/>
      <w:lvlJc w:val="right"/>
      <w:pPr>
        <w:ind w:left="2160" w:hanging="180"/>
      </w:pPr>
      <w:rPr>
        <w:shd w:val="clear" w:color="auto" w:fill="auto"/>
      </w:rPr>
    </w:lvl>
    <w:lvl w:ilvl="3" w:tplc="FAD8D9AA">
      <w:start w:val="1"/>
      <w:numFmt w:val="decimal"/>
      <w:lvlText w:val="%4."/>
      <w:lvlJc w:val="left"/>
      <w:pPr>
        <w:ind w:left="2880" w:hanging="360"/>
      </w:pPr>
      <w:rPr>
        <w:shd w:val="clear" w:color="auto" w:fill="auto"/>
      </w:rPr>
    </w:lvl>
    <w:lvl w:ilvl="4" w:tplc="C938E944">
      <w:start w:val="1"/>
      <w:numFmt w:val="lowerLetter"/>
      <w:lvlText w:val="%5."/>
      <w:lvlJc w:val="left"/>
      <w:pPr>
        <w:ind w:left="3600" w:hanging="360"/>
      </w:pPr>
      <w:rPr>
        <w:shd w:val="clear" w:color="auto" w:fill="auto"/>
      </w:rPr>
    </w:lvl>
    <w:lvl w:ilvl="5" w:tplc="6B32CFA6">
      <w:start w:val="1"/>
      <w:numFmt w:val="lowerRoman"/>
      <w:lvlText w:val="%6."/>
      <w:lvlJc w:val="right"/>
      <w:pPr>
        <w:ind w:left="4320" w:hanging="180"/>
      </w:pPr>
      <w:rPr>
        <w:shd w:val="clear" w:color="auto" w:fill="auto"/>
      </w:rPr>
    </w:lvl>
    <w:lvl w:ilvl="6" w:tplc="CDDC139C">
      <w:start w:val="1"/>
      <w:numFmt w:val="decimal"/>
      <w:lvlText w:val="%7."/>
      <w:lvlJc w:val="left"/>
      <w:pPr>
        <w:ind w:left="5040" w:hanging="360"/>
      </w:pPr>
      <w:rPr>
        <w:shd w:val="clear" w:color="auto" w:fill="auto"/>
      </w:rPr>
    </w:lvl>
    <w:lvl w:ilvl="7" w:tplc="9286B784">
      <w:start w:val="1"/>
      <w:numFmt w:val="lowerLetter"/>
      <w:lvlText w:val="%8."/>
      <w:lvlJc w:val="left"/>
      <w:pPr>
        <w:ind w:left="5760" w:hanging="360"/>
      </w:pPr>
      <w:rPr>
        <w:shd w:val="clear" w:color="auto" w:fill="auto"/>
      </w:rPr>
    </w:lvl>
    <w:lvl w:ilvl="8" w:tplc="EDE62EA6">
      <w:start w:val="1"/>
      <w:numFmt w:val="lowerRoman"/>
      <w:lvlText w:val="%9."/>
      <w:lvlJc w:val="right"/>
      <w:pPr>
        <w:ind w:left="6480" w:hanging="180"/>
      </w:pPr>
      <w:rPr>
        <w:shd w:val="clear" w:color="auto" w:fill="auto"/>
      </w:rPr>
    </w:lvl>
  </w:abstractNum>
  <w:abstractNum w:abstractNumId="4" w15:restartNumberingAfterBreak="0">
    <w:nsid w:val="2F000003"/>
    <w:multiLevelType w:val="hybridMultilevel"/>
    <w:tmpl w:val="542E8946"/>
    <w:lvl w:ilvl="0" w:tplc="7D04A952">
      <w:start w:val="1"/>
      <w:numFmt w:val="bullet"/>
      <w:lvlText w:val=""/>
      <w:lvlJc w:val="left"/>
      <w:pPr>
        <w:ind w:left="720" w:hanging="360"/>
      </w:pPr>
      <w:rPr>
        <w:rFonts w:ascii="Wingdings" w:hAnsi="Wingdings" w:hint="default"/>
        <w:shd w:val="clear" w:color="auto" w:fill="auto"/>
      </w:rPr>
    </w:lvl>
    <w:lvl w:ilvl="1" w:tplc="409029CE">
      <w:start w:val="1"/>
      <w:numFmt w:val="bullet"/>
      <w:lvlText w:val="o"/>
      <w:lvlJc w:val="left"/>
      <w:pPr>
        <w:ind w:left="1440" w:hanging="360"/>
      </w:pPr>
      <w:rPr>
        <w:rFonts w:ascii="Courier New" w:hAnsi="Courier New" w:cs="Courier New" w:hint="default"/>
        <w:shd w:val="clear" w:color="auto" w:fill="auto"/>
      </w:rPr>
    </w:lvl>
    <w:lvl w:ilvl="2" w:tplc="4C9C4C02">
      <w:start w:val="1"/>
      <w:numFmt w:val="bullet"/>
      <w:lvlText w:val=""/>
      <w:lvlJc w:val="left"/>
      <w:pPr>
        <w:ind w:left="2160" w:hanging="360"/>
      </w:pPr>
      <w:rPr>
        <w:rFonts w:ascii="Wingdings" w:hAnsi="Wingdings" w:hint="default"/>
        <w:shd w:val="clear" w:color="auto" w:fill="auto"/>
      </w:rPr>
    </w:lvl>
    <w:lvl w:ilvl="3" w:tplc="36D27176">
      <w:start w:val="1"/>
      <w:numFmt w:val="bullet"/>
      <w:lvlText w:val=""/>
      <w:lvlJc w:val="left"/>
      <w:pPr>
        <w:ind w:left="2880" w:hanging="360"/>
      </w:pPr>
      <w:rPr>
        <w:rFonts w:ascii="Symbol" w:hAnsi="Symbol" w:hint="default"/>
        <w:shd w:val="clear" w:color="auto" w:fill="auto"/>
      </w:rPr>
    </w:lvl>
    <w:lvl w:ilvl="4" w:tplc="2B4C66C6">
      <w:start w:val="1"/>
      <w:numFmt w:val="bullet"/>
      <w:lvlText w:val="o"/>
      <w:lvlJc w:val="left"/>
      <w:pPr>
        <w:ind w:left="3600" w:hanging="360"/>
      </w:pPr>
      <w:rPr>
        <w:rFonts w:ascii="Courier New" w:hAnsi="Courier New" w:cs="Courier New" w:hint="default"/>
        <w:shd w:val="clear" w:color="auto" w:fill="auto"/>
      </w:rPr>
    </w:lvl>
    <w:lvl w:ilvl="5" w:tplc="1452D378">
      <w:start w:val="1"/>
      <w:numFmt w:val="bullet"/>
      <w:lvlText w:val=""/>
      <w:lvlJc w:val="left"/>
      <w:pPr>
        <w:ind w:left="4320" w:hanging="360"/>
      </w:pPr>
      <w:rPr>
        <w:rFonts w:ascii="Wingdings" w:hAnsi="Wingdings" w:hint="default"/>
        <w:shd w:val="clear" w:color="auto" w:fill="auto"/>
      </w:rPr>
    </w:lvl>
    <w:lvl w:ilvl="6" w:tplc="267E2752">
      <w:start w:val="1"/>
      <w:numFmt w:val="bullet"/>
      <w:lvlText w:val=""/>
      <w:lvlJc w:val="left"/>
      <w:pPr>
        <w:ind w:left="5040" w:hanging="360"/>
      </w:pPr>
      <w:rPr>
        <w:rFonts w:ascii="Symbol" w:hAnsi="Symbol" w:hint="default"/>
        <w:shd w:val="clear" w:color="auto" w:fill="auto"/>
      </w:rPr>
    </w:lvl>
    <w:lvl w:ilvl="7" w:tplc="CBD09A36">
      <w:start w:val="1"/>
      <w:numFmt w:val="bullet"/>
      <w:lvlText w:val="o"/>
      <w:lvlJc w:val="left"/>
      <w:pPr>
        <w:ind w:left="5760" w:hanging="360"/>
      </w:pPr>
      <w:rPr>
        <w:rFonts w:ascii="Courier New" w:hAnsi="Courier New" w:cs="Courier New" w:hint="default"/>
        <w:shd w:val="clear" w:color="auto" w:fill="auto"/>
      </w:rPr>
    </w:lvl>
    <w:lvl w:ilvl="8" w:tplc="8F10D552">
      <w:start w:val="1"/>
      <w:numFmt w:val="bullet"/>
      <w:lvlText w:val=""/>
      <w:lvlJc w:val="left"/>
      <w:pPr>
        <w:ind w:left="6480" w:hanging="360"/>
      </w:pPr>
      <w:rPr>
        <w:rFonts w:ascii="Wingdings" w:hAnsi="Wingdings" w:hint="default"/>
        <w:shd w:val="clear" w:color="auto" w:fill="auto"/>
      </w:rPr>
    </w:lvl>
  </w:abstractNum>
  <w:abstractNum w:abstractNumId="5" w15:restartNumberingAfterBreak="0">
    <w:nsid w:val="2F000004"/>
    <w:multiLevelType w:val="hybridMultilevel"/>
    <w:tmpl w:val="21366DF1"/>
    <w:lvl w:ilvl="0" w:tplc="C2803F58">
      <w:start w:val="1"/>
      <w:numFmt w:val="decimal"/>
      <w:lvlText w:val="%1."/>
      <w:lvlJc w:val="left"/>
      <w:pPr>
        <w:ind w:left="720" w:hanging="360"/>
      </w:pPr>
      <w:rPr>
        <w:rFonts w:hint="default"/>
        <w:shd w:val="clear" w:color="auto" w:fill="auto"/>
      </w:rPr>
    </w:lvl>
    <w:lvl w:ilvl="1" w:tplc="75F81908">
      <w:start w:val="1"/>
      <w:numFmt w:val="lowerLetter"/>
      <w:lvlText w:val="%2."/>
      <w:lvlJc w:val="left"/>
      <w:pPr>
        <w:ind w:left="1440" w:hanging="360"/>
      </w:pPr>
      <w:rPr>
        <w:shd w:val="clear" w:color="auto" w:fill="auto"/>
      </w:rPr>
    </w:lvl>
    <w:lvl w:ilvl="2" w:tplc="95EAC8E2">
      <w:start w:val="1"/>
      <w:numFmt w:val="lowerRoman"/>
      <w:lvlText w:val="%3."/>
      <w:lvlJc w:val="right"/>
      <w:pPr>
        <w:ind w:left="2160" w:hanging="180"/>
      </w:pPr>
      <w:rPr>
        <w:shd w:val="clear" w:color="auto" w:fill="auto"/>
      </w:rPr>
    </w:lvl>
    <w:lvl w:ilvl="3" w:tplc="007E5510">
      <w:start w:val="1"/>
      <w:numFmt w:val="decimal"/>
      <w:lvlText w:val="%4."/>
      <w:lvlJc w:val="left"/>
      <w:pPr>
        <w:ind w:left="2880" w:hanging="360"/>
      </w:pPr>
      <w:rPr>
        <w:shd w:val="clear" w:color="auto" w:fill="auto"/>
      </w:rPr>
    </w:lvl>
    <w:lvl w:ilvl="4" w:tplc="CE54FBAE">
      <w:start w:val="1"/>
      <w:numFmt w:val="lowerLetter"/>
      <w:lvlText w:val="%5."/>
      <w:lvlJc w:val="left"/>
      <w:pPr>
        <w:ind w:left="3600" w:hanging="360"/>
      </w:pPr>
      <w:rPr>
        <w:shd w:val="clear" w:color="auto" w:fill="auto"/>
      </w:rPr>
    </w:lvl>
    <w:lvl w:ilvl="5" w:tplc="F09E94C0">
      <w:start w:val="1"/>
      <w:numFmt w:val="lowerRoman"/>
      <w:lvlText w:val="%6."/>
      <w:lvlJc w:val="right"/>
      <w:pPr>
        <w:ind w:left="4320" w:hanging="180"/>
      </w:pPr>
      <w:rPr>
        <w:shd w:val="clear" w:color="auto" w:fill="auto"/>
      </w:rPr>
    </w:lvl>
    <w:lvl w:ilvl="6" w:tplc="27B466CC">
      <w:start w:val="1"/>
      <w:numFmt w:val="decimal"/>
      <w:lvlText w:val="%7."/>
      <w:lvlJc w:val="left"/>
      <w:pPr>
        <w:ind w:left="5040" w:hanging="360"/>
      </w:pPr>
      <w:rPr>
        <w:shd w:val="clear" w:color="auto" w:fill="auto"/>
      </w:rPr>
    </w:lvl>
    <w:lvl w:ilvl="7" w:tplc="1D940E9A">
      <w:start w:val="1"/>
      <w:numFmt w:val="lowerLetter"/>
      <w:lvlText w:val="%8."/>
      <w:lvlJc w:val="left"/>
      <w:pPr>
        <w:ind w:left="5760" w:hanging="360"/>
      </w:pPr>
      <w:rPr>
        <w:shd w:val="clear" w:color="auto" w:fill="auto"/>
      </w:rPr>
    </w:lvl>
    <w:lvl w:ilvl="8" w:tplc="A412BE98">
      <w:start w:val="1"/>
      <w:numFmt w:val="lowerRoman"/>
      <w:lvlText w:val="%9."/>
      <w:lvlJc w:val="right"/>
      <w:pPr>
        <w:ind w:left="6480" w:hanging="180"/>
      </w:pPr>
      <w:rPr>
        <w:shd w:val="clear" w:color="auto" w:fill="auto"/>
      </w:rPr>
    </w:lvl>
  </w:abstractNum>
  <w:abstractNum w:abstractNumId="6" w15:restartNumberingAfterBreak="0">
    <w:nsid w:val="2F000005"/>
    <w:multiLevelType w:val="hybridMultilevel"/>
    <w:tmpl w:val="226BEA59"/>
    <w:lvl w:ilvl="0" w:tplc="A7D899A8">
      <w:numFmt w:val="bullet"/>
      <w:lvlText w:val="-"/>
      <w:lvlJc w:val="left"/>
      <w:pPr>
        <w:ind w:left="720" w:hanging="360"/>
      </w:pPr>
      <w:rPr>
        <w:rFonts w:ascii="Times New Roman" w:eastAsia="Times New Roman" w:hAnsi="Times New Roman" w:cs="Times New Roman" w:hint="default"/>
        <w:shd w:val="clear" w:color="auto" w:fill="auto"/>
      </w:rPr>
    </w:lvl>
    <w:lvl w:ilvl="1" w:tplc="323A35EA">
      <w:start w:val="1"/>
      <w:numFmt w:val="bullet"/>
      <w:lvlText w:val="o"/>
      <w:lvlJc w:val="left"/>
      <w:pPr>
        <w:ind w:left="1440" w:hanging="360"/>
      </w:pPr>
      <w:rPr>
        <w:rFonts w:ascii="Courier New" w:hAnsi="Courier New" w:cs="Courier New" w:hint="default"/>
        <w:shd w:val="clear" w:color="auto" w:fill="auto"/>
      </w:rPr>
    </w:lvl>
    <w:lvl w:ilvl="2" w:tplc="D78459EC">
      <w:start w:val="1"/>
      <w:numFmt w:val="bullet"/>
      <w:lvlText w:val=""/>
      <w:lvlJc w:val="left"/>
      <w:pPr>
        <w:ind w:left="2160" w:hanging="360"/>
      </w:pPr>
      <w:rPr>
        <w:rFonts w:ascii="Wingdings" w:hAnsi="Wingdings" w:hint="default"/>
        <w:shd w:val="clear" w:color="auto" w:fill="auto"/>
      </w:rPr>
    </w:lvl>
    <w:lvl w:ilvl="3" w:tplc="19B8139E">
      <w:start w:val="1"/>
      <w:numFmt w:val="bullet"/>
      <w:lvlText w:val=""/>
      <w:lvlJc w:val="left"/>
      <w:pPr>
        <w:ind w:left="2880" w:hanging="360"/>
      </w:pPr>
      <w:rPr>
        <w:rFonts w:ascii="Symbol" w:hAnsi="Symbol" w:hint="default"/>
        <w:shd w:val="clear" w:color="auto" w:fill="auto"/>
      </w:rPr>
    </w:lvl>
    <w:lvl w:ilvl="4" w:tplc="0BECA082">
      <w:start w:val="1"/>
      <w:numFmt w:val="bullet"/>
      <w:lvlText w:val="o"/>
      <w:lvlJc w:val="left"/>
      <w:pPr>
        <w:ind w:left="3600" w:hanging="360"/>
      </w:pPr>
      <w:rPr>
        <w:rFonts w:ascii="Courier New" w:hAnsi="Courier New" w:cs="Courier New" w:hint="default"/>
        <w:shd w:val="clear" w:color="auto" w:fill="auto"/>
      </w:rPr>
    </w:lvl>
    <w:lvl w:ilvl="5" w:tplc="49CED638">
      <w:start w:val="1"/>
      <w:numFmt w:val="bullet"/>
      <w:lvlText w:val=""/>
      <w:lvlJc w:val="left"/>
      <w:pPr>
        <w:ind w:left="4320" w:hanging="360"/>
      </w:pPr>
      <w:rPr>
        <w:rFonts w:ascii="Wingdings" w:hAnsi="Wingdings" w:hint="default"/>
        <w:shd w:val="clear" w:color="auto" w:fill="auto"/>
      </w:rPr>
    </w:lvl>
    <w:lvl w:ilvl="6" w:tplc="B3320194">
      <w:start w:val="1"/>
      <w:numFmt w:val="bullet"/>
      <w:lvlText w:val=""/>
      <w:lvlJc w:val="left"/>
      <w:pPr>
        <w:ind w:left="5040" w:hanging="360"/>
      </w:pPr>
      <w:rPr>
        <w:rFonts w:ascii="Symbol" w:hAnsi="Symbol" w:hint="default"/>
        <w:shd w:val="clear" w:color="auto" w:fill="auto"/>
      </w:rPr>
    </w:lvl>
    <w:lvl w:ilvl="7" w:tplc="CA0E0D1E">
      <w:start w:val="1"/>
      <w:numFmt w:val="bullet"/>
      <w:lvlText w:val="o"/>
      <w:lvlJc w:val="left"/>
      <w:pPr>
        <w:ind w:left="5760" w:hanging="360"/>
      </w:pPr>
      <w:rPr>
        <w:rFonts w:ascii="Courier New" w:hAnsi="Courier New" w:cs="Courier New" w:hint="default"/>
        <w:shd w:val="clear" w:color="auto" w:fill="auto"/>
      </w:rPr>
    </w:lvl>
    <w:lvl w:ilvl="8" w:tplc="7974E2A0">
      <w:start w:val="1"/>
      <w:numFmt w:val="bullet"/>
      <w:lvlText w:val=""/>
      <w:lvlJc w:val="left"/>
      <w:pPr>
        <w:ind w:left="6480" w:hanging="360"/>
      </w:pPr>
      <w:rPr>
        <w:rFonts w:ascii="Wingdings" w:hAnsi="Wingdings" w:hint="default"/>
        <w:shd w:val="clear" w:color="auto" w:fill="auto"/>
      </w:rPr>
    </w:lvl>
  </w:abstractNum>
  <w:abstractNum w:abstractNumId="7" w15:restartNumberingAfterBreak="0">
    <w:nsid w:val="2F000006"/>
    <w:multiLevelType w:val="hybridMultilevel"/>
    <w:tmpl w:val="40E69BA3"/>
    <w:lvl w:ilvl="0" w:tplc="3D4E5CD6">
      <w:start w:val="1"/>
      <w:numFmt w:val="decimal"/>
      <w:lvlText w:val="%1."/>
      <w:lvlJc w:val="left"/>
      <w:pPr>
        <w:ind w:left="786" w:hanging="360"/>
      </w:pPr>
      <w:rPr>
        <w:rFonts w:hint="default"/>
        <w:shd w:val="clear" w:color="auto" w:fill="auto"/>
      </w:rPr>
    </w:lvl>
    <w:lvl w:ilvl="1" w:tplc="ECC872A6">
      <w:start w:val="1"/>
      <w:numFmt w:val="lowerLetter"/>
      <w:lvlText w:val="%2."/>
      <w:lvlJc w:val="left"/>
      <w:pPr>
        <w:ind w:left="1440" w:hanging="360"/>
      </w:pPr>
      <w:rPr>
        <w:shd w:val="clear" w:color="auto" w:fill="auto"/>
      </w:rPr>
    </w:lvl>
    <w:lvl w:ilvl="2" w:tplc="A6EA0140">
      <w:start w:val="1"/>
      <w:numFmt w:val="lowerRoman"/>
      <w:lvlText w:val="%3."/>
      <w:lvlJc w:val="right"/>
      <w:pPr>
        <w:ind w:left="2160" w:hanging="180"/>
      </w:pPr>
      <w:rPr>
        <w:shd w:val="clear" w:color="auto" w:fill="auto"/>
      </w:rPr>
    </w:lvl>
    <w:lvl w:ilvl="3" w:tplc="3D78AD96">
      <w:start w:val="1"/>
      <w:numFmt w:val="decimal"/>
      <w:lvlText w:val="%4."/>
      <w:lvlJc w:val="left"/>
      <w:pPr>
        <w:ind w:left="2880" w:hanging="360"/>
      </w:pPr>
      <w:rPr>
        <w:shd w:val="clear" w:color="auto" w:fill="auto"/>
      </w:rPr>
    </w:lvl>
    <w:lvl w:ilvl="4" w:tplc="FBB603DA">
      <w:start w:val="1"/>
      <w:numFmt w:val="lowerLetter"/>
      <w:lvlText w:val="%5."/>
      <w:lvlJc w:val="left"/>
      <w:pPr>
        <w:ind w:left="3600" w:hanging="360"/>
      </w:pPr>
      <w:rPr>
        <w:shd w:val="clear" w:color="auto" w:fill="auto"/>
      </w:rPr>
    </w:lvl>
    <w:lvl w:ilvl="5" w:tplc="10B2EE0A">
      <w:start w:val="1"/>
      <w:numFmt w:val="lowerRoman"/>
      <w:lvlText w:val="%6."/>
      <w:lvlJc w:val="right"/>
      <w:pPr>
        <w:ind w:left="4320" w:hanging="180"/>
      </w:pPr>
      <w:rPr>
        <w:shd w:val="clear" w:color="auto" w:fill="auto"/>
      </w:rPr>
    </w:lvl>
    <w:lvl w:ilvl="6" w:tplc="7826A4E6">
      <w:start w:val="1"/>
      <w:numFmt w:val="decimal"/>
      <w:lvlText w:val="%7."/>
      <w:lvlJc w:val="left"/>
      <w:pPr>
        <w:ind w:left="5040" w:hanging="360"/>
      </w:pPr>
      <w:rPr>
        <w:shd w:val="clear" w:color="auto" w:fill="auto"/>
      </w:rPr>
    </w:lvl>
    <w:lvl w:ilvl="7" w:tplc="81D43E42">
      <w:start w:val="1"/>
      <w:numFmt w:val="lowerLetter"/>
      <w:lvlText w:val="%8."/>
      <w:lvlJc w:val="left"/>
      <w:pPr>
        <w:ind w:left="5760" w:hanging="360"/>
      </w:pPr>
      <w:rPr>
        <w:shd w:val="clear" w:color="auto" w:fill="auto"/>
      </w:rPr>
    </w:lvl>
    <w:lvl w:ilvl="8" w:tplc="BC0C8D6E">
      <w:start w:val="1"/>
      <w:numFmt w:val="lowerRoman"/>
      <w:lvlText w:val="%9."/>
      <w:lvlJc w:val="right"/>
      <w:pPr>
        <w:ind w:left="6480" w:hanging="180"/>
      </w:pPr>
      <w:rPr>
        <w:shd w:val="clear" w:color="auto" w:fill="auto"/>
      </w:rPr>
    </w:lvl>
  </w:abstractNum>
  <w:abstractNum w:abstractNumId="8" w15:restartNumberingAfterBreak="0">
    <w:nsid w:val="2F000007"/>
    <w:multiLevelType w:val="multilevel"/>
    <w:tmpl w:val="49F41C8B"/>
    <w:lvl w:ilvl="0">
      <w:start w:val="1"/>
      <w:numFmt w:val="decimal"/>
      <w:lvlText w:val="%1."/>
      <w:lvlJc w:val="left"/>
      <w:pPr>
        <w:ind w:left="360" w:hanging="360"/>
      </w:pPr>
      <w:rPr>
        <w:shd w:val="clear" w:color="auto" w:fill="auto"/>
      </w:rPr>
    </w:lvl>
    <w:lvl w:ilvl="1">
      <w:start w:val="1"/>
      <w:numFmt w:val="decimal"/>
      <w:lvlText w:val="%1.%2."/>
      <w:lvlJc w:val="left"/>
      <w:pPr>
        <w:ind w:left="792" w:hanging="432"/>
      </w:pPr>
      <w:rPr>
        <w:shd w:val="clear" w:color="auto" w:fill="auto"/>
      </w:rPr>
    </w:lvl>
    <w:lvl w:ilvl="2">
      <w:start w:val="1"/>
      <w:numFmt w:val="decimal"/>
      <w:lvlText w:val="%1.%2.%3."/>
      <w:lvlJc w:val="left"/>
      <w:pPr>
        <w:ind w:left="1224" w:hanging="504"/>
      </w:pPr>
      <w:rPr>
        <w:shd w:val="clear" w:color="auto" w:fill="auto"/>
      </w:rPr>
    </w:lvl>
    <w:lvl w:ilvl="3">
      <w:start w:val="1"/>
      <w:numFmt w:val="decimal"/>
      <w:lvlText w:val="%1.%2.%3.%4."/>
      <w:lvlJc w:val="left"/>
      <w:pPr>
        <w:ind w:left="1728" w:hanging="648"/>
      </w:pPr>
      <w:rPr>
        <w:shd w:val="clear" w:color="auto" w:fill="auto"/>
      </w:rPr>
    </w:lvl>
    <w:lvl w:ilvl="4">
      <w:start w:val="1"/>
      <w:numFmt w:val="decimal"/>
      <w:lvlText w:val="%1.%2.%3.%4.%5."/>
      <w:lvlJc w:val="left"/>
      <w:pPr>
        <w:ind w:left="2232" w:hanging="792"/>
      </w:pPr>
      <w:rPr>
        <w:shd w:val="clear" w:color="auto" w:fill="auto"/>
      </w:rPr>
    </w:lvl>
    <w:lvl w:ilvl="5">
      <w:start w:val="1"/>
      <w:numFmt w:val="decimal"/>
      <w:lvlText w:val="%1.%2.%3.%4.%5.%6."/>
      <w:lvlJc w:val="left"/>
      <w:pPr>
        <w:ind w:left="2736" w:hanging="936"/>
      </w:pPr>
      <w:rPr>
        <w:shd w:val="clear" w:color="auto" w:fill="auto"/>
      </w:rPr>
    </w:lvl>
    <w:lvl w:ilvl="6">
      <w:start w:val="1"/>
      <w:numFmt w:val="decimal"/>
      <w:lvlText w:val="%1.%2.%3.%4.%5.%6.%7."/>
      <w:lvlJc w:val="left"/>
      <w:pPr>
        <w:ind w:left="3240" w:hanging="1080"/>
      </w:pPr>
      <w:rPr>
        <w:shd w:val="clear" w:color="auto" w:fill="auto"/>
      </w:rPr>
    </w:lvl>
    <w:lvl w:ilvl="7">
      <w:start w:val="1"/>
      <w:numFmt w:val="decimal"/>
      <w:lvlText w:val="%1.%2.%3.%4.%5.%6.%7.%8."/>
      <w:lvlJc w:val="left"/>
      <w:pPr>
        <w:ind w:left="3744" w:hanging="1224"/>
      </w:pPr>
      <w:rPr>
        <w:shd w:val="clear" w:color="auto" w:fill="auto"/>
      </w:rPr>
    </w:lvl>
    <w:lvl w:ilvl="8">
      <w:start w:val="1"/>
      <w:numFmt w:val="decimal"/>
      <w:lvlText w:val="%1.%2.%3.%4.%5.%6.%7.%8.%9."/>
      <w:lvlJc w:val="left"/>
      <w:pPr>
        <w:ind w:left="4320" w:hanging="1440"/>
      </w:pPr>
      <w:rPr>
        <w:shd w:val="clear" w:color="auto" w:fill="auto"/>
      </w:rPr>
    </w:lvl>
  </w:abstractNum>
  <w:abstractNum w:abstractNumId="9" w15:restartNumberingAfterBreak="0">
    <w:nsid w:val="2F000008"/>
    <w:multiLevelType w:val="hybridMultilevel"/>
    <w:tmpl w:val="1F7E2088"/>
    <w:lvl w:ilvl="0" w:tplc="A3CC4610">
      <w:numFmt w:val="bullet"/>
      <w:lvlText w:val="-"/>
      <w:lvlJc w:val="left"/>
      <w:pPr>
        <w:ind w:left="720" w:hanging="360"/>
      </w:pPr>
      <w:rPr>
        <w:rFonts w:ascii="Times New Roman" w:eastAsia="Times New Roman" w:hAnsi="Times New Roman" w:cs="Times New Roman" w:hint="default"/>
        <w:b w:val="0"/>
        <w:shd w:val="clear" w:color="auto" w:fill="auto"/>
      </w:rPr>
    </w:lvl>
    <w:lvl w:ilvl="1" w:tplc="5546EA24">
      <w:start w:val="1"/>
      <w:numFmt w:val="bullet"/>
      <w:lvlText w:val="o"/>
      <w:lvlJc w:val="left"/>
      <w:pPr>
        <w:ind w:left="1440" w:hanging="360"/>
      </w:pPr>
      <w:rPr>
        <w:rFonts w:ascii="Courier New" w:hAnsi="Courier New" w:cs="Courier New" w:hint="default"/>
        <w:shd w:val="clear" w:color="auto" w:fill="auto"/>
      </w:rPr>
    </w:lvl>
    <w:lvl w:ilvl="2" w:tplc="18C80394">
      <w:start w:val="1"/>
      <w:numFmt w:val="bullet"/>
      <w:lvlText w:val=""/>
      <w:lvlJc w:val="left"/>
      <w:pPr>
        <w:ind w:left="2160" w:hanging="360"/>
      </w:pPr>
      <w:rPr>
        <w:rFonts w:ascii="Wingdings" w:hAnsi="Wingdings" w:hint="default"/>
        <w:shd w:val="clear" w:color="auto" w:fill="auto"/>
      </w:rPr>
    </w:lvl>
    <w:lvl w:ilvl="3" w:tplc="AA4A5024">
      <w:start w:val="1"/>
      <w:numFmt w:val="bullet"/>
      <w:lvlText w:val=""/>
      <w:lvlJc w:val="left"/>
      <w:pPr>
        <w:ind w:left="2880" w:hanging="360"/>
      </w:pPr>
      <w:rPr>
        <w:rFonts w:ascii="Symbol" w:hAnsi="Symbol" w:hint="default"/>
        <w:shd w:val="clear" w:color="auto" w:fill="auto"/>
      </w:rPr>
    </w:lvl>
    <w:lvl w:ilvl="4" w:tplc="D00AAB30">
      <w:start w:val="1"/>
      <w:numFmt w:val="bullet"/>
      <w:lvlText w:val="o"/>
      <w:lvlJc w:val="left"/>
      <w:pPr>
        <w:ind w:left="3600" w:hanging="360"/>
      </w:pPr>
      <w:rPr>
        <w:rFonts w:ascii="Courier New" w:hAnsi="Courier New" w:cs="Courier New" w:hint="default"/>
        <w:shd w:val="clear" w:color="auto" w:fill="auto"/>
      </w:rPr>
    </w:lvl>
    <w:lvl w:ilvl="5" w:tplc="001C79C0">
      <w:start w:val="1"/>
      <w:numFmt w:val="bullet"/>
      <w:lvlText w:val=""/>
      <w:lvlJc w:val="left"/>
      <w:pPr>
        <w:ind w:left="4320" w:hanging="360"/>
      </w:pPr>
      <w:rPr>
        <w:rFonts w:ascii="Wingdings" w:hAnsi="Wingdings" w:hint="default"/>
        <w:shd w:val="clear" w:color="auto" w:fill="auto"/>
      </w:rPr>
    </w:lvl>
    <w:lvl w:ilvl="6" w:tplc="513E4EE4">
      <w:start w:val="1"/>
      <w:numFmt w:val="bullet"/>
      <w:lvlText w:val=""/>
      <w:lvlJc w:val="left"/>
      <w:pPr>
        <w:ind w:left="5040" w:hanging="360"/>
      </w:pPr>
      <w:rPr>
        <w:rFonts w:ascii="Symbol" w:hAnsi="Symbol" w:hint="default"/>
        <w:shd w:val="clear" w:color="auto" w:fill="auto"/>
      </w:rPr>
    </w:lvl>
    <w:lvl w:ilvl="7" w:tplc="0EFC5208">
      <w:start w:val="1"/>
      <w:numFmt w:val="bullet"/>
      <w:lvlText w:val="o"/>
      <w:lvlJc w:val="left"/>
      <w:pPr>
        <w:ind w:left="5760" w:hanging="360"/>
      </w:pPr>
      <w:rPr>
        <w:rFonts w:ascii="Courier New" w:hAnsi="Courier New" w:cs="Courier New" w:hint="default"/>
        <w:shd w:val="clear" w:color="auto" w:fill="auto"/>
      </w:rPr>
    </w:lvl>
    <w:lvl w:ilvl="8" w:tplc="53B6DA72">
      <w:start w:val="1"/>
      <w:numFmt w:val="bullet"/>
      <w:lvlText w:val=""/>
      <w:lvlJc w:val="left"/>
      <w:pPr>
        <w:ind w:left="6480" w:hanging="360"/>
      </w:pPr>
      <w:rPr>
        <w:rFonts w:ascii="Wingdings" w:hAnsi="Wingdings" w:hint="default"/>
        <w:shd w:val="clear" w:color="auto" w:fill="auto"/>
      </w:rPr>
    </w:lvl>
  </w:abstractNum>
  <w:abstractNum w:abstractNumId="10" w15:restartNumberingAfterBreak="0">
    <w:nsid w:val="435F4A00"/>
    <w:multiLevelType w:val="multilevel"/>
    <w:tmpl w:val="378B4C4C"/>
    <w:lvl w:ilvl="0">
      <w:start w:val="1"/>
      <w:numFmt w:val="decimal"/>
      <w:lvlText w:val="%1."/>
      <w:lvlJc w:val="left"/>
      <w:pPr>
        <w:ind w:left="360" w:hanging="360"/>
      </w:pPr>
      <w:rPr>
        <w:rFonts w:hint="default"/>
        <w:shd w:val="clear" w:color="auto" w:fill="auto"/>
      </w:rPr>
    </w:lvl>
    <w:lvl w:ilvl="1">
      <w:start w:val="1"/>
      <w:numFmt w:val="decimal"/>
      <w:lvlText w:val="%1.%2."/>
      <w:lvlJc w:val="left"/>
      <w:pPr>
        <w:ind w:left="792" w:hanging="432"/>
      </w:pPr>
      <w:rPr>
        <w:shd w:val="clear" w:color="auto" w:fill="auto"/>
      </w:rPr>
    </w:lvl>
    <w:lvl w:ilvl="2">
      <w:start w:val="1"/>
      <w:numFmt w:val="decimal"/>
      <w:lvlText w:val="%1.%2.%3."/>
      <w:lvlJc w:val="left"/>
      <w:pPr>
        <w:ind w:left="1224" w:hanging="504"/>
      </w:pPr>
      <w:rPr>
        <w:shd w:val="clear" w:color="auto" w:fill="auto"/>
      </w:rPr>
    </w:lvl>
    <w:lvl w:ilvl="3">
      <w:start w:val="1"/>
      <w:numFmt w:val="decimal"/>
      <w:lvlText w:val="%1.%2.%3.%4."/>
      <w:lvlJc w:val="left"/>
      <w:pPr>
        <w:ind w:left="1728" w:hanging="648"/>
      </w:pPr>
      <w:rPr>
        <w:shd w:val="clear" w:color="auto" w:fill="auto"/>
      </w:rPr>
    </w:lvl>
    <w:lvl w:ilvl="4">
      <w:start w:val="1"/>
      <w:numFmt w:val="decimal"/>
      <w:lvlText w:val="%1.%2.%3.%4.%5."/>
      <w:lvlJc w:val="left"/>
      <w:pPr>
        <w:ind w:left="2232" w:hanging="792"/>
      </w:pPr>
      <w:rPr>
        <w:shd w:val="clear" w:color="auto" w:fill="auto"/>
      </w:rPr>
    </w:lvl>
    <w:lvl w:ilvl="5">
      <w:start w:val="1"/>
      <w:numFmt w:val="decimal"/>
      <w:lvlText w:val="%1.%2.%3.%4.%5.%6."/>
      <w:lvlJc w:val="left"/>
      <w:pPr>
        <w:ind w:left="2736" w:hanging="936"/>
      </w:pPr>
      <w:rPr>
        <w:shd w:val="clear" w:color="auto" w:fill="auto"/>
      </w:rPr>
    </w:lvl>
    <w:lvl w:ilvl="6">
      <w:start w:val="1"/>
      <w:numFmt w:val="decimal"/>
      <w:lvlText w:val="%1.%2.%3.%4.%5.%6.%7."/>
      <w:lvlJc w:val="left"/>
      <w:pPr>
        <w:ind w:left="3240" w:hanging="1080"/>
      </w:pPr>
      <w:rPr>
        <w:shd w:val="clear" w:color="auto" w:fill="auto"/>
      </w:rPr>
    </w:lvl>
    <w:lvl w:ilvl="7">
      <w:start w:val="1"/>
      <w:numFmt w:val="decimal"/>
      <w:lvlText w:val="%1.%2.%3.%4.%5.%6.%7.%8."/>
      <w:lvlJc w:val="left"/>
      <w:pPr>
        <w:ind w:left="3744" w:hanging="1224"/>
      </w:pPr>
      <w:rPr>
        <w:shd w:val="clear" w:color="auto" w:fill="auto"/>
      </w:rPr>
    </w:lvl>
    <w:lvl w:ilvl="8">
      <w:start w:val="1"/>
      <w:numFmt w:val="decimal"/>
      <w:lvlText w:val="%1.%2.%3.%4.%5.%6.%7.%8.%9."/>
      <w:lvlJc w:val="left"/>
      <w:pPr>
        <w:ind w:left="4320" w:hanging="1440"/>
      </w:pPr>
      <w:rPr>
        <w:shd w:val="clear" w:color="auto" w:fill="auto"/>
      </w:rPr>
    </w:lvl>
  </w:abstractNum>
  <w:abstractNum w:abstractNumId="11" w15:restartNumberingAfterBreak="0">
    <w:nsid w:val="60C65C3C"/>
    <w:multiLevelType w:val="hybridMultilevel"/>
    <w:tmpl w:val="459CCFBA"/>
    <w:lvl w:ilvl="0" w:tplc="B672AED0">
      <w:start w:val="1"/>
      <w:numFmt w:val="decimal"/>
      <w:lvlText w:val="%1."/>
      <w:lvlJc w:val="left"/>
      <w:pPr>
        <w:ind w:left="1440" w:hanging="360"/>
      </w:pPr>
    </w:lvl>
    <w:lvl w:ilvl="1" w:tplc="F528903E">
      <w:start w:val="1"/>
      <w:numFmt w:val="decimal"/>
      <w:lvlText w:val="%2."/>
      <w:lvlJc w:val="left"/>
      <w:pPr>
        <w:ind w:left="1440" w:hanging="360"/>
      </w:pPr>
    </w:lvl>
    <w:lvl w:ilvl="2" w:tplc="40E639E4">
      <w:start w:val="1"/>
      <w:numFmt w:val="decimal"/>
      <w:lvlText w:val="%3."/>
      <w:lvlJc w:val="left"/>
      <w:pPr>
        <w:ind w:left="1440" w:hanging="360"/>
      </w:pPr>
    </w:lvl>
    <w:lvl w:ilvl="3" w:tplc="6BCA8438">
      <w:start w:val="1"/>
      <w:numFmt w:val="decimal"/>
      <w:lvlText w:val="%4."/>
      <w:lvlJc w:val="left"/>
      <w:pPr>
        <w:ind w:left="1440" w:hanging="360"/>
      </w:pPr>
    </w:lvl>
    <w:lvl w:ilvl="4" w:tplc="ED3806FA">
      <w:start w:val="1"/>
      <w:numFmt w:val="decimal"/>
      <w:lvlText w:val="%5."/>
      <w:lvlJc w:val="left"/>
      <w:pPr>
        <w:ind w:left="1440" w:hanging="360"/>
      </w:pPr>
    </w:lvl>
    <w:lvl w:ilvl="5" w:tplc="0F70A8A6">
      <w:start w:val="1"/>
      <w:numFmt w:val="decimal"/>
      <w:lvlText w:val="%6."/>
      <w:lvlJc w:val="left"/>
      <w:pPr>
        <w:ind w:left="1440" w:hanging="360"/>
      </w:pPr>
    </w:lvl>
    <w:lvl w:ilvl="6" w:tplc="570A78FC">
      <w:start w:val="1"/>
      <w:numFmt w:val="decimal"/>
      <w:lvlText w:val="%7."/>
      <w:lvlJc w:val="left"/>
      <w:pPr>
        <w:ind w:left="1440" w:hanging="360"/>
      </w:pPr>
    </w:lvl>
    <w:lvl w:ilvl="7" w:tplc="EF088D44">
      <w:start w:val="1"/>
      <w:numFmt w:val="decimal"/>
      <w:lvlText w:val="%8."/>
      <w:lvlJc w:val="left"/>
      <w:pPr>
        <w:ind w:left="1440" w:hanging="360"/>
      </w:pPr>
    </w:lvl>
    <w:lvl w:ilvl="8" w:tplc="E9AAC7E6">
      <w:start w:val="1"/>
      <w:numFmt w:val="decimal"/>
      <w:lvlText w:val="%9."/>
      <w:lvlJc w:val="left"/>
      <w:pPr>
        <w:ind w:left="1440" w:hanging="360"/>
      </w:pPr>
    </w:lvl>
  </w:abstractNum>
  <w:num w:numId="1">
    <w:abstractNumId w:val="2"/>
  </w:num>
  <w:num w:numId="2">
    <w:abstractNumId w:val="8"/>
  </w:num>
  <w:num w:numId="3">
    <w:abstractNumId w:val="1"/>
  </w:num>
  <w:num w:numId="4">
    <w:abstractNumId w:val="7"/>
  </w:num>
  <w:num w:numId="5">
    <w:abstractNumId w:val="6"/>
  </w:num>
  <w:num w:numId="6">
    <w:abstractNumId w:val="4"/>
  </w:num>
  <w:num w:numId="7">
    <w:abstractNumId w:val="9"/>
  </w:num>
  <w:num w:numId="8">
    <w:abstractNumId w:val="5"/>
  </w:num>
  <w:num w:numId="9">
    <w:abstractNumId w:val="3"/>
  </w:num>
  <w:num w:numId="10">
    <w:abstractNumId w:val="11"/>
  </w:num>
  <w:num w:numId="11">
    <w:abstractNumId w:val="0"/>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bordersDoNotSurroundFooter/>
  <w:hideSpellingErrors/>
  <w:hideGrammaticalErrors/>
  <w:revisionView w:markup="0"/>
  <w:documentProtection w:edit="trackedChanges" w:enforcement="0"/>
  <w:defaultTabStop w:val="720"/>
  <w:displayHorizontalDrawingGridEvery w:val="0"/>
  <w:displayVerticalDrawingGridEvery w:val="2"/>
  <w:noPunctuationKerning/>
  <w:characterSpacingControl w:val="doNotCompress"/>
  <w:hdrShapeDefaults>
    <o:shapedefaults v:ext="edit" spidmax="2051"/>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61038F7C-236E-4674-9787-F477C9E38A50"/>
    <w:docVar w:name="LW_COVERPAGE_TYPE" w:val="1"/>
    <w:docVar w:name="LW_CROSSREFERENCE" w:val="&lt;UNUSED&gt;"/>
    <w:docVar w:name="LW_DocType" w:val="NORMAL"/>
    <w:docVar w:name="LW_EMISSION" w:val="16.10.2025"/>
    <w:docVar w:name="LW_EMISSION_ISODATE" w:val="2025-10-16"/>
    <w:docVar w:name="LW_EMISSION_LOCATION" w:val="BRX"/>
    <w:docVar w:name="LW_EMISSION_PREFIX" w:val="Bruxelles, "/>
    <w:docVar w:name="LW_EMISSION_SUFFIX" w:val=" "/>
    <w:docVar w:name="LW_ID_DOCTYPE_NONLW" w:val="CP-016"/>
    <w:docVar w:name="LW_LANGUE" w:val="RO"/>
    <w:docVar w:name="LW_LEVEL_OF_SENSITIVITY" w:val="Standard treatment"/>
    <w:docVar w:name="LW_NOM.INST" w:val="COMISIA EUROPEAN\u258?"/>
    <w:docVar w:name="LW_NOM.INST_JOINTDOC" w:val="ÎNALTUL REPREZENTANT AL_x000b_UNIUNII PENTRU AFACERI_x000b_ EXTERNE \u536?I POLITICA_x000b_DE SECURITATE"/>
    <w:docVar w:name="LW_PART_NBR" w:val="1"/>
    <w:docVar w:name="LW_PART_NBR_TOTAL" w:val="1"/>
    <w:docVar w:name="LW_REF.INST.NEW" w:val="JOIN"/>
    <w:docVar w:name="LW_REF.INST.NEW_ADOPTED" w:val="final"/>
    <w:docVar w:name="LW_REF.INST.NEW_TEXT" w:val="(2025) 2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Viziunea UE asupra climei \u537?i energiei la nivel mondial: asigurarea rolului competitiv al Europei pe pie\u539?ele mondiale \u537?i accelerarea tranzi\u539?iei curate"/>
    <w:docVar w:name="LW_TYPE.DOC.CP" w:val="COMUNICARE COMUN\u258? C\u258?TRE PARLAMENTUL EUROPEAN, CONSILIU, COMITETUL ECONOMIC \u536?I SOCIAL EUROPEAN \u536?I COMITETUL REGIUNILOR"/>
    <w:docVar w:name="LW_TYPE.DOC.CP.USERTEXT" w:val="&lt;EMPTY&gt;"/>
    <w:docVar w:name="LwApiVersions" w:val="LW4CoDe 1.24.5.0; LW 9.0, Build 20240221"/>
  </w:docVars>
  <w:rsids>
    <w:rsidRoot w:val="00AE2E91"/>
    <w:rsid w:val="00002151"/>
    <w:rsid w:val="00002184"/>
    <w:rsid w:val="000022FF"/>
    <w:rsid w:val="00002D15"/>
    <w:rsid w:val="00004679"/>
    <w:rsid w:val="00004FAB"/>
    <w:rsid w:val="00005662"/>
    <w:rsid w:val="00005C78"/>
    <w:rsid w:val="000064A5"/>
    <w:rsid w:val="00006FF7"/>
    <w:rsid w:val="00007101"/>
    <w:rsid w:val="000078D3"/>
    <w:rsid w:val="00010207"/>
    <w:rsid w:val="0001155B"/>
    <w:rsid w:val="000119E9"/>
    <w:rsid w:val="0001238A"/>
    <w:rsid w:val="00012950"/>
    <w:rsid w:val="00012DDF"/>
    <w:rsid w:val="00013167"/>
    <w:rsid w:val="00013D28"/>
    <w:rsid w:val="00014190"/>
    <w:rsid w:val="00015397"/>
    <w:rsid w:val="00015879"/>
    <w:rsid w:val="000161FB"/>
    <w:rsid w:val="00016C9F"/>
    <w:rsid w:val="00016F0B"/>
    <w:rsid w:val="00020C8C"/>
    <w:rsid w:val="00021365"/>
    <w:rsid w:val="000215E6"/>
    <w:rsid w:val="0002180D"/>
    <w:rsid w:val="00022520"/>
    <w:rsid w:val="00023915"/>
    <w:rsid w:val="00024DC3"/>
    <w:rsid w:val="000255A0"/>
    <w:rsid w:val="00025E77"/>
    <w:rsid w:val="0003155A"/>
    <w:rsid w:val="00031ED2"/>
    <w:rsid w:val="00032B86"/>
    <w:rsid w:val="00032E67"/>
    <w:rsid w:val="00032EA3"/>
    <w:rsid w:val="00033A36"/>
    <w:rsid w:val="00033D16"/>
    <w:rsid w:val="00034E4D"/>
    <w:rsid w:val="00035040"/>
    <w:rsid w:val="0003548E"/>
    <w:rsid w:val="00035DCE"/>
    <w:rsid w:val="00036765"/>
    <w:rsid w:val="00037D4A"/>
    <w:rsid w:val="00040545"/>
    <w:rsid w:val="000413EF"/>
    <w:rsid w:val="00041691"/>
    <w:rsid w:val="00041B61"/>
    <w:rsid w:val="000420CC"/>
    <w:rsid w:val="00044602"/>
    <w:rsid w:val="00045FDC"/>
    <w:rsid w:val="000471C5"/>
    <w:rsid w:val="00047C3F"/>
    <w:rsid w:val="0005089E"/>
    <w:rsid w:val="000515A6"/>
    <w:rsid w:val="000527BD"/>
    <w:rsid w:val="00052D87"/>
    <w:rsid w:val="000548D7"/>
    <w:rsid w:val="000553AD"/>
    <w:rsid w:val="000558A1"/>
    <w:rsid w:val="0005628F"/>
    <w:rsid w:val="00056598"/>
    <w:rsid w:val="00056F6D"/>
    <w:rsid w:val="00057F7D"/>
    <w:rsid w:val="000602C8"/>
    <w:rsid w:val="00060EA3"/>
    <w:rsid w:val="0006102E"/>
    <w:rsid w:val="00061053"/>
    <w:rsid w:val="000612DA"/>
    <w:rsid w:val="000614DD"/>
    <w:rsid w:val="00061868"/>
    <w:rsid w:val="00063212"/>
    <w:rsid w:val="00063B5E"/>
    <w:rsid w:val="000649D6"/>
    <w:rsid w:val="00065288"/>
    <w:rsid w:val="0006592D"/>
    <w:rsid w:val="000662BB"/>
    <w:rsid w:val="00066A40"/>
    <w:rsid w:val="00066A92"/>
    <w:rsid w:val="00066E7E"/>
    <w:rsid w:val="0006795F"/>
    <w:rsid w:val="00067A3E"/>
    <w:rsid w:val="000712C0"/>
    <w:rsid w:val="000715F9"/>
    <w:rsid w:val="00071DE8"/>
    <w:rsid w:val="0007211A"/>
    <w:rsid w:val="00072986"/>
    <w:rsid w:val="00072C6D"/>
    <w:rsid w:val="00073B8C"/>
    <w:rsid w:val="00074CC2"/>
    <w:rsid w:val="00075167"/>
    <w:rsid w:val="000757DA"/>
    <w:rsid w:val="00077699"/>
    <w:rsid w:val="00080081"/>
    <w:rsid w:val="00081631"/>
    <w:rsid w:val="0008220C"/>
    <w:rsid w:val="0008418B"/>
    <w:rsid w:val="0008424E"/>
    <w:rsid w:val="00087A61"/>
    <w:rsid w:val="00091006"/>
    <w:rsid w:val="00091580"/>
    <w:rsid w:val="00093ACF"/>
    <w:rsid w:val="00093B2B"/>
    <w:rsid w:val="000942C2"/>
    <w:rsid w:val="000945F6"/>
    <w:rsid w:val="00094FF1"/>
    <w:rsid w:val="00095581"/>
    <w:rsid w:val="00096531"/>
    <w:rsid w:val="00097048"/>
    <w:rsid w:val="000977F1"/>
    <w:rsid w:val="00097EBC"/>
    <w:rsid w:val="000A01E0"/>
    <w:rsid w:val="000A0FA3"/>
    <w:rsid w:val="000A2715"/>
    <w:rsid w:val="000A2904"/>
    <w:rsid w:val="000A3734"/>
    <w:rsid w:val="000A5E04"/>
    <w:rsid w:val="000A670B"/>
    <w:rsid w:val="000A6F2C"/>
    <w:rsid w:val="000A7695"/>
    <w:rsid w:val="000A79DF"/>
    <w:rsid w:val="000B1E2A"/>
    <w:rsid w:val="000B1F7B"/>
    <w:rsid w:val="000B20D0"/>
    <w:rsid w:val="000B2196"/>
    <w:rsid w:val="000B2CDB"/>
    <w:rsid w:val="000B52D0"/>
    <w:rsid w:val="000B606D"/>
    <w:rsid w:val="000B6F5D"/>
    <w:rsid w:val="000B782F"/>
    <w:rsid w:val="000C211D"/>
    <w:rsid w:val="000C4721"/>
    <w:rsid w:val="000C4850"/>
    <w:rsid w:val="000C5B81"/>
    <w:rsid w:val="000D11E5"/>
    <w:rsid w:val="000D1456"/>
    <w:rsid w:val="000D1B37"/>
    <w:rsid w:val="000D20D4"/>
    <w:rsid w:val="000D27BA"/>
    <w:rsid w:val="000D3F7B"/>
    <w:rsid w:val="000D4EB7"/>
    <w:rsid w:val="000D5229"/>
    <w:rsid w:val="000D5635"/>
    <w:rsid w:val="000D5B23"/>
    <w:rsid w:val="000D7479"/>
    <w:rsid w:val="000E24C5"/>
    <w:rsid w:val="000E26C3"/>
    <w:rsid w:val="000E2AC5"/>
    <w:rsid w:val="000E4643"/>
    <w:rsid w:val="000E544A"/>
    <w:rsid w:val="000E5486"/>
    <w:rsid w:val="000E6BC4"/>
    <w:rsid w:val="000E77AD"/>
    <w:rsid w:val="000E7927"/>
    <w:rsid w:val="000F00C7"/>
    <w:rsid w:val="000F1D03"/>
    <w:rsid w:val="000F3F0B"/>
    <w:rsid w:val="000F4364"/>
    <w:rsid w:val="000F4704"/>
    <w:rsid w:val="000F50DA"/>
    <w:rsid w:val="000F52F2"/>
    <w:rsid w:val="000F676F"/>
    <w:rsid w:val="000F7D94"/>
    <w:rsid w:val="0010013C"/>
    <w:rsid w:val="00101252"/>
    <w:rsid w:val="00101DE1"/>
    <w:rsid w:val="001035B6"/>
    <w:rsid w:val="00105FFC"/>
    <w:rsid w:val="00106B57"/>
    <w:rsid w:val="001073D8"/>
    <w:rsid w:val="00107C38"/>
    <w:rsid w:val="001102DE"/>
    <w:rsid w:val="0011154C"/>
    <w:rsid w:val="00112076"/>
    <w:rsid w:val="00112864"/>
    <w:rsid w:val="00112DE9"/>
    <w:rsid w:val="0011510C"/>
    <w:rsid w:val="0011560A"/>
    <w:rsid w:val="00115B67"/>
    <w:rsid w:val="00116188"/>
    <w:rsid w:val="00116DB9"/>
    <w:rsid w:val="001176C0"/>
    <w:rsid w:val="001202C7"/>
    <w:rsid w:val="0012296B"/>
    <w:rsid w:val="00122C86"/>
    <w:rsid w:val="001230C3"/>
    <w:rsid w:val="00123936"/>
    <w:rsid w:val="001242EE"/>
    <w:rsid w:val="001252EE"/>
    <w:rsid w:val="00125865"/>
    <w:rsid w:val="001266D6"/>
    <w:rsid w:val="001304FB"/>
    <w:rsid w:val="00130727"/>
    <w:rsid w:val="00131CBA"/>
    <w:rsid w:val="00132627"/>
    <w:rsid w:val="001328AD"/>
    <w:rsid w:val="00134728"/>
    <w:rsid w:val="001369C0"/>
    <w:rsid w:val="00136A98"/>
    <w:rsid w:val="001412CA"/>
    <w:rsid w:val="00141BE3"/>
    <w:rsid w:val="00142016"/>
    <w:rsid w:val="00143001"/>
    <w:rsid w:val="00143600"/>
    <w:rsid w:val="00143C77"/>
    <w:rsid w:val="0014463C"/>
    <w:rsid w:val="00145968"/>
    <w:rsid w:val="00145A1C"/>
    <w:rsid w:val="00145EA4"/>
    <w:rsid w:val="001463FE"/>
    <w:rsid w:val="001506AC"/>
    <w:rsid w:val="00150BAA"/>
    <w:rsid w:val="001515B1"/>
    <w:rsid w:val="00151684"/>
    <w:rsid w:val="00151AF5"/>
    <w:rsid w:val="00152DAC"/>
    <w:rsid w:val="001534E7"/>
    <w:rsid w:val="001539ED"/>
    <w:rsid w:val="0015463D"/>
    <w:rsid w:val="00156445"/>
    <w:rsid w:val="00157622"/>
    <w:rsid w:val="0015794D"/>
    <w:rsid w:val="00161320"/>
    <w:rsid w:val="00161512"/>
    <w:rsid w:val="00161762"/>
    <w:rsid w:val="00161C03"/>
    <w:rsid w:val="00162532"/>
    <w:rsid w:val="00162985"/>
    <w:rsid w:val="00164093"/>
    <w:rsid w:val="001669A3"/>
    <w:rsid w:val="00167178"/>
    <w:rsid w:val="00167336"/>
    <w:rsid w:val="00170BBD"/>
    <w:rsid w:val="0017182E"/>
    <w:rsid w:val="00173DCE"/>
    <w:rsid w:val="00174429"/>
    <w:rsid w:val="00174FCE"/>
    <w:rsid w:val="00175194"/>
    <w:rsid w:val="001761B3"/>
    <w:rsid w:val="0017623E"/>
    <w:rsid w:val="0017680C"/>
    <w:rsid w:val="00181080"/>
    <w:rsid w:val="001814EE"/>
    <w:rsid w:val="001826A2"/>
    <w:rsid w:val="0018298B"/>
    <w:rsid w:val="0018374D"/>
    <w:rsid w:val="00183D79"/>
    <w:rsid w:val="00184E24"/>
    <w:rsid w:val="00186E10"/>
    <w:rsid w:val="00187C81"/>
    <w:rsid w:val="00187E9C"/>
    <w:rsid w:val="00191DDC"/>
    <w:rsid w:val="0019441A"/>
    <w:rsid w:val="0019496E"/>
    <w:rsid w:val="00196A32"/>
    <w:rsid w:val="00196AF9"/>
    <w:rsid w:val="00196BE1"/>
    <w:rsid w:val="00197806"/>
    <w:rsid w:val="001A2B25"/>
    <w:rsid w:val="001A467F"/>
    <w:rsid w:val="001A4F0B"/>
    <w:rsid w:val="001A553B"/>
    <w:rsid w:val="001A6B37"/>
    <w:rsid w:val="001A7175"/>
    <w:rsid w:val="001A796E"/>
    <w:rsid w:val="001A7B8D"/>
    <w:rsid w:val="001B09D8"/>
    <w:rsid w:val="001B271B"/>
    <w:rsid w:val="001B2904"/>
    <w:rsid w:val="001B3CA1"/>
    <w:rsid w:val="001B4087"/>
    <w:rsid w:val="001B54FC"/>
    <w:rsid w:val="001B6714"/>
    <w:rsid w:val="001C0A11"/>
    <w:rsid w:val="001C1464"/>
    <w:rsid w:val="001C1DD2"/>
    <w:rsid w:val="001C37E2"/>
    <w:rsid w:val="001C4C66"/>
    <w:rsid w:val="001C4F3A"/>
    <w:rsid w:val="001C5FAE"/>
    <w:rsid w:val="001C6098"/>
    <w:rsid w:val="001C6773"/>
    <w:rsid w:val="001C6C56"/>
    <w:rsid w:val="001D0486"/>
    <w:rsid w:val="001D20B1"/>
    <w:rsid w:val="001D3A4B"/>
    <w:rsid w:val="001D48E9"/>
    <w:rsid w:val="001D4B7C"/>
    <w:rsid w:val="001D77FD"/>
    <w:rsid w:val="001D7DF0"/>
    <w:rsid w:val="001D7EC6"/>
    <w:rsid w:val="001E06F2"/>
    <w:rsid w:val="001E2777"/>
    <w:rsid w:val="001E41D6"/>
    <w:rsid w:val="001E656A"/>
    <w:rsid w:val="001E6FFC"/>
    <w:rsid w:val="001E7B0D"/>
    <w:rsid w:val="001E7EC4"/>
    <w:rsid w:val="001F089C"/>
    <w:rsid w:val="001F31C2"/>
    <w:rsid w:val="001F4484"/>
    <w:rsid w:val="001F7669"/>
    <w:rsid w:val="001F7678"/>
    <w:rsid w:val="001F781D"/>
    <w:rsid w:val="001F78C8"/>
    <w:rsid w:val="00200742"/>
    <w:rsid w:val="00201E30"/>
    <w:rsid w:val="00202345"/>
    <w:rsid w:val="00203F7A"/>
    <w:rsid w:val="00204B43"/>
    <w:rsid w:val="00206AA4"/>
    <w:rsid w:val="00206F65"/>
    <w:rsid w:val="00207B90"/>
    <w:rsid w:val="002109C0"/>
    <w:rsid w:val="00211D4B"/>
    <w:rsid w:val="0021247F"/>
    <w:rsid w:val="002129EC"/>
    <w:rsid w:val="00213C73"/>
    <w:rsid w:val="00214961"/>
    <w:rsid w:val="002150E9"/>
    <w:rsid w:val="00215B2B"/>
    <w:rsid w:val="00215E88"/>
    <w:rsid w:val="00215F2C"/>
    <w:rsid w:val="00216A49"/>
    <w:rsid w:val="00216D91"/>
    <w:rsid w:val="00216F03"/>
    <w:rsid w:val="002175B4"/>
    <w:rsid w:val="002179D4"/>
    <w:rsid w:val="0022069B"/>
    <w:rsid w:val="00221F23"/>
    <w:rsid w:val="00222D06"/>
    <w:rsid w:val="0022338C"/>
    <w:rsid w:val="002242B0"/>
    <w:rsid w:val="00224981"/>
    <w:rsid w:val="00224A89"/>
    <w:rsid w:val="00224F89"/>
    <w:rsid w:val="00225759"/>
    <w:rsid w:val="0022579F"/>
    <w:rsid w:val="00226136"/>
    <w:rsid w:val="00227B2C"/>
    <w:rsid w:val="00230777"/>
    <w:rsid w:val="00230800"/>
    <w:rsid w:val="00231CBD"/>
    <w:rsid w:val="002322DD"/>
    <w:rsid w:val="00232904"/>
    <w:rsid w:val="00233A6E"/>
    <w:rsid w:val="00233B10"/>
    <w:rsid w:val="00233C5F"/>
    <w:rsid w:val="00234713"/>
    <w:rsid w:val="002351B6"/>
    <w:rsid w:val="002353CD"/>
    <w:rsid w:val="00236800"/>
    <w:rsid w:val="00236B1E"/>
    <w:rsid w:val="002379A9"/>
    <w:rsid w:val="00237E70"/>
    <w:rsid w:val="00241DAF"/>
    <w:rsid w:val="00241DD1"/>
    <w:rsid w:val="00242BCD"/>
    <w:rsid w:val="00242CC9"/>
    <w:rsid w:val="002449AB"/>
    <w:rsid w:val="00244D5E"/>
    <w:rsid w:val="00246495"/>
    <w:rsid w:val="0024651F"/>
    <w:rsid w:val="00247822"/>
    <w:rsid w:val="00251041"/>
    <w:rsid w:val="002524DE"/>
    <w:rsid w:val="00252BA1"/>
    <w:rsid w:val="0025315C"/>
    <w:rsid w:val="00253358"/>
    <w:rsid w:val="00255DF8"/>
    <w:rsid w:val="002572E9"/>
    <w:rsid w:val="00260EBE"/>
    <w:rsid w:val="0026267D"/>
    <w:rsid w:val="00262989"/>
    <w:rsid w:val="00262A77"/>
    <w:rsid w:val="00264182"/>
    <w:rsid w:val="002642CB"/>
    <w:rsid w:val="00264574"/>
    <w:rsid w:val="002651B0"/>
    <w:rsid w:val="0026533C"/>
    <w:rsid w:val="00266B44"/>
    <w:rsid w:val="002670E6"/>
    <w:rsid w:val="00267F1B"/>
    <w:rsid w:val="00267FD1"/>
    <w:rsid w:val="00270892"/>
    <w:rsid w:val="00270BEA"/>
    <w:rsid w:val="00270EAF"/>
    <w:rsid w:val="00270EFC"/>
    <w:rsid w:val="00271041"/>
    <w:rsid w:val="00271655"/>
    <w:rsid w:val="002735BD"/>
    <w:rsid w:val="00274C83"/>
    <w:rsid w:val="00274E76"/>
    <w:rsid w:val="00275234"/>
    <w:rsid w:val="002753EA"/>
    <w:rsid w:val="00275778"/>
    <w:rsid w:val="002800F6"/>
    <w:rsid w:val="00280F14"/>
    <w:rsid w:val="00281BD0"/>
    <w:rsid w:val="00282E3D"/>
    <w:rsid w:val="00284D47"/>
    <w:rsid w:val="00285B64"/>
    <w:rsid w:val="002866C0"/>
    <w:rsid w:val="00286CC5"/>
    <w:rsid w:val="00287933"/>
    <w:rsid w:val="00291700"/>
    <w:rsid w:val="00292885"/>
    <w:rsid w:val="0029299E"/>
    <w:rsid w:val="00292B09"/>
    <w:rsid w:val="00293335"/>
    <w:rsid w:val="00293503"/>
    <w:rsid w:val="00293DA9"/>
    <w:rsid w:val="00293F75"/>
    <w:rsid w:val="002942B1"/>
    <w:rsid w:val="00297389"/>
    <w:rsid w:val="00297EF0"/>
    <w:rsid w:val="00297F77"/>
    <w:rsid w:val="002A06EE"/>
    <w:rsid w:val="002A0D05"/>
    <w:rsid w:val="002A12EB"/>
    <w:rsid w:val="002A253A"/>
    <w:rsid w:val="002A2D55"/>
    <w:rsid w:val="002A33F1"/>
    <w:rsid w:val="002A450B"/>
    <w:rsid w:val="002A47FD"/>
    <w:rsid w:val="002A529B"/>
    <w:rsid w:val="002A580D"/>
    <w:rsid w:val="002A5A1A"/>
    <w:rsid w:val="002A5F69"/>
    <w:rsid w:val="002A6594"/>
    <w:rsid w:val="002A689E"/>
    <w:rsid w:val="002A7214"/>
    <w:rsid w:val="002A73DD"/>
    <w:rsid w:val="002B034A"/>
    <w:rsid w:val="002B069B"/>
    <w:rsid w:val="002B1973"/>
    <w:rsid w:val="002B1A07"/>
    <w:rsid w:val="002B2D28"/>
    <w:rsid w:val="002B314A"/>
    <w:rsid w:val="002B3A4F"/>
    <w:rsid w:val="002B49E5"/>
    <w:rsid w:val="002B5075"/>
    <w:rsid w:val="002B52C2"/>
    <w:rsid w:val="002B56CD"/>
    <w:rsid w:val="002B5B3D"/>
    <w:rsid w:val="002B6586"/>
    <w:rsid w:val="002B71C2"/>
    <w:rsid w:val="002B73C1"/>
    <w:rsid w:val="002B772E"/>
    <w:rsid w:val="002C0483"/>
    <w:rsid w:val="002C10BD"/>
    <w:rsid w:val="002C3096"/>
    <w:rsid w:val="002C3591"/>
    <w:rsid w:val="002C3772"/>
    <w:rsid w:val="002C3A0E"/>
    <w:rsid w:val="002C51C5"/>
    <w:rsid w:val="002C6AAC"/>
    <w:rsid w:val="002C7337"/>
    <w:rsid w:val="002D0188"/>
    <w:rsid w:val="002D0469"/>
    <w:rsid w:val="002D0C25"/>
    <w:rsid w:val="002D1109"/>
    <w:rsid w:val="002D1208"/>
    <w:rsid w:val="002D2795"/>
    <w:rsid w:val="002D2A3C"/>
    <w:rsid w:val="002D2D80"/>
    <w:rsid w:val="002D3AD5"/>
    <w:rsid w:val="002D4E86"/>
    <w:rsid w:val="002D607A"/>
    <w:rsid w:val="002D6872"/>
    <w:rsid w:val="002D7382"/>
    <w:rsid w:val="002D7484"/>
    <w:rsid w:val="002E0991"/>
    <w:rsid w:val="002E0BF1"/>
    <w:rsid w:val="002E2077"/>
    <w:rsid w:val="002E2145"/>
    <w:rsid w:val="002E25BE"/>
    <w:rsid w:val="002E31E1"/>
    <w:rsid w:val="002E4583"/>
    <w:rsid w:val="002E482F"/>
    <w:rsid w:val="002E5378"/>
    <w:rsid w:val="002E6A8D"/>
    <w:rsid w:val="002F05B5"/>
    <w:rsid w:val="002F05C9"/>
    <w:rsid w:val="002F0868"/>
    <w:rsid w:val="002F0EB6"/>
    <w:rsid w:val="002F10CF"/>
    <w:rsid w:val="002F35F0"/>
    <w:rsid w:val="002F3B2D"/>
    <w:rsid w:val="002F4960"/>
    <w:rsid w:val="002F624C"/>
    <w:rsid w:val="002F6775"/>
    <w:rsid w:val="002F7BC6"/>
    <w:rsid w:val="003005D7"/>
    <w:rsid w:val="0030136B"/>
    <w:rsid w:val="00301BD2"/>
    <w:rsid w:val="00301EDC"/>
    <w:rsid w:val="0030219F"/>
    <w:rsid w:val="00302C44"/>
    <w:rsid w:val="003035AD"/>
    <w:rsid w:val="00303AE9"/>
    <w:rsid w:val="003041DD"/>
    <w:rsid w:val="00304976"/>
    <w:rsid w:val="00307116"/>
    <w:rsid w:val="003072A2"/>
    <w:rsid w:val="00307B23"/>
    <w:rsid w:val="00310100"/>
    <w:rsid w:val="00311115"/>
    <w:rsid w:val="003125AC"/>
    <w:rsid w:val="00313023"/>
    <w:rsid w:val="00314296"/>
    <w:rsid w:val="00314E8B"/>
    <w:rsid w:val="00315A7D"/>
    <w:rsid w:val="00315D05"/>
    <w:rsid w:val="00322918"/>
    <w:rsid w:val="00322D10"/>
    <w:rsid w:val="00322E8F"/>
    <w:rsid w:val="003257B3"/>
    <w:rsid w:val="00325B2C"/>
    <w:rsid w:val="0032683E"/>
    <w:rsid w:val="0032793F"/>
    <w:rsid w:val="00327989"/>
    <w:rsid w:val="00327CA5"/>
    <w:rsid w:val="00332D8B"/>
    <w:rsid w:val="0033367E"/>
    <w:rsid w:val="00333D37"/>
    <w:rsid w:val="003348EE"/>
    <w:rsid w:val="003361A2"/>
    <w:rsid w:val="00337F1C"/>
    <w:rsid w:val="00341E2A"/>
    <w:rsid w:val="0034382C"/>
    <w:rsid w:val="0034453D"/>
    <w:rsid w:val="003447CC"/>
    <w:rsid w:val="0034579F"/>
    <w:rsid w:val="003466ED"/>
    <w:rsid w:val="00346848"/>
    <w:rsid w:val="00346EC7"/>
    <w:rsid w:val="003476E8"/>
    <w:rsid w:val="003478E5"/>
    <w:rsid w:val="00350BD2"/>
    <w:rsid w:val="00351938"/>
    <w:rsid w:val="00352DF9"/>
    <w:rsid w:val="00354CBC"/>
    <w:rsid w:val="00354CE2"/>
    <w:rsid w:val="00354E03"/>
    <w:rsid w:val="00354E98"/>
    <w:rsid w:val="003564B4"/>
    <w:rsid w:val="00356E12"/>
    <w:rsid w:val="00361024"/>
    <w:rsid w:val="003625EE"/>
    <w:rsid w:val="0036279E"/>
    <w:rsid w:val="00362C0F"/>
    <w:rsid w:val="00364490"/>
    <w:rsid w:val="003650DA"/>
    <w:rsid w:val="00365836"/>
    <w:rsid w:val="003665FA"/>
    <w:rsid w:val="0036696F"/>
    <w:rsid w:val="00366A00"/>
    <w:rsid w:val="00366D49"/>
    <w:rsid w:val="00366DA1"/>
    <w:rsid w:val="003670CD"/>
    <w:rsid w:val="0036744F"/>
    <w:rsid w:val="0036792D"/>
    <w:rsid w:val="00367B58"/>
    <w:rsid w:val="00367E2F"/>
    <w:rsid w:val="00367F10"/>
    <w:rsid w:val="00372CFB"/>
    <w:rsid w:val="00374D84"/>
    <w:rsid w:val="00375449"/>
    <w:rsid w:val="00375ECD"/>
    <w:rsid w:val="003762AE"/>
    <w:rsid w:val="00376F62"/>
    <w:rsid w:val="00377CA8"/>
    <w:rsid w:val="00377E36"/>
    <w:rsid w:val="00381518"/>
    <w:rsid w:val="003821A3"/>
    <w:rsid w:val="00382816"/>
    <w:rsid w:val="00382884"/>
    <w:rsid w:val="00382A35"/>
    <w:rsid w:val="003834FA"/>
    <w:rsid w:val="00383589"/>
    <w:rsid w:val="00383C66"/>
    <w:rsid w:val="00383F29"/>
    <w:rsid w:val="003849CD"/>
    <w:rsid w:val="00385499"/>
    <w:rsid w:val="003859B1"/>
    <w:rsid w:val="00385D04"/>
    <w:rsid w:val="00385DA2"/>
    <w:rsid w:val="0038670B"/>
    <w:rsid w:val="00386768"/>
    <w:rsid w:val="00390677"/>
    <w:rsid w:val="003906B1"/>
    <w:rsid w:val="00391D6A"/>
    <w:rsid w:val="00393174"/>
    <w:rsid w:val="003931D9"/>
    <w:rsid w:val="00393503"/>
    <w:rsid w:val="00394520"/>
    <w:rsid w:val="0039502D"/>
    <w:rsid w:val="0039661D"/>
    <w:rsid w:val="003A33A5"/>
    <w:rsid w:val="003A48CA"/>
    <w:rsid w:val="003A4F87"/>
    <w:rsid w:val="003A53BC"/>
    <w:rsid w:val="003A5DEB"/>
    <w:rsid w:val="003A6C44"/>
    <w:rsid w:val="003A738A"/>
    <w:rsid w:val="003B17BF"/>
    <w:rsid w:val="003B1E87"/>
    <w:rsid w:val="003B2AB8"/>
    <w:rsid w:val="003B2C70"/>
    <w:rsid w:val="003B3BF9"/>
    <w:rsid w:val="003B3F7F"/>
    <w:rsid w:val="003B45F7"/>
    <w:rsid w:val="003B4AB0"/>
    <w:rsid w:val="003B50FB"/>
    <w:rsid w:val="003B5DFF"/>
    <w:rsid w:val="003B6D27"/>
    <w:rsid w:val="003B7B9C"/>
    <w:rsid w:val="003C00C0"/>
    <w:rsid w:val="003C1828"/>
    <w:rsid w:val="003C2D22"/>
    <w:rsid w:val="003C2EDE"/>
    <w:rsid w:val="003C38C0"/>
    <w:rsid w:val="003C3965"/>
    <w:rsid w:val="003C3AA9"/>
    <w:rsid w:val="003C4CA3"/>
    <w:rsid w:val="003C512E"/>
    <w:rsid w:val="003C586B"/>
    <w:rsid w:val="003C5A28"/>
    <w:rsid w:val="003C6340"/>
    <w:rsid w:val="003C659D"/>
    <w:rsid w:val="003C75BC"/>
    <w:rsid w:val="003C79EA"/>
    <w:rsid w:val="003D0EFD"/>
    <w:rsid w:val="003D18BC"/>
    <w:rsid w:val="003D308E"/>
    <w:rsid w:val="003D32FC"/>
    <w:rsid w:val="003D347D"/>
    <w:rsid w:val="003D37A1"/>
    <w:rsid w:val="003D3814"/>
    <w:rsid w:val="003D48D6"/>
    <w:rsid w:val="003D4960"/>
    <w:rsid w:val="003D5479"/>
    <w:rsid w:val="003D5DE6"/>
    <w:rsid w:val="003D785C"/>
    <w:rsid w:val="003D7F02"/>
    <w:rsid w:val="003E0205"/>
    <w:rsid w:val="003E118D"/>
    <w:rsid w:val="003E2F15"/>
    <w:rsid w:val="003E52CB"/>
    <w:rsid w:val="003E6C89"/>
    <w:rsid w:val="003E70C1"/>
    <w:rsid w:val="003E743C"/>
    <w:rsid w:val="003F00AE"/>
    <w:rsid w:val="003F1035"/>
    <w:rsid w:val="003F12C9"/>
    <w:rsid w:val="003F14EF"/>
    <w:rsid w:val="003F3037"/>
    <w:rsid w:val="003F346F"/>
    <w:rsid w:val="003F5012"/>
    <w:rsid w:val="003F5126"/>
    <w:rsid w:val="003F5ECA"/>
    <w:rsid w:val="003F5FC6"/>
    <w:rsid w:val="003F6FAD"/>
    <w:rsid w:val="003F719F"/>
    <w:rsid w:val="004009A6"/>
    <w:rsid w:val="0040103A"/>
    <w:rsid w:val="0040106A"/>
    <w:rsid w:val="004023B6"/>
    <w:rsid w:val="00402EB6"/>
    <w:rsid w:val="00404018"/>
    <w:rsid w:val="0040448B"/>
    <w:rsid w:val="00404A73"/>
    <w:rsid w:val="00404D7B"/>
    <w:rsid w:val="004051A0"/>
    <w:rsid w:val="00406847"/>
    <w:rsid w:val="00407ED7"/>
    <w:rsid w:val="00410408"/>
    <w:rsid w:val="004105AE"/>
    <w:rsid w:val="004112F4"/>
    <w:rsid w:val="00411E69"/>
    <w:rsid w:val="0041362A"/>
    <w:rsid w:val="004137EF"/>
    <w:rsid w:val="0041397B"/>
    <w:rsid w:val="004148DD"/>
    <w:rsid w:val="0041497C"/>
    <w:rsid w:val="00414E9B"/>
    <w:rsid w:val="004154B4"/>
    <w:rsid w:val="00415FF4"/>
    <w:rsid w:val="00416C2F"/>
    <w:rsid w:val="0041707A"/>
    <w:rsid w:val="00417C2B"/>
    <w:rsid w:val="00423452"/>
    <w:rsid w:val="00424453"/>
    <w:rsid w:val="0042478A"/>
    <w:rsid w:val="004250EC"/>
    <w:rsid w:val="00425186"/>
    <w:rsid w:val="00426AEC"/>
    <w:rsid w:val="0042790A"/>
    <w:rsid w:val="00430074"/>
    <w:rsid w:val="0043027A"/>
    <w:rsid w:val="00430E40"/>
    <w:rsid w:val="004310CE"/>
    <w:rsid w:val="004314C9"/>
    <w:rsid w:val="00431AFA"/>
    <w:rsid w:val="00433434"/>
    <w:rsid w:val="00434BF3"/>
    <w:rsid w:val="00437110"/>
    <w:rsid w:val="0044018D"/>
    <w:rsid w:val="00440B93"/>
    <w:rsid w:val="00440CA3"/>
    <w:rsid w:val="00441038"/>
    <w:rsid w:val="0044173A"/>
    <w:rsid w:val="0044271F"/>
    <w:rsid w:val="00443007"/>
    <w:rsid w:val="004436DF"/>
    <w:rsid w:val="004443B1"/>
    <w:rsid w:val="0044525E"/>
    <w:rsid w:val="004459B0"/>
    <w:rsid w:val="00447FAA"/>
    <w:rsid w:val="00452550"/>
    <w:rsid w:val="004526CA"/>
    <w:rsid w:val="004536E3"/>
    <w:rsid w:val="004541C2"/>
    <w:rsid w:val="00455672"/>
    <w:rsid w:val="00456C87"/>
    <w:rsid w:val="0046023F"/>
    <w:rsid w:val="004602C6"/>
    <w:rsid w:val="00464ADB"/>
    <w:rsid w:val="00465216"/>
    <w:rsid w:val="0046542B"/>
    <w:rsid w:val="0046654D"/>
    <w:rsid w:val="00467CCD"/>
    <w:rsid w:val="00470128"/>
    <w:rsid w:val="00471B62"/>
    <w:rsid w:val="00471C8D"/>
    <w:rsid w:val="00472B5C"/>
    <w:rsid w:val="00473A30"/>
    <w:rsid w:val="004740EB"/>
    <w:rsid w:val="004755BA"/>
    <w:rsid w:val="0047598A"/>
    <w:rsid w:val="00475C14"/>
    <w:rsid w:val="00475D34"/>
    <w:rsid w:val="00476933"/>
    <w:rsid w:val="004777B4"/>
    <w:rsid w:val="00481951"/>
    <w:rsid w:val="00481968"/>
    <w:rsid w:val="004827BF"/>
    <w:rsid w:val="00483DF6"/>
    <w:rsid w:val="00484A3D"/>
    <w:rsid w:val="004850E5"/>
    <w:rsid w:val="00485796"/>
    <w:rsid w:val="004863B8"/>
    <w:rsid w:val="00486564"/>
    <w:rsid w:val="00490540"/>
    <w:rsid w:val="00491204"/>
    <w:rsid w:val="0049139A"/>
    <w:rsid w:val="00492C0E"/>
    <w:rsid w:val="004937AD"/>
    <w:rsid w:val="00493A7E"/>
    <w:rsid w:val="00497120"/>
    <w:rsid w:val="004A0E59"/>
    <w:rsid w:val="004A0F8C"/>
    <w:rsid w:val="004A3349"/>
    <w:rsid w:val="004A3671"/>
    <w:rsid w:val="004A449B"/>
    <w:rsid w:val="004A4740"/>
    <w:rsid w:val="004A486B"/>
    <w:rsid w:val="004A4D42"/>
    <w:rsid w:val="004A55A1"/>
    <w:rsid w:val="004A7FBD"/>
    <w:rsid w:val="004A7FF5"/>
    <w:rsid w:val="004B29FC"/>
    <w:rsid w:val="004B2AA5"/>
    <w:rsid w:val="004B5358"/>
    <w:rsid w:val="004B5D86"/>
    <w:rsid w:val="004B5F78"/>
    <w:rsid w:val="004B6379"/>
    <w:rsid w:val="004B6523"/>
    <w:rsid w:val="004B6722"/>
    <w:rsid w:val="004C1498"/>
    <w:rsid w:val="004C1D71"/>
    <w:rsid w:val="004C2184"/>
    <w:rsid w:val="004C3E06"/>
    <w:rsid w:val="004C40FF"/>
    <w:rsid w:val="004C4EA2"/>
    <w:rsid w:val="004C58A7"/>
    <w:rsid w:val="004C58C3"/>
    <w:rsid w:val="004C7221"/>
    <w:rsid w:val="004D165B"/>
    <w:rsid w:val="004D3259"/>
    <w:rsid w:val="004D4D51"/>
    <w:rsid w:val="004D5C2E"/>
    <w:rsid w:val="004D5CB6"/>
    <w:rsid w:val="004D5CF5"/>
    <w:rsid w:val="004D609F"/>
    <w:rsid w:val="004D746A"/>
    <w:rsid w:val="004E072D"/>
    <w:rsid w:val="004E1F12"/>
    <w:rsid w:val="004E3FC6"/>
    <w:rsid w:val="004E5125"/>
    <w:rsid w:val="004E607A"/>
    <w:rsid w:val="004E779D"/>
    <w:rsid w:val="004F071A"/>
    <w:rsid w:val="004F0A1B"/>
    <w:rsid w:val="004F0B75"/>
    <w:rsid w:val="004F1B6D"/>
    <w:rsid w:val="004F37E5"/>
    <w:rsid w:val="004F4A98"/>
    <w:rsid w:val="004F793F"/>
    <w:rsid w:val="004F7CCF"/>
    <w:rsid w:val="005011D3"/>
    <w:rsid w:val="00502BA7"/>
    <w:rsid w:val="005038FF"/>
    <w:rsid w:val="00504719"/>
    <w:rsid w:val="0050518B"/>
    <w:rsid w:val="005053E1"/>
    <w:rsid w:val="005055A4"/>
    <w:rsid w:val="005056CE"/>
    <w:rsid w:val="005067D7"/>
    <w:rsid w:val="00506C6B"/>
    <w:rsid w:val="0050765B"/>
    <w:rsid w:val="00507792"/>
    <w:rsid w:val="005103C4"/>
    <w:rsid w:val="005106FB"/>
    <w:rsid w:val="0051095B"/>
    <w:rsid w:val="005113F6"/>
    <w:rsid w:val="0051143B"/>
    <w:rsid w:val="00511828"/>
    <w:rsid w:val="00512100"/>
    <w:rsid w:val="00512241"/>
    <w:rsid w:val="005124FF"/>
    <w:rsid w:val="00512839"/>
    <w:rsid w:val="00512AE6"/>
    <w:rsid w:val="005132AD"/>
    <w:rsid w:val="005139CC"/>
    <w:rsid w:val="0051474F"/>
    <w:rsid w:val="00514C3C"/>
    <w:rsid w:val="005153A0"/>
    <w:rsid w:val="005158EC"/>
    <w:rsid w:val="005160CC"/>
    <w:rsid w:val="00516AD8"/>
    <w:rsid w:val="00516D07"/>
    <w:rsid w:val="005170A0"/>
    <w:rsid w:val="005173FA"/>
    <w:rsid w:val="00517F65"/>
    <w:rsid w:val="0052113F"/>
    <w:rsid w:val="005214A1"/>
    <w:rsid w:val="00521A41"/>
    <w:rsid w:val="00523356"/>
    <w:rsid w:val="0052404C"/>
    <w:rsid w:val="005240AF"/>
    <w:rsid w:val="005242D9"/>
    <w:rsid w:val="005251C3"/>
    <w:rsid w:val="00525AE0"/>
    <w:rsid w:val="00525D4C"/>
    <w:rsid w:val="005264D8"/>
    <w:rsid w:val="00526CB1"/>
    <w:rsid w:val="00530F36"/>
    <w:rsid w:val="0053160A"/>
    <w:rsid w:val="00531A8E"/>
    <w:rsid w:val="00531DCE"/>
    <w:rsid w:val="00531EA7"/>
    <w:rsid w:val="00531EC0"/>
    <w:rsid w:val="005324BC"/>
    <w:rsid w:val="00532D44"/>
    <w:rsid w:val="00533A0B"/>
    <w:rsid w:val="005354A3"/>
    <w:rsid w:val="005364AC"/>
    <w:rsid w:val="005367ED"/>
    <w:rsid w:val="00537D79"/>
    <w:rsid w:val="005412EE"/>
    <w:rsid w:val="005438E4"/>
    <w:rsid w:val="00543E6F"/>
    <w:rsid w:val="005440AE"/>
    <w:rsid w:val="00545229"/>
    <w:rsid w:val="005456D7"/>
    <w:rsid w:val="00545CE7"/>
    <w:rsid w:val="005460B7"/>
    <w:rsid w:val="0054643F"/>
    <w:rsid w:val="00550927"/>
    <w:rsid w:val="00550C29"/>
    <w:rsid w:val="005511CD"/>
    <w:rsid w:val="00552C0B"/>
    <w:rsid w:val="00553077"/>
    <w:rsid w:val="005531C7"/>
    <w:rsid w:val="0055332A"/>
    <w:rsid w:val="00553AFA"/>
    <w:rsid w:val="0055553C"/>
    <w:rsid w:val="00556D21"/>
    <w:rsid w:val="00557774"/>
    <w:rsid w:val="00557BEE"/>
    <w:rsid w:val="00560DDF"/>
    <w:rsid w:val="005625B3"/>
    <w:rsid w:val="005626AF"/>
    <w:rsid w:val="00562E9C"/>
    <w:rsid w:val="005631C7"/>
    <w:rsid w:val="00563333"/>
    <w:rsid w:val="005652C0"/>
    <w:rsid w:val="005652E1"/>
    <w:rsid w:val="005659E7"/>
    <w:rsid w:val="00565A9D"/>
    <w:rsid w:val="00566732"/>
    <w:rsid w:val="0056716D"/>
    <w:rsid w:val="005701B1"/>
    <w:rsid w:val="005709DB"/>
    <w:rsid w:val="0057117E"/>
    <w:rsid w:val="005717A8"/>
    <w:rsid w:val="00571A83"/>
    <w:rsid w:val="00572CA5"/>
    <w:rsid w:val="005738BC"/>
    <w:rsid w:val="005738C1"/>
    <w:rsid w:val="0057396B"/>
    <w:rsid w:val="005743F9"/>
    <w:rsid w:val="00574F88"/>
    <w:rsid w:val="00575753"/>
    <w:rsid w:val="005761FD"/>
    <w:rsid w:val="005778FD"/>
    <w:rsid w:val="00577C4F"/>
    <w:rsid w:val="005801A0"/>
    <w:rsid w:val="0058121C"/>
    <w:rsid w:val="0058128E"/>
    <w:rsid w:val="005836A0"/>
    <w:rsid w:val="00583828"/>
    <w:rsid w:val="0058488E"/>
    <w:rsid w:val="005852E9"/>
    <w:rsid w:val="0058610C"/>
    <w:rsid w:val="00586899"/>
    <w:rsid w:val="00586AA3"/>
    <w:rsid w:val="00586E68"/>
    <w:rsid w:val="00590010"/>
    <w:rsid w:val="00590091"/>
    <w:rsid w:val="00591E58"/>
    <w:rsid w:val="00595B30"/>
    <w:rsid w:val="00596A39"/>
    <w:rsid w:val="00597091"/>
    <w:rsid w:val="00597315"/>
    <w:rsid w:val="00597895"/>
    <w:rsid w:val="00597C91"/>
    <w:rsid w:val="005A048A"/>
    <w:rsid w:val="005A07A5"/>
    <w:rsid w:val="005A0A6A"/>
    <w:rsid w:val="005A1FA1"/>
    <w:rsid w:val="005A3FFC"/>
    <w:rsid w:val="005A4F08"/>
    <w:rsid w:val="005A608E"/>
    <w:rsid w:val="005A72FE"/>
    <w:rsid w:val="005A7338"/>
    <w:rsid w:val="005A774C"/>
    <w:rsid w:val="005B058F"/>
    <w:rsid w:val="005B0802"/>
    <w:rsid w:val="005B09AD"/>
    <w:rsid w:val="005B1D09"/>
    <w:rsid w:val="005B1DED"/>
    <w:rsid w:val="005B1ED5"/>
    <w:rsid w:val="005B202D"/>
    <w:rsid w:val="005B2575"/>
    <w:rsid w:val="005B4107"/>
    <w:rsid w:val="005B4C10"/>
    <w:rsid w:val="005B4E6E"/>
    <w:rsid w:val="005B52D4"/>
    <w:rsid w:val="005B5EFB"/>
    <w:rsid w:val="005B63A1"/>
    <w:rsid w:val="005B66AB"/>
    <w:rsid w:val="005B685D"/>
    <w:rsid w:val="005B7F21"/>
    <w:rsid w:val="005C0241"/>
    <w:rsid w:val="005C0A2E"/>
    <w:rsid w:val="005C0C28"/>
    <w:rsid w:val="005C0D7C"/>
    <w:rsid w:val="005C1C6C"/>
    <w:rsid w:val="005C4172"/>
    <w:rsid w:val="005C462E"/>
    <w:rsid w:val="005C5B90"/>
    <w:rsid w:val="005C7596"/>
    <w:rsid w:val="005C7B8D"/>
    <w:rsid w:val="005C7CAB"/>
    <w:rsid w:val="005D0D74"/>
    <w:rsid w:val="005D0F76"/>
    <w:rsid w:val="005D3BC1"/>
    <w:rsid w:val="005D450F"/>
    <w:rsid w:val="005D6513"/>
    <w:rsid w:val="005D6DF9"/>
    <w:rsid w:val="005E0236"/>
    <w:rsid w:val="005E05C6"/>
    <w:rsid w:val="005E15D4"/>
    <w:rsid w:val="005E1F6C"/>
    <w:rsid w:val="005E260F"/>
    <w:rsid w:val="005E2E24"/>
    <w:rsid w:val="005E44EA"/>
    <w:rsid w:val="005E4B43"/>
    <w:rsid w:val="005E5605"/>
    <w:rsid w:val="005E61EC"/>
    <w:rsid w:val="005E6646"/>
    <w:rsid w:val="005E68E5"/>
    <w:rsid w:val="005F01C2"/>
    <w:rsid w:val="005F03C1"/>
    <w:rsid w:val="005F3C7E"/>
    <w:rsid w:val="005F6E28"/>
    <w:rsid w:val="0060009F"/>
    <w:rsid w:val="00602E3F"/>
    <w:rsid w:val="0060435B"/>
    <w:rsid w:val="00604915"/>
    <w:rsid w:val="00605AB8"/>
    <w:rsid w:val="00606CC1"/>
    <w:rsid w:val="00607C35"/>
    <w:rsid w:val="00607D98"/>
    <w:rsid w:val="006104E2"/>
    <w:rsid w:val="006105F8"/>
    <w:rsid w:val="00610A02"/>
    <w:rsid w:val="00611E62"/>
    <w:rsid w:val="00612CF8"/>
    <w:rsid w:val="0061315E"/>
    <w:rsid w:val="00613E45"/>
    <w:rsid w:val="00614B67"/>
    <w:rsid w:val="00614F9A"/>
    <w:rsid w:val="006162EC"/>
    <w:rsid w:val="00616B31"/>
    <w:rsid w:val="00616E7F"/>
    <w:rsid w:val="00617119"/>
    <w:rsid w:val="00617154"/>
    <w:rsid w:val="006172A1"/>
    <w:rsid w:val="00617760"/>
    <w:rsid w:val="00617A43"/>
    <w:rsid w:val="00617BD8"/>
    <w:rsid w:val="00620433"/>
    <w:rsid w:val="00620B63"/>
    <w:rsid w:val="00621039"/>
    <w:rsid w:val="00622727"/>
    <w:rsid w:val="0062284F"/>
    <w:rsid w:val="00622AFC"/>
    <w:rsid w:val="00622C85"/>
    <w:rsid w:val="00624507"/>
    <w:rsid w:val="006247D0"/>
    <w:rsid w:val="00624D4C"/>
    <w:rsid w:val="0062539F"/>
    <w:rsid w:val="00625EBD"/>
    <w:rsid w:val="00626964"/>
    <w:rsid w:val="00626DC4"/>
    <w:rsid w:val="00627075"/>
    <w:rsid w:val="00627B95"/>
    <w:rsid w:val="0063034B"/>
    <w:rsid w:val="0063074C"/>
    <w:rsid w:val="00630FF6"/>
    <w:rsid w:val="0063312E"/>
    <w:rsid w:val="00634C66"/>
    <w:rsid w:val="00634E99"/>
    <w:rsid w:val="00637960"/>
    <w:rsid w:val="0064050D"/>
    <w:rsid w:val="0064087E"/>
    <w:rsid w:val="00640B7D"/>
    <w:rsid w:val="006413F4"/>
    <w:rsid w:val="0064315F"/>
    <w:rsid w:val="00643DE3"/>
    <w:rsid w:val="00644331"/>
    <w:rsid w:val="00644F33"/>
    <w:rsid w:val="0064607A"/>
    <w:rsid w:val="00646DAB"/>
    <w:rsid w:val="006473CD"/>
    <w:rsid w:val="00650809"/>
    <w:rsid w:val="00650F37"/>
    <w:rsid w:val="00652C38"/>
    <w:rsid w:val="006532E7"/>
    <w:rsid w:val="00653BFD"/>
    <w:rsid w:val="00655AAC"/>
    <w:rsid w:val="00655ED6"/>
    <w:rsid w:val="006575E4"/>
    <w:rsid w:val="006603D3"/>
    <w:rsid w:val="00660D3D"/>
    <w:rsid w:val="006614B7"/>
    <w:rsid w:val="006615F5"/>
    <w:rsid w:val="006625C6"/>
    <w:rsid w:val="006655CF"/>
    <w:rsid w:val="00666014"/>
    <w:rsid w:val="00666195"/>
    <w:rsid w:val="00666D94"/>
    <w:rsid w:val="00666ED5"/>
    <w:rsid w:val="00666F68"/>
    <w:rsid w:val="00667E7B"/>
    <w:rsid w:val="006705CD"/>
    <w:rsid w:val="00670932"/>
    <w:rsid w:val="00671F3D"/>
    <w:rsid w:val="006743EA"/>
    <w:rsid w:val="006745D7"/>
    <w:rsid w:val="00674A88"/>
    <w:rsid w:val="00675154"/>
    <w:rsid w:val="00675423"/>
    <w:rsid w:val="00675AF9"/>
    <w:rsid w:val="0067697A"/>
    <w:rsid w:val="00676CB4"/>
    <w:rsid w:val="0067702D"/>
    <w:rsid w:val="006776D0"/>
    <w:rsid w:val="006800CF"/>
    <w:rsid w:val="0068136C"/>
    <w:rsid w:val="00681430"/>
    <w:rsid w:val="00681941"/>
    <w:rsid w:val="006825D2"/>
    <w:rsid w:val="00683356"/>
    <w:rsid w:val="006838BA"/>
    <w:rsid w:val="0068402A"/>
    <w:rsid w:val="0068455F"/>
    <w:rsid w:val="00684D71"/>
    <w:rsid w:val="00685D51"/>
    <w:rsid w:val="0068675E"/>
    <w:rsid w:val="00686A5F"/>
    <w:rsid w:val="00687325"/>
    <w:rsid w:val="00687E76"/>
    <w:rsid w:val="00690386"/>
    <w:rsid w:val="0069044D"/>
    <w:rsid w:val="0069081D"/>
    <w:rsid w:val="00690831"/>
    <w:rsid w:val="006915B9"/>
    <w:rsid w:val="0069174E"/>
    <w:rsid w:val="00691B30"/>
    <w:rsid w:val="00691D06"/>
    <w:rsid w:val="0069214E"/>
    <w:rsid w:val="00692CF4"/>
    <w:rsid w:val="006931A1"/>
    <w:rsid w:val="00693621"/>
    <w:rsid w:val="00694404"/>
    <w:rsid w:val="00694B6F"/>
    <w:rsid w:val="00694D97"/>
    <w:rsid w:val="0069561E"/>
    <w:rsid w:val="00695BF3"/>
    <w:rsid w:val="00697669"/>
    <w:rsid w:val="00697685"/>
    <w:rsid w:val="006A00FF"/>
    <w:rsid w:val="006A171E"/>
    <w:rsid w:val="006A1C87"/>
    <w:rsid w:val="006A2368"/>
    <w:rsid w:val="006A36A3"/>
    <w:rsid w:val="006A3B5C"/>
    <w:rsid w:val="006A3C7E"/>
    <w:rsid w:val="006A3E4E"/>
    <w:rsid w:val="006A48F1"/>
    <w:rsid w:val="006A5116"/>
    <w:rsid w:val="006A587A"/>
    <w:rsid w:val="006A6618"/>
    <w:rsid w:val="006A668A"/>
    <w:rsid w:val="006A7907"/>
    <w:rsid w:val="006A79AF"/>
    <w:rsid w:val="006B0175"/>
    <w:rsid w:val="006B0565"/>
    <w:rsid w:val="006B0C17"/>
    <w:rsid w:val="006B22D7"/>
    <w:rsid w:val="006B3928"/>
    <w:rsid w:val="006B3B5D"/>
    <w:rsid w:val="006B5009"/>
    <w:rsid w:val="006B569E"/>
    <w:rsid w:val="006C0532"/>
    <w:rsid w:val="006C1C76"/>
    <w:rsid w:val="006C1E2C"/>
    <w:rsid w:val="006C24DE"/>
    <w:rsid w:val="006C2F5D"/>
    <w:rsid w:val="006C36CE"/>
    <w:rsid w:val="006C3E99"/>
    <w:rsid w:val="006C45E0"/>
    <w:rsid w:val="006C4ABE"/>
    <w:rsid w:val="006C4B54"/>
    <w:rsid w:val="006C6713"/>
    <w:rsid w:val="006C6AE1"/>
    <w:rsid w:val="006C7668"/>
    <w:rsid w:val="006D025E"/>
    <w:rsid w:val="006D03EC"/>
    <w:rsid w:val="006D10BF"/>
    <w:rsid w:val="006D2A66"/>
    <w:rsid w:val="006D3D12"/>
    <w:rsid w:val="006D46BC"/>
    <w:rsid w:val="006D4824"/>
    <w:rsid w:val="006D54A2"/>
    <w:rsid w:val="006D7D0F"/>
    <w:rsid w:val="006E12FC"/>
    <w:rsid w:val="006E330B"/>
    <w:rsid w:val="006E3349"/>
    <w:rsid w:val="006E43EF"/>
    <w:rsid w:val="006E5070"/>
    <w:rsid w:val="006E7130"/>
    <w:rsid w:val="006F0C61"/>
    <w:rsid w:val="006F5038"/>
    <w:rsid w:val="006F523C"/>
    <w:rsid w:val="006F52AC"/>
    <w:rsid w:val="006F53AE"/>
    <w:rsid w:val="006F5D53"/>
    <w:rsid w:val="006F60FD"/>
    <w:rsid w:val="006F6759"/>
    <w:rsid w:val="00701DB0"/>
    <w:rsid w:val="007058E6"/>
    <w:rsid w:val="007118A3"/>
    <w:rsid w:val="00712D94"/>
    <w:rsid w:val="00713289"/>
    <w:rsid w:val="00714FE0"/>
    <w:rsid w:val="00715A5D"/>
    <w:rsid w:val="00715C9F"/>
    <w:rsid w:val="007165D5"/>
    <w:rsid w:val="00716CE5"/>
    <w:rsid w:val="0071721E"/>
    <w:rsid w:val="00720205"/>
    <w:rsid w:val="007203C4"/>
    <w:rsid w:val="0072044B"/>
    <w:rsid w:val="007204D8"/>
    <w:rsid w:val="00720A6D"/>
    <w:rsid w:val="007215B5"/>
    <w:rsid w:val="00721AA2"/>
    <w:rsid w:val="00721F77"/>
    <w:rsid w:val="007226F2"/>
    <w:rsid w:val="00724387"/>
    <w:rsid w:val="00724FB8"/>
    <w:rsid w:val="007263B6"/>
    <w:rsid w:val="00727170"/>
    <w:rsid w:val="00727A6F"/>
    <w:rsid w:val="00727B8E"/>
    <w:rsid w:val="00730479"/>
    <w:rsid w:val="007311A9"/>
    <w:rsid w:val="00732298"/>
    <w:rsid w:val="00732372"/>
    <w:rsid w:val="007323F9"/>
    <w:rsid w:val="00735874"/>
    <w:rsid w:val="007368CC"/>
    <w:rsid w:val="00736E14"/>
    <w:rsid w:val="00737B38"/>
    <w:rsid w:val="00740397"/>
    <w:rsid w:val="00742662"/>
    <w:rsid w:val="00743021"/>
    <w:rsid w:val="007436E3"/>
    <w:rsid w:val="00744B1C"/>
    <w:rsid w:val="0074516F"/>
    <w:rsid w:val="007479F5"/>
    <w:rsid w:val="00747CE7"/>
    <w:rsid w:val="00752189"/>
    <w:rsid w:val="00752397"/>
    <w:rsid w:val="00753276"/>
    <w:rsid w:val="00753B06"/>
    <w:rsid w:val="00754F99"/>
    <w:rsid w:val="00755094"/>
    <w:rsid w:val="00757C8E"/>
    <w:rsid w:val="00757C9B"/>
    <w:rsid w:val="00760848"/>
    <w:rsid w:val="00761A28"/>
    <w:rsid w:val="00761E59"/>
    <w:rsid w:val="00762B85"/>
    <w:rsid w:val="00762CC7"/>
    <w:rsid w:val="00762EF3"/>
    <w:rsid w:val="00763A32"/>
    <w:rsid w:val="00763E90"/>
    <w:rsid w:val="00764226"/>
    <w:rsid w:val="00765259"/>
    <w:rsid w:val="00765583"/>
    <w:rsid w:val="00765DBA"/>
    <w:rsid w:val="007660DA"/>
    <w:rsid w:val="00766492"/>
    <w:rsid w:val="00767ECC"/>
    <w:rsid w:val="0077092D"/>
    <w:rsid w:val="00770FD7"/>
    <w:rsid w:val="007712AE"/>
    <w:rsid w:val="00771746"/>
    <w:rsid w:val="00774113"/>
    <w:rsid w:val="007744F2"/>
    <w:rsid w:val="0077487E"/>
    <w:rsid w:val="00774AAF"/>
    <w:rsid w:val="00775CD9"/>
    <w:rsid w:val="00775CDB"/>
    <w:rsid w:val="0077652E"/>
    <w:rsid w:val="00777C35"/>
    <w:rsid w:val="00777C87"/>
    <w:rsid w:val="00777D29"/>
    <w:rsid w:val="007806D0"/>
    <w:rsid w:val="00781841"/>
    <w:rsid w:val="00781C6F"/>
    <w:rsid w:val="0078203F"/>
    <w:rsid w:val="007841F4"/>
    <w:rsid w:val="0078579D"/>
    <w:rsid w:val="00785A05"/>
    <w:rsid w:val="007862F0"/>
    <w:rsid w:val="00786D3F"/>
    <w:rsid w:val="00786E4D"/>
    <w:rsid w:val="007904C3"/>
    <w:rsid w:val="00792C65"/>
    <w:rsid w:val="0079554A"/>
    <w:rsid w:val="00795C0D"/>
    <w:rsid w:val="0079729E"/>
    <w:rsid w:val="00797FDD"/>
    <w:rsid w:val="007A27CC"/>
    <w:rsid w:val="007A3368"/>
    <w:rsid w:val="007A43EA"/>
    <w:rsid w:val="007A473D"/>
    <w:rsid w:val="007A4F8D"/>
    <w:rsid w:val="007A56D0"/>
    <w:rsid w:val="007A5FA7"/>
    <w:rsid w:val="007A6470"/>
    <w:rsid w:val="007A6568"/>
    <w:rsid w:val="007A7DB0"/>
    <w:rsid w:val="007A7E10"/>
    <w:rsid w:val="007B014F"/>
    <w:rsid w:val="007B02B8"/>
    <w:rsid w:val="007B0A76"/>
    <w:rsid w:val="007B0E63"/>
    <w:rsid w:val="007B1E73"/>
    <w:rsid w:val="007B22FD"/>
    <w:rsid w:val="007B24DB"/>
    <w:rsid w:val="007B648F"/>
    <w:rsid w:val="007B7223"/>
    <w:rsid w:val="007C1E17"/>
    <w:rsid w:val="007C20EA"/>
    <w:rsid w:val="007C2C05"/>
    <w:rsid w:val="007C3477"/>
    <w:rsid w:val="007C53B2"/>
    <w:rsid w:val="007C5455"/>
    <w:rsid w:val="007C553D"/>
    <w:rsid w:val="007C662A"/>
    <w:rsid w:val="007C66DD"/>
    <w:rsid w:val="007C6F1E"/>
    <w:rsid w:val="007C75EA"/>
    <w:rsid w:val="007C7773"/>
    <w:rsid w:val="007C7BE0"/>
    <w:rsid w:val="007D1B0A"/>
    <w:rsid w:val="007D1C3D"/>
    <w:rsid w:val="007D1E5D"/>
    <w:rsid w:val="007D2F87"/>
    <w:rsid w:val="007D313D"/>
    <w:rsid w:val="007D6190"/>
    <w:rsid w:val="007D64FA"/>
    <w:rsid w:val="007E05D8"/>
    <w:rsid w:val="007E0B6F"/>
    <w:rsid w:val="007E132A"/>
    <w:rsid w:val="007E19FD"/>
    <w:rsid w:val="007E2301"/>
    <w:rsid w:val="007E2BDD"/>
    <w:rsid w:val="007E3DD2"/>
    <w:rsid w:val="007E5877"/>
    <w:rsid w:val="007E5F09"/>
    <w:rsid w:val="007E6253"/>
    <w:rsid w:val="007E6DB0"/>
    <w:rsid w:val="007E7B59"/>
    <w:rsid w:val="007E7F1C"/>
    <w:rsid w:val="007F2BBB"/>
    <w:rsid w:val="007F3C8C"/>
    <w:rsid w:val="007F40A2"/>
    <w:rsid w:val="007F4971"/>
    <w:rsid w:val="007F6239"/>
    <w:rsid w:val="007F7798"/>
    <w:rsid w:val="007F7E3B"/>
    <w:rsid w:val="0080003B"/>
    <w:rsid w:val="008021E9"/>
    <w:rsid w:val="008028C6"/>
    <w:rsid w:val="008035EF"/>
    <w:rsid w:val="00806257"/>
    <w:rsid w:val="008104CA"/>
    <w:rsid w:val="00811145"/>
    <w:rsid w:val="0081125A"/>
    <w:rsid w:val="00811C40"/>
    <w:rsid w:val="00812103"/>
    <w:rsid w:val="00812EE1"/>
    <w:rsid w:val="00813F34"/>
    <w:rsid w:val="008153F1"/>
    <w:rsid w:val="00816407"/>
    <w:rsid w:val="00816A5B"/>
    <w:rsid w:val="00816BD3"/>
    <w:rsid w:val="00816EA2"/>
    <w:rsid w:val="008172B3"/>
    <w:rsid w:val="008176B2"/>
    <w:rsid w:val="00817F89"/>
    <w:rsid w:val="00820465"/>
    <w:rsid w:val="00820970"/>
    <w:rsid w:val="00823C82"/>
    <w:rsid w:val="008244AC"/>
    <w:rsid w:val="00824B68"/>
    <w:rsid w:val="00824D3D"/>
    <w:rsid w:val="00826343"/>
    <w:rsid w:val="008303CB"/>
    <w:rsid w:val="00831CAB"/>
    <w:rsid w:val="00833F1A"/>
    <w:rsid w:val="00834C22"/>
    <w:rsid w:val="00834D32"/>
    <w:rsid w:val="00834D35"/>
    <w:rsid w:val="00834E7E"/>
    <w:rsid w:val="00835551"/>
    <w:rsid w:val="00835689"/>
    <w:rsid w:val="008357F5"/>
    <w:rsid w:val="0083596E"/>
    <w:rsid w:val="00836354"/>
    <w:rsid w:val="00836367"/>
    <w:rsid w:val="0083703D"/>
    <w:rsid w:val="008400C2"/>
    <w:rsid w:val="00840F29"/>
    <w:rsid w:val="00841307"/>
    <w:rsid w:val="00842172"/>
    <w:rsid w:val="00842B65"/>
    <w:rsid w:val="00844608"/>
    <w:rsid w:val="00846D4E"/>
    <w:rsid w:val="0085143D"/>
    <w:rsid w:val="008515D9"/>
    <w:rsid w:val="00851C3D"/>
    <w:rsid w:val="00851DD8"/>
    <w:rsid w:val="0085325F"/>
    <w:rsid w:val="00854F63"/>
    <w:rsid w:val="00855612"/>
    <w:rsid w:val="00855CA6"/>
    <w:rsid w:val="008569C1"/>
    <w:rsid w:val="00857A88"/>
    <w:rsid w:val="00860F0B"/>
    <w:rsid w:val="00862B38"/>
    <w:rsid w:val="00863A4F"/>
    <w:rsid w:val="0086406F"/>
    <w:rsid w:val="00864A7D"/>
    <w:rsid w:val="00865B28"/>
    <w:rsid w:val="008672E7"/>
    <w:rsid w:val="00867A07"/>
    <w:rsid w:val="00867A7D"/>
    <w:rsid w:val="00867B17"/>
    <w:rsid w:val="00870242"/>
    <w:rsid w:val="0087064B"/>
    <w:rsid w:val="00870BDC"/>
    <w:rsid w:val="008716BB"/>
    <w:rsid w:val="008726F8"/>
    <w:rsid w:val="00873277"/>
    <w:rsid w:val="00873E4E"/>
    <w:rsid w:val="00876599"/>
    <w:rsid w:val="00876DC6"/>
    <w:rsid w:val="00877123"/>
    <w:rsid w:val="0088106C"/>
    <w:rsid w:val="00881CFA"/>
    <w:rsid w:val="00881F4D"/>
    <w:rsid w:val="00881F6D"/>
    <w:rsid w:val="00883600"/>
    <w:rsid w:val="00883F3D"/>
    <w:rsid w:val="0088463A"/>
    <w:rsid w:val="00885E0D"/>
    <w:rsid w:val="00890BFE"/>
    <w:rsid w:val="00892408"/>
    <w:rsid w:val="00893CC9"/>
    <w:rsid w:val="0089429D"/>
    <w:rsid w:val="00895692"/>
    <w:rsid w:val="00895F96"/>
    <w:rsid w:val="008962F4"/>
    <w:rsid w:val="00896F28"/>
    <w:rsid w:val="00897DA7"/>
    <w:rsid w:val="008A1F86"/>
    <w:rsid w:val="008A281D"/>
    <w:rsid w:val="008A2A69"/>
    <w:rsid w:val="008A2C2B"/>
    <w:rsid w:val="008A3E67"/>
    <w:rsid w:val="008A3F7D"/>
    <w:rsid w:val="008A40F6"/>
    <w:rsid w:val="008A41C2"/>
    <w:rsid w:val="008A6450"/>
    <w:rsid w:val="008A6722"/>
    <w:rsid w:val="008A69C8"/>
    <w:rsid w:val="008A7802"/>
    <w:rsid w:val="008B092A"/>
    <w:rsid w:val="008B21C1"/>
    <w:rsid w:val="008B28FA"/>
    <w:rsid w:val="008B35E5"/>
    <w:rsid w:val="008B3D41"/>
    <w:rsid w:val="008B3D8A"/>
    <w:rsid w:val="008B508A"/>
    <w:rsid w:val="008B5475"/>
    <w:rsid w:val="008B65F8"/>
    <w:rsid w:val="008B7243"/>
    <w:rsid w:val="008B75CB"/>
    <w:rsid w:val="008C2C57"/>
    <w:rsid w:val="008C3A9A"/>
    <w:rsid w:val="008C3C75"/>
    <w:rsid w:val="008C50E8"/>
    <w:rsid w:val="008C5810"/>
    <w:rsid w:val="008C5B6E"/>
    <w:rsid w:val="008C5DDA"/>
    <w:rsid w:val="008C75A8"/>
    <w:rsid w:val="008C75F6"/>
    <w:rsid w:val="008C79CE"/>
    <w:rsid w:val="008C7BA1"/>
    <w:rsid w:val="008D08FA"/>
    <w:rsid w:val="008D3402"/>
    <w:rsid w:val="008D3DA1"/>
    <w:rsid w:val="008D4285"/>
    <w:rsid w:val="008D4688"/>
    <w:rsid w:val="008D46DE"/>
    <w:rsid w:val="008E36BF"/>
    <w:rsid w:val="008E4432"/>
    <w:rsid w:val="008E5283"/>
    <w:rsid w:val="008E6BD9"/>
    <w:rsid w:val="008F16CD"/>
    <w:rsid w:val="008F19D2"/>
    <w:rsid w:val="008F1EED"/>
    <w:rsid w:val="008F2FF4"/>
    <w:rsid w:val="008F3757"/>
    <w:rsid w:val="008F3D3A"/>
    <w:rsid w:val="008F4228"/>
    <w:rsid w:val="008F46D6"/>
    <w:rsid w:val="008F55FB"/>
    <w:rsid w:val="008F6D58"/>
    <w:rsid w:val="008F724F"/>
    <w:rsid w:val="008F7F8D"/>
    <w:rsid w:val="008F7FEC"/>
    <w:rsid w:val="009000EF"/>
    <w:rsid w:val="00900669"/>
    <w:rsid w:val="00900680"/>
    <w:rsid w:val="0090104F"/>
    <w:rsid w:val="009010AA"/>
    <w:rsid w:val="00901561"/>
    <w:rsid w:val="0090156D"/>
    <w:rsid w:val="009018CA"/>
    <w:rsid w:val="009031FE"/>
    <w:rsid w:val="00904178"/>
    <w:rsid w:val="00904C46"/>
    <w:rsid w:val="00906907"/>
    <w:rsid w:val="009113F2"/>
    <w:rsid w:val="00912B90"/>
    <w:rsid w:val="00912F84"/>
    <w:rsid w:val="00913720"/>
    <w:rsid w:val="00913811"/>
    <w:rsid w:val="00914F1B"/>
    <w:rsid w:val="009155BB"/>
    <w:rsid w:val="00915E51"/>
    <w:rsid w:val="0091633B"/>
    <w:rsid w:val="009173A7"/>
    <w:rsid w:val="009177B0"/>
    <w:rsid w:val="00920F7C"/>
    <w:rsid w:val="009212BA"/>
    <w:rsid w:val="00921A4D"/>
    <w:rsid w:val="00922C78"/>
    <w:rsid w:val="00924633"/>
    <w:rsid w:val="00925423"/>
    <w:rsid w:val="00926E18"/>
    <w:rsid w:val="00926F22"/>
    <w:rsid w:val="00927B91"/>
    <w:rsid w:val="00927CEC"/>
    <w:rsid w:val="00931A5F"/>
    <w:rsid w:val="00932485"/>
    <w:rsid w:val="009333E0"/>
    <w:rsid w:val="009377A7"/>
    <w:rsid w:val="00937FF2"/>
    <w:rsid w:val="009402FE"/>
    <w:rsid w:val="0094035B"/>
    <w:rsid w:val="009424AF"/>
    <w:rsid w:val="009428D0"/>
    <w:rsid w:val="00942FD3"/>
    <w:rsid w:val="0094362C"/>
    <w:rsid w:val="00943BA9"/>
    <w:rsid w:val="00943F2D"/>
    <w:rsid w:val="009449C3"/>
    <w:rsid w:val="00946DE9"/>
    <w:rsid w:val="009473D9"/>
    <w:rsid w:val="00947597"/>
    <w:rsid w:val="009475D4"/>
    <w:rsid w:val="00947A2D"/>
    <w:rsid w:val="00947D44"/>
    <w:rsid w:val="0095017D"/>
    <w:rsid w:val="00951924"/>
    <w:rsid w:val="00952785"/>
    <w:rsid w:val="00952A32"/>
    <w:rsid w:val="009543F9"/>
    <w:rsid w:val="009553A5"/>
    <w:rsid w:val="009564F3"/>
    <w:rsid w:val="00956694"/>
    <w:rsid w:val="00956EEB"/>
    <w:rsid w:val="00957428"/>
    <w:rsid w:val="00957F65"/>
    <w:rsid w:val="009605B3"/>
    <w:rsid w:val="00960AC1"/>
    <w:rsid w:val="00961754"/>
    <w:rsid w:val="00961837"/>
    <w:rsid w:val="00962E06"/>
    <w:rsid w:val="00963673"/>
    <w:rsid w:val="00963D2D"/>
    <w:rsid w:val="0096451F"/>
    <w:rsid w:val="00964751"/>
    <w:rsid w:val="009653E0"/>
    <w:rsid w:val="00971119"/>
    <w:rsid w:val="00972352"/>
    <w:rsid w:val="00972664"/>
    <w:rsid w:val="009732BA"/>
    <w:rsid w:val="0097510A"/>
    <w:rsid w:val="0097555A"/>
    <w:rsid w:val="009757F5"/>
    <w:rsid w:val="00975808"/>
    <w:rsid w:val="00975C00"/>
    <w:rsid w:val="00975D60"/>
    <w:rsid w:val="00976AA5"/>
    <w:rsid w:val="0098053D"/>
    <w:rsid w:val="00981E6F"/>
    <w:rsid w:val="00982098"/>
    <w:rsid w:val="00982CD1"/>
    <w:rsid w:val="00982DED"/>
    <w:rsid w:val="00982DF8"/>
    <w:rsid w:val="00983263"/>
    <w:rsid w:val="009838DE"/>
    <w:rsid w:val="00985259"/>
    <w:rsid w:val="00986121"/>
    <w:rsid w:val="009866F1"/>
    <w:rsid w:val="009874A1"/>
    <w:rsid w:val="009877BA"/>
    <w:rsid w:val="00991803"/>
    <w:rsid w:val="00993083"/>
    <w:rsid w:val="0099368E"/>
    <w:rsid w:val="0099572F"/>
    <w:rsid w:val="00995A61"/>
    <w:rsid w:val="0099611D"/>
    <w:rsid w:val="009961EA"/>
    <w:rsid w:val="009962B4"/>
    <w:rsid w:val="00996381"/>
    <w:rsid w:val="009A043D"/>
    <w:rsid w:val="009A16E8"/>
    <w:rsid w:val="009A1720"/>
    <w:rsid w:val="009A1F73"/>
    <w:rsid w:val="009A2B07"/>
    <w:rsid w:val="009A2BBB"/>
    <w:rsid w:val="009A2D69"/>
    <w:rsid w:val="009A3ACF"/>
    <w:rsid w:val="009A5404"/>
    <w:rsid w:val="009A54D0"/>
    <w:rsid w:val="009A5BCA"/>
    <w:rsid w:val="009A6618"/>
    <w:rsid w:val="009A6A84"/>
    <w:rsid w:val="009A6D69"/>
    <w:rsid w:val="009A7032"/>
    <w:rsid w:val="009A7D4B"/>
    <w:rsid w:val="009B0457"/>
    <w:rsid w:val="009B2C0F"/>
    <w:rsid w:val="009B5100"/>
    <w:rsid w:val="009B6C63"/>
    <w:rsid w:val="009B71A2"/>
    <w:rsid w:val="009B73EB"/>
    <w:rsid w:val="009B7D1A"/>
    <w:rsid w:val="009C0F29"/>
    <w:rsid w:val="009C176B"/>
    <w:rsid w:val="009C1780"/>
    <w:rsid w:val="009C21D9"/>
    <w:rsid w:val="009C2F7C"/>
    <w:rsid w:val="009C3BEE"/>
    <w:rsid w:val="009C45B0"/>
    <w:rsid w:val="009C54FB"/>
    <w:rsid w:val="009C557E"/>
    <w:rsid w:val="009C560B"/>
    <w:rsid w:val="009C726A"/>
    <w:rsid w:val="009D00A4"/>
    <w:rsid w:val="009D0415"/>
    <w:rsid w:val="009D0542"/>
    <w:rsid w:val="009D0695"/>
    <w:rsid w:val="009D1603"/>
    <w:rsid w:val="009D18CD"/>
    <w:rsid w:val="009D4780"/>
    <w:rsid w:val="009D5B8E"/>
    <w:rsid w:val="009D6D67"/>
    <w:rsid w:val="009D6E02"/>
    <w:rsid w:val="009E4FB4"/>
    <w:rsid w:val="009E53CB"/>
    <w:rsid w:val="009E6631"/>
    <w:rsid w:val="009F0AB5"/>
    <w:rsid w:val="009F17EB"/>
    <w:rsid w:val="009F21FC"/>
    <w:rsid w:val="009F221E"/>
    <w:rsid w:val="009F2E5D"/>
    <w:rsid w:val="009F4DBD"/>
    <w:rsid w:val="009F51CC"/>
    <w:rsid w:val="009F5B00"/>
    <w:rsid w:val="009F73CC"/>
    <w:rsid w:val="009F7BF4"/>
    <w:rsid w:val="00A006A2"/>
    <w:rsid w:val="00A006F6"/>
    <w:rsid w:val="00A014FE"/>
    <w:rsid w:val="00A01D07"/>
    <w:rsid w:val="00A037A4"/>
    <w:rsid w:val="00A0477B"/>
    <w:rsid w:val="00A04DB3"/>
    <w:rsid w:val="00A04FF9"/>
    <w:rsid w:val="00A05798"/>
    <w:rsid w:val="00A0799A"/>
    <w:rsid w:val="00A07F52"/>
    <w:rsid w:val="00A10F73"/>
    <w:rsid w:val="00A12563"/>
    <w:rsid w:val="00A12D1D"/>
    <w:rsid w:val="00A13A4C"/>
    <w:rsid w:val="00A13F7F"/>
    <w:rsid w:val="00A166DD"/>
    <w:rsid w:val="00A168AE"/>
    <w:rsid w:val="00A176B3"/>
    <w:rsid w:val="00A17B83"/>
    <w:rsid w:val="00A20A2A"/>
    <w:rsid w:val="00A20F8E"/>
    <w:rsid w:val="00A21442"/>
    <w:rsid w:val="00A215B7"/>
    <w:rsid w:val="00A21C57"/>
    <w:rsid w:val="00A21C65"/>
    <w:rsid w:val="00A2506A"/>
    <w:rsid w:val="00A25540"/>
    <w:rsid w:val="00A25555"/>
    <w:rsid w:val="00A26423"/>
    <w:rsid w:val="00A32104"/>
    <w:rsid w:val="00A33DAC"/>
    <w:rsid w:val="00A33E6F"/>
    <w:rsid w:val="00A34B4C"/>
    <w:rsid w:val="00A3522D"/>
    <w:rsid w:val="00A3526E"/>
    <w:rsid w:val="00A35982"/>
    <w:rsid w:val="00A35C1B"/>
    <w:rsid w:val="00A36A98"/>
    <w:rsid w:val="00A36FE2"/>
    <w:rsid w:val="00A37661"/>
    <w:rsid w:val="00A41375"/>
    <w:rsid w:val="00A4188F"/>
    <w:rsid w:val="00A42425"/>
    <w:rsid w:val="00A42991"/>
    <w:rsid w:val="00A42FD0"/>
    <w:rsid w:val="00A43EAF"/>
    <w:rsid w:val="00A4428C"/>
    <w:rsid w:val="00A44FC7"/>
    <w:rsid w:val="00A466BB"/>
    <w:rsid w:val="00A46792"/>
    <w:rsid w:val="00A4742B"/>
    <w:rsid w:val="00A4760F"/>
    <w:rsid w:val="00A50091"/>
    <w:rsid w:val="00A50A51"/>
    <w:rsid w:val="00A519A5"/>
    <w:rsid w:val="00A519B4"/>
    <w:rsid w:val="00A53227"/>
    <w:rsid w:val="00A549E2"/>
    <w:rsid w:val="00A563BA"/>
    <w:rsid w:val="00A5791A"/>
    <w:rsid w:val="00A60898"/>
    <w:rsid w:val="00A61294"/>
    <w:rsid w:val="00A61386"/>
    <w:rsid w:val="00A61A50"/>
    <w:rsid w:val="00A62A59"/>
    <w:rsid w:val="00A647D4"/>
    <w:rsid w:val="00A6522C"/>
    <w:rsid w:val="00A65A43"/>
    <w:rsid w:val="00A67501"/>
    <w:rsid w:val="00A7040A"/>
    <w:rsid w:val="00A708D1"/>
    <w:rsid w:val="00A70FCC"/>
    <w:rsid w:val="00A7315A"/>
    <w:rsid w:val="00A734FC"/>
    <w:rsid w:val="00A750DF"/>
    <w:rsid w:val="00A75291"/>
    <w:rsid w:val="00A76109"/>
    <w:rsid w:val="00A7646B"/>
    <w:rsid w:val="00A774C4"/>
    <w:rsid w:val="00A8087D"/>
    <w:rsid w:val="00A809C7"/>
    <w:rsid w:val="00A81699"/>
    <w:rsid w:val="00A81979"/>
    <w:rsid w:val="00A81B35"/>
    <w:rsid w:val="00A83594"/>
    <w:rsid w:val="00A8364F"/>
    <w:rsid w:val="00A84F25"/>
    <w:rsid w:val="00A85CB6"/>
    <w:rsid w:val="00A8612A"/>
    <w:rsid w:val="00A86267"/>
    <w:rsid w:val="00A87E74"/>
    <w:rsid w:val="00A9084A"/>
    <w:rsid w:val="00A91842"/>
    <w:rsid w:val="00A91930"/>
    <w:rsid w:val="00A92995"/>
    <w:rsid w:val="00A93B27"/>
    <w:rsid w:val="00A93E70"/>
    <w:rsid w:val="00A94A9A"/>
    <w:rsid w:val="00A96391"/>
    <w:rsid w:val="00A96F92"/>
    <w:rsid w:val="00A96F9E"/>
    <w:rsid w:val="00A977CA"/>
    <w:rsid w:val="00AA0A14"/>
    <w:rsid w:val="00AA0DE9"/>
    <w:rsid w:val="00AA1084"/>
    <w:rsid w:val="00AA12E1"/>
    <w:rsid w:val="00AA198B"/>
    <w:rsid w:val="00AA19A0"/>
    <w:rsid w:val="00AA1A9F"/>
    <w:rsid w:val="00AA2588"/>
    <w:rsid w:val="00AA2AE8"/>
    <w:rsid w:val="00AA461B"/>
    <w:rsid w:val="00AA479C"/>
    <w:rsid w:val="00AA58F9"/>
    <w:rsid w:val="00AA6215"/>
    <w:rsid w:val="00AA6502"/>
    <w:rsid w:val="00AA69BE"/>
    <w:rsid w:val="00AA6F1B"/>
    <w:rsid w:val="00AB0425"/>
    <w:rsid w:val="00AB0437"/>
    <w:rsid w:val="00AB26B2"/>
    <w:rsid w:val="00AB2B1B"/>
    <w:rsid w:val="00AB2B42"/>
    <w:rsid w:val="00AB3580"/>
    <w:rsid w:val="00AB74C1"/>
    <w:rsid w:val="00AB7C60"/>
    <w:rsid w:val="00AB7D09"/>
    <w:rsid w:val="00AB7D6A"/>
    <w:rsid w:val="00AC16AF"/>
    <w:rsid w:val="00AC2A8C"/>
    <w:rsid w:val="00AC4AC1"/>
    <w:rsid w:val="00AC4EC8"/>
    <w:rsid w:val="00AC5C5F"/>
    <w:rsid w:val="00AC78C5"/>
    <w:rsid w:val="00AC7DEC"/>
    <w:rsid w:val="00AD05CB"/>
    <w:rsid w:val="00AD06F8"/>
    <w:rsid w:val="00AD0FD6"/>
    <w:rsid w:val="00AD1637"/>
    <w:rsid w:val="00AD23BE"/>
    <w:rsid w:val="00AD2DD3"/>
    <w:rsid w:val="00AD431E"/>
    <w:rsid w:val="00AD4351"/>
    <w:rsid w:val="00AD4896"/>
    <w:rsid w:val="00AD4B0A"/>
    <w:rsid w:val="00AD572C"/>
    <w:rsid w:val="00AD5A21"/>
    <w:rsid w:val="00AD60CD"/>
    <w:rsid w:val="00AD7765"/>
    <w:rsid w:val="00AE07F5"/>
    <w:rsid w:val="00AE0A51"/>
    <w:rsid w:val="00AE0D7C"/>
    <w:rsid w:val="00AE145C"/>
    <w:rsid w:val="00AE19A1"/>
    <w:rsid w:val="00AE2E91"/>
    <w:rsid w:val="00AE345D"/>
    <w:rsid w:val="00AE546D"/>
    <w:rsid w:val="00AE54F9"/>
    <w:rsid w:val="00AE5BE9"/>
    <w:rsid w:val="00AE6892"/>
    <w:rsid w:val="00AE7700"/>
    <w:rsid w:val="00AF0D57"/>
    <w:rsid w:val="00AF0F84"/>
    <w:rsid w:val="00AF2109"/>
    <w:rsid w:val="00AF3F19"/>
    <w:rsid w:val="00AF54B8"/>
    <w:rsid w:val="00AF5976"/>
    <w:rsid w:val="00AF692F"/>
    <w:rsid w:val="00B00F75"/>
    <w:rsid w:val="00B01051"/>
    <w:rsid w:val="00B0118C"/>
    <w:rsid w:val="00B01E90"/>
    <w:rsid w:val="00B02E81"/>
    <w:rsid w:val="00B0504D"/>
    <w:rsid w:val="00B05A50"/>
    <w:rsid w:val="00B05F41"/>
    <w:rsid w:val="00B111FF"/>
    <w:rsid w:val="00B131F1"/>
    <w:rsid w:val="00B136AB"/>
    <w:rsid w:val="00B13C63"/>
    <w:rsid w:val="00B14B58"/>
    <w:rsid w:val="00B15398"/>
    <w:rsid w:val="00B15454"/>
    <w:rsid w:val="00B16209"/>
    <w:rsid w:val="00B1704C"/>
    <w:rsid w:val="00B175CC"/>
    <w:rsid w:val="00B22E76"/>
    <w:rsid w:val="00B27441"/>
    <w:rsid w:val="00B27EBF"/>
    <w:rsid w:val="00B27EC2"/>
    <w:rsid w:val="00B30DE5"/>
    <w:rsid w:val="00B3179C"/>
    <w:rsid w:val="00B318EC"/>
    <w:rsid w:val="00B31BFE"/>
    <w:rsid w:val="00B3421C"/>
    <w:rsid w:val="00B35067"/>
    <w:rsid w:val="00B35FF3"/>
    <w:rsid w:val="00B362D5"/>
    <w:rsid w:val="00B372A4"/>
    <w:rsid w:val="00B37B16"/>
    <w:rsid w:val="00B4105F"/>
    <w:rsid w:val="00B4157A"/>
    <w:rsid w:val="00B423E0"/>
    <w:rsid w:val="00B4395E"/>
    <w:rsid w:val="00B44682"/>
    <w:rsid w:val="00B46596"/>
    <w:rsid w:val="00B47657"/>
    <w:rsid w:val="00B47831"/>
    <w:rsid w:val="00B47B51"/>
    <w:rsid w:val="00B50661"/>
    <w:rsid w:val="00B50D1E"/>
    <w:rsid w:val="00B522D4"/>
    <w:rsid w:val="00B52952"/>
    <w:rsid w:val="00B53255"/>
    <w:rsid w:val="00B53A02"/>
    <w:rsid w:val="00B54203"/>
    <w:rsid w:val="00B54508"/>
    <w:rsid w:val="00B5461F"/>
    <w:rsid w:val="00B557DC"/>
    <w:rsid w:val="00B55F4C"/>
    <w:rsid w:val="00B5634F"/>
    <w:rsid w:val="00B573B2"/>
    <w:rsid w:val="00B576D3"/>
    <w:rsid w:val="00B60225"/>
    <w:rsid w:val="00B60934"/>
    <w:rsid w:val="00B61519"/>
    <w:rsid w:val="00B61C80"/>
    <w:rsid w:val="00B62A04"/>
    <w:rsid w:val="00B62A0F"/>
    <w:rsid w:val="00B6386E"/>
    <w:rsid w:val="00B63DD3"/>
    <w:rsid w:val="00B6516E"/>
    <w:rsid w:val="00B65995"/>
    <w:rsid w:val="00B65AC4"/>
    <w:rsid w:val="00B674D6"/>
    <w:rsid w:val="00B6780A"/>
    <w:rsid w:val="00B67BB4"/>
    <w:rsid w:val="00B67BEF"/>
    <w:rsid w:val="00B7292A"/>
    <w:rsid w:val="00B729CD"/>
    <w:rsid w:val="00B73621"/>
    <w:rsid w:val="00B73697"/>
    <w:rsid w:val="00B73737"/>
    <w:rsid w:val="00B73D93"/>
    <w:rsid w:val="00B75DFC"/>
    <w:rsid w:val="00B76158"/>
    <w:rsid w:val="00B76BB1"/>
    <w:rsid w:val="00B775F7"/>
    <w:rsid w:val="00B77EF1"/>
    <w:rsid w:val="00B808D5"/>
    <w:rsid w:val="00B82988"/>
    <w:rsid w:val="00B8333A"/>
    <w:rsid w:val="00B83D48"/>
    <w:rsid w:val="00B844B8"/>
    <w:rsid w:val="00B84BA4"/>
    <w:rsid w:val="00B86427"/>
    <w:rsid w:val="00B86616"/>
    <w:rsid w:val="00B8683F"/>
    <w:rsid w:val="00B868E5"/>
    <w:rsid w:val="00B9033D"/>
    <w:rsid w:val="00B90563"/>
    <w:rsid w:val="00B912F9"/>
    <w:rsid w:val="00B9168D"/>
    <w:rsid w:val="00B91ADB"/>
    <w:rsid w:val="00B9289C"/>
    <w:rsid w:val="00B93DB4"/>
    <w:rsid w:val="00B94011"/>
    <w:rsid w:val="00B95FBF"/>
    <w:rsid w:val="00B96179"/>
    <w:rsid w:val="00B9640C"/>
    <w:rsid w:val="00B96844"/>
    <w:rsid w:val="00B9717B"/>
    <w:rsid w:val="00BA0092"/>
    <w:rsid w:val="00BA015F"/>
    <w:rsid w:val="00BA047A"/>
    <w:rsid w:val="00BA070A"/>
    <w:rsid w:val="00BA128E"/>
    <w:rsid w:val="00BA16B4"/>
    <w:rsid w:val="00BA2A01"/>
    <w:rsid w:val="00BA3029"/>
    <w:rsid w:val="00BA49BA"/>
    <w:rsid w:val="00BA6C4B"/>
    <w:rsid w:val="00BA6F99"/>
    <w:rsid w:val="00BA719B"/>
    <w:rsid w:val="00BA71EE"/>
    <w:rsid w:val="00BB00F9"/>
    <w:rsid w:val="00BB03BB"/>
    <w:rsid w:val="00BB06CA"/>
    <w:rsid w:val="00BB26D2"/>
    <w:rsid w:val="00BB2740"/>
    <w:rsid w:val="00BB299A"/>
    <w:rsid w:val="00BB2A81"/>
    <w:rsid w:val="00BB3A15"/>
    <w:rsid w:val="00BB44B2"/>
    <w:rsid w:val="00BB4F30"/>
    <w:rsid w:val="00BB5B89"/>
    <w:rsid w:val="00BB6187"/>
    <w:rsid w:val="00BB7567"/>
    <w:rsid w:val="00BB7EDC"/>
    <w:rsid w:val="00BC0809"/>
    <w:rsid w:val="00BC23FA"/>
    <w:rsid w:val="00BC3C9E"/>
    <w:rsid w:val="00BC3EF8"/>
    <w:rsid w:val="00BC45C4"/>
    <w:rsid w:val="00BC5024"/>
    <w:rsid w:val="00BC6B71"/>
    <w:rsid w:val="00BC7176"/>
    <w:rsid w:val="00BC72A8"/>
    <w:rsid w:val="00BC742B"/>
    <w:rsid w:val="00BC7965"/>
    <w:rsid w:val="00BC7AD6"/>
    <w:rsid w:val="00BD043D"/>
    <w:rsid w:val="00BD05B6"/>
    <w:rsid w:val="00BD0E41"/>
    <w:rsid w:val="00BD2C62"/>
    <w:rsid w:val="00BD43E2"/>
    <w:rsid w:val="00BD5582"/>
    <w:rsid w:val="00BD5A8A"/>
    <w:rsid w:val="00BD5EB4"/>
    <w:rsid w:val="00BD610D"/>
    <w:rsid w:val="00BD725F"/>
    <w:rsid w:val="00BD7618"/>
    <w:rsid w:val="00BD7804"/>
    <w:rsid w:val="00BD7C30"/>
    <w:rsid w:val="00BE06EA"/>
    <w:rsid w:val="00BE0816"/>
    <w:rsid w:val="00BE0EC2"/>
    <w:rsid w:val="00BE10B9"/>
    <w:rsid w:val="00BE1A14"/>
    <w:rsid w:val="00BE1C6D"/>
    <w:rsid w:val="00BE34F3"/>
    <w:rsid w:val="00BE39B9"/>
    <w:rsid w:val="00BE45E1"/>
    <w:rsid w:val="00BE5E17"/>
    <w:rsid w:val="00BE5FF9"/>
    <w:rsid w:val="00BE775C"/>
    <w:rsid w:val="00BF0766"/>
    <w:rsid w:val="00BF10E9"/>
    <w:rsid w:val="00BF315B"/>
    <w:rsid w:val="00BF317D"/>
    <w:rsid w:val="00BF3259"/>
    <w:rsid w:val="00BF5104"/>
    <w:rsid w:val="00BF569C"/>
    <w:rsid w:val="00BF5EA1"/>
    <w:rsid w:val="00BF7103"/>
    <w:rsid w:val="00C00BFC"/>
    <w:rsid w:val="00C018F3"/>
    <w:rsid w:val="00C01EA2"/>
    <w:rsid w:val="00C056F0"/>
    <w:rsid w:val="00C05DD8"/>
    <w:rsid w:val="00C10AC5"/>
    <w:rsid w:val="00C111E5"/>
    <w:rsid w:val="00C11CBA"/>
    <w:rsid w:val="00C12B15"/>
    <w:rsid w:val="00C140C5"/>
    <w:rsid w:val="00C14C9D"/>
    <w:rsid w:val="00C15418"/>
    <w:rsid w:val="00C1571B"/>
    <w:rsid w:val="00C16F4E"/>
    <w:rsid w:val="00C17C35"/>
    <w:rsid w:val="00C20A7F"/>
    <w:rsid w:val="00C20E82"/>
    <w:rsid w:val="00C20FEB"/>
    <w:rsid w:val="00C214E9"/>
    <w:rsid w:val="00C25179"/>
    <w:rsid w:val="00C25B27"/>
    <w:rsid w:val="00C25D52"/>
    <w:rsid w:val="00C270EB"/>
    <w:rsid w:val="00C2722F"/>
    <w:rsid w:val="00C27F77"/>
    <w:rsid w:val="00C339E2"/>
    <w:rsid w:val="00C3555E"/>
    <w:rsid w:val="00C36411"/>
    <w:rsid w:val="00C36428"/>
    <w:rsid w:val="00C37064"/>
    <w:rsid w:val="00C40706"/>
    <w:rsid w:val="00C40F89"/>
    <w:rsid w:val="00C425C4"/>
    <w:rsid w:val="00C42AB4"/>
    <w:rsid w:val="00C437B9"/>
    <w:rsid w:val="00C452D2"/>
    <w:rsid w:val="00C50285"/>
    <w:rsid w:val="00C5051C"/>
    <w:rsid w:val="00C52FFE"/>
    <w:rsid w:val="00C53A96"/>
    <w:rsid w:val="00C53D15"/>
    <w:rsid w:val="00C53F7D"/>
    <w:rsid w:val="00C5462D"/>
    <w:rsid w:val="00C57B88"/>
    <w:rsid w:val="00C57BEB"/>
    <w:rsid w:val="00C61DDB"/>
    <w:rsid w:val="00C62E5C"/>
    <w:rsid w:val="00C635BD"/>
    <w:rsid w:val="00C6415F"/>
    <w:rsid w:val="00C642E0"/>
    <w:rsid w:val="00C64861"/>
    <w:rsid w:val="00C651EF"/>
    <w:rsid w:val="00C6535D"/>
    <w:rsid w:val="00C66D00"/>
    <w:rsid w:val="00C6F83D"/>
    <w:rsid w:val="00C701B6"/>
    <w:rsid w:val="00C71426"/>
    <w:rsid w:val="00C719FC"/>
    <w:rsid w:val="00C72559"/>
    <w:rsid w:val="00C727D1"/>
    <w:rsid w:val="00C73E5F"/>
    <w:rsid w:val="00C740FD"/>
    <w:rsid w:val="00C746AA"/>
    <w:rsid w:val="00C76CD2"/>
    <w:rsid w:val="00C76E22"/>
    <w:rsid w:val="00C8021F"/>
    <w:rsid w:val="00C80F16"/>
    <w:rsid w:val="00C80FAD"/>
    <w:rsid w:val="00C82179"/>
    <w:rsid w:val="00C826BF"/>
    <w:rsid w:val="00C82859"/>
    <w:rsid w:val="00C82A1C"/>
    <w:rsid w:val="00C82CB8"/>
    <w:rsid w:val="00C837A7"/>
    <w:rsid w:val="00C83847"/>
    <w:rsid w:val="00C84E71"/>
    <w:rsid w:val="00C9013D"/>
    <w:rsid w:val="00C92342"/>
    <w:rsid w:val="00C92EF3"/>
    <w:rsid w:val="00C93844"/>
    <w:rsid w:val="00C94E5A"/>
    <w:rsid w:val="00C9593C"/>
    <w:rsid w:val="00C97A31"/>
    <w:rsid w:val="00CA089F"/>
    <w:rsid w:val="00CA20CD"/>
    <w:rsid w:val="00CA5CC6"/>
    <w:rsid w:val="00CA6859"/>
    <w:rsid w:val="00CB06AE"/>
    <w:rsid w:val="00CB0DAF"/>
    <w:rsid w:val="00CB0DB1"/>
    <w:rsid w:val="00CB26CE"/>
    <w:rsid w:val="00CB2ADC"/>
    <w:rsid w:val="00CB3D08"/>
    <w:rsid w:val="00CB4E41"/>
    <w:rsid w:val="00CB4F44"/>
    <w:rsid w:val="00CB62FF"/>
    <w:rsid w:val="00CB6322"/>
    <w:rsid w:val="00CB730E"/>
    <w:rsid w:val="00CC1552"/>
    <w:rsid w:val="00CC1694"/>
    <w:rsid w:val="00CC2632"/>
    <w:rsid w:val="00CC2AE0"/>
    <w:rsid w:val="00CC2D4D"/>
    <w:rsid w:val="00CC456C"/>
    <w:rsid w:val="00CC4AE0"/>
    <w:rsid w:val="00CC4C87"/>
    <w:rsid w:val="00CC4ECB"/>
    <w:rsid w:val="00CC4FED"/>
    <w:rsid w:val="00CC736F"/>
    <w:rsid w:val="00CC797C"/>
    <w:rsid w:val="00CC7EE2"/>
    <w:rsid w:val="00CD092B"/>
    <w:rsid w:val="00CD1443"/>
    <w:rsid w:val="00CD233F"/>
    <w:rsid w:val="00CD599A"/>
    <w:rsid w:val="00CD7240"/>
    <w:rsid w:val="00CD7E3D"/>
    <w:rsid w:val="00CE0833"/>
    <w:rsid w:val="00CE0AD4"/>
    <w:rsid w:val="00CE4467"/>
    <w:rsid w:val="00CE4830"/>
    <w:rsid w:val="00CE4977"/>
    <w:rsid w:val="00CE60D5"/>
    <w:rsid w:val="00CE63E6"/>
    <w:rsid w:val="00CE6AF7"/>
    <w:rsid w:val="00CE7283"/>
    <w:rsid w:val="00CE79BC"/>
    <w:rsid w:val="00CF2065"/>
    <w:rsid w:val="00CF231E"/>
    <w:rsid w:val="00CF269C"/>
    <w:rsid w:val="00CF3842"/>
    <w:rsid w:val="00CF3B45"/>
    <w:rsid w:val="00CF404B"/>
    <w:rsid w:val="00CF468D"/>
    <w:rsid w:val="00CF4C41"/>
    <w:rsid w:val="00CF55BA"/>
    <w:rsid w:val="00CF67D0"/>
    <w:rsid w:val="00CF7E28"/>
    <w:rsid w:val="00CF7F29"/>
    <w:rsid w:val="00D00B77"/>
    <w:rsid w:val="00D01C35"/>
    <w:rsid w:val="00D02989"/>
    <w:rsid w:val="00D02D02"/>
    <w:rsid w:val="00D039AE"/>
    <w:rsid w:val="00D039B8"/>
    <w:rsid w:val="00D0428A"/>
    <w:rsid w:val="00D05227"/>
    <w:rsid w:val="00D056C9"/>
    <w:rsid w:val="00D05D17"/>
    <w:rsid w:val="00D067E5"/>
    <w:rsid w:val="00D06ACC"/>
    <w:rsid w:val="00D0735B"/>
    <w:rsid w:val="00D106B8"/>
    <w:rsid w:val="00D10C0E"/>
    <w:rsid w:val="00D10E92"/>
    <w:rsid w:val="00D10F41"/>
    <w:rsid w:val="00D11485"/>
    <w:rsid w:val="00D1180B"/>
    <w:rsid w:val="00D12EEB"/>
    <w:rsid w:val="00D15578"/>
    <w:rsid w:val="00D15856"/>
    <w:rsid w:val="00D177A2"/>
    <w:rsid w:val="00D2126E"/>
    <w:rsid w:val="00D223CF"/>
    <w:rsid w:val="00D23EF9"/>
    <w:rsid w:val="00D24EE8"/>
    <w:rsid w:val="00D2507B"/>
    <w:rsid w:val="00D26950"/>
    <w:rsid w:val="00D269EB"/>
    <w:rsid w:val="00D26B28"/>
    <w:rsid w:val="00D27FD1"/>
    <w:rsid w:val="00D3066E"/>
    <w:rsid w:val="00D319AC"/>
    <w:rsid w:val="00D34DB1"/>
    <w:rsid w:val="00D3576D"/>
    <w:rsid w:val="00D36F05"/>
    <w:rsid w:val="00D37BBE"/>
    <w:rsid w:val="00D37BD1"/>
    <w:rsid w:val="00D37FF8"/>
    <w:rsid w:val="00D4056F"/>
    <w:rsid w:val="00D41667"/>
    <w:rsid w:val="00D41689"/>
    <w:rsid w:val="00D42AF5"/>
    <w:rsid w:val="00D43A13"/>
    <w:rsid w:val="00D45575"/>
    <w:rsid w:val="00D45CC9"/>
    <w:rsid w:val="00D46791"/>
    <w:rsid w:val="00D46B5A"/>
    <w:rsid w:val="00D50E95"/>
    <w:rsid w:val="00D50EEC"/>
    <w:rsid w:val="00D519AD"/>
    <w:rsid w:val="00D52DF8"/>
    <w:rsid w:val="00D54D7D"/>
    <w:rsid w:val="00D55695"/>
    <w:rsid w:val="00D56670"/>
    <w:rsid w:val="00D6263B"/>
    <w:rsid w:val="00D62903"/>
    <w:rsid w:val="00D66231"/>
    <w:rsid w:val="00D668A4"/>
    <w:rsid w:val="00D66DF6"/>
    <w:rsid w:val="00D714EE"/>
    <w:rsid w:val="00D72A3A"/>
    <w:rsid w:val="00D72A9D"/>
    <w:rsid w:val="00D741E2"/>
    <w:rsid w:val="00D74283"/>
    <w:rsid w:val="00D75388"/>
    <w:rsid w:val="00D754BB"/>
    <w:rsid w:val="00D815B7"/>
    <w:rsid w:val="00D86469"/>
    <w:rsid w:val="00D90C90"/>
    <w:rsid w:val="00D9281F"/>
    <w:rsid w:val="00D92E6B"/>
    <w:rsid w:val="00D93365"/>
    <w:rsid w:val="00D93B12"/>
    <w:rsid w:val="00D94B6C"/>
    <w:rsid w:val="00D95A66"/>
    <w:rsid w:val="00D9661E"/>
    <w:rsid w:val="00DA097A"/>
    <w:rsid w:val="00DA2B4E"/>
    <w:rsid w:val="00DA3850"/>
    <w:rsid w:val="00DA401B"/>
    <w:rsid w:val="00DA41BB"/>
    <w:rsid w:val="00DA463E"/>
    <w:rsid w:val="00DA4883"/>
    <w:rsid w:val="00DA4CE7"/>
    <w:rsid w:val="00DA57AE"/>
    <w:rsid w:val="00DA60BD"/>
    <w:rsid w:val="00DA6E47"/>
    <w:rsid w:val="00DA7A0B"/>
    <w:rsid w:val="00DA7F60"/>
    <w:rsid w:val="00DB08BE"/>
    <w:rsid w:val="00DB14DE"/>
    <w:rsid w:val="00DB1DEB"/>
    <w:rsid w:val="00DB20C8"/>
    <w:rsid w:val="00DB3CA4"/>
    <w:rsid w:val="00DB5357"/>
    <w:rsid w:val="00DB5B12"/>
    <w:rsid w:val="00DB68B0"/>
    <w:rsid w:val="00DB69FE"/>
    <w:rsid w:val="00DB7E64"/>
    <w:rsid w:val="00DC0493"/>
    <w:rsid w:val="00DC062C"/>
    <w:rsid w:val="00DC0B8B"/>
    <w:rsid w:val="00DC15AE"/>
    <w:rsid w:val="00DC2672"/>
    <w:rsid w:val="00DC3010"/>
    <w:rsid w:val="00DC31AE"/>
    <w:rsid w:val="00DC38ED"/>
    <w:rsid w:val="00DC572A"/>
    <w:rsid w:val="00DC7AD7"/>
    <w:rsid w:val="00DD014A"/>
    <w:rsid w:val="00DD054E"/>
    <w:rsid w:val="00DD0F2E"/>
    <w:rsid w:val="00DD1977"/>
    <w:rsid w:val="00DD234B"/>
    <w:rsid w:val="00DD2B2F"/>
    <w:rsid w:val="00DD3B2F"/>
    <w:rsid w:val="00DD4C27"/>
    <w:rsid w:val="00DD4CA0"/>
    <w:rsid w:val="00DD5007"/>
    <w:rsid w:val="00DD5734"/>
    <w:rsid w:val="00DD6231"/>
    <w:rsid w:val="00DD75CF"/>
    <w:rsid w:val="00DD792C"/>
    <w:rsid w:val="00DD7CB8"/>
    <w:rsid w:val="00DE1474"/>
    <w:rsid w:val="00DE317B"/>
    <w:rsid w:val="00DE53C8"/>
    <w:rsid w:val="00DE62FF"/>
    <w:rsid w:val="00DE68E4"/>
    <w:rsid w:val="00DE6C7A"/>
    <w:rsid w:val="00DF0723"/>
    <w:rsid w:val="00DF09FC"/>
    <w:rsid w:val="00DF2208"/>
    <w:rsid w:val="00DF3023"/>
    <w:rsid w:val="00DF38BF"/>
    <w:rsid w:val="00DF4009"/>
    <w:rsid w:val="00DF41F1"/>
    <w:rsid w:val="00DF5A65"/>
    <w:rsid w:val="00DF669F"/>
    <w:rsid w:val="00DF6EB2"/>
    <w:rsid w:val="00DF7722"/>
    <w:rsid w:val="00E00740"/>
    <w:rsid w:val="00E00B07"/>
    <w:rsid w:val="00E01267"/>
    <w:rsid w:val="00E01B22"/>
    <w:rsid w:val="00E02FE1"/>
    <w:rsid w:val="00E039A3"/>
    <w:rsid w:val="00E03CBA"/>
    <w:rsid w:val="00E03CD6"/>
    <w:rsid w:val="00E0461A"/>
    <w:rsid w:val="00E06370"/>
    <w:rsid w:val="00E06D07"/>
    <w:rsid w:val="00E10205"/>
    <w:rsid w:val="00E1036F"/>
    <w:rsid w:val="00E10CDC"/>
    <w:rsid w:val="00E11BE6"/>
    <w:rsid w:val="00E11DA3"/>
    <w:rsid w:val="00E13038"/>
    <w:rsid w:val="00E141E2"/>
    <w:rsid w:val="00E1427C"/>
    <w:rsid w:val="00E14BFE"/>
    <w:rsid w:val="00E150C8"/>
    <w:rsid w:val="00E1539D"/>
    <w:rsid w:val="00E15914"/>
    <w:rsid w:val="00E161BA"/>
    <w:rsid w:val="00E1693B"/>
    <w:rsid w:val="00E16E89"/>
    <w:rsid w:val="00E171F6"/>
    <w:rsid w:val="00E2216A"/>
    <w:rsid w:val="00E249B8"/>
    <w:rsid w:val="00E261E6"/>
    <w:rsid w:val="00E26B56"/>
    <w:rsid w:val="00E30B1B"/>
    <w:rsid w:val="00E30C30"/>
    <w:rsid w:val="00E30E39"/>
    <w:rsid w:val="00E314F9"/>
    <w:rsid w:val="00E32E0A"/>
    <w:rsid w:val="00E3327E"/>
    <w:rsid w:val="00E35AD0"/>
    <w:rsid w:val="00E36A01"/>
    <w:rsid w:val="00E36A41"/>
    <w:rsid w:val="00E3731C"/>
    <w:rsid w:val="00E37811"/>
    <w:rsid w:val="00E37B24"/>
    <w:rsid w:val="00E37D9D"/>
    <w:rsid w:val="00E37DFE"/>
    <w:rsid w:val="00E37FCB"/>
    <w:rsid w:val="00E401CE"/>
    <w:rsid w:val="00E40278"/>
    <w:rsid w:val="00E40CFE"/>
    <w:rsid w:val="00E4244B"/>
    <w:rsid w:val="00E4250B"/>
    <w:rsid w:val="00E43D1A"/>
    <w:rsid w:val="00E44ED1"/>
    <w:rsid w:val="00E45754"/>
    <w:rsid w:val="00E47045"/>
    <w:rsid w:val="00E47BEB"/>
    <w:rsid w:val="00E510C4"/>
    <w:rsid w:val="00E5486C"/>
    <w:rsid w:val="00E54D90"/>
    <w:rsid w:val="00E55319"/>
    <w:rsid w:val="00E55963"/>
    <w:rsid w:val="00E55CBD"/>
    <w:rsid w:val="00E55CDE"/>
    <w:rsid w:val="00E5663C"/>
    <w:rsid w:val="00E570B7"/>
    <w:rsid w:val="00E5779F"/>
    <w:rsid w:val="00E57B0E"/>
    <w:rsid w:val="00E57DCB"/>
    <w:rsid w:val="00E60E65"/>
    <w:rsid w:val="00E611F4"/>
    <w:rsid w:val="00E62342"/>
    <w:rsid w:val="00E62451"/>
    <w:rsid w:val="00E64008"/>
    <w:rsid w:val="00E6581D"/>
    <w:rsid w:val="00E65CED"/>
    <w:rsid w:val="00E6644C"/>
    <w:rsid w:val="00E66717"/>
    <w:rsid w:val="00E70934"/>
    <w:rsid w:val="00E737AB"/>
    <w:rsid w:val="00E73824"/>
    <w:rsid w:val="00E7440B"/>
    <w:rsid w:val="00E75647"/>
    <w:rsid w:val="00E76911"/>
    <w:rsid w:val="00E81C21"/>
    <w:rsid w:val="00E81D2C"/>
    <w:rsid w:val="00E81DBE"/>
    <w:rsid w:val="00E839D8"/>
    <w:rsid w:val="00E8426D"/>
    <w:rsid w:val="00E84ADB"/>
    <w:rsid w:val="00E8579F"/>
    <w:rsid w:val="00E86A2B"/>
    <w:rsid w:val="00E872A7"/>
    <w:rsid w:val="00E87CF5"/>
    <w:rsid w:val="00E900F6"/>
    <w:rsid w:val="00E90B12"/>
    <w:rsid w:val="00E94A07"/>
    <w:rsid w:val="00E94C5C"/>
    <w:rsid w:val="00E95299"/>
    <w:rsid w:val="00E967AD"/>
    <w:rsid w:val="00E96B57"/>
    <w:rsid w:val="00E96F9F"/>
    <w:rsid w:val="00E97AA1"/>
    <w:rsid w:val="00EA006D"/>
    <w:rsid w:val="00EA18C4"/>
    <w:rsid w:val="00EA3F66"/>
    <w:rsid w:val="00EA4373"/>
    <w:rsid w:val="00EA4F8B"/>
    <w:rsid w:val="00EA6293"/>
    <w:rsid w:val="00EA6C8D"/>
    <w:rsid w:val="00EB06D6"/>
    <w:rsid w:val="00EB17FF"/>
    <w:rsid w:val="00EB2769"/>
    <w:rsid w:val="00EB3523"/>
    <w:rsid w:val="00EB4840"/>
    <w:rsid w:val="00EB5A17"/>
    <w:rsid w:val="00EB66CC"/>
    <w:rsid w:val="00EB70B8"/>
    <w:rsid w:val="00EB7C24"/>
    <w:rsid w:val="00EC0AC6"/>
    <w:rsid w:val="00EC0D3E"/>
    <w:rsid w:val="00EC3117"/>
    <w:rsid w:val="00EC452B"/>
    <w:rsid w:val="00EC574F"/>
    <w:rsid w:val="00EC5794"/>
    <w:rsid w:val="00EC5D2A"/>
    <w:rsid w:val="00EC71CA"/>
    <w:rsid w:val="00EC7B56"/>
    <w:rsid w:val="00ED0BC3"/>
    <w:rsid w:val="00ED179A"/>
    <w:rsid w:val="00ED1AB4"/>
    <w:rsid w:val="00ED1E46"/>
    <w:rsid w:val="00ED20AF"/>
    <w:rsid w:val="00ED266B"/>
    <w:rsid w:val="00ED4217"/>
    <w:rsid w:val="00ED53D6"/>
    <w:rsid w:val="00ED57F1"/>
    <w:rsid w:val="00ED6F48"/>
    <w:rsid w:val="00EE0835"/>
    <w:rsid w:val="00EE0FA5"/>
    <w:rsid w:val="00EE103B"/>
    <w:rsid w:val="00EE154B"/>
    <w:rsid w:val="00EE1584"/>
    <w:rsid w:val="00EE28E1"/>
    <w:rsid w:val="00EE2DCD"/>
    <w:rsid w:val="00EE336E"/>
    <w:rsid w:val="00EE3557"/>
    <w:rsid w:val="00EE4EEE"/>
    <w:rsid w:val="00EE5968"/>
    <w:rsid w:val="00EE5AF6"/>
    <w:rsid w:val="00EE7736"/>
    <w:rsid w:val="00EE7CD5"/>
    <w:rsid w:val="00EF195D"/>
    <w:rsid w:val="00EF1F75"/>
    <w:rsid w:val="00EF26D3"/>
    <w:rsid w:val="00EF4C79"/>
    <w:rsid w:val="00EF4EE4"/>
    <w:rsid w:val="00EF5DC7"/>
    <w:rsid w:val="00EF660A"/>
    <w:rsid w:val="00EF7499"/>
    <w:rsid w:val="00F01759"/>
    <w:rsid w:val="00F02319"/>
    <w:rsid w:val="00F03A37"/>
    <w:rsid w:val="00F051AE"/>
    <w:rsid w:val="00F0522E"/>
    <w:rsid w:val="00F06199"/>
    <w:rsid w:val="00F0696D"/>
    <w:rsid w:val="00F07CD2"/>
    <w:rsid w:val="00F10900"/>
    <w:rsid w:val="00F10A20"/>
    <w:rsid w:val="00F10A2D"/>
    <w:rsid w:val="00F10ADC"/>
    <w:rsid w:val="00F1179D"/>
    <w:rsid w:val="00F124AC"/>
    <w:rsid w:val="00F13B91"/>
    <w:rsid w:val="00F14186"/>
    <w:rsid w:val="00F14461"/>
    <w:rsid w:val="00F1512D"/>
    <w:rsid w:val="00F16130"/>
    <w:rsid w:val="00F17665"/>
    <w:rsid w:val="00F179BC"/>
    <w:rsid w:val="00F179C8"/>
    <w:rsid w:val="00F17F7C"/>
    <w:rsid w:val="00F2064C"/>
    <w:rsid w:val="00F21A36"/>
    <w:rsid w:val="00F229F3"/>
    <w:rsid w:val="00F233A4"/>
    <w:rsid w:val="00F23A80"/>
    <w:rsid w:val="00F24247"/>
    <w:rsid w:val="00F24856"/>
    <w:rsid w:val="00F251DB"/>
    <w:rsid w:val="00F25B21"/>
    <w:rsid w:val="00F25CC0"/>
    <w:rsid w:val="00F26437"/>
    <w:rsid w:val="00F27163"/>
    <w:rsid w:val="00F27487"/>
    <w:rsid w:val="00F32CBF"/>
    <w:rsid w:val="00F3366E"/>
    <w:rsid w:val="00F35319"/>
    <w:rsid w:val="00F35ADD"/>
    <w:rsid w:val="00F35BB2"/>
    <w:rsid w:val="00F35FC3"/>
    <w:rsid w:val="00F37C72"/>
    <w:rsid w:val="00F37E66"/>
    <w:rsid w:val="00F41109"/>
    <w:rsid w:val="00F41E80"/>
    <w:rsid w:val="00F420C5"/>
    <w:rsid w:val="00F440DD"/>
    <w:rsid w:val="00F450A6"/>
    <w:rsid w:val="00F452BE"/>
    <w:rsid w:val="00F45BED"/>
    <w:rsid w:val="00F45E31"/>
    <w:rsid w:val="00F47F41"/>
    <w:rsid w:val="00F507C6"/>
    <w:rsid w:val="00F50957"/>
    <w:rsid w:val="00F51000"/>
    <w:rsid w:val="00F51012"/>
    <w:rsid w:val="00F5145D"/>
    <w:rsid w:val="00F52CEB"/>
    <w:rsid w:val="00F52D03"/>
    <w:rsid w:val="00F53C1E"/>
    <w:rsid w:val="00F549F2"/>
    <w:rsid w:val="00F557AD"/>
    <w:rsid w:val="00F562E3"/>
    <w:rsid w:val="00F56872"/>
    <w:rsid w:val="00F56C41"/>
    <w:rsid w:val="00F56F75"/>
    <w:rsid w:val="00F57824"/>
    <w:rsid w:val="00F603F4"/>
    <w:rsid w:val="00F604FE"/>
    <w:rsid w:val="00F62004"/>
    <w:rsid w:val="00F629BA"/>
    <w:rsid w:val="00F62B12"/>
    <w:rsid w:val="00F62CE0"/>
    <w:rsid w:val="00F636C8"/>
    <w:rsid w:val="00F64203"/>
    <w:rsid w:val="00F64216"/>
    <w:rsid w:val="00F64A98"/>
    <w:rsid w:val="00F6577D"/>
    <w:rsid w:val="00F66ABC"/>
    <w:rsid w:val="00F67175"/>
    <w:rsid w:val="00F67841"/>
    <w:rsid w:val="00F67A55"/>
    <w:rsid w:val="00F67B46"/>
    <w:rsid w:val="00F7014A"/>
    <w:rsid w:val="00F70CC3"/>
    <w:rsid w:val="00F7307A"/>
    <w:rsid w:val="00F73097"/>
    <w:rsid w:val="00F74954"/>
    <w:rsid w:val="00F75041"/>
    <w:rsid w:val="00F771F5"/>
    <w:rsid w:val="00F80BAF"/>
    <w:rsid w:val="00F827ED"/>
    <w:rsid w:val="00F8344C"/>
    <w:rsid w:val="00F83B7D"/>
    <w:rsid w:val="00F84C26"/>
    <w:rsid w:val="00F85170"/>
    <w:rsid w:val="00F86D84"/>
    <w:rsid w:val="00F86E66"/>
    <w:rsid w:val="00F8710E"/>
    <w:rsid w:val="00F87547"/>
    <w:rsid w:val="00F9053F"/>
    <w:rsid w:val="00F90B23"/>
    <w:rsid w:val="00F9118B"/>
    <w:rsid w:val="00F91FD6"/>
    <w:rsid w:val="00F938E1"/>
    <w:rsid w:val="00F941D0"/>
    <w:rsid w:val="00F94D2D"/>
    <w:rsid w:val="00F9558C"/>
    <w:rsid w:val="00F96555"/>
    <w:rsid w:val="00F96D9F"/>
    <w:rsid w:val="00F9735B"/>
    <w:rsid w:val="00FA12EF"/>
    <w:rsid w:val="00FA281B"/>
    <w:rsid w:val="00FA2CF7"/>
    <w:rsid w:val="00FA3CA1"/>
    <w:rsid w:val="00FA4524"/>
    <w:rsid w:val="00FA49DE"/>
    <w:rsid w:val="00FA58EE"/>
    <w:rsid w:val="00FB0C50"/>
    <w:rsid w:val="00FB2741"/>
    <w:rsid w:val="00FB2A53"/>
    <w:rsid w:val="00FB405A"/>
    <w:rsid w:val="00FB6995"/>
    <w:rsid w:val="00FB6E07"/>
    <w:rsid w:val="00FB730F"/>
    <w:rsid w:val="00FB7A97"/>
    <w:rsid w:val="00FB7CD4"/>
    <w:rsid w:val="00FC00A9"/>
    <w:rsid w:val="00FC1F76"/>
    <w:rsid w:val="00FC4F07"/>
    <w:rsid w:val="00FC5E50"/>
    <w:rsid w:val="00FC6824"/>
    <w:rsid w:val="00FC7EF4"/>
    <w:rsid w:val="00FD07C3"/>
    <w:rsid w:val="00FD0B68"/>
    <w:rsid w:val="00FD1447"/>
    <w:rsid w:val="00FD49D4"/>
    <w:rsid w:val="00FD5D6D"/>
    <w:rsid w:val="00FD799F"/>
    <w:rsid w:val="00FE0F57"/>
    <w:rsid w:val="00FE4CF6"/>
    <w:rsid w:val="00FE762F"/>
    <w:rsid w:val="00FEDAC7"/>
    <w:rsid w:val="00FF273E"/>
    <w:rsid w:val="00FF466D"/>
    <w:rsid w:val="00FF55E5"/>
    <w:rsid w:val="00FF6D1E"/>
    <w:rsid w:val="00FF6DCF"/>
    <w:rsid w:val="00FF7779"/>
    <w:rsid w:val="00FF7C32"/>
    <w:rsid w:val="014E7FB6"/>
    <w:rsid w:val="019BBE98"/>
    <w:rsid w:val="01A631C4"/>
    <w:rsid w:val="01FEBBCC"/>
    <w:rsid w:val="023E1CF3"/>
    <w:rsid w:val="02CEC3A9"/>
    <w:rsid w:val="032331FA"/>
    <w:rsid w:val="0383057E"/>
    <w:rsid w:val="03AA5C0E"/>
    <w:rsid w:val="0470E53E"/>
    <w:rsid w:val="04D04B50"/>
    <w:rsid w:val="0549F491"/>
    <w:rsid w:val="05502302"/>
    <w:rsid w:val="0562A1BA"/>
    <w:rsid w:val="05B49FE5"/>
    <w:rsid w:val="05FE3C0A"/>
    <w:rsid w:val="0664294C"/>
    <w:rsid w:val="067F01B3"/>
    <w:rsid w:val="06A05E64"/>
    <w:rsid w:val="076D3147"/>
    <w:rsid w:val="07B6C95C"/>
    <w:rsid w:val="07E47AA0"/>
    <w:rsid w:val="0861D71D"/>
    <w:rsid w:val="092B0C44"/>
    <w:rsid w:val="092C6DA0"/>
    <w:rsid w:val="099840E8"/>
    <w:rsid w:val="09EF6E42"/>
    <w:rsid w:val="0AB0AEF1"/>
    <w:rsid w:val="0B5E85C2"/>
    <w:rsid w:val="0D76A572"/>
    <w:rsid w:val="0D8EDDF5"/>
    <w:rsid w:val="0DC5F5FF"/>
    <w:rsid w:val="0E6ED2F6"/>
    <w:rsid w:val="0F682BD7"/>
    <w:rsid w:val="0FCD8995"/>
    <w:rsid w:val="1060E404"/>
    <w:rsid w:val="10780F44"/>
    <w:rsid w:val="107BB420"/>
    <w:rsid w:val="10BDDE00"/>
    <w:rsid w:val="1135F2DB"/>
    <w:rsid w:val="11431B58"/>
    <w:rsid w:val="11E269BA"/>
    <w:rsid w:val="1219EDEA"/>
    <w:rsid w:val="12365823"/>
    <w:rsid w:val="15321881"/>
    <w:rsid w:val="154E76FC"/>
    <w:rsid w:val="1567CDAC"/>
    <w:rsid w:val="15AC1C3C"/>
    <w:rsid w:val="1677D100"/>
    <w:rsid w:val="16D26108"/>
    <w:rsid w:val="16E6FE74"/>
    <w:rsid w:val="1740004F"/>
    <w:rsid w:val="185D21F2"/>
    <w:rsid w:val="1887A06E"/>
    <w:rsid w:val="18B24D1C"/>
    <w:rsid w:val="18F7B01B"/>
    <w:rsid w:val="19A0FD4F"/>
    <w:rsid w:val="1A25A7E1"/>
    <w:rsid w:val="1AA4839F"/>
    <w:rsid w:val="1ACA3533"/>
    <w:rsid w:val="1ACB63E2"/>
    <w:rsid w:val="1AD4E6CD"/>
    <w:rsid w:val="1B989026"/>
    <w:rsid w:val="1BB53F22"/>
    <w:rsid w:val="1BD04EB2"/>
    <w:rsid w:val="1BE7BAA5"/>
    <w:rsid w:val="1BF54B76"/>
    <w:rsid w:val="1CA30ADF"/>
    <w:rsid w:val="1CACCBCA"/>
    <w:rsid w:val="1E352969"/>
    <w:rsid w:val="1F95378D"/>
    <w:rsid w:val="1FBC8723"/>
    <w:rsid w:val="20868D5D"/>
    <w:rsid w:val="209283C1"/>
    <w:rsid w:val="2117D9EC"/>
    <w:rsid w:val="21A8FC79"/>
    <w:rsid w:val="21ABAC55"/>
    <w:rsid w:val="21B443C6"/>
    <w:rsid w:val="21F69DEF"/>
    <w:rsid w:val="2419B6C4"/>
    <w:rsid w:val="2446E82C"/>
    <w:rsid w:val="2458FE63"/>
    <w:rsid w:val="2494E152"/>
    <w:rsid w:val="24AC676F"/>
    <w:rsid w:val="252C2990"/>
    <w:rsid w:val="2596E56F"/>
    <w:rsid w:val="25AA1813"/>
    <w:rsid w:val="25E1A87D"/>
    <w:rsid w:val="272DE415"/>
    <w:rsid w:val="278FC42B"/>
    <w:rsid w:val="279620A8"/>
    <w:rsid w:val="28E170F4"/>
    <w:rsid w:val="2A87B83F"/>
    <w:rsid w:val="2B0DC2E8"/>
    <w:rsid w:val="2B107CC3"/>
    <w:rsid w:val="2B3A80B2"/>
    <w:rsid w:val="2B51E452"/>
    <w:rsid w:val="2B54FCE7"/>
    <w:rsid w:val="2B970154"/>
    <w:rsid w:val="2BA9A43D"/>
    <w:rsid w:val="2BDFDD93"/>
    <w:rsid w:val="2C70CAF3"/>
    <w:rsid w:val="2DB71B1B"/>
    <w:rsid w:val="2DD731F9"/>
    <w:rsid w:val="2E408290"/>
    <w:rsid w:val="2E5953D4"/>
    <w:rsid w:val="2ECABA9F"/>
    <w:rsid w:val="2F424A94"/>
    <w:rsid w:val="30A2DC9A"/>
    <w:rsid w:val="30CD5471"/>
    <w:rsid w:val="3134C220"/>
    <w:rsid w:val="31DCEFF5"/>
    <w:rsid w:val="31F166CC"/>
    <w:rsid w:val="3233E736"/>
    <w:rsid w:val="3266CA4A"/>
    <w:rsid w:val="32AD71A2"/>
    <w:rsid w:val="32C0C3C9"/>
    <w:rsid w:val="32C0DEB4"/>
    <w:rsid w:val="330FB7CC"/>
    <w:rsid w:val="33F9D086"/>
    <w:rsid w:val="34ADFF55"/>
    <w:rsid w:val="36998FF6"/>
    <w:rsid w:val="37BF51BF"/>
    <w:rsid w:val="384EE9DF"/>
    <w:rsid w:val="385F2E2E"/>
    <w:rsid w:val="397F5EA8"/>
    <w:rsid w:val="39A98FF6"/>
    <w:rsid w:val="39F0D81C"/>
    <w:rsid w:val="3A2395F5"/>
    <w:rsid w:val="3AE7FAFA"/>
    <w:rsid w:val="3C21C2AE"/>
    <w:rsid w:val="3C24CA54"/>
    <w:rsid w:val="3C561CA6"/>
    <w:rsid w:val="3D731A05"/>
    <w:rsid w:val="3E2A8E88"/>
    <w:rsid w:val="3E315853"/>
    <w:rsid w:val="3E8A142B"/>
    <w:rsid w:val="3ED3B231"/>
    <w:rsid w:val="3FE7925C"/>
    <w:rsid w:val="401E8A57"/>
    <w:rsid w:val="4065FF61"/>
    <w:rsid w:val="406692B0"/>
    <w:rsid w:val="40DC74EA"/>
    <w:rsid w:val="40F6F111"/>
    <w:rsid w:val="413CA631"/>
    <w:rsid w:val="41CD7E87"/>
    <w:rsid w:val="42ABF885"/>
    <w:rsid w:val="42CBA631"/>
    <w:rsid w:val="442F9A98"/>
    <w:rsid w:val="44EC6B97"/>
    <w:rsid w:val="452AEE35"/>
    <w:rsid w:val="453B7C2A"/>
    <w:rsid w:val="4597EDD2"/>
    <w:rsid w:val="45D0C654"/>
    <w:rsid w:val="45F26E84"/>
    <w:rsid w:val="466D863D"/>
    <w:rsid w:val="46FCB06D"/>
    <w:rsid w:val="473E91D2"/>
    <w:rsid w:val="494E0B3C"/>
    <w:rsid w:val="49AB3C64"/>
    <w:rsid w:val="4A390314"/>
    <w:rsid w:val="4B64A26B"/>
    <w:rsid w:val="4B81FC37"/>
    <w:rsid w:val="4C9445F9"/>
    <w:rsid w:val="4CC261B7"/>
    <w:rsid w:val="4CD728EB"/>
    <w:rsid w:val="4D4BD9C1"/>
    <w:rsid w:val="4DB79D3A"/>
    <w:rsid w:val="4EBAAF13"/>
    <w:rsid w:val="4F861A5C"/>
    <w:rsid w:val="50FEEF2F"/>
    <w:rsid w:val="5135D9D6"/>
    <w:rsid w:val="518C4905"/>
    <w:rsid w:val="520A545B"/>
    <w:rsid w:val="52154082"/>
    <w:rsid w:val="5277779C"/>
    <w:rsid w:val="52DC6A5B"/>
    <w:rsid w:val="53057DA6"/>
    <w:rsid w:val="534F63EB"/>
    <w:rsid w:val="5354020E"/>
    <w:rsid w:val="55A554C3"/>
    <w:rsid w:val="55CB6A2F"/>
    <w:rsid w:val="5616726E"/>
    <w:rsid w:val="56C32A32"/>
    <w:rsid w:val="56E7026E"/>
    <w:rsid w:val="573238AD"/>
    <w:rsid w:val="58DEC47F"/>
    <w:rsid w:val="59526AE6"/>
    <w:rsid w:val="596002C5"/>
    <w:rsid w:val="59B374A9"/>
    <w:rsid w:val="5A5D3474"/>
    <w:rsid w:val="5A6B18B5"/>
    <w:rsid w:val="5B56C535"/>
    <w:rsid w:val="5BE7A2E0"/>
    <w:rsid w:val="5C232186"/>
    <w:rsid w:val="5C9FBD70"/>
    <w:rsid w:val="5CB665CE"/>
    <w:rsid w:val="5D3C7B73"/>
    <w:rsid w:val="5DFF3B91"/>
    <w:rsid w:val="5E9D83BD"/>
    <w:rsid w:val="6014291C"/>
    <w:rsid w:val="60185A1C"/>
    <w:rsid w:val="609EB7DD"/>
    <w:rsid w:val="6120DF85"/>
    <w:rsid w:val="612BF559"/>
    <w:rsid w:val="613A7E48"/>
    <w:rsid w:val="62F3CD13"/>
    <w:rsid w:val="6326891A"/>
    <w:rsid w:val="63C53251"/>
    <w:rsid w:val="643F8733"/>
    <w:rsid w:val="65161591"/>
    <w:rsid w:val="65F82970"/>
    <w:rsid w:val="66CD9056"/>
    <w:rsid w:val="66D79CED"/>
    <w:rsid w:val="66F82BCF"/>
    <w:rsid w:val="6712064E"/>
    <w:rsid w:val="6732E434"/>
    <w:rsid w:val="684A76A1"/>
    <w:rsid w:val="68EE6168"/>
    <w:rsid w:val="69C5C5FB"/>
    <w:rsid w:val="6A27DE10"/>
    <w:rsid w:val="6AB90D53"/>
    <w:rsid w:val="6B8B2F69"/>
    <w:rsid w:val="6B8BD4C1"/>
    <w:rsid w:val="6BACFE04"/>
    <w:rsid w:val="6C256B28"/>
    <w:rsid w:val="6CB79C88"/>
    <w:rsid w:val="6D508E97"/>
    <w:rsid w:val="6DCC397F"/>
    <w:rsid w:val="6EA888F7"/>
    <w:rsid w:val="70241219"/>
    <w:rsid w:val="7078C91C"/>
    <w:rsid w:val="707BC0BD"/>
    <w:rsid w:val="715DA916"/>
    <w:rsid w:val="7168C887"/>
    <w:rsid w:val="716B18FE"/>
    <w:rsid w:val="7242D7E5"/>
    <w:rsid w:val="738E38C4"/>
    <w:rsid w:val="74518075"/>
    <w:rsid w:val="7529D14D"/>
    <w:rsid w:val="7677B2D9"/>
    <w:rsid w:val="769680ED"/>
    <w:rsid w:val="76BDB4BD"/>
    <w:rsid w:val="77F09FBA"/>
    <w:rsid w:val="7877D294"/>
    <w:rsid w:val="78E54ABD"/>
    <w:rsid w:val="791612C3"/>
    <w:rsid w:val="7923EFE8"/>
    <w:rsid w:val="7A297048"/>
    <w:rsid w:val="7A3DCF1C"/>
    <w:rsid w:val="7A5AD8DE"/>
    <w:rsid w:val="7AB7A568"/>
    <w:rsid w:val="7AC537BD"/>
    <w:rsid w:val="7AEC4753"/>
    <w:rsid w:val="7C98F412"/>
    <w:rsid w:val="7D2BBB04"/>
    <w:rsid w:val="7D3E06E6"/>
    <w:rsid w:val="7E8B5FA2"/>
    <w:rsid w:val="7F0D1257"/>
    <w:rsid w:val="7F40A036"/>
    <w:rsid w:val="7FF6A160"/>
  </w:rsids>
  <m:mathPr>
    <m:mathFont m:val="Cambria Math"/>
    <m:brkBin m:val="before"/>
    <m:brkBinSub m:val="--"/>
    <m:smallFrac/>
    <m:dispDef/>
    <m:lMargin m:val="1440"/>
    <m:rMargin m:val="144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9887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ro-RO" w:eastAsia="zh-CN"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spacing w:before="80" w:after="40"/>
      <w:outlineLvl w:val="3"/>
    </w:pPr>
    <w:rPr>
      <w:rFonts w:eastAsiaTheme="majorEastAsia" w:cstheme="majorBidi"/>
      <w:i/>
      <w:color w:val="0F4761" w:themeColor="accent1" w:themeShade="BF"/>
    </w:rPr>
  </w:style>
  <w:style w:type="paragraph" w:styleId="Heading5">
    <w:name w:val="heading 5"/>
    <w:basedOn w:val="Normal"/>
    <w:next w:val="Normal"/>
    <w:link w:val="Heading5Char"/>
    <w:uiPriority w:val="9"/>
    <w:semiHidden/>
    <w:unhideWhenUsed/>
    <w:qFormat/>
    <w:p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spacing w:before="40" w:after="0"/>
      <w:outlineLvl w:val="5"/>
    </w:pPr>
    <w:rPr>
      <w:rFonts w:eastAsiaTheme="majorEastAsia" w:cstheme="majorBidi"/>
      <w:i/>
      <w:color w:val="5A5A5A" w:themeColor="text1" w:themeTint="A5"/>
    </w:rPr>
  </w:style>
  <w:style w:type="paragraph" w:styleId="Heading7">
    <w:name w:val="heading 7"/>
    <w:basedOn w:val="Normal"/>
    <w:next w:val="Normal"/>
    <w:link w:val="Heading7Char"/>
    <w:uiPriority w:val="9"/>
    <w:semiHidden/>
    <w:unhideWhenUsed/>
    <w:qFormat/>
    <w:pPr>
      <w:spacing w:before="40" w:after="0"/>
      <w:outlineLvl w:val="6"/>
    </w:pPr>
    <w:rPr>
      <w:rFonts w:eastAsiaTheme="majorEastAsia" w:cstheme="majorBidi"/>
      <w:color w:val="5A5A5A" w:themeColor="text1" w:themeTint="A5"/>
    </w:rPr>
  </w:style>
  <w:style w:type="paragraph" w:styleId="Heading8">
    <w:name w:val="heading 8"/>
    <w:basedOn w:val="Normal"/>
    <w:next w:val="Normal"/>
    <w:link w:val="Heading8Char"/>
    <w:uiPriority w:val="9"/>
    <w:semiHidden/>
    <w:unhideWhenUsed/>
    <w:qFormat/>
    <w:pPr>
      <w:spacing w:after="0"/>
      <w:outlineLvl w:val="7"/>
    </w:pPr>
    <w:rPr>
      <w:rFonts w:eastAsiaTheme="majorEastAsia" w:cstheme="majorBidi"/>
      <w:i/>
      <w:color w:val="272727" w:themeColor="text1" w:themeTint="D8"/>
    </w:rPr>
  </w:style>
  <w:style w:type="paragraph" w:styleId="Heading9">
    <w:name w:val="heading 9"/>
    <w:basedOn w:val="Normal"/>
    <w:next w:val="Normal"/>
    <w:link w:val="Heading9Char"/>
    <w:uiPriority w:val="9"/>
    <w:semiHidden/>
    <w:unhideWhenUsed/>
    <w:qFormat/>
    <w:pPr>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pPr>
      <w:spacing w:after="0" w:line="240" w:lineRule="auto"/>
    </w:p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A5A5A" w:themeColor="text1" w:themeTint="A5"/>
      <w:spacing w:val="15"/>
      <w:sz w:val="28"/>
      <w:szCs w:val="28"/>
    </w:rPr>
  </w:style>
  <w:style w:type="character" w:styleId="IntenseEmphasis">
    <w:name w:val="Intense Emphasis"/>
    <w:basedOn w:val="DefaultParagraphFont"/>
    <w:uiPriority w:val="21"/>
    <w:qFormat/>
    <w:rPr>
      <w:i/>
      <w:color w:val="0F4761" w:themeColor="accent1" w:themeShade="BF"/>
      <w:shd w:val="clear" w:color="auto" w:fill="auto"/>
    </w:rPr>
  </w:style>
  <w:style w:type="paragraph" w:styleId="Quote">
    <w:name w:val="Quote"/>
    <w:basedOn w:val="Normal"/>
    <w:next w:val="Normal"/>
    <w:link w:val="QuoteChar"/>
    <w:uiPriority w:val="29"/>
    <w:qFormat/>
    <w:pPr>
      <w:spacing w:before="160"/>
      <w:jc w:val="center"/>
    </w:pPr>
    <w:rPr>
      <w:i/>
      <w:color w:val="404040" w:themeColor="text1" w:themeTint="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color w:val="0F4761" w:themeColor="accent1" w:themeShade="BF"/>
    </w:rPr>
  </w:style>
  <w:style w:type="character" w:styleId="IntenseReference">
    <w:name w:val="Intense Reference"/>
    <w:basedOn w:val="DefaultParagraphFont"/>
    <w:uiPriority w:val="32"/>
    <w:qFormat/>
    <w:rPr>
      <w:b/>
      <w:smallCaps/>
      <w:color w:val="0F4761" w:themeColor="accent1" w:themeShade="BF"/>
      <w:spacing w:val="5"/>
      <w:shd w:val="clear" w:color="auto" w:fill="auto"/>
    </w:rPr>
  </w:style>
  <w:style w:type="paragraph" w:styleId="ListParagraph">
    <w:name w:val="List Paragraph"/>
    <w:basedOn w:val="Normal"/>
    <w:link w:val="ListParagraphChar"/>
    <w:uiPriority w:val="34"/>
    <w:qFormat/>
    <w:pPr>
      <w:ind w:left="720"/>
      <w:contextualSpacing/>
    </w:pPr>
  </w:style>
  <w:style w:type="table" w:styleId="TableGrid">
    <w:name w:val="Table Grid"/>
    <w:pPr>
      <w:spacing w:after="0" w:line="240" w:lineRule="auto"/>
    </w:pPr>
    <w:rPr>
      <w:rFonts w:ascii="Times New Roman" w:eastAsia="Times New Roman" w:hAnsi="Times New Roman" w:cs="Times New Roman"/>
      <w:lang w:eastAsia="en-IE"/>
    </w:rPr>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shd w:val="clear" w:color="auto" w:fill="auto"/>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shd w:val="clear" w:color="auto" w:fill="auto"/>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shd w:val="clear" w:color="auto" w:fill="auto"/>
    </w:rPr>
  </w:style>
  <w:style w:type="character" w:customStyle="1" w:styleId="Heading4Char">
    <w:name w:val="Heading 4 Char"/>
    <w:basedOn w:val="DefaultParagraphFont"/>
    <w:link w:val="Heading4"/>
    <w:uiPriority w:val="9"/>
    <w:semiHidden/>
    <w:rPr>
      <w:rFonts w:eastAsiaTheme="majorEastAsia" w:cstheme="majorBidi"/>
      <w:i/>
      <w:color w:val="0F4761" w:themeColor="accent1" w:themeShade="BF"/>
      <w:shd w:val="clear" w:color="auto" w:fill="auto"/>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shd w:val="clear" w:color="auto" w:fill="auto"/>
    </w:rPr>
  </w:style>
  <w:style w:type="character" w:customStyle="1" w:styleId="Heading6Char">
    <w:name w:val="Heading 6 Char"/>
    <w:basedOn w:val="DefaultParagraphFont"/>
    <w:link w:val="Heading6"/>
    <w:uiPriority w:val="9"/>
    <w:semiHidden/>
    <w:rPr>
      <w:rFonts w:eastAsiaTheme="majorEastAsia" w:cstheme="majorBidi"/>
      <w:i/>
      <w:color w:val="5A5A5A" w:themeColor="text1" w:themeTint="A5"/>
      <w:shd w:val="clear" w:color="auto" w:fill="auto"/>
    </w:rPr>
  </w:style>
  <w:style w:type="character" w:customStyle="1" w:styleId="Heading7Char">
    <w:name w:val="Heading 7 Char"/>
    <w:basedOn w:val="DefaultParagraphFont"/>
    <w:link w:val="Heading7"/>
    <w:uiPriority w:val="9"/>
    <w:semiHidden/>
    <w:rPr>
      <w:rFonts w:eastAsiaTheme="majorEastAsia" w:cstheme="majorBidi"/>
      <w:color w:val="5A5A5A" w:themeColor="text1" w:themeTint="A5"/>
      <w:shd w:val="clear" w:color="auto" w:fill="auto"/>
    </w:rPr>
  </w:style>
  <w:style w:type="character" w:customStyle="1" w:styleId="Heading8Char">
    <w:name w:val="Heading 8 Char"/>
    <w:basedOn w:val="DefaultParagraphFont"/>
    <w:link w:val="Heading8"/>
    <w:uiPriority w:val="9"/>
    <w:semiHidden/>
    <w:rPr>
      <w:rFonts w:eastAsiaTheme="majorEastAsia" w:cstheme="majorBidi"/>
      <w:i/>
      <w:color w:val="272727" w:themeColor="text1" w:themeTint="D8"/>
      <w:shd w:val="clear" w:color="auto" w:fill="auto"/>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shd w:val="clear" w:color="auto" w:fill="auto"/>
    </w:rPr>
  </w:style>
  <w:style w:type="character" w:customStyle="1" w:styleId="TitleChar">
    <w:name w:val="Title Char"/>
    <w:basedOn w:val="DefaultParagraphFont"/>
    <w:link w:val="Title"/>
    <w:uiPriority w:val="10"/>
    <w:rPr>
      <w:rFonts w:asciiTheme="majorHAnsi" w:eastAsiaTheme="majorEastAsia" w:hAnsiTheme="majorHAnsi" w:cstheme="majorBidi"/>
      <w:spacing w:val="-10"/>
      <w:sz w:val="56"/>
      <w:szCs w:val="56"/>
      <w:shd w:val="clear" w:color="auto" w:fill="auto"/>
    </w:rPr>
  </w:style>
  <w:style w:type="character" w:customStyle="1" w:styleId="SubtitleChar">
    <w:name w:val="Subtitle Char"/>
    <w:basedOn w:val="DefaultParagraphFont"/>
    <w:link w:val="Subtitle"/>
    <w:uiPriority w:val="11"/>
    <w:rPr>
      <w:rFonts w:eastAsiaTheme="majorEastAsia" w:cstheme="majorBidi"/>
      <w:color w:val="5A5A5A" w:themeColor="text1" w:themeTint="A5"/>
      <w:spacing w:val="15"/>
      <w:sz w:val="28"/>
      <w:szCs w:val="28"/>
      <w:shd w:val="clear" w:color="auto" w:fill="auto"/>
    </w:rPr>
  </w:style>
  <w:style w:type="character" w:customStyle="1" w:styleId="QuoteChar">
    <w:name w:val="Quote Char"/>
    <w:basedOn w:val="DefaultParagraphFont"/>
    <w:link w:val="Quote"/>
    <w:uiPriority w:val="29"/>
    <w:rPr>
      <w:i/>
      <w:color w:val="404040" w:themeColor="text1" w:themeTint="BF"/>
      <w:shd w:val="clear" w:color="auto" w:fill="auto"/>
    </w:rPr>
  </w:style>
  <w:style w:type="character" w:customStyle="1" w:styleId="IntenseQuoteChar">
    <w:name w:val="Intense Quote Char"/>
    <w:basedOn w:val="DefaultParagraphFont"/>
    <w:link w:val="IntenseQuote"/>
    <w:uiPriority w:val="30"/>
    <w:rPr>
      <w:i/>
      <w:color w:val="0F4761" w:themeColor="accent1" w:themeShade="BF"/>
      <w:shd w:val="clear" w:color="auto" w:fill="auto"/>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Pagedecouverture">
    <w:name w:val="Page de couverture"/>
    <w:basedOn w:val="Normal"/>
    <w:next w:val="Normal"/>
    <w:pPr>
      <w:spacing w:after="0" w:line="240" w:lineRule="auto"/>
      <w:jc w:val="both"/>
    </w:pPr>
    <w:rPr>
      <w:rFonts w:ascii="Times New Roman" w:eastAsiaTheme="minorHAnsi" w:hAnsi="Times New Roman" w:cs="Times New Roman"/>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Pr>
      <w:rFonts w:ascii="Times New Roman" w:hAnsi="Times New Roman" w:cs="Times New Roman"/>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Pr>
      <w:rFonts w:ascii="Times New Roman" w:hAnsi="Times New Roman" w:cs="Times New Roman"/>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rsid w:val="008A2C2B"/>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customStyle="1" w:styleId="normaltextrun">
    <w:name w:val="normaltextrun"/>
    <w:basedOn w:val="DefaultParagraphFont"/>
  </w:style>
  <w:style w:type="character" w:styleId="FootnoteReference">
    <w:name w:val="footnote reference"/>
    <w:uiPriority w:val="99"/>
    <w:semiHidden/>
    <w:rPr>
      <w:shd w:val="clear" w:color="auto" w:fill="auto"/>
      <w:vertAlign w:val="superscript"/>
    </w:rPr>
  </w:style>
  <w:style w:type="paragraph" w:styleId="FootnoteText">
    <w:name w:val="footnote text"/>
    <w:basedOn w:val="Normal"/>
    <w:link w:val="FootnoteTextChar"/>
    <w:uiPriority w:val="99"/>
    <w:pPr>
      <w:spacing w:after="120" w:line="240" w:lineRule="auto"/>
      <w:ind w:left="357" w:hanging="357"/>
      <w:jc w:val="both"/>
    </w:pPr>
    <w:rPr>
      <w:rFonts w:ascii="Times New Roman" w:eastAsia="Times New Roman" w:hAnsi="Times New Roman" w:cs="Times New Roman"/>
      <w:sz w:val="20"/>
      <w:szCs w:val="20"/>
      <w:lang w:eastAsia="en-IE"/>
    </w:rPr>
  </w:style>
  <w:style w:type="character" w:customStyle="1" w:styleId="FootnoteTextChar">
    <w:name w:val="Footnote Text Char"/>
    <w:basedOn w:val="DefaultParagraphFont"/>
    <w:link w:val="FootnoteText"/>
    <w:uiPriority w:val="99"/>
    <w:rPr>
      <w:rFonts w:ascii="Times New Roman" w:eastAsia="Times New Roman" w:hAnsi="Times New Roman" w:cs="Times New Roman"/>
      <w:sz w:val="20"/>
      <w:szCs w:val="20"/>
      <w:shd w:val="clear" w:color="auto" w:fill="auto"/>
      <w:lang w:eastAsia="en-IE"/>
    </w:rPr>
  </w:style>
  <w:style w:type="paragraph" w:customStyle="1" w:styleId="Text1">
    <w:name w:val="Text 1"/>
    <w:basedOn w:val="Normal"/>
    <w:qFormat/>
    <w:pPr>
      <w:spacing w:after="240" w:line="240" w:lineRule="auto"/>
      <w:ind w:left="482"/>
      <w:jc w:val="both"/>
    </w:pPr>
    <w:rPr>
      <w:rFonts w:ascii="Times New Roman" w:eastAsia="Times New Roman" w:hAnsi="Times New Roman" w:cs="Times New Roman"/>
      <w:lang w:eastAsia="en-IE"/>
    </w:rPr>
  </w:style>
  <w:style w:type="paragraph" w:styleId="CommentText">
    <w:name w:val="annotation text"/>
    <w:basedOn w:val="Normal"/>
    <w:link w:val="CommentTextChar"/>
    <w:uiPriority w:val="99"/>
    <w:semiHidden/>
    <w:pPr>
      <w:spacing w:after="240" w:line="240" w:lineRule="auto"/>
      <w:jc w:val="both"/>
    </w:pPr>
    <w:rPr>
      <w:rFonts w:ascii="Times New Roman" w:eastAsia="Times New Roman" w:hAnsi="Times New Roman" w:cs="Times New Roman"/>
      <w:sz w:val="20"/>
      <w:szCs w:val="20"/>
      <w:lang w:eastAsia="en-IE"/>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shd w:val="clear" w:color="auto" w:fill="auto"/>
      <w:lang w:eastAsia="en-IE"/>
    </w:rPr>
  </w:style>
  <w:style w:type="character" w:styleId="CommentReference">
    <w:name w:val="annotation reference"/>
    <w:basedOn w:val="DefaultParagraphFont"/>
    <w:uiPriority w:val="99"/>
    <w:semiHidden/>
    <w:rPr>
      <w:sz w:val="16"/>
      <w:szCs w:val="16"/>
      <w:shd w:val="clear" w:color="auto" w:fill="auto"/>
    </w:rPr>
  </w:style>
  <w:style w:type="character" w:styleId="Hyperlink">
    <w:name w:val="Hyperlink"/>
    <w:basedOn w:val="DefaultParagraphFont"/>
    <w:uiPriority w:val="99"/>
    <w:rPr>
      <w:color w:val="467886" w:themeColor="hyperlink"/>
      <w:u w:val="single"/>
      <w:shd w:val="clear" w:color="auto" w:fill="auto"/>
    </w:rPr>
  </w:style>
  <w:style w:type="character" w:customStyle="1" w:styleId="ListParagraphChar">
    <w:name w:val="List Paragraph Char"/>
    <w:basedOn w:val="DefaultParagraphFont"/>
    <w:link w:val="ListParagraph"/>
    <w:uiPriority w:val="34"/>
    <w:qFormat/>
  </w:style>
  <w:style w:type="paragraph" w:styleId="Revision">
    <w:name w:val="Revision"/>
    <w:uiPriority w:val="99"/>
    <w:semiHidden/>
    <w:pPr>
      <w:spacing w:after="0" w:line="240" w:lineRule="auto"/>
    </w:pPr>
  </w:style>
  <w:style w:type="character" w:styleId="FollowedHyperlink">
    <w:name w:val="FollowedHyperlink"/>
    <w:basedOn w:val="DefaultParagraphFont"/>
    <w:uiPriority w:val="99"/>
    <w:semiHidden/>
    <w:unhideWhenUsed/>
    <w:rPr>
      <w:color w:val="96607D" w:themeColor="followedHyperlink"/>
      <w:u w:val="single"/>
      <w:shd w:val="clear" w:color="auto" w:fill="auto"/>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CommentSubject">
    <w:name w:val="annotation subject"/>
    <w:basedOn w:val="CommentText"/>
    <w:next w:val="CommentText"/>
    <w:link w:val="CommentSubjectChar"/>
    <w:uiPriority w:val="99"/>
    <w:semiHidden/>
    <w:unhideWhenUsed/>
    <w:pPr>
      <w:spacing w:after="160"/>
      <w:jc w:val="left"/>
    </w:pPr>
    <w:rPr>
      <w:rFonts w:asciiTheme="minorHAnsi" w:eastAsiaTheme="minorEastAsia" w:hAnsiTheme="minorHAnsi" w:cstheme="minorBidi"/>
      <w:b/>
      <w:lang w:eastAsia="zh-CN"/>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sz w:val="20"/>
      <w:szCs w:val="20"/>
      <w:shd w:val="clear" w:color="auto" w:fill="auto"/>
      <w:lang w:eastAsia="en-IE"/>
    </w:rPr>
  </w:style>
  <w:style w:type="paragraph" w:customStyle="1" w:styleId="Disclaimer">
    <w:name w:val="Disclaimer"/>
    <w:basedOn w:val="Normal"/>
    <w:pPr>
      <w:pBdr>
        <w:top w:val="single" w:sz="6" w:space="4" w:color="000000"/>
        <w:left w:val="single" w:sz="6" w:space="7" w:color="000000"/>
        <w:bottom w:val="single" w:sz="6" w:space="4" w:color="000000"/>
        <w:right w:val="single" w:sz="6" w:space="7" w:color="000000"/>
      </w:pBdr>
      <w:shd w:val="clear" w:color="FFFFFF" w:fill="auto"/>
      <w:spacing w:before="120" w:after="120" w:line="240" w:lineRule="auto"/>
      <w:jc w:val="both"/>
    </w:pPr>
    <w:rPr>
      <w:rFonts w:ascii="Times New Roman" w:eastAsiaTheme="minorHAnsi" w:hAnsi="Times New Roman" w:cs="Times New Roman"/>
      <w:lang w:eastAsia="en-US"/>
    </w:rPr>
  </w:style>
  <w:style w:type="paragraph" w:customStyle="1" w:styleId="SecurityMarking">
    <w:name w:val="SecurityMarking"/>
    <w:basedOn w:val="Normal"/>
    <w:rsid w:val="008A2C2B"/>
    <w:pPr>
      <w:spacing w:after="0" w:line="276" w:lineRule="auto"/>
      <w:ind w:left="5103"/>
    </w:pPr>
    <w:rPr>
      <w:rFonts w:ascii="Times New Roman" w:eastAsiaTheme="minorHAnsi" w:hAnsi="Times New Roman" w:cs="Times New Roman"/>
      <w:sz w:val="28"/>
      <w:szCs w:val="22"/>
      <w:lang w:eastAsia="en-US"/>
    </w:rPr>
  </w:style>
  <w:style w:type="paragraph" w:customStyle="1" w:styleId="DateMarking">
    <w:name w:val="DateMarking"/>
    <w:basedOn w:val="Normal"/>
    <w:rsid w:val="008A2C2B"/>
    <w:pPr>
      <w:spacing w:after="0" w:line="276" w:lineRule="auto"/>
      <w:ind w:left="5103"/>
    </w:pPr>
    <w:rPr>
      <w:rFonts w:ascii="Times New Roman" w:eastAsiaTheme="minorHAnsi" w:hAnsi="Times New Roman" w:cs="Times New Roman"/>
      <w:i/>
      <w:sz w:val="28"/>
      <w:szCs w:val="22"/>
      <w:lang w:eastAsia="en-US"/>
    </w:rPr>
  </w:style>
  <w:style w:type="paragraph" w:customStyle="1" w:styleId="ReleasableTo">
    <w:name w:val="ReleasableTo"/>
    <w:basedOn w:val="Normal"/>
    <w:rsid w:val="008A2C2B"/>
    <w:pPr>
      <w:spacing w:after="0" w:line="276" w:lineRule="auto"/>
      <w:ind w:left="5103"/>
    </w:pPr>
    <w:rPr>
      <w:rFonts w:ascii="Times New Roman" w:eastAsiaTheme="minorHAnsi" w:hAnsi="Times New Roman" w:cs="Times New Roman"/>
      <w:i/>
      <w:sz w:val="28"/>
      <w:szCs w:val="22"/>
      <w:lang w:eastAsia="en-US"/>
    </w:rPr>
  </w:style>
  <w:style w:type="character" w:customStyle="1" w:styleId="Mention1">
    <w:name w:val="Mention1"/>
    <w:basedOn w:val="DefaultParagraphFont"/>
    <w:uiPriority w:val="99"/>
    <w:unhideWhenUsed/>
    <w:rsid w:val="00675423"/>
    <w:rPr>
      <w:color w:val="2B579A"/>
      <w:shd w:val="clear" w:color="auto" w:fill="E1DFDD"/>
    </w:rPr>
  </w:style>
  <w:style w:type="character" w:customStyle="1" w:styleId="UnresolvedMention2">
    <w:name w:val="Unresolved Mention2"/>
    <w:basedOn w:val="DefaultParagraphFont"/>
    <w:uiPriority w:val="99"/>
    <w:semiHidden/>
    <w:unhideWhenUsed/>
    <w:rsid w:val="006D46BC"/>
    <w:rPr>
      <w:color w:val="605E5C"/>
      <w:shd w:val="clear" w:color="auto" w:fill="E1DFDD"/>
    </w:rPr>
  </w:style>
  <w:style w:type="character" w:customStyle="1" w:styleId="Mention2">
    <w:name w:val="Mention2"/>
    <w:basedOn w:val="DefaultParagraphFont"/>
    <w:uiPriority w:val="99"/>
    <w:unhideWhenUsed/>
    <w:rsid w:val="006D46BC"/>
    <w:rPr>
      <w:color w:val="2B579A"/>
      <w:shd w:val="clear" w:color="auto" w:fill="E1DFDD"/>
    </w:rPr>
  </w:style>
  <w:style w:type="paragraph" w:styleId="BalloonText">
    <w:name w:val="Balloon Text"/>
    <w:basedOn w:val="Normal"/>
    <w:link w:val="BalloonTextChar"/>
    <w:uiPriority w:val="99"/>
    <w:semiHidden/>
    <w:unhideWhenUsed/>
    <w:rsid w:val="00E86A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6A2B"/>
    <w:rPr>
      <w:rFonts w:ascii="Segoe UI" w:hAnsi="Segoe UI" w:cs="Segoe UI"/>
      <w:sz w:val="18"/>
      <w:szCs w:val="18"/>
    </w:rPr>
  </w:style>
  <w:style w:type="paragraph" w:customStyle="1" w:styleId="Languesfaisantfoi">
    <w:name w:val="Langues faisant foi"/>
    <w:basedOn w:val="Normal"/>
    <w:next w:val="Normal"/>
    <w:rsid w:val="00BD610D"/>
    <w:pPr>
      <w:spacing w:before="360" w:after="240" w:line="240" w:lineRule="auto"/>
      <w:jc w:val="center"/>
    </w:pPr>
    <w:rPr>
      <w:rFonts w:ascii="Times New Roman" w:eastAsiaTheme="minorHAnsi" w:hAnsi="Times New Roman" w:cs="Times New Roman"/>
      <w:szCs w:val="22"/>
      <w:lang w:eastAsia="en-US"/>
    </w:rPr>
  </w:style>
  <w:style w:type="paragraph" w:customStyle="1" w:styleId="LanguesfaisantfoiPagedecouverture">
    <w:name w:val="Langues faisant foi (Page de couverture)"/>
    <w:basedOn w:val="Normal"/>
    <w:next w:val="Normal"/>
    <w:rsid w:val="00BD610D"/>
    <w:pPr>
      <w:spacing w:before="360" w:after="240" w:line="240" w:lineRule="auto"/>
      <w:jc w:val="center"/>
    </w:pPr>
    <w:rPr>
      <w:rFonts w:ascii="Times New Roman" w:eastAsiaTheme="minorHAnsi" w:hAnsi="Times New Roman" w:cs="Times New Roman"/>
      <w:szCs w:val="22"/>
      <w:lang w:eastAsia="en-US"/>
    </w:rPr>
  </w:style>
  <w:style w:type="paragraph" w:customStyle="1" w:styleId="IntrtEEE">
    <w:name w:val="Intérêt EEE"/>
    <w:basedOn w:val="Languesfaisantfoi"/>
    <w:next w:val="Normal"/>
    <w:rsid w:val="00BD610D"/>
    <w:pPr>
      <w:spacing w:after="0"/>
    </w:pPr>
  </w:style>
  <w:style w:type="paragraph" w:customStyle="1" w:styleId="IntrtEEEPagedecouverture">
    <w:name w:val="Intérêt EEE (Page de couverture)"/>
    <w:basedOn w:val="IntrtEEE"/>
    <w:next w:val="Normal"/>
    <w:rsid w:val="00BD61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542324">
      <w:bodyDiv w:val="1"/>
      <w:marLeft w:val="0"/>
      <w:marRight w:val="0"/>
      <w:marTop w:val="0"/>
      <w:marBottom w:val="0"/>
      <w:divBdr>
        <w:top w:val="none" w:sz="0" w:space="0" w:color="auto"/>
        <w:left w:val="none" w:sz="0" w:space="0" w:color="auto"/>
        <w:bottom w:val="none" w:sz="0" w:space="0" w:color="auto"/>
        <w:right w:val="none" w:sz="0" w:space="0" w:color="auto"/>
      </w:divBdr>
    </w:div>
    <w:div w:id="545332980">
      <w:bodyDiv w:val="1"/>
      <w:marLeft w:val="0"/>
      <w:marRight w:val="0"/>
      <w:marTop w:val="0"/>
      <w:marBottom w:val="0"/>
      <w:divBdr>
        <w:top w:val="none" w:sz="0" w:space="0" w:color="auto"/>
        <w:left w:val="none" w:sz="0" w:space="0" w:color="auto"/>
        <w:bottom w:val="none" w:sz="0" w:space="0" w:color="auto"/>
        <w:right w:val="none" w:sz="0" w:space="0" w:color="auto"/>
      </w:divBdr>
    </w:div>
    <w:div w:id="1014839599">
      <w:bodyDiv w:val="1"/>
      <w:marLeft w:val="0"/>
      <w:marRight w:val="0"/>
      <w:marTop w:val="0"/>
      <w:marBottom w:val="0"/>
      <w:divBdr>
        <w:top w:val="none" w:sz="0" w:space="0" w:color="auto"/>
        <w:left w:val="none" w:sz="0" w:space="0" w:color="auto"/>
        <w:bottom w:val="none" w:sz="0" w:space="0" w:color="auto"/>
        <w:right w:val="none" w:sz="0" w:space="0" w:color="auto"/>
      </w:divBdr>
    </w:div>
    <w:div w:id="1161314952">
      <w:bodyDiv w:val="1"/>
      <w:marLeft w:val="0"/>
      <w:marRight w:val="0"/>
      <w:marTop w:val="0"/>
      <w:marBottom w:val="0"/>
      <w:divBdr>
        <w:top w:val="none" w:sz="0" w:space="0" w:color="auto"/>
        <w:left w:val="none" w:sz="0" w:space="0" w:color="auto"/>
        <w:bottom w:val="none" w:sz="0" w:space="0" w:color="auto"/>
        <w:right w:val="none" w:sz="0" w:space="0" w:color="auto"/>
      </w:divBdr>
    </w:div>
    <w:div w:id="1231237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www.ipcc.ch/report/ar6/syr/downloads/report/IPCC_AR6_SYR_SPM.pdf" TargetMode="External"/><Relationship Id="rId13" Type="http://schemas.openxmlformats.org/officeDocument/2006/relationships/hyperlink" Target="https://www.iea.org/reports/world-energy-outlook-2024" TargetMode="External"/><Relationship Id="rId18" Type="http://schemas.openxmlformats.org/officeDocument/2006/relationships/hyperlink" Target="https://ember-energy.org/latest-insights/the-first-evidence-of-a-take-off-in-solar-in-africa/" TargetMode="External"/><Relationship Id="rId26" Type="http://schemas.openxmlformats.org/officeDocument/2006/relationships/hyperlink" Target="https://www.iea.org/reports/world-energy-investment-2025" TargetMode="External"/><Relationship Id="rId3" Type="http://schemas.openxmlformats.org/officeDocument/2006/relationships/hyperlink" Target="https://unfccc.int/documents/641792" TargetMode="External"/><Relationship Id="rId21" Type="http://schemas.openxmlformats.org/officeDocument/2006/relationships/hyperlink" Target="https://ember-energy.org/countries-and-regions/latin-america-and-caribbean/" TargetMode="External"/><Relationship Id="rId7" Type="http://schemas.openxmlformats.org/officeDocument/2006/relationships/hyperlink" Target="https://eur-lex.europa.eu/legal-content/RO/TXT/?uri=CELEX:52024DC0498" TargetMode="External"/><Relationship Id="rId12" Type="http://schemas.openxmlformats.org/officeDocument/2006/relationships/hyperlink" Target="https://www.iea.org/reports/energy-technology-perspectives-2024" TargetMode="External"/><Relationship Id="rId17" Type="http://schemas.openxmlformats.org/officeDocument/2006/relationships/hyperlink" Target="https://www.bruegel.org/analysis/china-can-decarbonise-world-even-wont-fix-its-overcapacity-problem" TargetMode="External"/><Relationship Id="rId25" Type="http://schemas.openxmlformats.org/officeDocument/2006/relationships/hyperlink" Target="https://www.iea.org/reports/renewable-energy-market-update-june-2023" TargetMode="External"/><Relationship Id="rId2" Type="http://schemas.openxmlformats.org/officeDocument/2006/relationships/hyperlink" Target="https://unfccc.int/documents/641792" TargetMode="External"/><Relationship Id="rId16" Type="http://schemas.openxmlformats.org/officeDocument/2006/relationships/hyperlink" Target="https://www.iea.org/reports/energy-technology-perspectives-2024" TargetMode="External"/><Relationship Id="rId20" Type="http://schemas.openxmlformats.org/officeDocument/2006/relationships/hyperlink" Target="https://www.ea-energianalyse.dk/wp-content/uploads/2025/06/Ethiopian-Energy-Outlook-2025.pdf" TargetMode="External"/><Relationship Id="rId1" Type="http://schemas.openxmlformats.org/officeDocument/2006/relationships/hyperlink" Target="https://unfccc.int/documents/641792" TargetMode="External"/><Relationship Id="rId6" Type="http://schemas.openxmlformats.org/officeDocument/2006/relationships/hyperlink" Target="https://www.iea.org/reports/world-energy-investment-2025" TargetMode="External"/><Relationship Id="rId11" Type="http://schemas.openxmlformats.org/officeDocument/2006/relationships/hyperlink" Target="https://www.iea.org/reports/world-energy-employment-2024" TargetMode="External"/><Relationship Id="rId24" Type="http://schemas.openxmlformats.org/officeDocument/2006/relationships/hyperlink" Target="https://ec.europa.eu/eurostat/databrowser/view/nrg_ind_eff__custom_18172277/default/table" TargetMode="External"/><Relationship Id="rId5" Type="http://schemas.openxmlformats.org/officeDocument/2006/relationships/hyperlink" Target="https://www.iea.org/reports/renewables-2025/" TargetMode="External"/><Relationship Id="rId15" Type="http://schemas.openxmlformats.org/officeDocument/2006/relationships/hyperlink" Target="https://www.irena.org/Publications/2025/Jun/Renewable-Power-Generation-Costs-in-2024" TargetMode="External"/><Relationship Id="rId23" Type="http://schemas.openxmlformats.org/officeDocument/2006/relationships/hyperlink" Target="https://www.iea.org/reports/africa-energy-outlook-2022" TargetMode="External"/><Relationship Id="rId28" Type="http://schemas.openxmlformats.org/officeDocument/2006/relationships/hyperlink" Target="https://www.worldbank.org/en/publication/state-and-trends-of-carbon-pricing" TargetMode="External"/><Relationship Id="rId10" Type="http://schemas.openxmlformats.org/officeDocument/2006/relationships/hyperlink" Target="https://www.iea.org/reports/world-energy-investment-2025" TargetMode="External"/><Relationship Id="rId19" Type="http://schemas.openxmlformats.org/officeDocument/2006/relationships/hyperlink" Target="https://www.iea.org/reports/global-ev-outlook-2025" TargetMode="External"/><Relationship Id="rId4" Type="http://schemas.openxmlformats.org/officeDocument/2006/relationships/hyperlink" Target="https://edgar.jrc.ec.europa.eu/report_2025" TargetMode="External"/><Relationship Id="rId9" Type="http://schemas.openxmlformats.org/officeDocument/2006/relationships/hyperlink" Target="https://www.irena.org/Publications/2025/Jul/Renewable-energy-statistics-2025" TargetMode="External"/><Relationship Id="rId14" Type="http://schemas.openxmlformats.org/officeDocument/2006/relationships/hyperlink" Target="https://www.iea.org/reports/global-energy-review-2025" TargetMode="External"/><Relationship Id="rId22" Type="http://schemas.openxmlformats.org/officeDocument/2006/relationships/hyperlink" Target="https://www.iea.org/reports/world-energy-investment-2025" TargetMode="External"/><Relationship Id="rId27" Type="http://schemas.openxmlformats.org/officeDocument/2006/relationships/hyperlink" Target="https://www.irena.org/Publications/2024/Oct/Renewable-energy-and-jobs-Annual-review-2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F8ED215572604AAF7EBD48DA73891A" ma:contentTypeVersion="3" ma:contentTypeDescription="Create a new document." ma:contentTypeScope="" ma:versionID="21979ed90e1dc1cce198ef761e1aae0a">
  <xsd:schema xmlns:xsd="http://www.w3.org/2001/XMLSchema" xmlns:xs="http://www.w3.org/2001/XMLSchema" xmlns:p="http://schemas.microsoft.com/office/2006/metadata/properties" xmlns:ns2="a4f005ec-33eb-4bab-bf3a-d5a03ed31b58" targetNamespace="http://schemas.microsoft.com/office/2006/metadata/properties" ma:root="true" ma:fieldsID="d8017f1d3f658d029a1f8d74f4b00967" ns2:_="">
    <xsd:import namespace="a4f005ec-33eb-4bab-bf3a-d5a03ed31b5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f005ec-33eb-4bab-bf3a-d5a03ed31b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707CB8-683D-4523-B657-E9F1D1256B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f005ec-33eb-4bab-bf3a-d5a03ed31b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C33257-BFD1-4C62-8F05-0FC3968C665B}">
  <ds:schemaRefs>
    <ds:schemaRef ds:uri="http://schemas.microsoft.com/sharepoint/v3/contenttype/forms"/>
  </ds:schemaRefs>
</ds:datastoreItem>
</file>

<file path=customXml/itemProps3.xml><?xml version="1.0" encoding="utf-8"?>
<ds:datastoreItem xmlns:ds="http://schemas.openxmlformats.org/officeDocument/2006/customXml" ds:itemID="{039F08F2-7B26-4C59-B05D-0DDC856842F9}">
  <ds:schemaRefs>
    <ds:schemaRef ds:uri="http://purl.org/dc/elements/1.1/"/>
    <ds:schemaRef ds:uri="http://purl.org/dc/dcmitype/"/>
    <ds:schemaRef ds:uri="http://schemas.microsoft.com/office/2006/documentManagement/types"/>
    <ds:schemaRef ds:uri="http://purl.org/dc/terms/"/>
    <ds:schemaRef ds:uri="http://schemas.microsoft.com/office/infopath/2007/PartnerControls"/>
    <ds:schemaRef ds:uri="http://schemas.openxmlformats.org/package/2006/metadata/core-properties"/>
    <ds:schemaRef ds:uri="a4f005ec-33eb-4bab-bf3a-d5a03ed31b58"/>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2CC4BB96-9A86-47E7-BF78-F4370F856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9189</Words>
  <Characters>52378</Characters>
  <Application>Microsoft Office Word</Application>
  <DocSecurity>0</DocSecurity>
  <Lines>436</Lines>
  <Paragraphs>122</Paragraphs>
  <MMClips>0</MMClip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61445</CharactersWithSpaces>
  <SharedDoc>false</SharedDoc>
  <HLinks>
    <vt:vector size="84" baseType="variant">
      <vt:variant>
        <vt:i4>2556025</vt:i4>
      </vt:variant>
      <vt:variant>
        <vt:i4>39</vt:i4>
      </vt:variant>
      <vt:variant>
        <vt:i4>0</vt:i4>
      </vt:variant>
      <vt:variant>
        <vt:i4>5</vt:i4>
      </vt:variant>
      <vt:variant>
        <vt:lpwstr>https://www.worldbank.org/en/publication/state-and-trends-of-carbon-pricing</vt:lpwstr>
      </vt:variant>
      <vt:variant>
        <vt:lpwstr/>
      </vt:variant>
      <vt:variant>
        <vt:i4>6357018</vt:i4>
      </vt:variant>
      <vt:variant>
        <vt:i4>36</vt:i4>
      </vt:variant>
      <vt:variant>
        <vt:i4>0</vt:i4>
      </vt:variant>
      <vt:variant>
        <vt:i4>5</vt:i4>
      </vt:variant>
      <vt:variant>
        <vt:lpwstr>https://ec.europa.eu/eurostat/databrowser/view/nrg_ind_eff__custom_18172277/default/table</vt:lpwstr>
      </vt:variant>
      <vt:variant>
        <vt:lpwstr/>
      </vt:variant>
      <vt:variant>
        <vt:i4>4063266</vt:i4>
      </vt:variant>
      <vt:variant>
        <vt:i4>33</vt:i4>
      </vt:variant>
      <vt:variant>
        <vt:i4>0</vt:i4>
      </vt:variant>
      <vt:variant>
        <vt:i4>5</vt:i4>
      </vt:variant>
      <vt:variant>
        <vt:lpwstr>https://www.bruegel.org/analysis/china-can-decarbonise-world-even-wont-fix-its-overcapacity-problem</vt:lpwstr>
      </vt:variant>
      <vt:variant>
        <vt:lpwstr/>
      </vt:variant>
      <vt:variant>
        <vt:i4>3604605</vt:i4>
      </vt:variant>
      <vt:variant>
        <vt:i4>30</vt:i4>
      </vt:variant>
      <vt:variant>
        <vt:i4>0</vt:i4>
      </vt:variant>
      <vt:variant>
        <vt:i4>5</vt:i4>
      </vt:variant>
      <vt:variant>
        <vt:lpwstr>https://www.iea.org/reports/energy-technology-perspectives-2024</vt:lpwstr>
      </vt:variant>
      <vt:variant>
        <vt:lpwstr/>
      </vt:variant>
      <vt:variant>
        <vt:i4>131098</vt:i4>
      </vt:variant>
      <vt:variant>
        <vt:i4>27</vt:i4>
      </vt:variant>
      <vt:variant>
        <vt:i4>0</vt:i4>
      </vt:variant>
      <vt:variant>
        <vt:i4>5</vt:i4>
      </vt:variant>
      <vt:variant>
        <vt:lpwstr>https://www.irena.org/Publications/2025/Jun/Renewable-Power-Generation-Costs-in-2024</vt:lpwstr>
      </vt:variant>
      <vt:variant>
        <vt:lpwstr/>
      </vt:variant>
      <vt:variant>
        <vt:i4>6029342</vt:i4>
      </vt:variant>
      <vt:variant>
        <vt:i4>24</vt:i4>
      </vt:variant>
      <vt:variant>
        <vt:i4>0</vt:i4>
      </vt:variant>
      <vt:variant>
        <vt:i4>5</vt:i4>
      </vt:variant>
      <vt:variant>
        <vt:lpwstr>https://www.iea.org/reports/global-energy-review-2025</vt:lpwstr>
      </vt:variant>
      <vt:variant>
        <vt:lpwstr/>
      </vt:variant>
      <vt:variant>
        <vt:i4>5963779</vt:i4>
      </vt:variant>
      <vt:variant>
        <vt:i4>21</vt:i4>
      </vt:variant>
      <vt:variant>
        <vt:i4>0</vt:i4>
      </vt:variant>
      <vt:variant>
        <vt:i4>5</vt:i4>
      </vt:variant>
      <vt:variant>
        <vt:lpwstr>https://www.iea.org/reports/world-energy-outlook-2024</vt:lpwstr>
      </vt:variant>
      <vt:variant>
        <vt:lpwstr/>
      </vt:variant>
      <vt:variant>
        <vt:i4>3604605</vt:i4>
      </vt:variant>
      <vt:variant>
        <vt:i4>18</vt:i4>
      </vt:variant>
      <vt:variant>
        <vt:i4>0</vt:i4>
      </vt:variant>
      <vt:variant>
        <vt:i4>5</vt:i4>
      </vt:variant>
      <vt:variant>
        <vt:lpwstr>https://www.iea.org/reports/energy-technology-perspectives-2024</vt:lpwstr>
      </vt:variant>
      <vt:variant>
        <vt:lpwstr/>
      </vt:variant>
      <vt:variant>
        <vt:i4>1310721</vt:i4>
      </vt:variant>
      <vt:variant>
        <vt:i4>15</vt:i4>
      </vt:variant>
      <vt:variant>
        <vt:i4>0</vt:i4>
      </vt:variant>
      <vt:variant>
        <vt:i4>5</vt:i4>
      </vt:variant>
      <vt:variant>
        <vt:lpwstr>https://www.iea.org/reports/world-energy-employment-2024</vt:lpwstr>
      </vt:variant>
      <vt:variant>
        <vt:lpwstr/>
      </vt:variant>
      <vt:variant>
        <vt:i4>196614</vt:i4>
      </vt:variant>
      <vt:variant>
        <vt:i4>12</vt:i4>
      </vt:variant>
      <vt:variant>
        <vt:i4>0</vt:i4>
      </vt:variant>
      <vt:variant>
        <vt:i4>5</vt:i4>
      </vt:variant>
      <vt:variant>
        <vt:lpwstr>https://www.iea.org/reports/world-energy-investment-2025</vt:lpwstr>
      </vt:variant>
      <vt:variant>
        <vt:lpwstr/>
      </vt:variant>
      <vt:variant>
        <vt:i4>4259931</vt:i4>
      </vt:variant>
      <vt:variant>
        <vt:i4>9</vt:i4>
      </vt:variant>
      <vt:variant>
        <vt:i4>0</vt:i4>
      </vt:variant>
      <vt:variant>
        <vt:i4>5</vt:i4>
      </vt:variant>
      <vt:variant>
        <vt:lpwstr>https://www.irena.org/Publications/2025/Jul/Renewable-energy-statistics-2025</vt:lpwstr>
      </vt:variant>
      <vt:variant>
        <vt:lpwstr/>
      </vt:variant>
      <vt:variant>
        <vt:i4>589844</vt:i4>
      </vt:variant>
      <vt:variant>
        <vt:i4>6</vt:i4>
      </vt:variant>
      <vt:variant>
        <vt:i4>0</vt:i4>
      </vt:variant>
      <vt:variant>
        <vt:i4>5</vt:i4>
      </vt:variant>
      <vt:variant>
        <vt:lpwstr>https://eur-lex.europa.eu/legal-content/EN/TXT/?uri=CELEX:52024DC0498</vt:lpwstr>
      </vt:variant>
      <vt:variant>
        <vt:lpwstr/>
      </vt:variant>
      <vt:variant>
        <vt:i4>1245245</vt:i4>
      </vt:variant>
      <vt:variant>
        <vt:i4>3</vt:i4>
      </vt:variant>
      <vt:variant>
        <vt:i4>0</vt:i4>
      </vt:variant>
      <vt:variant>
        <vt:i4>5</vt:i4>
      </vt:variant>
      <vt:variant>
        <vt:lpwstr>https://edgar.jrc.ec.europa.eu/report_2025</vt:lpwstr>
      </vt:variant>
      <vt:variant>
        <vt:lpwstr/>
      </vt:variant>
      <vt:variant>
        <vt:i4>2818168</vt:i4>
      </vt:variant>
      <vt:variant>
        <vt:i4>0</vt:i4>
      </vt:variant>
      <vt:variant>
        <vt:i4>0</vt:i4>
      </vt:variant>
      <vt:variant>
        <vt:i4>5</vt:i4>
      </vt:variant>
      <vt:variant>
        <vt:lpwstr>https://unfccc.int/documents/641792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2025-10-14T16:55:00Z</dcterms:created>
  <dcterms:modified xsi:type="dcterms:W3CDTF">2025-10-31T18:27:00Z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2025-10-07T17:12:41Z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453b04a3-e8d0-4fdd-a221-85ccec900bf5</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0x0101008EF8ED215572604AAF7EBD48DA73891A</vt:lpwstr>
  </property>
  <property fmtid="{D5CDD505-2E9C-101B-9397-08002B2CF9AE}" pid="11" name="Level of sensitivity">
    <vt:lpwstr>Standard treatment</vt:lpwstr>
  </property>
  <property fmtid="{D5CDD505-2E9C-101B-9397-08002B2CF9AE}" pid="12" name="DocStatus">
    <vt:lpwstr>Green</vt:lpwstr>
  </property>
  <property fmtid="{D5CDD505-2E9C-101B-9397-08002B2CF9AE}" pid="13" name="Last edited using">
    <vt:lpwstr>LW 9.2, Build 20250828</vt:lpwstr>
  </property>
  <property fmtid="{D5CDD505-2E9C-101B-9397-08002B2CF9AE}" pid="14" name="Part">
    <vt:lpwstr>1</vt:lpwstr>
  </property>
  <property fmtid="{D5CDD505-2E9C-101B-9397-08002B2CF9AE}" pid="15" name="Total parts">
    <vt:lpwstr>1</vt:lpwstr>
  </property>
  <property fmtid="{D5CDD505-2E9C-101B-9397-08002B2CF9AE}" pid="16" name="CPTemplateID">
    <vt:lpwstr>CP-016</vt:lpwstr>
  </property>
</Properties>
</file>