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A4B9C" w14:textId="4A9786CF" w:rsidR="00D60277" w:rsidRDefault="007F015A" w:rsidP="007F015A">
      <w:pPr>
        <w:pStyle w:val="Pagedecouverture"/>
        <w:rPr>
          <w:noProof/>
        </w:rPr>
      </w:pPr>
      <w:bookmarkStart w:id="0" w:name="LW_BM_COVERPAGE"/>
      <w:r>
        <w:rPr>
          <w:noProof/>
        </w:rPr>
        <w:pict w14:anchorId="25BF6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4D6D1B-CEB0-475E-8CDD-531A65EE6080" style="width:455.15pt;height:271.85pt">
            <v:imagedata r:id="rId11" o:title=""/>
          </v:shape>
        </w:pict>
      </w:r>
    </w:p>
    <w:bookmarkEnd w:id="0"/>
    <w:p w14:paraId="306CE29B" w14:textId="7713E62D" w:rsidR="00CA5E3D" w:rsidRPr="00CA5E3D" w:rsidRDefault="00CA5E3D" w:rsidP="00CA5E3D">
      <w:pPr>
        <w:pStyle w:val="Pagedecouverture"/>
        <w:rPr>
          <w:noProof/>
        </w:rPr>
        <w:sectPr w:rsidR="00CA5E3D" w:rsidRPr="00CA5E3D" w:rsidSect="007F015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1EE0BDE" w14:textId="0B940F3C" w:rsidR="001658E1" w:rsidRPr="00D33B1D" w:rsidRDefault="001658E1" w:rsidP="001658E1">
      <w:pPr>
        <w:spacing w:after="120"/>
        <w:jc w:val="both"/>
        <w:rPr>
          <w:rFonts w:ascii="Times New Roman" w:hAnsi="Times New Roman" w:cs="Times New Roman"/>
          <w:b/>
          <w:bCs/>
          <w:i/>
          <w:iCs/>
          <w:noProof/>
          <w:sz w:val="24"/>
          <w:szCs w:val="24"/>
          <w:u w:val="single"/>
        </w:rPr>
      </w:pPr>
      <w:bookmarkStart w:id="1" w:name="_Hlk212129809"/>
      <w:bookmarkStart w:id="2" w:name="_GoBack"/>
      <w:bookmarkEnd w:id="2"/>
      <w:r w:rsidRPr="00814F13">
        <w:rPr>
          <w:rFonts w:ascii="Times New Roman" w:hAnsi="Times New Roman"/>
          <w:b/>
          <w:i/>
          <w:noProof/>
          <w:sz w:val="24"/>
          <w:u w:val="single"/>
        </w:rPr>
        <w:lastRenderedPageBreak/>
        <w:t>1</w:t>
      </w:r>
      <w:r>
        <w:rPr>
          <w:rFonts w:ascii="Times New Roman" w:hAnsi="Times New Roman"/>
          <w:b/>
          <w:i/>
          <w:noProof/>
          <w:sz w:val="24"/>
          <w:u w:val="single"/>
        </w:rPr>
        <w:t>. Introduction</w:t>
      </w:r>
    </w:p>
    <w:p w14:paraId="6B8B31BC" w14:textId="3C7F07D0" w:rsidR="0075309B" w:rsidRDefault="001658E1" w:rsidP="0075309B">
      <w:pPr>
        <w:spacing w:after="120"/>
        <w:jc w:val="both"/>
        <w:rPr>
          <w:rFonts w:ascii="Times New Roman" w:hAnsi="Times New Roman" w:cs="Times New Roman"/>
          <w:noProof/>
          <w:sz w:val="24"/>
          <w:szCs w:val="24"/>
        </w:rPr>
      </w:pPr>
      <w:r>
        <w:rPr>
          <w:rFonts w:ascii="Times New Roman" w:hAnsi="Times New Roman"/>
          <w:noProof/>
          <w:sz w:val="24"/>
        </w:rPr>
        <w:t>L’usage de plus en plus fréquent et ciblé d’</w:t>
      </w:r>
      <w:r>
        <w:rPr>
          <w:rFonts w:ascii="Times New Roman" w:hAnsi="Times New Roman"/>
          <w:b/>
          <w:noProof/>
          <w:sz w:val="24"/>
        </w:rPr>
        <w:t>outils économiques</w:t>
      </w:r>
      <w:r>
        <w:rPr>
          <w:rFonts w:ascii="Times New Roman" w:hAnsi="Times New Roman"/>
          <w:noProof/>
          <w:sz w:val="24"/>
        </w:rPr>
        <w:t xml:space="preserve"> pour atteindre des </w:t>
      </w:r>
      <w:r>
        <w:rPr>
          <w:rFonts w:ascii="Times New Roman" w:hAnsi="Times New Roman"/>
          <w:b/>
          <w:noProof/>
          <w:sz w:val="24"/>
        </w:rPr>
        <w:t>objectifs stratégiques</w:t>
      </w:r>
      <w:r>
        <w:rPr>
          <w:rFonts w:ascii="Times New Roman" w:hAnsi="Times New Roman"/>
          <w:noProof/>
          <w:sz w:val="24"/>
        </w:rPr>
        <w:t xml:space="preserve"> est devenu un trait déterminant de notre paysage géopolitique. </w:t>
      </w:r>
      <w:bookmarkStart w:id="3" w:name="_Hlk215506143"/>
      <w:r>
        <w:rPr>
          <w:rFonts w:ascii="Times New Roman" w:hAnsi="Times New Roman"/>
          <w:noProof/>
          <w:sz w:val="24"/>
        </w:rPr>
        <w:t xml:space="preserve">Droits de douane intempestifs, instrumentalisation des dépendances ou déploiement arbitraire de mesures de défense commerciale, les principaux acteurs utilisent les leviers économiques pour parvenir à leurs fins stratégiques et géopolitiques, malmenant ainsi l’économie, la compétitivité, la sécurité et l’ordre public de l’UE. </w:t>
      </w:r>
      <w:bookmarkEnd w:id="3"/>
    </w:p>
    <w:p w14:paraId="3F5F8CF0" w14:textId="657E5C80" w:rsidR="0075309B" w:rsidRPr="0002625D" w:rsidRDefault="0075309B" w:rsidP="0075309B">
      <w:pPr>
        <w:spacing w:after="120"/>
        <w:jc w:val="both"/>
        <w:rPr>
          <w:rFonts w:ascii="Times New Roman" w:hAnsi="Times New Roman" w:cs="Times New Roman"/>
          <w:noProof/>
          <w:sz w:val="24"/>
          <w:szCs w:val="24"/>
        </w:rPr>
      </w:pPr>
      <w:r>
        <w:rPr>
          <w:rFonts w:ascii="Times New Roman" w:hAnsi="Times New Roman"/>
          <w:noProof/>
          <w:sz w:val="24"/>
        </w:rPr>
        <w:t>Les risques pour la sécurité économique de l’UE ne sont pas nouveaux, mais ils se sont récemment intensifiés: les vulnérabilités sont désormais plus visibles et plus urgentes, et il devient difficile de passer outre. Ces risques sont notamment les suivants:</w:t>
      </w:r>
    </w:p>
    <w:p w14:paraId="7895D537" w14:textId="77777777" w:rsidR="0075309B" w:rsidRPr="0002625D" w:rsidRDefault="0075309B" w:rsidP="0075309B">
      <w:pPr>
        <w:pStyle w:val="ListParagraph"/>
        <w:numPr>
          <w:ilvl w:val="0"/>
          <w:numId w:val="30"/>
        </w:numPr>
        <w:spacing w:after="120"/>
        <w:jc w:val="both"/>
        <w:rPr>
          <w:rFonts w:ascii="Times New Roman" w:hAnsi="Times New Roman" w:cs="Times New Roman"/>
          <w:noProof/>
          <w:sz w:val="24"/>
          <w:szCs w:val="24"/>
        </w:rPr>
      </w:pPr>
      <w:r>
        <w:rPr>
          <w:rFonts w:ascii="Times New Roman" w:hAnsi="Times New Roman"/>
          <w:noProof/>
          <w:sz w:val="24"/>
        </w:rPr>
        <w:t xml:space="preserve">une </w:t>
      </w:r>
      <w:r>
        <w:rPr>
          <w:rFonts w:ascii="Times New Roman" w:hAnsi="Times New Roman"/>
          <w:b/>
          <w:noProof/>
          <w:sz w:val="24"/>
        </w:rPr>
        <w:t>instabilité de l’environnement mondial du commerce et des investissements</w:t>
      </w:r>
      <w:r>
        <w:rPr>
          <w:rFonts w:ascii="Times New Roman" w:hAnsi="Times New Roman"/>
          <w:noProof/>
          <w:sz w:val="24"/>
        </w:rPr>
        <w:t xml:space="preserve"> s’aggravant au rythme des mesures commerciales et des restrictions à l’exportation prises en solution de continuité pour instrumentaliser les dépendances,</w:t>
      </w:r>
    </w:p>
    <w:p w14:paraId="2B1BA389" w14:textId="71CEFD83" w:rsidR="006F4E28" w:rsidRDefault="0075309B" w:rsidP="006F4E28">
      <w:pPr>
        <w:pStyle w:val="ListParagraph"/>
        <w:numPr>
          <w:ilvl w:val="0"/>
          <w:numId w:val="30"/>
        </w:numPr>
        <w:spacing w:after="120"/>
        <w:jc w:val="both"/>
        <w:rPr>
          <w:rFonts w:ascii="Times New Roman" w:hAnsi="Times New Roman" w:cs="Times New Roman"/>
          <w:noProof/>
          <w:sz w:val="24"/>
          <w:szCs w:val="24"/>
        </w:rPr>
      </w:pPr>
      <w:r>
        <w:rPr>
          <w:rFonts w:ascii="Times New Roman" w:hAnsi="Times New Roman"/>
          <w:noProof/>
          <w:sz w:val="24"/>
        </w:rPr>
        <w:t xml:space="preserve">une prolifération de </w:t>
      </w:r>
      <w:r>
        <w:rPr>
          <w:rFonts w:ascii="Times New Roman" w:hAnsi="Times New Roman"/>
          <w:b/>
          <w:noProof/>
          <w:sz w:val="24"/>
        </w:rPr>
        <w:t>pratiques prédatrices</w:t>
      </w:r>
      <w:r>
        <w:rPr>
          <w:rFonts w:ascii="Times New Roman" w:hAnsi="Times New Roman"/>
          <w:noProof/>
          <w:sz w:val="24"/>
        </w:rPr>
        <w:t xml:space="preserve"> qui ciblent les chaînes d’approvisionnement et technologies critiques et sapent notre base industrielle, et dont certaines (telles que les surcapacités subventionnées par l’État) créent de nouvelles dépendances, </w:t>
      </w:r>
    </w:p>
    <w:p w14:paraId="7B3E20FC" w14:textId="005333C2" w:rsidR="006F4E28" w:rsidRPr="0002625D" w:rsidRDefault="006F4E28" w:rsidP="006F4E28">
      <w:pPr>
        <w:pStyle w:val="ListParagraph"/>
        <w:numPr>
          <w:ilvl w:val="0"/>
          <w:numId w:val="30"/>
        </w:numPr>
        <w:spacing w:after="120"/>
        <w:jc w:val="both"/>
        <w:rPr>
          <w:rFonts w:ascii="Times New Roman" w:hAnsi="Times New Roman" w:cs="Times New Roman"/>
          <w:noProof/>
          <w:sz w:val="24"/>
          <w:szCs w:val="24"/>
        </w:rPr>
      </w:pPr>
      <w:r>
        <w:rPr>
          <w:rFonts w:ascii="Times New Roman" w:hAnsi="Times New Roman"/>
          <w:noProof/>
          <w:sz w:val="24"/>
        </w:rPr>
        <w:t xml:space="preserve">la détérioration continue du contexte sécuritaire, au vu notamment de la poursuite de la </w:t>
      </w:r>
      <w:r>
        <w:rPr>
          <w:rFonts w:ascii="Times New Roman" w:hAnsi="Times New Roman"/>
          <w:b/>
          <w:noProof/>
          <w:sz w:val="24"/>
        </w:rPr>
        <w:t>guerre d’agression menée par la Russie contre l’Ukraine</w:t>
      </w:r>
      <w:r>
        <w:rPr>
          <w:rFonts w:ascii="Times New Roman" w:hAnsi="Times New Roman"/>
          <w:noProof/>
          <w:sz w:val="24"/>
        </w:rPr>
        <w:t xml:space="preserve"> et de l’augmentation des attaques hybrides.</w:t>
      </w:r>
    </w:p>
    <w:p w14:paraId="2ADF7AF9" w14:textId="1A1D037D" w:rsidR="001658E1" w:rsidRPr="002837EB" w:rsidRDefault="001658E1" w:rsidP="001658E1">
      <w:pPr>
        <w:spacing w:after="120"/>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stratégie européenne en matière de sécurité économique</w:t>
      </w:r>
      <w:r>
        <w:rPr>
          <w:rFonts w:ascii="Times New Roman" w:hAnsi="Times New Roman"/>
          <w:noProof/>
          <w:sz w:val="24"/>
        </w:rPr>
        <w:t xml:space="preserve"> de </w:t>
      </w:r>
      <w:r w:rsidRPr="00814F13">
        <w:rPr>
          <w:rFonts w:ascii="Times New Roman" w:hAnsi="Times New Roman"/>
          <w:noProof/>
          <w:sz w:val="24"/>
        </w:rPr>
        <w:t>2023</w:t>
      </w:r>
      <w:r>
        <w:rPr>
          <w:rFonts w:ascii="Times New Roman" w:hAnsi="Times New Roman"/>
          <w:noProof/>
          <w:sz w:val="24"/>
        </w:rPr>
        <w:t xml:space="preserve"> a constitué une première réponse de l’UE à ces défis</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grâce à une série d’actions — fondées sur des évaluations des risques — visant à renforcer la sécurité économique de l’UE par la </w:t>
      </w:r>
      <w:r>
        <w:rPr>
          <w:rFonts w:ascii="Times New Roman" w:hAnsi="Times New Roman"/>
          <w:b/>
          <w:noProof/>
          <w:sz w:val="24"/>
          <w:u w:val="single"/>
        </w:rPr>
        <w:t>promotion</w:t>
      </w:r>
      <w:r>
        <w:rPr>
          <w:rFonts w:ascii="Times New Roman" w:hAnsi="Times New Roman"/>
          <w:noProof/>
          <w:sz w:val="24"/>
        </w:rPr>
        <w:t xml:space="preserve"> de sa compétitivité, la </w:t>
      </w:r>
      <w:r>
        <w:rPr>
          <w:rFonts w:ascii="Times New Roman" w:hAnsi="Times New Roman"/>
          <w:b/>
          <w:noProof/>
          <w:sz w:val="24"/>
          <w:u w:val="single"/>
        </w:rPr>
        <w:t>protection</w:t>
      </w:r>
      <w:r>
        <w:rPr>
          <w:rFonts w:ascii="Times New Roman" w:hAnsi="Times New Roman"/>
          <w:noProof/>
          <w:sz w:val="24"/>
        </w:rPr>
        <w:t xml:space="preserve"> contre les risques et la </w:t>
      </w:r>
      <w:r>
        <w:rPr>
          <w:rFonts w:ascii="Times New Roman" w:hAnsi="Times New Roman"/>
          <w:b/>
          <w:noProof/>
          <w:sz w:val="24"/>
          <w:u w:val="single"/>
        </w:rPr>
        <w:t>conclusion de partenariats</w:t>
      </w:r>
      <w:r>
        <w:rPr>
          <w:rFonts w:ascii="Times New Roman" w:hAnsi="Times New Roman"/>
          <w:noProof/>
          <w:sz w:val="24"/>
        </w:rPr>
        <w:t xml:space="preserve"> avec ceux qui partagent nos préoccupations. Ces trois piliers restent au cœur de notre stratégie de sécurité économique et la Commission, en collaboration avec les États membres, s’emploie à les intégrer dans toutes ses actions et politiques.</w:t>
      </w:r>
      <w:r>
        <w:rPr>
          <w:noProof/>
        </w:rPr>
        <w:t xml:space="preserve"> </w:t>
      </w:r>
      <w:bookmarkStart w:id="4" w:name="_Hlk215507966"/>
      <w:r>
        <w:rPr>
          <w:rFonts w:ascii="Times New Roman" w:hAnsi="Times New Roman"/>
          <w:noProof/>
          <w:sz w:val="24"/>
        </w:rPr>
        <w:t>En outre, la sécurité économique est essentielle pour que l’UE maintienne ses valeurs, ses principes et le bien-être de ses citoyens, et pour renforcer notre indépendance économique.</w:t>
      </w:r>
      <w:bookmarkEnd w:id="4"/>
    </w:p>
    <w:p w14:paraId="7E97641F" w14:textId="5ADF14FA" w:rsidR="00523E68" w:rsidRPr="0085585E" w:rsidRDefault="7D568031" w:rsidP="006F4E28">
      <w:pPr>
        <w:spacing w:after="120"/>
        <w:jc w:val="both"/>
        <w:rPr>
          <w:rFonts w:ascii="Times New Roman" w:hAnsi="Times New Roman" w:cs="Times New Roman"/>
          <w:noProof/>
          <w:sz w:val="24"/>
          <w:szCs w:val="24"/>
          <w:u w:val="single"/>
        </w:rPr>
      </w:pPr>
      <w:r>
        <w:rPr>
          <w:rFonts w:ascii="Times New Roman" w:hAnsi="Times New Roman"/>
          <w:noProof/>
          <w:sz w:val="24"/>
        </w:rPr>
        <w:t xml:space="preserve">Depuis l’adoption de la stratégie de </w:t>
      </w:r>
      <w:r w:rsidRPr="00814F13">
        <w:rPr>
          <w:rFonts w:ascii="Times New Roman" w:hAnsi="Times New Roman"/>
          <w:noProof/>
          <w:sz w:val="24"/>
        </w:rPr>
        <w:t>2023</w:t>
      </w:r>
      <w:r>
        <w:rPr>
          <w:rFonts w:ascii="Times New Roman" w:hAnsi="Times New Roman"/>
          <w:noProof/>
          <w:sz w:val="24"/>
        </w:rPr>
        <w:t xml:space="preserve">, le besoin d’une Europe capable d’agir à l’unisson, avec audace et rapidité s’est cependant fait plus fort. La présente communication propose un usage plus stratégique et plus revendiqué des outils de l’Union, qui vient s’ajouter à leurs objectifs initiaux pour soutenir la sécurité économique de l’Europe, c’est-à-dire la capacité de l’Union, en sus de ses autres objectifs, d’assurer sa sécurité grâce à une économie forte, dynamique et résiliente, en anticipant les menaces potentielles ou réelles issues des relations économiques de l’UE avec le reste du monde, en les désamorçant et en les combattant. L’UE peut y parvenir, surtout si elle reste à l’avant-garde des technologies, industries et services critiques. La présente communication reflète un </w:t>
      </w:r>
      <w:r>
        <w:rPr>
          <w:rFonts w:ascii="Times New Roman" w:hAnsi="Times New Roman"/>
          <w:b/>
          <w:noProof/>
          <w:sz w:val="24"/>
        </w:rPr>
        <w:t>changement de doctrine</w:t>
      </w:r>
      <w:r>
        <w:rPr>
          <w:rFonts w:ascii="Times New Roman" w:hAnsi="Times New Roman"/>
          <w:noProof/>
          <w:sz w:val="24"/>
        </w:rPr>
        <w:t xml:space="preserve">, le passage d’une posture réactive à un déploiement proactif systématique de notre arsenal de mesures. </w:t>
      </w:r>
      <w:bookmarkStart w:id="5" w:name="_Hlk215506310"/>
      <w:r>
        <w:rPr>
          <w:rFonts w:ascii="Times New Roman" w:hAnsi="Times New Roman"/>
          <w:noProof/>
          <w:sz w:val="24"/>
        </w:rPr>
        <w:t>Dans certains cas, il faudra en outre que l’UE, ses États membres et l’industrie se préparent inéluctablement à accepter le coût économique de cette réduction de nos vulnérabilités et du renforcement de la sécurité globale.</w:t>
      </w:r>
      <w:bookmarkEnd w:id="5"/>
    </w:p>
    <w:p w14:paraId="3D799E5B" w14:textId="3CE90DDA" w:rsidR="0071665F" w:rsidRDefault="5A4C9F69" w:rsidP="006F4E28">
      <w:pPr>
        <w:spacing w:after="120"/>
        <w:jc w:val="both"/>
        <w:rPr>
          <w:rFonts w:ascii="Times New Roman" w:hAnsi="Times New Roman" w:cs="Times New Roman"/>
          <w:noProof/>
          <w:sz w:val="24"/>
          <w:szCs w:val="24"/>
        </w:rPr>
      </w:pPr>
      <w:r>
        <w:rPr>
          <w:rFonts w:ascii="Times New Roman" w:hAnsi="Times New Roman"/>
          <w:noProof/>
          <w:sz w:val="24"/>
        </w:rPr>
        <w:t xml:space="preserve">Le présent appel à l’action vise aussi à </w:t>
      </w:r>
      <w:r>
        <w:rPr>
          <w:rFonts w:ascii="Times New Roman" w:hAnsi="Times New Roman"/>
          <w:b/>
          <w:noProof/>
          <w:sz w:val="24"/>
          <w:u w:val="single"/>
        </w:rPr>
        <w:t>améliorer</w:t>
      </w:r>
      <w:r>
        <w:rPr>
          <w:rFonts w:ascii="Times New Roman" w:hAnsi="Times New Roman"/>
          <w:noProof/>
          <w:sz w:val="24"/>
        </w:rPr>
        <w:t xml:space="preserve"> la collecte, le suivi et l’analyse de données, ainsi que la capacité à anticiper les menaces émergentes, à </w:t>
      </w:r>
      <w:r>
        <w:rPr>
          <w:rFonts w:ascii="Times New Roman" w:hAnsi="Times New Roman"/>
          <w:b/>
          <w:noProof/>
          <w:sz w:val="24"/>
          <w:u w:val="single"/>
        </w:rPr>
        <w:t>dissuader</w:t>
      </w:r>
      <w:r>
        <w:rPr>
          <w:rFonts w:ascii="Times New Roman" w:hAnsi="Times New Roman"/>
          <w:noProof/>
          <w:sz w:val="24"/>
        </w:rPr>
        <w:t xml:space="preserve"> les pays tiers d’instrumentaliser les situations de dépendance de l’Union, à nous </w:t>
      </w:r>
      <w:r>
        <w:rPr>
          <w:rFonts w:ascii="Times New Roman" w:hAnsi="Times New Roman"/>
          <w:b/>
          <w:noProof/>
          <w:sz w:val="24"/>
          <w:u w:val="single"/>
        </w:rPr>
        <w:t>désengager</w:t>
      </w:r>
      <w:r>
        <w:rPr>
          <w:rFonts w:ascii="Times New Roman" w:hAnsi="Times New Roman"/>
          <w:noProof/>
          <w:sz w:val="24"/>
        </w:rPr>
        <w:t xml:space="preserve"> de ces situations de dépendances envers des pays tiers susceptibles de les instrumentaliser et à nous </w:t>
      </w:r>
      <w:r>
        <w:rPr>
          <w:rFonts w:ascii="Times New Roman" w:hAnsi="Times New Roman"/>
          <w:b/>
          <w:noProof/>
          <w:sz w:val="24"/>
          <w:u w:val="single"/>
        </w:rPr>
        <w:t>prémunir</w:t>
      </w:r>
      <w:r>
        <w:rPr>
          <w:rFonts w:ascii="Times New Roman" w:hAnsi="Times New Roman"/>
          <w:noProof/>
          <w:sz w:val="24"/>
        </w:rPr>
        <w:t xml:space="preserve"> des ripostes visant à contourner nos mesures de réduction des risques. </w:t>
      </w:r>
    </w:p>
    <w:p w14:paraId="5477D633" w14:textId="50BD18BD" w:rsidR="008B7661" w:rsidRPr="008B7661" w:rsidRDefault="4203837A" w:rsidP="0009061B">
      <w:pPr>
        <w:spacing w:after="120"/>
        <w:jc w:val="both"/>
        <w:rPr>
          <w:rFonts w:ascii="Times New Roman" w:hAnsi="Times New Roman" w:cs="Times New Roman"/>
          <w:noProof/>
          <w:sz w:val="24"/>
          <w:szCs w:val="24"/>
        </w:rPr>
      </w:pPr>
      <w:r>
        <w:rPr>
          <w:rFonts w:ascii="Times New Roman" w:hAnsi="Times New Roman"/>
          <w:noProof/>
          <w:sz w:val="24"/>
        </w:rPr>
        <w:t xml:space="preserve">Le présent appel à l’action reconnaît avant tout la nécessité pour l’UE de </w:t>
      </w:r>
      <w:r>
        <w:rPr>
          <w:rFonts w:ascii="Times New Roman" w:hAnsi="Times New Roman"/>
          <w:b/>
          <w:noProof/>
          <w:sz w:val="24"/>
        </w:rPr>
        <w:t>jouer de ses atouts</w:t>
      </w:r>
      <w:r>
        <w:rPr>
          <w:rFonts w:ascii="Times New Roman" w:hAnsi="Times New Roman"/>
          <w:noProof/>
          <w:sz w:val="24"/>
        </w:rPr>
        <w:t xml:space="preserve">, notamment du poids sans équivalent de son marché unique, de ses capacités technologiques et industrielles et des financements provenant de ses Fonds et programmes. Pour ce faire, elle doit cartographier ses perspectives économiques et les domaines dans lesquels ce sont les autres qui dépendent d’elle. Dès lors, la présente communication plaide pour une </w:t>
      </w:r>
      <w:r>
        <w:rPr>
          <w:rFonts w:ascii="Times New Roman" w:hAnsi="Times New Roman"/>
          <w:b/>
          <w:noProof/>
          <w:sz w:val="24"/>
        </w:rPr>
        <w:t>vision stratégique intégrée, transversale et tournée vers les entreprises</w:t>
      </w:r>
      <w:r>
        <w:rPr>
          <w:rFonts w:ascii="Times New Roman" w:hAnsi="Times New Roman"/>
          <w:noProof/>
          <w:sz w:val="24"/>
        </w:rPr>
        <w:t>, une</w:t>
      </w:r>
      <w:r>
        <w:rPr>
          <w:rFonts w:ascii="Times New Roman" w:hAnsi="Times New Roman"/>
          <w:b/>
          <w:noProof/>
          <w:sz w:val="24"/>
        </w:rPr>
        <w:t xml:space="preserve"> meilleure gouvernance</w:t>
      </w:r>
      <w:r>
        <w:rPr>
          <w:rFonts w:ascii="Times New Roman" w:hAnsi="Times New Roman"/>
          <w:noProof/>
          <w:sz w:val="24"/>
        </w:rPr>
        <w:t xml:space="preserve"> et </w:t>
      </w:r>
      <w:r>
        <w:rPr>
          <w:rFonts w:ascii="Times New Roman" w:hAnsi="Times New Roman"/>
          <w:b/>
          <w:noProof/>
          <w:sz w:val="24"/>
        </w:rPr>
        <w:t>une coopération encore plus étroite avec des partenaires partageant les mêmes valeurs, débouchant sur une action conjointe si la situation s’y prête</w:t>
      </w:r>
      <w:r>
        <w:rPr>
          <w:rFonts w:ascii="Times New Roman" w:hAnsi="Times New Roman"/>
          <w:noProof/>
          <w:sz w:val="24"/>
        </w:rPr>
        <w:t>. Elle vient compléter la stratégie globale de l’UE pour une union de la préparation. La sécurité économique de l’UE repose sur celle de ses États membres, tout en étant intrinsèquement liée à ses relations plus larges avec le monde et, partant, à la politique étrangère et de sécurité commune, laquelle sera employée plus systématiquement pour soutenir les objectifs énoncés.</w:t>
      </w:r>
    </w:p>
    <w:p w14:paraId="37D3EA4F" w14:textId="4E19AE5F" w:rsidR="00F67DC6" w:rsidRPr="0002625D" w:rsidRDefault="008B7661" w:rsidP="0009061B">
      <w:pPr>
        <w:spacing w:after="120"/>
        <w:jc w:val="both"/>
        <w:rPr>
          <w:rFonts w:ascii="Times New Roman" w:hAnsi="Times New Roman" w:cs="Times New Roman"/>
          <w:noProof/>
          <w:sz w:val="24"/>
          <w:szCs w:val="24"/>
        </w:rPr>
      </w:pPr>
      <w:r>
        <w:rPr>
          <w:rFonts w:ascii="Times New Roman" w:hAnsi="Times New Roman"/>
          <w:noProof/>
          <w:sz w:val="24"/>
        </w:rPr>
        <w:t xml:space="preserve">En partant de cette base et de ses analyses fondées sur les risques, la Commission se concentre sur six domaines à haut risque, énumérés à la section </w:t>
      </w:r>
      <w:r w:rsidRPr="00814F13">
        <w:rPr>
          <w:rFonts w:ascii="Times New Roman" w:hAnsi="Times New Roman"/>
          <w:noProof/>
          <w:sz w:val="24"/>
        </w:rPr>
        <w:t>3</w:t>
      </w:r>
      <w:r>
        <w:rPr>
          <w:rFonts w:ascii="Times New Roman" w:hAnsi="Times New Roman"/>
          <w:noProof/>
          <w:sz w:val="24"/>
        </w:rPr>
        <w:t>, pour leur appliquer les outils à notre disposition et souligner les possibilités de les améliorer.</w:t>
      </w:r>
    </w:p>
    <w:p w14:paraId="6B7D5C21" w14:textId="374DC0CF" w:rsidR="001658E1" w:rsidRPr="00CA5E3D" w:rsidRDefault="55AC6086" w:rsidP="00FC3577">
      <w:pPr>
        <w:spacing w:after="120"/>
        <w:jc w:val="both"/>
        <w:rPr>
          <w:rFonts w:ascii="Times New Roman" w:hAnsi="Times New Roman" w:cs="Times New Roman"/>
          <w:b/>
          <w:bCs/>
          <w:i/>
          <w:iCs/>
          <w:noProof/>
          <w:sz w:val="24"/>
          <w:szCs w:val="24"/>
          <w:u w:val="single"/>
        </w:rPr>
      </w:pPr>
      <w:r w:rsidRPr="00814F13">
        <w:rPr>
          <w:rFonts w:ascii="Times New Roman" w:hAnsi="Times New Roman"/>
          <w:b/>
          <w:i/>
          <w:noProof/>
          <w:sz w:val="24"/>
          <w:u w:val="single"/>
        </w:rPr>
        <w:t>2</w:t>
      </w:r>
      <w:r>
        <w:rPr>
          <w:rFonts w:ascii="Times New Roman" w:hAnsi="Times New Roman"/>
          <w:b/>
          <w:i/>
          <w:noProof/>
          <w:sz w:val="24"/>
          <w:u w:val="single"/>
        </w:rPr>
        <w:t xml:space="preserve">. Une démarche proactive en matière de sécurité économique </w:t>
      </w:r>
    </w:p>
    <w:bookmarkEnd w:id="1"/>
    <w:p w14:paraId="620DCD9F" w14:textId="5111EF21" w:rsidR="00856314" w:rsidRDefault="00181797" w:rsidP="00472805">
      <w:pPr>
        <w:spacing w:after="120"/>
        <w:jc w:val="both"/>
        <w:rPr>
          <w:rFonts w:ascii="Times New Roman" w:hAnsi="Times New Roman" w:cs="Times New Roman"/>
          <w:noProof/>
          <w:sz w:val="24"/>
          <w:szCs w:val="24"/>
        </w:rPr>
      </w:pPr>
      <w:r>
        <w:rPr>
          <w:rFonts w:ascii="Times New Roman" w:hAnsi="Times New Roman"/>
          <w:noProof/>
          <w:sz w:val="24"/>
        </w:rPr>
        <w:t>L’UE dispose d’un large éventail d’outils pour asseoir sa sécurité économique. Le renforcement de celle-ci exige qu’elle use désormais de ces outils</w:t>
      </w:r>
      <w:r>
        <w:rPr>
          <w:rFonts w:ascii="Times New Roman" w:hAnsi="Times New Roman"/>
          <w:b/>
          <w:noProof/>
          <w:sz w:val="24"/>
        </w:rPr>
        <w:t xml:space="preserve"> de manière plus stratégique, plus efficace et plus volontaire</w:t>
      </w:r>
      <w:r>
        <w:rPr>
          <w:rFonts w:ascii="Times New Roman" w:hAnsi="Times New Roman"/>
          <w:noProof/>
          <w:sz w:val="24"/>
        </w:rPr>
        <w:t xml:space="preserve">. À l’origine, la plupart de ces outils n’avaient pas été conçus dans un souci de sécurité économique, mais ils sont très utiles pour contribuer aux objectifs de l’Union en la matière. </w:t>
      </w:r>
    </w:p>
    <w:p w14:paraId="2325B406" w14:textId="649C3F3D" w:rsidR="00856314" w:rsidRDefault="00472805" w:rsidP="00472805">
      <w:pPr>
        <w:spacing w:after="120"/>
        <w:jc w:val="both"/>
        <w:rPr>
          <w:rFonts w:ascii="Times New Roman" w:hAnsi="Times New Roman" w:cs="Times New Roman"/>
          <w:noProof/>
          <w:sz w:val="24"/>
          <w:szCs w:val="24"/>
        </w:rPr>
      </w:pPr>
      <w:r>
        <w:rPr>
          <w:rFonts w:ascii="Times New Roman" w:hAnsi="Times New Roman"/>
          <w:noProof/>
          <w:sz w:val="24"/>
        </w:rPr>
        <w:t xml:space="preserve">Une liste non exhaustive d’outils importants est présentée dans le </w:t>
      </w:r>
      <w:r>
        <w:rPr>
          <w:rFonts w:ascii="Times New Roman" w:hAnsi="Times New Roman"/>
          <w:i/>
          <w:noProof/>
          <w:sz w:val="24"/>
        </w:rPr>
        <w:t xml:space="preserve">graphique </w:t>
      </w:r>
      <w:r w:rsidRPr="00814F13">
        <w:rPr>
          <w:rFonts w:ascii="Times New Roman" w:hAnsi="Times New Roman"/>
          <w:i/>
          <w:noProof/>
          <w:sz w:val="24"/>
        </w:rPr>
        <w:t>1</w:t>
      </w:r>
      <w:r>
        <w:rPr>
          <w:rFonts w:ascii="Times New Roman" w:hAnsi="Times New Roman"/>
          <w:noProof/>
          <w:sz w:val="24"/>
        </w:rPr>
        <w:t xml:space="preserve">, et leur application coordonnée est expliquée plus en détail à la </w:t>
      </w:r>
      <w:r>
        <w:rPr>
          <w:rFonts w:ascii="Times New Roman" w:hAnsi="Times New Roman"/>
          <w:i/>
          <w:noProof/>
          <w:sz w:val="24"/>
        </w:rPr>
        <w:t xml:space="preserve">section </w:t>
      </w:r>
      <w:r w:rsidRPr="00814F13">
        <w:rPr>
          <w:rFonts w:ascii="Times New Roman" w:hAnsi="Times New Roman"/>
          <w:i/>
          <w:noProof/>
          <w:sz w:val="24"/>
        </w:rPr>
        <w:t>3</w:t>
      </w:r>
      <w:r>
        <w:rPr>
          <w:rFonts w:ascii="Times New Roman" w:hAnsi="Times New Roman"/>
          <w:noProof/>
          <w:sz w:val="24"/>
        </w:rPr>
        <w:t>.</w:t>
      </w:r>
    </w:p>
    <w:p w14:paraId="5AD605BE" w14:textId="77777777" w:rsidR="00713CBD" w:rsidRDefault="00713CBD">
      <w:pPr>
        <w:rPr>
          <w:rFonts w:ascii="Times New Roman" w:hAnsi="Times New Roman" w:cs="Times New Roman"/>
          <w:i/>
          <w:iCs/>
          <w:noProof/>
          <w:color w:val="1F497D" w:themeColor="text2"/>
          <w:sz w:val="20"/>
          <w:szCs w:val="20"/>
        </w:rPr>
      </w:pPr>
      <w:r>
        <w:rPr>
          <w:noProof/>
        </w:rPr>
        <w:br w:type="page"/>
      </w:r>
    </w:p>
    <w:p w14:paraId="5D639BDF" w14:textId="10A31129" w:rsidR="00856314" w:rsidRPr="0002625D" w:rsidRDefault="00856314" w:rsidP="00D33B1D">
      <w:pPr>
        <w:pStyle w:val="Caption"/>
        <w:spacing w:after="120" w:line="276" w:lineRule="auto"/>
        <w:jc w:val="center"/>
        <w:rPr>
          <w:rFonts w:ascii="Times New Roman" w:hAnsi="Times New Roman" w:cs="Times New Roman"/>
          <w:noProof/>
          <w:sz w:val="20"/>
          <w:szCs w:val="20"/>
        </w:rPr>
      </w:pPr>
      <w:r>
        <w:rPr>
          <w:rFonts w:ascii="Times New Roman" w:hAnsi="Times New Roman"/>
          <w:noProof/>
          <w:sz w:val="20"/>
        </w:rPr>
        <w:t>Graphique </w:t>
      </w:r>
      <w:r>
        <w:rPr>
          <w:rFonts w:ascii="Times New Roman" w:hAnsi="Times New Roman" w:cs="Times New Roman"/>
          <w:noProof/>
          <w:sz w:val="20"/>
        </w:rPr>
        <w:fldChar w:fldCharType="begin"/>
      </w:r>
      <w:r>
        <w:rPr>
          <w:rFonts w:ascii="Times New Roman" w:hAnsi="Times New Roman" w:cs="Times New Roman"/>
          <w:noProof/>
          <w:sz w:val="20"/>
        </w:rPr>
        <w:instrText xml:space="preserve"> SEQ Figure \* ARABIC </w:instrText>
      </w:r>
      <w:r>
        <w:rPr>
          <w:rFonts w:ascii="Times New Roman" w:hAnsi="Times New Roman" w:cs="Times New Roman"/>
          <w:noProof/>
          <w:sz w:val="20"/>
        </w:rPr>
        <w:fldChar w:fldCharType="separate"/>
      </w:r>
      <w:r w:rsidRPr="00814F13">
        <w:rPr>
          <w:rFonts w:ascii="Times New Roman" w:hAnsi="Times New Roman" w:cs="Times New Roman"/>
          <w:noProof/>
          <w:sz w:val="20"/>
        </w:rPr>
        <w:t>1</w:t>
      </w:r>
      <w:r>
        <w:rPr>
          <w:rFonts w:ascii="Times New Roman" w:hAnsi="Times New Roman" w:cs="Times New Roman"/>
          <w:noProof/>
          <w:sz w:val="20"/>
        </w:rPr>
        <w:fldChar w:fldCharType="end"/>
      </w:r>
      <w:r>
        <w:rPr>
          <w:rFonts w:ascii="Times New Roman" w:hAnsi="Times New Roman"/>
          <w:noProof/>
          <w:sz w:val="20"/>
        </w:rPr>
        <w:t>: Liste non exhaustive des outils contribuant à la sécurité économique</w:t>
      </w:r>
    </w:p>
    <w:p w14:paraId="7703F5A6" w14:textId="1CCA0464" w:rsidR="08EB46D4" w:rsidRPr="0002625D" w:rsidRDefault="002335B7" w:rsidP="0ED54427">
      <w:pPr>
        <w:spacing w:after="120"/>
        <w:jc w:val="both"/>
        <w:rPr>
          <w:noProof/>
        </w:rPr>
      </w:pPr>
      <w:r>
        <w:rPr>
          <w:noProof/>
          <w:sz w:val="24"/>
          <w:lang w:val="en-GB" w:eastAsia="en-GB"/>
        </w:rPr>
        <w:drawing>
          <wp:inline distT="0" distB="0" distL="0" distR="0" wp14:anchorId="0D1720CF" wp14:editId="457E03D4">
            <wp:extent cx="5953621" cy="4156533"/>
            <wp:effectExtent l="19050" t="19050" r="47625" b="34925"/>
            <wp:docPr id="765078079" name="Diagram 1">
              <a:extLst xmlns:a="http://schemas.openxmlformats.org/drawingml/2006/main">
                <a:ext uri="{FF2B5EF4-FFF2-40B4-BE49-F238E27FC236}">
                  <a16:creationId xmlns:a16="http://schemas.microsoft.com/office/drawing/2014/main" id="{76C2AD69-210F-80F3-1419-33764F6580D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225FCBE" w14:textId="151244D3" w:rsidR="00ED68CA" w:rsidRPr="0002625D" w:rsidRDefault="0010348D" w:rsidP="00ED68CA">
      <w:pPr>
        <w:spacing w:after="120"/>
        <w:jc w:val="both"/>
        <w:rPr>
          <w:rFonts w:ascii="Times New Roman" w:hAnsi="Times New Roman" w:cs="Times New Roman"/>
          <w:noProof/>
          <w:sz w:val="24"/>
          <w:szCs w:val="24"/>
        </w:rPr>
      </w:pPr>
      <w:r>
        <w:rPr>
          <w:rFonts w:ascii="Times New Roman" w:hAnsi="Times New Roman"/>
          <w:noProof/>
          <w:sz w:val="24"/>
        </w:rPr>
        <w:t>Pour améliorer la sécurité économique de l’UE, la Commission déploiera ces outils, en coordination avec les États membres, comme suit:</w:t>
      </w:r>
    </w:p>
    <w:p w14:paraId="763F7F84" w14:textId="3BC9931A" w:rsidR="00197254"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outils liés aux échanges et à la concurrence</w:t>
      </w:r>
      <w:r>
        <w:rPr>
          <w:rFonts w:ascii="Times New Roman" w:hAnsi="Times New Roman"/>
          <w:noProof/>
          <w:sz w:val="24"/>
        </w:rPr>
        <w:t xml:space="preserve"> serviront à réduire progressivement l’exposition de l’UE aux risques et à prémunir l’UE des ripostes visant à contourner ses mesures de réduction des risques. Cela passe par exemple par l’expansion des axes de diversification, et donc de la sécurité offerte par les accords commerciaux de l’UE, par un usage stratégique de l’arsenal douanier et par la lutte contre les distorsions causées par les subventions étrangères, tant au sein du marché unique que dans le cas des subventions ou des importations faisant l’objet d’un dumping. </w:t>
      </w:r>
    </w:p>
    <w:p w14:paraId="47A93637" w14:textId="25FC981F" w:rsidR="00E60473"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outils liés à la résilience et la cybersécurité</w:t>
      </w:r>
      <w:r>
        <w:rPr>
          <w:rFonts w:ascii="Times New Roman" w:hAnsi="Times New Roman"/>
          <w:noProof/>
          <w:sz w:val="24"/>
        </w:rPr>
        <w:t xml:space="preserve"> serviront à nous préparer aux situations d’urgence et à les gérer, ainsi qu’à réduire l’exposition aux menaces extérieures, telles que les cybermenaces.</w:t>
      </w:r>
    </w:p>
    <w:p w14:paraId="690DEBE9" w14:textId="5C576E82" w:rsidR="00E60473"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outils liés à la sécurité et à l’ordre public</w:t>
      </w:r>
      <w:r>
        <w:rPr>
          <w:rFonts w:ascii="Times New Roman" w:hAnsi="Times New Roman"/>
          <w:noProof/>
          <w:sz w:val="24"/>
        </w:rPr>
        <w:t xml:space="preserve"> serviront à réduire l’exposition excessive de l’UE aux risques pour garantir entre autres un fonctionnement normal de la société, tout en soutenant des actions visant à étoffer le rôle de l’UE dans les technologies et les industries critiques et à la prémunir des ripostes visant à contourner ses mesures de réduction des risques.</w:t>
      </w:r>
    </w:p>
    <w:p w14:paraId="528E824F" w14:textId="5CBF2502" w:rsidR="00E60473" w:rsidRPr="002837EB"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mesures anticoercitives et restrictives</w:t>
      </w:r>
      <w:r>
        <w:rPr>
          <w:rFonts w:ascii="Times New Roman" w:hAnsi="Times New Roman"/>
          <w:noProof/>
          <w:sz w:val="24"/>
        </w:rPr>
        <w:t xml:space="preserve"> viseront à décourager les pays tiers cherchant à exercer une coercition à l’encontre de l’UE, à gérer ce type de situations et à protéger les entreprises de l’UE contre les mesures extraterritoriales imposées par des pays tiers, le cas échéant en incitant le pays concerné à changer de comportement.</w:t>
      </w:r>
    </w:p>
    <w:p w14:paraId="7B45168B" w14:textId="798D0201" w:rsidR="00E60473" w:rsidRPr="006C4785" w:rsidRDefault="0174B3A8"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outils liés aux restrictions de financement</w:t>
      </w:r>
      <w:r>
        <w:rPr>
          <w:rFonts w:ascii="Times New Roman" w:hAnsi="Times New Roman"/>
          <w:noProof/>
          <w:sz w:val="24"/>
        </w:rPr>
        <w:t xml:space="preserve"> comme l’IVCDCI (Global Gateway), Horizon Europe, NextGenerationEU, InvestEU, le programme pour une Europe numérique, le mécanisme pour l’interconnexion en Europe (MIE), les instruments d’aide de préadhésion (IAP), les plans de croissance pour les Balkans occidentaux et la Moldavie, ainsi que la facilité pour l’Ukraine, EU</w:t>
      </w:r>
      <w:r w:rsidRPr="00814F13">
        <w:rPr>
          <w:rFonts w:ascii="Times New Roman" w:hAnsi="Times New Roman"/>
          <w:noProof/>
          <w:sz w:val="24"/>
        </w:rPr>
        <w:t>4</w:t>
      </w:r>
      <w:r>
        <w:rPr>
          <w:rFonts w:ascii="Times New Roman" w:hAnsi="Times New Roman"/>
          <w:noProof/>
          <w:sz w:val="24"/>
        </w:rPr>
        <w:t xml:space="preserve">Health et le futur Fonds européen pour la compétitivité, devraient renforcer la sécurité économique de l’UE ou, au minimum, ne pas l’affaiblir, dans le cadre des modalités de ces programmes. </w:t>
      </w:r>
    </w:p>
    <w:p w14:paraId="45CB00A2" w14:textId="5A23E94B" w:rsidR="00ED68CA" w:rsidRPr="0002625D"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initiatives sectorielles</w:t>
      </w:r>
      <w:r>
        <w:rPr>
          <w:rFonts w:ascii="Times New Roman" w:hAnsi="Times New Roman"/>
          <w:noProof/>
          <w:sz w:val="24"/>
        </w:rPr>
        <w:t xml:space="preserve"> serviront à renforcer les capacités propres et les savoir-faire stratégiques de l’UE dans les domaines à haut risque recensés au cours du processus d’évaluation des risques.</w:t>
      </w:r>
    </w:p>
    <w:p w14:paraId="7B13044C" w14:textId="03FCD80B" w:rsidR="000A31B0" w:rsidRDefault="007B3A23" w:rsidP="009A00B3">
      <w:pPr>
        <w:spacing w:after="120"/>
        <w:jc w:val="both"/>
        <w:rPr>
          <w:rFonts w:ascii="Times New Roman" w:hAnsi="Times New Roman" w:cs="Times New Roman"/>
          <w:noProof/>
          <w:sz w:val="24"/>
          <w:szCs w:val="24"/>
        </w:rPr>
      </w:pPr>
      <w:r>
        <w:rPr>
          <w:rFonts w:ascii="Times New Roman" w:hAnsi="Times New Roman"/>
          <w:noProof/>
          <w:sz w:val="24"/>
        </w:rPr>
        <w:t xml:space="preserve">Il est plus important que jamais d’avoir une coopération et une coordination étroites avec les pays qui accordent la même importance à la sécurité économique et à un ordre mondial fondé sur des règles. L’UE s’emploiera à renforcer la </w:t>
      </w:r>
      <w:r>
        <w:rPr>
          <w:rFonts w:ascii="Times New Roman" w:hAnsi="Times New Roman"/>
          <w:b/>
          <w:noProof/>
          <w:sz w:val="24"/>
        </w:rPr>
        <w:t>coopération internationale sur les questions de sécurité économique</w:t>
      </w:r>
      <w:r>
        <w:rPr>
          <w:rFonts w:ascii="Times New Roman" w:hAnsi="Times New Roman"/>
          <w:noProof/>
          <w:sz w:val="24"/>
        </w:rPr>
        <w:t xml:space="preserve">, en particulier avec des </w:t>
      </w:r>
      <w:r>
        <w:rPr>
          <w:rFonts w:ascii="Times New Roman" w:hAnsi="Times New Roman"/>
          <w:b/>
          <w:noProof/>
          <w:sz w:val="24"/>
        </w:rPr>
        <w:t>partenaires de confiance</w:t>
      </w:r>
      <w:r>
        <w:rPr>
          <w:rFonts w:ascii="Times New Roman" w:hAnsi="Times New Roman"/>
          <w:noProof/>
          <w:sz w:val="24"/>
        </w:rPr>
        <w:t xml:space="preserve">, y compris au moyen de </w:t>
      </w:r>
      <w:r>
        <w:rPr>
          <w:rFonts w:ascii="Times New Roman" w:hAnsi="Times New Roman"/>
          <w:b/>
          <w:noProof/>
          <w:sz w:val="24"/>
        </w:rPr>
        <w:t>dialogues ciblés sur la sécurité économique menés tant au niveau bilatéral que plurilatéral</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Cette coopération soutiendra une action commune sur des intérêts ou des problèmes communs de sécurité économique. Elle permettra aussi d’approfondir la compréhension collective des risques, d’anticiper les menaces, de concevoir des mesures d’atténuation qui </w:t>
      </w:r>
      <w:r>
        <w:rPr>
          <w:rFonts w:ascii="Times New Roman" w:hAnsi="Times New Roman"/>
          <w:b/>
          <w:noProof/>
          <w:sz w:val="24"/>
        </w:rPr>
        <w:t>réduisent au minimum les externalités négatives</w:t>
      </w:r>
      <w:r>
        <w:rPr>
          <w:rFonts w:ascii="Times New Roman" w:hAnsi="Times New Roman"/>
          <w:noProof/>
          <w:sz w:val="24"/>
        </w:rPr>
        <w:t>, de contribuer à la mise en place et au maintien de chaînes d’approvisionnement fiables et résilientes dans des secteurs stratégiques clés et d’éviter les incidences négatives sur nos partenaires internationaux partageant les mêmes valeurs.</w:t>
      </w:r>
    </w:p>
    <w:p w14:paraId="53FFB540" w14:textId="6438C9E2" w:rsidR="00B077F8" w:rsidRPr="0002625D" w:rsidRDefault="00207131" w:rsidP="009A00B3">
      <w:pPr>
        <w:spacing w:after="120"/>
        <w:jc w:val="both"/>
        <w:rPr>
          <w:rFonts w:ascii="Times New Roman"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59264" behindDoc="0" locked="0" layoutInCell="1" allowOverlap="1" wp14:anchorId="2E736216" wp14:editId="78A68AFE">
                <wp:simplePos x="0" y="0"/>
                <wp:positionH relativeFrom="column">
                  <wp:posOffset>2609215</wp:posOffset>
                </wp:positionH>
                <wp:positionV relativeFrom="paragraph">
                  <wp:posOffset>4445</wp:posOffset>
                </wp:positionV>
                <wp:extent cx="3255645" cy="4017010"/>
                <wp:effectExtent l="0" t="0" r="20955" b="21590"/>
                <wp:wrapSquare wrapText="bothSides"/>
                <wp:docPr id="359871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5645" cy="4017010"/>
                        </a:xfrm>
                        <a:prstGeom prst="rect">
                          <a:avLst/>
                        </a:prstGeom>
                        <a:solidFill>
                          <a:srgbClr val="FFFFFF"/>
                        </a:solidFill>
                        <a:ln w="9525">
                          <a:solidFill>
                            <a:srgbClr val="000000"/>
                          </a:solidFill>
                          <a:miter lim="800000"/>
                          <a:headEnd/>
                          <a:tailEnd/>
                        </a:ln>
                      </wps:spPr>
                      <wps:txbx>
                        <w:txbxContent>
                          <w:p w14:paraId="55C1D961" w14:textId="77777777" w:rsidR="00207131" w:rsidRPr="00E737DA" w:rsidRDefault="00207131" w:rsidP="00207131">
                            <w:pPr>
                              <w:spacing w:after="0" w:line="240" w:lineRule="auto"/>
                              <w:jc w:val="center"/>
                              <w:rPr>
                                <w:rFonts w:ascii="Times New Roman" w:hAnsi="Times New Roman" w:cs="Times New Roman"/>
                                <w:b/>
                                <w:bCs/>
                                <w:i/>
                                <w:iCs/>
                              </w:rPr>
                            </w:pPr>
                            <w:r>
                              <w:rPr>
                                <w:rFonts w:ascii="Times New Roman" w:hAnsi="Times New Roman"/>
                                <w:b/>
                                <w:i/>
                              </w:rPr>
                              <w:t>L’adoption de normes de sécurité économique</w:t>
                            </w:r>
                          </w:p>
                          <w:p w14:paraId="08BD44D2" w14:textId="77777777" w:rsidR="00207131" w:rsidRDefault="00207131" w:rsidP="00207131">
                            <w:pPr>
                              <w:spacing w:after="0" w:line="240" w:lineRule="auto"/>
                              <w:jc w:val="both"/>
                              <w:rPr>
                                <w:rFonts w:ascii="Times New Roman" w:hAnsi="Times New Roman" w:cs="Times New Roman"/>
                              </w:rPr>
                            </w:pPr>
                          </w:p>
                          <w:p w14:paraId="6005D2F3" w14:textId="77777777"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En s’appuyant sur les travaux menés au sein du G7 sur les échanges respectant des normes, la Commission encouragera la conception et l’adoption de normes de sécurité économique qui:</w:t>
                            </w:r>
                          </w:p>
                          <w:p w14:paraId="5A7AA9FD"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 xml:space="preserve">soutiendront la diversification des chaînes d’approvisionnement critiques en créant des conditions favorisant l’accès au marché de nouveaux fournisseurs ou restreignant celui des fournisseurs dominants, </w:t>
                            </w:r>
                          </w:p>
                          <w:p w14:paraId="2ED83676"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suivront les principes de transparence, d’interopérabilité et de respect des règles internationales,</w:t>
                            </w:r>
                          </w:p>
                          <w:p w14:paraId="37AE27C2"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seront conçues en fonction de chaque chaîne d’approvisionnement pour tenir compte de leurs risques spécifiques et de leurs incidences économiques et réalités sectorielles.</w:t>
                            </w:r>
                          </w:p>
                          <w:p w14:paraId="2F37FD9E" w14:textId="77777777" w:rsidR="00207131" w:rsidRDefault="00207131" w:rsidP="00207131">
                            <w:pPr>
                              <w:spacing w:after="0" w:line="240" w:lineRule="auto"/>
                              <w:jc w:val="both"/>
                              <w:rPr>
                                <w:rFonts w:ascii="Times New Roman" w:hAnsi="Times New Roman" w:cs="Times New Roman"/>
                              </w:rPr>
                            </w:pPr>
                          </w:p>
                          <w:p w14:paraId="12095C76" w14:textId="27C42AD1"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 xml:space="preserve">Ces travaux mettront l’accent en priorité sur les matières premières critiques et les chaînes d’approvisionnement en semi-conducteurs, tout en explorant l’opportunité de collaborer dans d’autres domaines. </w:t>
                            </w:r>
                          </w:p>
                          <w:p w14:paraId="0C2CC7FA" w14:textId="77777777" w:rsidR="00207131" w:rsidRDefault="00207131" w:rsidP="002071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736216" id="_x0000_t202" coordsize="21600,21600" o:spt="202" path="m,l,21600r21600,l21600,xe">
                <v:stroke joinstyle="miter"/>
                <v:path gradientshapeok="t" o:connecttype="rect"/>
              </v:shapetype>
              <v:shape id="Text Box 2" o:spid="_x0000_s1026" type="#_x0000_t202" style="position:absolute;left:0;text-align:left;margin-left:205.45pt;margin-top:.35pt;width:256.35pt;height:316.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">
                <v:textbox>
                  <w:txbxContent>
                    <w:p w14:paraId="55C1D961" w14:textId="77777777" w:rsidR="00207131" w:rsidRPr="00E737DA" w:rsidRDefault="00207131" w:rsidP="00207131">
                      <w:pPr>
                        <w:spacing w:after="0" w:line="240" w:lineRule="auto"/>
                        <w:jc w:val="center"/>
                        <w:rPr>
                          <w:rFonts w:ascii="Times New Roman" w:hAnsi="Times New Roman" w:cs="Times New Roman"/>
                          <w:b/>
                          <w:bCs/>
                          <w:i/>
                          <w:iCs/>
                        </w:rPr>
                      </w:pPr>
                      <w:r>
                        <w:rPr>
                          <w:rFonts w:ascii="Times New Roman" w:hAnsi="Times New Roman"/>
                          <w:b/>
                          <w:i/>
                        </w:rPr>
                        <w:t>L’adoption de normes de sécurité économique</w:t>
                      </w:r>
                    </w:p>
                    <w:p w14:paraId="08BD44D2" w14:textId="77777777" w:rsidR="00207131" w:rsidRDefault="00207131" w:rsidP="00207131">
                      <w:pPr>
                        <w:spacing w:after="0" w:line="240" w:lineRule="auto"/>
                        <w:jc w:val="both"/>
                        <w:rPr>
                          <w:rFonts w:ascii="Times New Roman" w:hAnsi="Times New Roman" w:cs="Times New Roman"/>
                        </w:rPr>
                      </w:pPr>
                    </w:p>
                    <w:p w14:paraId="6005D2F3" w14:textId="77777777"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En s’appuyant sur les travaux menés au sein du G7 sur les échanges respectant des normes, la Commission encouragera la conception et l’adoption de normes de sécurité économique qui:</w:t>
                      </w:r>
                    </w:p>
                    <w:p w14:paraId="5A7AA9FD"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 xml:space="preserve">soutiendront la diversification des chaînes d’approvisionnement critiques en créant des conditions favorisant l’accès au marché de nouveaux fournisseurs ou restreignant celui des fournisseurs dominants, </w:t>
                      </w:r>
                    </w:p>
                    <w:p w14:paraId="2ED83676"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suivront les principes de transparence, d’interopérabilité et de respect des règles internationales,</w:t>
                      </w:r>
                    </w:p>
                    <w:p w14:paraId="37AE27C2"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seront conçues en fonction de chaque chaîne d’approvisionnement pour tenir compte de leurs risques spécifiques et de leurs incidences économiques et réalités sectorielles.</w:t>
                      </w:r>
                    </w:p>
                    <w:p w14:paraId="2F37FD9E" w14:textId="77777777" w:rsidR="00207131" w:rsidRDefault="00207131" w:rsidP="00207131">
                      <w:pPr>
                        <w:spacing w:after="0" w:line="240" w:lineRule="auto"/>
                        <w:jc w:val="both"/>
                        <w:rPr>
                          <w:rFonts w:ascii="Times New Roman" w:hAnsi="Times New Roman" w:cs="Times New Roman"/>
                        </w:rPr>
                      </w:pPr>
                    </w:p>
                    <w:p w14:paraId="12095C76" w14:textId="27C42AD1"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 xml:space="preserve">Ces travaux mettront l’accent en priorité sur les matières premières critiques et les chaînes d’approvisionnement en semi-conducteurs, tout en explorant l’opportunité de collaborer dans d’autres domaines. </w:t>
                      </w:r>
                    </w:p>
                    <w:p w14:paraId="0C2CC7FA" w14:textId="77777777" w:rsidR="00207131" w:rsidRDefault="00207131" w:rsidP="00207131"/>
                  </w:txbxContent>
                </v:textbox>
                <w10:wrap type="square"/>
              </v:shape>
            </w:pict>
          </mc:Fallback>
        </mc:AlternateContent>
      </w:r>
      <w:r>
        <w:rPr>
          <w:rFonts w:ascii="Times New Roman" w:hAnsi="Times New Roman"/>
          <w:noProof/>
          <w:sz w:val="24"/>
        </w:rPr>
        <w:t>La Commission s’efforcera de coopérer avec les pays tiers de manière bilatérale, par l’intermédiaire du G</w:t>
      </w:r>
      <w:r w:rsidRPr="00814F13">
        <w:rPr>
          <w:rFonts w:ascii="Times New Roman" w:hAnsi="Times New Roman"/>
          <w:noProof/>
          <w:sz w:val="24"/>
        </w:rPr>
        <w:t>7</w:t>
      </w:r>
      <w:r>
        <w:rPr>
          <w:rFonts w:ascii="Times New Roman" w:hAnsi="Times New Roman"/>
          <w:noProof/>
          <w:sz w:val="24"/>
        </w:rPr>
        <w:t xml:space="preserve"> et dans des cadres tels que le partenariat transpacifique global et progressiste et autres enceintes appropriées. Elle collaborera avec ses partenaires à la conception et à l’adoption de normes de sécurité économique renforçant la résilience des chaînes d’approvisionnement. Le </w:t>
      </w:r>
      <w:r>
        <w:rPr>
          <w:rFonts w:ascii="Times New Roman" w:hAnsi="Times New Roman"/>
          <w:b/>
          <w:noProof/>
          <w:sz w:val="24"/>
        </w:rPr>
        <w:t>déploiement coordonné des outils</w:t>
      </w:r>
      <w:r>
        <w:rPr>
          <w:rFonts w:ascii="Times New Roman" w:hAnsi="Times New Roman"/>
          <w:noProof/>
          <w:sz w:val="24"/>
        </w:rPr>
        <w:t xml:space="preserve"> peut participer de cette coopération plus étroite, tout comme la construction de coalitions avec des partenaires qui partagent des objectifs de sécurité économique semblables aux nôtres, ou qui sont confrontés à des défis du même ordre. </w:t>
      </w:r>
    </w:p>
    <w:p w14:paraId="4550C3BB" w14:textId="54C127CE" w:rsidR="00441A5B" w:rsidRPr="0002625D" w:rsidRDefault="0042082C" w:rsidP="00234F89">
      <w:pPr>
        <w:spacing w:after="120"/>
        <w:jc w:val="both"/>
        <w:rPr>
          <w:rFonts w:ascii="Times New Roman" w:eastAsia="Calibri" w:hAnsi="Times New Roman" w:cs="Times New Roman"/>
          <w:noProof/>
          <w:sz w:val="24"/>
          <w:szCs w:val="24"/>
        </w:rPr>
      </w:pPr>
      <w:r>
        <w:rPr>
          <w:rFonts w:ascii="Times New Roman" w:hAnsi="Times New Roman"/>
          <w:noProof/>
          <w:sz w:val="24"/>
        </w:rPr>
        <w:t xml:space="preserve">En outre, il conviendra de tenir compte de la pertinence et de l’incidence de la </w:t>
      </w:r>
      <w:r>
        <w:rPr>
          <w:rFonts w:ascii="Times New Roman" w:hAnsi="Times New Roman"/>
          <w:b/>
          <w:noProof/>
          <w:sz w:val="24"/>
        </w:rPr>
        <w:t>politique de voisinage et d’élargissement</w:t>
      </w:r>
      <w:r>
        <w:rPr>
          <w:rFonts w:ascii="Times New Roman" w:hAnsi="Times New Roman"/>
          <w:noProof/>
          <w:sz w:val="24"/>
        </w:rPr>
        <w:t xml:space="preserve"> de l’UE. La Commission prendra en considération les risques et potentialités pour la sécurité économique de l’UE quand elle mettra en œuvre les politiques et programmes destinés aux pays concernés. Les pays candidats suivent un parcours d’adhésion à l’UE et, pour en garantir la réussite, il est primordial qu’ils convergent avec la politique de sécurité économique et intègrent progressivement le marché unique, ce qui renforcera en parallèle la capacité de l’UE face aux risques existants et émergents. Il importe donc que les pays candidats suivent la stratégie européenne en matière de sécurité économique et, au besoin, s’alignent progressivement sur la législation de l’UE ayant trait aux objectifs de sécurité économique. </w:t>
      </w:r>
    </w:p>
    <w:p w14:paraId="23C787AA" w14:textId="163AECB8" w:rsidR="00347E0E" w:rsidRPr="0002625D" w:rsidRDefault="33164C01" w:rsidP="7C2DE029">
      <w:pPr>
        <w:spacing w:after="120"/>
        <w:jc w:val="both"/>
        <w:rPr>
          <w:rFonts w:ascii="Times New Roman" w:hAnsi="Times New Roman" w:cs="Times New Roman"/>
          <w:b/>
          <w:bCs/>
          <w:i/>
          <w:iCs/>
          <w:noProof/>
          <w:sz w:val="24"/>
          <w:szCs w:val="24"/>
          <w:u w:val="single"/>
        </w:rPr>
      </w:pPr>
      <w:r w:rsidRPr="00814F13">
        <w:rPr>
          <w:rFonts w:ascii="Times New Roman" w:hAnsi="Times New Roman"/>
          <w:b/>
          <w:i/>
          <w:noProof/>
          <w:sz w:val="24"/>
          <w:u w:val="single"/>
        </w:rPr>
        <w:t>3</w:t>
      </w:r>
      <w:r>
        <w:rPr>
          <w:rFonts w:ascii="Times New Roman" w:hAnsi="Times New Roman"/>
          <w:b/>
          <w:i/>
          <w:noProof/>
          <w:sz w:val="24"/>
          <w:u w:val="single"/>
        </w:rPr>
        <w:t>. Améliorer la sécurité économique de l’Europe dans les domaines à haut risque</w:t>
      </w:r>
    </w:p>
    <w:p w14:paraId="3471AA5E" w14:textId="05B5CCBE" w:rsidR="00E7260B" w:rsidRPr="00E01D72" w:rsidRDefault="5546744F" w:rsidP="009A00B3">
      <w:pPr>
        <w:spacing w:after="120"/>
        <w:jc w:val="both"/>
        <w:rPr>
          <w:noProof/>
        </w:rPr>
      </w:pPr>
      <w:r>
        <w:rPr>
          <w:rFonts w:ascii="Times New Roman" w:hAnsi="Times New Roman"/>
          <w:noProof/>
          <w:sz w:val="24"/>
        </w:rPr>
        <w:t xml:space="preserve">Dans le sillage de la stratégie de </w:t>
      </w:r>
      <w:r w:rsidRPr="00814F13">
        <w:rPr>
          <w:rFonts w:ascii="Times New Roman" w:hAnsi="Times New Roman"/>
          <w:noProof/>
          <w:sz w:val="24"/>
        </w:rPr>
        <w:t>2023</w:t>
      </w:r>
      <w:r>
        <w:rPr>
          <w:rFonts w:ascii="Times New Roman" w:hAnsi="Times New Roman"/>
          <w:noProof/>
          <w:sz w:val="24"/>
        </w:rPr>
        <w:t xml:space="preserve"> ont été commandées des évaluations des risques portant sur la résilience des chaînes d’approvisionnement et la sécurité énergétique, les infrastructures critiques, l’instrumentalisation des dépendances économiques, la sécurité technologique et les fuites de technologies. Quatre technologies critiques — l’IA, les technologies quantiques, les semi-conducteurs et les biotechnologies — ont déjà été évaluées. Au vu de ces travaux, la Commission a délimité six </w:t>
      </w:r>
      <w:r>
        <w:rPr>
          <w:rFonts w:ascii="Times New Roman" w:hAnsi="Times New Roman"/>
          <w:b/>
          <w:noProof/>
          <w:sz w:val="24"/>
        </w:rPr>
        <w:t>domaines à haut risque</w:t>
      </w:r>
      <w:r>
        <w:rPr>
          <w:rFonts w:ascii="Times New Roman" w:hAnsi="Times New Roman"/>
          <w:noProof/>
          <w:sz w:val="24"/>
        </w:rPr>
        <w:t xml:space="preserve"> qui concentreront ses efforts dans un premier temps, en étroite coopération avec les États membres, l’industrie et nos partenaires de confiance. En parallèle, la Commission continuera de suivre l’évolution de la situation pour, le cas échéant, évaluer d’autres domaines à haut risque émergents et les intégrer dans son action.</w:t>
      </w:r>
    </w:p>
    <w:p w14:paraId="6C1CC2E6" w14:textId="2A7C488A" w:rsidR="00ED18CA" w:rsidRPr="00D33B1D" w:rsidRDefault="71864FD1" w:rsidP="2542A17A">
      <w:pPr>
        <w:spacing w:after="120"/>
        <w:jc w:val="center"/>
        <w:rPr>
          <w:rFonts w:ascii="Times New Roman" w:hAnsi="Times New Roman" w:cs="Times New Roman"/>
          <w:b/>
          <w:bCs/>
          <w:noProof/>
          <w:sz w:val="24"/>
          <w:szCs w:val="24"/>
        </w:rPr>
      </w:pPr>
      <w:r>
        <w:rPr>
          <w:rFonts w:ascii="Times New Roman" w:hAnsi="Times New Roman"/>
          <w:b/>
          <w:noProof/>
          <w:sz w:val="24"/>
        </w:rPr>
        <w:t>Aperçu des six domaines à haut risque</w:t>
      </w:r>
    </w:p>
    <w:p w14:paraId="07A1B8CF" w14:textId="639976D1" w:rsidR="00E7260B" w:rsidRPr="0002625D" w:rsidRDefault="00E7260B" w:rsidP="009A00B3">
      <w:pPr>
        <w:spacing w:after="120"/>
        <w:jc w:val="both"/>
        <w:rPr>
          <w:b/>
          <w:bCs/>
          <w:i/>
          <w:iCs/>
          <w:noProof/>
          <w:sz w:val="24"/>
          <w:szCs w:val="24"/>
        </w:rPr>
      </w:pPr>
      <w:r>
        <w:rPr>
          <w:noProof/>
          <w:sz w:val="24"/>
          <w:lang w:val="en-GB" w:eastAsia="en-GB"/>
        </w:rPr>
        <w:drawing>
          <wp:inline distT="0" distB="0" distL="0" distR="0" wp14:anchorId="23FBB992" wp14:editId="3756D122">
            <wp:extent cx="5553808" cy="2133600"/>
            <wp:effectExtent l="0" t="0" r="0" b="19050"/>
            <wp:docPr id="61726529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B96BC92" w14:textId="63ED22B9" w:rsidR="00742178" w:rsidRPr="0002625D" w:rsidRDefault="00EF6D50" w:rsidP="00CE4FA3">
      <w:pPr>
        <w:spacing w:after="120"/>
        <w:jc w:val="both"/>
        <w:rPr>
          <w:rFonts w:ascii="Times New Roman" w:hAnsi="Times New Roman" w:cs="Times New Roman"/>
          <w:i/>
          <w:iCs/>
          <w:noProof/>
          <w:sz w:val="24"/>
          <w:szCs w:val="24"/>
          <w:u w:val="single"/>
        </w:rPr>
      </w:pPr>
      <w:r>
        <w:rPr>
          <w:rFonts w:ascii="Times New Roman" w:hAnsi="Times New Roman"/>
          <w:b/>
          <w:noProof/>
          <w:sz w:val="24"/>
          <w:lang w:val="en-GB" w:eastAsia="en-GB"/>
        </w:rPr>
        <mc:AlternateContent>
          <mc:Choice Requires="wps">
            <w:drawing>
              <wp:anchor distT="0" distB="0" distL="114300" distR="114300" simplePos="0" relativeHeight="251653120" behindDoc="1" locked="0" layoutInCell="1" allowOverlap="1" wp14:anchorId="202C7A0C" wp14:editId="2830536C">
                <wp:simplePos x="0" y="0"/>
                <wp:positionH relativeFrom="column">
                  <wp:posOffset>3810</wp:posOffset>
                </wp:positionH>
                <wp:positionV relativeFrom="paragraph">
                  <wp:posOffset>304165</wp:posOffset>
                </wp:positionV>
                <wp:extent cx="3572510" cy="2876550"/>
                <wp:effectExtent l="0" t="0" r="27940" b="19050"/>
                <wp:wrapTight wrapText="bothSides">
                  <wp:wrapPolygon edited="0">
                    <wp:start x="0" y="0"/>
                    <wp:lineTo x="0" y="21600"/>
                    <wp:lineTo x="21654" y="21600"/>
                    <wp:lineTo x="21654"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2510" cy="2876550"/>
                        </a:xfrm>
                        <a:prstGeom prst="rect">
                          <a:avLst/>
                        </a:prstGeom>
                        <a:solidFill>
                          <a:srgbClr val="FFFFFF"/>
                        </a:solidFill>
                        <a:ln w="9525">
                          <a:solidFill>
                            <a:srgbClr val="000000"/>
                          </a:solidFill>
                          <a:miter lim="800000"/>
                          <a:headEnd/>
                          <a:tailEnd/>
                        </a:ln>
                      </wps:spPr>
                      <wps:txbx>
                        <w:txbxContent>
                          <w:p w14:paraId="2865D1B4" w14:textId="4CBABE47" w:rsidR="00E11329" w:rsidRPr="00815C83" w:rsidRDefault="00290476" w:rsidP="00E11329">
                            <w:pPr>
                              <w:spacing w:after="0" w:line="240" w:lineRule="auto"/>
                              <w:rPr>
                                <w:rFonts w:ascii="Times New Roman" w:hAnsi="Times New Roman" w:cs="Times New Roman"/>
                                <w:b/>
                                <w:bCs/>
                              </w:rPr>
                            </w:pPr>
                            <w:r>
                              <w:rPr>
                                <w:rFonts w:ascii="Times New Roman" w:hAnsi="Times New Roman"/>
                                <w:b/>
                              </w:rPr>
                              <w:t>Indicateurs non cumulatifs d’une dépendance à haut risque:</w:t>
                            </w:r>
                          </w:p>
                          <w:p w14:paraId="652A9F42" w14:textId="2C528ED1"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60 % ou plus de l’approvisionnement de l’UE est contrôlé par un pays tiers, ou ses opérateurs économiques,</w:t>
                            </w:r>
                          </w:p>
                          <w:p w14:paraId="2F2CA203" w14:textId="6FD36F73"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des intrants/services ont une valeur systémique dans l’économie de l’UE en raison de leur rôle dans de multiples secteurs, à l’instar de matières premières critiques, des semi-conducteurs etc.,</w:t>
                            </w:r>
                          </w:p>
                          <w:p w14:paraId="5E500A4E" w14:textId="4C4F9AD6"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des intrants/services sont essentiels pour l’industrie ou les capacités stratégiques de défense de l’UE, ou pour certaines chaînes d’approvisionnement en technologies critiques, comme les technologies énergétiques propres,</w:t>
                            </w:r>
                          </w:p>
                          <w:p w14:paraId="3FA83B89" w14:textId="24F3DE2F"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un pays tiers a déjà instrumentalisé les dépendances économiques à son égard, ou a menacé de le faire, par exemple au moyen de restrictions à l’exportation,</w:t>
                            </w:r>
                          </w:p>
                          <w:p w14:paraId="3400D182" w14:textId="4C3E7922" w:rsidR="00E11329" w:rsidRDefault="00E11329" w:rsidP="00C60366">
                            <w:pPr>
                              <w:spacing w:after="0" w:line="240" w:lineRule="auto"/>
                              <w:jc w:val="both"/>
                              <w:rPr>
                                <w:rFonts w:ascii="Times New Roman" w:hAnsi="Times New Roman" w:cs="Times New Roman"/>
                                <w:i/>
                                <w:iCs/>
                              </w:rPr>
                            </w:pPr>
                            <w:r>
                              <w:rPr>
                                <w:rFonts w:ascii="Times New Roman" w:hAnsi="Times New Roman"/>
                                <w:i/>
                              </w:rPr>
                              <w:t>— il existe déjà une surcapacité non marchande ou elle est en cours de création.</w:t>
                            </w:r>
                          </w:p>
                          <w:p w14:paraId="616D6192" w14:textId="05C7623D" w:rsidR="00930B2A" w:rsidRPr="00815C83" w:rsidRDefault="00930B2A" w:rsidP="00A97F46">
                            <w:pPr>
                              <w:spacing w:after="0" w:line="240" w:lineRule="auto"/>
                              <w:rPr>
                                <w:rFonts w:ascii="Times New Roman" w:hAnsi="Times New Roman" w:cs="Times New Roman"/>
                                <w:i/>
                                <w:i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C7A0C" id="_x0000_s1027" type="#_x0000_t202" style="position:absolute;left:0;text-align:left;margin-left:.3pt;margin-top:23.95pt;width:281.3pt;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">
                <v:textbox>
                  <w:txbxContent>
                    <w:p w14:paraId="2865D1B4" w14:textId="4CBABE47" w:rsidR="00E11329" w:rsidRPr="00815C83" w:rsidRDefault="00290476" w:rsidP="00E11329">
                      <w:pPr>
                        <w:spacing w:after="0" w:line="240" w:lineRule="auto"/>
                        <w:rPr>
                          <w:rFonts w:ascii="Times New Roman" w:hAnsi="Times New Roman" w:cs="Times New Roman"/>
                          <w:b/>
                          <w:bCs/>
                        </w:rPr>
                      </w:pPr>
                      <w:r>
                        <w:rPr>
                          <w:rFonts w:ascii="Times New Roman" w:hAnsi="Times New Roman"/>
                          <w:b/>
                        </w:rPr>
                        <w:t>Indicateurs non cumulatifs d’une dépendance à haut risque:</w:t>
                      </w:r>
                    </w:p>
                    <w:p w14:paraId="652A9F42" w14:textId="2C528ED1"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60 % ou plus de l’approvisionnement de l’UE est contrôlé par un pays tiers, ou ses opérateurs économiques,</w:t>
                      </w:r>
                    </w:p>
                    <w:p w14:paraId="2F2CA203" w14:textId="6FD36F73"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des intrants/services ont une valeur systémique dans l’économie de l’UE en raison de leur rôle dans de multiples secteurs, à l’instar de matières premières critiques, des semi-conducteurs etc.,</w:t>
                      </w:r>
                    </w:p>
                    <w:p w14:paraId="5E500A4E" w14:textId="4C4F9AD6"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des intrants/services sont essentiels pour l’industrie ou les capacités stratégiques de défense de l’UE, ou pour certaines chaînes d’approvisionnement en technologies critiques, comme les technologies énergétiques propres,</w:t>
                      </w:r>
                    </w:p>
                    <w:p w14:paraId="3FA83B89" w14:textId="24F3DE2F" w:rsidR="00E11329" w:rsidRPr="00815C83" w:rsidRDefault="00E11329" w:rsidP="00C60366">
                      <w:pPr>
                        <w:spacing w:after="0" w:line="240" w:lineRule="auto"/>
                        <w:jc w:val="both"/>
                        <w:rPr>
                          <w:rFonts w:ascii="Times New Roman" w:hAnsi="Times New Roman" w:cs="Times New Roman"/>
                          <w:i/>
                          <w:iCs/>
                        </w:rPr>
                      </w:pPr>
                      <w:r>
                        <w:rPr>
                          <w:rFonts w:ascii="Times New Roman" w:hAnsi="Times New Roman"/>
                          <w:i/>
                        </w:rPr>
                        <w:t>— un pays tiers a déjà instrumentalisé les dépendances économiques à son égard, ou a menacé de le faire, par exemple au moyen de restrictions à l’exportation,</w:t>
                      </w:r>
                    </w:p>
                    <w:p w14:paraId="3400D182" w14:textId="4C3E7922" w:rsidR="00E11329" w:rsidRDefault="00E11329" w:rsidP="00C60366">
                      <w:pPr>
                        <w:spacing w:after="0" w:line="240" w:lineRule="auto"/>
                        <w:jc w:val="both"/>
                        <w:rPr>
                          <w:rFonts w:ascii="Times New Roman" w:hAnsi="Times New Roman" w:cs="Times New Roman"/>
                          <w:i/>
                          <w:iCs/>
                        </w:rPr>
                      </w:pPr>
                      <w:r>
                        <w:rPr>
                          <w:rFonts w:ascii="Times New Roman" w:hAnsi="Times New Roman"/>
                          <w:i/>
                        </w:rPr>
                        <w:t>— il existe déjà une surcapacité non marchande ou elle est en cours de création.</w:t>
                      </w:r>
                    </w:p>
                    <w:p w14:paraId="616D6192" w14:textId="05C7623D" w:rsidR="00930B2A" w:rsidRPr="00815C83" w:rsidRDefault="00930B2A" w:rsidP="00A97F46">
                      <w:pPr>
                        <w:spacing w:after="0" w:line="240" w:lineRule="auto"/>
                        <w:rPr>
                          <w:rFonts w:ascii="Times New Roman" w:hAnsi="Times New Roman" w:cs="Times New Roman"/>
                          <w:i/>
                          <w:iCs/>
                        </w:rPr>
                      </w:pPr>
                    </w:p>
                  </w:txbxContent>
                </v:textbox>
                <w10:wrap type="tight"/>
              </v:shape>
            </w:pict>
          </mc:Fallback>
        </mc:AlternateContent>
      </w:r>
      <w:r w:rsidR="0080038B" w:rsidRPr="00814F13">
        <w:rPr>
          <w:rFonts w:ascii="Times New Roman" w:hAnsi="Times New Roman"/>
          <w:noProof/>
          <w:sz w:val="24"/>
          <w:u w:val="single"/>
        </w:rPr>
        <w:t>3</w:t>
      </w:r>
      <w:r w:rsidR="0080038B">
        <w:rPr>
          <w:rFonts w:ascii="Times New Roman" w:hAnsi="Times New Roman"/>
          <w:noProof/>
          <w:sz w:val="24"/>
          <w:u w:val="single"/>
        </w:rPr>
        <w:t>.</w:t>
      </w:r>
      <w:r w:rsidR="0080038B" w:rsidRPr="00814F13">
        <w:rPr>
          <w:rFonts w:ascii="Times New Roman" w:hAnsi="Times New Roman"/>
          <w:noProof/>
          <w:sz w:val="24"/>
          <w:u w:val="single"/>
        </w:rPr>
        <w:t>1</w:t>
      </w:r>
      <w:r w:rsidR="0080038B">
        <w:rPr>
          <w:rFonts w:ascii="Times New Roman" w:hAnsi="Times New Roman"/>
          <w:noProof/>
          <w:sz w:val="24"/>
          <w:u w:val="single"/>
        </w:rPr>
        <w:t xml:space="preserve">. Renforcer la résilience des chaînes d’approvisionnement et réduire les dépendances à haut risque en biens et services critiques </w:t>
      </w:r>
    </w:p>
    <w:p w14:paraId="1BCA38EA" w14:textId="19C98B2E" w:rsidR="00DB73C0" w:rsidRPr="0002625D" w:rsidRDefault="00AA1CAD" w:rsidP="009A00B3">
      <w:pPr>
        <w:spacing w:after="120"/>
        <w:jc w:val="both"/>
        <w:rPr>
          <w:rFonts w:ascii="Times New Roman" w:hAnsi="Times New Roman" w:cs="Times New Roman"/>
          <w:noProof/>
          <w:sz w:val="24"/>
          <w:szCs w:val="24"/>
        </w:rPr>
      </w:pPr>
      <w:r>
        <w:rPr>
          <w:rFonts w:ascii="Times New Roman" w:hAnsi="Times New Roman"/>
          <w:b/>
          <w:noProof/>
          <w:sz w:val="24"/>
        </w:rPr>
        <w:t>Le risque.</w:t>
      </w:r>
      <w:r>
        <w:rPr>
          <w:rFonts w:ascii="Times New Roman" w:hAnsi="Times New Roman"/>
          <w:noProof/>
          <w:sz w:val="24"/>
        </w:rPr>
        <w:t xml:space="preserve"> Nos économies modernes sont profondément interconnectées et sont tributaires d’un large éventail d’intrants, de biens intermédiaires et de services essentiels fournis par des entreprises du monde entier. Dans certains cas, l’offre est fortement concentrée, souvent dans des pays qui ne partagent pas les mêmes intérêts stratégiques et qui ont la capacité et le dessein de creuser et d’instrumentaliser ces dépendances. Ces risques pour les chaînes d’approvisionnement de l’UE sont particulièrement visibles dans notre dépendance aux </w:t>
      </w:r>
      <w:r>
        <w:rPr>
          <w:rFonts w:ascii="Times New Roman" w:hAnsi="Times New Roman"/>
          <w:b/>
          <w:noProof/>
          <w:sz w:val="24"/>
        </w:rPr>
        <w:t>matières premières, transformées ou avancées critiques</w:t>
      </w:r>
      <w:r>
        <w:rPr>
          <w:rFonts w:ascii="Times New Roman" w:hAnsi="Times New Roman"/>
          <w:noProof/>
          <w:sz w:val="24"/>
        </w:rPr>
        <w:t xml:space="preserve">, </w:t>
      </w:r>
      <w:r>
        <w:rPr>
          <w:rFonts w:ascii="Times New Roman" w:hAnsi="Times New Roman"/>
          <w:b/>
          <w:noProof/>
          <w:sz w:val="24"/>
        </w:rPr>
        <w:t>composants de technologies propres</w:t>
      </w:r>
      <w:r>
        <w:rPr>
          <w:rFonts w:ascii="Times New Roman" w:hAnsi="Times New Roman"/>
          <w:noProof/>
          <w:sz w:val="24"/>
        </w:rPr>
        <w:t xml:space="preserve"> et </w:t>
      </w:r>
      <w:r>
        <w:rPr>
          <w:rFonts w:ascii="Times New Roman" w:hAnsi="Times New Roman"/>
          <w:b/>
          <w:noProof/>
          <w:sz w:val="24"/>
        </w:rPr>
        <w:t>semi-conducteurs basiques</w:t>
      </w:r>
      <w:r>
        <w:rPr>
          <w:rFonts w:ascii="Times New Roman" w:hAnsi="Times New Roman"/>
          <w:noProof/>
          <w:sz w:val="24"/>
        </w:rPr>
        <w:t xml:space="preserve">, ainsi que dans les domaines des </w:t>
      </w:r>
      <w:r>
        <w:rPr>
          <w:rFonts w:ascii="Times New Roman" w:hAnsi="Times New Roman"/>
          <w:b/>
          <w:noProof/>
          <w:sz w:val="24"/>
        </w:rPr>
        <w:t>services financiers</w:t>
      </w:r>
      <w:r>
        <w:rPr>
          <w:rFonts w:ascii="Times New Roman" w:hAnsi="Times New Roman"/>
          <w:noProof/>
          <w:sz w:val="24"/>
        </w:rPr>
        <w:t xml:space="preserve">, des </w:t>
      </w:r>
      <w:r>
        <w:rPr>
          <w:rFonts w:ascii="Times New Roman" w:hAnsi="Times New Roman"/>
          <w:b/>
          <w:noProof/>
          <w:sz w:val="24"/>
        </w:rPr>
        <w:t>produits pharmaceutiques</w:t>
      </w:r>
      <w:r>
        <w:rPr>
          <w:rFonts w:ascii="Times New Roman" w:hAnsi="Times New Roman"/>
          <w:noProof/>
          <w:sz w:val="24"/>
        </w:rPr>
        <w:t>, de l’</w:t>
      </w:r>
      <w:r>
        <w:rPr>
          <w:rFonts w:ascii="Times New Roman" w:hAnsi="Times New Roman"/>
          <w:b/>
          <w:noProof/>
          <w:sz w:val="24"/>
        </w:rPr>
        <w:t>aéronautique</w:t>
      </w:r>
      <w:r>
        <w:rPr>
          <w:rFonts w:ascii="Times New Roman" w:hAnsi="Times New Roman"/>
          <w:noProof/>
          <w:sz w:val="24"/>
        </w:rPr>
        <w:t xml:space="preserve">, des </w:t>
      </w:r>
      <w:r>
        <w:rPr>
          <w:rFonts w:ascii="Times New Roman" w:hAnsi="Times New Roman"/>
          <w:b/>
          <w:noProof/>
          <w:sz w:val="24"/>
        </w:rPr>
        <w:t>technologies numériques et spatiales</w:t>
      </w:r>
      <w:r>
        <w:rPr>
          <w:rFonts w:ascii="Times New Roman" w:hAnsi="Times New Roman"/>
          <w:noProof/>
          <w:sz w:val="24"/>
        </w:rPr>
        <w:t xml:space="preserve">. Elles sont aussi visibles dans le </w:t>
      </w:r>
      <w:r>
        <w:rPr>
          <w:rFonts w:ascii="Times New Roman" w:hAnsi="Times New Roman"/>
          <w:b/>
          <w:noProof/>
          <w:sz w:val="24"/>
        </w:rPr>
        <w:t>secteur agroalimentaire</w:t>
      </w:r>
      <w:r>
        <w:rPr>
          <w:rFonts w:ascii="Times New Roman" w:hAnsi="Times New Roman"/>
          <w:noProof/>
          <w:sz w:val="24"/>
        </w:rPr>
        <w:t>, où la «vision pour l’agriculture et l’alimentation»</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souligne la nécessité de réduire les dépendances stratégiques, surtout lorsque l’UE dépend d’une poignée de pays fournisseurs pour les importations d’aliments pour animaux, d’additifs pour l’alimentation animale et d’engrais.</w:t>
      </w:r>
    </w:p>
    <w:p w14:paraId="096CB783" w14:textId="7CC02865" w:rsidR="00DB73C0" w:rsidRPr="0002625D" w:rsidRDefault="00742178" w:rsidP="009A00B3">
      <w:pPr>
        <w:spacing w:after="120"/>
        <w:jc w:val="both"/>
        <w:rPr>
          <w:rFonts w:ascii="Times New Roman" w:hAnsi="Times New Roman" w:cs="Times New Roman"/>
          <w:noProof/>
          <w:sz w:val="24"/>
          <w:szCs w:val="24"/>
        </w:rPr>
      </w:pPr>
      <w:r>
        <w:rPr>
          <w:rFonts w:ascii="Times New Roman" w:hAnsi="Times New Roman"/>
          <w:noProof/>
          <w:sz w:val="24"/>
        </w:rPr>
        <w:t xml:space="preserve">Les dépendances à haut risque peuvent: i) être </w:t>
      </w:r>
      <w:r>
        <w:rPr>
          <w:rFonts w:ascii="Times New Roman" w:hAnsi="Times New Roman"/>
          <w:b/>
          <w:noProof/>
          <w:sz w:val="24"/>
        </w:rPr>
        <w:t>instrumentalisées</w:t>
      </w:r>
      <w:r>
        <w:rPr>
          <w:rFonts w:ascii="Times New Roman" w:hAnsi="Times New Roman"/>
          <w:noProof/>
          <w:sz w:val="24"/>
        </w:rPr>
        <w:t xml:space="preserve"> à des fins de coercition (matières premières critiques, semi-conducteurs basiques, matériaux avancés, produits énergétiques, menaces de désactivation de certains services etc.); ii) créer une </w:t>
      </w:r>
      <w:r>
        <w:rPr>
          <w:rFonts w:ascii="Times New Roman" w:hAnsi="Times New Roman"/>
          <w:b/>
          <w:noProof/>
          <w:sz w:val="24"/>
        </w:rPr>
        <w:t>vulnérabilité économique systémique</w:t>
      </w:r>
      <w:r>
        <w:rPr>
          <w:rFonts w:ascii="Times New Roman" w:hAnsi="Times New Roman"/>
          <w:noProof/>
          <w:sz w:val="24"/>
        </w:rPr>
        <w:t xml:space="preserve"> ou un risque systémique pour l’ordre public et la santé publique en cas de crise (équipements de protection individuelle, approvisionnement en </w:t>
      </w:r>
      <w:r>
        <w:rPr>
          <w:noProof/>
          <w:lang w:val="en-GB" w:eastAsia="en-GB"/>
        </w:rPr>
        <mc:AlternateContent>
          <mc:Choice Requires="wps">
            <w:drawing>
              <wp:anchor distT="45720" distB="45720" distL="114300" distR="114300" simplePos="0" relativeHeight="251665408" behindDoc="0" locked="0" layoutInCell="1" allowOverlap="1" wp14:anchorId="2EFB9210" wp14:editId="42D0F0BC">
                <wp:simplePos x="0" y="0"/>
                <wp:positionH relativeFrom="column">
                  <wp:posOffset>2872740</wp:posOffset>
                </wp:positionH>
                <wp:positionV relativeFrom="paragraph">
                  <wp:posOffset>465455</wp:posOffset>
                </wp:positionV>
                <wp:extent cx="2872740" cy="1404620"/>
                <wp:effectExtent l="0" t="0" r="22860" b="16510"/>
                <wp:wrapSquare wrapText="bothSides"/>
                <wp:docPr id="2138436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1404620"/>
                        </a:xfrm>
                        <a:prstGeom prst="rect">
                          <a:avLst/>
                        </a:prstGeom>
                        <a:solidFill>
                          <a:srgbClr val="FFFFFF"/>
                        </a:solidFill>
                        <a:ln w="9525">
                          <a:solidFill>
                            <a:srgbClr val="000000"/>
                          </a:solidFill>
                          <a:miter lim="800000"/>
                          <a:headEnd/>
                          <a:tailEnd/>
                        </a:ln>
                      </wps:spPr>
                      <wps:txbx>
                        <w:txbxContent>
                          <w:p w14:paraId="0E01AB3B" w14:textId="33228A27" w:rsidR="00642C37" w:rsidRPr="0088393C" w:rsidRDefault="00642C37" w:rsidP="00642C37">
                            <w:pPr>
                              <w:spacing w:after="0"/>
                              <w:jc w:val="center"/>
                              <w:rPr>
                                <w:rFonts w:ascii="Times New Roman" w:hAnsi="Times New Roman" w:cs="Times New Roman"/>
                                <w:b/>
                                <w:bCs/>
                                <w:i/>
                                <w:iCs/>
                              </w:rPr>
                            </w:pPr>
                            <w:r>
                              <w:rPr>
                                <w:rFonts w:ascii="Times New Roman" w:hAnsi="Times New Roman"/>
                                <w:b/>
                                <w:i/>
                              </w:rPr>
                              <w:t>Exemple d’application: les semi-conducteurs basiques</w:t>
                            </w:r>
                          </w:p>
                          <w:p w14:paraId="7112BDB0" w14:textId="77777777" w:rsidR="00642C37" w:rsidRPr="007D0F74" w:rsidRDefault="00642C37" w:rsidP="00642C37">
                            <w:pPr>
                              <w:spacing w:after="0"/>
                              <w:jc w:val="both"/>
                              <w:rPr>
                                <w:rFonts w:ascii="Times New Roman" w:hAnsi="Times New Roman" w:cs="Times New Roman"/>
                              </w:rPr>
                            </w:pPr>
                            <w:r>
                              <w:rPr>
                                <w:rFonts w:ascii="Times New Roman" w:hAnsi="Times New Roman"/>
                                <w:b/>
                              </w:rPr>
                              <w:t>Le risque.</w:t>
                            </w:r>
                            <w:r>
                              <w:rPr>
                                <w:rFonts w:ascii="Times New Roman" w:hAnsi="Times New Roman"/>
                              </w:rPr>
                              <w:t xml:space="preserve"> La dépendance structurelle envers un seul fournisseur non européen pour la fabrication de puces basiques, à faibles marges, représente un risque pour plusieurs industries européennes. Ces semi-conducteurs sont un maillon essentiel de plusieurs chaînes d’approvisionnement. </w:t>
                            </w:r>
                          </w:p>
                          <w:p w14:paraId="7703FF2C" w14:textId="77777777" w:rsidR="00642C37" w:rsidRPr="002124F3" w:rsidRDefault="00642C37" w:rsidP="00642C37">
                            <w:pPr>
                              <w:spacing w:after="0"/>
                              <w:jc w:val="both"/>
                              <w:rPr>
                                <w:rFonts w:ascii="Times New Roman" w:hAnsi="Times New Roman" w:cs="Times New Roman"/>
                              </w:rPr>
                            </w:pPr>
                          </w:p>
                          <w:p w14:paraId="6F612D19" w14:textId="50E87D8E" w:rsidR="00642C37" w:rsidRPr="00815C83" w:rsidRDefault="00642C37" w:rsidP="00642C37">
                            <w:pPr>
                              <w:spacing w:after="0"/>
                              <w:jc w:val="both"/>
                              <w:rPr>
                                <w:rFonts w:ascii="Times New Roman" w:hAnsi="Times New Roman" w:cs="Times New Roman"/>
                              </w:rPr>
                            </w:pPr>
                            <w:r>
                              <w:rPr>
                                <w:rFonts w:ascii="Times New Roman" w:hAnsi="Times New Roman"/>
                                <w:b/>
                              </w:rPr>
                              <w:t>Utilisation des outils</w:t>
                            </w:r>
                            <w:r>
                              <w:rPr>
                                <w:rFonts w:ascii="Times New Roman" w:hAnsi="Times New Roman"/>
                              </w:rPr>
                              <w:t>: la Commission collaborera avec des partenaires de confiance pour diversifier les sources d’approvisionnement et travaillera à développer la production de l’UE. La révision à venir du règlement sur les puces contiendra des mesures d’atténuation des risques efficaces. La cybersécurité des semi-conducteurs basiques importés utilisés dans des applications liées à la sécurité devrait faire l’objet d’une évaluation approfondie au titre du règlement sur la cyberrésilience.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FB9210" id="_x0000_s1028" type="#_x0000_t202" style="position:absolute;left:0;text-align:left;margin-left:226.2pt;margin-top:36.65pt;width:226.2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">
                <v:textbox style="mso-fit-shape-to-text:t">
                  <w:txbxContent>
                    <w:p w14:paraId="0E01AB3B" w14:textId="33228A27" w:rsidR="00642C37" w:rsidRPr="0088393C" w:rsidRDefault="00642C37" w:rsidP="00642C37">
                      <w:pPr>
                        <w:spacing w:after="0"/>
                        <w:jc w:val="center"/>
                        <w:rPr>
                          <w:rFonts w:ascii="Times New Roman" w:hAnsi="Times New Roman" w:cs="Times New Roman"/>
                          <w:b/>
                          <w:bCs/>
                          <w:i/>
                          <w:iCs/>
                        </w:rPr>
                      </w:pPr>
                      <w:r>
                        <w:rPr>
                          <w:rFonts w:ascii="Times New Roman" w:hAnsi="Times New Roman"/>
                          <w:b/>
                          <w:i/>
                        </w:rPr>
                        <w:t>Exemple d’application: les semi-conducteurs basiques</w:t>
                      </w:r>
                    </w:p>
                    <w:p w14:paraId="7112BDB0" w14:textId="77777777" w:rsidR="00642C37" w:rsidRPr="007D0F74" w:rsidRDefault="00642C37" w:rsidP="00642C37">
                      <w:pPr>
                        <w:spacing w:after="0"/>
                        <w:jc w:val="both"/>
                        <w:rPr>
                          <w:rFonts w:ascii="Times New Roman" w:hAnsi="Times New Roman" w:cs="Times New Roman"/>
                        </w:rPr>
                      </w:pPr>
                      <w:r>
                        <w:rPr>
                          <w:rFonts w:ascii="Times New Roman" w:hAnsi="Times New Roman"/>
                          <w:b/>
                        </w:rPr>
                        <w:t>Le risque.</w:t>
                      </w:r>
                      <w:r>
                        <w:rPr>
                          <w:rFonts w:ascii="Times New Roman" w:hAnsi="Times New Roman"/>
                        </w:rPr>
                        <w:t xml:space="preserve"> La dépendance structurelle envers un seul fournisseur non européen pour la fabrication de puces basiques, à faibles marges, représente un risque pour plusieurs industries européennes. Ces semi-conducteurs sont un maillon essentiel de plusieurs chaînes d’approvisionnement. </w:t>
                      </w:r>
                    </w:p>
                    <w:p w14:paraId="7703FF2C" w14:textId="77777777" w:rsidR="00642C37" w:rsidRPr="002124F3" w:rsidRDefault="00642C37" w:rsidP="00642C37">
                      <w:pPr>
                        <w:spacing w:after="0"/>
                        <w:jc w:val="both"/>
                        <w:rPr>
                          <w:rFonts w:ascii="Times New Roman" w:hAnsi="Times New Roman" w:cs="Times New Roman"/>
                        </w:rPr>
                      </w:pPr>
                    </w:p>
                    <w:p w14:paraId="6F612D19" w14:textId="50E87D8E" w:rsidR="00642C37" w:rsidRPr="00815C83" w:rsidRDefault="00642C37" w:rsidP="00642C37">
                      <w:pPr>
                        <w:spacing w:after="0"/>
                        <w:jc w:val="both"/>
                        <w:rPr>
                          <w:rFonts w:ascii="Times New Roman" w:hAnsi="Times New Roman" w:cs="Times New Roman"/>
                        </w:rPr>
                      </w:pPr>
                      <w:r>
                        <w:rPr>
                          <w:rFonts w:ascii="Times New Roman" w:hAnsi="Times New Roman"/>
                          <w:b/>
                        </w:rPr>
                        <w:t>Utilisation des outils</w:t>
                      </w:r>
                      <w:r>
                        <w:rPr>
                          <w:rFonts w:ascii="Times New Roman" w:hAnsi="Times New Roman"/>
                        </w:rPr>
                        <w:t>: la Commission collaborera avec des partenaires de confiance pour diversifier les sources d’approvisionnement et travaillera à développer la production de l’UE. La révision à venir du règlement sur les puces contiendra des mesures d’atténuation des risques efficaces. La cybersécurité des semi-conducteurs basiques importés utilisés dans des applications liées à la sécurité devrait faire l’objet d’une évaluation approfondie au titre du règlement sur la cyberrésilience.</w:t>
                      </w:r>
                    </w:p>
                  </w:txbxContent>
                </v:textbox>
                <w10:wrap type="square"/>
              </v:shape>
            </w:pict>
          </mc:Fallback>
        </mc:AlternateContent>
      </w:r>
      <w:r>
        <w:rPr>
          <w:rFonts w:ascii="Times New Roman" w:hAnsi="Times New Roman"/>
          <w:noProof/>
          <w:sz w:val="24"/>
        </w:rPr>
        <w:t xml:space="preserve">médicaments critiques, fournitures alimentaires etc.); iii) poser le risque de perturbations intersectorielles à grande échelle (intrusion dans les réseaux de télécommunications, dépendance à un fournisseur unique de services en nuage, arrêt brutal de services numériques etc.); iv) </w:t>
      </w:r>
      <w:r>
        <w:rPr>
          <w:rFonts w:ascii="Times New Roman" w:hAnsi="Times New Roman"/>
          <w:b/>
          <w:noProof/>
          <w:sz w:val="24"/>
        </w:rPr>
        <w:t>compromettre la compétitivité de l’Union en ralentissant les transitions écologique et numérique</w:t>
      </w:r>
      <w:r>
        <w:rPr>
          <w:rFonts w:ascii="Times New Roman" w:hAnsi="Times New Roman"/>
          <w:noProof/>
          <w:sz w:val="24"/>
        </w:rPr>
        <w:t xml:space="preserve"> en cas de rupture d’approvisionnement (batteries, aimants permanents, produits et composants de technologies propres, matériaux avancés etc.); v) porter atteinte à l’autonomie des États membres en matière de développement et de mobilisation de leurs </w:t>
      </w:r>
      <w:r>
        <w:rPr>
          <w:rFonts w:ascii="Times New Roman" w:hAnsi="Times New Roman"/>
          <w:b/>
          <w:noProof/>
          <w:sz w:val="24"/>
        </w:rPr>
        <w:t>capacités militaires</w:t>
      </w:r>
      <w:r>
        <w:rPr>
          <w:rFonts w:ascii="Times New Roman" w:hAnsi="Times New Roman"/>
          <w:noProof/>
          <w:sz w:val="24"/>
        </w:rPr>
        <w:t xml:space="preserve">; vi) menacer la souveraineté alimentaire de l’UE. </w:t>
      </w:r>
    </w:p>
    <w:p w14:paraId="1791F141" w14:textId="5959E20D" w:rsidR="00AD0D16" w:rsidRPr="0002625D" w:rsidRDefault="00742178" w:rsidP="009A00B3">
      <w:pPr>
        <w:spacing w:after="120"/>
        <w:jc w:val="both"/>
        <w:rPr>
          <w:rFonts w:ascii="Times New Roman" w:hAnsi="Times New Roman" w:cs="Times New Roman"/>
          <w:noProof/>
          <w:sz w:val="24"/>
          <w:szCs w:val="24"/>
        </w:rPr>
      </w:pPr>
      <w:r>
        <w:rPr>
          <w:rFonts w:ascii="Times New Roman" w:hAnsi="Times New Roman"/>
          <w:b/>
          <w:noProof/>
          <w:sz w:val="24"/>
        </w:rPr>
        <w:t>Objectif.</w:t>
      </w:r>
      <w:r>
        <w:rPr>
          <w:rFonts w:ascii="Times New Roman" w:hAnsi="Times New Roman"/>
          <w:noProof/>
          <w:sz w:val="24"/>
        </w:rPr>
        <w:t xml:space="preserve"> La Commission et les États membres tâcheront de </w:t>
      </w:r>
      <w:r>
        <w:rPr>
          <w:rFonts w:ascii="Times New Roman" w:hAnsi="Times New Roman"/>
          <w:b/>
          <w:noProof/>
          <w:sz w:val="24"/>
        </w:rPr>
        <w:t>réduire au minimum le risque de perturbations à court terme</w:t>
      </w:r>
      <w:r>
        <w:rPr>
          <w:rFonts w:ascii="Times New Roman" w:hAnsi="Times New Roman"/>
          <w:noProof/>
          <w:sz w:val="24"/>
        </w:rPr>
        <w:t xml:space="preserve"> tout en mettant en œuvre des mesures visant à </w:t>
      </w:r>
      <w:r>
        <w:rPr>
          <w:rFonts w:ascii="Times New Roman" w:hAnsi="Times New Roman"/>
          <w:b/>
          <w:noProof/>
          <w:sz w:val="24"/>
        </w:rPr>
        <w:t>résorber progressivement les dépendances à haut risque que connaît actuellement le marché unique</w:t>
      </w:r>
      <w:r>
        <w:rPr>
          <w:rFonts w:ascii="Times New Roman" w:hAnsi="Times New Roman"/>
          <w:noProof/>
          <w:sz w:val="24"/>
        </w:rPr>
        <w:t xml:space="preserve"> et à </w:t>
      </w:r>
      <w:r>
        <w:rPr>
          <w:rFonts w:ascii="Times New Roman" w:hAnsi="Times New Roman"/>
          <w:b/>
          <w:noProof/>
          <w:sz w:val="24"/>
        </w:rPr>
        <w:t>combattre les tentatives d’en créer de nouvelles</w:t>
      </w:r>
      <w:r>
        <w:rPr>
          <w:rFonts w:ascii="Times New Roman" w:hAnsi="Times New Roman"/>
          <w:noProof/>
          <w:sz w:val="24"/>
        </w:rPr>
        <w:t>. La Commission utilisera ses outils pour surveiller la chaîne d’approvisionnement, créer un cadre favorable à la diversification de l’approvisionnement et prévenir le sapement des efforts de l’UE en remédiant aux distorsions de concurrence dans le marché unique. Les mesures en faveur de l’économie circulaire joueront aussi un rôle important.</w:t>
      </w:r>
    </w:p>
    <w:p w14:paraId="0A1424C9" w14:textId="71FBDD7E" w:rsidR="00371E1D" w:rsidRPr="0002625D" w:rsidRDefault="00507078" w:rsidP="009A00B3">
      <w:pPr>
        <w:spacing w:after="120"/>
        <w:jc w:val="both"/>
        <w:rPr>
          <w:rFonts w:ascii="Times New Roman" w:hAnsi="Times New Roman" w:cs="Times New Roman"/>
          <w:noProof/>
          <w:sz w:val="24"/>
          <w:szCs w:val="24"/>
        </w:rPr>
      </w:pPr>
      <w:r>
        <w:rPr>
          <w:rFonts w:ascii="Times New Roman" w:hAnsi="Times New Roman"/>
          <w:noProof/>
          <w:sz w:val="24"/>
        </w:rPr>
        <w:t>La Commission prendra les mesures nécessaires pour protéger ces chaînes d’approvisionnement supplétives du dumping et de la manipulation des prix.</w:t>
      </w:r>
    </w:p>
    <w:p w14:paraId="364CE81C" w14:textId="67028BC6" w:rsidR="00FD7750" w:rsidRPr="0002625D" w:rsidRDefault="00FD7750" w:rsidP="009A00B3">
      <w:pPr>
        <w:spacing w:after="120"/>
        <w:jc w:val="both"/>
        <w:rPr>
          <w:rFonts w:ascii="Times New Roman" w:hAnsi="Times New Roman" w:cs="Times New Roman"/>
          <w:noProof/>
          <w:sz w:val="24"/>
          <w:szCs w:val="24"/>
        </w:rPr>
      </w:pPr>
      <w:r>
        <w:rPr>
          <w:rFonts w:ascii="Times New Roman" w:hAnsi="Times New Roman"/>
          <w:noProof/>
          <w:sz w:val="24"/>
        </w:rPr>
        <w:t xml:space="preserve">La Commission aidera les États membres à déployer pleinement et efficacement les outils existants, notamment les critères de résilience que les États membres devront faire jouer dès janvier </w:t>
      </w:r>
      <w:r w:rsidRPr="00814F13">
        <w:rPr>
          <w:rFonts w:ascii="Times New Roman" w:hAnsi="Times New Roman"/>
          <w:noProof/>
          <w:sz w:val="24"/>
        </w:rPr>
        <w:t>2026</w:t>
      </w:r>
      <w:r>
        <w:rPr>
          <w:rFonts w:ascii="Times New Roman" w:hAnsi="Times New Roman"/>
          <w:noProof/>
          <w:sz w:val="24"/>
        </w:rPr>
        <w:t xml:space="preserve"> dans leurs marchés publics, enchères et régimes d’aide publique en vertu du règlement pour une industrie «zéro net».</w:t>
      </w:r>
    </w:p>
    <w:p w14:paraId="27A1540D" w14:textId="6D064431" w:rsidR="00742178" w:rsidRDefault="2B480A9A" w:rsidP="009A00B3">
      <w:pPr>
        <w:spacing w:after="120"/>
        <w:jc w:val="both"/>
        <w:rPr>
          <w:rFonts w:ascii="Times New Roman" w:hAnsi="Times New Roman" w:cs="Times New Roman"/>
          <w:noProof/>
          <w:sz w:val="24"/>
          <w:szCs w:val="24"/>
        </w:rPr>
      </w:pPr>
      <w:r>
        <w:rPr>
          <w:rFonts w:ascii="Times New Roman" w:hAnsi="Times New Roman"/>
          <w:noProof/>
          <w:sz w:val="24"/>
        </w:rPr>
        <w:t xml:space="preserve">La Commission prendra aussi des mesures pour développer les </w:t>
      </w:r>
      <w:r>
        <w:rPr>
          <w:rFonts w:ascii="Times New Roman" w:hAnsi="Times New Roman"/>
          <w:b/>
          <w:noProof/>
          <w:sz w:val="24"/>
        </w:rPr>
        <w:t>capacités internes de l’UE</w:t>
      </w:r>
      <w:r>
        <w:rPr>
          <w:rFonts w:ascii="Times New Roman" w:hAnsi="Times New Roman"/>
          <w:noProof/>
          <w:sz w:val="24"/>
        </w:rPr>
        <w:t xml:space="preserve"> et diversifier l’approvisionnement </w:t>
      </w:r>
      <w:r>
        <w:rPr>
          <w:rFonts w:ascii="Times New Roman" w:hAnsi="Times New Roman"/>
          <w:b/>
          <w:noProof/>
          <w:sz w:val="24"/>
        </w:rPr>
        <w:t>grâce à la coopération avec ses partenaires, notamment en s’appuyant sur son vaste réseau d’accords commerciaux et d’autres formes de coopération bilatérale et plurilatérale</w:t>
      </w:r>
      <w:r>
        <w:rPr>
          <w:rFonts w:ascii="Times New Roman" w:hAnsi="Times New Roman"/>
          <w:noProof/>
          <w:sz w:val="24"/>
        </w:rPr>
        <w:t xml:space="preserve">. Ainsi, elle envisagera la production de certains produits critiques dans les pays candidats, ou les pays partenaires de l’UE, au Moyen-Orient et en Afrique du Nord par exemple. Des chaînes d’approvisionnement diversifiées renforceront la résilience de l’UE et ouvriront de nouvelles perspectives à ses entreprises. La Commission continuera de détecter et de surveiller en permanence les vulnérabilités des chaînes d’approvisionnement et les </w:t>
      </w:r>
      <w:r>
        <w:rPr>
          <w:rFonts w:ascii="Times New Roman" w:hAnsi="Times New Roman"/>
          <w:b/>
          <w:noProof/>
          <w:sz w:val="24"/>
        </w:rPr>
        <w:t>dépendances à haut risque</w:t>
      </w:r>
      <w:r>
        <w:rPr>
          <w:rFonts w:ascii="Times New Roman" w:hAnsi="Times New Roman"/>
          <w:noProof/>
          <w:sz w:val="24"/>
        </w:rPr>
        <w:t xml:space="preserve"> dans le cadre de son processus d’évaluation des risques et de ses échanges avec les États membres et l’industrie. </w:t>
      </w:r>
      <w:bookmarkStart w:id="6" w:name="_Hlk215404940"/>
      <w:r>
        <w:rPr>
          <w:rFonts w:ascii="Times New Roman" w:hAnsi="Times New Roman"/>
          <w:noProof/>
          <w:sz w:val="24"/>
        </w:rPr>
        <w:t xml:space="preserve">. </w:t>
      </w:r>
      <w:bookmarkEnd w:id="6"/>
    </w:p>
    <w:p w14:paraId="75F5BE00" w14:textId="45D00D94" w:rsidR="001834C8" w:rsidRPr="0002625D" w:rsidRDefault="009A5CA9" w:rsidP="009A00B3">
      <w:pPr>
        <w:spacing w:after="120"/>
        <w:jc w:val="both"/>
        <w:rPr>
          <w:rFonts w:ascii="Times New Roman" w:hAnsi="Times New Roman" w:cs="Times New Roman"/>
          <w:noProof/>
          <w:sz w:val="24"/>
          <w:szCs w:val="24"/>
          <w:u w:val="single"/>
        </w:rPr>
      </w:pPr>
      <w:r w:rsidRPr="00814F13">
        <w:rPr>
          <w:rFonts w:ascii="Times New Roman" w:hAnsi="Times New Roman"/>
          <w:noProof/>
          <w:sz w:val="24"/>
          <w:u w:val="single"/>
        </w:rPr>
        <w:t>3</w:t>
      </w:r>
      <w:r>
        <w:rPr>
          <w:rFonts w:ascii="Times New Roman" w:hAnsi="Times New Roman"/>
          <w:noProof/>
          <w:sz w:val="24"/>
          <w:u w:val="single"/>
        </w:rPr>
        <w:t>.</w:t>
      </w:r>
      <w:r w:rsidRPr="00814F13">
        <w:rPr>
          <w:rFonts w:ascii="Times New Roman" w:hAnsi="Times New Roman"/>
          <w:noProof/>
          <w:sz w:val="24"/>
          <w:u w:val="single"/>
        </w:rPr>
        <w:t>2</w:t>
      </w:r>
      <w:r>
        <w:rPr>
          <w:rFonts w:ascii="Times New Roman" w:hAnsi="Times New Roman"/>
          <w:noProof/>
          <w:sz w:val="24"/>
          <w:u w:val="single"/>
        </w:rPr>
        <w:t xml:space="preserve">. Attirer dans l’UE des investissements à forte valeur ajoutée qui renforcent sa sécurité économique </w:t>
      </w:r>
    </w:p>
    <w:p w14:paraId="3B62E8F2" w14:textId="228DF94A" w:rsidR="003A2C2F" w:rsidRPr="0002625D" w:rsidRDefault="0F24274D" w:rsidP="7C2DE029">
      <w:pPr>
        <w:spacing w:after="120"/>
        <w:jc w:val="both"/>
        <w:rPr>
          <w:rFonts w:ascii="Times New Roman" w:hAnsi="Times New Roman" w:cs="Times New Roman"/>
          <w:noProof/>
          <w:sz w:val="24"/>
          <w:szCs w:val="24"/>
        </w:rPr>
      </w:pPr>
      <w:r>
        <w:rPr>
          <w:rFonts w:ascii="Times New Roman" w:hAnsi="Times New Roman"/>
          <w:b/>
          <w:noProof/>
          <w:sz w:val="24"/>
        </w:rPr>
        <w:t>Le risque.</w:t>
      </w:r>
      <w:r>
        <w:rPr>
          <w:rFonts w:ascii="Times New Roman" w:hAnsi="Times New Roman"/>
          <w:noProof/>
          <w:sz w:val="24"/>
        </w:rPr>
        <w:t xml:space="preserve"> Les investissements entrants stimulent la résilience et la compétitivité de l’UE en créant des emplois, en développant les capacités industrielles, en faisant jouer les effets de levier et d’échelle et en favorisant l’innovation et le transfert de technologies. Toutefois, certaines formes d’investissements entrants peuvent présenter des risques. Ces risques sont notamment les suivants: i) les risques pour </w:t>
      </w:r>
      <w:r>
        <w:rPr>
          <w:rFonts w:ascii="Times New Roman" w:hAnsi="Times New Roman"/>
          <w:b/>
          <w:noProof/>
          <w:sz w:val="24"/>
        </w:rPr>
        <w:t>la sécurité et l’ordre public</w:t>
      </w:r>
      <w:r>
        <w:rPr>
          <w:rFonts w:ascii="Times New Roman" w:hAnsi="Times New Roman"/>
          <w:noProof/>
          <w:sz w:val="24"/>
        </w:rPr>
        <w:t xml:space="preserve">, concernant notamment l’accès aux données sensibles (géolocalisation, données biométriques, secrets d’affaires etc.), l’accès aux infrastructures critiques, l’accès aux technologies à double usage et à d’autres technologies critiques; ii) les risques pour </w:t>
      </w:r>
      <w:r>
        <w:rPr>
          <w:rFonts w:ascii="Times New Roman" w:hAnsi="Times New Roman"/>
          <w:b/>
          <w:noProof/>
          <w:sz w:val="24"/>
        </w:rPr>
        <w:t>la résilience économique</w:t>
      </w:r>
      <w:r>
        <w:rPr>
          <w:rFonts w:ascii="Times New Roman" w:hAnsi="Times New Roman"/>
          <w:noProof/>
          <w:sz w:val="24"/>
        </w:rPr>
        <w:t xml:space="preserve">, comme les dépendances sévères ou les situations où un seul maillon faible d’une chaîne d’approvisionnement critique, contrôlé par des entités à haut risque ou des pays tiers, menace notre sécurité économique (batteries, matières premières critiques, logiciels et composants etc.), en rendant l’UE vulnérable à des ruptures d’approvisionnement ou à une instrumentalisation; iii) les risques pour </w:t>
      </w:r>
      <w:r>
        <w:rPr>
          <w:rFonts w:ascii="Times New Roman" w:hAnsi="Times New Roman"/>
          <w:b/>
          <w:noProof/>
          <w:sz w:val="24"/>
        </w:rPr>
        <w:t>la compétitivité</w:t>
      </w:r>
      <w:r>
        <w:rPr>
          <w:rFonts w:ascii="Times New Roman" w:hAnsi="Times New Roman"/>
          <w:noProof/>
          <w:sz w:val="24"/>
        </w:rPr>
        <w:t>, comme l’absence de transfert technologique, un apport de valeur ajoutée limité (chaînes d’assemblage uniquement par exemple), ou le recours à des travailleurs venant du pays de l’investisseur</w:t>
      </w:r>
      <w:r>
        <w:rPr>
          <w:noProof/>
          <w:lang w:val="en-GB" w:eastAsia="en-GB"/>
        </w:rPr>
        <mc:AlternateContent>
          <mc:Choice Requires="wps">
            <w:drawing>
              <wp:anchor distT="45720" distB="45720" distL="114300" distR="114300" simplePos="0" relativeHeight="251651072" behindDoc="0" locked="0" layoutInCell="1" allowOverlap="1" wp14:anchorId="01FC26BC" wp14:editId="0F32CA24">
                <wp:simplePos x="0" y="0"/>
                <wp:positionH relativeFrom="column">
                  <wp:posOffset>2583815</wp:posOffset>
                </wp:positionH>
                <wp:positionV relativeFrom="paragraph">
                  <wp:posOffset>1879600</wp:posOffset>
                </wp:positionV>
                <wp:extent cx="3314700" cy="1404620"/>
                <wp:effectExtent l="0" t="0" r="19050" b="11430"/>
                <wp:wrapSquare wrapText="bothSides"/>
                <wp:docPr id="1716318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404620"/>
                        </a:xfrm>
                        <a:prstGeom prst="rect">
                          <a:avLst/>
                        </a:prstGeom>
                        <a:solidFill>
                          <a:srgbClr val="FFFFFF"/>
                        </a:solidFill>
                        <a:ln w="9525">
                          <a:solidFill>
                            <a:srgbClr val="000000"/>
                          </a:solidFill>
                          <a:miter lim="800000"/>
                          <a:headEnd/>
                          <a:tailEnd/>
                        </a:ln>
                      </wps:spPr>
                      <wps:txbx>
                        <w:txbxContent>
                          <w:p w14:paraId="0AB11D4D" w14:textId="3E9F2B9A" w:rsidR="00CD3145" w:rsidRPr="00815C83" w:rsidRDefault="00590C60" w:rsidP="00CD3145">
                            <w:pPr>
                              <w:spacing w:after="0"/>
                              <w:jc w:val="center"/>
                              <w:rPr>
                                <w:rFonts w:ascii="Times New Roman" w:hAnsi="Times New Roman" w:cs="Times New Roman"/>
                                <w:b/>
                                <w:bCs/>
                                <w:i/>
                                <w:iCs/>
                              </w:rPr>
                            </w:pPr>
                            <w:r>
                              <w:rPr>
                                <w:rFonts w:ascii="Times New Roman" w:hAnsi="Times New Roman"/>
                                <w:b/>
                                <w:i/>
                              </w:rPr>
                              <w:t>Exemple: véhicules électriques à accumulateur</w:t>
                            </w:r>
                          </w:p>
                          <w:p w14:paraId="57DD2B27" w14:textId="3A5D88FB" w:rsidR="00CD3145" w:rsidRPr="00815C83" w:rsidRDefault="00CD3145" w:rsidP="00815C83">
                            <w:pPr>
                              <w:spacing w:after="0"/>
                              <w:jc w:val="both"/>
                              <w:rPr>
                                <w:rFonts w:ascii="Times New Roman" w:hAnsi="Times New Roman" w:cs="Times New Roman"/>
                              </w:rPr>
                            </w:pPr>
                            <w:r>
                              <w:rPr>
                                <w:rFonts w:ascii="Times New Roman" w:hAnsi="Times New Roman"/>
                                <w:b/>
                              </w:rPr>
                              <w:t>Le risque.</w:t>
                            </w:r>
                            <w:r>
                              <w:rPr>
                                <w:rFonts w:ascii="Times New Roman" w:hAnsi="Times New Roman"/>
                              </w:rPr>
                              <w:t xml:space="preserve"> La position dominante de certains fabricants de véhicules électriques et le contrôle jaloux des technologies que nécessite cette production risquent de faire perdre au secteur automobile son rôle clé dans l’économie de l’Union, alors que ces fabricants tirent profit du marché de l’UE. Les véhicules connectés présentent aussi des risques inhérents de cybersécurité.</w:t>
                            </w:r>
                          </w:p>
                          <w:p w14:paraId="08302118" w14:textId="77777777" w:rsidR="00B95591" w:rsidRDefault="00B95591" w:rsidP="00CD3145">
                            <w:pPr>
                              <w:spacing w:after="0"/>
                              <w:rPr>
                                <w:rFonts w:ascii="Times New Roman" w:hAnsi="Times New Roman" w:cs="Times New Roman"/>
                                <w:b/>
                                <w:bCs/>
                              </w:rPr>
                            </w:pPr>
                          </w:p>
                          <w:p w14:paraId="308E6CF0" w14:textId="544673F8" w:rsidR="00CD3145" w:rsidRPr="00815C83" w:rsidRDefault="00CD3145" w:rsidP="00815C83">
                            <w:pPr>
                              <w:spacing w:after="0"/>
                              <w:jc w:val="both"/>
                              <w:rPr>
                                <w:rFonts w:ascii="Times New Roman" w:hAnsi="Times New Roman" w:cs="Times New Roman"/>
                              </w:rPr>
                            </w:pPr>
                            <w:r>
                              <w:rPr>
                                <w:rFonts w:ascii="Times New Roman" w:hAnsi="Times New Roman"/>
                                <w:b/>
                              </w:rPr>
                              <w:t>Utilisation des outils</w:t>
                            </w:r>
                            <w:r>
                              <w:rPr>
                                <w:rFonts w:ascii="Times New Roman" w:hAnsi="Times New Roman"/>
                              </w:rPr>
                              <w:t>: la Commission étudie les moyens d’encourager les investissements à valeur ajoutée, y compris par des ajustements de sa politique commerciale et de concurrence. Elle continuera de surveiller les flux commerciaux et d’appliquer des mesures d’atténuation pour réduire les risques dus aux véhicules connectés, de soutenir les investissements dans la prochaine génération des technologies des véhicules électriques pour que l’Europe reste résiliente et compétitive et, le cas échéant, de limiter l’exposition à des entités à haut risque dans le domaine des composants connectés des véhicules électriques.</w:t>
                            </w:r>
                            <w:r>
                              <w:t xml:space="preserve"> </w:t>
                            </w:r>
                            <w:r>
                              <w:rPr>
                                <w:rFonts w:ascii="Times New Roman" w:hAnsi="Times New Roman"/>
                              </w:rPr>
                              <w:t>Elle encouragera aussi le partage des technologies et savoir-faire susceptibles de renforcer les objectifs de sécurité économique de l’UE.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FC26BC" id="_x0000_s1029" type="#_x0000_t202" style="position:absolute;left:0;text-align:left;margin-left:203.45pt;margin-top:148pt;width:261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">
                <v:textbox style="mso-fit-shape-to-text:t">
                  <w:txbxContent>
                    <w:p w14:paraId="0AB11D4D" w14:textId="3E9F2B9A" w:rsidR="00CD3145" w:rsidRPr="00815C83" w:rsidRDefault="00590C60" w:rsidP="00CD3145">
                      <w:pPr>
                        <w:spacing w:after="0"/>
                        <w:jc w:val="center"/>
                        <w:rPr>
                          <w:rFonts w:ascii="Times New Roman" w:hAnsi="Times New Roman" w:cs="Times New Roman"/>
                          <w:b/>
                          <w:bCs/>
                          <w:i/>
                          <w:iCs/>
                        </w:rPr>
                      </w:pPr>
                      <w:r>
                        <w:rPr>
                          <w:rFonts w:ascii="Times New Roman" w:hAnsi="Times New Roman"/>
                          <w:b/>
                          <w:i/>
                        </w:rPr>
                        <w:t>Exemple: véhicules électriques à accumulateur</w:t>
                      </w:r>
                    </w:p>
                    <w:p w14:paraId="57DD2B27" w14:textId="3A5D88FB" w:rsidR="00CD3145" w:rsidRPr="00815C83" w:rsidRDefault="00CD3145" w:rsidP="00815C83">
                      <w:pPr>
                        <w:spacing w:after="0"/>
                        <w:jc w:val="both"/>
                        <w:rPr>
                          <w:rFonts w:ascii="Times New Roman" w:hAnsi="Times New Roman" w:cs="Times New Roman"/>
                        </w:rPr>
                      </w:pPr>
                      <w:r>
                        <w:rPr>
                          <w:rFonts w:ascii="Times New Roman" w:hAnsi="Times New Roman"/>
                          <w:b/>
                        </w:rPr>
                        <w:t>Le risque.</w:t>
                      </w:r>
                      <w:r>
                        <w:rPr>
                          <w:rFonts w:ascii="Times New Roman" w:hAnsi="Times New Roman"/>
                        </w:rPr>
                        <w:t xml:space="preserve"> La position dominante de certains fabricants de véhicules électriques et le contrôle jaloux des technologies que nécessite cette production risquent de faire perdre au secteur automobile son rôle clé dans l’économie de l’Union, alors que ces fabricants tirent profit du marché de l’UE. Les véhicules connectés présentent aussi des risques inhérents de cybersécurité.</w:t>
                      </w:r>
                    </w:p>
                    <w:p w14:paraId="08302118" w14:textId="77777777" w:rsidR="00B95591" w:rsidRDefault="00B95591" w:rsidP="00CD3145">
                      <w:pPr>
                        <w:spacing w:after="0"/>
                        <w:rPr>
                          <w:rFonts w:ascii="Times New Roman" w:hAnsi="Times New Roman" w:cs="Times New Roman"/>
                          <w:b/>
                          <w:bCs/>
                        </w:rPr>
                      </w:pPr>
                    </w:p>
                    <w:p w14:paraId="308E6CF0" w14:textId="544673F8" w:rsidR="00CD3145" w:rsidRPr="00815C83" w:rsidRDefault="00CD3145" w:rsidP="00815C83">
                      <w:pPr>
                        <w:spacing w:after="0"/>
                        <w:jc w:val="both"/>
                        <w:rPr>
                          <w:rFonts w:ascii="Times New Roman" w:hAnsi="Times New Roman" w:cs="Times New Roman"/>
                        </w:rPr>
                      </w:pPr>
                      <w:r>
                        <w:rPr>
                          <w:rFonts w:ascii="Times New Roman" w:hAnsi="Times New Roman"/>
                          <w:b/>
                        </w:rPr>
                        <w:t>Utilisation des outils</w:t>
                      </w:r>
                      <w:r>
                        <w:rPr>
                          <w:rFonts w:ascii="Times New Roman" w:hAnsi="Times New Roman"/>
                        </w:rPr>
                        <w:t>: la Commission étudie les moyens d’encourager les investissements à valeur ajoutée, y compris par des ajustements de sa politique commerciale et de concurrence. Elle continuera de surveiller les flux commerciaux et d’appliquer des mesures d’atténuation pour réduire les risques dus aux véhicules connectés, de soutenir les investissements dans la prochaine génération des technologies des véhicules électriques pour que l’Europe reste résiliente et compétitive et, le cas échéant, de limiter l’exposition à des entités à haut risque dans le domaine des composants connectés des véhicules électriques.</w:t>
                      </w:r>
                      <w:r>
                        <w:t xml:space="preserve"> </w:t>
                      </w:r>
                      <w:r>
                        <w:rPr>
                          <w:rFonts w:ascii="Times New Roman" w:hAnsi="Times New Roman"/>
                        </w:rPr>
                        <w:t>Elle encouragera aussi le partage des technologies et savoir-faire susceptibles de renforcer les objectifs de sécurité économique de l’UE.</w:t>
                      </w:r>
                    </w:p>
                  </w:txbxContent>
                </v:textbox>
                <w10:wrap type="square"/>
              </v:shape>
            </w:pict>
          </mc:Fallback>
        </mc:AlternateContent>
      </w:r>
      <w:r>
        <w:rPr>
          <w:rFonts w:ascii="Times New Roman" w:hAnsi="Times New Roman"/>
          <w:noProof/>
          <w:sz w:val="24"/>
        </w:rPr>
        <w:t xml:space="preserve"> avec les conséquences que cela entraîne sur le marché du travail local. </w:t>
      </w:r>
    </w:p>
    <w:p w14:paraId="16D30663" w14:textId="4BE17CCD" w:rsidR="00207131" w:rsidRPr="002837EB" w:rsidRDefault="32436ABE" w:rsidP="00815C83">
      <w:pPr>
        <w:spacing w:after="120"/>
        <w:jc w:val="both"/>
        <w:rPr>
          <w:rFonts w:ascii="Times New Roman" w:hAnsi="Times New Roman" w:cs="Times New Roman"/>
          <w:noProof/>
          <w:sz w:val="24"/>
          <w:szCs w:val="24"/>
        </w:rPr>
      </w:pPr>
      <w:r>
        <w:rPr>
          <w:rFonts w:ascii="Times New Roman" w:hAnsi="Times New Roman"/>
          <w:b/>
          <w:noProof/>
          <w:sz w:val="24"/>
        </w:rPr>
        <w:t xml:space="preserve">Objectif. </w:t>
      </w:r>
      <w:r>
        <w:rPr>
          <w:rFonts w:ascii="Times New Roman" w:hAnsi="Times New Roman"/>
          <w:noProof/>
          <w:sz w:val="24"/>
        </w:rPr>
        <w:t xml:space="preserve">La Commission s’attachera en priorité à ce que l’UE reste ouverte et attrayante pour les investissements étrangers, en trouvant un équilibre, lorsque la sécurité économique de l’UE le requiert, entre cette ouverture et l’impératif d’éviter que des dépendances ne se creusent ou ne se créent. Par ailleurs, il est crucial de préserver la capacité des entreprises de l’UE à innover, par exemple en achetant à l’étranger les droits de propriété intellectuelle clés d’acteurs de pointe émergents, et de garantir la sécurité de l’approvisionnement et la continuité de l’activité. La Commission fera appel à ses instruments et initiatives pour concevoir et appliquer des mesures ciblées, qui soumettraient par exemple les investissements entrants à des conditions favorables au transfert de technologies pour les entités provenant de pays qui attaquent délibérément notre sécurité économique. </w:t>
      </w:r>
    </w:p>
    <w:p w14:paraId="0F2FEF87" w14:textId="12F9B0C0" w:rsidR="00D642E2" w:rsidRPr="002837EB" w:rsidRDefault="73DA0FB4" w:rsidP="00D642E2">
      <w:pPr>
        <w:spacing w:after="120"/>
        <w:jc w:val="both"/>
        <w:rPr>
          <w:rFonts w:ascii="Times New Roman" w:hAnsi="Times New Roman" w:cs="Times New Roman"/>
          <w:noProof/>
          <w:sz w:val="24"/>
          <w:szCs w:val="24"/>
          <w:u w:val="single"/>
        </w:rPr>
      </w:pPr>
      <w:r w:rsidRPr="00814F13">
        <w:rPr>
          <w:rFonts w:ascii="Times New Roman" w:hAnsi="Times New Roman"/>
          <w:noProof/>
          <w:sz w:val="24"/>
          <w:u w:val="single"/>
        </w:rPr>
        <w:t>3</w:t>
      </w:r>
      <w:r>
        <w:rPr>
          <w:rFonts w:ascii="Times New Roman" w:hAnsi="Times New Roman"/>
          <w:noProof/>
          <w:sz w:val="24"/>
          <w:u w:val="single"/>
        </w:rPr>
        <w:t>.</w:t>
      </w:r>
      <w:r w:rsidRPr="00814F13">
        <w:rPr>
          <w:rFonts w:ascii="Times New Roman" w:hAnsi="Times New Roman"/>
          <w:noProof/>
          <w:sz w:val="24"/>
          <w:u w:val="single"/>
        </w:rPr>
        <w:t>3</w:t>
      </w:r>
      <w:r>
        <w:rPr>
          <w:rFonts w:ascii="Times New Roman" w:hAnsi="Times New Roman"/>
          <w:noProof/>
          <w:sz w:val="24"/>
          <w:u w:val="single"/>
        </w:rPr>
        <w:t xml:space="preserve">. Soutenir le dynamisme de la base industrielle de la défense et de l’espace, tout comme d’autres secteurs industriels à haut risque </w:t>
      </w:r>
    </w:p>
    <w:p w14:paraId="6BC2187F" w14:textId="37898BF3" w:rsidR="00212384" w:rsidRPr="002837EB" w:rsidRDefault="60ADFF23" w:rsidP="009A00B3">
      <w:pPr>
        <w:spacing w:after="120"/>
        <w:jc w:val="both"/>
        <w:rPr>
          <w:rFonts w:ascii="Times New Roman" w:eastAsiaTheme="minorEastAsia" w:hAnsi="Times New Roman" w:cs="Times New Roman"/>
          <w:noProof/>
          <w:sz w:val="24"/>
          <w:szCs w:val="24"/>
        </w:rPr>
      </w:pPr>
      <w:r>
        <w:rPr>
          <w:rFonts w:ascii="Times New Roman" w:hAnsi="Times New Roman"/>
          <w:b/>
          <w:noProof/>
          <w:sz w:val="24"/>
        </w:rPr>
        <w:t>Le risque.</w:t>
      </w:r>
      <w:r>
        <w:rPr>
          <w:rFonts w:ascii="Times New Roman" w:hAnsi="Times New Roman"/>
          <w:noProof/>
          <w:sz w:val="24"/>
        </w:rPr>
        <w:t xml:space="preserve"> La guerre d’agression menée par la Russie contre l’Ukraine, la montée des tensions géopolitiques et l’instrumentalisation des liens de dépendance commerciale à des fins politiques soulignent l’importance d’investir dans une base industrielle européenne dynamique, notamment dans les secteurs de la défense et de l’espace et dans les secteurs stratégiques à double usage, tels que les transports (aviation, aéronautique, construction navale, ports etc.), qui nourrit toute l’économie de l’UE et soutient son autonomie stratégique. Les risques pour une telle base industrielle sont notamment les suivants: i) des investissements (internes) insuffisants; ii) de faibles volumes de production combinés à un recours insuffisant en technologies internes pour les infrastructures institutionnelles; iii) des politiques et des pratiques des pays tiers contraires aux règles du marché, qui entraînent des distorsions sur les marchés mondiaux et régionaux; iv) des contrôles à l’exportation injustifiés ou disproportionnés des produits et technologies européens menés par des pays tiers (extraterritorialité des régimes d’exportation des pays tiers); v) une aliénation et une perte de contrôle causées par les acquisitions étrangères, comme les acquisitions de portefeuilles d’actifs dans certains cas; vi) un cadre réglementaire rigide et des marchés des capitaux fragmentés qui ne facilitent pas les flux de fonds et ne favorisent pas l’essor de technologies à double usage, à haut risque ou à haut rendement.</w:t>
      </w:r>
    </w:p>
    <w:p w14:paraId="324DA75A" w14:textId="6C0A1D87" w:rsidR="00AE6670" w:rsidRPr="002837EB" w:rsidRDefault="00F922F7" w:rsidP="2542A17A">
      <w:pPr>
        <w:spacing w:after="120"/>
        <w:jc w:val="both"/>
        <w:rPr>
          <w:rFonts w:ascii="Times New Roman" w:eastAsiaTheme="minorEastAsia"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61312" behindDoc="0" locked="0" layoutInCell="1" allowOverlap="1" wp14:anchorId="573D0BA8" wp14:editId="2EA4466C">
                <wp:simplePos x="0" y="0"/>
                <wp:positionH relativeFrom="column">
                  <wp:posOffset>24765</wp:posOffset>
                </wp:positionH>
                <wp:positionV relativeFrom="paragraph">
                  <wp:posOffset>59690</wp:posOffset>
                </wp:positionV>
                <wp:extent cx="3244850" cy="5163820"/>
                <wp:effectExtent l="0" t="0" r="12700" b="17780"/>
                <wp:wrapSquare wrapText="bothSides"/>
                <wp:docPr id="1839940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5163820"/>
                        </a:xfrm>
                        <a:prstGeom prst="rect">
                          <a:avLst/>
                        </a:prstGeom>
                        <a:solidFill>
                          <a:srgbClr val="FFFFFF"/>
                        </a:solidFill>
                        <a:ln w="9525">
                          <a:solidFill>
                            <a:srgbClr val="000000"/>
                          </a:solidFill>
                          <a:miter lim="800000"/>
                          <a:headEnd/>
                          <a:tailEnd/>
                        </a:ln>
                      </wps:spPr>
                      <wps:txbx>
                        <w:txbxContent>
                          <w:p w14:paraId="7D25132B" w14:textId="77777777" w:rsidR="009B33C5" w:rsidRPr="00815C83" w:rsidRDefault="009B33C5" w:rsidP="009B33C5">
                            <w:pPr>
                              <w:spacing w:after="120"/>
                              <w:jc w:val="center"/>
                              <w:rPr>
                                <w:rFonts w:ascii="Times New Roman" w:hAnsi="Times New Roman" w:cs="Times New Roman"/>
                                <w:b/>
                                <w:bCs/>
                                <w:i/>
                                <w:iCs/>
                              </w:rPr>
                            </w:pPr>
                            <w:r>
                              <w:rPr>
                                <w:rFonts w:ascii="Times New Roman" w:hAnsi="Times New Roman"/>
                                <w:b/>
                                <w:i/>
                              </w:rPr>
                              <w:t xml:space="preserve">Exemple d’application: les composants essentiels des drones et systèmes antidrones </w:t>
                            </w:r>
                          </w:p>
                          <w:p w14:paraId="125D4EF0" w14:textId="68D15CE4" w:rsidR="009B33C5" w:rsidRPr="0088393C" w:rsidRDefault="009B33C5" w:rsidP="009B33C5">
                            <w:pPr>
                              <w:spacing w:after="0"/>
                              <w:jc w:val="both"/>
                              <w:rPr>
                                <w:rFonts w:ascii="Times New Roman" w:hAnsi="Times New Roman" w:cs="Times New Roman"/>
                              </w:rPr>
                            </w:pPr>
                            <w:r>
                              <w:rPr>
                                <w:rFonts w:ascii="Times New Roman" w:hAnsi="Times New Roman"/>
                                <w:b/>
                              </w:rPr>
                              <w:t>Le risque.</w:t>
                            </w:r>
                            <w:r>
                              <w:rPr>
                                <w:rFonts w:ascii="Times New Roman" w:hAnsi="Times New Roman"/>
                              </w:rPr>
                              <w:t xml:space="preserve"> La dépendance à l’égard des fournisseurs de pays tiers pour les composants essentiels des drones, des batteries et des systèmes antidrones présente un risque, dans un domaine où l’expérience montre que l’efficacité opérationnelle des drones sur le champ de bataille dépend d’un cycle d’innovation extrêmement court (se comptant en mois voire en semaines). </w:t>
                            </w:r>
                          </w:p>
                          <w:p w14:paraId="33D457D9" w14:textId="76E93DEF" w:rsidR="009B33C5" w:rsidRPr="003D125A" w:rsidRDefault="009B33C5" w:rsidP="009B33C5">
                            <w:pPr>
                              <w:jc w:val="both"/>
                              <w:rPr>
                                <w:rFonts w:ascii="Times New Roman" w:hAnsi="Times New Roman" w:cs="Times New Roman"/>
                              </w:rPr>
                            </w:pPr>
                            <w:r>
                              <w:rPr>
                                <w:rFonts w:ascii="Times New Roman" w:hAnsi="Times New Roman"/>
                                <w:b/>
                              </w:rPr>
                              <w:t>Utilisation des outils</w:t>
                            </w:r>
                            <w:r>
                              <w:rPr>
                                <w:rFonts w:ascii="Times New Roman" w:hAnsi="Times New Roman"/>
                              </w:rPr>
                              <w:t>: la Commission utilisera les outils de ses programmes consacrés à l’industrie de la défense pour sanctuariser les capacités de production de l’UE et raccourcir les cycles d’innovation des technologies des drones, au regard de l’expérience sur le terrain. Elle continuera de renforcer la coopération et l’échange d’informations gracieux entre organismes compétents (agences nationales et organisations internationales de passation de marchés — OCCAR, AED, OTAN etc.) et dans le cadre des instruments/actions des programmes européens de soutien à l’industrie de la défense. Pour garantir la résilience de la chaîne d’approvisionnement, elle établira une cartographie ciblée des chaînes d’approvisionnement de certains produits et équipements, dont des biens à double usage, et soutiendra leur production par des cofinancements.</w:t>
                            </w:r>
                          </w:p>
                          <w:p w14:paraId="743ADED8" w14:textId="71ADAAC3" w:rsidR="009B33C5" w:rsidRPr="00815C83" w:rsidRDefault="009B33C5" w:rsidP="00815C83">
                            <w:pPr>
                              <w:spacing w:after="0"/>
                              <w:rPr>
                                <w:rFonts w:ascii="Times New Roman" w:hAnsi="Times New Roman" w:cs="Times New Roman"/>
                              </w:rPr>
                            </w:pPr>
                          </w:p>
                          <w:p w14:paraId="400D0264" w14:textId="6BFC2AE3" w:rsidR="009B33C5" w:rsidRPr="0087522D" w:rsidRDefault="009B33C5" w:rsidP="00815C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D0BA8" id="_x0000_s1030" type="#_x0000_t202" style="position:absolute;left:0;text-align:left;margin-left:1.95pt;margin-top:4.7pt;width:255.5pt;height:406.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">
                <v:textbox>
                  <w:txbxContent>
                    <w:p w14:paraId="7D25132B" w14:textId="77777777" w:rsidR="009B33C5" w:rsidRPr="00815C83" w:rsidRDefault="009B33C5" w:rsidP="009B33C5">
                      <w:pPr>
                        <w:spacing w:after="120"/>
                        <w:jc w:val="center"/>
                        <w:rPr>
                          <w:rFonts w:ascii="Times New Roman" w:hAnsi="Times New Roman" w:cs="Times New Roman"/>
                          <w:b/>
                          <w:bCs/>
                          <w:i/>
                          <w:iCs/>
                        </w:rPr>
                      </w:pPr>
                      <w:r>
                        <w:rPr>
                          <w:rFonts w:ascii="Times New Roman" w:hAnsi="Times New Roman"/>
                          <w:b/>
                          <w:i/>
                        </w:rPr>
                        <w:t xml:space="preserve">Exemple d’application: les composants essentiels des drones et systèmes antidrones </w:t>
                      </w:r>
                    </w:p>
                    <w:p w14:paraId="125D4EF0" w14:textId="68D15CE4" w:rsidR="009B33C5" w:rsidRPr="0088393C" w:rsidRDefault="009B33C5" w:rsidP="009B33C5">
                      <w:pPr>
                        <w:spacing w:after="0"/>
                        <w:jc w:val="both"/>
                        <w:rPr>
                          <w:rFonts w:ascii="Times New Roman" w:hAnsi="Times New Roman" w:cs="Times New Roman"/>
                        </w:rPr>
                      </w:pPr>
                      <w:r>
                        <w:rPr>
                          <w:rFonts w:ascii="Times New Roman" w:hAnsi="Times New Roman"/>
                          <w:b/>
                        </w:rPr>
                        <w:t>Le risque.</w:t>
                      </w:r>
                      <w:r>
                        <w:rPr>
                          <w:rFonts w:ascii="Times New Roman" w:hAnsi="Times New Roman"/>
                        </w:rPr>
                        <w:t xml:space="preserve"> La dépendance à l’égard des fournisseurs de pays tiers pour les composants essentiels des drones, des batteries et des systèmes antidrones présente un risque, dans un domaine où l’expérience montre que l’efficacité opérationnelle des drones sur le champ de bataille dépend d’un cycle d’innovation extrêmement court (se comptant en mois voire en semaines). </w:t>
                      </w:r>
                    </w:p>
                    <w:p w14:paraId="33D457D9" w14:textId="76E93DEF" w:rsidR="009B33C5" w:rsidRPr="003D125A" w:rsidRDefault="009B33C5" w:rsidP="009B33C5">
                      <w:pPr>
                        <w:jc w:val="both"/>
                        <w:rPr>
                          <w:rFonts w:ascii="Times New Roman" w:hAnsi="Times New Roman" w:cs="Times New Roman"/>
                        </w:rPr>
                      </w:pPr>
                      <w:r>
                        <w:rPr>
                          <w:rFonts w:ascii="Times New Roman" w:hAnsi="Times New Roman"/>
                          <w:b/>
                        </w:rPr>
                        <w:t>Utilisation des outils</w:t>
                      </w:r>
                      <w:r>
                        <w:rPr>
                          <w:rFonts w:ascii="Times New Roman" w:hAnsi="Times New Roman"/>
                        </w:rPr>
                        <w:t>: la Commission utilisera les outils de ses programmes consacrés à l’industrie de la défense pour sanctuariser les capacités de production de l’UE et raccourcir les cycles d’innovation des technologies des drones, au regard de l’expérience sur le terrain. Elle continuera de renforcer la coopération et l’échange d’informations gracieux entre organismes compétents (agences nationales et organisations internationales de passation de marchés — OCCAR, AED, OTAN etc.) et dans le cadre des instruments/actions des programmes européens de soutien à l’industrie de la défense. Pour garantir la résilience de la chaîne d’approvisionnement, elle établira une cartographie ciblée des chaînes d’approvisionnement de certains produits et équipements, dont des biens à double usage, et soutiendra leur production par des cofinancements.</w:t>
                      </w:r>
                    </w:p>
                    <w:p w14:paraId="743ADED8" w14:textId="71ADAAC3" w:rsidR="009B33C5" w:rsidRPr="00815C83" w:rsidRDefault="009B33C5" w:rsidP="00815C83">
                      <w:pPr>
                        <w:spacing w:after="0"/>
                        <w:rPr>
                          <w:rFonts w:ascii="Times New Roman" w:hAnsi="Times New Roman" w:cs="Times New Roman"/>
                        </w:rPr>
                      </w:pPr>
                    </w:p>
                    <w:p w14:paraId="400D0264" w14:textId="6BFC2AE3" w:rsidR="009B33C5" w:rsidRPr="0087522D" w:rsidRDefault="009B33C5" w:rsidP="00815C83"/>
                  </w:txbxContent>
                </v:textbox>
                <w10:wrap type="square"/>
              </v:shape>
            </w:pict>
          </mc:Fallback>
        </mc:AlternateContent>
      </w:r>
      <w:r>
        <w:rPr>
          <w:rFonts w:ascii="Times New Roman" w:hAnsi="Times New Roman"/>
          <w:noProof/>
          <w:sz w:val="24"/>
        </w:rPr>
        <w:t xml:space="preserve">Dans des secteurs critiques tels que la défense, certains composants proviennent d’entités à haut risque qui pourraient, en période de tension géopolitique, entraver l’accès et le recours à certains </w:t>
      </w:r>
      <w:r>
        <w:rPr>
          <w:rFonts w:ascii="Times New Roman" w:hAnsi="Times New Roman"/>
          <w:b/>
          <w:noProof/>
          <w:sz w:val="24"/>
        </w:rPr>
        <w:t>équipements de défense, technologies à double usage et moyens de mobilité militaire</w:t>
      </w:r>
      <w:r>
        <w:rPr>
          <w:rFonts w:ascii="Times New Roman" w:hAnsi="Times New Roman"/>
          <w:noProof/>
          <w:sz w:val="24"/>
        </w:rPr>
        <w:t xml:space="preserve">. Par ailleurs, il est crucial que l’UE conserve une main-d’œuvre hautement qualifiée et se maintienne dans la course à l’innovation caractérisant les technologies utiles aux secteurs stratégiques. S’agissant des capacités militaires et de défense dans l’UE, il est essentiel d’atténuer efficacement les risques en mobilisant rapidement des outils ciblés et efficaces. </w:t>
      </w:r>
    </w:p>
    <w:p w14:paraId="575B7536" w14:textId="32CAB2C8" w:rsidR="00B9085E" w:rsidRPr="006C4785" w:rsidRDefault="00AE6670" w:rsidP="006C4785">
      <w:pPr>
        <w:spacing w:after="120"/>
        <w:jc w:val="both"/>
        <w:rPr>
          <w:rFonts w:ascii="Times New Roman" w:hAnsi="Times New Roman" w:cs="Times New Roman"/>
          <w:noProof/>
          <w:sz w:val="24"/>
          <w:szCs w:val="24"/>
        </w:rPr>
      </w:pPr>
      <w:r>
        <w:rPr>
          <w:rFonts w:ascii="Times New Roman" w:hAnsi="Times New Roman"/>
          <w:b/>
          <w:noProof/>
          <w:sz w:val="24"/>
        </w:rPr>
        <w:t>Objectif.</w:t>
      </w:r>
      <w:r>
        <w:rPr>
          <w:rFonts w:ascii="Times New Roman" w:hAnsi="Times New Roman"/>
          <w:noProof/>
          <w:sz w:val="24"/>
        </w:rPr>
        <w:t xml:space="preserve"> La Commission utilisera ses outils pour maintenir et développer les capacités de production stratégiques de l’UE, notamment: i) en favorisant les </w:t>
      </w:r>
      <w:r>
        <w:rPr>
          <w:rFonts w:ascii="Times New Roman" w:hAnsi="Times New Roman"/>
          <w:b/>
          <w:noProof/>
          <w:sz w:val="24"/>
        </w:rPr>
        <w:t>investissements</w:t>
      </w:r>
      <w:r>
        <w:rPr>
          <w:rFonts w:ascii="Times New Roman" w:hAnsi="Times New Roman"/>
          <w:noProof/>
          <w:sz w:val="24"/>
        </w:rPr>
        <w:t xml:space="preserve"> publics et privés et, au besoin, en réduisant les risques qu’ils présentent; ii) en </w:t>
      </w:r>
      <w:r>
        <w:rPr>
          <w:rFonts w:ascii="Times New Roman" w:hAnsi="Times New Roman"/>
          <w:b/>
          <w:noProof/>
          <w:sz w:val="24"/>
        </w:rPr>
        <w:t>soutenant la demande</w:t>
      </w:r>
      <w:r>
        <w:rPr>
          <w:rFonts w:ascii="Times New Roman" w:hAnsi="Times New Roman"/>
          <w:noProof/>
          <w:sz w:val="24"/>
        </w:rPr>
        <w:t xml:space="preserve"> (mesures incitatives), y compris par l’agrégation de la demande et les achats communs;</w:t>
      </w:r>
      <w:r>
        <w:rPr>
          <w:rFonts w:ascii="Times New Roman" w:hAnsi="Times New Roman"/>
          <w:b/>
          <w:noProof/>
          <w:sz w:val="24"/>
        </w:rPr>
        <w:t xml:space="preserve"> </w:t>
      </w:r>
      <w:r>
        <w:rPr>
          <w:rFonts w:ascii="Times New Roman" w:hAnsi="Times New Roman"/>
          <w:noProof/>
          <w:sz w:val="24"/>
        </w:rPr>
        <w:t xml:space="preserve">iii) en </w:t>
      </w:r>
      <w:r>
        <w:rPr>
          <w:rFonts w:ascii="Times New Roman" w:hAnsi="Times New Roman"/>
          <w:b/>
          <w:noProof/>
          <w:sz w:val="24"/>
        </w:rPr>
        <w:t>empêchant la délocalisation</w:t>
      </w:r>
      <w:r>
        <w:rPr>
          <w:rFonts w:ascii="Times New Roman" w:hAnsi="Times New Roman"/>
          <w:noProof/>
          <w:sz w:val="24"/>
        </w:rPr>
        <w:t xml:space="preserve"> des capacités de production et secteurs stratégiques; iv) en </w:t>
      </w:r>
      <w:r>
        <w:rPr>
          <w:rFonts w:ascii="Times New Roman" w:hAnsi="Times New Roman"/>
          <w:b/>
          <w:noProof/>
          <w:sz w:val="24"/>
        </w:rPr>
        <w:t>se désengageant progressivement vis-à-vis des acteurs potentiellement hostiles</w:t>
      </w:r>
      <w:r>
        <w:rPr>
          <w:rFonts w:ascii="Times New Roman" w:hAnsi="Times New Roman"/>
          <w:noProof/>
          <w:sz w:val="24"/>
        </w:rPr>
        <w:t xml:space="preserve"> de la défense et d’autres chaînes d’approvisionnement critiques, par exemple en limitant l’acquisition hors l’Union de technologies critiques restreintes dans les domaines de la défense et de l’espace; v) en atténuant </w:t>
      </w:r>
      <w:r>
        <w:rPr>
          <w:rFonts w:ascii="Times New Roman" w:hAnsi="Times New Roman"/>
          <w:b/>
          <w:noProof/>
          <w:sz w:val="24"/>
        </w:rPr>
        <w:t>les menaces que représentent les investissements directs étrangers</w:t>
      </w:r>
      <w:r>
        <w:rPr>
          <w:rFonts w:ascii="Times New Roman" w:hAnsi="Times New Roman"/>
          <w:noProof/>
          <w:sz w:val="24"/>
        </w:rPr>
        <w:t xml:space="preserve"> dans des entreprises fournissant des produits ou des technologies critiques; vi) en </w:t>
      </w:r>
      <w:r>
        <w:rPr>
          <w:rFonts w:ascii="Times New Roman" w:hAnsi="Times New Roman"/>
          <w:b/>
          <w:noProof/>
          <w:sz w:val="24"/>
        </w:rPr>
        <w:t>soutenant le développement de technologies, de composants et de matériaux critiques</w:t>
      </w:r>
      <w:r>
        <w:rPr>
          <w:rFonts w:ascii="Times New Roman" w:hAnsi="Times New Roman"/>
          <w:noProof/>
          <w:sz w:val="24"/>
        </w:rPr>
        <w:t xml:space="preserve"> dans l’UE selon des objectifs à long terme et les besoins en fournisseurs internes de ces produits pour les infrastructures institutionnelles; vii) en veillant à ce que les entreprises de l’UE, et surtout les </w:t>
      </w:r>
      <w:r>
        <w:rPr>
          <w:rFonts w:ascii="Times New Roman" w:hAnsi="Times New Roman"/>
          <w:b/>
          <w:noProof/>
          <w:sz w:val="24"/>
        </w:rPr>
        <w:t>jeunes entreprises</w:t>
      </w:r>
      <w:r>
        <w:rPr>
          <w:rFonts w:ascii="Times New Roman" w:hAnsi="Times New Roman"/>
          <w:noProof/>
          <w:sz w:val="24"/>
        </w:rPr>
        <w:t xml:space="preserve"> disposent des conditions nécessaires pour se développer, par exemple au moyen d’un financement adéquat et d’un traitement tarifaire temporaire favorable de certains intrants, ainsi que d’un écosystème favorable en ce qui concerne les capitaux.</w:t>
      </w:r>
    </w:p>
    <w:p w14:paraId="6819E330" w14:textId="532705D0" w:rsidR="00AE6670" w:rsidRPr="0002625D" w:rsidRDefault="00EF6D50" w:rsidP="00B9085E">
      <w:pPr>
        <w:spacing w:after="120"/>
        <w:jc w:val="both"/>
        <w:rPr>
          <w:rFonts w:ascii="Times New Roman" w:hAnsi="Times New Roman" w:cs="Times New Roman"/>
          <w:noProof/>
          <w:sz w:val="24"/>
          <w:szCs w:val="24"/>
        </w:rPr>
      </w:pPr>
      <w:r>
        <w:rPr>
          <w:noProof/>
          <w:lang w:val="en-GB" w:eastAsia="en-GB"/>
        </w:rPr>
        <mc:AlternateContent>
          <mc:Choice Requires="wps">
            <w:drawing>
              <wp:anchor distT="0" distB="0" distL="114300" distR="114300" simplePos="0" relativeHeight="251663360" behindDoc="0" locked="0" layoutInCell="1" allowOverlap="1" wp14:anchorId="20E4D167" wp14:editId="58C9DDB7">
                <wp:simplePos x="0" y="0"/>
                <wp:positionH relativeFrom="column">
                  <wp:posOffset>-6985</wp:posOffset>
                </wp:positionH>
                <wp:positionV relativeFrom="paragraph">
                  <wp:posOffset>892175</wp:posOffset>
                </wp:positionV>
                <wp:extent cx="3187065" cy="1404620"/>
                <wp:effectExtent l="0" t="0" r="13335" b="13335"/>
                <wp:wrapSquare wrapText="bothSides"/>
                <wp:docPr id="26348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065" cy="1404620"/>
                        </a:xfrm>
                        <a:prstGeom prst="rect">
                          <a:avLst/>
                        </a:prstGeom>
                        <a:solidFill>
                          <a:srgbClr val="FFFFFF"/>
                        </a:solidFill>
                        <a:ln w="9525">
                          <a:solidFill>
                            <a:srgbClr val="000000"/>
                          </a:solidFill>
                          <a:miter lim="800000"/>
                          <a:headEnd/>
                          <a:tailEnd/>
                        </a:ln>
                      </wps:spPr>
                      <wps:txbx>
                        <w:txbxContent>
                          <w:p w14:paraId="54CE40BD" w14:textId="4BA331CC" w:rsidR="00FD0787" w:rsidRPr="009E19A5" w:rsidRDefault="00FD0787" w:rsidP="00FA245D">
                            <w:pPr>
                              <w:spacing w:after="0"/>
                              <w:jc w:val="center"/>
                              <w:rPr>
                                <w:rFonts w:ascii="Times New Roman" w:hAnsi="Times New Roman" w:cs="Times New Roman"/>
                                <w:b/>
                                <w:bCs/>
                                <w:i/>
                                <w:iCs/>
                              </w:rPr>
                            </w:pPr>
                            <w:r>
                              <w:rPr>
                                <w:rFonts w:ascii="Times New Roman" w:hAnsi="Times New Roman"/>
                                <w:b/>
                                <w:i/>
                              </w:rPr>
                              <w:t xml:space="preserve">Exemple d’application: technologies quantiques </w:t>
                            </w:r>
                          </w:p>
                          <w:p w14:paraId="07968587" w14:textId="3BBC90C5" w:rsidR="00FD0787" w:rsidRPr="009E19A5" w:rsidRDefault="00FD0787" w:rsidP="00FD0787">
                            <w:pPr>
                              <w:spacing w:after="0"/>
                              <w:jc w:val="both"/>
                              <w:rPr>
                                <w:rFonts w:ascii="Times New Roman" w:hAnsi="Times New Roman" w:cs="Times New Roman"/>
                              </w:rPr>
                            </w:pPr>
                            <w:r>
                              <w:rPr>
                                <w:rFonts w:ascii="Times New Roman" w:hAnsi="Times New Roman"/>
                                <w:b/>
                              </w:rPr>
                              <w:t>Risque</w:t>
                            </w:r>
                            <w:r>
                              <w:rPr>
                                <w:rFonts w:ascii="Times New Roman" w:hAnsi="Times New Roman"/>
                              </w:rPr>
                              <w:t xml:space="preserve">: Des entités soutenues par des États étrangers et des entités à haut risque cherchent à accéder au savoir-faire et aux infrastructures de l’UE dans les domaines de l’informatique, de la communication et de la détection quantiques au moyen d’investissements, d’acquisitions ou de partenariats de R&amp;D, accélérant les usages sensibles à des fins militaires et de renseignement à l’étranger et érodant la souveraineté technologique de l’UE. </w:t>
                            </w:r>
                          </w:p>
                          <w:p w14:paraId="348D50FA" w14:textId="77777777" w:rsidR="00FD0787" w:rsidRPr="00EF6D50" w:rsidRDefault="00FD0787" w:rsidP="00FD0787">
                            <w:pPr>
                              <w:spacing w:after="0"/>
                              <w:rPr>
                                <w:rFonts w:ascii="Times New Roman" w:hAnsi="Times New Roman" w:cs="Times New Roman"/>
                                <w:lang w:val="fr-BE"/>
                              </w:rPr>
                            </w:pPr>
                          </w:p>
                          <w:p w14:paraId="153E5456" w14:textId="7F6777DF" w:rsidR="00FD0787" w:rsidRPr="00D96988" w:rsidRDefault="00FD0787" w:rsidP="00D96988">
                            <w:pPr>
                              <w:spacing w:after="0"/>
                              <w:jc w:val="both"/>
                              <w:rPr>
                                <w:rFonts w:ascii="Times New Roman" w:hAnsi="Times New Roman" w:cs="Times New Roman"/>
                                <w:b/>
                                <w:bCs/>
                              </w:rPr>
                            </w:pPr>
                            <w:r>
                              <w:rPr>
                                <w:rFonts w:ascii="Times New Roman" w:hAnsi="Times New Roman"/>
                                <w:b/>
                              </w:rPr>
                              <w:t>Utilisation des outils</w:t>
                            </w:r>
                            <w:r>
                              <w:rPr>
                                <w:rFonts w:ascii="Times New Roman" w:hAnsi="Times New Roman"/>
                              </w:rPr>
                              <w:t>: la Commission continuera de recenser les principaux acteurs/infrastructures quantiques de l’UE et de suivre les investissements étrangers, les partenariats et les flux de PI, afin d’alimenter le filtrage des IDE, le contrôle des exportations et les évaluations des risques en matière de sécurité de la recherche.</w:t>
                            </w:r>
                            <w:r>
                              <w:rPr>
                                <w:rFonts w:ascii="Times New Roman" w:hAnsi="Times New Roman"/>
                                <w:b/>
                              </w:rPr>
                              <w:t xml:space="preserve"> </w:t>
                            </w:r>
                            <w:r>
                              <w:rPr>
                                <w:rFonts w:ascii="Times New Roman" w:hAnsi="Times New Roman"/>
                              </w:rPr>
                              <w:t>Elle utilisera ses outils pour enquêter sur les investissements qui présentent des risques et pour collaborer avec les États membres afin d’apporter une réponse coordonnée et rapide aux tentatives d’acquisitions hostiles ou aux cas de fuite.</w:t>
                            </w:r>
                            <w:r>
                              <w:rPr>
                                <w:rFonts w:ascii="Times New Roman" w:hAnsi="Times New Roman"/>
                                <w:b/>
                              </w:rPr>
                              <w:t xml:space="preserve"> </w:t>
                            </w:r>
                            <w:r>
                              <w:rPr>
                                <w:rFonts w:ascii="Times New Roman" w:hAnsi="Times New Roman"/>
                              </w:rPr>
                              <w:t>Afin de soutenir les objectifs de sécurité économique, elle</w:t>
                            </w:r>
                            <w:r>
                              <w:rPr>
                                <w:rFonts w:ascii="Times New Roman" w:hAnsi="Times New Roman"/>
                                <w:b/>
                              </w:rPr>
                              <w:t xml:space="preserve"> </w:t>
                            </w:r>
                            <w:r>
                              <w:rPr>
                                <w:rFonts w:ascii="Times New Roman" w:hAnsi="Times New Roman"/>
                              </w:rPr>
                              <w:t>donnera la priorité aux financements et aux fournisseurs de composants et de services quantiques critiques de l’UE/partageant les mêmes valeurs, et limitera la dépendance à l’égard des fournisseurs quantiques ou des fournisseurs de services en nuage présentant un risque élevé dans des secteurs sensibles.</w:t>
                            </w:r>
                            <w:r>
                              <w:rPr>
                                <w:rFonts w:ascii="Times New Roman" w:hAnsi="Times New Roman"/>
                                <w:b/>
                              </w:rPr>
                              <w:t xml:space="preserve"> </w:t>
                            </w:r>
                            <w:r>
                              <w:rPr>
                                <w:rFonts w:ascii="Times New Roman" w:hAnsi="Times New Roman"/>
                              </w:rPr>
                              <w:t>Elle s’efforcera en outre de veiller à ce que les entités sous influence étrangère indue ne puissent pas accéder à des projets quantiques sensibles.</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0E4D167" id="_x0000_s1031" type="#_x0000_t202" style="position:absolute;left:0;text-align:left;margin-left:-.55pt;margin-top:70.25pt;width:250.95pt;height:110.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">
                <v:textbox style="mso-fit-shape-to-text:t">
                  <w:txbxContent>
                    <w:p w14:paraId="54CE40BD" w14:textId="4BA331CC" w:rsidR="00FD0787" w:rsidRPr="009E19A5" w:rsidRDefault="00FD0787" w:rsidP="00FA245D">
                      <w:pPr>
                        <w:spacing w:after="0"/>
                        <w:jc w:val="center"/>
                        <w:rPr>
                          <w:rFonts w:ascii="Times New Roman" w:hAnsi="Times New Roman" w:cs="Times New Roman"/>
                          <w:b/>
                          <w:bCs/>
                          <w:i/>
                          <w:iCs/>
                        </w:rPr>
                      </w:pPr>
                      <w:r>
                        <w:rPr>
                          <w:rFonts w:ascii="Times New Roman" w:hAnsi="Times New Roman"/>
                          <w:b/>
                          <w:i/>
                        </w:rPr>
                        <w:t xml:space="preserve">Exemple d’application: technologies quantiques </w:t>
                      </w:r>
                    </w:p>
                    <w:p w14:paraId="07968587" w14:textId="3BBC90C5" w:rsidR="00FD0787" w:rsidRPr="009E19A5" w:rsidRDefault="00FD0787" w:rsidP="00FD0787">
                      <w:pPr>
                        <w:spacing w:after="0"/>
                        <w:jc w:val="both"/>
                        <w:rPr>
                          <w:rFonts w:ascii="Times New Roman" w:hAnsi="Times New Roman" w:cs="Times New Roman"/>
                        </w:rPr>
                      </w:pPr>
                      <w:r>
                        <w:rPr>
                          <w:rFonts w:ascii="Times New Roman" w:hAnsi="Times New Roman"/>
                          <w:b/>
                        </w:rPr>
                        <w:t>Risque</w:t>
                      </w:r>
                      <w:r>
                        <w:rPr>
                          <w:rFonts w:ascii="Times New Roman" w:hAnsi="Times New Roman"/>
                        </w:rPr>
                        <w:t xml:space="preserve">: Des entités soutenues par des États étrangers et des entités à haut risque cherchent à accéder au savoir-faire et aux infrastructures de l’UE dans les domaines de l’informatique, de la communication et de la détection quantiques au moyen d’investissements, d’acquisitions ou de partenariats de R&amp;D, accélérant les usages sensibles à des fins militaires et de renseignement à l’étranger et érodant la souveraineté technologique de l’UE. </w:t>
                      </w:r>
                    </w:p>
                    <w:p w14:paraId="348D50FA" w14:textId="77777777" w:rsidR="00FD0787" w:rsidRPr="00EF6D50" w:rsidRDefault="00FD0787" w:rsidP="00FD0787">
                      <w:pPr>
                        <w:spacing w:after="0"/>
                        <w:rPr>
                          <w:rFonts w:ascii="Times New Roman" w:hAnsi="Times New Roman" w:cs="Times New Roman"/>
                          <w:lang w:val="fr-BE"/>
                        </w:rPr>
                      </w:pPr>
                    </w:p>
                    <w:p w14:paraId="153E5456" w14:textId="7F6777DF" w:rsidR="00FD0787" w:rsidRPr="00D96988" w:rsidRDefault="00FD0787" w:rsidP="00D96988">
                      <w:pPr>
                        <w:spacing w:after="0"/>
                        <w:jc w:val="both"/>
                        <w:rPr>
                          <w:rFonts w:ascii="Times New Roman" w:hAnsi="Times New Roman" w:cs="Times New Roman"/>
                          <w:b/>
                          <w:bCs/>
                        </w:rPr>
                      </w:pPr>
                      <w:r>
                        <w:rPr>
                          <w:rFonts w:ascii="Times New Roman" w:hAnsi="Times New Roman"/>
                          <w:b/>
                        </w:rPr>
                        <w:t>Utilisation des outils</w:t>
                      </w:r>
                      <w:r>
                        <w:rPr>
                          <w:rFonts w:ascii="Times New Roman" w:hAnsi="Times New Roman"/>
                        </w:rPr>
                        <w:t>: la Commission continuera de recenser les principaux acteurs/infrastructures quantiques de l’UE et de suivre les investissements étrangers, les partenariats et les flux de PI, afin d’alimenter le filtrage des IDE, le contrôle des exportations et les évaluations des risques en matière de sécurité de la recherche.</w:t>
                      </w:r>
                      <w:r>
                        <w:rPr>
                          <w:rFonts w:ascii="Times New Roman" w:hAnsi="Times New Roman"/>
                          <w:b/>
                        </w:rPr>
                        <w:t xml:space="preserve"> </w:t>
                      </w:r>
                      <w:r>
                        <w:rPr>
                          <w:rFonts w:ascii="Times New Roman" w:hAnsi="Times New Roman"/>
                        </w:rPr>
                        <w:t>Elle utilisera ses outils pour enquêter sur les investissements qui présentent des risques et pour collaborer avec les États membres afin d’apporter une réponse coordonnée et rapide aux tentatives d’acquisitions hostiles ou aux cas de fuite.</w:t>
                      </w:r>
                      <w:r>
                        <w:rPr>
                          <w:rFonts w:ascii="Times New Roman" w:hAnsi="Times New Roman"/>
                          <w:b/>
                        </w:rPr>
                        <w:t xml:space="preserve"> </w:t>
                      </w:r>
                      <w:r>
                        <w:rPr>
                          <w:rFonts w:ascii="Times New Roman" w:hAnsi="Times New Roman"/>
                        </w:rPr>
                        <w:t>Afin de soutenir les objectifs de sécurité économique, elle</w:t>
                      </w:r>
                      <w:r>
                        <w:rPr>
                          <w:rFonts w:ascii="Times New Roman" w:hAnsi="Times New Roman"/>
                          <w:b/>
                        </w:rPr>
                        <w:t xml:space="preserve"> </w:t>
                      </w:r>
                      <w:r>
                        <w:rPr>
                          <w:rFonts w:ascii="Times New Roman" w:hAnsi="Times New Roman"/>
                        </w:rPr>
                        <w:t>donnera la priorité aux financements et aux fournisseurs de composants et de services quantiques critiques de l’UE/partageant les mêmes valeurs, et limitera la dépendance à l’égard des fournisseurs quantiques ou des fournisseurs de services en nuage présentant un risque élevé dans des secteurs sensibles.</w:t>
                      </w:r>
                      <w:r>
                        <w:rPr>
                          <w:rFonts w:ascii="Times New Roman" w:hAnsi="Times New Roman"/>
                          <w:b/>
                        </w:rPr>
                        <w:t xml:space="preserve"> </w:t>
                      </w:r>
                      <w:r>
                        <w:rPr>
                          <w:rFonts w:ascii="Times New Roman" w:hAnsi="Times New Roman"/>
                        </w:rPr>
                        <w:t>Elle s’efforcera en outre de veiller à ce que les entités sous influence étrangère indue ne puissent pas accéder à des projets quantiques sensibles.</w:t>
                      </w:r>
                    </w:p>
                  </w:txbxContent>
                </v:textbox>
                <w10:wrap type="square"/>
              </v:shape>
            </w:pict>
          </mc:Fallback>
        </mc:AlternateContent>
      </w:r>
      <w:r w:rsidR="00AE6670">
        <w:rPr>
          <w:rFonts w:ascii="Times New Roman" w:hAnsi="Times New Roman"/>
          <w:noProof/>
          <w:sz w:val="24"/>
        </w:rPr>
        <w:t xml:space="preserve">La priorité sera de soutenir la </w:t>
      </w:r>
      <w:r w:rsidR="00AE6670">
        <w:rPr>
          <w:rFonts w:ascii="Times New Roman" w:hAnsi="Times New Roman"/>
          <w:b/>
          <w:noProof/>
          <w:sz w:val="24"/>
        </w:rPr>
        <w:t>base industrielle de la défense et de l’espace</w:t>
      </w:r>
      <w:r w:rsidR="00AE6670">
        <w:rPr>
          <w:rFonts w:ascii="Times New Roman" w:hAnsi="Times New Roman"/>
          <w:noProof/>
          <w:sz w:val="24"/>
        </w:rPr>
        <w:t xml:space="preserve">. L’accent sera mis tout d’abord sur les situations spécifiques à haut risque que le processus d’évaluation des risques a détectées, mais la Commission suivra de près la sécurité économique de tous les secteurs clés tels que les technologies propres, l’énergie et les industries circulaires et à forte intensité énergétique, l’agroalimentaire, le numérique et l’électronique, l’aviation (y compris l’aéronautique), la construction navale, l’automobile et la santé. </w:t>
      </w:r>
    </w:p>
    <w:p w14:paraId="12A7E678" w14:textId="48964D2F" w:rsidR="009043D0" w:rsidRPr="0002625D" w:rsidRDefault="009A5CA9" w:rsidP="007C42A6">
      <w:pPr>
        <w:spacing w:after="120"/>
        <w:jc w:val="both"/>
        <w:rPr>
          <w:rFonts w:ascii="Times New Roman" w:hAnsi="Times New Roman" w:cs="Times New Roman"/>
          <w:noProof/>
          <w:sz w:val="24"/>
          <w:szCs w:val="24"/>
          <w:u w:val="single"/>
        </w:rPr>
      </w:pPr>
      <w:r w:rsidRPr="00814F13">
        <w:rPr>
          <w:rFonts w:ascii="Times New Roman" w:hAnsi="Times New Roman"/>
          <w:noProof/>
          <w:sz w:val="24"/>
          <w:u w:val="single"/>
        </w:rPr>
        <w:t>3</w:t>
      </w:r>
      <w:r>
        <w:rPr>
          <w:rFonts w:ascii="Times New Roman" w:hAnsi="Times New Roman"/>
          <w:noProof/>
          <w:sz w:val="24"/>
          <w:u w:val="single"/>
        </w:rPr>
        <w:t>.</w:t>
      </w:r>
      <w:r w:rsidRPr="00814F13">
        <w:rPr>
          <w:rFonts w:ascii="Times New Roman" w:hAnsi="Times New Roman"/>
          <w:noProof/>
          <w:sz w:val="24"/>
          <w:u w:val="single"/>
        </w:rPr>
        <w:t>4</w:t>
      </w:r>
      <w:r>
        <w:rPr>
          <w:rFonts w:ascii="Times New Roman" w:hAnsi="Times New Roman"/>
          <w:noProof/>
          <w:sz w:val="24"/>
          <w:u w:val="single"/>
        </w:rPr>
        <w:t>. Étoffer et conserver un rôle de premier plan dans le domaine des technologies critiques</w:t>
      </w:r>
    </w:p>
    <w:p w14:paraId="4E4144DD" w14:textId="1FE945C9" w:rsidR="009043D0" w:rsidRPr="0002625D" w:rsidRDefault="009009F5" w:rsidP="009A00B3">
      <w:pPr>
        <w:spacing w:after="120"/>
        <w:jc w:val="both"/>
        <w:rPr>
          <w:rFonts w:ascii="Times New Roman" w:eastAsiaTheme="minorEastAsia" w:hAnsi="Times New Roman" w:cs="Times New Roman"/>
          <w:noProof/>
          <w:sz w:val="24"/>
          <w:szCs w:val="24"/>
        </w:rPr>
      </w:pPr>
      <w:r>
        <w:rPr>
          <w:rFonts w:ascii="Times New Roman" w:hAnsi="Times New Roman"/>
          <w:b/>
          <w:noProof/>
          <w:sz w:val="24"/>
        </w:rPr>
        <w:t>Le risque.</w:t>
      </w:r>
      <w:r>
        <w:rPr>
          <w:rFonts w:ascii="Times New Roman" w:hAnsi="Times New Roman"/>
          <w:noProof/>
          <w:sz w:val="24"/>
        </w:rPr>
        <w:t xml:space="preserve"> Certains pays tiers et certaines entreprises ont dévoilé une stratégie de prise de contrôle de technologies et de savoir-faire, encore en incubation ou déjà avancés, de l’UE. Dans certains cas, ces actions visaient à compromettre la capacité de l’Union à rester compétitive sur le plan technologique, et ce par tous les procédés: acquisitions, coopération R&amp;D, rétro-ingénierie ou espionnage industriel. Ils arrivent parfois à leurs fins en privant artificiellement des sociétés innovantes de parts de marché pour diminuer les revenus que celles-ci peuvent réinvestir dans la R&amp;D. À long terme, le positionnement géopolitique de l’UE, sa sécurité et sa bonne santé économique dépendront du maintien et du développement de ses atouts technologiques.</w:t>
      </w:r>
      <w:r>
        <w:rPr>
          <w:noProof/>
          <w:sz w:val="24"/>
        </w:rPr>
        <w:t xml:space="preserve"> </w:t>
      </w:r>
      <w:r>
        <w:rPr>
          <w:rFonts w:ascii="Times New Roman" w:hAnsi="Times New Roman"/>
          <w:noProof/>
          <w:sz w:val="24"/>
        </w:rPr>
        <w:t>Préserver les capacités de l’UE dans l’ensemble de ces technologies, en renforçant les outils de financement de l’UE alloués à ce but et en s’attachant à préserver la sécurité de nos technologies et à en empêcher les fuites, relève d’une importance stratégique. Dans le même temps, il convient d’accorder une attention particulière à la mise en œuvre et à l’application de plus en plus fragmentées des contrôles des exportations de biens à double usage.</w:t>
      </w:r>
    </w:p>
    <w:p w14:paraId="6E4CF745" w14:textId="19AA2866" w:rsidR="00FC4F56" w:rsidRPr="0002625D" w:rsidRDefault="009043D0" w:rsidP="009A00B3">
      <w:pPr>
        <w:spacing w:after="120"/>
        <w:jc w:val="both"/>
        <w:rPr>
          <w:rFonts w:ascii="Times New Roman" w:eastAsiaTheme="minorEastAsia" w:hAnsi="Times New Roman" w:cs="Times New Roman"/>
          <w:noProof/>
          <w:sz w:val="24"/>
          <w:szCs w:val="24"/>
        </w:rPr>
      </w:pPr>
      <w:r>
        <w:rPr>
          <w:rFonts w:ascii="Times New Roman" w:hAnsi="Times New Roman"/>
          <w:b/>
          <w:noProof/>
          <w:sz w:val="24"/>
        </w:rPr>
        <w:t>Objectif</w:t>
      </w:r>
      <w:r>
        <w:rPr>
          <w:rFonts w:ascii="Times New Roman" w:hAnsi="Times New Roman"/>
          <w:noProof/>
          <w:sz w:val="24"/>
        </w:rPr>
        <w:t xml:space="preserve"> La Commission utilisera ses outils pour soutenir un environnement propice au développement de technologies critiques dans l’UE et prévenir toute action qui saperait les efforts de l’UE en remédiant aux distorsions. Elle suivra l’évolution du marché et apportera un soutien supplémentaire à la recherche et à l’innovation menées dans l’UE par les start-up et scale-up, les entreprises établies, les organismes de recherche et d’innovation et le monde universitaire. Elle s’attachera à assurer le déploiement industriel et la valorisation des réalisations en matière de RDI dans la base industrielle du marché unique. </w:t>
      </w:r>
      <w:bookmarkStart w:id="7" w:name="_Hlk215406023"/>
      <w:r>
        <w:rPr>
          <w:rFonts w:ascii="Times New Roman" w:hAnsi="Times New Roman"/>
          <w:noProof/>
          <w:sz w:val="24"/>
        </w:rPr>
        <w:t xml:space="preserve">Le </w:t>
      </w:r>
      <w:r w:rsidRPr="00814F13">
        <w:rPr>
          <w:rFonts w:ascii="Times New Roman" w:hAnsi="Times New Roman"/>
          <w:noProof/>
          <w:sz w:val="24"/>
        </w:rPr>
        <w:t>28</w:t>
      </w:r>
      <w:r>
        <w:rPr>
          <w:rFonts w:ascii="Times New Roman" w:hAnsi="Times New Roman"/>
          <w:noProof/>
          <w:sz w:val="24"/>
          <w:vertAlign w:val="superscript"/>
        </w:rPr>
        <w:t>e</w:t>
      </w:r>
      <w:r>
        <w:rPr>
          <w:rFonts w:ascii="Times New Roman" w:hAnsi="Times New Roman"/>
          <w:noProof/>
          <w:sz w:val="24"/>
        </w:rPr>
        <w:t xml:space="preserve"> régime, qui fournit aux entreprises un ensemble unique et harmonisé de règles à l’échelle de l’UE en matière de constitution d’entreprises, de gouvernance, de mobilité et d’accès au financement, renforcera la résilience économique de l’UE en permettant des opérations transfrontières plus sûres et des chaînes d’approvisionnement plus solides et diversifiées.</w:t>
      </w:r>
      <w:bookmarkEnd w:id="7"/>
    </w:p>
    <w:p w14:paraId="38FB9FC3" w14:textId="487C7309" w:rsidR="009043D0" w:rsidRPr="0002625D" w:rsidRDefault="009043D0" w:rsidP="009A00B3">
      <w:pPr>
        <w:spacing w:after="120"/>
        <w:jc w:val="both"/>
        <w:rPr>
          <w:rFonts w:ascii="Times New Roman" w:eastAsiaTheme="minorEastAsia" w:hAnsi="Times New Roman" w:cs="Times New Roman"/>
          <w:noProof/>
          <w:sz w:val="24"/>
          <w:szCs w:val="24"/>
        </w:rPr>
      </w:pPr>
      <w:r>
        <w:rPr>
          <w:rFonts w:ascii="Times New Roman" w:hAnsi="Times New Roman"/>
          <w:noProof/>
          <w:sz w:val="24"/>
        </w:rPr>
        <w:t>La Commission fera progresser la sécurité de la recherche et de l’innovation et prendra les mesures d’accompagnement nécessaires pour atténuer le risque de fuite de technologie ou de savoir-faire, passant par exemple par les acquisitions prédatrices, la coopération en matière de R&amp;D et d’investissements sur les marchés stratégiques et émergents de l’UE dans des destinations ou des secteurs sensibles, tout en continuant à promouvoir des partenariats internationaux de recherche et d’innovation fiables qui sont essentiels pour les objectifs de l’Union en matière de sécurité économique. Elle étudiera comment faire en sorte que les entreprises et les organismes de recherche et d’innovation de l’UE puissent se développer et éviter les acquisitions/transferts de propriété dus exclusivement à des possibilités insuffisantes de financement provenant de sources fiables. Dans le même temps, la Commission s’efforcera d’empêcher les entités à haut risque d’accéder aux actions soutenues par l’Union dans le domaine des technologies critiques, susceptibles d’être instrumentalisées contre l’UE.</w:t>
      </w:r>
    </w:p>
    <w:p w14:paraId="51400B6C" w14:textId="3F43D4E1" w:rsidR="00240B10" w:rsidRPr="0002625D" w:rsidRDefault="00FF21A9" w:rsidP="007C42A6">
      <w:pPr>
        <w:spacing w:after="120"/>
        <w:jc w:val="both"/>
        <w:rPr>
          <w:rFonts w:ascii="Times New Roman" w:hAnsi="Times New Roman" w:cs="Times New Roman"/>
          <w:noProof/>
          <w:sz w:val="24"/>
          <w:szCs w:val="24"/>
          <w:u w:val="single"/>
        </w:rPr>
      </w:pPr>
      <w:r>
        <w:rPr>
          <w:rFonts w:ascii="Times New Roman" w:hAnsi="Times New Roman"/>
          <w:noProof/>
          <w:sz w:val="24"/>
          <w:lang w:val="en-GB" w:eastAsia="en-GB"/>
        </w:rPr>
        <mc:AlternateContent>
          <mc:Choice Requires="wps">
            <w:drawing>
              <wp:anchor distT="45720" distB="45720" distL="114300" distR="114300" simplePos="0" relativeHeight="251657216" behindDoc="0" locked="0" layoutInCell="1" allowOverlap="1" wp14:anchorId="6B7C965E" wp14:editId="207C4897">
                <wp:simplePos x="0" y="0"/>
                <wp:positionH relativeFrom="column">
                  <wp:posOffset>3089275</wp:posOffset>
                </wp:positionH>
                <wp:positionV relativeFrom="paragraph">
                  <wp:posOffset>461645</wp:posOffset>
                </wp:positionV>
                <wp:extent cx="2727325" cy="1404620"/>
                <wp:effectExtent l="0" t="0" r="15875" b="22225"/>
                <wp:wrapSquare wrapText="bothSides"/>
                <wp:docPr id="300404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325" cy="1404620"/>
                        </a:xfrm>
                        <a:prstGeom prst="rect">
                          <a:avLst/>
                        </a:prstGeom>
                        <a:solidFill>
                          <a:srgbClr val="FFFFFF"/>
                        </a:solidFill>
                        <a:ln w="9525">
                          <a:solidFill>
                            <a:srgbClr val="000000"/>
                          </a:solidFill>
                          <a:miter lim="800000"/>
                          <a:headEnd/>
                          <a:tailEnd/>
                        </a:ln>
                      </wps:spPr>
                      <wps:txbx>
                        <w:txbxContent>
                          <w:p w14:paraId="5B877B5E" w14:textId="4B7DC9B2" w:rsidR="00CD3145" w:rsidRPr="00815C83" w:rsidRDefault="00CB3EA4" w:rsidP="00CD3145">
                            <w:pPr>
                              <w:spacing w:after="0"/>
                              <w:jc w:val="center"/>
                              <w:rPr>
                                <w:rFonts w:ascii="Times New Roman" w:hAnsi="Times New Roman" w:cs="Times New Roman"/>
                                <w:b/>
                                <w:bCs/>
                                <w:i/>
                                <w:iCs/>
                              </w:rPr>
                            </w:pPr>
                            <w:r>
                              <w:rPr>
                                <w:rFonts w:ascii="Times New Roman" w:hAnsi="Times New Roman"/>
                                <w:b/>
                                <w:i/>
                              </w:rPr>
                              <w:t>Exemple: équipements de détection aux frontières de l’UE (ports, aéroports, frontières terrestres, etc.)</w:t>
                            </w:r>
                          </w:p>
                          <w:p w14:paraId="7794BDC8" w14:textId="77777777" w:rsidR="00C52F79" w:rsidRPr="00815C83" w:rsidRDefault="00C52F79" w:rsidP="00CD3145">
                            <w:pPr>
                              <w:spacing w:after="0"/>
                              <w:jc w:val="both"/>
                              <w:rPr>
                                <w:rFonts w:ascii="Times New Roman" w:hAnsi="Times New Roman" w:cs="Times New Roman"/>
                                <w:b/>
                                <w:bCs/>
                              </w:rPr>
                            </w:pPr>
                          </w:p>
                          <w:p w14:paraId="20418C6E" w14:textId="0CFBFB72" w:rsidR="00CD3145" w:rsidRPr="00815C83" w:rsidRDefault="00CD3145" w:rsidP="00CD3145">
                            <w:pPr>
                              <w:spacing w:after="0"/>
                              <w:jc w:val="both"/>
                              <w:rPr>
                                <w:rFonts w:ascii="Times New Roman" w:hAnsi="Times New Roman" w:cs="Times New Roman"/>
                              </w:rPr>
                            </w:pPr>
                            <w:r>
                              <w:rPr>
                                <w:rFonts w:ascii="Times New Roman" w:hAnsi="Times New Roman"/>
                                <w:b/>
                              </w:rPr>
                              <w:t>Risque</w:t>
                            </w:r>
                            <w:r>
                              <w:rPr>
                                <w:rFonts w:ascii="Times New Roman" w:hAnsi="Times New Roman"/>
                              </w:rPr>
                              <w:t>:  absence de pratique commune dans l’ensemble de l’UE, dépendance à l’égard d’un seul fournisseur ou d’un nombre limité de fournisseurs, accès non autorisé (y compris par des canaux autorisés, par exemple la maintenance) ayant une incidence sur les performances des équipements de détection et sur l’intégrité et/ou la confidentialité des informations sensibles connexes, vulnérabilité aux logiciels malveillants susceptibles de compromettre ou de fausser les informations/systèmes/réseaux connexes via les équipements</w:t>
                            </w:r>
                          </w:p>
                          <w:p w14:paraId="0DB52BA9" w14:textId="77777777" w:rsidR="00C52F79" w:rsidRPr="00815C83" w:rsidRDefault="00C52F79" w:rsidP="00CD3145">
                            <w:pPr>
                              <w:spacing w:after="0"/>
                              <w:rPr>
                                <w:rFonts w:ascii="Times New Roman" w:hAnsi="Times New Roman" w:cs="Times New Roman"/>
                                <w:b/>
                                <w:bCs/>
                              </w:rPr>
                            </w:pPr>
                          </w:p>
                          <w:p w14:paraId="4288975A" w14:textId="32D6B230" w:rsidR="00CD3145" w:rsidRPr="00815C83" w:rsidRDefault="00CD3145" w:rsidP="00D96988">
                            <w:pPr>
                              <w:spacing w:after="0"/>
                              <w:jc w:val="both"/>
                              <w:rPr>
                                <w:rFonts w:ascii="Times New Roman" w:hAnsi="Times New Roman" w:cs="Times New Roman"/>
                              </w:rPr>
                            </w:pPr>
                            <w:r>
                              <w:rPr>
                                <w:rFonts w:ascii="Times New Roman" w:hAnsi="Times New Roman"/>
                                <w:b/>
                              </w:rPr>
                              <w:t>Utilisation des outils</w:t>
                            </w:r>
                            <w:r>
                              <w:rPr>
                                <w:rFonts w:ascii="Times New Roman" w:hAnsi="Times New Roman"/>
                              </w:rPr>
                              <w:t>: sur la base de l’évaluation des risques de cybersécurité au titre de la directive SRI 2, la Commission s’efforcera d’atténuer les risques recensés en identifiant les fournisseurs à haut risque, en utilisant des schémas de certification de cybersécurité, en renforçant les normes de cybersécurité et en intégrant des exigences de sécurité dans les appels d’offres. La Commission évaluera le rôle potentiel des subventions étrangères dans l’octroi d’un avantage concurrentiel à certains fournisseurs.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7C965E" id="_x0000_s1032" type="#_x0000_t202" style="position:absolute;left:0;text-align:left;margin-left:243.25pt;margin-top:36.35pt;width:214.7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">
                <v:textbox style="mso-fit-shape-to-text:t">
                  <w:txbxContent>
                    <w:p w14:paraId="5B877B5E" w14:textId="4B7DC9B2" w:rsidR="00CD3145" w:rsidRPr="00815C83" w:rsidRDefault="00CB3EA4" w:rsidP="00CD3145">
                      <w:pPr>
                        <w:spacing w:after="0"/>
                        <w:jc w:val="center"/>
                        <w:rPr>
                          <w:rFonts w:ascii="Times New Roman" w:hAnsi="Times New Roman" w:cs="Times New Roman"/>
                          <w:b/>
                          <w:bCs/>
                          <w:i/>
                          <w:iCs/>
                        </w:rPr>
                      </w:pPr>
                      <w:r>
                        <w:rPr>
                          <w:rFonts w:ascii="Times New Roman" w:hAnsi="Times New Roman"/>
                          <w:b/>
                          <w:i/>
                        </w:rPr>
                        <w:t>Exemple: équipements de détection aux frontières de l’UE (ports, aéroports, frontières terrestres, etc.)</w:t>
                      </w:r>
                    </w:p>
                    <w:p w14:paraId="7794BDC8" w14:textId="77777777" w:rsidR="00C52F79" w:rsidRPr="00815C83" w:rsidRDefault="00C52F79" w:rsidP="00CD3145">
                      <w:pPr>
                        <w:spacing w:after="0"/>
                        <w:jc w:val="both"/>
                        <w:rPr>
                          <w:rFonts w:ascii="Times New Roman" w:hAnsi="Times New Roman" w:cs="Times New Roman"/>
                          <w:b/>
                          <w:bCs/>
                        </w:rPr>
                      </w:pPr>
                    </w:p>
                    <w:p w14:paraId="20418C6E" w14:textId="0CFBFB72" w:rsidR="00CD3145" w:rsidRPr="00815C83" w:rsidRDefault="00CD3145" w:rsidP="00CD3145">
                      <w:pPr>
                        <w:spacing w:after="0"/>
                        <w:jc w:val="both"/>
                        <w:rPr>
                          <w:rFonts w:ascii="Times New Roman" w:hAnsi="Times New Roman" w:cs="Times New Roman"/>
                        </w:rPr>
                      </w:pPr>
                      <w:r>
                        <w:rPr>
                          <w:rFonts w:ascii="Times New Roman" w:hAnsi="Times New Roman"/>
                          <w:b/>
                        </w:rPr>
                        <w:t>Risque</w:t>
                      </w:r>
                      <w:r>
                        <w:rPr>
                          <w:rFonts w:ascii="Times New Roman" w:hAnsi="Times New Roman"/>
                        </w:rPr>
                        <w:t>:  absence de pratique commune dans l’ensemble de l’UE, dépendance à l’égard d’un seul fournisseur ou d’un nombre limité de fournisseurs, accès non autorisé (y compris par des canaux autorisés, par exemple la maintenance) ayant une incidence sur les performances des équipements de détection et sur l’intégrité et/ou la confidentialité des informations sensibles connexes, vulnérabilité aux logiciels malveillants susceptibles de compromettre ou de fausser les informations/systèmes/réseaux connexes via les équipements</w:t>
                      </w:r>
                    </w:p>
                    <w:p w14:paraId="0DB52BA9" w14:textId="77777777" w:rsidR="00C52F79" w:rsidRPr="00815C83" w:rsidRDefault="00C52F79" w:rsidP="00CD3145">
                      <w:pPr>
                        <w:spacing w:after="0"/>
                        <w:rPr>
                          <w:rFonts w:ascii="Times New Roman" w:hAnsi="Times New Roman" w:cs="Times New Roman"/>
                          <w:b/>
                          <w:bCs/>
                        </w:rPr>
                      </w:pPr>
                    </w:p>
                    <w:p w14:paraId="4288975A" w14:textId="32D6B230" w:rsidR="00CD3145" w:rsidRPr="00815C83" w:rsidRDefault="00CD3145" w:rsidP="00D96988">
                      <w:pPr>
                        <w:spacing w:after="0"/>
                        <w:jc w:val="both"/>
                        <w:rPr>
                          <w:rFonts w:ascii="Times New Roman" w:hAnsi="Times New Roman" w:cs="Times New Roman"/>
                        </w:rPr>
                      </w:pPr>
                      <w:r>
                        <w:rPr>
                          <w:rFonts w:ascii="Times New Roman" w:hAnsi="Times New Roman"/>
                          <w:b/>
                        </w:rPr>
                        <w:t>Utilisation des outils</w:t>
                      </w:r>
                      <w:r>
                        <w:rPr>
                          <w:rFonts w:ascii="Times New Roman" w:hAnsi="Times New Roman"/>
                        </w:rPr>
                        <w:t>: sur la base de l’évaluation des risques de cybersécurité au titre de la directive SRI 2, la Commission s’efforcera d’atténuer les risques recensés en identifiant les fournisseurs à haut risque, en utilisant des schémas de certification de cybersécurité, en renforçant les normes de cybersécurité et en intégrant des exigences de sécurité dans les appels d’offres. La Commission évaluera le rôle potentiel des subventions étrangères dans l’octroi d’un avantage concurrentiel à certains fournisseurs.</w:t>
                      </w:r>
                    </w:p>
                  </w:txbxContent>
                </v:textbox>
                <w10:wrap type="square"/>
              </v:shape>
            </w:pict>
          </mc:Fallback>
        </mc:AlternateContent>
      </w:r>
      <w:r w:rsidRPr="00814F13">
        <w:rPr>
          <w:rFonts w:ascii="Times New Roman" w:hAnsi="Times New Roman"/>
          <w:noProof/>
          <w:sz w:val="24"/>
          <w:u w:val="single"/>
        </w:rPr>
        <w:t>3</w:t>
      </w:r>
      <w:r>
        <w:rPr>
          <w:rFonts w:ascii="Times New Roman" w:hAnsi="Times New Roman"/>
          <w:noProof/>
          <w:sz w:val="24"/>
          <w:u w:val="single"/>
        </w:rPr>
        <w:t>.</w:t>
      </w:r>
      <w:r w:rsidRPr="00814F13">
        <w:rPr>
          <w:rFonts w:ascii="Times New Roman" w:hAnsi="Times New Roman"/>
          <w:noProof/>
          <w:sz w:val="24"/>
          <w:u w:val="single"/>
        </w:rPr>
        <w:t>5</w:t>
      </w:r>
      <w:r>
        <w:rPr>
          <w:rFonts w:ascii="Times New Roman" w:hAnsi="Times New Roman"/>
          <w:noProof/>
          <w:sz w:val="24"/>
          <w:u w:val="single"/>
        </w:rPr>
        <w:t>. Empêcher l’accès à des informations et données sensibles susceptibles de compromettre la sécurité économique de l’UE</w:t>
      </w:r>
    </w:p>
    <w:p w14:paraId="21031BDB" w14:textId="501A1A86" w:rsidR="00240B10" w:rsidRPr="0002625D" w:rsidRDefault="00240B10" w:rsidP="009A00B3">
      <w:pPr>
        <w:spacing w:after="120"/>
        <w:jc w:val="both"/>
        <w:rPr>
          <w:rFonts w:ascii="Times New Roman" w:eastAsiaTheme="minorEastAsia" w:hAnsi="Times New Roman" w:cs="Times New Roman"/>
          <w:noProof/>
          <w:sz w:val="24"/>
          <w:szCs w:val="24"/>
        </w:rPr>
      </w:pPr>
      <w:r>
        <w:rPr>
          <w:rFonts w:ascii="Times New Roman" w:hAnsi="Times New Roman"/>
          <w:b/>
          <w:noProof/>
          <w:sz w:val="24"/>
        </w:rPr>
        <w:t>Le risque.</w:t>
      </w:r>
      <w:r>
        <w:rPr>
          <w:rFonts w:ascii="Times New Roman" w:hAnsi="Times New Roman"/>
          <w:noProof/>
          <w:sz w:val="24"/>
        </w:rPr>
        <w:t xml:space="preserve"> Les pays tiers ont accès aux informations/données sensibles de l’UE ou de ses États membres, par le biais de l’espionnage industriel, de la fourniture de matériel ou de logiciels utilisés dans certains produits (par exemple, véhicules connectés, systèmes </w:t>
      </w:r>
      <w:r w:rsidRPr="00814F13">
        <w:rPr>
          <w:rFonts w:ascii="Times New Roman" w:hAnsi="Times New Roman"/>
          <w:noProof/>
          <w:sz w:val="24"/>
        </w:rPr>
        <w:t>5</w:t>
      </w:r>
      <w:r>
        <w:rPr>
          <w:rFonts w:ascii="Times New Roman" w:hAnsi="Times New Roman"/>
          <w:noProof/>
          <w:sz w:val="24"/>
        </w:rPr>
        <w:t xml:space="preserve">G/autres systèmes de télécommunications, infrastructures de réseaux électriques, plateformes de séquençage de l’ADN), ou par le biais des liens de propriété et de contrôle de certaines entreprises détenant des informations/données sensibles (par exemple, les opérateurs portuaires, aéroportuaires et de trafic, les réseaux financiers, les modèles d’IA, les portails de données, les télécommunications, les données à caractère personnel ou les informations sensibles relatives à un marché). Il existe des implications évidentes sur la sécurité et l’ordre public, encore aggravées par des incidences économiques potentielles, par exemple liées à la fragmentation des chaînes d’approvisionnement. Dans le secteur de l’énergie, par exemple, ce risque s’étend à l’acquisition, par des investisseurs de pays tiers, d’entreprises de l’UE qui détiennent des technologies avancées pour la surveillance et le traitement des données opérationnelles provenant d’infrastructures énergétiques critiques. </w:t>
      </w:r>
    </w:p>
    <w:p w14:paraId="0F50706F" w14:textId="4367C250" w:rsidR="00240B10" w:rsidRPr="0002625D" w:rsidRDefault="3AE84B53" w:rsidP="009A00B3">
      <w:pPr>
        <w:spacing w:after="120"/>
        <w:jc w:val="both"/>
        <w:rPr>
          <w:rFonts w:ascii="Times New Roman" w:hAnsi="Times New Roman" w:cs="Times New Roman"/>
          <w:noProof/>
          <w:sz w:val="24"/>
          <w:szCs w:val="24"/>
        </w:rPr>
      </w:pPr>
      <w:r>
        <w:rPr>
          <w:rFonts w:ascii="Times New Roman" w:hAnsi="Times New Roman"/>
          <w:b/>
          <w:noProof/>
          <w:sz w:val="24"/>
        </w:rPr>
        <w:t>Objectif</w:t>
      </w:r>
      <w:r>
        <w:rPr>
          <w:rFonts w:ascii="Times New Roman" w:hAnsi="Times New Roman"/>
          <w:noProof/>
          <w:sz w:val="24"/>
        </w:rPr>
        <w:t xml:space="preserve"> Réduire et, si possible, éliminer le risque d’accès des entités à haut risque et des entités liées aux informations/données sensibles de l’UE ou de ses États membres et limiter ainsi les incidences négatives potentielles sur l’économie et la sécurité de l’UE. Une attention particulière sera également accordée au risque que peuvent représenter les travailleurs étrangers dans les secteurs stratégiques et les étudiants étrangers de l’enseignement supérieur, y compris dans les domaines des sciences, de la technologie, de l’ingénierie et des mathématiques (STIM), conformément aux procédures applicables.</w:t>
      </w:r>
    </w:p>
    <w:p w14:paraId="4B8E188C" w14:textId="7D6024B4" w:rsidR="00BE71D4" w:rsidRPr="0002625D" w:rsidRDefault="009A5CA9" w:rsidP="00815C83">
      <w:pPr>
        <w:rPr>
          <w:noProof/>
          <w:sz w:val="24"/>
          <w:szCs w:val="24"/>
          <w:u w:val="single"/>
        </w:rPr>
      </w:pPr>
      <w:r w:rsidRPr="00814F13">
        <w:rPr>
          <w:rFonts w:ascii="Times New Roman" w:hAnsi="Times New Roman"/>
          <w:noProof/>
          <w:sz w:val="24"/>
          <w:u w:val="single"/>
        </w:rPr>
        <w:t>3</w:t>
      </w:r>
      <w:r>
        <w:rPr>
          <w:rFonts w:ascii="Times New Roman" w:hAnsi="Times New Roman"/>
          <w:noProof/>
          <w:sz w:val="24"/>
          <w:u w:val="single"/>
        </w:rPr>
        <w:t>.</w:t>
      </w:r>
      <w:r w:rsidRPr="00814F13">
        <w:rPr>
          <w:rFonts w:ascii="Times New Roman" w:hAnsi="Times New Roman"/>
          <w:noProof/>
          <w:sz w:val="24"/>
          <w:u w:val="single"/>
        </w:rPr>
        <w:t>6</w:t>
      </w:r>
      <w:r>
        <w:rPr>
          <w:rFonts w:ascii="Times New Roman" w:hAnsi="Times New Roman"/>
          <w:noProof/>
          <w:sz w:val="24"/>
          <w:u w:val="single"/>
        </w:rPr>
        <w:t>. Prévenir et atténuer les perturbations des infrastructures critiques de l’UE affectant l’économie de l’UE</w:t>
      </w:r>
    </w:p>
    <w:p w14:paraId="4CEC5394" w14:textId="63FACDCE" w:rsidR="00281014" w:rsidRPr="0002625D" w:rsidRDefault="71BDDFCF" w:rsidP="00AC628B">
      <w:pPr>
        <w:spacing w:after="120"/>
        <w:jc w:val="both"/>
        <w:rPr>
          <w:rFonts w:ascii="Times New Roman" w:hAnsi="Times New Roman" w:cs="Times New Roman"/>
          <w:noProof/>
          <w:sz w:val="24"/>
          <w:szCs w:val="24"/>
        </w:rPr>
      </w:pPr>
      <w:r>
        <w:rPr>
          <w:rFonts w:ascii="Times New Roman" w:hAnsi="Times New Roman"/>
          <w:b/>
          <w:noProof/>
          <w:sz w:val="24"/>
        </w:rPr>
        <w:t>Le risque.</w:t>
      </w:r>
      <w:r>
        <w:rPr>
          <w:rFonts w:ascii="Times New Roman" w:hAnsi="Times New Roman"/>
          <w:noProof/>
          <w:sz w:val="24"/>
        </w:rPr>
        <w:t xml:space="preserve"> Les infrastructures critiques de l’UE — y compris les infrastructures critiques dans les domaines des transports, des systèmes spatiaux, de l’énergie et des communications, en particulier celles qui sont considérées comme stratégiques pour la mobilité militaire — pourraient être perturbées par des acteurs étrangers, ce qui pourrait avoir des effets en cascade sur l’économie européenne. L’accent sera mis sur la stabilité des services fournis. Ces perturbations pourraient survenir à la suite d’attaques physiques, informatiques ou hybrides, y compris le sabotage d’installations entières ou de certains de leurs composants/éléments. Elles pourraient également affecter les chaînes d’approvisionnement des TIC, qui sous-tendent des éléments ou services critiques pour les infrastructures essentielles. En outre, il existe un risque de prépositionnement de pays tiers et d’opérateurs à haut risque dans les infrastructures critiques de l’UE en vue d’acquérir la capacité de les perturber (le cas échéant). Par ailleurs, un risque pèse sur la réputation et la crédibilité de certaines infrastructures, si elles étaient menacées ou effectivement touchées. Enfin, il existe un risque que des pays tiers jouent un rôle de premier plan dans l’établissement de normes internationales, ce qui pourrait avoir une incidence sur les infrastructures critiques. </w:t>
      </w:r>
    </w:p>
    <w:p w14:paraId="1FCAAE56" w14:textId="63F5DA1D" w:rsidR="00BE71D4" w:rsidRPr="002837EB" w:rsidRDefault="00FA245D" w:rsidP="00815C83">
      <w:pPr>
        <w:spacing w:after="120"/>
        <w:jc w:val="both"/>
        <w:rPr>
          <w:rFonts w:ascii="Times New Roman" w:hAnsi="Times New Roman" w:cs="Times New Roman"/>
          <w:i/>
          <w:iCs/>
          <w:noProof/>
          <w:sz w:val="24"/>
          <w:szCs w:val="24"/>
        </w:rPr>
      </w:pPr>
      <w:r>
        <w:rPr>
          <w:noProof/>
          <w:lang w:val="en-GB" w:eastAsia="en-GB"/>
        </w:rPr>
        <mc:AlternateContent>
          <mc:Choice Requires="wps">
            <w:drawing>
              <wp:anchor distT="45720" distB="45720" distL="114300" distR="114300" simplePos="0" relativeHeight="251655168" behindDoc="0" locked="0" layoutInCell="1" allowOverlap="1" wp14:anchorId="461A6176" wp14:editId="41D6E31F">
                <wp:simplePos x="0" y="0"/>
                <wp:positionH relativeFrom="column">
                  <wp:posOffset>13970</wp:posOffset>
                </wp:positionH>
                <wp:positionV relativeFrom="paragraph">
                  <wp:posOffset>170815</wp:posOffset>
                </wp:positionV>
                <wp:extent cx="3408680" cy="5057775"/>
                <wp:effectExtent l="0" t="0" r="20320" b="28575"/>
                <wp:wrapSquare wrapText="bothSides"/>
                <wp:docPr id="293065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8680" cy="5057775"/>
                        </a:xfrm>
                        <a:prstGeom prst="rect">
                          <a:avLst/>
                        </a:prstGeom>
                        <a:solidFill>
                          <a:srgbClr val="FFFFFF"/>
                        </a:solidFill>
                        <a:ln w="9525">
                          <a:solidFill>
                            <a:srgbClr val="000000"/>
                          </a:solidFill>
                          <a:miter lim="800000"/>
                          <a:headEnd/>
                          <a:tailEnd/>
                        </a:ln>
                      </wps:spPr>
                      <wps:txbx>
                        <w:txbxContent>
                          <w:p w14:paraId="706D4AC8" w14:textId="0CBC87B7" w:rsidR="00D431B5" w:rsidRPr="00815C83" w:rsidRDefault="00C52F79" w:rsidP="00D431B5">
                            <w:pPr>
                              <w:spacing w:after="0"/>
                              <w:jc w:val="center"/>
                              <w:rPr>
                                <w:rFonts w:ascii="Times New Roman" w:hAnsi="Times New Roman" w:cs="Times New Roman"/>
                                <w:b/>
                                <w:bCs/>
                                <w:i/>
                                <w:iCs/>
                              </w:rPr>
                            </w:pPr>
                            <w:r>
                              <w:rPr>
                                <w:rFonts w:ascii="Times New Roman" w:hAnsi="Times New Roman"/>
                                <w:b/>
                                <w:i/>
                              </w:rPr>
                              <w:t>Exemple: onduleurs solaires</w:t>
                            </w:r>
                          </w:p>
                          <w:p w14:paraId="2BDACEB9" w14:textId="698974F7" w:rsidR="00D431B5" w:rsidRPr="00815C83" w:rsidRDefault="00D431B5" w:rsidP="0024025E">
                            <w:pPr>
                              <w:spacing w:after="0"/>
                              <w:jc w:val="both"/>
                              <w:rPr>
                                <w:rFonts w:ascii="Times New Roman" w:hAnsi="Times New Roman" w:cs="Times New Roman"/>
                              </w:rPr>
                            </w:pPr>
                            <w:r>
                              <w:rPr>
                                <w:rFonts w:ascii="Times New Roman" w:hAnsi="Times New Roman"/>
                                <w:b/>
                              </w:rPr>
                              <w:t>Risque</w:t>
                            </w:r>
                            <w:r>
                              <w:rPr>
                                <w:rFonts w:ascii="Times New Roman" w:hAnsi="Times New Roman"/>
                              </w:rPr>
                              <w:t>: dépendance croissante à l’égard d’un seul fournisseur; cyberrisques — manipulation des paramètres de production d’électricité, prévention de la production d’électricité, accès aux données opérationnelles, infiltration des acteurs de la chaîne d’approvisionnement.</w:t>
                            </w:r>
                          </w:p>
                          <w:p w14:paraId="043950A0" w14:textId="77777777" w:rsidR="00D431B5" w:rsidRPr="00815C83" w:rsidRDefault="00D431B5" w:rsidP="00815C83">
                            <w:pPr>
                              <w:spacing w:after="0"/>
                              <w:jc w:val="both"/>
                              <w:rPr>
                                <w:rFonts w:ascii="Times New Roman" w:hAnsi="Times New Roman" w:cs="Times New Roman"/>
                              </w:rPr>
                            </w:pPr>
                          </w:p>
                          <w:p w14:paraId="2F95D19E" w14:textId="71440DED" w:rsidR="00D431B5" w:rsidRPr="007A476B" w:rsidRDefault="00D431B5" w:rsidP="00815C83">
                            <w:pPr>
                              <w:spacing w:after="0"/>
                              <w:jc w:val="both"/>
                              <w:rPr>
                                <w:rFonts w:ascii="Times New Roman" w:hAnsi="Times New Roman" w:cs="Times New Roman"/>
                                <w:b/>
                                <w:bCs/>
                              </w:rPr>
                            </w:pPr>
                            <w:r>
                              <w:rPr>
                                <w:rFonts w:ascii="Times New Roman" w:hAnsi="Times New Roman"/>
                                <w:b/>
                              </w:rPr>
                              <w:t>Utilisation des outils</w:t>
                            </w:r>
                            <w:r>
                              <w:rPr>
                                <w:rFonts w:ascii="Times New Roman" w:hAnsi="Times New Roman"/>
                              </w:rPr>
                              <w:t>: la Commission continuera d’évaluer les cyberrisques au moyen d’une évaluation coordonnée dans le cadre de la directive SRI 2 (qui doit être achevée en 2026). Sur cette base, elle déploiera des mesures d’atténuation axées à la fois sur le renforcement de la préparation (par exemple, le règlement sur la préparation aux risques dans le secteur de l’électricité, la directive sur la résilience des entités critiques) et sur la lutte contre les vulnérabilités recensées, par exemple: la certification et la normalisation au titre du règlement sur la cyberrésilience et les critères autres que le prix au titre du règlement pour une industrie «zéro net».</w:t>
                            </w:r>
                            <w:r>
                              <w:rPr>
                                <w:rFonts w:ascii="Times New Roman" w:hAnsi="Times New Roman"/>
                                <w:b/>
                              </w:rPr>
                              <w:t xml:space="preserve"> </w:t>
                            </w:r>
                            <w:r>
                              <w:rPr>
                                <w:rFonts w:ascii="Times New Roman" w:hAnsi="Times New Roman"/>
                              </w:rPr>
                              <w:t>La Commission suivra l’évolution du marché et s’efforcera de prévenir ou d’atténuer les investissements à haut risque. La Commission continuera d’évaluer le rôle des subventions étrangères susceptibles de fausser les conditions de concurrence sur les marchés de l’énergie solaire, notamment au moyen d’importations faisant l’objet de subventions.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A6176" id="_x0000_s1033" type="#_x0000_t202" style="position:absolute;left:0;text-align:left;margin-left:1.1pt;margin-top:13.45pt;width:268.4pt;height:398.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">
                <v:textbox>
                  <w:txbxContent>
                    <w:p w14:paraId="706D4AC8" w14:textId="0CBC87B7" w:rsidR="00D431B5" w:rsidRPr="00815C83" w:rsidRDefault="00C52F79" w:rsidP="00D431B5">
                      <w:pPr>
                        <w:spacing w:after="0"/>
                        <w:jc w:val="center"/>
                        <w:rPr>
                          <w:rFonts w:ascii="Times New Roman" w:hAnsi="Times New Roman" w:cs="Times New Roman"/>
                          <w:b/>
                          <w:bCs/>
                          <w:i/>
                          <w:iCs/>
                        </w:rPr>
                      </w:pPr>
                      <w:r>
                        <w:rPr>
                          <w:rFonts w:ascii="Times New Roman" w:hAnsi="Times New Roman"/>
                          <w:b/>
                          <w:i/>
                        </w:rPr>
                        <w:t>Exemple: onduleurs solaires</w:t>
                      </w:r>
                    </w:p>
                    <w:p w14:paraId="2BDACEB9" w14:textId="698974F7" w:rsidR="00D431B5" w:rsidRPr="00815C83" w:rsidRDefault="00D431B5" w:rsidP="0024025E">
                      <w:pPr>
                        <w:spacing w:after="0"/>
                        <w:jc w:val="both"/>
                        <w:rPr>
                          <w:rFonts w:ascii="Times New Roman" w:hAnsi="Times New Roman" w:cs="Times New Roman"/>
                        </w:rPr>
                      </w:pPr>
                      <w:r>
                        <w:rPr>
                          <w:rFonts w:ascii="Times New Roman" w:hAnsi="Times New Roman"/>
                          <w:b/>
                        </w:rPr>
                        <w:t>Risque</w:t>
                      </w:r>
                      <w:r>
                        <w:rPr>
                          <w:rFonts w:ascii="Times New Roman" w:hAnsi="Times New Roman"/>
                        </w:rPr>
                        <w:t>: dépendance croissante à l’égard d’un seul fournisseur; cyberrisques — manipulation des paramètres de production d’électricité, prévention de la production d’électricité, accès aux données opérationnelles, infiltration des acteurs de la chaîne d’approvisionnement.</w:t>
                      </w:r>
                    </w:p>
                    <w:p w14:paraId="043950A0" w14:textId="77777777" w:rsidR="00D431B5" w:rsidRPr="00815C83" w:rsidRDefault="00D431B5" w:rsidP="00815C83">
                      <w:pPr>
                        <w:spacing w:after="0"/>
                        <w:jc w:val="both"/>
                        <w:rPr>
                          <w:rFonts w:ascii="Times New Roman" w:hAnsi="Times New Roman" w:cs="Times New Roman"/>
                        </w:rPr>
                      </w:pPr>
                    </w:p>
                    <w:p w14:paraId="2F95D19E" w14:textId="71440DED" w:rsidR="00D431B5" w:rsidRPr="007A476B" w:rsidRDefault="00D431B5" w:rsidP="00815C83">
                      <w:pPr>
                        <w:spacing w:after="0"/>
                        <w:jc w:val="both"/>
                        <w:rPr>
                          <w:rFonts w:ascii="Times New Roman" w:hAnsi="Times New Roman" w:cs="Times New Roman"/>
                          <w:b/>
                          <w:bCs/>
                        </w:rPr>
                      </w:pPr>
                      <w:r>
                        <w:rPr>
                          <w:rFonts w:ascii="Times New Roman" w:hAnsi="Times New Roman"/>
                          <w:b/>
                        </w:rPr>
                        <w:t>Utilisation des outils</w:t>
                      </w:r>
                      <w:r>
                        <w:rPr>
                          <w:rFonts w:ascii="Times New Roman" w:hAnsi="Times New Roman"/>
                        </w:rPr>
                        <w:t>: la Commission continuera d’évaluer les cyberrisques au moyen d’une évaluation coordonnée dans le cadre de la directive SRI 2 (qui doit être achevée en 2026). Sur cette base, elle déploiera des mesures d’atténuation axées à la fois sur le renforcement de la préparation (par exemple, le règlement sur la préparation aux risques dans le secteur de l’électricité, la directive sur la résilience des entités critiques) et sur la lutte contre les vulnérabilités recensées, par exemple: la certification et la normalisation au titre du règlement sur la cyberrésilience et les critères autres que le prix au titre du règlement pour une industrie «zéro net».</w:t>
                      </w:r>
                      <w:r>
                        <w:rPr>
                          <w:rFonts w:ascii="Times New Roman" w:hAnsi="Times New Roman"/>
                          <w:b/>
                        </w:rPr>
                        <w:t xml:space="preserve"> </w:t>
                      </w:r>
                      <w:r>
                        <w:rPr>
                          <w:rFonts w:ascii="Times New Roman" w:hAnsi="Times New Roman"/>
                        </w:rPr>
                        <w:t>La Commission suivra l’évolution du marché et s’efforcera de prévenir ou d’atténuer les investissements à haut risque. La Commission continuera d’évaluer le rôle des subventions étrangères susceptibles de fausser les conditions de concurrence sur les marchés de l’énergie solaire, notamment au moyen d’importations faisant l’objet de subventions.</w:t>
                      </w:r>
                    </w:p>
                  </w:txbxContent>
                </v:textbox>
                <w10:wrap type="square"/>
              </v:shape>
            </w:pict>
          </mc:Fallback>
        </mc:AlternateContent>
      </w:r>
      <w:r>
        <w:rPr>
          <w:rFonts w:ascii="Times New Roman" w:hAnsi="Times New Roman"/>
          <w:b/>
          <w:noProof/>
          <w:sz w:val="24"/>
        </w:rPr>
        <w:t>Objectif.</w:t>
      </w:r>
      <w:r>
        <w:rPr>
          <w:rFonts w:ascii="Times New Roman" w:hAnsi="Times New Roman"/>
          <w:noProof/>
          <w:sz w:val="24"/>
        </w:rPr>
        <w:t xml:space="preserve"> Faire appliquer, conformément aux stratégies pertinentes de l’UE en matière de défense, de sécurité intérieure et de préparation, les règles existantes afin de réduire le risque de fuite/espionnage de données et de perturbation physique et informatique, et notamment: i) </w:t>
      </w:r>
      <w:r>
        <w:rPr>
          <w:rFonts w:ascii="Times New Roman" w:hAnsi="Times New Roman"/>
          <w:b/>
          <w:noProof/>
          <w:sz w:val="24"/>
        </w:rPr>
        <w:t>limiter la propriété/le contrôle/l’exploitation des infrastructures critiques européennes par des entités à haut risque</w:t>
      </w:r>
      <w:r>
        <w:rPr>
          <w:rFonts w:ascii="Times New Roman" w:hAnsi="Times New Roman"/>
          <w:noProof/>
          <w:sz w:val="24"/>
        </w:rPr>
        <w:t xml:space="preserve">; ii) renforcer les </w:t>
      </w:r>
      <w:r>
        <w:rPr>
          <w:rFonts w:ascii="Times New Roman" w:hAnsi="Times New Roman"/>
          <w:b/>
          <w:noProof/>
          <w:sz w:val="24"/>
        </w:rPr>
        <w:t>mesures de protection physique</w:t>
      </w:r>
      <w:r>
        <w:rPr>
          <w:rFonts w:ascii="Times New Roman" w:hAnsi="Times New Roman"/>
          <w:noProof/>
          <w:sz w:val="24"/>
        </w:rPr>
        <w:t xml:space="preserve">; iii) </w:t>
      </w:r>
      <w:r>
        <w:rPr>
          <w:rFonts w:ascii="Times New Roman" w:hAnsi="Times New Roman"/>
          <w:b/>
          <w:noProof/>
          <w:sz w:val="24"/>
        </w:rPr>
        <w:t>limiter les cybervulnérabilités</w:t>
      </w:r>
      <w:r>
        <w:rPr>
          <w:rFonts w:ascii="Times New Roman" w:hAnsi="Times New Roman"/>
          <w:noProof/>
          <w:sz w:val="24"/>
        </w:rPr>
        <w:t xml:space="preserve">; et iv) </w:t>
      </w:r>
      <w:r>
        <w:rPr>
          <w:rFonts w:ascii="Times New Roman" w:hAnsi="Times New Roman"/>
          <w:b/>
          <w:noProof/>
          <w:sz w:val="24"/>
        </w:rPr>
        <w:t>limiter les dépendances à l’égard de fournisseurs uniques ou de fournisseurs à haut risque</w:t>
      </w:r>
      <w:r>
        <w:rPr>
          <w:rFonts w:ascii="Times New Roman" w:hAnsi="Times New Roman"/>
          <w:noProof/>
          <w:sz w:val="24"/>
        </w:rPr>
        <w:t xml:space="preserve">, ainsi que les vulnérabilités dissimulées, les portes dérobées ou les éventuelles ruptures systémiques de l’approvisionnement en TIC, en particulier en cas de verrouillage technologique ou de dépendance à l’égard de fournisseurs; v) </w:t>
      </w:r>
      <w:r>
        <w:rPr>
          <w:rFonts w:ascii="Times New Roman" w:hAnsi="Times New Roman"/>
          <w:b/>
          <w:noProof/>
          <w:sz w:val="24"/>
        </w:rPr>
        <w:t>réserver des capacités de production critiques de l’Union</w:t>
      </w:r>
      <w:r>
        <w:rPr>
          <w:rFonts w:ascii="Times New Roman" w:hAnsi="Times New Roman"/>
          <w:noProof/>
          <w:sz w:val="24"/>
        </w:rPr>
        <w:t xml:space="preserve"> susceptibles de se déployer en période de perturbations de la chaîne d’approvisionnement mondiale ou de crises sanitaires; vi) </w:t>
      </w:r>
      <w:r>
        <w:rPr>
          <w:rFonts w:ascii="Times New Roman" w:hAnsi="Times New Roman"/>
          <w:i/>
          <w:noProof/>
          <w:sz w:val="24"/>
        </w:rPr>
        <w:t xml:space="preserve"> </w:t>
      </w:r>
      <w:r>
        <w:rPr>
          <w:rFonts w:ascii="Times New Roman" w:hAnsi="Times New Roman"/>
          <w:noProof/>
          <w:sz w:val="24"/>
        </w:rPr>
        <w:t xml:space="preserve">la Commission </w:t>
      </w:r>
      <w:r>
        <w:rPr>
          <w:rFonts w:ascii="Times New Roman" w:hAnsi="Times New Roman"/>
          <w:b/>
          <w:noProof/>
          <w:sz w:val="24"/>
        </w:rPr>
        <w:t>empêchera les entités à haut risque de prendre part aux actions soutenues par l’Union</w:t>
      </w:r>
      <w:r>
        <w:rPr>
          <w:rFonts w:ascii="Times New Roman" w:hAnsi="Times New Roman"/>
          <w:noProof/>
          <w:sz w:val="24"/>
        </w:rPr>
        <w:t xml:space="preserve">, y compris les actions soutenues par des institutions et instruments financiers publics; ; vii) soutenir le </w:t>
      </w:r>
      <w:r>
        <w:rPr>
          <w:rFonts w:ascii="Times New Roman" w:hAnsi="Times New Roman"/>
          <w:b/>
          <w:noProof/>
          <w:sz w:val="24"/>
        </w:rPr>
        <w:t>développement de fournisseurs fiables de sous-composants critiques</w:t>
      </w:r>
      <w:r>
        <w:rPr>
          <w:rFonts w:ascii="Times New Roman" w:hAnsi="Times New Roman"/>
          <w:noProof/>
          <w:sz w:val="24"/>
        </w:rPr>
        <w:t xml:space="preserve"> dans l’Union et dans les pays tiers de confiance, afin qu’il existe des solutions de remplacement viables; viii) soutenir les </w:t>
      </w:r>
      <w:r>
        <w:rPr>
          <w:rFonts w:ascii="Times New Roman" w:hAnsi="Times New Roman"/>
          <w:b/>
          <w:noProof/>
          <w:sz w:val="24"/>
        </w:rPr>
        <w:t>initiatives phares</w:t>
      </w:r>
      <w:r>
        <w:rPr>
          <w:rFonts w:ascii="Times New Roman" w:hAnsi="Times New Roman"/>
          <w:noProof/>
          <w:sz w:val="24"/>
        </w:rPr>
        <w:t xml:space="preserve"> dans le domaine de la défense et les domaines connexes (surveillance du flanc oriental, initiative de défense antidrones européenne).</w:t>
      </w:r>
    </w:p>
    <w:p w14:paraId="3627F229" w14:textId="2F65C038" w:rsidR="006521E0" w:rsidRPr="00D33B1D" w:rsidRDefault="009A5CA9" w:rsidP="009A00B3">
      <w:pPr>
        <w:spacing w:after="120"/>
        <w:jc w:val="both"/>
        <w:rPr>
          <w:rFonts w:ascii="Times New Roman" w:hAnsi="Times New Roman" w:cs="Times New Roman"/>
          <w:b/>
          <w:bCs/>
          <w:i/>
          <w:iCs/>
          <w:noProof/>
          <w:sz w:val="24"/>
          <w:szCs w:val="24"/>
          <w:u w:val="single"/>
        </w:rPr>
      </w:pPr>
      <w:r w:rsidRPr="00814F13">
        <w:rPr>
          <w:rFonts w:ascii="Times New Roman" w:hAnsi="Times New Roman"/>
          <w:b/>
          <w:i/>
          <w:noProof/>
          <w:sz w:val="24"/>
          <w:u w:val="single"/>
        </w:rPr>
        <w:t>4</w:t>
      </w:r>
      <w:r>
        <w:rPr>
          <w:rFonts w:ascii="Times New Roman" w:hAnsi="Times New Roman"/>
          <w:b/>
          <w:i/>
          <w:noProof/>
          <w:sz w:val="24"/>
          <w:u w:val="single"/>
        </w:rPr>
        <w:t>. Actions visant à renforcer la sécurité économique de l’UE</w:t>
      </w:r>
    </w:p>
    <w:p w14:paraId="50A90D91" w14:textId="58F8CD6D" w:rsidR="00EA7968" w:rsidRPr="0002625D"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 xml:space="preserve">L’accès à des informations de qualité et leur analyse approfondie constituent le point de départ d’une politique et d’un processus décisionnel de l’UE efficaces et bien informés en matière de sécurité économique. Le système d’évaluation des risques lancé par la stratégie Europe </w:t>
      </w:r>
      <w:r w:rsidRPr="00814F13">
        <w:rPr>
          <w:rFonts w:ascii="Times New Roman" w:hAnsi="Times New Roman"/>
          <w:noProof/>
          <w:sz w:val="24"/>
        </w:rPr>
        <w:t>2023</w:t>
      </w:r>
      <w:r>
        <w:rPr>
          <w:rFonts w:ascii="Times New Roman" w:hAnsi="Times New Roman"/>
          <w:noProof/>
          <w:sz w:val="24"/>
        </w:rPr>
        <w:t xml:space="preserve"> restera au cœur de ces efforts. Les évaluations existantes seront mises à jour, approfondies et complétées par de nouvelles évaluations pour l’ensemble des technologies et chaînes d’approvisionnement critiques.</w:t>
      </w:r>
    </w:p>
    <w:p w14:paraId="007A4919" w14:textId="15048321" w:rsidR="00EA7968" w:rsidRPr="0002625D"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 xml:space="preserve">La Commission continuera à développer sa capacité de collecte d’informations sur la sécurité économique. Elle accélérera le </w:t>
      </w:r>
      <w:r>
        <w:rPr>
          <w:rFonts w:ascii="Times New Roman" w:hAnsi="Times New Roman"/>
          <w:b/>
          <w:noProof/>
          <w:sz w:val="24"/>
        </w:rPr>
        <w:t>processus de cartographie des dépendances stratégiques en matière de chaînes de valeur</w:t>
      </w:r>
      <w:r>
        <w:rPr>
          <w:noProof/>
        </w:rPr>
        <w:t xml:space="preserve"> </w:t>
      </w:r>
      <w:r>
        <w:rPr>
          <w:rFonts w:ascii="Times New Roman" w:hAnsi="Times New Roman"/>
          <w:b/>
          <w:noProof/>
          <w:sz w:val="24"/>
        </w:rPr>
        <w:t xml:space="preserve">qui entraînent des vulnérabilités pour l’économie de l’Union </w:t>
      </w:r>
      <w:r>
        <w:rPr>
          <w:rFonts w:ascii="Times New Roman" w:hAnsi="Times New Roman"/>
          <w:noProof/>
          <w:sz w:val="24"/>
        </w:rPr>
        <w:t>et</w:t>
      </w:r>
      <w:r>
        <w:rPr>
          <w:rFonts w:ascii="Times New Roman" w:hAnsi="Times New Roman"/>
          <w:b/>
          <w:noProof/>
          <w:sz w:val="24"/>
        </w:rPr>
        <w:t xml:space="preserve"> </w:t>
      </w:r>
      <w:r>
        <w:rPr>
          <w:rFonts w:ascii="Times New Roman" w:hAnsi="Times New Roman"/>
          <w:noProof/>
          <w:sz w:val="24"/>
        </w:rPr>
        <w:t xml:space="preserve">elle renforcera </w:t>
      </w:r>
      <w:r>
        <w:rPr>
          <w:rFonts w:ascii="Times New Roman" w:hAnsi="Times New Roman"/>
          <w:b/>
          <w:noProof/>
          <w:sz w:val="24"/>
        </w:rPr>
        <w:t>le suivi et l’anticipation des actions de pays tiers</w:t>
      </w:r>
      <w:r>
        <w:rPr>
          <w:rFonts w:ascii="Times New Roman" w:hAnsi="Times New Roman"/>
          <w:noProof/>
          <w:sz w:val="24"/>
        </w:rPr>
        <w:t xml:space="preserve"> visant à créer ou à maintenir des dépendances. </w:t>
      </w:r>
    </w:p>
    <w:p w14:paraId="6E52FA41" w14:textId="66A96447" w:rsidR="00EA7968" w:rsidRPr="0002625D"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 xml:space="preserve">En outre, le succès de la politique de sécurité économique de l’UE dépendra d’une </w:t>
      </w:r>
      <w:r>
        <w:rPr>
          <w:rFonts w:ascii="Times New Roman" w:hAnsi="Times New Roman"/>
          <w:b/>
          <w:noProof/>
          <w:sz w:val="24"/>
        </w:rPr>
        <w:t>meilleure coordination tant au niveau de l’UE qu’avec les États membres</w:t>
      </w:r>
      <w:r>
        <w:rPr>
          <w:rFonts w:ascii="Times New Roman" w:hAnsi="Times New Roman"/>
          <w:noProof/>
          <w:sz w:val="24"/>
        </w:rPr>
        <w:t>. Il s’agit notamment de parvenir à une compréhension commune des menaces pesant sur la sécurité économique, de recenser les risques concrets et d’élaborer des mesures d’atténuation. Ce travail devrait être étayé par de meilleurs flux d’informations, une compréhension complète des coûts et des avantages des actions de l’UE et une volonté d’agir conjointement si nécessaire, mettant ainsi l’UE en position de force. La Commission a pris les mesures organisationnelles internes nécessaires. Toutefois, ces efforts appellent également de nouvelles modalités de coopération avec les États membres et – dans des proportions croissantes – entre les États membres, et au sein de ceux-ci, notamment en ce qui concerne des domaines d’action de plus en plus stratégiques, mais traditionnellement décentralisés, tels que la recherche et l’innovation.</w:t>
      </w:r>
    </w:p>
    <w:p w14:paraId="005775F9" w14:textId="1A5DAE7E" w:rsidR="00EA7968" w:rsidRPr="0002625D" w:rsidRDefault="677A7A27" w:rsidP="00EA7968">
      <w:pPr>
        <w:spacing w:after="120"/>
        <w:jc w:val="both"/>
        <w:rPr>
          <w:rFonts w:ascii="Times New Roman" w:hAnsi="Times New Roman" w:cs="Times New Roman"/>
          <w:noProof/>
          <w:sz w:val="24"/>
          <w:szCs w:val="24"/>
        </w:rPr>
      </w:pPr>
      <w:r>
        <w:rPr>
          <w:rFonts w:ascii="Times New Roman" w:hAnsi="Times New Roman"/>
          <w:noProof/>
          <w:sz w:val="24"/>
        </w:rPr>
        <w:t>L’UE continuera de dialoguer étroitement avec les entreprises du secteur de l’</w:t>
      </w:r>
      <w:r>
        <w:rPr>
          <w:rFonts w:ascii="Times New Roman" w:hAnsi="Times New Roman"/>
          <w:b/>
          <w:noProof/>
          <w:sz w:val="24"/>
        </w:rPr>
        <w:t>industrie</w:t>
      </w:r>
      <w:r>
        <w:rPr>
          <w:rFonts w:ascii="Times New Roman" w:hAnsi="Times New Roman"/>
          <w:noProof/>
          <w:sz w:val="24"/>
        </w:rPr>
        <w:t xml:space="preserve">, en garantissant un échange d’informations sécurisé et un engagement plus structuré. L’industrie est en première ligne de la sécurité économique de l’UE. Les entreprises doivent devenir plus résilientes et diversifier leurs chaînes d’approvisionnement critiques, notamment en éliminant toute dépendance à l’égard d’un seul fournisseur à haut risque. Il est également essentiel d’intégrer dans leurs modèles économiques les coûts induits par une plus grande diversification, au vu des avantages qu’apporte la résilience aux risques géopolitiques. Il doit s’agir d’un </w:t>
      </w:r>
      <w:r>
        <w:rPr>
          <w:rFonts w:ascii="Times New Roman" w:hAnsi="Times New Roman"/>
          <w:b/>
          <w:noProof/>
          <w:sz w:val="24"/>
        </w:rPr>
        <w:t xml:space="preserve">processus à double sens </w:t>
      </w:r>
      <w:r>
        <w:rPr>
          <w:rFonts w:ascii="Times New Roman" w:hAnsi="Times New Roman"/>
          <w:noProof/>
          <w:sz w:val="24"/>
        </w:rPr>
        <w:t xml:space="preserve">et </w:t>
      </w:r>
      <w:r>
        <w:rPr>
          <w:rFonts w:ascii="Times New Roman" w:hAnsi="Times New Roman"/>
          <w:b/>
          <w:noProof/>
          <w:sz w:val="24"/>
        </w:rPr>
        <w:t>d’une responsabilité qui doit être partagée entre le secteur public et le secteur privé</w:t>
      </w:r>
      <w:r>
        <w:rPr>
          <w:rFonts w:ascii="Times New Roman" w:hAnsi="Times New Roman"/>
          <w:noProof/>
          <w:sz w:val="24"/>
        </w:rPr>
        <w:t>, afin de permettre aux décideurs politiques d’améliorer les capacités de l’UE en matière d’évaluation des menaces et de renseignement commercial et de les doter des moyens d’action nécessaires, tout en aidant l’industrie à mettre en œuvre des mesures d’atténuation au niveau des entreprises.</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EA7968" w:rsidRPr="0002625D" w14:paraId="195FABEA" w14:textId="77777777" w:rsidTr="2542A17A">
        <w:tc>
          <w:tcPr>
            <w:tcW w:w="9288" w:type="dxa"/>
          </w:tcPr>
          <w:p w14:paraId="36556EC1" w14:textId="17C70771" w:rsidR="00EA7968" w:rsidRPr="0002625D" w:rsidRDefault="00EA7968" w:rsidP="00F922F7">
            <w:pPr>
              <w:spacing w:after="120" w:line="276" w:lineRule="auto"/>
              <w:rPr>
                <w:rFonts w:ascii="Times New Roman" w:hAnsi="Times New Roman" w:cs="Times New Roman"/>
                <w:noProof/>
                <w:sz w:val="24"/>
                <w:szCs w:val="24"/>
              </w:rPr>
            </w:pPr>
            <w:r>
              <w:rPr>
                <w:rFonts w:ascii="Times New Roman" w:hAnsi="Times New Roman"/>
                <w:noProof/>
                <w:sz w:val="24"/>
              </w:rPr>
              <w:t>La Commission, soutenue par la haute représentante, va:</w:t>
            </w:r>
          </w:p>
          <w:p w14:paraId="0686BCC8" w14:textId="169F75D6" w:rsidR="00EA7968" w:rsidRPr="0002625D" w:rsidRDefault="00EA7968" w:rsidP="00F922F7">
            <w:pPr>
              <w:pStyle w:val="ListParagraph"/>
              <w:numPr>
                <w:ilvl w:val="0"/>
                <w:numId w:val="23"/>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améliorer sa capacité de </w:t>
            </w:r>
            <w:r>
              <w:rPr>
                <w:rFonts w:ascii="Times New Roman" w:hAnsi="Times New Roman"/>
                <w:b/>
                <w:noProof/>
                <w:sz w:val="24"/>
              </w:rPr>
              <w:t>collecte et d’analyse d’informations</w:t>
            </w:r>
            <w:r>
              <w:rPr>
                <w:rFonts w:ascii="Times New Roman" w:hAnsi="Times New Roman"/>
                <w:noProof/>
                <w:sz w:val="24"/>
              </w:rPr>
              <w:t xml:space="preserve"> en faisant progresser plus rapidement les évaluations des risques concernant des chaînes d’approvisionnement critiques, des infrastructures critiques et des technologies critiques spécifiques, et en lançant régulièrement des </w:t>
            </w:r>
            <w:r>
              <w:rPr>
                <w:rFonts w:ascii="Times New Roman" w:hAnsi="Times New Roman"/>
                <w:b/>
                <w:noProof/>
                <w:sz w:val="24"/>
              </w:rPr>
              <w:t>appels à contributions</w:t>
            </w:r>
            <w:r>
              <w:rPr>
                <w:rFonts w:ascii="Times New Roman" w:hAnsi="Times New Roman"/>
                <w:noProof/>
                <w:sz w:val="24"/>
              </w:rPr>
              <w:t xml:space="preserve"> afin d’obtenir de la part de l’industrie et des parties prenantes des éléments sur les vulnérabilités de la chaîne d’approvisionnement et l’exposition à des pressions extérieures;</w:t>
            </w:r>
            <w:r>
              <w:rPr>
                <w:noProof/>
              </w:rPr>
              <w:t xml:space="preserve"> </w:t>
            </w:r>
          </w:p>
          <w:p w14:paraId="7A04FE46" w14:textId="49533366" w:rsidR="00EA7968" w:rsidRPr="0002625D" w:rsidRDefault="00EA7968" w:rsidP="00F922F7">
            <w:pPr>
              <w:pStyle w:val="ListParagraph"/>
              <w:numPr>
                <w:ilvl w:val="0"/>
                <w:numId w:val="23"/>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promouvoir une </w:t>
            </w:r>
            <w:r>
              <w:rPr>
                <w:rFonts w:ascii="Times New Roman" w:hAnsi="Times New Roman"/>
                <w:b/>
                <w:noProof/>
                <w:sz w:val="24"/>
              </w:rPr>
              <w:t>coordination et un échange d’informations accrus par l’intermédiaire de son réseau de sécurité économique avec les États membres.</w:t>
            </w:r>
            <w:r>
              <w:rPr>
                <w:rFonts w:ascii="Times New Roman" w:hAnsi="Times New Roman"/>
                <w:noProof/>
                <w:sz w:val="24"/>
              </w:rPr>
              <w:t xml:space="preserve"> La Commission utilisera le réseau pour favoriser l’élaboration de scénarios, harmoniser la compréhension des menaces, des risques et des possibilités d’atténuation, faciliter l’échange d’informations et soutenir la mise en œuvre, en particulier dans l’utilisation des outils relevant de la responsabilité des États membres. Dans ce contexte, la Commission veillera à ce que des systèmes d’information appropriés soient disponibles pour favoriser l’</w:t>
            </w:r>
            <w:r>
              <w:rPr>
                <w:rFonts w:ascii="Times New Roman" w:hAnsi="Times New Roman"/>
                <w:b/>
                <w:noProof/>
                <w:sz w:val="24"/>
              </w:rPr>
              <w:t>échange rapide et sécurisé d’informations classifiées entre et avec les États membres</w:t>
            </w:r>
            <w:r>
              <w:rPr>
                <w:rFonts w:ascii="Times New Roman" w:hAnsi="Times New Roman"/>
                <w:noProof/>
                <w:sz w:val="24"/>
              </w:rPr>
              <w:t xml:space="preserve"> sur les questions de sécurité économique, y compris les évaluations des risques, les entités critiques et à haut risque et les transactions potentiellement préoccupantes.  Cela complétera les travaux du réseau de constitution de stocks à l’échelle de l’UE, qui met l’accent sur la garantie de l’approvisionnement en biens essentiels dans les situations de crise;</w:t>
            </w:r>
          </w:p>
          <w:p w14:paraId="2C9BB76C" w14:textId="3B5C157E" w:rsidR="00EA7968" w:rsidRPr="0002625D" w:rsidRDefault="16C7976A" w:rsidP="00F922F7">
            <w:pPr>
              <w:numPr>
                <w:ilvl w:val="0"/>
                <w:numId w:val="23"/>
              </w:num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créer un </w:t>
            </w:r>
            <w:r>
              <w:rPr>
                <w:rFonts w:ascii="Times New Roman" w:hAnsi="Times New Roman"/>
                <w:b/>
                <w:noProof/>
                <w:sz w:val="24"/>
              </w:rPr>
              <w:t>pôle d’information sur la sécurité économique</w:t>
            </w:r>
            <w:r>
              <w:rPr>
                <w:rFonts w:ascii="Times New Roman" w:hAnsi="Times New Roman"/>
                <w:noProof/>
                <w:sz w:val="24"/>
              </w:rPr>
              <w:t>, avec le soutien du SEAE, de l’INTCEN/SIAC</w:t>
            </w:r>
            <w:r>
              <w:rPr>
                <w:rStyle w:val="FootnoteReference"/>
                <w:rFonts w:ascii="Times New Roman" w:hAnsi="Times New Roman" w:cs="Times New Roman"/>
                <w:noProof/>
                <w:sz w:val="24"/>
                <w:szCs w:val="24"/>
              </w:rPr>
              <w:footnoteReference w:id="4"/>
            </w:r>
            <w:r>
              <w:rPr>
                <w:rFonts w:ascii="Times New Roman" w:hAnsi="Times New Roman"/>
                <w:noProof/>
                <w:sz w:val="24"/>
              </w:rPr>
              <w:t>, du réseau des délégations de l’UE et des États membres,</w:t>
            </w:r>
            <w:r>
              <w:rPr>
                <w:i/>
                <w:noProof/>
              </w:rPr>
              <w:t xml:space="preserve"> </w:t>
            </w:r>
            <w:r>
              <w:rPr>
                <w:rFonts w:ascii="Times New Roman" w:hAnsi="Times New Roman"/>
                <w:noProof/>
                <w:sz w:val="24"/>
              </w:rPr>
              <w:t xml:space="preserve"> ainsi que des outils existants de suivi économique du marché unique tels que la notification d’alerte de la chaîne d’approvisionnement (SCAN); il recensera et consolidera les informations disponibles dans le cadre des mécanismes publics et privés existants et coordonnera la collecte d’informations supplémentaires pertinentes pour la sécurité économique. Il s’agira notamment de mettre en place un </w:t>
            </w:r>
            <w:r>
              <w:rPr>
                <w:rFonts w:ascii="Times New Roman" w:hAnsi="Times New Roman"/>
                <w:b/>
                <w:noProof/>
                <w:sz w:val="24"/>
              </w:rPr>
              <w:t>mécanisme de surveillance du marché</w:t>
            </w:r>
            <w:r>
              <w:rPr>
                <w:rFonts w:ascii="Times New Roman" w:hAnsi="Times New Roman"/>
                <w:noProof/>
                <w:sz w:val="24"/>
              </w:rPr>
              <w:t xml:space="preserve"> afin de recueillir des informations sur l’évolution de la situation dans les zones à haut risque, y compris des informations rapides sur les flux commerciaux dans les secteurs faisant l’objet d’une diversification, afin de veiller à ce que l’action de l’UE ne soit pas compromise. Le pôle d’information sur la sécurité économique consolidera également les informations sur les </w:t>
            </w:r>
            <w:r>
              <w:rPr>
                <w:rFonts w:ascii="Times New Roman" w:hAnsi="Times New Roman"/>
                <w:b/>
                <w:noProof/>
                <w:sz w:val="24"/>
              </w:rPr>
              <w:t>entités à haut risque</w:t>
            </w:r>
            <w:r>
              <w:rPr>
                <w:rFonts w:ascii="Times New Roman" w:hAnsi="Times New Roman"/>
                <w:noProof/>
                <w:sz w:val="24"/>
              </w:rPr>
              <w:t xml:space="preserve"> afin de soutenir le processus d’évaluation de l’éligibilité à un financement de l’UE et de participation à un processus d’investissement ou de passation de marchés de l’UE. En outre, l’Autorité douanière européenne et la plateforme des données douanières de l’UE </w:t>
            </w:r>
            <w:r>
              <w:rPr>
                <w:rFonts w:ascii="Times New Roman" w:hAnsi="Times New Roman"/>
                <w:b/>
                <w:noProof/>
                <w:sz w:val="24"/>
              </w:rPr>
              <w:t>permettraient de soutenir et de faire respecter efficacement la mise en œuvre des initiatives connexes de l’UE en matière de sécurité économique</w:t>
            </w:r>
            <w:r>
              <w:rPr>
                <w:rFonts w:ascii="Times New Roman" w:hAnsi="Times New Roman"/>
                <w:noProof/>
                <w:sz w:val="24"/>
              </w:rPr>
              <w:t>, en facilitant également l’échange d’informations pertinentes;</w:t>
            </w:r>
          </w:p>
          <w:p w14:paraId="563A9DCE" w14:textId="29908DD7" w:rsidR="008B7661" w:rsidRPr="00EB2497" w:rsidRDefault="1028C3D1" w:rsidP="00EB249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bookmarkStart w:id="8" w:name="_Hlk215406861"/>
            <w:r>
              <w:rPr>
                <w:rFonts w:ascii="Times New Roman" w:hAnsi="Times New Roman"/>
                <w:noProof/>
                <w:sz w:val="24"/>
              </w:rPr>
              <w:t xml:space="preserve">intensifier </w:t>
            </w:r>
            <w:r>
              <w:rPr>
                <w:rFonts w:ascii="Times New Roman" w:hAnsi="Times New Roman"/>
                <w:b/>
                <w:noProof/>
                <w:sz w:val="24"/>
              </w:rPr>
              <w:t>l’engagement structuré des délégations de l’UE</w:t>
            </w:r>
            <w:r>
              <w:rPr>
                <w:rFonts w:ascii="Times New Roman" w:hAnsi="Times New Roman"/>
                <w:noProof/>
                <w:sz w:val="24"/>
              </w:rPr>
              <w:t>, en liaison avec les missions des États membres, d’autres organes de l’UE et les milieux d’affaires de l’UE présents dans les pays tiers; garantir des contributions efficaces à l’évaluation, au suivi et à l’atténuation des risques en ce qui concerne la sécurité économique, notamment en facilitant les échanges entre entreprises ainsi qu’entre entreprises et administrations publiques</w:t>
            </w:r>
            <w:bookmarkEnd w:id="8"/>
            <w:r>
              <w:rPr>
                <w:rFonts w:ascii="Times New Roman" w:hAnsi="Times New Roman"/>
                <w:noProof/>
                <w:sz w:val="24"/>
              </w:rPr>
              <w:t>;</w:t>
            </w:r>
          </w:p>
          <w:p w14:paraId="6CD8649A" w14:textId="08523EA9" w:rsidR="00EA7968" w:rsidRPr="0002625D" w:rsidRDefault="00EA7968" w:rsidP="00EB249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évaluer, d’ici au troisième trimestre de </w:t>
            </w:r>
            <w:r w:rsidRPr="00814F13">
              <w:rPr>
                <w:rFonts w:ascii="Times New Roman" w:hAnsi="Times New Roman"/>
                <w:noProof/>
                <w:sz w:val="24"/>
              </w:rPr>
              <w:t>2026</w:t>
            </w:r>
            <w:r>
              <w:rPr>
                <w:rFonts w:ascii="Times New Roman" w:hAnsi="Times New Roman"/>
                <w:noProof/>
                <w:sz w:val="24"/>
              </w:rPr>
              <w:t xml:space="preserve">, dans quelle mesure le règlement sur les situations d’urgence et la résilience du marché intérieur (SURMI) permet de recueillir des informations sur la chaîne d’approvisionnement au niveau des entreprises auprès des sociétés opérant dans les secteurs à haut risque. À la lumière de cette analyse, la Commission évaluera la nécessité de nouvelles mesures; </w:t>
            </w:r>
          </w:p>
          <w:p w14:paraId="449854E4" w14:textId="7FB4ECFC" w:rsidR="00EA7968" w:rsidRPr="0002625D" w:rsidRDefault="00EA7968" w:rsidP="00F922F7">
            <w:pPr>
              <w:numPr>
                <w:ilvl w:val="0"/>
                <w:numId w:val="23"/>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recommander aux États membres de nommer des </w:t>
            </w:r>
            <w:r>
              <w:rPr>
                <w:rFonts w:ascii="Times New Roman" w:hAnsi="Times New Roman"/>
                <w:b/>
                <w:noProof/>
                <w:sz w:val="24"/>
              </w:rPr>
              <w:t>conseillers nationaux de haut niveau</w:t>
            </w:r>
            <w:r>
              <w:rPr>
                <w:rFonts w:ascii="Times New Roman" w:hAnsi="Times New Roman"/>
                <w:noProof/>
                <w:sz w:val="24"/>
              </w:rPr>
              <w:t xml:space="preserve"> pour la sécurité économique, chargés de la coordination intergouvernementale de l’évaluation et de l’atténuation des risques en matière de sécurité économique. La Commission encouragera une meilleure coordination des politiques et des actions conjointes </w:t>
            </w:r>
            <w:r>
              <w:rPr>
                <w:rFonts w:ascii="Times New Roman" w:hAnsi="Times New Roman"/>
                <w:b/>
                <w:noProof/>
                <w:sz w:val="24"/>
              </w:rPr>
              <w:t>en réunissant régulièrement ces conseillers</w:t>
            </w:r>
            <w:r>
              <w:rPr>
                <w:rFonts w:ascii="Times New Roman" w:hAnsi="Times New Roman"/>
                <w:noProof/>
                <w:sz w:val="24"/>
              </w:rPr>
              <w:t>. Elle invite également le Conseil de l’UE à envisager de convoquer régulièrement les formations compétentes du Conseil pour des discussions au niveau politique;</w:t>
            </w:r>
          </w:p>
          <w:p w14:paraId="22FD8CDD" w14:textId="33884618"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créer un </w:t>
            </w:r>
            <w:r>
              <w:rPr>
                <w:rFonts w:ascii="Times New Roman" w:hAnsi="Times New Roman"/>
                <w:b/>
                <w:noProof/>
                <w:sz w:val="24"/>
              </w:rPr>
              <w:t>groupe de conseillers de confiance, composé de représentants des entreprises de l’UE</w:t>
            </w:r>
            <w:r>
              <w:rPr>
                <w:rFonts w:ascii="Times New Roman" w:hAnsi="Times New Roman"/>
                <w:noProof/>
                <w:sz w:val="24"/>
              </w:rPr>
              <w:t xml:space="preserve">, chargé, entre autres, de donner des conseils sur les risques spécifiques et les réponses potentielles et d’examiner les stratégies de réduction des risques. La Commission invitera régulièrement des représentants du secteur de l’industrie à participer aux discussions sectorielles du réseau pour la sécurité économique et, le cas échéant, à rendre compte aux commissaires européens; </w:t>
            </w:r>
          </w:p>
          <w:p w14:paraId="7411D28C" w14:textId="77777777"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mettre en place un </w:t>
            </w:r>
            <w:r>
              <w:rPr>
                <w:rFonts w:ascii="Times New Roman" w:hAnsi="Times New Roman"/>
                <w:b/>
                <w:noProof/>
                <w:sz w:val="24"/>
              </w:rPr>
              <w:t>portail d’information sur la résilience du commerce</w:t>
            </w:r>
            <w:r>
              <w:rPr>
                <w:rFonts w:ascii="Times New Roman" w:hAnsi="Times New Roman"/>
                <w:noProof/>
                <w:sz w:val="24"/>
              </w:rPr>
              <w:t xml:space="preserve"> afin de fournir aux entreprises de l’UE des informations actualisées, dans le cadre du portail «Accès aux marchés» (A</w:t>
            </w:r>
            <w:r w:rsidRPr="00814F13">
              <w:rPr>
                <w:rFonts w:ascii="Times New Roman" w:hAnsi="Times New Roman"/>
                <w:noProof/>
                <w:sz w:val="24"/>
              </w:rPr>
              <w:t>2</w:t>
            </w:r>
            <w:r>
              <w:rPr>
                <w:rFonts w:ascii="Times New Roman" w:hAnsi="Times New Roman"/>
                <w:noProof/>
                <w:sz w:val="24"/>
              </w:rPr>
              <w:t xml:space="preserve">M), sur les restrictions à l’exportation et les autres mesures restrictives imposées par des pays tiers, ainsi que sur les risques potentiels liés à la nécessité de renforcer la résilience de l’UE; </w:t>
            </w:r>
          </w:p>
          <w:p w14:paraId="6AC74403" w14:textId="0DF5DBEA"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élargir l’</w:t>
            </w:r>
            <w:r>
              <w:rPr>
                <w:rFonts w:ascii="Times New Roman" w:hAnsi="Times New Roman"/>
                <w:b/>
                <w:noProof/>
                <w:sz w:val="24"/>
              </w:rPr>
              <w:t>observatoire des technologies critiques</w:t>
            </w:r>
            <w:r>
              <w:rPr>
                <w:rFonts w:ascii="Times New Roman" w:hAnsi="Times New Roman"/>
                <w:noProof/>
                <w:sz w:val="24"/>
              </w:rPr>
              <w:t xml:space="preserve"> afin de recenser, de suivre et d’analyser l’industrie spatiale et de la défense et les chaînes d’approvisionnement connexes, de couvrir les technologies émergentes et de soutenir la mise en œuvre, au niveau de l’UE et au niveau national, des feuilles de route technologiques de l’UE qui en résultent;</w:t>
            </w:r>
          </w:p>
          <w:p w14:paraId="4983AE82" w14:textId="77777777" w:rsidR="00EA7968"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utiliser le futur </w:t>
            </w:r>
            <w:r>
              <w:rPr>
                <w:rFonts w:ascii="Times New Roman" w:hAnsi="Times New Roman"/>
                <w:b/>
                <w:noProof/>
                <w:sz w:val="24"/>
              </w:rPr>
              <w:t>centre d’expertise en matière de sécurité de la recherche</w:t>
            </w:r>
            <w:r>
              <w:rPr>
                <w:rFonts w:ascii="Times New Roman" w:hAnsi="Times New Roman"/>
                <w:noProof/>
                <w:sz w:val="24"/>
              </w:rPr>
              <w:t xml:space="preserve"> pour promouvoir la sécurité de la recherche et accroître la résilience de la communauté des chercheurs, notamment en mettant en place une plateforme de diligence raisonnable pour aider les universités à choisir leurs partenaires internationaux;</w:t>
            </w:r>
          </w:p>
          <w:p w14:paraId="79890A5E" w14:textId="69A8ADD5" w:rsidR="008B7661" w:rsidRPr="0037463F" w:rsidRDefault="00CC51A5" w:rsidP="0037463F">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étudier les moyens d’aligner et d’</w:t>
            </w:r>
            <w:r>
              <w:rPr>
                <w:rFonts w:ascii="Times New Roman" w:hAnsi="Times New Roman"/>
                <w:b/>
                <w:noProof/>
                <w:sz w:val="24"/>
              </w:rPr>
              <w:t>intégrer les pays candidats sur notre approche en matière de sécurité économique</w:t>
            </w:r>
            <w:r>
              <w:rPr>
                <w:rFonts w:ascii="Times New Roman" w:hAnsi="Times New Roman"/>
                <w:noProof/>
                <w:sz w:val="24"/>
              </w:rPr>
              <w:t>, en particulier dans les domaines où leurs vulnérabilités en matière de sécurité économique peuvent présenter un risque pour la sécurité de l’UE.</w:t>
            </w:r>
          </w:p>
        </w:tc>
      </w:tr>
    </w:tbl>
    <w:p w14:paraId="46617235" w14:textId="77777777" w:rsidR="00EA7968" w:rsidRDefault="00EA7968" w:rsidP="009A00B3">
      <w:pPr>
        <w:spacing w:after="120"/>
        <w:jc w:val="both"/>
        <w:rPr>
          <w:rFonts w:ascii="Times New Roman" w:hAnsi="Times New Roman" w:cs="Times New Roman"/>
          <w:noProof/>
          <w:sz w:val="24"/>
          <w:szCs w:val="24"/>
        </w:rPr>
      </w:pPr>
    </w:p>
    <w:p w14:paraId="69430129" w14:textId="309A1230" w:rsidR="00EA7968" w:rsidRPr="002837EB"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En s’appuyant sur une analyse et une gouvernance renforcées, l’UE peut mieux poursuivre ses objectifs en matière de sécurité économique: i) en clarifiant et en améliorant le déploiement des outils existants et ii) en mettant au point de nouveaux outils si nécessaire.</w:t>
      </w:r>
    </w:p>
    <w:p w14:paraId="0D609189" w14:textId="6A977DFD" w:rsidR="000C009F" w:rsidRDefault="00766A11" w:rsidP="009A00B3">
      <w:pPr>
        <w:spacing w:after="120"/>
        <w:jc w:val="both"/>
        <w:rPr>
          <w:rFonts w:ascii="Times New Roman" w:hAnsi="Times New Roman" w:cs="Times New Roman"/>
          <w:noProof/>
          <w:sz w:val="24"/>
          <w:szCs w:val="24"/>
        </w:rPr>
      </w:pPr>
      <w:r>
        <w:rPr>
          <w:rFonts w:ascii="Times New Roman" w:hAnsi="Times New Roman"/>
          <w:noProof/>
          <w:sz w:val="24"/>
        </w:rPr>
        <w:t xml:space="preserve">Premièrement, la </w:t>
      </w:r>
      <w:r>
        <w:rPr>
          <w:rFonts w:ascii="Times New Roman" w:hAnsi="Times New Roman"/>
          <w:b/>
          <w:noProof/>
          <w:sz w:val="24"/>
        </w:rPr>
        <w:t>Commission adaptera la manière dont elle utilise certains de ses outils</w:t>
      </w:r>
      <w:r>
        <w:rPr>
          <w:rFonts w:ascii="Times New Roman" w:hAnsi="Times New Roman"/>
          <w:noProof/>
          <w:sz w:val="24"/>
        </w:rPr>
        <w:t xml:space="preserve"> pour les rendre plus efficaces dans la gestion des risques en matière de sécurité économique et s’efforcera d’améliorer la coordination entre ces outils.</w:t>
      </w:r>
    </w:p>
    <w:tbl>
      <w:tblPr>
        <w:tblStyle w:val="TableGrid"/>
        <w:tblW w:w="9288"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BD7A68" w:rsidRPr="0002625D" w14:paraId="7817C78C" w14:textId="77777777" w:rsidTr="2542A17A">
        <w:tc>
          <w:tcPr>
            <w:tcW w:w="9288" w:type="dxa"/>
          </w:tcPr>
          <w:p w14:paraId="4F8B42E7" w14:textId="3EAD7CF1" w:rsidR="00BD7A68" w:rsidRPr="0002625D" w:rsidRDefault="00BD7A68" w:rsidP="009A00B3">
            <w:pPr>
              <w:spacing w:after="120" w:line="276" w:lineRule="auto"/>
              <w:jc w:val="both"/>
              <w:rPr>
                <w:rFonts w:ascii="Times New Roman" w:hAnsi="Times New Roman" w:cs="Times New Roman"/>
                <w:noProof/>
                <w:sz w:val="24"/>
                <w:szCs w:val="24"/>
              </w:rPr>
            </w:pPr>
            <w:r>
              <w:rPr>
                <w:rFonts w:ascii="Times New Roman" w:hAnsi="Times New Roman"/>
                <w:b/>
                <w:noProof/>
                <w:sz w:val="24"/>
              </w:rPr>
              <w:t>La Commission prendra les mesures suivantes pour améliorer l’utilisation des outils:</w:t>
            </w:r>
          </w:p>
          <w:p w14:paraId="61C0AD99" w14:textId="77777777" w:rsidR="00683BA4" w:rsidRPr="0002625D" w:rsidRDefault="00683BA4" w:rsidP="00683BA4">
            <w:pPr>
              <w:pStyle w:val="ListParagraph"/>
              <w:numPr>
                <w:ilvl w:val="0"/>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Financements européens:</w:t>
            </w:r>
          </w:p>
          <w:p w14:paraId="1520BF15" w14:textId="77777777" w:rsidR="00BB59A8" w:rsidRPr="0037463F" w:rsidRDefault="00BB59A8" w:rsidP="00BB59A8">
            <w:pPr>
              <w:pStyle w:val="ListParagraph"/>
              <w:numPr>
                <w:ilvl w:val="1"/>
                <w:numId w:val="24"/>
              </w:numPr>
              <w:spacing w:after="120" w:line="276" w:lineRule="auto"/>
              <w:ind w:hanging="357"/>
              <w:jc w:val="both"/>
              <w:rPr>
                <w:rFonts w:ascii="Times New Roman" w:hAnsi="Times New Roman" w:cs="Times New Roman"/>
                <w:noProof/>
                <w:sz w:val="24"/>
                <w:szCs w:val="24"/>
              </w:rPr>
            </w:pPr>
            <w:r>
              <w:rPr>
                <w:rFonts w:ascii="Times New Roman" w:hAnsi="Times New Roman"/>
                <w:noProof/>
                <w:sz w:val="24"/>
              </w:rPr>
              <w:t xml:space="preserve">À l’avenir, la Commission </w:t>
            </w:r>
            <w:r>
              <w:rPr>
                <w:rFonts w:ascii="Times New Roman" w:hAnsi="Times New Roman"/>
                <w:b/>
                <w:noProof/>
                <w:sz w:val="24"/>
              </w:rPr>
              <w:t>encouragera, dans ses activités de financement, les projets qui soutiennent la sécurité économique de l’UE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 </w:t>
            </w:r>
          </w:p>
          <w:p w14:paraId="37D0B1BB" w14:textId="4677E2D6" w:rsidR="00683BA4" w:rsidRPr="0037463F" w:rsidRDefault="0507A3E8" w:rsidP="0037463F">
            <w:pPr>
              <w:pStyle w:val="ListParagraph"/>
              <w:numPr>
                <w:ilvl w:val="1"/>
                <w:numId w:val="24"/>
              </w:numPr>
              <w:spacing w:after="120" w:line="276" w:lineRule="auto"/>
              <w:ind w:hanging="357"/>
              <w:contextualSpacing w:val="0"/>
              <w:jc w:val="both"/>
              <w:rPr>
                <w:noProof/>
              </w:rPr>
            </w:pPr>
            <w:r>
              <w:rPr>
                <w:rFonts w:ascii="Times New Roman" w:hAnsi="Times New Roman"/>
                <w:noProof/>
                <w:sz w:val="24"/>
              </w:rPr>
              <w:t>En particulier, elle devrait mobiliser un niveau de financement suffisant pour réduire les dépendances à l’égard des technologies, composants et matériaux critiques, en particulier dans des secteurs stratégiques tels que l’espace et la défense, y compris pour mettre pleinement en œuvre les feuilles de route technologiques de l’Observatoire des technologies critiques (OTC).</w:t>
            </w:r>
          </w:p>
          <w:p w14:paraId="6DACDA90" w14:textId="3BD20A0C" w:rsidR="00464BD0" w:rsidRPr="0002625D" w:rsidRDefault="4C078CE8" w:rsidP="00464BD0">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La Commission, les États membres et les partenaires chargés de la mise en œuvre devraient s’efforcer d’empêcher les entités à haut risque de prendre part aux actions sensibles soutenues par l’Union.  L’article </w:t>
            </w:r>
            <w:r w:rsidRPr="00814F13">
              <w:rPr>
                <w:rFonts w:ascii="Times New Roman" w:hAnsi="Times New Roman"/>
                <w:noProof/>
                <w:sz w:val="24"/>
              </w:rPr>
              <w:t>136</w:t>
            </w:r>
            <w:r>
              <w:rPr>
                <w:rFonts w:ascii="Times New Roman" w:hAnsi="Times New Roman"/>
                <w:noProof/>
                <w:sz w:val="24"/>
              </w:rPr>
              <w:t xml:space="preserve"> du règlement financier fournit une base juridique horizontale pour protéger la sécurité et l’ordre public de l’UE lorsque la Commission et les partenaires chargés de la mise en œuvre exécutent le budget de l’UE. Cela permet d’empêcher les entités à haut risque de bénéficier de fonds de l’UE et de restreindre l’accès aux fonds de l’UE dans les secteurs et domaines stratégiques des technologies et infrastructures critiques pour les entités provenant de pays tiers qui portent atteinte aux intérêts de l’UE en matière de sécurité économique. Pour éviter toute ambiguïté, les partenaires chargés de la mise en œuvre devraient s’abstenir de soutenir des projets qui contredisent ce qui précède, y compris dans le cadre d’opérations à leurs propres risques. À cette fin, et afin de garantir un meilleur alignement des politiques entre les programmes de l’UE et les objectifs en matière de sécurité économique, des orientations seront disponibles au premier trimestre de </w:t>
            </w:r>
            <w:r w:rsidRPr="00814F13">
              <w:rPr>
                <w:rFonts w:ascii="Times New Roman" w:hAnsi="Times New Roman"/>
                <w:noProof/>
                <w:sz w:val="24"/>
              </w:rPr>
              <w:t>2026</w:t>
            </w:r>
            <w:r>
              <w:rPr>
                <w:rFonts w:ascii="Times New Roman" w:hAnsi="Times New Roman"/>
                <w:noProof/>
                <w:sz w:val="24"/>
              </w:rPr>
              <w:t xml:space="preserve">, favorisant ainsi l’élaboration d’une approche plus cohérente et plus efficace. En outre, la Commission encouragera les États membres, le </w:t>
            </w:r>
            <w:r>
              <w:rPr>
                <w:rFonts w:ascii="Times New Roman" w:hAnsi="Times New Roman"/>
                <w:b/>
                <w:noProof/>
                <w:sz w:val="24"/>
              </w:rPr>
              <w:t>groupe BEI et d’autres IFI/banques et institutions nationales de développement qui mettent en œuvre des budgets nationaux ou de l’UE à accorder la priorité au soutien aux entreprises de l’UE</w:t>
            </w:r>
            <w:r>
              <w:rPr>
                <w:rFonts w:ascii="Times New Roman" w:hAnsi="Times New Roman"/>
                <w:noProof/>
                <w:sz w:val="24"/>
              </w:rPr>
              <w:t xml:space="preserve"> qui réduisent les dépendances vis-à-vis de l’étranger dans des secteurs critiques, en particulier pour des projets spécifiques, des technologies critiques et des infrastructures critiques recensés comme étant à haut risque. De même, les fournisseurs de pays tiers à haut risque devraient être empêchés d’accéder aux financements nationaux et aux financements de l’Union lorsque ces pays tiers, sur la base de critères spécifiques, sont identifiés comme portant atteinte aux intérêts de l’Union en matière de sécurité économique.</w:t>
            </w:r>
          </w:p>
          <w:p w14:paraId="073D2702" w14:textId="02CDFD5A" w:rsidR="00BD7A68" w:rsidRPr="0002625D" w:rsidRDefault="00BD7A68" w:rsidP="009A00B3">
            <w:pPr>
              <w:pStyle w:val="ListParagraph"/>
              <w:numPr>
                <w:ilvl w:val="0"/>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Filtrage des IDE:</w:t>
            </w:r>
          </w:p>
          <w:p w14:paraId="634D7BAB" w14:textId="21B88E89" w:rsidR="000F105B" w:rsidRPr="0002625D" w:rsidRDefault="00841152" w:rsidP="009A00B3">
            <w:pPr>
              <w:pStyle w:val="ListParagraph"/>
              <w:numPr>
                <w:ilvl w:val="1"/>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 xml:space="preserve">Élaborer des </w:t>
            </w:r>
            <w:r>
              <w:rPr>
                <w:rFonts w:ascii="Times New Roman" w:hAnsi="Times New Roman"/>
                <w:b/>
                <w:noProof/>
                <w:sz w:val="24"/>
              </w:rPr>
              <w:t>lignes directrices</w:t>
            </w:r>
            <w:r>
              <w:rPr>
                <w:rFonts w:ascii="Times New Roman" w:hAnsi="Times New Roman"/>
                <w:noProof/>
                <w:sz w:val="24"/>
              </w:rPr>
              <w:t xml:space="preserve"> s’appuyant sur l’expérience acquise dans la mise en œuvre de l’actuel règlement sur le filtrage des IDE afin de garantir que les autorités nationales de filtrage abordent ce processus de manière cohérente, y compris dans les secteurs stratégiques. Les lignes directrices indiqueraient également comment tenir compte du risque cumulé potentiel d’investissements multiples.</w:t>
            </w:r>
            <w:r>
              <w:rPr>
                <w:noProof/>
              </w:rPr>
              <w:t xml:space="preserve"> </w:t>
            </w:r>
            <w:r>
              <w:rPr>
                <w:rFonts w:ascii="Times New Roman" w:hAnsi="Times New Roman"/>
                <w:noProof/>
                <w:sz w:val="24"/>
              </w:rPr>
              <w:t>À cela s’ajouteront des orientations sur l’interaction entre les éventuelles exigences au niveau de l’UE et l’application des mécanismes nationaux de filtrage dans le secteur financier.</w:t>
            </w:r>
          </w:p>
          <w:p w14:paraId="79957D5D" w14:textId="01642961" w:rsidR="007F058F" w:rsidRPr="0002625D" w:rsidRDefault="007F058F" w:rsidP="007F058F">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Contrôles à l’exportation des biens à double usage:</w:t>
            </w:r>
          </w:p>
          <w:p w14:paraId="5070950E" w14:textId="100D16AF" w:rsidR="00C61626" w:rsidRPr="0002625D" w:rsidRDefault="007F058F" w:rsidP="00EA2B6F">
            <w:pPr>
              <w:pStyle w:val="ListParagraph"/>
              <w:numPr>
                <w:ilvl w:val="1"/>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 xml:space="preserve">Procéder à une </w:t>
            </w:r>
            <w:r>
              <w:rPr>
                <w:rFonts w:ascii="Times New Roman" w:hAnsi="Times New Roman"/>
                <w:b/>
                <w:noProof/>
                <w:sz w:val="24"/>
              </w:rPr>
              <w:t>évaluation globale</w:t>
            </w:r>
            <w:r>
              <w:rPr>
                <w:rFonts w:ascii="Times New Roman" w:hAnsi="Times New Roman"/>
                <w:noProof/>
                <w:sz w:val="24"/>
              </w:rPr>
              <w:t xml:space="preserve"> du règlement relatif au contrôle des exportations de biens à double usage. Dans le cadre de cette évaluation, la Commission évaluera si le règlement atteint ses objectifs dans le contexte des nouvelles réalités géopolitiques et géoéconomiques, y compris l’incidence du recours accru aux contrôles unilatéraux qui peuvent également avoir un impact sur le marché unique. Elle continuera d’étudier avec les États membres les moyens d’adopter efficacement des contrôles européens dans les domaines technologiques émergents dans ce nouveau contexte. Durant le processus d’évaluation, la Commission assurera une sensibilisation active des parties prenantes parmi les États membres, les entreprises du secteur de l’industrie, les instituts de recherche et le monde universitaire. </w:t>
            </w:r>
          </w:p>
          <w:p w14:paraId="4B6E121F" w14:textId="6F2ADA3E" w:rsidR="00BD7A68" w:rsidRPr="0002625D" w:rsidRDefault="00BD7A68"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Instruments de défense commerciale:</w:t>
            </w:r>
          </w:p>
          <w:p w14:paraId="0AA3AEBC" w14:textId="6443A524" w:rsidR="00AF67E7" w:rsidRPr="0002625D" w:rsidDel="00756F96" w:rsidRDefault="00B25B71" w:rsidP="009A00B3">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Lorsqu’une affaire présente un intérêt pour la sécurité économique de l’UE, </w:t>
            </w:r>
            <w:r>
              <w:rPr>
                <w:rFonts w:ascii="Times New Roman" w:hAnsi="Times New Roman"/>
                <w:b/>
                <w:noProof/>
                <w:sz w:val="24"/>
              </w:rPr>
              <w:t>il sera tenu compte de la sécurité économique de l’UE dans la conduite de l’enquête et dans la conception d’éventuelles mesures</w:t>
            </w:r>
            <w:r>
              <w:rPr>
                <w:rFonts w:ascii="Times New Roman" w:hAnsi="Times New Roman"/>
                <w:noProof/>
                <w:sz w:val="24"/>
              </w:rPr>
              <w:t>.</w:t>
            </w:r>
          </w:p>
          <w:p w14:paraId="7B3E4BAC" w14:textId="785844B4" w:rsidR="00BD7A68" w:rsidRPr="0002625D" w:rsidRDefault="00B0250B" w:rsidP="000D0989">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Outils relatifs au marché intérieur, aux douanes et à la concurrence:</w:t>
            </w:r>
          </w:p>
          <w:p w14:paraId="1C5A315F" w14:textId="0BEA0775" w:rsidR="00EF573D" w:rsidRPr="0002625D" w:rsidRDefault="00C60366" w:rsidP="009A00B3">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Tirer pleinement parti du </w:t>
            </w:r>
            <w:r>
              <w:rPr>
                <w:rFonts w:ascii="Times New Roman" w:hAnsi="Times New Roman"/>
                <w:b/>
                <w:noProof/>
                <w:sz w:val="24"/>
              </w:rPr>
              <w:t>règlement relatif aux subventions étrangères</w:t>
            </w:r>
            <w:r>
              <w:rPr>
                <w:rFonts w:ascii="Times New Roman" w:hAnsi="Times New Roman"/>
                <w:noProof/>
                <w:sz w:val="24"/>
              </w:rPr>
              <w:t xml:space="preserve"> pour maintenir une concurrence loyale dans les domaines où les subventions étrangères entraînent des distorsions qui présentent des risques pour la sécurité économique. </w:t>
            </w:r>
          </w:p>
          <w:p w14:paraId="6BD9C919" w14:textId="0FDC9C3A" w:rsidR="002E5935" w:rsidRDefault="008D7BE0" w:rsidP="00464BD0">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Encourager les États membres à tirer pleinement parti des possibilités existantes en matière d’aides d’État, telles que l’encadrement des aides d’État pour une industrie propre, les lignes directrices concernant les aides d’État à finalité régionale, l’encadrement des aides d’État à la recherche, au développement et à l’innovation, le règlement général d’exemption par catégorie et les projets importants d’intérêt européen commun en tant qu’instruments visant à renforcer la résilience.</w:t>
            </w:r>
          </w:p>
          <w:p w14:paraId="74BFAB33" w14:textId="4CCDBDE0" w:rsidR="001773A8" w:rsidRPr="00641CC8" w:rsidRDefault="001773A8" w:rsidP="00641CC8">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b/>
                <w:noProof/>
                <w:sz w:val="24"/>
              </w:rPr>
              <w:t>Réexaminer l’utilisation d’instruments douaniers stratégiques (suspensions tarifaires, contingents autonomes) pour les intrants clés</w:t>
            </w:r>
            <w:r>
              <w:rPr>
                <w:rFonts w:ascii="Times New Roman" w:hAnsi="Times New Roman"/>
                <w:noProof/>
                <w:sz w:val="24"/>
              </w:rPr>
              <w:t xml:space="preserve"> en vue de soutenir la compétitivité des entreprises de l’Union. </w:t>
            </w:r>
          </w:p>
        </w:tc>
      </w:tr>
    </w:tbl>
    <w:p w14:paraId="750136C1" w14:textId="7B1B57EB" w:rsidR="00F753E1" w:rsidRPr="0002625D" w:rsidRDefault="00885AC2" w:rsidP="00E5163B">
      <w:pPr>
        <w:spacing w:before="120" w:after="120"/>
        <w:jc w:val="both"/>
        <w:rPr>
          <w:rFonts w:ascii="Times New Roman" w:hAnsi="Times New Roman" w:cs="Times New Roman"/>
          <w:noProof/>
          <w:sz w:val="24"/>
          <w:szCs w:val="24"/>
        </w:rPr>
      </w:pPr>
      <w:r>
        <w:rPr>
          <w:rFonts w:ascii="Times New Roman" w:hAnsi="Times New Roman"/>
          <w:noProof/>
          <w:sz w:val="24"/>
        </w:rPr>
        <w:t xml:space="preserve">Deuxièmement, la Commission </w:t>
      </w:r>
      <w:r>
        <w:rPr>
          <w:rFonts w:ascii="Times New Roman" w:hAnsi="Times New Roman"/>
          <w:b/>
          <w:noProof/>
          <w:sz w:val="24"/>
        </w:rPr>
        <w:t>élaborera de nouvelles mesures</w:t>
      </w:r>
      <w:r>
        <w:rPr>
          <w:rFonts w:ascii="Times New Roman" w:hAnsi="Times New Roman"/>
          <w:noProof/>
          <w:sz w:val="24"/>
        </w:rPr>
        <w:t xml:space="preserve"> pour améliorer la sécurité économique de l’UE.</w:t>
      </w:r>
    </w:p>
    <w:tbl>
      <w:tblPr>
        <w:tblStyle w:val="TableGrid"/>
        <w:tblW w:w="9288"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D3590A" w:rsidRPr="0002625D" w14:paraId="12BA1861" w14:textId="77777777" w:rsidTr="2542A17A">
        <w:tc>
          <w:tcPr>
            <w:tcW w:w="9288" w:type="dxa"/>
          </w:tcPr>
          <w:p w14:paraId="3D661CA7" w14:textId="77777777" w:rsidR="00D3590A" w:rsidRPr="0002625D" w:rsidRDefault="00D3590A" w:rsidP="009A00B3">
            <w:pPr>
              <w:spacing w:after="120" w:line="276" w:lineRule="auto"/>
              <w:jc w:val="both"/>
              <w:rPr>
                <w:rFonts w:ascii="Times New Roman" w:hAnsi="Times New Roman" w:cs="Times New Roman"/>
                <w:noProof/>
                <w:sz w:val="24"/>
                <w:szCs w:val="24"/>
              </w:rPr>
            </w:pPr>
            <w:r>
              <w:rPr>
                <w:rFonts w:ascii="Times New Roman" w:hAnsi="Times New Roman"/>
                <w:b/>
                <w:noProof/>
                <w:sz w:val="24"/>
              </w:rPr>
              <w:t>La Commission:</w:t>
            </w:r>
          </w:p>
          <w:p w14:paraId="1CF02D39" w14:textId="2C2CC628" w:rsidR="00593B00" w:rsidRPr="0002625D" w:rsidRDefault="5EDA5214" w:rsidP="00593B00">
            <w:pPr>
              <w:pStyle w:val="ListParagraph"/>
              <w:numPr>
                <w:ilvl w:val="0"/>
                <w:numId w:val="24"/>
              </w:numPr>
              <w:spacing w:after="120" w:line="276" w:lineRule="auto"/>
              <w:contextualSpacing w:val="0"/>
              <w:jc w:val="both"/>
              <w:rPr>
                <w:rFonts w:ascii="Times New Roman" w:hAnsi="Times New Roman" w:cs="Times New Roman"/>
                <w:noProof/>
                <w:sz w:val="24"/>
                <w:szCs w:val="24"/>
              </w:rPr>
            </w:pPr>
            <w:bookmarkStart w:id="9" w:name="_Hlk215397474"/>
            <w:r>
              <w:rPr>
                <w:rFonts w:ascii="Times New Roman" w:hAnsi="Times New Roman"/>
                <w:noProof/>
                <w:sz w:val="24"/>
              </w:rPr>
              <w:t xml:space="preserve">Étudiera la possibilité de mettre en place un </w:t>
            </w:r>
            <w:r>
              <w:rPr>
                <w:rFonts w:ascii="Times New Roman" w:hAnsi="Times New Roman"/>
                <w:b/>
                <w:noProof/>
                <w:sz w:val="24"/>
              </w:rPr>
              <w:t>mécanisme pilote de suivi des start-up au niveau de l’UE visant à recenser les start-up dans des domaines technologiques critiques qui sont vulnérables au risque d’acquisitions étrangères hostiles</w:t>
            </w:r>
            <w:r>
              <w:rPr>
                <w:rFonts w:ascii="Times New Roman" w:hAnsi="Times New Roman"/>
                <w:noProof/>
                <w:sz w:val="24"/>
              </w:rPr>
              <w:t>, en les réorientant vers d’autres solutions d’investissement de l’UE et d’autres formes de soutien (par exemple, conseil, renforcement des capacités, mise en relation avec les investisseurs). Le mécanisme fonctionnerait en phase avec les initiatives existantes, telles que la stratégie de l’UE en faveur des start-up et des scale-up.</w:t>
            </w:r>
          </w:p>
          <w:bookmarkEnd w:id="9"/>
          <w:p w14:paraId="1A6FD6CA" w14:textId="3BCBFE25" w:rsidR="007C19C2" w:rsidRPr="0002625D" w:rsidRDefault="00CC18E7"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Collaborera avec les autorités compétentes pour surveiller les </w:t>
            </w:r>
            <w:r>
              <w:rPr>
                <w:rFonts w:ascii="Times New Roman" w:hAnsi="Times New Roman"/>
                <w:b/>
                <w:noProof/>
                <w:sz w:val="24"/>
              </w:rPr>
              <w:t>investissements de portefeuille</w:t>
            </w:r>
            <w:r>
              <w:rPr>
                <w:rFonts w:ascii="Times New Roman" w:hAnsi="Times New Roman"/>
                <w:noProof/>
                <w:sz w:val="24"/>
              </w:rPr>
              <w:t xml:space="preserve"> (qui ne relèvent pas du champ d’application du mécanisme de coordination des IDE) dans les domaines recensés comme étant à haut risque à des fins de sécurité économique.</w:t>
            </w:r>
          </w:p>
          <w:p w14:paraId="1C942B71" w14:textId="43AA3F1F" w:rsidR="00EF20E6" w:rsidRPr="0002625D" w:rsidRDefault="00EF20E6"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Introduira un volet sécurité économique des secteurs stratégiques clés dans le prochain </w:t>
            </w:r>
            <w:r>
              <w:rPr>
                <w:rFonts w:ascii="Times New Roman" w:hAnsi="Times New Roman"/>
                <w:b/>
                <w:noProof/>
                <w:sz w:val="24"/>
              </w:rPr>
              <w:t>outil de coordination de la compétitivité</w:t>
            </w:r>
            <w:r>
              <w:rPr>
                <w:rFonts w:ascii="Times New Roman" w:hAnsi="Times New Roman"/>
                <w:noProof/>
                <w:sz w:val="24"/>
              </w:rPr>
              <w:t>.</w:t>
            </w:r>
          </w:p>
          <w:p w14:paraId="25347DCE" w14:textId="1C9DCE5A" w:rsidR="008B319D" w:rsidRPr="0002625D" w:rsidRDefault="003241F9" w:rsidP="008B319D">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Renforcera la base industrielle et la résilience des chaînes d’approvisionnement de l’UE au moyen de l’</w:t>
            </w:r>
            <w:r>
              <w:rPr>
                <w:rFonts w:ascii="Times New Roman" w:hAnsi="Times New Roman"/>
                <w:b/>
                <w:noProof/>
                <w:sz w:val="24"/>
              </w:rPr>
              <w:t>acte législatif pour l’accélération de l’activité industrielle</w:t>
            </w:r>
            <w:r>
              <w:rPr>
                <w:rFonts w:ascii="Times New Roman" w:hAnsi="Times New Roman"/>
                <w:noProof/>
                <w:sz w:val="24"/>
              </w:rPr>
              <w:t xml:space="preserve">. </w:t>
            </w:r>
          </w:p>
          <w:p w14:paraId="756AAD0A" w14:textId="305F09AE" w:rsidR="002C21F2" w:rsidRPr="003241F9" w:rsidRDefault="0092081D" w:rsidP="0092081D">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Poursuivra, comme indiqué dans ResourceEU, le développement des </w:t>
            </w:r>
            <w:r>
              <w:rPr>
                <w:rFonts w:ascii="Times New Roman" w:hAnsi="Times New Roman"/>
                <w:b/>
                <w:noProof/>
                <w:sz w:val="24"/>
              </w:rPr>
              <w:t>marchés secondaires</w:t>
            </w:r>
            <w:r>
              <w:rPr>
                <w:rFonts w:ascii="Times New Roman" w:hAnsi="Times New Roman"/>
                <w:noProof/>
                <w:sz w:val="24"/>
              </w:rPr>
              <w:t xml:space="preserve"> des matières premières critiques, y compris au moyen de l’acte législatif sur l’économie circulaire, afin de faciliter le financement de projets stratégiques de matières premières critiques dans les domaines recensés comme étant à haut risque à des fins de sécurité économique.</w:t>
            </w:r>
          </w:p>
          <w:p w14:paraId="21A6246F" w14:textId="42B99770" w:rsidR="00F55F1A" w:rsidRDefault="00F55F1A" w:rsidP="00877D64">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Évaluera, d’ici au troisième trimestre de </w:t>
            </w:r>
            <w:r w:rsidRPr="00814F13">
              <w:rPr>
                <w:rFonts w:ascii="Times New Roman" w:hAnsi="Times New Roman"/>
                <w:noProof/>
                <w:sz w:val="24"/>
              </w:rPr>
              <w:t>2026</w:t>
            </w:r>
            <w:r>
              <w:rPr>
                <w:rFonts w:ascii="Times New Roman" w:hAnsi="Times New Roman"/>
                <w:noProof/>
                <w:sz w:val="24"/>
              </w:rPr>
              <w:t xml:space="preserve">, les moyens de </w:t>
            </w:r>
            <w:r>
              <w:rPr>
                <w:rFonts w:ascii="Times New Roman" w:hAnsi="Times New Roman"/>
                <w:b/>
                <w:noProof/>
                <w:sz w:val="24"/>
              </w:rPr>
              <w:t>renforcer la protection de l’industrie contre les politiques commerciales déloyales et les évolutions négatives du marché mondial, telles que les surcapacités</w:t>
            </w:r>
            <w:r>
              <w:rPr>
                <w:rFonts w:ascii="Times New Roman" w:hAnsi="Times New Roman"/>
                <w:noProof/>
                <w:sz w:val="24"/>
              </w:rPr>
              <w:t>. À cet égard, la Commission évaluera l’efficacité et l’adéquation des outils existants et examinera la nécessité d’éventuelles nouvelles mesures.</w:t>
            </w:r>
          </w:p>
          <w:p w14:paraId="0382189A" w14:textId="29A1076A" w:rsidR="00877D64" w:rsidRPr="0002625D" w:rsidRDefault="00877D64" w:rsidP="00877D64">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Réexaminera la </w:t>
            </w:r>
            <w:r>
              <w:rPr>
                <w:rFonts w:ascii="Times New Roman" w:hAnsi="Times New Roman"/>
                <w:b/>
                <w:noProof/>
                <w:sz w:val="24"/>
              </w:rPr>
              <w:t>loi de blocage</w:t>
            </w:r>
            <w:r>
              <w:rPr>
                <w:rFonts w:ascii="Times New Roman" w:hAnsi="Times New Roman"/>
                <w:noProof/>
                <w:sz w:val="24"/>
              </w:rPr>
              <w:t xml:space="preserve"> afin de simplifier son application, de réduire les coûts de mise en conformité pour les personnes et les entreprises de l’UE et de créer un effet dissuasif crédible contre l’application extraterritoriale des sanctions de pays tiers. Cela renforcera la sécurité économique européenne en protégeant mieux les opérateurs de l’UE contre les mesures contradictoires prises par des pays tiers et en garantissant un cadre plus prévisible, plus efficace et plus ferme.</w:t>
            </w:r>
          </w:p>
          <w:p w14:paraId="37D15023" w14:textId="3F0D107C" w:rsidR="00D83F6B" w:rsidRPr="0002625D" w:rsidRDefault="00A85CD5"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Étudiera les modalités visant à encourager les entreprises de certains secteurs à haut risque à </w:t>
            </w:r>
            <w:r>
              <w:rPr>
                <w:rFonts w:ascii="Times New Roman" w:hAnsi="Times New Roman"/>
                <w:b/>
                <w:noProof/>
                <w:sz w:val="24"/>
              </w:rPr>
              <w:t>veiller à ce que les approvisionnements proviennent d’au moins deux fournisseurs différents</w:t>
            </w:r>
            <w:r>
              <w:rPr>
                <w:rFonts w:ascii="Times New Roman" w:hAnsi="Times New Roman"/>
                <w:noProof/>
                <w:sz w:val="24"/>
              </w:rPr>
              <w:t xml:space="preserve"> et à limiter l’exposition à un seul fournisseur dominant.</w:t>
            </w:r>
          </w:p>
          <w:p w14:paraId="07107891" w14:textId="5C42B88A" w:rsidR="00DD190F" w:rsidRPr="0002625D" w:rsidRDefault="00C47E08" w:rsidP="00847B9B">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Étudiera la possibilité d’apporter un </w:t>
            </w:r>
            <w:r>
              <w:rPr>
                <w:rFonts w:ascii="Times New Roman" w:hAnsi="Times New Roman"/>
                <w:b/>
                <w:noProof/>
                <w:sz w:val="24"/>
              </w:rPr>
              <w:t>soutien financier aux entreprises faisant l’objet de décisions de filtrage des IDE</w:t>
            </w:r>
            <w:r>
              <w:rPr>
                <w:rFonts w:ascii="Times New Roman" w:hAnsi="Times New Roman"/>
                <w:noProof/>
                <w:sz w:val="24"/>
              </w:rPr>
              <w:t xml:space="preserve"> dans des situations où leur viabilité financière pourrait être menacée en l’absence d’investissement, sans préjudice des règles en matière d’aides d’État.</w:t>
            </w:r>
          </w:p>
          <w:p w14:paraId="7BD82EB9" w14:textId="7110420D" w:rsidR="00BA498C" w:rsidRPr="0002625D" w:rsidRDefault="00BA498C" w:rsidP="00A240A9">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Proposera, dans le cadre de la révision des directives sur les marchés publics, </w:t>
            </w:r>
            <w:r>
              <w:rPr>
                <w:rFonts w:ascii="Times New Roman" w:hAnsi="Times New Roman"/>
                <w:b/>
                <w:noProof/>
                <w:sz w:val="24"/>
              </w:rPr>
              <w:t>des critères de préférence européenne dans des secteurs stratégiques spécifiques</w:t>
            </w:r>
            <w:r>
              <w:rPr>
                <w:rFonts w:ascii="Times New Roman" w:hAnsi="Times New Roman"/>
                <w:noProof/>
                <w:sz w:val="24"/>
              </w:rPr>
              <w:t xml:space="preserve"> dans lesquels nos marchés publics stimulent la demande pour l’industrie européenne de pointe, augmentent notre résilience et atténuent les risques pour la sécurité.</w:t>
            </w:r>
          </w:p>
          <w:p w14:paraId="5EC4522D" w14:textId="339FF34C" w:rsidR="00A31435" w:rsidRPr="0002625D" w:rsidRDefault="00DA49E3" w:rsidP="00A31435">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Encouragera les entreprises à </w:t>
            </w:r>
            <w:r>
              <w:rPr>
                <w:rFonts w:ascii="Times New Roman" w:hAnsi="Times New Roman"/>
                <w:b/>
                <w:noProof/>
                <w:sz w:val="24"/>
              </w:rPr>
              <w:t>réduire leurs dépendances dans les domaines technologiques émergents</w:t>
            </w:r>
            <w:r>
              <w:rPr>
                <w:rFonts w:ascii="Times New Roman" w:hAnsi="Times New Roman"/>
                <w:noProof/>
                <w:sz w:val="24"/>
              </w:rPr>
              <w:t xml:space="preserve"> dans le cadre du futur règlement sur les puces </w:t>
            </w:r>
            <w:r w:rsidRPr="00814F13">
              <w:rPr>
                <w:rFonts w:ascii="Times New Roman" w:hAnsi="Times New Roman"/>
                <w:noProof/>
                <w:sz w:val="24"/>
              </w:rPr>
              <w:t>2</w:t>
            </w:r>
            <w:r>
              <w:rPr>
                <w:rFonts w:ascii="Times New Roman" w:hAnsi="Times New Roman"/>
                <w:noProof/>
                <w:sz w:val="24"/>
              </w:rPr>
              <w:t>.</w:t>
            </w:r>
            <w:r w:rsidRPr="00814F13">
              <w:rPr>
                <w:rFonts w:ascii="Times New Roman" w:hAnsi="Times New Roman"/>
                <w:noProof/>
                <w:sz w:val="24"/>
              </w:rPr>
              <w:t>0</w:t>
            </w:r>
            <w:r>
              <w:rPr>
                <w:rFonts w:ascii="Times New Roman" w:hAnsi="Times New Roman"/>
                <w:noProof/>
                <w:sz w:val="24"/>
              </w:rPr>
              <w:t>, de l’acte législatif sur les technologies quantiques, de l’acte législatif sur le développement de l’informatique en nuage et de l’IA et de la stratégie de la Commission en matière de logiciels libres.</w:t>
            </w:r>
          </w:p>
          <w:p w14:paraId="613D9641" w14:textId="151DC2AB" w:rsidR="00A31435" w:rsidRPr="0002625D" w:rsidRDefault="00C47E08" w:rsidP="00A240A9">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Utilisera la prochaine révision du </w:t>
            </w:r>
            <w:r>
              <w:rPr>
                <w:rFonts w:ascii="Times New Roman" w:hAnsi="Times New Roman"/>
                <w:b/>
                <w:noProof/>
                <w:sz w:val="24"/>
              </w:rPr>
              <w:t>règlement sur la cybersécurité</w:t>
            </w:r>
            <w:r>
              <w:rPr>
                <w:rFonts w:ascii="Times New Roman" w:hAnsi="Times New Roman"/>
                <w:noProof/>
                <w:sz w:val="24"/>
              </w:rPr>
              <w:t xml:space="preserve"> pour mettre en œuvre, au niveau de l’UE, des restrictions à l’accès des fournisseurs à haut risque aux infrastructures critiques.</w:t>
            </w:r>
          </w:p>
        </w:tc>
      </w:tr>
    </w:tbl>
    <w:p w14:paraId="656BBB50" w14:textId="77777777" w:rsidR="00E5163B" w:rsidRPr="0002625D" w:rsidRDefault="00E5163B" w:rsidP="00E5163B">
      <w:pPr>
        <w:spacing w:before="120" w:after="120"/>
        <w:jc w:val="both"/>
        <w:rPr>
          <w:rFonts w:ascii="Times New Roman" w:hAnsi="Times New Roman" w:cs="Times New Roman"/>
          <w:b/>
          <w:bCs/>
          <w:i/>
          <w:iCs/>
          <w:noProof/>
          <w:sz w:val="24"/>
          <w:szCs w:val="24"/>
        </w:rPr>
      </w:pPr>
    </w:p>
    <w:p w14:paraId="36263F0A" w14:textId="47D67BE6" w:rsidR="00D946CA" w:rsidRPr="00D33B1D" w:rsidRDefault="00CA5E3D" w:rsidP="00E5163B">
      <w:pPr>
        <w:spacing w:before="120" w:after="120"/>
        <w:jc w:val="both"/>
        <w:rPr>
          <w:rFonts w:ascii="Times New Roman" w:hAnsi="Times New Roman" w:cs="Times New Roman"/>
          <w:b/>
          <w:bCs/>
          <w:i/>
          <w:iCs/>
          <w:noProof/>
          <w:sz w:val="24"/>
          <w:szCs w:val="24"/>
          <w:u w:val="single"/>
        </w:rPr>
      </w:pPr>
      <w:r w:rsidRPr="00814F13">
        <w:rPr>
          <w:rFonts w:ascii="Times New Roman" w:hAnsi="Times New Roman"/>
          <w:b/>
          <w:i/>
          <w:noProof/>
          <w:sz w:val="24"/>
          <w:u w:val="single"/>
        </w:rPr>
        <w:t>5</w:t>
      </w:r>
      <w:r>
        <w:rPr>
          <w:rFonts w:ascii="Times New Roman" w:hAnsi="Times New Roman"/>
          <w:b/>
          <w:i/>
          <w:noProof/>
          <w:sz w:val="24"/>
          <w:u w:val="single"/>
        </w:rPr>
        <w:t>. Conclusion</w:t>
      </w:r>
    </w:p>
    <w:p w14:paraId="553D36AC" w14:textId="2BCC56A9" w:rsidR="0013499F" w:rsidRPr="0002625D" w:rsidRDefault="00936080" w:rsidP="2DC673DD">
      <w:pPr>
        <w:spacing w:after="120"/>
        <w:jc w:val="both"/>
        <w:rPr>
          <w:rFonts w:ascii="Times New Roman" w:hAnsi="Times New Roman" w:cs="Times New Roman"/>
          <w:noProof/>
          <w:sz w:val="24"/>
          <w:szCs w:val="24"/>
        </w:rPr>
      </w:pPr>
      <w:r>
        <w:rPr>
          <w:rFonts w:ascii="Times New Roman" w:hAnsi="Times New Roman"/>
          <w:noProof/>
          <w:sz w:val="24"/>
        </w:rPr>
        <w:t>L’UE reste fermement attachée à un commerce ouvert et fondé sur des règles, à des relations propices aux investissements et à la coopération internationale. Elle continuera donc de soutenir les échanges commerciaux et les investissements ouverts avec des partenaires du monde entier et à en tirer parti. Dans le même temps, compte tenu de l’environnement géopolitique actuel, il est impératif de préserver la sécurité économique de l’UE. Faire face aux risques qui découlent de l’ouverture est essentiel pour préserver cette dernière, de même que notre sécurité au sens large et la compétitivité de notre industrie.</w:t>
      </w:r>
    </w:p>
    <w:p w14:paraId="14B88999" w14:textId="74BB26B1" w:rsidR="0013499F" w:rsidRPr="0002625D" w:rsidRDefault="007B2220" w:rsidP="2DC673DD">
      <w:pPr>
        <w:spacing w:after="120"/>
        <w:jc w:val="both"/>
        <w:rPr>
          <w:rFonts w:ascii="Times New Roman" w:hAnsi="Times New Roman" w:cs="Times New Roman"/>
          <w:noProof/>
          <w:sz w:val="24"/>
          <w:szCs w:val="24"/>
        </w:rPr>
      </w:pPr>
      <w:r>
        <w:rPr>
          <w:rFonts w:ascii="Times New Roman" w:hAnsi="Times New Roman"/>
          <w:noProof/>
          <w:sz w:val="24"/>
        </w:rPr>
        <w:t>L’UE dispose déjà de nombreux outils pour atteindre cet objectif. Ces instruments doivent désormais être utilisés de manière stratégique et, le cas échéant, être encore renforcés, à la fois pour décourager de manière crédible les menaces qui pèsent sur la sécurité économique de l’UE avant qu’elles ne se concrétisent et pour réagir efficacement lorsqu’elles se produisent. Pour y parvenir, la Commission, le Parlement européen et les États membres doivent travailler de concert et coopérer étroitement avec l’industrie, en vue d’une prise de décision efficace et éclairée.</w:t>
      </w:r>
    </w:p>
    <w:p w14:paraId="17441472" w14:textId="2483F47C" w:rsidR="00103385" w:rsidRPr="00CA5E3D" w:rsidRDefault="0013499F" w:rsidP="00CA5E3D">
      <w:pPr>
        <w:spacing w:after="120"/>
        <w:jc w:val="both"/>
        <w:rPr>
          <w:rFonts w:ascii="Times New Roman" w:hAnsi="Times New Roman" w:cs="Times New Roman"/>
          <w:noProof/>
          <w:sz w:val="24"/>
          <w:szCs w:val="24"/>
        </w:rPr>
      </w:pPr>
      <w:r>
        <w:rPr>
          <w:rFonts w:ascii="Times New Roman" w:hAnsi="Times New Roman"/>
          <w:noProof/>
          <w:sz w:val="24"/>
        </w:rPr>
        <w:t>L’UE est déterminée à faire un usage plus proactif, stratégique et coordonné de tous les outils disponibles pour construire une économie forte, sûre et résiliente à long terme et pour opérer efficacement dans les nouvelles conditions géopolitiques et géoéconomiques qui façonnent le commerce mondial.</w:t>
      </w:r>
    </w:p>
    <w:p w14:paraId="561BBF27" w14:textId="77777777" w:rsidR="006E194F" w:rsidRPr="00E737DA" w:rsidRDefault="006E194F" w:rsidP="009A00B3">
      <w:pPr>
        <w:pStyle w:val="ListParagraph"/>
        <w:spacing w:after="120"/>
        <w:contextualSpacing w:val="0"/>
        <w:jc w:val="both"/>
        <w:rPr>
          <w:noProof/>
          <w:sz w:val="24"/>
          <w:szCs w:val="24"/>
        </w:rPr>
      </w:pPr>
    </w:p>
    <w:sectPr w:rsidR="006E194F" w:rsidRPr="00E737DA" w:rsidSect="00D60277">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24CF0" w14:textId="77777777" w:rsidR="005A67D2" w:rsidRPr="00E737DA" w:rsidRDefault="005A67D2" w:rsidP="00F41244">
      <w:pPr>
        <w:spacing w:after="0" w:line="240" w:lineRule="auto"/>
      </w:pPr>
      <w:r>
        <w:separator/>
      </w:r>
    </w:p>
  </w:endnote>
  <w:endnote w:type="continuationSeparator" w:id="0">
    <w:p w14:paraId="339EAA19" w14:textId="77777777" w:rsidR="005A67D2" w:rsidRPr="00E737DA" w:rsidRDefault="005A67D2" w:rsidP="00F41244">
      <w:pPr>
        <w:spacing w:after="0" w:line="240" w:lineRule="auto"/>
      </w:pPr>
      <w:r>
        <w:continuationSeparator/>
      </w:r>
    </w:p>
  </w:endnote>
  <w:endnote w:type="continuationNotice" w:id="1">
    <w:p w14:paraId="6916334F" w14:textId="77777777" w:rsidR="005A67D2" w:rsidRPr="00E737DA" w:rsidRDefault="005A6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E4247" w14:textId="068B5B0A" w:rsidR="007F015A" w:rsidRPr="007F015A" w:rsidRDefault="007F015A" w:rsidP="007F015A">
    <w:pPr>
      <w:pStyle w:val="FooterCoverPage"/>
      <w:rPr>
        <w:rFonts w:ascii="Arial" w:hAnsi="Arial" w:cs="Arial"/>
        <w:b/>
        <w:sz w:val="48"/>
      </w:rPr>
    </w:pPr>
    <w:r w:rsidRPr="007F015A">
      <w:rPr>
        <w:rFonts w:ascii="Arial" w:hAnsi="Arial" w:cs="Arial"/>
        <w:b/>
        <w:sz w:val="48"/>
      </w:rPr>
      <w:t>FR</w:t>
    </w:r>
    <w:r w:rsidRPr="007F015A">
      <w:rPr>
        <w:rFonts w:ascii="Arial" w:hAnsi="Arial" w:cs="Arial"/>
        <w:b/>
        <w:sz w:val="48"/>
      </w:rPr>
      <w:tab/>
    </w:r>
    <w:r w:rsidRPr="007F015A">
      <w:rPr>
        <w:rFonts w:ascii="Arial" w:hAnsi="Arial" w:cs="Arial"/>
        <w:b/>
        <w:sz w:val="48"/>
      </w:rPr>
      <w:tab/>
    </w:r>
    <w:r w:rsidRPr="007F015A">
      <w:tab/>
    </w:r>
    <w:r w:rsidRPr="007F015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55DC2" w14:textId="46E16998" w:rsidR="007F015A" w:rsidRPr="007F015A" w:rsidRDefault="007F015A" w:rsidP="007F015A">
    <w:pPr>
      <w:pStyle w:val="FooterCoverPage"/>
      <w:rPr>
        <w:rFonts w:ascii="Arial" w:hAnsi="Arial" w:cs="Arial"/>
        <w:b/>
        <w:sz w:val="48"/>
      </w:rPr>
    </w:pPr>
    <w:r w:rsidRPr="007F015A">
      <w:rPr>
        <w:rFonts w:ascii="Arial" w:hAnsi="Arial" w:cs="Arial"/>
        <w:b/>
        <w:sz w:val="48"/>
      </w:rPr>
      <w:t>FR</w:t>
    </w:r>
    <w:r w:rsidRPr="007F015A">
      <w:rPr>
        <w:rFonts w:ascii="Arial" w:hAnsi="Arial" w:cs="Arial"/>
        <w:b/>
        <w:sz w:val="48"/>
      </w:rPr>
      <w:tab/>
    </w:r>
    <w:r w:rsidRPr="007F015A">
      <w:rPr>
        <w:rFonts w:ascii="Arial" w:hAnsi="Arial" w:cs="Arial"/>
        <w:b/>
        <w:sz w:val="48"/>
      </w:rPr>
      <w:tab/>
    </w:r>
    <w:r w:rsidRPr="007F015A">
      <w:tab/>
    </w:r>
    <w:r w:rsidRPr="007F015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A696D" w14:textId="77777777" w:rsidR="007F015A" w:rsidRPr="007F015A" w:rsidRDefault="007F015A" w:rsidP="007F015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2A7D8" w14:textId="77777777" w:rsidR="00D60277" w:rsidRPr="00E737DA" w:rsidRDefault="00D602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01487866"/>
      <w:docPartObj>
        <w:docPartGallery w:val="Page Numbers (Bottom of Page)"/>
        <w:docPartUnique/>
      </w:docPartObj>
    </w:sdtPr>
    <w:sdtEndPr/>
    <w:sdtContent>
      <w:p w14:paraId="39AB2226" w14:textId="6D2666E6" w:rsidR="0011705E" w:rsidRPr="00E737DA" w:rsidRDefault="0011705E">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7F015A">
          <w:rPr>
            <w:rFonts w:ascii="Times New Roman" w:hAnsi="Times New Roman" w:cs="Times New Roman"/>
            <w:noProof/>
          </w:rPr>
          <w:t>3</w:t>
        </w:r>
        <w:r>
          <w:rPr>
            <w:rFonts w:ascii="Times New Roman" w:hAnsi="Times New Roman" w:cs="Times New Roman"/>
          </w:rPr>
          <w:fldChar w:fldCharType="end"/>
        </w:r>
      </w:p>
    </w:sdtContent>
  </w:sdt>
  <w:p w14:paraId="6DBA1B5C" w14:textId="6E25C2B2" w:rsidR="00D60277" w:rsidRPr="00E737DA" w:rsidRDefault="00D60277">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B725D" w14:textId="77777777" w:rsidR="00D60277" w:rsidRPr="00E737DA" w:rsidRDefault="00D60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245B5" w14:textId="77777777" w:rsidR="005A67D2" w:rsidRPr="00E737DA" w:rsidRDefault="005A67D2" w:rsidP="00F41244">
      <w:pPr>
        <w:spacing w:after="0" w:line="240" w:lineRule="auto"/>
      </w:pPr>
      <w:r>
        <w:separator/>
      </w:r>
    </w:p>
  </w:footnote>
  <w:footnote w:type="continuationSeparator" w:id="0">
    <w:p w14:paraId="3F4752B0" w14:textId="77777777" w:rsidR="005A67D2" w:rsidRPr="00E737DA" w:rsidRDefault="005A67D2" w:rsidP="00F41244">
      <w:pPr>
        <w:spacing w:after="0" w:line="240" w:lineRule="auto"/>
      </w:pPr>
      <w:r>
        <w:continuationSeparator/>
      </w:r>
    </w:p>
  </w:footnote>
  <w:footnote w:type="continuationNotice" w:id="1">
    <w:p w14:paraId="4DFF8B42" w14:textId="77777777" w:rsidR="005A67D2" w:rsidRPr="00E737DA" w:rsidRDefault="005A67D2">
      <w:pPr>
        <w:spacing w:after="0" w:line="240" w:lineRule="auto"/>
      </w:pPr>
    </w:p>
  </w:footnote>
  <w:footnote w:id="2">
    <w:p w14:paraId="394D413F" w14:textId="0B895E6E" w:rsidR="008F0376" w:rsidRPr="00CA5E3D" w:rsidRDefault="008F037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w:t>
      </w:r>
      <w:r w:rsidRPr="00814F13">
        <w:rPr>
          <w:rFonts w:ascii="Times New Roman" w:hAnsi="Times New Roman"/>
        </w:rPr>
        <w:t>2023</w:t>
      </w:r>
      <w:r>
        <w:rPr>
          <w:rFonts w:ascii="Times New Roman" w:hAnsi="Times New Roman"/>
        </w:rPr>
        <w:t xml:space="preserve">) </w:t>
      </w:r>
      <w:r w:rsidRPr="00814F13">
        <w:rPr>
          <w:rFonts w:ascii="Times New Roman" w:hAnsi="Times New Roman"/>
        </w:rPr>
        <w:t>20</w:t>
      </w:r>
      <w:r>
        <w:rPr>
          <w:rFonts w:ascii="Times New Roman" w:hAnsi="Times New Roman"/>
        </w:rPr>
        <w:t xml:space="preserve"> final.</w:t>
      </w:r>
    </w:p>
  </w:footnote>
  <w:footnote w:id="3">
    <w:p w14:paraId="036C166A" w14:textId="6F85E060" w:rsidR="000E155F" w:rsidRPr="00A6446F" w:rsidRDefault="000E155F" w:rsidP="000E155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814F13">
        <w:rPr>
          <w:rFonts w:ascii="Times New Roman" w:hAnsi="Times New Roman"/>
        </w:rPr>
        <w:t>2025</w:t>
      </w:r>
      <w:r>
        <w:rPr>
          <w:rFonts w:ascii="Times New Roman" w:hAnsi="Times New Roman"/>
        </w:rPr>
        <w:t>/</w:t>
      </w:r>
      <w:r w:rsidRPr="00814F13">
        <w:rPr>
          <w:rFonts w:ascii="Times New Roman" w:hAnsi="Times New Roman"/>
        </w:rPr>
        <w:t>75</w:t>
      </w:r>
      <w:r>
        <w:rPr>
          <w:rFonts w:ascii="Times New Roman" w:hAnsi="Times New Roman"/>
        </w:rPr>
        <w:t xml:space="preserve"> du </w:t>
      </w:r>
      <w:r w:rsidRPr="00814F13">
        <w:rPr>
          <w:rFonts w:ascii="Times New Roman" w:hAnsi="Times New Roman"/>
        </w:rPr>
        <w:t>19</w:t>
      </w:r>
      <w:r>
        <w:rPr>
          <w:rFonts w:ascii="Times New Roman" w:hAnsi="Times New Roman"/>
        </w:rPr>
        <w:t xml:space="preserve"> février </w:t>
      </w:r>
      <w:r w:rsidRPr="00814F13">
        <w:rPr>
          <w:rFonts w:ascii="Times New Roman" w:hAnsi="Times New Roman"/>
        </w:rPr>
        <w:t>2025</w:t>
      </w:r>
      <w:r>
        <w:rPr>
          <w:rFonts w:ascii="Times New Roman" w:hAnsi="Times New Roman"/>
        </w:rPr>
        <w:t>.</w:t>
      </w:r>
    </w:p>
  </w:footnote>
  <w:footnote w:id="4">
    <w:p w14:paraId="21158FF4" w14:textId="4C425323" w:rsidR="00334D94" w:rsidRPr="0037463F" w:rsidRDefault="00334D94">
      <w:pPr>
        <w:pStyle w:val="FootnoteText"/>
      </w:pPr>
      <w:r>
        <w:rPr>
          <w:rStyle w:val="FootnoteReference"/>
        </w:rPr>
        <w:footnoteRef/>
      </w:r>
      <w:r>
        <w:t xml:space="preserve"> le Centre de situation et du renseignement de l’UE (INTCEN) du Service européen pour l’action extérieure fait partie de la capacité unique d’analyse du renseignement (SIAC) de l’UE et est le centre civil de renseignement de l’UE. Il fournit des analyses approfondies aux décideurs de l’ensemble des institutions de l’UE.</w:t>
      </w:r>
    </w:p>
    <w:p w14:paraId="534173A8" w14:textId="6A2B8F00" w:rsidR="00334D94" w:rsidRPr="0037463F" w:rsidRDefault="00334D9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1CB99" w14:textId="77777777" w:rsidR="007F015A" w:rsidRPr="007F015A" w:rsidRDefault="007F015A" w:rsidP="007F015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9AAC4" w14:textId="77777777" w:rsidR="007F015A" w:rsidRPr="007F015A" w:rsidRDefault="007F015A" w:rsidP="007F015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54D61" w14:textId="77777777" w:rsidR="007F015A" w:rsidRPr="007F015A" w:rsidRDefault="007F015A" w:rsidP="007F015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51E7D" w14:textId="77777777" w:rsidR="00D60277" w:rsidRPr="00E737DA" w:rsidRDefault="00D602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6C114" w14:textId="57CE0B5C" w:rsidR="00D60277" w:rsidRPr="00E737DA" w:rsidRDefault="00D60277" w:rsidP="00D60277">
    <w:pPr>
      <w:pStyle w:val="Head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B22F" w14:textId="77777777" w:rsidR="00D60277" w:rsidRPr="00E737DA" w:rsidRDefault="00D60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D707A"/>
    <w:multiLevelType w:val="hybridMultilevel"/>
    <w:tmpl w:val="1A26AE58"/>
    <w:lvl w:ilvl="0" w:tplc="0A1AD6D6">
      <w:start w:val="1"/>
      <w:numFmt w:val="decimal"/>
      <w:lvlText w:val="%1."/>
      <w:lvlJc w:val="left"/>
      <w:pPr>
        <w:ind w:left="720" w:hanging="360"/>
      </w:pPr>
    </w:lvl>
    <w:lvl w:ilvl="1" w:tplc="58D20266">
      <w:start w:val="1"/>
      <w:numFmt w:val="bullet"/>
      <w:lvlText w:val="o"/>
      <w:lvlJc w:val="left"/>
      <w:pPr>
        <w:ind w:left="1440" w:hanging="360"/>
      </w:pPr>
      <w:rPr>
        <w:rFonts w:ascii="Courier New" w:hAnsi="Courier New" w:hint="default"/>
      </w:rPr>
    </w:lvl>
    <w:lvl w:ilvl="2" w:tplc="7C1492B8">
      <w:start w:val="1"/>
      <w:numFmt w:val="bullet"/>
      <w:lvlText w:val=""/>
      <w:lvlJc w:val="left"/>
      <w:pPr>
        <w:ind w:left="2160" w:hanging="360"/>
      </w:pPr>
      <w:rPr>
        <w:rFonts w:ascii="Wingdings" w:hAnsi="Wingdings" w:hint="default"/>
      </w:rPr>
    </w:lvl>
    <w:lvl w:ilvl="3" w:tplc="487657C0">
      <w:start w:val="1"/>
      <w:numFmt w:val="bullet"/>
      <w:lvlText w:val=""/>
      <w:lvlJc w:val="left"/>
      <w:pPr>
        <w:ind w:left="2880" w:hanging="360"/>
      </w:pPr>
      <w:rPr>
        <w:rFonts w:ascii="Symbol" w:hAnsi="Symbol" w:hint="default"/>
      </w:rPr>
    </w:lvl>
    <w:lvl w:ilvl="4" w:tplc="D1146B4E">
      <w:start w:val="1"/>
      <w:numFmt w:val="bullet"/>
      <w:lvlText w:val="o"/>
      <w:lvlJc w:val="left"/>
      <w:pPr>
        <w:ind w:left="3600" w:hanging="360"/>
      </w:pPr>
      <w:rPr>
        <w:rFonts w:ascii="Courier New" w:hAnsi="Courier New" w:hint="default"/>
      </w:rPr>
    </w:lvl>
    <w:lvl w:ilvl="5" w:tplc="1C0C4CEE">
      <w:start w:val="1"/>
      <w:numFmt w:val="bullet"/>
      <w:lvlText w:val=""/>
      <w:lvlJc w:val="left"/>
      <w:pPr>
        <w:ind w:left="4320" w:hanging="360"/>
      </w:pPr>
      <w:rPr>
        <w:rFonts w:ascii="Wingdings" w:hAnsi="Wingdings" w:hint="default"/>
      </w:rPr>
    </w:lvl>
    <w:lvl w:ilvl="6" w:tplc="DFC64E76">
      <w:start w:val="1"/>
      <w:numFmt w:val="bullet"/>
      <w:lvlText w:val=""/>
      <w:lvlJc w:val="left"/>
      <w:pPr>
        <w:ind w:left="5040" w:hanging="360"/>
      </w:pPr>
      <w:rPr>
        <w:rFonts w:ascii="Symbol" w:hAnsi="Symbol" w:hint="default"/>
      </w:rPr>
    </w:lvl>
    <w:lvl w:ilvl="7" w:tplc="5406E2DC">
      <w:start w:val="1"/>
      <w:numFmt w:val="bullet"/>
      <w:lvlText w:val="o"/>
      <w:lvlJc w:val="left"/>
      <w:pPr>
        <w:ind w:left="5760" w:hanging="360"/>
      </w:pPr>
      <w:rPr>
        <w:rFonts w:ascii="Courier New" w:hAnsi="Courier New" w:hint="default"/>
      </w:rPr>
    </w:lvl>
    <w:lvl w:ilvl="8" w:tplc="D5CC7EDC">
      <w:start w:val="1"/>
      <w:numFmt w:val="bullet"/>
      <w:lvlText w:val=""/>
      <w:lvlJc w:val="left"/>
      <w:pPr>
        <w:ind w:left="6480" w:hanging="360"/>
      </w:pPr>
      <w:rPr>
        <w:rFonts w:ascii="Wingdings" w:hAnsi="Wingdings" w:hint="default"/>
      </w:rPr>
    </w:lvl>
  </w:abstractNum>
  <w:abstractNum w:abstractNumId="1" w15:restartNumberingAfterBreak="0">
    <w:nsid w:val="080C5255"/>
    <w:multiLevelType w:val="hybridMultilevel"/>
    <w:tmpl w:val="8E60902C"/>
    <w:lvl w:ilvl="0" w:tplc="882EE232">
      <w:start w:val="1"/>
      <w:numFmt w:val="bullet"/>
      <w:lvlText w:val=""/>
      <w:lvlJc w:val="left"/>
      <w:pPr>
        <w:ind w:left="720" w:hanging="360"/>
      </w:pPr>
      <w:rPr>
        <w:rFonts w:ascii="Symbol" w:hAnsi="Symbol"/>
      </w:rPr>
    </w:lvl>
    <w:lvl w:ilvl="1" w:tplc="50BCB59A">
      <w:start w:val="1"/>
      <w:numFmt w:val="bullet"/>
      <w:lvlText w:val=""/>
      <w:lvlJc w:val="left"/>
      <w:pPr>
        <w:ind w:left="720" w:hanging="360"/>
      </w:pPr>
      <w:rPr>
        <w:rFonts w:ascii="Symbol" w:hAnsi="Symbol"/>
      </w:rPr>
    </w:lvl>
    <w:lvl w:ilvl="2" w:tplc="563211C4">
      <w:start w:val="1"/>
      <w:numFmt w:val="bullet"/>
      <w:lvlText w:val=""/>
      <w:lvlJc w:val="left"/>
      <w:pPr>
        <w:ind w:left="720" w:hanging="360"/>
      </w:pPr>
      <w:rPr>
        <w:rFonts w:ascii="Symbol" w:hAnsi="Symbol"/>
      </w:rPr>
    </w:lvl>
    <w:lvl w:ilvl="3" w:tplc="F67C9A5E">
      <w:start w:val="1"/>
      <w:numFmt w:val="bullet"/>
      <w:lvlText w:val=""/>
      <w:lvlJc w:val="left"/>
      <w:pPr>
        <w:ind w:left="720" w:hanging="360"/>
      </w:pPr>
      <w:rPr>
        <w:rFonts w:ascii="Symbol" w:hAnsi="Symbol"/>
      </w:rPr>
    </w:lvl>
    <w:lvl w:ilvl="4" w:tplc="8C5C13AC">
      <w:start w:val="1"/>
      <w:numFmt w:val="bullet"/>
      <w:lvlText w:val=""/>
      <w:lvlJc w:val="left"/>
      <w:pPr>
        <w:ind w:left="720" w:hanging="360"/>
      </w:pPr>
      <w:rPr>
        <w:rFonts w:ascii="Symbol" w:hAnsi="Symbol"/>
      </w:rPr>
    </w:lvl>
    <w:lvl w:ilvl="5" w:tplc="FE5231E8">
      <w:start w:val="1"/>
      <w:numFmt w:val="bullet"/>
      <w:lvlText w:val=""/>
      <w:lvlJc w:val="left"/>
      <w:pPr>
        <w:ind w:left="720" w:hanging="360"/>
      </w:pPr>
      <w:rPr>
        <w:rFonts w:ascii="Symbol" w:hAnsi="Symbol"/>
      </w:rPr>
    </w:lvl>
    <w:lvl w:ilvl="6" w:tplc="1A00F632">
      <w:start w:val="1"/>
      <w:numFmt w:val="bullet"/>
      <w:lvlText w:val=""/>
      <w:lvlJc w:val="left"/>
      <w:pPr>
        <w:ind w:left="720" w:hanging="360"/>
      </w:pPr>
      <w:rPr>
        <w:rFonts w:ascii="Symbol" w:hAnsi="Symbol"/>
      </w:rPr>
    </w:lvl>
    <w:lvl w:ilvl="7" w:tplc="81EEF178">
      <w:start w:val="1"/>
      <w:numFmt w:val="bullet"/>
      <w:lvlText w:val=""/>
      <w:lvlJc w:val="left"/>
      <w:pPr>
        <w:ind w:left="720" w:hanging="360"/>
      </w:pPr>
      <w:rPr>
        <w:rFonts w:ascii="Symbol" w:hAnsi="Symbol"/>
      </w:rPr>
    </w:lvl>
    <w:lvl w:ilvl="8" w:tplc="352C439E">
      <w:start w:val="1"/>
      <w:numFmt w:val="bullet"/>
      <w:lvlText w:val=""/>
      <w:lvlJc w:val="left"/>
      <w:pPr>
        <w:ind w:left="720" w:hanging="360"/>
      </w:pPr>
      <w:rPr>
        <w:rFonts w:ascii="Symbol" w:hAnsi="Symbol"/>
      </w:rPr>
    </w:lvl>
  </w:abstractNum>
  <w:abstractNum w:abstractNumId="2" w15:restartNumberingAfterBreak="0">
    <w:nsid w:val="0B6528F4"/>
    <w:multiLevelType w:val="hybridMultilevel"/>
    <w:tmpl w:val="792E3D4C"/>
    <w:lvl w:ilvl="0" w:tplc="E4F04BF2">
      <w:start w:val="1"/>
      <w:numFmt w:val="bullet"/>
      <w:lvlText w:val=""/>
      <w:lvlJc w:val="left"/>
      <w:pPr>
        <w:ind w:left="720" w:hanging="360"/>
      </w:pPr>
      <w:rPr>
        <w:rFonts w:ascii="Symbol" w:hAnsi="Symbol" w:hint="default"/>
      </w:rPr>
    </w:lvl>
    <w:lvl w:ilvl="1" w:tplc="D3B42544">
      <w:start w:val="1"/>
      <w:numFmt w:val="bullet"/>
      <w:lvlText w:val="o"/>
      <w:lvlJc w:val="left"/>
      <w:pPr>
        <w:ind w:left="1440" w:hanging="360"/>
      </w:pPr>
      <w:rPr>
        <w:rFonts w:ascii="Courier New" w:hAnsi="Courier New" w:hint="default"/>
      </w:rPr>
    </w:lvl>
    <w:lvl w:ilvl="2" w:tplc="F1F04F0C">
      <w:start w:val="1"/>
      <w:numFmt w:val="bullet"/>
      <w:lvlText w:val=""/>
      <w:lvlJc w:val="left"/>
      <w:pPr>
        <w:ind w:left="2160" w:hanging="360"/>
      </w:pPr>
      <w:rPr>
        <w:rFonts w:ascii="Wingdings" w:hAnsi="Wingdings" w:hint="default"/>
      </w:rPr>
    </w:lvl>
    <w:lvl w:ilvl="3" w:tplc="06F0A652">
      <w:start w:val="1"/>
      <w:numFmt w:val="bullet"/>
      <w:lvlText w:val=""/>
      <w:lvlJc w:val="left"/>
      <w:pPr>
        <w:ind w:left="2880" w:hanging="360"/>
      </w:pPr>
      <w:rPr>
        <w:rFonts w:ascii="Symbol" w:hAnsi="Symbol" w:hint="default"/>
      </w:rPr>
    </w:lvl>
    <w:lvl w:ilvl="4" w:tplc="427AD11C">
      <w:start w:val="1"/>
      <w:numFmt w:val="bullet"/>
      <w:lvlText w:val="o"/>
      <w:lvlJc w:val="left"/>
      <w:pPr>
        <w:ind w:left="3600" w:hanging="360"/>
      </w:pPr>
      <w:rPr>
        <w:rFonts w:ascii="Courier New" w:hAnsi="Courier New" w:hint="default"/>
      </w:rPr>
    </w:lvl>
    <w:lvl w:ilvl="5" w:tplc="BC0A5C0A">
      <w:start w:val="1"/>
      <w:numFmt w:val="bullet"/>
      <w:lvlText w:val=""/>
      <w:lvlJc w:val="left"/>
      <w:pPr>
        <w:ind w:left="4320" w:hanging="360"/>
      </w:pPr>
      <w:rPr>
        <w:rFonts w:ascii="Wingdings" w:hAnsi="Wingdings" w:hint="default"/>
      </w:rPr>
    </w:lvl>
    <w:lvl w:ilvl="6" w:tplc="887431E6">
      <w:start w:val="1"/>
      <w:numFmt w:val="bullet"/>
      <w:lvlText w:val=""/>
      <w:lvlJc w:val="left"/>
      <w:pPr>
        <w:ind w:left="5040" w:hanging="360"/>
      </w:pPr>
      <w:rPr>
        <w:rFonts w:ascii="Symbol" w:hAnsi="Symbol" w:hint="default"/>
      </w:rPr>
    </w:lvl>
    <w:lvl w:ilvl="7" w:tplc="96388708">
      <w:start w:val="1"/>
      <w:numFmt w:val="bullet"/>
      <w:lvlText w:val="o"/>
      <w:lvlJc w:val="left"/>
      <w:pPr>
        <w:ind w:left="5760" w:hanging="360"/>
      </w:pPr>
      <w:rPr>
        <w:rFonts w:ascii="Courier New" w:hAnsi="Courier New" w:hint="default"/>
      </w:rPr>
    </w:lvl>
    <w:lvl w:ilvl="8" w:tplc="B26C7870">
      <w:start w:val="1"/>
      <w:numFmt w:val="bullet"/>
      <w:lvlText w:val=""/>
      <w:lvlJc w:val="left"/>
      <w:pPr>
        <w:ind w:left="6480" w:hanging="360"/>
      </w:pPr>
      <w:rPr>
        <w:rFonts w:ascii="Wingdings" w:hAnsi="Wingdings" w:hint="default"/>
      </w:rPr>
    </w:lvl>
  </w:abstractNum>
  <w:abstractNum w:abstractNumId="3" w15:restartNumberingAfterBreak="0">
    <w:nsid w:val="127B234B"/>
    <w:multiLevelType w:val="hybridMultilevel"/>
    <w:tmpl w:val="FF16A04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8102B4"/>
    <w:multiLevelType w:val="hybridMultilevel"/>
    <w:tmpl w:val="F8D6ECA0"/>
    <w:lvl w:ilvl="0" w:tplc="5ACCBE3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AD3415"/>
    <w:multiLevelType w:val="hybridMultilevel"/>
    <w:tmpl w:val="AC3874F0"/>
    <w:lvl w:ilvl="0" w:tplc="2F0421C0">
      <w:start w:val="1"/>
      <w:numFmt w:val="bullet"/>
      <w:lvlText w:val=""/>
      <w:lvlJc w:val="left"/>
      <w:pPr>
        <w:ind w:left="1080" w:hanging="360"/>
      </w:pPr>
      <w:rPr>
        <w:rFonts w:ascii="Symbol" w:hAnsi="Symbol" w:hint="default"/>
      </w:rPr>
    </w:lvl>
    <w:lvl w:ilvl="1" w:tplc="46C2FC52">
      <w:start w:val="1"/>
      <w:numFmt w:val="bullet"/>
      <w:lvlText w:val="o"/>
      <w:lvlJc w:val="left"/>
      <w:pPr>
        <w:ind w:left="1800" w:hanging="360"/>
      </w:pPr>
      <w:rPr>
        <w:rFonts w:ascii="Courier New" w:hAnsi="Courier New" w:hint="default"/>
      </w:rPr>
    </w:lvl>
    <w:lvl w:ilvl="2" w:tplc="658AE2C8" w:tentative="1">
      <w:start w:val="1"/>
      <w:numFmt w:val="bullet"/>
      <w:lvlText w:val=""/>
      <w:lvlJc w:val="left"/>
      <w:pPr>
        <w:ind w:left="2520" w:hanging="360"/>
      </w:pPr>
      <w:rPr>
        <w:rFonts w:ascii="Wingdings" w:hAnsi="Wingdings" w:hint="default"/>
      </w:rPr>
    </w:lvl>
    <w:lvl w:ilvl="3" w:tplc="C1603616" w:tentative="1">
      <w:start w:val="1"/>
      <w:numFmt w:val="bullet"/>
      <w:lvlText w:val=""/>
      <w:lvlJc w:val="left"/>
      <w:pPr>
        <w:ind w:left="3240" w:hanging="360"/>
      </w:pPr>
      <w:rPr>
        <w:rFonts w:ascii="Symbol" w:hAnsi="Symbol" w:hint="default"/>
      </w:rPr>
    </w:lvl>
    <w:lvl w:ilvl="4" w:tplc="56EE6BE4" w:tentative="1">
      <w:start w:val="1"/>
      <w:numFmt w:val="bullet"/>
      <w:lvlText w:val="o"/>
      <w:lvlJc w:val="left"/>
      <w:pPr>
        <w:ind w:left="3960" w:hanging="360"/>
      </w:pPr>
      <w:rPr>
        <w:rFonts w:ascii="Courier New" w:hAnsi="Courier New" w:hint="default"/>
      </w:rPr>
    </w:lvl>
    <w:lvl w:ilvl="5" w:tplc="9ED6ED38" w:tentative="1">
      <w:start w:val="1"/>
      <w:numFmt w:val="bullet"/>
      <w:lvlText w:val=""/>
      <w:lvlJc w:val="left"/>
      <w:pPr>
        <w:ind w:left="4680" w:hanging="360"/>
      </w:pPr>
      <w:rPr>
        <w:rFonts w:ascii="Wingdings" w:hAnsi="Wingdings" w:hint="default"/>
      </w:rPr>
    </w:lvl>
    <w:lvl w:ilvl="6" w:tplc="33A47396" w:tentative="1">
      <w:start w:val="1"/>
      <w:numFmt w:val="bullet"/>
      <w:lvlText w:val=""/>
      <w:lvlJc w:val="left"/>
      <w:pPr>
        <w:ind w:left="5400" w:hanging="360"/>
      </w:pPr>
      <w:rPr>
        <w:rFonts w:ascii="Symbol" w:hAnsi="Symbol" w:hint="default"/>
      </w:rPr>
    </w:lvl>
    <w:lvl w:ilvl="7" w:tplc="A5508AC0" w:tentative="1">
      <w:start w:val="1"/>
      <w:numFmt w:val="bullet"/>
      <w:lvlText w:val="o"/>
      <w:lvlJc w:val="left"/>
      <w:pPr>
        <w:ind w:left="6120" w:hanging="360"/>
      </w:pPr>
      <w:rPr>
        <w:rFonts w:ascii="Courier New" w:hAnsi="Courier New" w:hint="default"/>
      </w:rPr>
    </w:lvl>
    <w:lvl w:ilvl="8" w:tplc="63508A7E" w:tentative="1">
      <w:start w:val="1"/>
      <w:numFmt w:val="bullet"/>
      <w:lvlText w:val=""/>
      <w:lvlJc w:val="left"/>
      <w:pPr>
        <w:ind w:left="6840" w:hanging="360"/>
      </w:pPr>
      <w:rPr>
        <w:rFonts w:ascii="Wingdings" w:hAnsi="Wingdings" w:hint="default"/>
      </w:rPr>
    </w:lvl>
  </w:abstractNum>
  <w:abstractNum w:abstractNumId="6" w15:restartNumberingAfterBreak="0">
    <w:nsid w:val="1BEE20C7"/>
    <w:multiLevelType w:val="hybridMultilevel"/>
    <w:tmpl w:val="3514CE1C"/>
    <w:lvl w:ilvl="0" w:tplc="FE3AA900">
      <w:start w:val="1"/>
      <w:numFmt w:val="bullet"/>
      <w:lvlText w:val=""/>
      <w:lvlJc w:val="left"/>
      <w:pPr>
        <w:ind w:left="360" w:hanging="360"/>
      </w:pPr>
      <w:rPr>
        <w:rFonts w:ascii="Symbol" w:hAnsi="Symbol" w:hint="default"/>
      </w:rPr>
    </w:lvl>
    <w:lvl w:ilvl="1" w:tplc="DFF8D930" w:tentative="1">
      <w:start w:val="1"/>
      <w:numFmt w:val="bullet"/>
      <w:lvlText w:val="o"/>
      <w:lvlJc w:val="left"/>
      <w:pPr>
        <w:ind w:left="1080" w:hanging="360"/>
      </w:pPr>
      <w:rPr>
        <w:rFonts w:ascii="Courier New" w:hAnsi="Courier New" w:hint="default"/>
      </w:rPr>
    </w:lvl>
    <w:lvl w:ilvl="2" w:tplc="A104AE0C" w:tentative="1">
      <w:start w:val="1"/>
      <w:numFmt w:val="bullet"/>
      <w:lvlText w:val=""/>
      <w:lvlJc w:val="left"/>
      <w:pPr>
        <w:ind w:left="1800" w:hanging="360"/>
      </w:pPr>
      <w:rPr>
        <w:rFonts w:ascii="Wingdings" w:hAnsi="Wingdings" w:hint="default"/>
      </w:rPr>
    </w:lvl>
    <w:lvl w:ilvl="3" w:tplc="7D0E219C" w:tentative="1">
      <w:start w:val="1"/>
      <w:numFmt w:val="bullet"/>
      <w:lvlText w:val=""/>
      <w:lvlJc w:val="left"/>
      <w:pPr>
        <w:ind w:left="2520" w:hanging="360"/>
      </w:pPr>
      <w:rPr>
        <w:rFonts w:ascii="Symbol" w:hAnsi="Symbol" w:hint="default"/>
      </w:rPr>
    </w:lvl>
    <w:lvl w:ilvl="4" w:tplc="C3E60706" w:tentative="1">
      <w:start w:val="1"/>
      <w:numFmt w:val="bullet"/>
      <w:lvlText w:val="o"/>
      <w:lvlJc w:val="left"/>
      <w:pPr>
        <w:ind w:left="3240" w:hanging="360"/>
      </w:pPr>
      <w:rPr>
        <w:rFonts w:ascii="Courier New" w:hAnsi="Courier New" w:hint="default"/>
      </w:rPr>
    </w:lvl>
    <w:lvl w:ilvl="5" w:tplc="EE283760" w:tentative="1">
      <w:start w:val="1"/>
      <w:numFmt w:val="bullet"/>
      <w:lvlText w:val=""/>
      <w:lvlJc w:val="left"/>
      <w:pPr>
        <w:ind w:left="3960" w:hanging="360"/>
      </w:pPr>
      <w:rPr>
        <w:rFonts w:ascii="Wingdings" w:hAnsi="Wingdings" w:hint="default"/>
      </w:rPr>
    </w:lvl>
    <w:lvl w:ilvl="6" w:tplc="AE3A8DB4" w:tentative="1">
      <w:start w:val="1"/>
      <w:numFmt w:val="bullet"/>
      <w:lvlText w:val=""/>
      <w:lvlJc w:val="left"/>
      <w:pPr>
        <w:ind w:left="4680" w:hanging="360"/>
      </w:pPr>
      <w:rPr>
        <w:rFonts w:ascii="Symbol" w:hAnsi="Symbol" w:hint="default"/>
      </w:rPr>
    </w:lvl>
    <w:lvl w:ilvl="7" w:tplc="DA92A40C" w:tentative="1">
      <w:start w:val="1"/>
      <w:numFmt w:val="bullet"/>
      <w:lvlText w:val="o"/>
      <w:lvlJc w:val="left"/>
      <w:pPr>
        <w:ind w:left="5400" w:hanging="360"/>
      </w:pPr>
      <w:rPr>
        <w:rFonts w:ascii="Courier New" w:hAnsi="Courier New" w:hint="default"/>
      </w:rPr>
    </w:lvl>
    <w:lvl w:ilvl="8" w:tplc="E9A27CEE" w:tentative="1">
      <w:start w:val="1"/>
      <w:numFmt w:val="bullet"/>
      <w:lvlText w:val=""/>
      <w:lvlJc w:val="left"/>
      <w:pPr>
        <w:ind w:left="6120" w:hanging="360"/>
      </w:pPr>
      <w:rPr>
        <w:rFonts w:ascii="Wingdings" w:hAnsi="Wingdings" w:hint="default"/>
      </w:rPr>
    </w:lvl>
  </w:abstractNum>
  <w:abstractNum w:abstractNumId="7" w15:restartNumberingAfterBreak="0">
    <w:nsid w:val="1C231FD5"/>
    <w:multiLevelType w:val="hybridMultilevel"/>
    <w:tmpl w:val="D66C9C0E"/>
    <w:lvl w:ilvl="0" w:tplc="CF6263C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36C258E"/>
    <w:multiLevelType w:val="hybridMultilevel"/>
    <w:tmpl w:val="79F63D76"/>
    <w:lvl w:ilvl="0" w:tplc="24F88DC8">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5742E5C6" w:tentative="1">
      <w:start w:val="1"/>
      <w:numFmt w:val="bullet"/>
      <w:lvlText w:val=""/>
      <w:lvlJc w:val="left"/>
      <w:pPr>
        <w:ind w:left="1800" w:hanging="360"/>
      </w:pPr>
      <w:rPr>
        <w:rFonts w:ascii="Wingdings" w:hAnsi="Wingdings" w:hint="default"/>
      </w:rPr>
    </w:lvl>
    <w:lvl w:ilvl="3" w:tplc="65FA83C0" w:tentative="1">
      <w:start w:val="1"/>
      <w:numFmt w:val="bullet"/>
      <w:lvlText w:val=""/>
      <w:lvlJc w:val="left"/>
      <w:pPr>
        <w:ind w:left="2520" w:hanging="360"/>
      </w:pPr>
      <w:rPr>
        <w:rFonts w:ascii="Symbol" w:hAnsi="Symbol" w:hint="default"/>
      </w:rPr>
    </w:lvl>
    <w:lvl w:ilvl="4" w:tplc="D5942BDA" w:tentative="1">
      <w:start w:val="1"/>
      <w:numFmt w:val="bullet"/>
      <w:lvlText w:val="o"/>
      <w:lvlJc w:val="left"/>
      <w:pPr>
        <w:ind w:left="3240" w:hanging="360"/>
      </w:pPr>
      <w:rPr>
        <w:rFonts w:ascii="Courier New" w:hAnsi="Courier New" w:hint="default"/>
      </w:rPr>
    </w:lvl>
    <w:lvl w:ilvl="5" w:tplc="B59E1EBC" w:tentative="1">
      <w:start w:val="1"/>
      <w:numFmt w:val="bullet"/>
      <w:lvlText w:val=""/>
      <w:lvlJc w:val="left"/>
      <w:pPr>
        <w:ind w:left="3960" w:hanging="360"/>
      </w:pPr>
      <w:rPr>
        <w:rFonts w:ascii="Wingdings" w:hAnsi="Wingdings" w:hint="default"/>
      </w:rPr>
    </w:lvl>
    <w:lvl w:ilvl="6" w:tplc="7DB8745A" w:tentative="1">
      <w:start w:val="1"/>
      <w:numFmt w:val="bullet"/>
      <w:lvlText w:val=""/>
      <w:lvlJc w:val="left"/>
      <w:pPr>
        <w:ind w:left="4680" w:hanging="360"/>
      </w:pPr>
      <w:rPr>
        <w:rFonts w:ascii="Symbol" w:hAnsi="Symbol" w:hint="default"/>
      </w:rPr>
    </w:lvl>
    <w:lvl w:ilvl="7" w:tplc="0C929EB6" w:tentative="1">
      <w:start w:val="1"/>
      <w:numFmt w:val="bullet"/>
      <w:lvlText w:val="o"/>
      <w:lvlJc w:val="left"/>
      <w:pPr>
        <w:ind w:left="5400" w:hanging="360"/>
      </w:pPr>
      <w:rPr>
        <w:rFonts w:ascii="Courier New" w:hAnsi="Courier New" w:hint="default"/>
      </w:rPr>
    </w:lvl>
    <w:lvl w:ilvl="8" w:tplc="23F4D4AC" w:tentative="1">
      <w:start w:val="1"/>
      <w:numFmt w:val="bullet"/>
      <w:lvlText w:val=""/>
      <w:lvlJc w:val="left"/>
      <w:pPr>
        <w:ind w:left="6120" w:hanging="360"/>
      </w:pPr>
      <w:rPr>
        <w:rFonts w:ascii="Wingdings" w:hAnsi="Wingdings" w:hint="default"/>
      </w:rPr>
    </w:lvl>
  </w:abstractNum>
  <w:abstractNum w:abstractNumId="9" w15:restartNumberingAfterBreak="0">
    <w:nsid w:val="24255BC5"/>
    <w:multiLevelType w:val="hybridMultilevel"/>
    <w:tmpl w:val="526C9128"/>
    <w:lvl w:ilvl="0" w:tplc="F3942428">
      <w:start w:val="1"/>
      <w:numFmt w:val="lowerRoman"/>
      <w:lvlText w:val="(%1)"/>
      <w:lvlJc w:val="left"/>
      <w:pPr>
        <w:ind w:left="1080" w:hanging="720"/>
      </w:pPr>
      <w:rPr>
        <w:b/>
      </w:rPr>
    </w:lvl>
    <w:lvl w:ilvl="1" w:tplc="5AFABEB2" w:tentative="1">
      <w:start w:val="1"/>
      <w:numFmt w:val="lowerLetter"/>
      <w:lvlText w:val="%2."/>
      <w:lvlJc w:val="left"/>
      <w:pPr>
        <w:ind w:left="1440" w:hanging="360"/>
      </w:pPr>
    </w:lvl>
    <w:lvl w:ilvl="2" w:tplc="27C64DC4" w:tentative="1">
      <w:start w:val="1"/>
      <w:numFmt w:val="lowerRoman"/>
      <w:lvlText w:val="%3."/>
      <w:lvlJc w:val="right"/>
      <w:pPr>
        <w:ind w:left="2160" w:hanging="180"/>
      </w:pPr>
    </w:lvl>
    <w:lvl w:ilvl="3" w:tplc="C82CC99C" w:tentative="1">
      <w:start w:val="1"/>
      <w:numFmt w:val="decimal"/>
      <w:lvlText w:val="%4."/>
      <w:lvlJc w:val="left"/>
      <w:pPr>
        <w:ind w:left="2880" w:hanging="360"/>
      </w:pPr>
    </w:lvl>
    <w:lvl w:ilvl="4" w:tplc="24D45ECE" w:tentative="1">
      <w:start w:val="1"/>
      <w:numFmt w:val="lowerLetter"/>
      <w:lvlText w:val="%5."/>
      <w:lvlJc w:val="left"/>
      <w:pPr>
        <w:ind w:left="3600" w:hanging="360"/>
      </w:pPr>
    </w:lvl>
    <w:lvl w:ilvl="5" w:tplc="829E54FA" w:tentative="1">
      <w:start w:val="1"/>
      <w:numFmt w:val="lowerRoman"/>
      <w:lvlText w:val="%6."/>
      <w:lvlJc w:val="right"/>
      <w:pPr>
        <w:ind w:left="4320" w:hanging="180"/>
      </w:pPr>
    </w:lvl>
    <w:lvl w:ilvl="6" w:tplc="4C604E1A" w:tentative="1">
      <w:start w:val="1"/>
      <w:numFmt w:val="decimal"/>
      <w:lvlText w:val="%7."/>
      <w:lvlJc w:val="left"/>
      <w:pPr>
        <w:ind w:left="5040" w:hanging="360"/>
      </w:pPr>
    </w:lvl>
    <w:lvl w:ilvl="7" w:tplc="A36AA150" w:tentative="1">
      <w:start w:val="1"/>
      <w:numFmt w:val="lowerLetter"/>
      <w:lvlText w:val="%8."/>
      <w:lvlJc w:val="left"/>
      <w:pPr>
        <w:ind w:left="5760" w:hanging="360"/>
      </w:pPr>
    </w:lvl>
    <w:lvl w:ilvl="8" w:tplc="0FD0DE6A" w:tentative="1">
      <w:start w:val="1"/>
      <w:numFmt w:val="lowerRoman"/>
      <w:lvlText w:val="%9."/>
      <w:lvlJc w:val="right"/>
      <w:pPr>
        <w:ind w:left="6480" w:hanging="180"/>
      </w:pPr>
    </w:lvl>
  </w:abstractNum>
  <w:abstractNum w:abstractNumId="10" w15:restartNumberingAfterBreak="0">
    <w:nsid w:val="24E21D67"/>
    <w:multiLevelType w:val="hybridMultilevel"/>
    <w:tmpl w:val="41EEB656"/>
    <w:lvl w:ilvl="0" w:tplc="7C206FF6">
      <w:start w:val="1"/>
      <w:numFmt w:val="bullet"/>
      <w:lvlText w:val=""/>
      <w:lvlJc w:val="left"/>
      <w:pPr>
        <w:ind w:left="720" w:hanging="360"/>
      </w:pPr>
      <w:rPr>
        <w:rFonts w:ascii="Symbol" w:hAnsi="Symbol" w:hint="default"/>
      </w:rPr>
    </w:lvl>
    <w:lvl w:ilvl="1" w:tplc="97F4F4F0" w:tentative="1">
      <w:start w:val="1"/>
      <w:numFmt w:val="bullet"/>
      <w:lvlText w:val="o"/>
      <w:lvlJc w:val="left"/>
      <w:pPr>
        <w:ind w:left="1440" w:hanging="360"/>
      </w:pPr>
      <w:rPr>
        <w:rFonts w:ascii="Courier New" w:hAnsi="Courier New" w:hint="default"/>
      </w:rPr>
    </w:lvl>
    <w:lvl w:ilvl="2" w:tplc="2A6E1926" w:tentative="1">
      <w:start w:val="1"/>
      <w:numFmt w:val="bullet"/>
      <w:lvlText w:val=""/>
      <w:lvlJc w:val="left"/>
      <w:pPr>
        <w:ind w:left="2160" w:hanging="360"/>
      </w:pPr>
      <w:rPr>
        <w:rFonts w:ascii="Wingdings" w:hAnsi="Wingdings" w:hint="default"/>
      </w:rPr>
    </w:lvl>
    <w:lvl w:ilvl="3" w:tplc="3A180250" w:tentative="1">
      <w:start w:val="1"/>
      <w:numFmt w:val="bullet"/>
      <w:lvlText w:val=""/>
      <w:lvlJc w:val="left"/>
      <w:pPr>
        <w:ind w:left="2880" w:hanging="360"/>
      </w:pPr>
      <w:rPr>
        <w:rFonts w:ascii="Symbol" w:hAnsi="Symbol" w:hint="default"/>
      </w:rPr>
    </w:lvl>
    <w:lvl w:ilvl="4" w:tplc="390AA92E" w:tentative="1">
      <w:start w:val="1"/>
      <w:numFmt w:val="bullet"/>
      <w:lvlText w:val="o"/>
      <w:lvlJc w:val="left"/>
      <w:pPr>
        <w:ind w:left="3600" w:hanging="360"/>
      </w:pPr>
      <w:rPr>
        <w:rFonts w:ascii="Courier New" w:hAnsi="Courier New" w:hint="default"/>
      </w:rPr>
    </w:lvl>
    <w:lvl w:ilvl="5" w:tplc="DD22182C" w:tentative="1">
      <w:start w:val="1"/>
      <w:numFmt w:val="bullet"/>
      <w:lvlText w:val=""/>
      <w:lvlJc w:val="left"/>
      <w:pPr>
        <w:ind w:left="4320" w:hanging="360"/>
      </w:pPr>
      <w:rPr>
        <w:rFonts w:ascii="Wingdings" w:hAnsi="Wingdings" w:hint="default"/>
      </w:rPr>
    </w:lvl>
    <w:lvl w:ilvl="6" w:tplc="B7387F98" w:tentative="1">
      <w:start w:val="1"/>
      <w:numFmt w:val="bullet"/>
      <w:lvlText w:val=""/>
      <w:lvlJc w:val="left"/>
      <w:pPr>
        <w:ind w:left="5040" w:hanging="360"/>
      </w:pPr>
      <w:rPr>
        <w:rFonts w:ascii="Symbol" w:hAnsi="Symbol" w:hint="default"/>
      </w:rPr>
    </w:lvl>
    <w:lvl w:ilvl="7" w:tplc="6876FAF4" w:tentative="1">
      <w:start w:val="1"/>
      <w:numFmt w:val="bullet"/>
      <w:lvlText w:val="o"/>
      <w:lvlJc w:val="left"/>
      <w:pPr>
        <w:ind w:left="5760" w:hanging="360"/>
      </w:pPr>
      <w:rPr>
        <w:rFonts w:ascii="Courier New" w:hAnsi="Courier New" w:hint="default"/>
      </w:rPr>
    </w:lvl>
    <w:lvl w:ilvl="8" w:tplc="F9FE27EA" w:tentative="1">
      <w:start w:val="1"/>
      <w:numFmt w:val="bullet"/>
      <w:lvlText w:val=""/>
      <w:lvlJc w:val="left"/>
      <w:pPr>
        <w:ind w:left="6480" w:hanging="360"/>
      </w:pPr>
      <w:rPr>
        <w:rFonts w:ascii="Wingdings" w:hAnsi="Wingdings" w:hint="default"/>
      </w:rPr>
    </w:lvl>
  </w:abstractNum>
  <w:abstractNum w:abstractNumId="11" w15:restartNumberingAfterBreak="0">
    <w:nsid w:val="27342A5E"/>
    <w:multiLevelType w:val="hybridMultilevel"/>
    <w:tmpl w:val="29DA107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2AEBF2CC"/>
    <w:multiLevelType w:val="hybridMultilevel"/>
    <w:tmpl w:val="2E1656D2"/>
    <w:lvl w:ilvl="0" w:tplc="1DB641BA">
      <w:start w:val="3"/>
      <w:numFmt w:val="decimal"/>
      <w:lvlText w:val="%1."/>
      <w:lvlJc w:val="left"/>
      <w:pPr>
        <w:ind w:left="720" w:hanging="360"/>
      </w:pPr>
    </w:lvl>
    <w:lvl w:ilvl="1" w:tplc="EF845A04">
      <w:start w:val="1"/>
      <w:numFmt w:val="lowerLetter"/>
      <w:lvlText w:val="%2."/>
      <w:lvlJc w:val="left"/>
      <w:pPr>
        <w:ind w:left="1440" w:hanging="360"/>
      </w:pPr>
    </w:lvl>
    <w:lvl w:ilvl="2" w:tplc="CCC0945A">
      <w:start w:val="1"/>
      <w:numFmt w:val="lowerRoman"/>
      <w:lvlText w:val="%3."/>
      <w:lvlJc w:val="right"/>
      <w:pPr>
        <w:ind w:left="2160" w:hanging="180"/>
      </w:pPr>
    </w:lvl>
    <w:lvl w:ilvl="3" w:tplc="CBBC63D0">
      <w:start w:val="1"/>
      <w:numFmt w:val="decimal"/>
      <w:lvlText w:val="%4."/>
      <w:lvlJc w:val="left"/>
      <w:pPr>
        <w:ind w:left="2880" w:hanging="360"/>
      </w:pPr>
    </w:lvl>
    <w:lvl w:ilvl="4" w:tplc="99B2B81A">
      <w:start w:val="1"/>
      <w:numFmt w:val="lowerLetter"/>
      <w:lvlText w:val="%5."/>
      <w:lvlJc w:val="left"/>
      <w:pPr>
        <w:ind w:left="3600" w:hanging="360"/>
      </w:pPr>
    </w:lvl>
    <w:lvl w:ilvl="5" w:tplc="6520E1A0">
      <w:start w:val="1"/>
      <w:numFmt w:val="lowerRoman"/>
      <w:lvlText w:val="%6."/>
      <w:lvlJc w:val="right"/>
      <w:pPr>
        <w:ind w:left="4320" w:hanging="180"/>
      </w:pPr>
    </w:lvl>
    <w:lvl w:ilvl="6" w:tplc="500681DA">
      <w:start w:val="1"/>
      <w:numFmt w:val="decimal"/>
      <w:lvlText w:val="%7."/>
      <w:lvlJc w:val="left"/>
      <w:pPr>
        <w:ind w:left="5040" w:hanging="360"/>
      </w:pPr>
    </w:lvl>
    <w:lvl w:ilvl="7" w:tplc="F7F03432">
      <w:start w:val="1"/>
      <w:numFmt w:val="lowerLetter"/>
      <w:lvlText w:val="%8."/>
      <w:lvlJc w:val="left"/>
      <w:pPr>
        <w:ind w:left="5760" w:hanging="360"/>
      </w:pPr>
    </w:lvl>
    <w:lvl w:ilvl="8" w:tplc="C91E063A">
      <w:start w:val="1"/>
      <w:numFmt w:val="lowerRoman"/>
      <w:lvlText w:val="%9."/>
      <w:lvlJc w:val="right"/>
      <w:pPr>
        <w:ind w:left="6480" w:hanging="180"/>
      </w:pPr>
    </w:lvl>
  </w:abstractNum>
  <w:abstractNum w:abstractNumId="13" w15:restartNumberingAfterBreak="0">
    <w:nsid w:val="2D19485D"/>
    <w:multiLevelType w:val="hybridMultilevel"/>
    <w:tmpl w:val="6F4075D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6B0CBB"/>
    <w:multiLevelType w:val="hybridMultilevel"/>
    <w:tmpl w:val="63507F12"/>
    <w:lvl w:ilvl="0" w:tplc="55E835E8">
      <w:start w:val="1"/>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F7438E9"/>
    <w:multiLevelType w:val="hybridMultilevel"/>
    <w:tmpl w:val="52AAA36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433BB7"/>
    <w:multiLevelType w:val="hybridMultilevel"/>
    <w:tmpl w:val="5204D14E"/>
    <w:lvl w:ilvl="0" w:tplc="41943846">
      <w:start w:val="1"/>
      <w:numFmt w:val="bullet"/>
      <w:lvlText w:val=""/>
      <w:lvlJc w:val="left"/>
      <w:pPr>
        <w:ind w:left="1440" w:hanging="360"/>
      </w:pPr>
      <w:rPr>
        <w:rFonts w:ascii="Symbol" w:hAnsi="Symbol" w:hint="default"/>
      </w:rPr>
    </w:lvl>
    <w:lvl w:ilvl="1" w:tplc="32DEF8AE" w:tentative="1">
      <w:start w:val="1"/>
      <w:numFmt w:val="bullet"/>
      <w:lvlText w:val="o"/>
      <w:lvlJc w:val="left"/>
      <w:pPr>
        <w:ind w:left="2160" w:hanging="360"/>
      </w:pPr>
      <w:rPr>
        <w:rFonts w:ascii="Courier New" w:hAnsi="Courier New" w:hint="default"/>
      </w:rPr>
    </w:lvl>
    <w:lvl w:ilvl="2" w:tplc="DB282D70" w:tentative="1">
      <w:start w:val="1"/>
      <w:numFmt w:val="bullet"/>
      <w:lvlText w:val=""/>
      <w:lvlJc w:val="left"/>
      <w:pPr>
        <w:ind w:left="2880" w:hanging="360"/>
      </w:pPr>
      <w:rPr>
        <w:rFonts w:ascii="Wingdings" w:hAnsi="Wingdings" w:hint="default"/>
      </w:rPr>
    </w:lvl>
    <w:lvl w:ilvl="3" w:tplc="8696A414" w:tentative="1">
      <w:start w:val="1"/>
      <w:numFmt w:val="bullet"/>
      <w:lvlText w:val=""/>
      <w:lvlJc w:val="left"/>
      <w:pPr>
        <w:ind w:left="3600" w:hanging="360"/>
      </w:pPr>
      <w:rPr>
        <w:rFonts w:ascii="Symbol" w:hAnsi="Symbol" w:hint="default"/>
      </w:rPr>
    </w:lvl>
    <w:lvl w:ilvl="4" w:tplc="2FFEA07A" w:tentative="1">
      <w:start w:val="1"/>
      <w:numFmt w:val="bullet"/>
      <w:lvlText w:val="o"/>
      <w:lvlJc w:val="left"/>
      <w:pPr>
        <w:ind w:left="4320" w:hanging="360"/>
      </w:pPr>
      <w:rPr>
        <w:rFonts w:ascii="Courier New" w:hAnsi="Courier New" w:hint="default"/>
      </w:rPr>
    </w:lvl>
    <w:lvl w:ilvl="5" w:tplc="F1F2930E" w:tentative="1">
      <w:start w:val="1"/>
      <w:numFmt w:val="bullet"/>
      <w:lvlText w:val=""/>
      <w:lvlJc w:val="left"/>
      <w:pPr>
        <w:ind w:left="5040" w:hanging="360"/>
      </w:pPr>
      <w:rPr>
        <w:rFonts w:ascii="Wingdings" w:hAnsi="Wingdings" w:hint="default"/>
      </w:rPr>
    </w:lvl>
    <w:lvl w:ilvl="6" w:tplc="1D7EE9A2" w:tentative="1">
      <w:start w:val="1"/>
      <w:numFmt w:val="bullet"/>
      <w:lvlText w:val=""/>
      <w:lvlJc w:val="left"/>
      <w:pPr>
        <w:ind w:left="5760" w:hanging="360"/>
      </w:pPr>
      <w:rPr>
        <w:rFonts w:ascii="Symbol" w:hAnsi="Symbol" w:hint="default"/>
      </w:rPr>
    </w:lvl>
    <w:lvl w:ilvl="7" w:tplc="79681370" w:tentative="1">
      <w:start w:val="1"/>
      <w:numFmt w:val="bullet"/>
      <w:lvlText w:val="o"/>
      <w:lvlJc w:val="left"/>
      <w:pPr>
        <w:ind w:left="6480" w:hanging="360"/>
      </w:pPr>
      <w:rPr>
        <w:rFonts w:ascii="Courier New" w:hAnsi="Courier New" w:hint="default"/>
      </w:rPr>
    </w:lvl>
    <w:lvl w:ilvl="8" w:tplc="1C9878E8" w:tentative="1">
      <w:start w:val="1"/>
      <w:numFmt w:val="bullet"/>
      <w:lvlText w:val=""/>
      <w:lvlJc w:val="left"/>
      <w:pPr>
        <w:ind w:left="7200" w:hanging="360"/>
      </w:pPr>
      <w:rPr>
        <w:rFonts w:ascii="Wingdings" w:hAnsi="Wingdings" w:hint="default"/>
      </w:rPr>
    </w:lvl>
  </w:abstractNum>
  <w:abstractNum w:abstractNumId="17" w15:restartNumberingAfterBreak="0">
    <w:nsid w:val="357207CD"/>
    <w:multiLevelType w:val="hybridMultilevel"/>
    <w:tmpl w:val="8BFEFA7A"/>
    <w:lvl w:ilvl="0" w:tplc="C5AA8E5C">
      <w:start w:val="1"/>
      <w:numFmt w:val="decimal"/>
      <w:lvlText w:val="%1."/>
      <w:lvlJc w:val="left"/>
      <w:pPr>
        <w:ind w:left="720" w:hanging="360"/>
      </w:pPr>
    </w:lvl>
    <w:lvl w:ilvl="1" w:tplc="C42AFD78">
      <w:start w:val="1"/>
      <w:numFmt w:val="lowerLetter"/>
      <w:lvlText w:val="%2."/>
      <w:lvlJc w:val="left"/>
      <w:pPr>
        <w:ind w:left="1440" w:hanging="360"/>
      </w:pPr>
    </w:lvl>
    <w:lvl w:ilvl="2" w:tplc="9B160D88">
      <w:start w:val="1"/>
      <w:numFmt w:val="lowerRoman"/>
      <w:lvlText w:val="%3."/>
      <w:lvlJc w:val="right"/>
      <w:pPr>
        <w:ind w:left="2160" w:hanging="180"/>
      </w:pPr>
    </w:lvl>
    <w:lvl w:ilvl="3" w:tplc="9362B118">
      <w:start w:val="1"/>
      <w:numFmt w:val="decimal"/>
      <w:lvlText w:val="%4."/>
      <w:lvlJc w:val="left"/>
      <w:pPr>
        <w:ind w:left="2880" w:hanging="360"/>
      </w:pPr>
    </w:lvl>
    <w:lvl w:ilvl="4" w:tplc="656EBC98">
      <w:start w:val="1"/>
      <w:numFmt w:val="lowerLetter"/>
      <w:lvlText w:val="%5."/>
      <w:lvlJc w:val="left"/>
      <w:pPr>
        <w:ind w:left="3600" w:hanging="360"/>
      </w:pPr>
    </w:lvl>
    <w:lvl w:ilvl="5" w:tplc="A13A9C18">
      <w:start w:val="1"/>
      <w:numFmt w:val="lowerRoman"/>
      <w:lvlText w:val="%6."/>
      <w:lvlJc w:val="right"/>
      <w:pPr>
        <w:ind w:left="4320" w:hanging="180"/>
      </w:pPr>
    </w:lvl>
    <w:lvl w:ilvl="6" w:tplc="CDB63468">
      <w:start w:val="1"/>
      <w:numFmt w:val="decimal"/>
      <w:lvlText w:val="%7."/>
      <w:lvlJc w:val="left"/>
      <w:pPr>
        <w:ind w:left="5040" w:hanging="360"/>
      </w:pPr>
    </w:lvl>
    <w:lvl w:ilvl="7" w:tplc="E9E202B2">
      <w:start w:val="1"/>
      <w:numFmt w:val="lowerLetter"/>
      <w:lvlText w:val="%8."/>
      <w:lvlJc w:val="left"/>
      <w:pPr>
        <w:ind w:left="5760" w:hanging="360"/>
      </w:pPr>
    </w:lvl>
    <w:lvl w:ilvl="8" w:tplc="B36CB290">
      <w:start w:val="1"/>
      <w:numFmt w:val="lowerRoman"/>
      <w:lvlText w:val="%9."/>
      <w:lvlJc w:val="right"/>
      <w:pPr>
        <w:ind w:left="6480" w:hanging="180"/>
      </w:pPr>
    </w:lvl>
  </w:abstractNum>
  <w:abstractNum w:abstractNumId="18" w15:restartNumberingAfterBreak="0">
    <w:nsid w:val="37AE46AF"/>
    <w:multiLevelType w:val="hybridMultilevel"/>
    <w:tmpl w:val="D26050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6546D9"/>
    <w:multiLevelType w:val="hybridMultilevel"/>
    <w:tmpl w:val="816A5C48"/>
    <w:lvl w:ilvl="0" w:tplc="2AF41C7E">
      <w:start w:val="5"/>
      <w:numFmt w:val="bullet"/>
      <w:lvlText w:val="-"/>
      <w:lvlJc w:val="left"/>
      <w:pPr>
        <w:ind w:left="1080" w:hanging="720"/>
      </w:pPr>
      <w:rPr>
        <w:rFonts w:ascii="Calibri" w:hAnsi="Calibri" w:hint="default"/>
      </w:rPr>
    </w:lvl>
    <w:lvl w:ilvl="1" w:tplc="694864F2">
      <w:start w:val="1"/>
      <w:numFmt w:val="lowerLetter"/>
      <w:lvlText w:val="%2."/>
      <w:lvlJc w:val="left"/>
      <w:pPr>
        <w:ind w:left="1440" w:hanging="360"/>
      </w:pPr>
    </w:lvl>
    <w:lvl w:ilvl="2" w:tplc="FD28863C" w:tentative="1">
      <w:start w:val="1"/>
      <w:numFmt w:val="lowerRoman"/>
      <w:lvlText w:val="%3."/>
      <w:lvlJc w:val="right"/>
      <w:pPr>
        <w:ind w:left="2160" w:hanging="180"/>
      </w:pPr>
    </w:lvl>
    <w:lvl w:ilvl="3" w:tplc="236A0274" w:tentative="1">
      <w:start w:val="1"/>
      <w:numFmt w:val="decimal"/>
      <w:lvlText w:val="%4."/>
      <w:lvlJc w:val="left"/>
      <w:pPr>
        <w:ind w:left="2880" w:hanging="360"/>
      </w:pPr>
    </w:lvl>
    <w:lvl w:ilvl="4" w:tplc="6722056E" w:tentative="1">
      <w:start w:val="1"/>
      <w:numFmt w:val="lowerLetter"/>
      <w:lvlText w:val="%5."/>
      <w:lvlJc w:val="left"/>
      <w:pPr>
        <w:ind w:left="3600" w:hanging="360"/>
      </w:pPr>
    </w:lvl>
    <w:lvl w:ilvl="5" w:tplc="9D509372" w:tentative="1">
      <w:start w:val="1"/>
      <w:numFmt w:val="lowerRoman"/>
      <w:lvlText w:val="%6."/>
      <w:lvlJc w:val="right"/>
      <w:pPr>
        <w:ind w:left="4320" w:hanging="180"/>
      </w:pPr>
    </w:lvl>
    <w:lvl w:ilvl="6" w:tplc="08420CF0" w:tentative="1">
      <w:start w:val="1"/>
      <w:numFmt w:val="decimal"/>
      <w:lvlText w:val="%7."/>
      <w:lvlJc w:val="left"/>
      <w:pPr>
        <w:ind w:left="5040" w:hanging="360"/>
      </w:pPr>
    </w:lvl>
    <w:lvl w:ilvl="7" w:tplc="C830579A" w:tentative="1">
      <w:start w:val="1"/>
      <w:numFmt w:val="lowerLetter"/>
      <w:lvlText w:val="%8."/>
      <w:lvlJc w:val="left"/>
      <w:pPr>
        <w:ind w:left="5760" w:hanging="360"/>
      </w:pPr>
    </w:lvl>
    <w:lvl w:ilvl="8" w:tplc="32068D44" w:tentative="1">
      <w:start w:val="1"/>
      <w:numFmt w:val="lowerRoman"/>
      <w:lvlText w:val="%9."/>
      <w:lvlJc w:val="right"/>
      <w:pPr>
        <w:ind w:left="6480" w:hanging="180"/>
      </w:pPr>
    </w:lvl>
  </w:abstractNum>
  <w:abstractNum w:abstractNumId="20" w15:restartNumberingAfterBreak="0">
    <w:nsid w:val="39C03A52"/>
    <w:multiLevelType w:val="hybridMultilevel"/>
    <w:tmpl w:val="E4D66B58"/>
    <w:lvl w:ilvl="0" w:tplc="76AE7BA4">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A301FC"/>
    <w:multiLevelType w:val="hybridMultilevel"/>
    <w:tmpl w:val="5E6022B4"/>
    <w:lvl w:ilvl="0" w:tplc="AE4E9428">
      <w:start w:val="1"/>
      <w:numFmt w:val="bullet"/>
      <w:lvlText w:val=""/>
      <w:lvlJc w:val="left"/>
      <w:pPr>
        <w:ind w:left="770" w:hanging="360"/>
      </w:pPr>
      <w:rPr>
        <w:rFonts w:ascii="Symbol" w:hAnsi="Symbol" w:hint="default"/>
      </w:rPr>
    </w:lvl>
    <w:lvl w:ilvl="1" w:tplc="428EAEBA" w:tentative="1">
      <w:start w:val="1"/>
      <w:numFmt w:val="bullet"/>
      <w:lvlText w:val="o"/>
      <w:lvlJc w:val="left"/>
      <w:pPr>
        <w:ind w:left="1490" w:hanging="360"/>
      </w:pPr>
      <w:rPr>
        <w:rFonts w:ascii="Courier New" w:hAnsi="Courier New" w:hint="default"/>
      </w:rPr>
    </w:lvl>
    <w:lvl w:ilvl="2" w:tplc="8F542F26" w:tentative="1">
      <w:start w:val="1"/>
      <w:numFmt w:val="bullet"/>
      <w:lvlText w:val=""/>
      <w:lvlJc w:val="left"/>
      <w:pPr>
        <w:ind w:left="2210" w:hanging="360"/>
      </w:pPr>
      <w:rPr>
        <w:rFonts w:ascii="Wingdings" w:hAnsi="Wingdings" w:hint="default"/>
      </w:rPr>
    </w:lvl>
    <w:lvl w:ilvl="3" w:tplc="29A89500" w:tentative="1">
      <w:start w:val="1"/>
      <w:numFmt w:val="bullet"/>
      <w:lvlText w:val=""/>
      <w:lvlJc w:val="left"/>
      <w:pPr>
        <w:ind w:left="2930" w:hanging="360"/>
      </w:pPr>
      <w:rPr>
        <w:rFonts w:ascii="Symbol" w:hAnsi="Symbol" w:hint="default"/>
      </w:rPr>
    </w:lvl>
    <w:lvl w:ilvl="4" w:tplc="9C58842A" w:tentative="1">
      <w:start w:val="1"/>
      <w:numFmt w:val="bullet"/>
      <w:lvlText w:val="o"/>
      <w:lvlJc w:val="left"/>
      <w:pPr>
        <w:ind w:left="3650" w:hanging="360"/>
      </w:pPr>
      <w:rPr>
        <w:rFonts w:ascii="Courier New" w:hAnsi="Courier New" w:hint="default"/>
      </w:rPr>
    </w:lvl>
    <w:lvl w:ilvl="5" w:tplc="A91E7AE2" w:tentative="1">
      <w:start w:val="1"/>
      <w:numFmt w:val="bullet"/>
      <w:lvlText w:val=""/>
      <w:lvlJc w:val="left"/>
      <w:pPr>
        <w:ind w:left="4370" w:hanging="360"/>
      </w:pPr>
      <w:rPr>
        <w:rFonts w:ascii="Wingdings" w:hAnsi="Wingdings" w:hint="default"/>
      </w:rPr>
    </w:lvl>
    <w:lvl w:ilvl="6" w:tplc="936AF4D0" w:tentative="1">
      <w:start w:val="1"/>
      <w:numFmt w:val="bullet"/>
      <w:lvlText w:val=""/>
      <w:lvlJc w:val="left"/>
      <w:pPr>
        <w:ind w:left="5090" w:hanging="360"/>
      </w:pPr>
      <w:rPr>
        <w:rFonts w:ascii="Symbol" w:hAnsi="Symbol" w:hint="default"/>
      </w:rPr>
    </w:lvl>
    <w:lvl w:ilvl="7" w:tplc="66D0ACB4" w:tentative="1">
      <w:start w:val="1"/>
      <w:numFmt w:val="bullet"/>
      <w:lvlText w:val="o"/>
      <w:lvlJc w:val="left"/>
      <w:pPr>
        <w:ind w:left="5810" w:hanging="360"/>
      </w:pPr>
      <w:rPr>
        <w:rFonts w:ascii="Courier New" w:hAnsi="Courier New" w:hint="default"/>
      </w:rPr>
    </w:lvl>
    <w:lvl w:ilvl="8" w:tplc="EDB01C26" w:tentative="1">
      <w:start w:val="1"/>
      <w:numFmt w:val="bullet"/>
      <w:lvlText w:val=""/>
      <w:lvlJc w:val="left"/>
      <w:pPr>
        <w:ind w:left="6530" w:hanging="360"/>
      </w:pPr>
      <w:rPr>
        <w:rFonts w:ascii="Wingdings" w:hAnsi="Wingdings" w:hint="default"/>
      </w:rPr>
    </w:lvl>
  </w:abstractNum>
  <w:abstractNum w:abstractNumId="22" w15:restartNumberingAfterBreak="0">
    <w:nsid w:val="3D534C2E"/>
    <w:multiLevelType w:val="hybridMultilevel"/>
    <w:tmpl w:val="A8C2B2DE"/>
    <w:lvl w:ilvl="0" w:tplc="EC6802BE">
      <w:start w:val="1"/>
      <w:numFmt w:val="bullet"/>
      <w:lvlText w:val=""/>
      <w:lvlJc w:val="left"/>
      <w:pPr>
        <w:ind w:left="360" w:hanging="360"/>
      </w:pPr>
      <w:rPr>
        <w:rFonts w:ascii="Symbol" w:hAnsi="Symbol" w:hint="default"/>
      </w:rPr>
    </w:lvl>
    <w:lvl w:ilvl="1" w:tplc="710AED8A" w:tentative="1">
      <w:start w:val="1"/>
      <w:numFmt w:val="bullet"/>
      <w:lvlText w:val="o"/>
      <w:lvlJc w:val="left"/>
      <w:pPr>
        <w:ind w:left="1080" w:hanging="360"/>
      </w:pPr>
      <w:rPr>
        <w:rFonts w:ascii="Courier New" w:hAnsi="Courier New" w:hint="default"/>
      </w:rPr>
    </w:lvl>
    <w:lvl w:ilvl="2" w:tplc="5A92EC04" w:tentative="1">
      <w:start w:val="1"/>
      <w:numFmt w:val="bullet"/>
      <w:lvlText w:val=""/>
      <w:lvlJc w:val="left"/>
      <w:pPr>
        <w:ind w:left="1800" w:hanging="360"/>
      </w:pPr>
      <w:rPr>
        <w:rFonts w:ascii="Wingdings" w:hAnsi="Wingdings" w:hint="default"/>
      </w:rPr>
    </w:lvl>
    <w:lvl w:ilvl="3" w:tplc="D7545FB0" w:tentative="1">
      <w:start w:val="1"/>
      <w:numFmt w:val="bullet"/>
      <w:lvlText w:val=""/>
      <w:lvlJc w:val="left"/>
      <w:pPr>
        <w:ind w:left="2520" w:hanging="360"/>
      </w:pPr>
      <w:rPr>
        <w:rFonts w:ascii="Symbol" w:hAnsi="Symbol" w:hint="default"/>
      </w:rPr>
    </w:lvl>
    <w:lvl w:ilvl="4" w:tplc="47BEB2EE" w:tentative="1">
      <w:start w:val="1"/>
      <w:numFmt w:val="bullet"/>
      <w:lvlText w:val="o"/>
      <w:lvlJc w:val="left"/>
      <w:pPr>
        <w:ind w:left="3240" w:hanging="360"/>
      </w:pPr>
      <w:rPr>
        <w:rFonts w:ascii="Courier New" w:hAnsi="Courier New" w:hint="default"/>
      </w:rPr>
    </w:lvl>
    <w:lvl w:ilvl="5" w:tplc="CA9C725E" w:tentative="1">
      <w:start w:val="1"/>
      <w:numFmt w:val="bullet"/>
      <w:lvlText w:val=""/>
      <w:lvlJc w:val="left"/>
      <w:pPr>
        <w:ind w:left="3960" w:hanging="360"/>
      </w:pPr>
      <w:rPr>
        <w:rFonts w:ascii="Wingdings" w:hAnsi="Wingdings" w:hint="default"/>
      </w:rPr>
    </w:lvl>
    <w:lvl w:ilvl="6" w:tplc="23060522" w:tentative="1">
      <w:start w:val="1"/>
      <w:numFmt w:val="bullet"/>
      <w:lvlText w:val=""/>
      <w:lvlJc w:val="left"/>
      <w:pPr>
        <w:ind w:left="4680" w:hanging="360"/>
      </w:pPr>
      <w:rPr>
        <w:rFonts w:ascii="Symbol" w:hAnsi="Symbol" w:hint="default"/>
      </w:rPr>
    </w:lvl>
    <w:lvl w:ilvl="7" w:tplc="42A2B9B6" w:tentative="1">
      <w:start w:val="1"/>
      <w:numFmt w:val="bullet"/>
      <w:lvlText w:val="o"/>
      <w:lvlJc w:val="left"/>
      <w:pPr>
        <w:ind w:left="5400" w:hanging="360"/>
      </w:pPr>
      <w:rPr>
        <w:rFonts w:ascii="Courier New" w:hAnsi="Courier New" w:hint="default"/>
      </w:rPr>
    </w:lvl>
    <w:lvl w:ilvl="8" w:tplc="33F4749E" w:tentative="1">
      <w:start w:val="1"/>
      <w:numFmt w:val="bullet"/>
      <w:lvlText w:val=""/>
      <w:lvlJc w:val="left"/>
      <w:pPr>
        <w:ind w:left="6120" w:hanging="360"/>
      </w:pPr>
      <w:rPr>
        <w:rFonts w:ascii="Wingdings" w:hAnsi="Wingdings" w:hint="default"/>
      </w:rPr>
    </w:lvl>
  </w:abstractNum>
  <w:abstractNum w:abstractNumId="23" w15:restartNumberingAfterBreak="0">
    <w:nsid w:val="3F0F6FB8"/>
    <w:multiLevelType w:val="hybridMultilevel"/>
    <w:tmpl w:val="92928CE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32A56D2"/>
    <w:multiLevelType w:val="hybridMultilevel"/>
    <w:tmpl w:val="E6B65F24"/>
    <w:lvl w:ilvl="0" w:tplc="790C5EF2">
      <w:start w:val="1"/>
      <w:numFmt w:val="bullet"/>
      <w:lvlText w:val=""/>
      <w:lvlJc w:val="left"/>
      <w:pPr>
        <w:ind w:left="765" w:hanging="360"/>
      </w:pPr>
      <w:rPr>
        <w:rFonts w:ascii="Symbol" w:hAnsi="Symbol" w:hint="default"/>
      </w:rPr>
    </w:lvl>
    <w:lvl w:ilvl="1" w:tplc="C2D4B228" w:tentative="1">
      <w:start w:val="1"/>
      <w:numFmt w:val="bullet"/>
      <w:lvlText w:val="o"/>
      <w:lvlJc w:val="left"/>
      <w:pPr>
        <w:ind w:left="1485" w:hanging="360"/>
      </w:pPr>
      <w:rPr>
        <w:rFonts w:ascii="Courier New" w:hAnsi="Courier New" w:hint="default"/>
      </w:rPr>
    </w:lvl>
    <w:lvl w:ilvl="2" w:tplc="44A24D18" w:tentative="1">
      <w:start w:val="1"/>
      <w:numFmt w:val="bullet"/>
      <w:lvlText w:val=""/>
      <w:lvlJc w:val="left"/>
      <w:pPr>
        <w:ind w:left="2205" w:hanging="360"/>
      </w:pPr>
      <w:rPr>
        <w:rFonts w:ascii="Wingdings" w:hAnsi="Wingdings" w:hint="default"/>
      </w:rPr>
    </w:lvl>
    <w:lvl w:ilvl="3" w:tplc="287A255E" w:tentative="1">
      <w:start w:val="1"/>
      <w:numFmt w:val="bullet"/>
      <w:lvlText w:val=""/>
      <w:lvlJc w:val="left"/>
      <w:pPr>
        <w:ind w:left="2925" w:hanging="360"/>
      </w:pPr>
      <w:rPr>
        <w:rFonts w:ascii="Symbol" w:hAnsi="Symbol" w:hint="default"/>
      </w:rPr>
    </w:lvl>
    <w:lvl w:ilvl="4" w:tplc="E5B882E0" w:tentative="1">
      <w:start w:val="1"/>
      <w:numFmt w:val="bullet"/>
      <w:lvlText w:val="o"/>
      <w:lvlJc w:val="left"/>
      <w:pPr>
        <w:ind w:left="3645" w:hanging="360"/>
      </w:pPr>
      <w:rPr>
        <w:rFonts w:ascii="Courier New" w:hAnsi="Courier New" w:hint="default"/>
      </w:rPr>
    </w:lvl>
    <w:lvl w:ilvl="5" w:tplc="61820F8A" w:tentative="1">
      <w:start w:val="1"/>
      <w:numFmt w:val="bullet"/>
      <w:lvlText w:val=""/>
      <w:lvlJc w:val="left"/>
      <w:pPr>
        <w:ind w:left="4365" w:hanging="360"/>
      </w:pPr>
      <w:rPr>
        <w:rFonts w:ascii="Wingdings" w:hAnsi="Wingdings" w:hint="default"/>
      </w:rPr>
    </w:lvl>
    <w:lvl w:ilvl="6" w:tplc="9EACCFE0" w:tentative="1">
      <w:start w:val="1"/>
      <w:numFmt w:val="bullet"/>
      <w:lvlText w:val=""/>
      <w:lvlJc w:val="left"/>
      <w:pPr>
        <w:ind w:left="5085" w:hanging="360"/>
      </w:pPr>
      <w:rPr>
        <w:rFonts w:ascii="Symbol" w:hAnsi="Symbol" w:hint="default"/>
      </w:rPr>
    </w:lvl>
    <w:lvl w:ilvl="7" w:tplc="661EF266" w:tentative="1">
      <w:start w:val="1"/>
      <w:numFmt w:val="bullet"/>
      <w:lvlText w:val="o"/>
      <w:lvlJc w:val="left"/>
      <w:pPr>
        <w:ind w:left="5805" w:hanging="360"/>
      </w:pPr>
      <w:rPr>
        <w:rFonts w:ascii="Courier New" w:hAnsi="Courier New" w:hint="default"/>
      </w:rPr>
    </w:lvl>
    <w:lvl w:ilvl="8" w:tplc="CB96B566" w:tentative="1">
      <w:start w:val="1"/>
      <w:numFmt w:val="bullet"/>
      <w:lvlText w:val=""/>
      <w:lvlJc w:val="left"/>
      <w:pPr>
        <w:ind w:left="6525" w:hanging="360"/>
      </w:pPr>
      <w:rPr>
        <w:rFonts w:ascii="Wingdings" w:hAnsi="Wingdings" w:hint="default"/>
      </w:rPr>
    </w:lvl>
  </w:abstractNum>
  <w:abstractNum w:abstractNumId="25" w15:restartNumberingAfterBreak="0">
    <w:nsid w:val="49951932"/>
    <w:multiLevelType w:val="hybridMultilevel"/>
    <w:tmpl w:val="0D388F8C"/>
    <w:lvl w:ilvl="0" w:tplc="040ED540">
      <w:start w:val="1"/>
      <w:numFmt w:val="bullet"/>
      <w:lvlText w:val=""/>
      <w:lvlJc w:val="left"/>
      <w:pPr>
        <w:ind w:left="1080" w:hanging="72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F33FE2"/>
    <w:multiLevelType w:val="hybridMultilevel"/>
    <w:tmpl w:val="07BADE74"/>
    <w:lvl w:ilvl="0" w:tplc="3620ED1C">
      <w:start w:val="1"/>
      <w:numFmt w:val="bullet"/>
      <w:lvlText w:val=""/>
      <w:lvlJc w:val="left"/>
      <w:pPr>
        <w:ind w:left="720" w:hanging="360"/>
      </w:pPr>
      <w:rPr>
        <w:rFonts w:ascii="Symbol" w:hAnsi="Symbol" w:hint="default"/>
      </w:rPr>
    </w:lvl>
    <w:lvl w:ilvl="1" w:tplc="0284D2A8" w:tentative="1">
      <w:start w:val="1"/>
      <w:numFmt w:val="bullet"/>
      <w:lvlText w:val="o"/>
      <w:lvlJc w:val="left"/>
      <w:pPr>
        <w:ind w:left="1440" w:hanging="360"/>
      </w:pPr>
      <w:rPr>
        <w:rFonts w:ascii="Courier New" w:hAnsi="Courier New" w:hint="default"/>
      </w:rPr>
    </w:lvl>
    <w:lvl w:ilvl="2" w:tplc="29BA4AEA" w:tentative="1">
      <w:start w:val="1"/>
      <w:numFmt w:val="bullet"/>
      <w:lvlText w:val=""/>
      <w:lvlJc w:val="left"/>
      <w:pPr>
        <w:ind w:left="2160" w:hanging="360"/>
      </w:pPr>
      <w:rPr>
        <w:rFonts w:ascii="Wingdings" w:hAnsi="Wingdings" w:hint="default"/>
      </w:rPr>
    </w:lvl>
    <w:lvl w:ilvl="3" w:tplc="53A0972A" w:tentative="1">
      <w:start w:val="1"/>
      <w:numFmt w:val="bullet"/>
      <w:lvlText w:val=""/>
      <w:lvlJc w:val="left"/>
      <w:pPr>
        <w:ind w:left="2880" w:hanging="360"/>
      </w:pPr>
      <w:rPr>
        <w:rFonts w:ascii="Symbol" w:hAnsi="Symbol" w:hint="default"/>
      </w:rPr>
    </w:lvl>
    <w:lvl w:ilvl="4" w:tplc="C0B210DA" w:tentative="1">
      <w:start w:val="1"/>
      <w:numFmt w:val="bullet"/>
      <w:lvlText w:val="o"/>
      <w:lvlJc w:val="left"/>
      <w:pPr>
        <w:ind w:left="3600" w:hanging="360"/>
      </w:pPr>
      <w:rPr>
        <w:rFonts w:ascii="Courier New" w:hAnsi="Courier New" w:hint="default"/>
      </w:rPr>
    </w:lvl>
    <w:lvl w:ilvl="5" w:tplc="F886CD12" w:tentative="1">
      <w:start w:val="1"/>
      <w:numFmt w:val="bullet"/>
      <w:lvlText w:val=""/>
      <w:lvlJc w:val="left"/>
      <w:pPr>
        <w:ind w:left="4320" w:hanging="360"/>
      </w:pPr>
      <w:rPr>
        <w:rFonts w:ascii="Wingdings" w:hAnsi="Wingdings" w:hint="default"/>
      </w:rPr>
    </w:lvl>
    <w:lvl w:ilvl="6" w:tplc="A0BCDAD4" w:tentative="1">
      <w:start w:val="1"/>
      <w:numFmt w:val="bullet"/>
      <w:lvlText w:val=""/>
      <w:lvlJc w:val="left"/>
      <w:pPr>
        <w:ind w:left="5040" w:hanging="360"/>
      </w:pPr>
      <w:rPr>
        <w:rFonts w:ascii="Symbol" w:hAnsi="Symbol" w:hint="default"/>
      </w:rPr>
    </w:lvl>
    <w:lvl w:ilvl="7" w:tplc="9F10B5E0" w:tentative="1">
      <w:start w:val="1"/>
      <w:numFmt w:val="bullet"/>
      <w:lvlText w:val="o"/>
      <w:lvlJc w:val="left"/>
      <w:pPr>
        <w:ind w:left="5760" w:hanging="360"/>
      </w:pPr>
      <w:rPr>
        <w:rFonts w:ascii="Courier New" w:hAnsi="Courier New" w:hint="default"/>
      </w:rPr>
    </w:lvl>
    <w:lvl w:ilvl="8" w:tplc="C32C1748" w:tentative="1">
      <w:start w:val="1"/>
      <w:numFmt w:val="bullet"/>
      <w:lvlText w:val=""/>
      <w:lvlJc w:val="left"/>
      <w:pPr>
        <w:ind w:left="6480" w:hanging="360"/>
      </w:pPr>
      <w:rPr>
        <w:rFonts w:ascii="Wingdings" w:hAnsi="Wingdings" w:hint="default"/>
      </w:rPr>
    </w:lvl>
  </w:abstractNum>
  <w:abstractNum w:abstractNumId="27" w15:restartNumberingAfterBreak="0">
    <w:nsid w:val="4B536D46"/>
    <w:multiLevelType w:val="hybridMultilevel"/>
    <w:tmpl w:val="15E42A12"/>
    <w:lvl w:ilvl="0" w:tplc="49220DFC">
      <w:start w:val="2"/>
      <w:numFmt w:val="decimal"/>
      <w:lvlText w:val="%1."/>
      <w:lvlJc w:val="left"/>
      <w:pPr>
        <w:ind w:left="720" w:hanging="360"/>
      </w:pPr>
    </w:lvl>
    <w:lvl w:ilvl="1" w:tplc="CE5E9BA2">
      <w:start w:val="1"/>
      <w:numFmt w:val="lowerLetter"/>
      <w:lvlText w:val="%2."/>
      <w:lvlJc w:val="left"/>
      <w:pPr>
        <w:ind w:left="1440" w:hanging="360"/>
      </w:pPr>
    </w:lvl>
    <w:lvl w:ilvl="2" w:tplc="3956108C">
      <w:start w:val="1"/>
      <w:numFmt w:val="lowerRoman"/>
      <w:lvlText w:val="%3."/>
      <w:lvlJc w:val="right"/>
      <w:pPr>
        <w:ind w:left="2160" w:hanging="180"/>
      </w:pPr>
    </w:lvl>
    <w:lvl w:ilvl="3" w:tplc="2E1425F2">
      <w:start w:val="1"/>
      <w:numFmt w:val="decimal"/>
      <w:lvlText w:val="%4."/>
      <w:lvlJc w:val="left"/>
      <w:pPr>
        <w:ind w:left="2880" w:hanging="360"/>
      </w:pPr>
    </w:lvl>
    <w:lvl w:ilvl="4" w:tplc="14FE9650">
      <w:start w:val="1"/>
      <w:numFmt w:val="lowerLetter"/>
      <w:lvlText w:val="%5."/>
      <w:lvlJc w:val="left"/>
      <w:pPr>
        <w:ind w:left="3600" w:hanging="360"/>
      </w:pPr>
    </w:lvl>
    <w:lvl w:ilvl="5" w:tplc="0CF220FE">
      <w:start w:val="1"/>
      <w:numFmt w:val="lowerRoman"/>
      <w:lvlText w:val="%6."/>
      <w:lvlJc w:val="right"/>
      <w:pPr>
        <w:ind w:left="4320" w:hanging="180"/>
      </w:pPr>
    </w:lvl>
    <w:lvl w:ilvl="6" w:tplc="FE0471EA">
      <w:start w:val="1"/>
      <w:numFmt w:val="decimal"/>
      <w:lvlText w:val="%7."/>
      <w:lvlJc w:val="left"/>
      <w:pPr>
        <w:ind w:left="5040" w:hanging="360"/>
      </w:pPr>
    </w:lvl>
    <w:lvl w:ilvl="7" w:tplc="915A9AC6">
      <w:start w:val="1"/>
      <w:numFmt w:val="lowerLetter"/>
      <w:lvlText w:val="%8."/>
      <w:lvlJc w:val="left"/>
      <w:pPr>
        <w:ind w:left="5760" w:hanging="360"/>
      </w:pPr>
    </w:lvl>
    <w:lvl w:ilvl="8" w:tplc="1D96768C">
      <w:start w:val="1"/>
      <w:numFmt w:val="lowerRoman"/>
      <w:lvlText w:val="%9."/>
      <w:lvlJc w:val="right"/>
      <w:pPr>
        <w:ind w:left="6480" w:hanging="180"/>
      </w:pPr>
    </w:lvl>
  </w:abstractNum>
  <w:abstractNum w:abstractNumId="28" w15:restartNumberingAfterBreak="0">
    <w:nsid w:val="57B87303"/>
    <w:multiLevelType w:val="hybridMultilevel"/>
    <w:tmpl w:val="F0C2D63C"/>
    <w:lvl w:ilvl="0" w:tplc="55D2BFFC">
      <w:start w:val="1"/>
      <w:numFmt w:val="decimal"/>
      <w:lvlText w:val="%1)"/>
      <w:lvlJc w:val="left"/>
      <w:pPr>
        <w:ind w:left="1020" w:hanging="360"/>
      </w:pPr>
    </w:lvl>
    <w:lvl w:ilvl="1" w:tplc="AC6A1178">
      <w:start w:val="1"/>
      <w:numFmt w:val="decimal"/>
      <w:lvlText w:val="%2)"/>
      <w:lvlJc w:val="left"/>
      <w:pPr>
        <w:ind w:left="1020" w:hanging="360"/>
      </w:pPr>
    </w:lvl>
    <w:lvl w:ilvl="2" w:tplc="86586982">
      <w:start w:val="1"/>
      <w:numFmt w:val="decimal"/>
      <w:lvlText w:val="%3)"/>
      <w:lvlJc w:val="left"/>
      <w:pPr>
        <w:ind w:left="1020" w:hanging="360"/>
      </w:pPr>
    </w:lvl>
    <w:lvl w:ilvl="3" w:tplc="2DC0ADF2">
      <w:start w:val="1"/>
      <w:numFmt w:val="decimal"/>
      <w:lvlText w:val="%4)"/>
      <w:lvlJc w:val="left"/>
      <w:pPr>
        <w:ind w:left="1020" w:hanging="360"/>
      </w:pPr>
    </w:lvl>
    <w:lvl w:ilvl="4" w:tplc="BA468216">
      <w:start w:val="1"/>
      <w:numFmt w:val="decimal"/>
      <w:lvlText w:val="%5)"/>
      <w:lvlJc w:val="left"/>
      <w:pPr>
        <w:ind w:left="1020" w:hanging="360"/>
      </w:pPr>
    </w:lvl>
    <w:lvl w:ilvl="5" w:tplc="13F88FCA">
      <w:start w:val="1"/>
      <w:numFmt w:val="decimal"/>
      <w:lvlText w:val="%6)"/>
      <w:lvlJc w:val="left"/>
      <w:pPr>
        <w:ind w:left="1020" w:hanging="360"/>
      </w:pPr>
    </w:lvl>
    <w:lvl w:ilvl="6" w:tplc="C3982104">
      <w:start w:val="1"/>
      <w:numFmt w:val="decimal"/>
      <w:lvlText w:val="%7)"/>
      <w:lvlJc w:val="left"/>
      <w:pPr>
        <w:ind w:left="1020" w:hanging="360"/>
      </w:pPr>
    </w:lvl>
    <w:lvl w:ilvl="7" w:tplc="079896CA">
      <w:start w:val="1"/>
      <w:numFmt w:val="decimal"/>
      <w:lvlText w:val="%8)"/>
      <w:lvlJc w:val="left"/>
      <w:pPr>
        <w:ind w:left="1020" w:hanging="360"/>
      </w:pPr>
    </w:lvl>
    <w:lvl w:ilvl="8" w:tplc="7198600E">
      <w:start w:val="1"/>
      <w:numFmt w:val="decimal"/>
      <w:lvlText w:val="%9)"/>
      <w:lvlJc w:val="left"/>
      <w:pPr>
        <w:ind w:left="1020" w:hanging="360"/>
      </w:pPr>
    </w:lvl>
  </w:abstractNum>
  <w:abstractNum w:abstractNumId="29" w15:restartNumberingAfterBreak="0">
    <w:nsid w:val="58946138"/>
    <w:multiLevelType w:val="hybridMultilevel"/>
    <w:tmpl w:val="CE2E4230"/>
    <w:lvl w:ilvl="0" w:tplc="F41424F0">
      <w:start w:val="1"/>
      <w:numFmt w:val="bullet"/>
      <w:lvlText w:val=""/>
      <w:lvlJc w:val="left"/>
      <w:pPr>
        <w:ind w:left="1080" w:hanging="360"/>
      </w:pPr>
      <w:rPr>
        <w:rFonts w:ascii="Symbol" w:hAnsi="Symbol" w:hint="default"/>
      </w:rPr>
    </w:lvl>
    <w:lvl w:ilvl="1" w:tplc="50F8B018" w:tentative="1">
      <w:start w:val="1"/>
      <w:numFmt w:val="bullet"/>
      <w:lvlText w:val="o"/>
      <w:lvlJc w:val="left"/>
      <w:pPr>
        <w:ind w:left="1800" w:hanging="360"/>
      </w:pPr>
      <w:rPr>
        <w:rFonts w:ascii="Courier New" w:hAnsi="Courier New" w:hint="default"/>
      </w:rPr>
    </w:lvl>
    <w:lvl w:ilvl="2" w:tplc="136C6C7A" w:tentative="1">
      <w:start w:val="1"/>
      <w:numFmt w:val="bullet"/>
      <w:lvlText w:val=""/>
      <w:lvlJc w:val="left"/>
      <w:pPr>
        <w:ind w:left="2520" w:hanging="360"/>
      </w:pPr>
      <w:rPr>
        <w:rFonts w:ascii="Wingdings" w:hAnsi="Wingdings" w:hint="default"/>
      </w:rPr>
    </w:lvl>
    <w:lvl w:ilvl="3" w:tplc="FA960CA8" w:tentative="1">
      <w:start w:val="1"/>
      <w:numFmt w:val="bullet"/>
      <w:lvlText w:val=""/>
      <w:lvlJc w:val="left"/>
      <w:pPr>
        <w:ind w:left="3240" w:hanging="360"/>
      </w:pPr>
      <w:rPr>
        <w:rFonts w:ascii="Symbol" w:hAnsi="Symbol" w:hint="default"/>
      </w:rPr>
    </w:lvl>
    <w:lvl w:ilvl="4" w:tplc="DE643804" w:tentative="1">
      <w:start w:val="1"/>
      <w:numFmt w:val="bullet"/>
      <w:lvlText w:val="o"/>
      <w:lvlJc w:val="left"/>
      <w:pPr>
        <w:ind w:left="3960" w:hanging="360"/>
      </w:pPr>
      <w:rPr>
        <w:rFonts w:ascii="Courier New" w:hAnsi="Courier New" w:hint="default"/>
      </w:rPr>
    </w:lvl>
    <w:lvl w:ilvl="5" w:tplc="6180BEEC" w:tentative="1">
      <w:start w:val="1"/>
      <w:numFmt w:val="bullet"/>
      <w:lvlText w:val=""/>
      <w:lvlJc w:val="left"/>
      <w:pPr>
        <w:ind w:left="4680" w:hanging="360"/>
      </w:pPr>
      <w:rPr>
        <w:rFonts w:ascii="Wingdings" w:hAnsi="Wingdings" w:hint="default"/>
      </w:rPr>
    </w:lvl>
    <w:lvl w:ilvl="6" w:tplc="D30E7F86" w:tentative="1">
      <w:start w:val="1"/>
      <w:numFmt w:val="bullet"/>
      <w:lvlText w:val=""/>
      <w:lvlJc w:val="left"/>
      <w:pPr>
        <w:ind w:left="5400" w:hanging="360"/>
      </w:pPr>
      <w:rPr>
        <w:rFonts w:ascii="Symbol" w:hAnsi="Symbol" w:hint="default"/>
      </w:rPr>
    </w:lvl>
    <w:lvl w:ilvl="7" w:tplc="9A8ECC6E" w:tentative="1">
      <w:start w:val="1"/>
      <w:numFmt w:val="bullet"/>
      <w:lvlText w:val="o"/>
      <w:lvlJc w:val="left"/>
      <w:pPr>
        <w:ind w:left="6120" w:hanging="360"/>
      </w:pPr>
      <w:rPr>
        <w:rFonts w:ascii="Courier New" w:hAnsi="Courier New" w:hint="default"/>
      </w:rPr>
    </w:lvl>
    <w:lvl w:ilvl="8" w:tplc="0F1280DA" w:tentative="1">
      <w:start w:val="1"/>
      <w:numFmt w:val="bullet"/>
      <w:lvlText w:val=""/>
      <w:lvlJc w:val="left"/>
      <w:pPr>
        <w:ind w:left="6840" w:hanging="360"/>
      </w:pPr>
      <w:rPr>
        <w:rFonts w:ascii="Wingdings" w:hAnsi="Wingdings" w:hint="default"/>
      </w:rPr>
    </w:lvl>
  </w:abstractNum>
  <w:abstractNum w:abstractNumId="30" w15:restartNumberingAfterBreak="0">
    <w:nsid w:val="5BA4BAEC"/>
    <w:multiLevelType w:val="hybridMultilevel"/>
    <w:tmpl w:val="FFFFFFFF"/>
    <w:lvl w:ilvl="0" w:tplc="A7E44CAE">
      <w:start w:val="1"/>
      <w:numFmt w:val="bullet"/>
      <w:lvlText w:val="-"/>
      <w:lvlJc w:val="left"/>
      <w:pPr>
        <w:ind w:left="720" w:hanging="360"/>
      </w:pPr>
      <w:rPr>
        <w:rFonts w:ascii="&quot;Times New Roman&quot;,serif" w:hAnsi="&quot;Times New Roman&quot;,serif" w:hint="default"/>
      </w:rPr>
    </w:lvl>
    <w:lvl w:ilvl="1" w:tplc="36A0F364">
      <w:start w:val="1"/>
      <w:numFmt w:val="bullet"/>
      <w:lvlText w:val="o"/>
      <w:lvlJc w:val="left"/>
      <w:pPr>
        <w:ind w:left="1440" w:hanging="360"/>
      </w:pPr>
      <w:rPr>
        <w:rFonts w:ascii="Courier New" w:hAnsi="Courier New" w:hint="default"/>
      </w:rPr>
    </w:lvl>
    <w:lvl w:ilvl="2" w:tplc="C592E898">
      <w:start w:val="1"/>
      <w:numFmt w:val="bullet"/>
      <w:lvlText w:val=""/>
      <w:lvlJc w:val="left"/>
      <w:pPr>
        <w:ind w:left="2160" w:hanging="360"/>
      </w:pPr>
      <w:rPr>
        <w:rFonts w:ascii="Wingdings" w:hAnsi="Wingdings" w:hint="default"/>
      </w:rPr>
    </w:lvl>
    <w:lvl w:ilvl="3" w:tplc="CAA81D82">
      <w:start w:val="1"/>
      <w:numFmt w:val="bullet"/>
      <w:lvlText w:val=""/>
      <w:lvlJc w:val="left"/>
      <w:pPr>
        <w:ind w:left="2880" w:hanging="360"/>
      </w:pPr>
      <w:rPr>
        <w:rFonts w:ascii="Symbol" w:hAnsi="Symbol" w:hint="default"/>
      </w:rPr>
    </w:lvl>
    <w:lvl w:ilvl="4" w:tplc="6F22C532">
      <w:start w:val="1"/>
      <w:numFmt w:val="bullet"/>
      <w:lvlText w:val="o"/>
      <w:lvlJc w:val="left"/>
      <w:pPr>
        <w:ind w:left="3600" w:hanging="360"/>
      </w:pPr>
      <w:rPr>
        <w:rFonts w:ascii="Courier New" w:hAnsi="Courier New" w:hint="default"/>
      </w:rPr>
    </w:lvl>
    <w:lvl w:ilvl="5" w:tplc="8CB8E460">
      <w:start w:val="1"/>
      <w:numFmt w:val="bullet"/>
      <w:lvlText w:val=""/>
      <w:lvlJc w:val="left"/>
      <w:pPr>
        <w:ind w:left="4320" w:hanging="360"/>
      </w:pPr>
      <w:rPr>
        <w:rFonts w:ascii="Wingdings" w:hAnsi="Wingdings" w:hint="default"/>
      </w:rPr>
    </w:lvl>
    <w:lvl w:ilvl="6" w:tplc="C1F44AF0">
      <w:start w:val="1"/>
      <w:numFmt w:val="bullet"/>
      <w:lvlText w:val=""/>
      <w:lvlJc w:val="left"/>
      <w:pPr>
        <w:ind w:left="5040" w:hanging="360"/>
      </w:pPr>
      <w:rPr>
        <w:rFonts w:ascii="Symbol" w:hAnsi="Symbol" w:hint="default"/>
      </w:rPr>
    </w:lvl>
    <w:lvl w:ilvl="7" w:tplc="70668F84">
      <w:start w:val="1"/>
      <w:numFmt w:val="bullet"/>
      <w:lvlText w:val="o"/>
      <w:lvlJc w:val="left"/>
      <w:pPr>
        <w:ind w:left="5760" w:hanging="360"/>
      </w:pPr>
      <w:rPr>
        <w:rFonts w:ascii="Courier New" w:hAnsi="Courier New" w:hint="default"/>
      </w:rPr>
    </w:lvl>
    <w:lvl w:ilvl="8" w:tplc="602AA940">
      <w:start w:val="1"/>
      <w:numFmt w:val="bullet"/>
      <w:lvlText w:val=""/>
      <w:lvlJc w:val="left"/>
      <w:pPr>
        <w:ind w:left="6480" w:hanging="360"/>
      </w:pPr>
      <w:rPr>
        <w:rFonts w:ascii="Wingdings" w:hAnsi="Wingdings" w:hint="default"/>
      </w:rPr>
    </w:lvl>
  </w:abstractNum>
  <w:abstractNum w:abstractNumId="31" w15:restartNumberingAfterBreak="0">
    <w:nsid w:val="60474DF0"/>
    <w:multiLevelType w:val="hybridMultilevel"/>
    <w:tmpl w:val="7444F676"/>
    <w:lvl w:ilvl="0" w:tplc="DC7C374A">
      <w:start w:val="1"/>
      <w:numFmt w:val="bullet"/>
      <w:lvlText w:val=""/>
      <w:lvlJc w:val="left"/>
      <w:pPr>
        <w:ind w:left="720" w:hanging="360"/>
      </w:pPr>
      <w:rPr>
        <w:rFonts w:ascii="Symbol" w:hAnsi="Symbol" w:hint="default"/>
      </w:rPr>
    </w:lvl>
    <w:lvl w:ilvl="1" w:tplc="A1604BD0" w:tentative="1">
      <w:start w:val="1"/>
      <w:numFmt w:val="bullet"/>
      <w:lvlText w:val="o"/>
      <w:lvlJc w:val="left"/>
      <w:pPr>
        <w:ind w:left="1440" w:hanging="360"/>
      </w:pPr>
      <w:rPr>
        <w:rFonts w:ascii="Courier New" w:hAnsi="Courier New" w:hint="default"/>
      </w:rPr>
    </w:lvl>
    <w:lvl w:ilvl="2" w:tplc="CBE0F454" w:tentative="1">
      <w:start w:val="1"/>
      <w:numFmt w:val="bullet"/>
      <w:lvlText w:val=""/>
      <w:lvlJc w:val="left"/>
      <w:pPr>
        <w:ind w:left="2160" w:hanging="360"/>
      </w:pPr>
      <w:rPr>
        <w:rFonts w:ascii="Wingdings" w:hAnsi="Wingdings" w:hint="default"/>
      </w:rPr>
    </w:lvl>
    <w:lvl w:ilvl="3" w:tplc="DCE6FFD2" w:tentative="1">
      <w:start w:val="1"/>
      <w:numFmt w:val="bullet"/>
      <w:lvlText w:val=""/>
      <w:lvlJc w:val="left"/>
      <w:pPr>
        <w:ind w:left="2880" w:hanging="360"/>
      </w:pPr>
      <w:rPr>
        <w:rFonts w:ascii="Symbol" w:hAnsi="Symbol" w:hint="default"/>
      </w:rPr>
    </w:lvl>
    <w:lvl w:ilvl="4" w:tplc="C5FA961E" w:tentative="1">
      <w:start w:val="1"/>
      <w:numFmt w:val="bullet"/>
      <w:lvlText w:val="o"/>
      <w:lvlJc w:val="left"/>
      <w:pPr>
        <w:ind w:left="3600" w:hanging="360"/>
      </w:pPr>
      <w:rPr>
        <w:rFonts w:ascii="Courier New" w:hAnsi="Courier New" w:hint="default"/>
      </w:rPr>
    </w:lvl>
    <w:lvl w:ilvl="5" w:tplc="877638FA" w:tentative="1">
      <w:start w:val="1"/>
      <w:numFmt w:val="bullet"/>
      <w:lvlText w:val=""/>
      <w:lvlJc w:val="left"/>
      <w:pPr>
        <w:ind w:left="4320" w:hanging="360"/>
      </w:pPr>
      <w:rPr>
        <w:rFonts w:ascii="Wingdings" w:hAnsi="Wingdings" w:hint="default"/>
      </w:rPr>
    </w:lvl>
    <w:lvl w:ilvl="6" w:tplc="46E88B12" w:tentative="1">
      <w:start w:val="1"/>
      <w:numFmt w:val="bullet"/>
      <w:lvlText w:val=""/>
      <w:lvlJc w:val="left"/>
      <w:pPr>
        <w:ind w:left="5040" w:hanging="360"/>
      </w:pPr>
      <w:rPr>
        <w:rFonts w:ascii="Symbol" w:hAnsi="Symbol" w:hint="default"/>
      </w:rPr>
    </w:lvl>
    <w:lvl w:ilvl="7" w:tplc="D6F4DFFE" w:tentative="1">
      <w:start w:val="1"/>
      <w:numFmt w:val="bullet"/>
      <w:lvlText w:val="o"/>
      <w:lvlJc w:val="left"/>
      <w:pPr>
        <w:ind w:left="5760" w:hanging="360"/>
      </w:pPr>
      <w:rPr>
        <w:rFonts w:ascii="Courier New" w:hAnsi="Courier New" w:hint="default"/>
      </w:rPr>
    </w:lvl>
    <w:lvl w:ilvl="8" w:tplc="CC14B4E8" w:tentative="1">
      <w:start w:val="1"/>
      <w:numFmt w:val="bullet"/>
      <w:lvlText w:val=""/>
      <w:lvlJc w:val="left"/>
      <w:pPr>
        <w:ind w:left="6480" w:hanging="360"/>
      </w:pPr>
      <w:rPr>
        <w:rFonts w:ascii="Wingdings" w:hAnsi="Wingdings" w:hint="default"/>
      </w:rPr>
    </w:lvl>
  </w:abstractNum>
  <w:abstractNum w:abstractNumId="32" w15:restartNumberingAfterBreak="0">
    <w:nsid w:val="6808409E"/>
    <w:multiLevelType w:val="hybridMultilevel"/>
    <w:tmpl w:val="475CEA92"/>
    <w:lvl w:ilvl="0" w:tplc="01FCA11A">
      <w:start w:val="1"/>
      <w:numFmt w:val="bullet"/>
      <w:lvlText w:val=""/>
      <w:lvlJc w:val="left"/>
      <w:pPr>
        <w:ind w:left="720" w:hanging="360"/>
      </w:pPr>
      <w:rPr>
        <w:rFonts w:ascii="Symbol" w:hAnsi="Symbol" w:hint="default"/>
      </w:rPr>
    </w:lvl>
    <w:lvl w:ilvl="1" w:tplc="0FE8B5AC" w:tentative="1">
      <w:start w:val="1"/>
      <w:numFmt w:val="bullet"/>
      <w:lvlText w:val="o"/>
      <w:lvlJc w:val="left"/>
      <w:pPr>
        <w:ind w:left="1440" w:hanging="360"/>
      </w:pPr>
      <w:rPr>
        <w:rFonts w:ascii="Courier New" w:hAnsi="Courier New" w:hint="default"/>
      </w:rPr>
    </w:lvl>
    <w:lvl w:ilvl="2" w:tplc="3C2A7428" w:tentative="1">
      <w:start w:val="1"/>
      <w:numFmt w:val="bullet"/>
      <w:lvlText w:val=""/>
      <w:lvlJc w:val="left"/>
      <w:pPr>
        <w:ind w:left="2160" w:hanging="360"/>
      </w:pPr>
      <w:rPr>
        <w:rFonts w:ascii="Wingdings" w:hAnsi="Wingdings" w:hint="default"/>
      </w:rPr>
    </w:lvl>
    <w:lvl w:ilvl="3" w:tplc="8B90AD18" w:tentative="1">
      <w:start w:val="1"/>
      <w:numFmt w:val="bullet"/>
      <w:lvlText w:val=""/>
      <w:lvlJc w:val="left"/>
      <w:pPr>
        <w:ind w:left="2880" w:hanging="360"/>
      </w:pPr>
      <w:rPr>
        <w:rFonts w:ascii="Symbol" w:hAnsi="Symbol" w:hint="default"/>
      </w:rPr>
    </w:lvl>
    <w:lvl w:ilvl="4" w:tplc="E990BEC8" w:tentative="1">
      <w:start w:val="1"/>
      <w:numFmt w:val="bullet"/>
      <w:lvlText w:val="o"/>
      <w:lvlJc w:val="left"/>
      <w:pPr>
        <w:ind w:left="3600" w:hanging="360"/>
      </w:pPr>
      <w:rPr>
        <w:rFonts w:ascii="Courier New" w:hAnsi="Courier New" w:hint="default"/>
      </w:rPr>
    </w:lvl>
    <w:lvl w:ilvl="5" w:tplc="ADB8F8B2" w:tentative="1">
      <w:start w:val="1"/>
      <w:numFmt w:val="bullet"/>
      <w:lvlText w:val=""/>
      <w:lvlJc w:val="left"/>
      <w:pPr>
        <w:ind w:left="4320" w:hanging="360"/>
      </w:pPr>
      <w:rPr>
        <w:rFonts w:ascii="Wingdings" w:hAnsi="Wingdings" w:hint="default"/>
      </w:rPr>
    </w:lvl>
    <w:lvl w:ilvl="6" w:tplc="73A85594" w:tentative="1">
      <w:start w:val="1"/>
      <w:numFmt w:val="bullet"/>
      <w:lvlText w:val=""/>
      <w:lvlJc w:val="left"/>
      <w:pPr>
        <w:ind w:left="5040" w:hanging="360"/>
      </w:pPr>
      <w:rPr>
        <w:rFonts w:ascii="Symbol" w:hAnsi="Symbol" w:hint="default"/>
      </w:rPr>
    </w:lvl>
    <w:lvl w:ilvl="7" w:tplc="84DEA19E" w:tentative="1">
      <w:start w:val="1"/>
      <w:numFmt w:val="bullet"/>
      <w:lvlText w:val="o"/>
      <w:lvlJc w:val="left"/>
      <w:pPr>
        <w:ind w:left="5760" w:hanging="360"/>
      </w:pPr>
      <w:rPr>
        <w:rFonts w:ascii="Courier New" w:hAnsi="Courier New" w:hint="default"/>
      </w:rPr>
    </w:lvl>
    <w:lvl w:ilvl="8" w:tplc="D2CA3F2E" w:tentative="1">
      <w:start w:val="1"/>
      <w:numFmt w:val="bullet"/>
      <w:lvlText w:val=""/>
      <w:lvlJc w:val="left"/>
      <w:pPr>
        <w:ind w:left="6480" w:hanging="360"/>
      </w:pPr>
      <w:rPr>
        <w:rFonts w:ascii="Wingdings" w:hAnsi="Wingdings" w:hint="default"/>
      </w:rPr>
    </w:lvl>
  </w:abstractNum>
  <w:abstractNum w:abstractNumId="33" w15:restartNumberingAfterBreak="0">
    <w:nsid w:val="6AC25B19"/>
    <w:multiLevelType w:val="hybridMultilevel"/>
    <w:tmpl w:val="21FE6E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C0F49A9"/>
    <w:multiLevelType w:val="hybridMultilevel"/>
    <w:tmpl w:val="F37A43B6"/>
    <w:lvl w:ilvl="0" w:tplc="95BAA1F4">
      <w:numFmt w:val="bullet"/>
      <w:lvlText w:val="-"/>
      <w:lvlJc w:val="left"/>
      <w:pPr>
        <w:ind w:left="720" w:hanging="360"/>
      </w:pPr>
      <w:rPr>
        <w:rFonts w:ascii="Calibri" w:hAnsi="Calibri" w:hint="default"/>
      </w:rPr>
    </w:lvl>
    <w:lvl w:ilvl="1" w:tplc="9B3E1E64" w:tentative="1">
      <w:start w:val="1"/>
      <w:numFmt w:val="bullet"/>
      <w:lvlText w:val="o"/>
      <w:lvlJc w:val="left"/>
      <w:pPr>
        <w:ind w:left="1440" w:hanging="360"/>
      </w:pPr>
      <w:rPr>
        <w:rFonts w:ascii="Courier New" w:hAnsi="Courier New" w:hint="default"/>
      </w:rPr>
    </w:lvl>
    <w:lvl w:ilvl="2" w:tplc="6A64F098" w:tentative="1">
      <w:start w:val="1"/>
      <w:numFmt w:val="bullet"/>
      <w:lvlText w:val=""/>
      <w:lvlJc w:val="left"/>
      <w:pPr>
        <w:ind w:left="2160" w:hanging="360"/>
      </w:pPr>
      <w:rPr>
        <w:rFonts w:ascii="Wingdings" w:hAnsi="Wingdings" w:hint="default"/>
      </w:rPr>
    </w:lvl>
    <w:lvl w:ilvl="3" w:tplc="778A8336" w:tentative="1">
      <w:start w:val="1"/>
      <w:numFmt w:val="bullet"/>
      <w:lvlText w:val=""/>
      <w:lvlJc w:val="left"/>
      <w:pPr>
        <w:ind w:left="2880" w:hanging="360"/>
      </w:pPr>
      <w:rPr>
        <w:rFonts w:ascii="Symbol" w:hAnsi="Symbol" w:hint="default"/>
      </w:rPr>
    </w:lvl>
    <w:lvl w:ilvl="4" w:tplc="472A8C80" w:tentative="1">
      <w:start w:val="1"/>
      <w:numFmt w:val="bullet"/>
      <w:lvlText w:val="o"/>
      <w:lvlJc w:val="left"/>
      <w:pPr>
        <w:ind w:left="3600" w:hanging="360"/>
      </w:pPr>
      <w:rPr>
        <w:rFonts w:ascii="Courier New" w:hAnsi="Courier New" w:hint="default"/>
      </w:rPr>
    </w:lvl>
    <w:lvl w:ilvl="5" w:tplc="B5D086BE" w:tentative="1">
      <w:start w:val="1"/>
      <w:numFmt w:val="bullet"/>
      <w:lvlText w:val=""/>
      <w:lvlJc w:val="left"/>
      <w:pPr>
        <w:ind w:left="4320" w:hanging="360"/>
      </w:pPr>
      <w:rPr>
        <w:rFonts w:ascii="Wingdings" w:hAnsi="Wingdings" w:hint="default"/>
      </w:rPr>
    </w:lvl>
    <w:lvl w:ilvl="6" w:tplc="8D5C875E" w:tentative="1">
      <w:start w:val="1"/>
      <w:numFmt w:val="bullet"/>
      <w:lvlText w:val=""/>
      <w:lvlJc w:val="left"/>
      <w:pPr>
        <w:ind w:left="5040" w:hanging="360"/>
      </w:pPr>
      <w:rPr>
        <w:rFonts w:ascii="Symbol" w:hAnsi="Symbol" w:hint="default"/>
      </w:rPr>
    </w:lvl>
    <w:lvl w:ilvl="7" w:tplc="8A94CFC6" w:tentative="1">
      <w:start w:val="1"/>
      <w:numFmt w:val="bullet"/>
      <w:lvlText w:val="o"/>
      <w:lvlJc w:val="left"/>
      <w:pPr>
        <w:ind w:left="5760" w:hanging="360"/>
      </w:pPr>
      <w:rPr>
        <w:rFonts w:ascii="Courier New" w:hAnsi="Courier New" w:hint="default"/>
      </w:rPr>
    </w:lvl>
    <w:lvl w:ilvl="8" w:tplc="64824B14" w:tentative="1">
      <w:start w:val="1"/>
      <w:numFmt w:val="bullet"/>
      <w:lvlText w:val=""/>
      <w:lvlJc w:val="left"/>
      <w:pPr>
        <w:ind w:left="6480" w:hanging="360"/>
      </w:pPr>
      <w:rPr>
        <w:rFonts w:ascii="Wingdings" w:hAnsi="Wingdings" w:hint="default"/>
      </w:rPr>
    </w:lvl>
  </w:abstractNum>
  <w:abstractNum w:abstractNumId="35" w15:restartNumberingAfterBreak="0">
    <w:nsid w:val="6F1131A4"/>
    <w:multiLevelType w:val="hybridMultilevel"/>
    <w:tmpl w:val="454ABEDC"/>
    <w:lvl w:ilvl="0" w:tplc="B5D8C6C2">
      <w:start w:val="1"/>
      <w:numFmt w:val="bullet"/>
      <w:lvlText w:val=""/>
      <w:lvlJc w:val="left"/>
      <w:pPr>
        <w:ind w:left="720" w:hanging="360"/>
      </w:pPr>
      <w:rPr>
        <w:rFonts w:ascii="Symbol" w:hAnsi="Symbol"/>
      </w:rPr>
    </w:lvl>
    <w:lvl w:ilvl="1" w:tplc="A600BE7E">
      <w:start w:val="1"/>
      <w:numFmt w:val="bullet"/>
      <w:lvlText w:val=""/>
      <w:lvlJc w:val="left"/>
      <w:pPr>
        <w:ind w:left="720" w:hanging="360"/>
      </w:pPr>
      <w:rPr>
        <w:rFonts w:ascii="Symbol" w:hAnsi="Symbol"/>
      </w:rPr>
    </w:lvl>
    <w:lvl w:ilvl="2" w:tplc="766802AA">
      <w:start w:val="1"/>
      <w:numFmt w:val="bullet"/>
      <w:lvlText w:val=""/>
      <w:lvlJc w:val="left"/>
      <w:pPr>
        <w:ind w:left="720" w:hanging="360"/>
      </w:pPr>
      <w:rPr>
        <w:rFonts w:ascii="Symbol" w:hAnsi="Symbol"/>
      </w:rPr>
    </w:lvl>
    <w:lvl w:ilvl="3" w:tplc="8786AAE8">
      <w:start w:val="1"/>
      <w:numFmt w:val="bullet"/>
      <w:lvlText w:val=""/>
      <w:lvlJc w:val="left"/>
      <w:pPr>
        <w:ind w:left="720" w:hanging="360"/>
      </w:pPr>
      <w:rPr>
        <w:rFonts w:ascii="Symbol" w:hAnsi="Symbol"/>
      </w:rPr>
    </w:lvl>
    <w:lvl w:ilvl="4" w:tplc="36A494BE">
      <w:start w:val="1"/>
      <w:numFmt w:val="bullet"/>
      <w:lvlText w:val=""/>
      <w:lvlJc w:val="left"/>
      <w:pPr>
        <w:ind w:left="720" w:hanging="360"/>
      </w:pPr>
      <w:rPr>
        <w:rFonts w:ascii="Symbol" w:hAnsi="Symbol"/>
      </w:rPr>
    </w:lvl>
    <w:lvl w:ilvl="5" w:tplc="A2F2B39A">
      <w:start w:val="1"/>
      <w:numFmt w:val="bullet"/>
      <w:lvlText w:val=""/>
      <w:lvlJc w:val="left"/>
      <w:pPr>
        <w:ind w:left="720" w:hanging="360"/>
      </w:pPr>
      <w:rPr>
        <w:rFonts w:ascii="Symbol" w:hAnsi="Symbol"/>
      </w:rPr>
    </w:lvl>
    <w:lvl w:ilvl="6" w:tplc="C5AAAF14">
      <w:start w:val="1"/>
      <w:numFmt w:val="bullet"/>
      <w:lvlText w:val=""/>
      <w:lvlJc w:val="left"/>
      <w:pPr>
        <w:ind w:left="720" w:hanging="360"/>
      </w:pPr>
      <w:rPr>
        <w:rFonts w:ascii="Symbol" w:hAnsi="Symbol"/>
      </w:rPr>
    </w:lvl>
    <w:lvl w:ilvl="7" w:tplc="07C20138">
      <w:start w:val="1"/>
      <w:numFmt w:val="bullet"/>
      <w:lvlText w:val=""/>
      <w:lvlJc w:val="left"/>
      <w:pPr>
        <w:ind w:left="720" w:hanging="360"/>
      </w:pPr>
      <w:rPr>
        <w:rFonts w:ascii="Symbol" w:hAnsi="Symbol"/>
      </w:rPr>
    </w:lvl>
    <w:lvl w:ilvl="8" w:tplc="097C3216">
      <w:start w:val="1"/>
      <w:numFmt w:val="bullet"/>
      <w:lvlText w:val=""/>
      <w:lvlJc w:val="left"/>
      <w:pPr>
        <w:ind w:left="720" w:hanging="360"/>
      </w:pPr>
      <w:rPr>
        <w:rFonts w:ascii="Symbol" w:hAnsi="Symbol"/>
      </w:rPr>
    </w:lvl>
  </w:abstractNum>
  <w:abstractNum w:abstractNumId="36" w15:restartNumberingAfterBreak="0">
    <w:nsid w:val="734B5CAE"/>
    <w:multiLevelType w:val="hybridMultilevel"/>
    <w:tmpl w:val="ECAE783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7AF40CF"/>
    <w:multiLevelType w:val="hybridMultilevel"/>
    <w:tmpl w:val="2D962872"/>
    <w:lvl w:ilvl="0" w:tplc="E7C4EDDC">
      <w:start w:val="1"/>
      <w:numFmt w:val="bullet"/>
      <w:lvlText w:val=""/>
      <w:lvlJc w:val="left"/>
      <w:pPr>
        <w:ind w:left="720" w:hanging="360"/>
      </w:pPr>
      <w:rPr>
        <w:rFonts w:ascii="Symbol" w:hAnsi="Symbol" w:hint="default"/>
      </w:rPr>
    </w:lvl>
    <w:lvl w:ilvl="1" w:tplc="A886A25E" w:tentative="1">
      <w:start w:val="1"/>
      <w:numFmt w:val="bullet"/>
      <w:lvlText w:val="o"/>
      <w:lvlJc w:val="left"/>
      <w:pPr>
        <w:ind w:left="1440" w:hanging="360"/>
      </w:pPr>
      <w:rPr>
        <w:rFonts w:ascii="Courier New" w:hAnsi="Courier New" w:hint="default"/>
      </w:rPr>
    </w:lvl>
    <w:lvl w:ilvl="2" w:tplc="7E90E98A" w:tentative="1">
      <w:start w:val="1"/>
      <w:numFmt w:val="bullet"/>
      <w:lvlText w:val=""/>
      <w:lvlJc w:val="left"/>
      <w:pPr>
        <w:ind w:left="2160" w:hanging="360"/>
      </w:pPr>
      <w:rPr>
        <w:rFonts w:ascii="Wingdings" w:hAnsi="Wingdings" w:hint="default"/>
      </w:rPr>
    </w:lvl>
    <w:lvl w:ilvl="3" w:tplc="15C44D16" w:tentative="1">
      <w:start w:val="1"/>
      <w:numFmt w:val="bullet"/>
      <w:lvlText w:val=""/>
      <w:lvlJc w:val="left"/>
      <w:pPr>
        <w:ind w:left="2880" w:hanging="360"/>
      </w:pPr>
      <w:rPr>
        <w:rFonts w:ascii="Symbol" w:hAnsi="Symbol" w:hint="default"/>
      </w:rPr>
    </w:lvl>
    <w:lvl w:ilvl="4" w:tplc="A3267BAE" w:tentative="1">
      <w:start w:val="1"/>
      <w:numFmt w:val="bullet"/>
      <w:lvlText w:val="o"/>
      <w:lvlJc w:val="left"/>
      <w:pPr>
        <w:ind w:left="3600" w:hanging="360"/>
      </w:pPr>
      <w:rPr>
        <w:rFonts w:ascii="Courier New" w:hAnsi="Courier New" w:hint="default"/>
      </w:rPr>
    </w:lvl>
    <w:lvl w:ilvl="5" w:tplc="694C1528" w:tentative="1">
      <w:start w:val="1"/>
      <w:numFmt w:val="bullet"/>
      <w:lvlText w:val=""/>
      <w:lvlJc w:val="left"/>
      <w:pPr>
        <w:ind w:left="4320" w:hanging="360"/>
      </w:pPr>
      <w:rPr>
        <w:rFonts w:ascii="Wingdings" w:hAnsi="Wingdings" w:hint="default"/>
      </w:rPr>
    </w:lvl>
    <w:lvl w:ilvl="6" w:tplc="E4E48BB8" w:tentative="1">
      <w:start w:val="1"/>
      <w:numFmt w:val="bullet"/>
      <w:lvlText w:val=""/>
      <w:lvlJc w:val="left"/>
      <w:pPr>
        <w:ind w:left="5040" w:hanging="360"/>
      </w:pPr>
      <w:rPr>
        <w:rFonts w:ascii="Symbol" w:hAnsi="Symbol" w:hint="default"/>
      </w:rPr>
    </w:lvl>
    <w:lvl w:ilvl="7" w:tplc="B49E87AC" w:tentative="1">
      <w:start w:val="1"/>
      <w:numFmt w:val="bullet"/>
      <w:lvlText w:val="o"/>
      <w:lvlJc w:val="left"/>
      <w:pPr>
        <w:ind w:left="5760" w:hanging="360"/>
      </w:pPr>
      <w:rPr>
        <w:rFonts w:ascii="Courier New" w:hAnsi="Courier New" w:hint="default"/>
      </w:rPr>
    </w:lvl>
    <w:lvl w:ilvl="8" w:tplc="46D4A1DA" w:tentative="1">
      <w:start w:val="1"/>
      <w:numFmt w:val="bullet"/>
      <w:lvlText w:val=""/>
      <w:lvlJc w:val="left"/>
      <w:pPr>
        <w:ind w:left="6480" w:hanging="360"/>
      </w:pPr>
      <w:rPr>
        <w:rFonts w:ascii="Wingdings" w:hAnsi="Wingdings" w:hint="default"/>
      </w:rPr>
    </w:lvl>
  </w:abstractNum>
  <w:abstractNum w:abstractNumId="38" w15:restartNumberingAfterBreak="0">
    <w:nsid w:val="78536720"/>
    <w:multiLevelType w:val="hybridMultilevel"/>
    <w:tmpl w:val="FB487F84"/>
    <w:lvl w:ilvl="0" w:tplc="D97A98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5D5809"/>
    <w:multiLevelType w:val="hybridMultilevel"/>
    <w:tmpl w:val="26FE659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D1E2C7A"/>
    <w:multiLevelType w:val="hybridMultilevel"/>
    <w:tmpl w:val="DF929274"/>
    <w:lvl w:ilvl="0" w:tplc="111CC22E">
      <w:start w:val="1"/>
      <w:numFmt w:val="bullet"/>
      <w:lvlText w:val=""/>
      <w:lvlJc w:val="left"/>
      <w:pPr>
        <w:ind w:left="1440" w:hanging="360"/>
      </w:pPr>
      <w:rPr>
        <w:rFonts w:ascii="Symbol" w:hAnsi="Symbol" w:hint="default"/>
      </w:rPr>
    </w:lvl>
    <w:lvl w:ilvl="1" w:tplc="E7C65AFC" w:tentative="1">
      <w:start w:val="1"/>
      <w:numFmt w:val="bullet"/>
      <w:lvlText w:val="o"/>
      <w:lvlJc w:val="left"/>
      <w:pPr>
        <w:ind w:left="2160" w:hanging="360"/>
      </w:pPr>
      <w:rPr>
        <w:rFonts w:ascii="Courier New" w:hAnsi="Courier New" w:hint="default"/>
      </w:rPr>
    </w:lvl>
    <w:lvl w:ilvl="2" w:tplc="1150A298" w:tentative="1">
      <w:start w:val="1"/>
      <w:numFmt w:val="bullet"/>
      <w:lvlText w:val=""/>
      <w:lvlJc w:val="left"/>
      <w:pPr>
        <w:ind w:left="2880" w:hanging="360"/>
      </w:pPr>
      <w:rPr>
        <w:rFonts w:ascii="Wingdings" w:hAnsi="Wingdings" w:hint="default"/>
      </w:rPr>
    </w:lvl>
    <w:lvl w:ilvl="3" w:tplc="1032C32E" w:tentative="1">
      <w:start w:val="1"/>
      <w:numFmt w:val="bullet"/>
      <w:lvlText w:val=""/>
      <w:lvlJc w:val="left"/>
      <w:pPr>
        <w:ind w:left="3600" w:hanging="360"/>
      </w:pPr>
      <w:rPr>
        <w:rFonts w:ascii="Symbol" w:hAnsi="Symbol" w:hint="default"/>
      </w:rPr>
    </w:lvl>
    <w:lvl w:ilvl="4" w:tplc="745A05AC" w:tentative="1">
      <w:start w:val="1"/>
      <w:numFmt w:val="bullet"/>
      <w:lvlText w:val="o"/>
      <w:lvlJc w:val="left"/>
      <w:pPr>
        <w:ind w:left="4320" w:hanging="360"/>
      </w:pPr>
      <w:rPr>
        <w:rFonts w:ascii="Courier New" w:hAnsi="Courier New" w:hint="default"/>
      </w:rPr>
    </w:lvl>
    <w:lvl w:ilvl="5" w:tplc="EC783FDE" w:tentative="1">
      <w:start w:val="1"/>
      <w:numFmt w:val="bullet"/>
      <w:lvlText w:val=""/>
      <w:lvlJc w:val="left"/>
      <w:pPr>
        <w:ind w:left="5040" w:hanging="360"/>
      </w:pPr>
      <w:rPr>
        <w:rFonts w:ascii="Wingdings" w:hAnsi="Wingdings" w:hint="default"/>
      </w:rPr>
    </w:lvl>
    <w:lvl w:ilvl="6" w:tplc="B656AF82" w:tentative="1">
      <w:start w:val="1"/>
      <w:numFmt w:val="bullet"/>
      <w:lvlText w:val=""/>
      <w:lvlJc w:val="left"/>
      <w:pPr>
        <w:ind w:left="5760" w:hanging="360"/>
      </w:pPr>
      <w:rPr>
        <w:rFonts w:ascii="Symbol" w:hAnsi="Symbol" w:hint="default"/>
      </w:rPr>
    </w:lvl>
    <w:lvl w:ilvl="7" w:tplc="ABCC2A70" w:tentative="1">
      <w:start w:val="1"/>
      <w:numFmt w:val="bullet"/>
      <w:lvlText w:val="o"/>
      <w:lvlJc w:val="left"/>
      <w:pPr>
        <w:ind w:left="6480" w:hanging="360"/>
      </w:pPr>
      <w:rPr>
        <w:rFonts w:ascii="Courier New" w:hAnsi="Courier New" w:hint="default"/>
      </w:rPr>
    </w:lvl>
    <w:lvl w:ilvl="8" w:tplc="55645376" w:tentative="1">
      <w:start w:val="1"/>
      <w:numFmt w:val="bullet"/>
      <w:lvlText w:val=""/>
      <w:lvlJc w:val="left"/>
      <w:pPr>
        <w:ind w:left="7200" w:hanging="360"/>
      </w:pPr>
      <w:rPr>
        <w:rFonts w:ascii="Wingdings" w:hAnsi="Wingdings" w:hint="default"/>
      </w:rPr>
    </w:lvl>
  </w:abstractNum>
  <w:abstractNum w:abstractNumId="41" w15:restartNumberingAfterBreak="0">
    <w:nsid w:val="7DCB2F3B"/>
    <w:multiLevelType w:val="hybridMultilevel"/>
    <w:tmpl w:val="5D6A33B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FF535DB"/>
    <w:multiLevelType w:val="hybridMultilevel"/>
    <w:tmpl w:val="A8AC7E22"/>
    <w:lvl w:ilvl="0" w:tplc="2940EDDA">
      <w:start w:val="1"/>
      <w:numFmt w:val="bullet"/>
      <w:lvlText w:val=""/>
      <w:lvlJc w:val="left"/>
      <w:pPr>
        <w:ind w:left="360" w:hanging="360"/>
      </w:pPr>
      <w:rPr>
        <w:rFonts w:ascii="Symbol" w:hAnsi="Symbol" w:hint="default"/>
      </w:rPr>
    </w:lvl>
    <w:lvl w:ilvl="1" w:tplc="42A2BE50">
      <w:start w:val="1"/>
      <w:numFmt w:val="bullet"/>
      <w:lvlText w:val="o"/>
      <w:lvlJc w:val="left"/>
      <w:pPr>
        <w:ind w:left="1080" w:hanging="360"/>
      </w:pPr>
      <w:rPr>
        <w:rFonts w:ascii="Courier New" w:hAnsi="Courier New" w:hint="default"/>
      </w:rPr>
    </w:lvl>
    <w:lvl w:ilvl="2" w:tplc="9A60D2AE" w:tentative="1">
      <w:start w:val="1"/>
      <w:numFmt w:val="bullet"/>
      <w:lvlText w:val=""/>
      <w:lvlJc w:val="left"/>
      <w:pPr>
        <w:ind w:left="1800" w:hanging="360"/>
      </w:pPr>
      <w:rPr>
        <w:rFonts w:ascii="Wingdings" w:hAnsi="Wingdings" w:hint="default"/>
      </w:rPr>
    </w:lvl>
    <w:lvl w:ilvl="3" w:tplc="1E8EA0B6" w:tentative="1">
      <w:start w:val="1"/>
      <w:numFmt w:val="bullet"/>
      <w:lvlText w:val=""/>
      <w:lvlJc w:val="left"/>
      <w:pPr>
        <w:ind w:left="2520" w:hanging="360"/>
      </w:pPr>
      <w:rPr>
        <w:rFonts w:ascii="Symbol" w:hAnsi="Symbol" w:hint="default"/>
      </w:rPr>
    </w:lvl>
    <w:lvl w:ilvl="4" w:tplc="E522F076" w:tentative="1">
      <w:start w:val="1"/>
      <w:numFmt w:val="bullet"/>
      <w:lvlText w:val="o"/>
      <w:lvlJc w:val="left"/>
      <w:pPr>
        <w:ind w:left="3240" w:hanging="360"/>
      </w:pPr>
      <w:rPr>
        <w:rFonts w:ascii="Courier New" w:hAnsi="Courier New" w:hint="default"/>
      </w:rPr>
    </w:lvl>
    <w:lvl w:ilvl="5" w:tplc="736EC328" w:tentative="1">
      <w:start w:val="1"/>
      <w:numFmt w:val="bullet"/>
      <w:lvlText w:val=""/>
      <w:lvlJc w:val="left"/>
      <w:pPr>
        <w:ind w:left="3960" w:hanging="360"/>
      </w:pPr>
      <w:rPr>
        <w:rFonts w:ascii="Wingdings" w:hAnsi="Wingdings" w:hint="default"/>
      </w:rPr>
    </w:lvl>
    <w:lvl w:ilvl="6" w:tplc="79DEAC9E" w:tentative="1">
      <w:start w:val="1"/>
      <w:numFmt w:val="bullet"/>
      <w:lvlText w:val=""/>
      <w:lvlJc w:val="left"/>
      <w:pPr>
        <w:ind w:left="4680" w:hanging="360"/>
      </w:pPr>
      <w:rPr>
        <w:rFonts w:ascii="Symbol" w:hAnsi="Symbol" w:hint="default"/>
      </w:rPr>
    </w:lvl>
    <w:lvl w:ilvl="7" w:tplc="B1F0DC64" w:tentative="1">
      <w:start w:val="1"/>
      <w:numFmt w:val="bullet"/>
      <w:lvlText w:val="o"/>
      <w:lvlJc w:val="left"/>
      <w:pPr>
        <w:ind w:left="5400" w:hanging="360"/>
      </w:pPr>
      <w:rPr>
        <w:rFonts w:ascii="Courier New" w:hAnsi="Courier New" w:hint="default"/>
      </w:rPr>
    </w:lvl>
    <w:lvl w:ilvl="8" w:tplc="712888E0" w:tentative="1">
      <w:start w:val="1"/>
      <w:numFmt w:val="bullet"/>
      <w:lvlText w:val=""/>
      <w:lvlJc w:val="left"/>
      <w:pPr>
        <w:ind w:left="6120" w:hanging="360"/>
      </w:pPr>
      <w:rPr>
        <w:rFonts w:ascii="Wingdings" w:hAnsi="Wingdings" w:hint="default"/>
      </w:rPr>
    </w:lvl>
  </w:abstractNum>
  <w:num w:numId="1">
    <w:abstractNumId w:val="2"/>
  </w:num>
  <w:num w:numId="2">
    <w:abstractNumId w:val="16"/>
  </w:num>
  <w:num w:numId="3">
    <w:abstractNumId w:val="40"/>
  </w:num>
  <w:num w:numId="4">
    <w:abstractNumId w:val="37"/>
  </w:num>
  <w:num w:numId="5">
    <w:abstractNumId w:val="34"/>
  </w:num>
  <w:num w:numId="6">
    <w:abstractNumId w:val="19"/>
  </w:num>
  <w:num w:numId="7">
    <w:abstractNumId w:val="9"/>
  </w:num>
  <w:num w:numId="8">
    <w:abstractNumId w:val="5"/>
  </w:num>
  <w:num w:numId="9">
    <w:abstractNumId w:val="25"/>
  </w:num>
  <w:num w:numId="10">
    <w:abstractNumId w:val="18"/>
  </w:num>
  <w:num w:numId="11">
    <w:abstractNumId w:val="7"/>
  </w:num>
  <w:num w:numId="12">
    <w:abstractNumId w:val="32"/>
  </w:num>
  <w:num w:numId="13">
    <w:abstractNumId w:val="3"/>
  </w:num>
  <w:num w:numId="14">
    <w:abstractNumId w:val="21"/>
  </w:num>
  <w:num w:numId="15">
    <w:abstractNumId w:val="12"/>
  </w:num>
  <w:num w:numId="16">
    <w:abstractNumId w:val="27"/>
  </w:num>
  <w:num w:numId="17">
    <w:abstractNumId w:val="17"/>
  </w:num>
  <w:num w:numId="18">
    <w:abstractNumId w:val="31"/>
  </w:num>
  <w:num w:numId="19">
    <w:abstractNumId w:val="24"/>
  </w:num>
  <w:num w:numId="20">
    <w:abstractNumId w:val="26"/>
  </w:num>
  <w:num w:numId="21">
    <w:abstractNumId w:val="10"/>
  </w:num>
  <w:num w:numId="22">
    <w:abstractNumId w:val="6"/>
  </w:num>
  <w:num w:numId="23">
    <w:abstractNumId w:val="42"/>
  </w:num>
  <w:num w:numId="24">
    <w:abstractNumId w:val="8"/>
  </w:num>
  <w:num w:numId="25">
    <w:abstractNumId w:val="0"/>
    <w:lvlOverride w:ilvl="0">
      <w:startOverride w:val="1"/>
    </w:lvlOverride>
    <w:lvlOverride w:ilvl="1"/>
    <w:lvlOverride w:ilvl="2"/>
    <w:lvlOverride w:ilvl="3"/>
    <w:lvlOverride w:ilvl="4"/>
    <w:lvlOverride w:ilvl="5"/>
    <w:lvlOverride w:ilvl="6"/>
    <w:lvlOverride w:ilvl="7"/>
    <w:lvlOverride w:ilvl="8"/>
  </w:num>
  <w:num w:numId="26">
    <w:abstractNumId w:val="29"/>
  </w:num>
  <w:num w:numId="27">
    <w:abstractNumId w:val="0"/>
  </w:num>
  <w:num w:numId="28">
    <w:abstractNumId w:val="22"/>
  </w:num>
  <w:num w:numId="29">
    <w:abstractNumId w:val="30"/>
  </w:num>
  <w:num w:numId="30">
    <w:abstractNumId w:val="14"/>
  </w:num>
  <w:num w:numId="31">
    <w:abstractNumId w:val="28"/>
  </w:num>
  <w:num w:numId="32">
    <w:abstractNumId w:val="33"/>
  </w:num>
  <w:num w:numId="33">
    <w:abstractNumId w:val="38"/>
  </w:num>
  <w:num w:numId="34">
    <w:abstractNumId w:val="23"/>
  </w:num>
  <w:num w:numId="35">
    <w:abstractNumId w:val="41"/>
  </w:num>
  <w:num w:numId="36">
    <w:abstractNumId w:val="36"/>
  </w:num>
  <w:num w:numId="37">
    <w:abstractNumId w:val="13"/>
  </w:num>
  <w:num w:numId="38">
    <w:abstractNumId w:val="39"/>
  </w:num>
  <w:num w:numId="39">
    <w:abstractNumId w:val="15"/>
  </w:num>
  <w:num w:numId="40">
    <w:abstractNumId w:val="4"/>
  </w:num>
  <w:num w:numId="41">
    <w:abstractNumId w:val="1"/>
  </w:num>
  <w:num w:numId="42">
    <w:abstractNumId w:val="35"/>
  </w:num>
  <w:num w:numId="43">
    <w:abstractNumId w:val="2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E4D6D1B-CEB0-475E-8CDD-531A65EE6080"/>
    <w:docVar w:name="LW_COVERPAGE_TYPE" w:val="1"/>
    <w:docVar w:name="LW_CROSSREFERENCE" w:val="&lt;UNUSED&gt;"/>
    <w:docVar w:name="LW_DocType" w:val="NORMAL"/>
    <w:docVar w:name="LW_EMISSION" w:val="3.12.2025"/>
    <w:docVar w:name="LW_EMISSION_ISODATE" w:val="2025-12-03"/>
    <w:docVar w:name="LW_EMISSION_LOCATION" w:val="BRX"/>
    <w:docVar w:name="LW_EMISSION_PREFIX" w:val="Bruxelles,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5) 9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enforcer la sécurité économique de l'UE"/>
    <w:docVar w:name="LW_TYPE.DOC.CP" w:val="COMMUNICATION CONJOINTE AU PARLEMENT EUROPÉEN ET AU CONSEIL"/>
    <w:docVar w:name="LW_TYPE.DOC.CP.USERTEXT" w:val="&lt;EMPTY&gt;"/>
    <w:docVar w:name="LwApiVersions" w:val="LW4CoDe 1.24.5.0; LW 9.2, Build 20251112"/>
    <w:docVar w:name="Stamp" w:val="\\net1.cec.eu.int\offline\006\kilbyrn\Desktop\Desktop\231125 - draft Doctrine Communication - edited.docx"/>
  </w:docVars>
  <w:rsids>
    <w:rsidRoot w:val="00F3633C"/>
    <w:rsid w:val="000000CC"/>
    <w:rsid w:val="0000018D"/>
    <w:rsid w:val="000001B6"/>
    <w:rsid w:val="000003A6"/>
    <w:rsid w:val="0000062E"/>
    <w:rsid w:val="000007C1"/>
    <w:rsid w:val="000008DA"/>
    <w:rsid w:val="00000A32"/>
    <w:rsid w:val="00000B73"/>
    <w:rsid w:val="00000BDD"/>
    <w:rsid w:val="0000170B"/>
    <w:rsid w:val="00001855"/>
    <w:rsid w:val="0000193D"/>
    <w:rsid w:val="00001AE7"/>
    <w:rsid w:val="00001D18"/>
    <w:rsid w:val="00001ED9"/>
    <w:rsid w:val="0000202D"/>
    <w:rsid w:val="00002039"/>
    <w:rsid w:val="0000215F"/>
    <w:rsid w:val="00002ED4"/>
    <w:rsid w:val="000030C6"/>
    <w:rsid w:val="000033AD"/>
    <w:rsid w:val="0000364F"/>
    <w:rsid w:val="000036B6"/>
    <w:rsid w:val="000038EF"/>
    <w:rsid w:val="00003B68"/>
    <w:rsid w:val="00003BAB"/>
    <w:rsid w:val="00003D09"/>
    <w:rsid w:val="00004477"/>
    <w:rsid w:val="00004681"/>
    <w:rsid w:val="00004932"/>
    <w:rsid w:val="00004940"/>
    <w:rsid w:val="00004C3E"/>
    <w:rsid w:val="00004F0D"/>
    <w:rsid w:val="00004F91"/>
    <w:rsid w:val="00004FE4"/>
    <w:rsid w:val="0000500C"/>
    <w:rsid w:val="00005065"/>
    <w:rsid w:val="000051D9"/>
    <w:rsid w:val="00005275"/>
    <w:rsid w:val="000052B4"/>
    <w:rsid w:val="00005517"/>
    <w:rsid w:val="000055DC"/>
    <w:rsid w:val="000057C7"/>
    <w:rsid w:val="000057DD"/>
    <w:rsid w:val="0000603C"/>
    <w:rsid w:val="000066B4"/>
    <w:rsid w:val="00006C85"/>
    <w:rsid w:val="00006D2C"/>
    <w:rsid w:val="00006F73"/>
    <w:rsid w:val="0000703F"/>
    <w:rsid w:val="0000779A"/>
    <w:rsid w:val="000077F6"/>
    <w:rsid w:val="00007859"/>
    <w:rsid w:val="00007A6E"/>
    <w:rsid w:val="00007DC7"/>
    <w:rsid w:val="0001047E"/>
    <w:rsid w:val="00011237"/>
    <w:rsid w:val="00011524"/>
    <w:rsid w:val="000115B0"/>
    <w:rsid w:val="00011A36"/>
    <w:rsid w:val="00011A78"/>
    <w:rsid w:val="00011B39"/>
    <w:rsid w:val="00011E15"/>
    <w:rsid w:val="000122E6"/>
    <w:rsid w:val="00012434"/>
    <w:rsid w:val="00012730"/>
    <w:rsid w:val="00012B76"/>
    <w:rsid w:val="00012DC7"/>
    <w:rsid w:val="00012DE0"/>
    <w:rsid w:val="000131A4"/>
    <w:rsid w:val="0001345E"/>
    <w:rsid w:val="00013608"/>
    <w:rsid w:val="000138E5"/>
    <w:rsid w:val="00013B55"/>
    <w:rsid w:val="0001439E"/>
    <w:rsid w:val="00014AA7"/>
    <w:rsid w:val="00014DF9"/>
    <w:rsid w:val="000152D7"/>
    <w:rsid w:val="00015984"/>
    <w:rsid w:val="00015AD7"/>
    <w:rsid w:val="00016120"/>
    <w:rsid w:val="000166DF"/>
    <w:rsid w:val="00016AA3"/>
    <w:rsid w:val="00016B1F"/>
    <w:rsid w:val="00016C1D"/>
    <w:rsid w:val="00016CA3"/>
    <w:rsid w:val="00016DD2"/>
    <w:rsid w:val="00016E66"/>
    <w:rsid w:val="00016E6D"/>
    <w:rsid w:val="000171C2"/>
    <w:rsid w:val="0001734D"/>
    <w:rsid w:val="00017B24"/>
    <w:rsid w:val="00017E58"/>
    <w:rsid w:val="000201A1"/>
    <w:rsid w:val="0002039F"/>
    <w:rsid w:val="0002064B"/>
    <w:rsid w:val="00020A35"/>
    <w:rsid w:val="00020B00"/>
    <w:rsid w:val="00020B03"/>
    <w:rsid w:val="00020BED"/>
    <w:rsid w:val="000212D1"/>
    <w:rsid w:val="00021CBC"/>
    <w:rsid w:val="00021F06"/>
    <w:rsid w:val="00021FD9"/>
    <w:rsid w:val="000220DC"/>
    <w:rsid w:val="000228AF"/>
    <w:rsid w:val="000231DE"/>
    <w:rsid w:val="00023242"/>
    <w:rsid w:val="0002324F"/>
    <w:rsid w:val="000235AE"/>
    <w:rsid w:val="00023755"/>
    <w:rsid w:val="000240F1"/>
    <w:rsid w:val="00024573"/>
    <w:rsid w:val="0002491E"/>
    <w:rsid w:val="00024B23"/>
    <w:rsid w:val="00024D6C"/>
    <w:rsid w:val="00024DB4"/>
    <w:rsid w:val="00024EA1"/>
    <w:rsid w:val="00024EF1"/>
    <w:rsid w:val="000250F2"/>
    <w:rsid w:val="00025C27"/>
    <w:rsid w:val="00025EB3"/>
    <w:rsid w:val="00025F93"/>
    <w:rsid w:val="00026042"/>
    <w:rsid w:val="00026148"/>
    <w:rsid w:val="000261C0"/>
    <w:rsid w:val="0002625D"/>
    <w:rsid w:val="000262BB"/>
    <w:rsid w:val="00026687"/>
    <w:rsid w:val="00026C21"/>
    <w:rsid w:val="00027229"/>
    <w:rsid w:val="000275B7"/>
    <w:rsid w:val="0002799C"/>
    <w:rsid w:val="00027AD8"/>
    <w:rsid w:val="00027B69"/>
    <w:rsid w:val="00027E38"/>
    <w:rsid w:val="00027E6A"/>
    <w:rsid w:val="00027ED7"/>
    <w:rsid w:val="000302DD"/>
    <w:rsid w:val="00030306"/>
    <w:rsid w:val="0003035B"/>
    <w:rsid w:val="00030596"/>
    <w:rsid w:val="000306E3"/>
    <w:rsid w:val="000307F1"/>
    <w:rsid w:val="000310D2"/>
    <w:rsid w:val="000313F6"/>
    <w:rsid w:val="00031666"/>
    <w:rsid w:val="000318F5"/>
    <w:rsid w:val="00031975"/>
    <w:rsid w:val="00031C86"/>
    <w:rsid w:val="00031CBB"/>
    <w:rsid w:val="00031D84"/>
    <w:rsid w:val="00031EC6"/>
    <w:rsid w:val="000323E1"/>
    <w:rsid w:val="00032777"/>
    <w:rsid w:val="000328AC"/>
    <w:rsid w:val="00032C3C"/>
    <w:rsid w:val="00032DE4"/>
    <w:rsid w:val="00033172"/>
    <w:rsid w:val="000334A0"/>
    <w:rsid w:val="00033757"/>
    <w:rsid w:val="0003397C"/>
    <w:rsid w:val="00033A0F"/>
    <w:rsid w:val="00033ADE"/>
    <w:rsid w:val="00033C35"/>
    <w:rsid w:val="00033DD8"/>
    <w:rsid w:val="000343BA"/>
    <w:rsid w:val="000344C6"/>
    <w:rsid w:val="000344E0"/>
    <w:rsid w:val="00034744"/>
    <w:rsid w:val="00034754"/>
    <w:rsid w:val="000347C7"/>
    <w:rsid w:val="00034BBC"/>
    <w:rsid w:val="00034BE1"/>
    <w:rsid w:val="00034F51"/>
    <w:rsid w:val="0003518F"/>
    <w:rsid w:val="00035418"/>
    <w:rsid w:val="00035537"/>
    <w:rsid w:val="0003559E"/>
    <w:rsid w:val="0003581F"/>
    <w:rsid w:val="00035EB3"/>
    <w:rsid w:val="00035FD4"/>
    <w:rsid w:val="00035FEA"/>
    <w:rsid w:val="00036344"/>
    <w:rsid w:val="00036534"/>
    <w:rsid w:val="00036E47"/>
    <w:rsid w:val="00036EA8"/>
    <w:rsid w:val="00036EFE"/>
    <w:rsid w:val="000371E7"/>
    <w:rsid w:val="000372CA"/>
    <w:rsid w:val="000374F4"/>
    <w:rsid w:val="00037DF1"/>
    <w:rsid w:val="00037F38"/>
    <w:rsid w:val="00037F61"/>
    <w:rsid w:val="0004026B"/>
    <w:rsid w:val="00040367"/>
    <w:rsid w:val="000403CC"/>
    <w:rsid w:val="0004075F"/>
    <w:rsid w:val="000407AB"/>
    <w:rsid w:val="00040A6B"/>
    <w:rsid w:val="00040A77"/>
    <w:rsid w:val="00040D2D"/>
    <w:rsid w:val="00040DE9"/>
    <w:rsid w:val="000415B9"/>
    <w:rsid w:val="0004186A"/>
    <w:rsid w:val="00041A9A"/>
    <w:rsid w:val="00042567"/>
    <w:rsid w:val="00042731"/>
    <w:rsid w:val="0004289B"/>
    <w:rsid w:val="00042C8D"/>
    <w:rsid w:val="00042F66"/>
    <w:rsid w:val="0004361C"/>
    <w:rsid w:val="00043847"/>
    <w:rsid w:val="00043A6C"/>
    <w:rsid w:val="00043DEB"/>
    <w:rsid w:val="000445B1"/>
    <w:rsid w:val="00044644"/>
    <w:rsid w:val="00044E3D"/>
    <w:rsid w:val="0004541C"/>
    <w:rsid w:val="00045ABE"/>
    <w:rsid w:val="00045E80"/>
    <w:rsid w:val="00046554"/>
    <w:rsid w:val="0004690C"/>
    <w:rsid w:val="00046A66"/>
    <w:rsid w:val="00046CAB"/>
    <w:rsid w:val="00046D70"/>
    <w:rsid w:val="0004701D"/>
    <w:rsid w:val="00047087"/>
    <w:rsid w:val="000472E2"/>
    <w:rsid w:val="000473B8"/>
    <w:rsid w:val="00047AC0"/>
    <w:rsid w:val="00047F40"/>
    <w:rsid w:val="00047FA5"/>
    <w:rsid w:val="000502B1"/>
    <w:rsid w:val="000507E3"/>
    <w:rsid w:val="0005091A"/>
    <w:rsid w:val="00050DB6"/>
    <w:rsid w:val="00050E9F"/>
    <w:rsid w:val="000511F9"/>
    <w:rsid w:val="000512B9"/>
    <w:rsid w:val="00051349"/>
    <w:rsid w:val="000515BC"/>
    <w:rsid w:val="00051602"/>
    <w:rsid w:val="000516D5"/>
    <w:rsid w:val="00051702"/>
    <w:rsid w:val="000519A7"/>
    <w:rsid w:val="00051A41"/>
    <w:rsid w:val="00051C5F"/>
    <w:rsid w:val="00051EA3"/>
    <w:rsid w:val="00052041"/>
    <w:rsid w:val="000520A9"/>
    <w:rsid w:val="000520F8"/>
    <w:rsid w:val="00052596"/>
    <w:rsid w:val="0005295B"/>
    <w:rsid w:val="00052C95"/>
    <w:rsid w:val="00053600"/>
    <w:rsid w:val="000536BF"/>
    <w:rsid w:val="000536FA"/>
    <w:rsid w:val="00053A8B"/>
    <w:rsid w:val="00053C75"/>
    <w:rsid w:val="00054029"/>
    <w:rsid w:val="0005428B"/>
    <w:rsid w:val="000545E0"/>
    <w:rsid w:val="000546AF"/>
    <w:rsid w:val="00054938"/>
    <w:rsid w:val="00054982"/>
    <w:rsid w:val="00054CB6"/>
    <w:rsid w:val="00054F95"/>
    <w:rsid w:val="00054FC7"/>
    <w:rsid w:val="00055177"/>
    <w:rsid w:val="00055303"/>
    <w:rsid w:val="00055668"/>
    <w:rsid w:val="0005567E"/>
    <w:rsid w:val="00055796"/>
    <w:rsid w:val="00055D84"/>
    <w:rsid w:val="0005641A"/>
    <w:rsid w:val="00056554"/>
    <w:rsid w:val="0005658D"/>
    <w:rsid w:val="00056710"/>
    <w:rsid w:val="00056872"/>
    <w:rsid w:val="00056C4A"/>
    <w:rsid w:val="00057A1C"/>
    <w:rsid w:val="00057FE0"/>
    <w:rsid w:val="0006002A"/>
    <w:rsid w:val="000607BD"/>
    <w:rsid w:val="00060886"/>
    <w:rsid w:val="00060BAE"/>
    <w:rsid w:val="00060EDD"/>
    <w:rsid w:val="00061135"/>
    <w:rsid w:val="0006129D"/>
    <w:rsid w:val="000612D3"/>
    <w:rsid w:val="00061586"/>
    <w:rsid w:val="00061940"/>
    <w:rsid w:val="00061AB4"/>
    <w:rsid w:val="00061F18"/>
    <w:rsid w:val="000622D4"/>
    <w:rsid w:val="00062759"/>
    <w:rsid w:val="00062977"/>
    <w:rsid w:val="00062C41"/>
    <w:rsid w:val="00062C74"/>
    <w:rsid w:val="00062CA6"/>
    <w:rsid w:val="00062DCF"/>
    <w:rsid w:val="00062E83"/>
    <w:rsid w:val="00062F2F"/>
    <w:rsid w:val="00063268"/>
    <w:rsid w:val="000632E9"/>
    <w:rsid w:val="00063511"/>
    <w:rsid w:val="00063960"/>
    <w:rsid w:val="000640D7"/>
    <w:rsid w:val="00064156"/>
    <w:rsid w:val="00064382"/>
    <w:rsid w:val="00064492"/>
    <w:rsid w:val="00064C69"/>
    <w:rsid w:val="00064D07"/>
    <w:rsid w:val="000651DB"/>
    <w:rsid w:val="00065564"/>
    <w:rsid w:val="000655CF"/>
    <w:rsid w:val="00066003"/>
    <w:rsid w:val="0006609C"/>
    <w:rsid w:val="00066104"/>
    <w:rsid w:val="00066126"/>
    <w:rsid w:val="00066774"/>
    <w:rsid w:val="00067561"/>
    <w:rsid w:val="000675B4"/>
    <w:rsid w:val="000675D4"/>
    <w:rsid w:val="00067665"/>
    <w:rsid w:val="000678A3"/>
    <w:rsid w:val="00067DE2"/>
    <w:rsid w:val="00067DFF"/>
    <w:rsid w:val="00067FC0"/>
    <w:rsid w:val="0007005B"/>
    <w:rsid w:val="000706BD"/>
    <w:rsid w:val="00070A23"/>
    <w:rsid w:val="0007102A"/>
    <w:rsid w:val="00071174"/>
    <w:rsid w:val="0007136D"/>
    <w:rsid w:val="00071478"/>
    <w:rsid w:val="000714D3"/>
    <w:rsid w:val="000715F6"/>
    <w:rsid w:val="00071AB9"/>
    <w:rsid w:val="00071B8C"/>
    <w:rsid w:val="00071C68"/>
    <w:rsid w:val="00072282"/>
    <w:rsid w:val="000724E6"/>
    <w:rsid w:val="00072529"/>
    <w:rsid w:val="0007279A"/>
    <w:rsid w:val="00072807"/>
    <w:rsid w:val="00072DD2"/>
    <w:rsid w:val="00072F70"/>
    <w:rsid w:val="00073103"/>
    <w:rsid w:val="000732B8"/>
    <w:rsid w:val="000738A8"/>
    <w:rsid w:val="000739AC"/>
    <w:rsid w:val="00073BD6"/>
    <w:rsid w:val="000741F3"/>
    <w:rsid w:val="00074566"/>
    <w:rsid w:val="00074588"/>
    <w:rsid w:val="000748F3"/>
    <w:rsid w:val="00074FD8"/>
    <w:rsid w:val="000752DF"/>
    <w:rsid w:val="00075508"/>
    <w:rsid w:val="00075E1F"/>
    <w:rsid w:val="000761A0"/>
    <w:rsid w:val="000764D5"/>
    <w:rsid w:val="00076920"/>
    <w:rsid w:val="0007694B"/>
    <w:rsid w:val="00076AA6"/>
    <w:rsid w:val="00076D09"/>
    <w:rsid w:val="00076D53"/>
    <w:rsid w:val="00076DF8"/>
    <w:rsid w:val="00076F6E"/>
    <w:rsid w:val="0007714D"/>
    <w:rsid w:val="00077795"/>
    <w:rsid w:val="000777B1"/>
    <w:rsid w:val="0007795A"/>
    <w:rsid w:val="00077C1D"/>
    <w:rsid w:val="00077D1B"/>
    <w:rsid w:val="00080285"/>
    <w:rsid w:val="00080320"/>
    <w:rsid w:val="00080388"/>
    <w:rsid w:val="000804F9"/>
    <w:rsid w:val="00080A7A"/>
    <w:rsid w:val="00080D2D"/>
    <w:rsid w:val="00080F84"/>
    <w:rsid w:val="0008135D"/>
    <w:rsid w:val="0008143F"/>
    <w:rsid w:val="00081477"/>
    <w:rsid w:val="00081C7B"/>
    <w:rsid w:val="00081E08"/>
    <w:rsid w:val="00081F8C"/>
    <w:rsid w:val="0008205F"/>
    <w:rsid w:val="000820C9"/>
    <w:rsid w:val="000827EF"/>
    <w:rsid w:val="00082916"/>
    <w:rsid w:val="000829EB"/>
    <w:rsid w:val="00082ABD"/>
    <w:rsid w:val="00083358"/>
    <w:rsid w:val="00083B5C"/>
    <w:rsid w:val="00084062"/>
    <w:rsid w:val="000841CA"/>
    <w:rsid w:val="00084231"/>
    <w:rsid w:val="0008453E"/>
    <w:rsid w:val="0008461F"/>
    <w:rsid w:val="00084992"/>
    <w:rsid w:val="00084D3B"/>
    <w:rsid w:val="0008518F"/>
    <w:rsid w:val="00085237"/>
    <w:rsid w:val="000854A9"/>
    <w:rsid w:val="000854BA"/>
    <w:rsid w:val="000854F0"/>
    <w:rsid w:val="0008584C"/>
    <w:rsid w:val="0008595C"/>
    <w:rsid w:val="00085A45"/>
    <w:rsid w:val="00085C4D"/>
    <w:rsid w:val="00085E9A"/>
    <w:rsid w:val="00086072"/>
    <w:rsid w:val="000865EA"/>
    <w:rsid w:val="000867F1"/>
    <w:rsid w:val="00086D45"/>
    <w:rsid w:val="00086D8A"/>
    <w:rsid w:val="00086EA4"/>
    <w:rsid w:val="00086FEA"/>
    <w:rsid w:val="000870A7"/>
    <w:rsid w:val="000872A4"/>
    <w:rsid w:val="000873B3"/>
    <w:rsid w:val="000873D5"/>
    <w:rsid w:val="00087442"/>
    <w:rsid w:val="000874B2"/>
    <w:rsid w:val="00087562"/>
    <w:rsid w:val="0008757D"/>
    <w:rsid w:val="000876C2"/>
    <w:rsid w:val="00087813"/>
    <w:rsid w:val="00087B77"/>
    <w:rsid w:val="00090388"/>
    <w:rsid w:val="00090610"/>
    <w:rsid w:val="0009061B"/>
    <w:rsid w:val="00090649"/>
    <w:rsid w:val="000906B8"/>
    <w:rsid w:val="00090A93"/>
    <w:rsid w:val="00090DBD"/>
    <w:rsid w:val="00091090"/>
    <w:rsid w:val="000911A5"/>
    <w:rsid w:val="00091380"/>
    <w:rsid w:val="000916C0"/>
    <w:rsid w:val="00092010"/>
    <w:rsid w:val="00092737"/>
    <w:rsid w:val="00092B12"/>
    <w:rsid w:val="00093570"/>
    <w:rsid w:val="0009394E"/>
    <w:rsid w:val="00093A62"/>
    <w:rsid w:val="00093B61"/>
    <w:rsid w:val="00093BBF"/>
    <w:rsid w:val="0009444A"/>
    <w:rsid w:val="000946AB"/>
    <w:rsid w:val="000947A2"/>
    <w:rsid w:val="00094A41"/>
    <w:rsid w:val="00094D9E"/>
    <w:rsid w:val="00094E2D"/>
    <w:rsid w:val="00095589"/>
    <w:rsid w:val="00095E8E"/>
    <w:rsid w:val="0009608C"/>
    <w:rsid w:val="00096114"/>
    <w:rsid w:val="00096174"/>
    <w:rsid w:val="000964C6"/>
    <w:rsid w:val="00096651"/>
    <w:rsid w:val="00097352"/>
    <w:rsid w:val="000975D9"/>
    <w:rsid w:val="000978B7"/>
    <w:rsid w:val="00097B68"/>
    <w:rsid w:val="00097BEF"/>
    <w:rsid w:val="000A00E1"/>
    <w:rsid w:val="000A00F5"/>
    <w:rsid w:val="000A0359"/>
    <w:rsid w:val="000A0B8D"/>
    <w:rsid w:val="000A0CC0"/>
    <w:rsid w:val="000A0D87"/>
    <w:rsid w:val="000A0F5C"/>
    <w:rsid w:val="000A1064"/>
    <w:rsid w:val="000A11B6"/>
    <w:rsid w:val="000A1376"/>
    <w:rsid w:val="000A1436"/>
    <w:rsid w:val="000A14F7"/>
    <w:rsid w:val="000A1911"/>
    <w:rsid w:val="000A1C5B"/>
    <w:rsid w:val="000A20F6"/>
    <w:rsid w:val="000A22B8"/>
    <w:rsid w:val="000A2408"/>
    <w:rsid w:val="000A24C0"/>
    <w:rsid w:val="000A2EB7"/>
    <w:rsid w:val="000A31B0"/>
    <w:rsid w:val="000A326B"/>
    <w:rsid w:val="000A332B"/>
    <w:rsid w:val="000A3621"/>
    <w:rsid w:val="000A3844"/>
    <w:rsid w:val="000A3B84"/>
    <w:rsid w:val="000A3D65"/>
    <w:rsid w:val="000A3D71"/>
    <w:rsid w:val="000A3FBE"/>
    <w:rsid w:val="000A48BB"/>
    <w:rsid w:val="000A49A6"/>
    <w:rsid w:val="000A52A0"/>
    <w:rsid w:val="000A542B"/>
    <w:rsid w:val="000A564B"/>
    <w:rsid w:val="000A597B"/>
    <w:rsid w:val="000A5DF4"/>
    <w:rsid w:val="000A5F47"/>
    <w:rsid w:val="000A5F59"/>
    <w:rsid w:val="000A61F9"/>
    <w:rsid w:val="000A62FA"/>
    <w:rsid w:val="000A635F"/>
    <w:rsid w:val="000A636A"/>
    <w:rsid w:val="000A6D99"/>
    <w:rsid w:val="000A72AE"/>
    <w:rsid w:val="000A75DD"/>
    <w:rsid w:val="000A7710"/>
    <w:rsid w:val="000A7F0C"/>
    <w:rsid w:val="000B00E5"/>
    <w:rsid w:val="000B01F4"/>
    <w:rsid w:val="000B02B9"/>
    <w:rsid w:val="000B02FE"/>
    <w:rsid w:val="000B079B"/>
    <w:rsid w:val="000B0821"/>
    <w:rsid w:val="000B0A01"/>
    <w:rsid w:val="000B0AE3"/>
    <w:rsid w:val="000B0D33"/>
    <w:rsid w:val="000B0EE4"/>
    <w:rsid w:val="000B116D"/>
    <w:rsid w:val="000B1295"/>
    <w:rsid w:val="000B18CD"/>
    <w:rsid w:val="000B1D84"/>
    <w:rsid w:val="000B1DF6"/>
    <w:rsid w:val="000B1E30"/>
    <w:rsid w:val="000B26D0"/>
    <w:rsid w:val="000B275D"/>
    <w:rsid w:val="000B28B9"/>
    <w:rsid w:val="000B2AA6"/>
    <w:rsid w:val="000B2CEB"/>
    <w:rsid w:val="000B2EC7"/>
    <w:rsid w:val="000B33B9"/>
    <w:rsid w:val="000B36F0"/>
    <w:rsid w:val="000B39E6"/>
    <w:rsid w:val="000B3A58"/>
    <w:rsid w:val="000B442D"/>
    <w:rsid w:val="000B4709"/>
    <w:rsid w:val="000B4B3E"/>
    <w:rsid w:val="000B4F33"/>
    <w:rsid w:val="000B519B"/>
    <w:rsid w:val="000B51AA"/>
    <w:rsid w:val="000B5388"/>
    <w:rsid w:val="000B57F9"/>
    <w:rsid w:val="000B59A4"/>
    <w:rsid w:val="000B5B4F"/>
    <w:rsid w:val="000B5F9E"/>
    <w:rsid w:val="000B609D"/>
    <w:rsid w:val="000B610D"/>
    <w:rsid w:val="000B65BD"/>
    <w:rsid w:val="000B6652"/>
    <w:rsid w:val="000B6A05"/>
    <w:rsid w:val="000B6B15"/>
    <w:rsid w:val="000B6DC5"/>
    <w:rsid w:val="000B6FCF"/>
    <w:rsid w:val="000B70E5"/>
    <w:rsid w:val="000B7159"/>
    <w:rsid w:val="000B718A"/>
    <w:rsid w:val="000B7544"/>
    <w:rsid w:val="000B7F56"/>
    <w:rsid w:val="000C009F"/>
    <w:rsid w:val="000C00D2"/>
    <w:rsid w:val="000C05E3"/>
    <w:rsid w:val="000C0B89"/>
    <w:rsid w:val="000C0C8C"/>
    <w:rsid w:val="000C1040"/>
    <w:rsid w:val="000C142E"/>
    <w:rsid w:val="000C152B"/>
    <w:rsid w:val="000C1605"/>
    <w:rsid w:val="000C168F"/>
    <w:rsid w:val="000C16A1"/>
    <w:rsid w:val="000C1891"/>
    <w:rsid w:val="000C1D19"/>
    <w:rsid w:val="000C1DB8"/>
    <w:rsid w:val="000C1E4D"/>
    <w:rsid w:val="000C1F1A"/>
    <w:rsid w:val="000C207F"/>
    <w:rsid w:val="000C235A"/>
    <w:rsid w:val="000C24CA"/>
    <w:rsid w:val="000C2581"/>
    <w:rsid w:val="000C2BCA"/>
    <w:rsid w:val="000C309A"/>
    <w:rsid w:val="000C3374"/>
    <w:rsid w:val="000C345C"/>
    <w:rsid w:val="000C37B0"/>
    <w:rsid w:val="000C3867"/>
    <w:rsid w:val="000C39AD"/>
    <w:rsid w:val="000C39DD"/>
    <w:rsid w:val="000C3DDD"/>
    <w:rsid w:val="000C4226"/>
    <w:rsid w:val="000C4650"/>
    <w:rsid w:val="000C466A"/>
    <w:rsid w:val="000C48FA"/>
    <w:rsid w:val="000C4996"/>
    <w:rsid w:val="000C4A0C"/>
    <w:rsid w:val="000C4AD3"/>
    <w:rsid w:val="000C4C1A"/>
    <w:rsid w:val="000C4CF5"/>
    <w:rsid w:val="000C5007"/>
    <w:rsid w:val="000C5833"/>
    <w:rsid w:val="000C5A60"/>
    <w:rsid w:val="000C5F0A"/>
    <w:rsid w:val="000C6547"/>
    <w:rsid w:val="000C66B6"/>
    <w:rsid w:val="000C6761"/>
    <w:rsid w:val="000C680A"/>
    <w:rsid w:val="000C683E"/>
    <w:rsid w:val="000C6876"/>
    <w:rsid w:val="000C6A03"/>
    <w:rsid w:val="000C6BB8"/>
    <w:rsid w:val="000C6D4C"/>
    <w:rsid w:val="000C7321"/>
    <w:rsid w:val="000C7397"/>
    <w:rsid w:val="000C77AF"/>
    <w:rsid w:val="000C795A"/>
    <w:rsid w:val="000C795C"/>
    <w:rsid w:val="000C7C2C"/>
    <w:rsid w:val="000C7F7A"/>
    <w:rsid w:val="000C7FE6"/>
    <w:rsid w:val="000D04B0"/>
    <w:rsid w:val="000D06E3"/>
    <w:rsid w:val="000D079F"/>
    <w:rsid w:val="000D0989"/>
    <w:rsid w:val="000D098B"/>
    <w:rsid w:val="000D09A4"/>
    <w:rsid w:val="000D09F5"/>
    <w:rsid w:val="000D0B6E"/>
    <w:rsid w:val="000D1133"/>
    <w:rsid w:val="000D11EE"/>
    <w:rsid w:val="000D11EF"/>
    <w:rsid w:val="000D143E"/>
    <w:rsid w:val="000D157E"/>
    <w:rsid w:val="000D198C"/>
    <w:rsid w:val="000D1A62"/>
    <w:rsid w:val="000D1B98"/>
    <w:rsid w:val="000D1D4D"/>
    <w:rsid w:val="000D209D"/>
    <w:rsid w:val="000D22F4"/>
    <w:rsid w:val="000D240B"/>
    <w:rsid w:val="000D2591"/>
    <w:rsid w:val="000D2BEE"/>
    <w:rsid w:val="000D2EB5"/>
    <w:rsid w:val="000D332B"/>
    <w:rsid w:val="000D3A21"/>
    <w:rsid w:val="000D3B03"/>
    <w:rsid w:val="000D3B6A"/>
    <w:rsid w:val="000D3F31"/>
    <w:rsid w:val="000D428C"/>
    <w:rsid w:val="000D42FD"/>
    <w:rsid w:val="000D4600"/>
    <w:rsid w:val="000D4612"/>
    <w:rsid w:val="000D487F"/>
    <w:rsid w:val="000D4A58"/>
    <w:rsid w:val="000D4A8A"/>
    <w:rsid w:val="000D4A9B"/>
    <w:rsid w:val="000D4CBE"/>
    <w:rsid w:val="000D521C"/>
    <w:rsid w:val="000D5512"/>
    <w:rsid w:val="000D5685"/>
    <w:rsid w:val="000D5EAF"/>
    <w:rsid w:val="000D60FB"/>
    <w:rsid w:val="000D612A"/>
    <w:rsid w:val="000D62BF"/>
    <w:rsid w:val="000D63ED"/>
    <w:rsid w:val="000D6A27"/>
    <w:rsid w:val="000D6EEF"/>
    <w:rsid w:val="000D6F1C"/>
    <w:rsid w:val="000D70C4"/>
    <w:rsid w:val="000D7747"/>
    <w:rsid w:val="000D7A03"/>
    <w:rsid w:val="000D7F09"/>
    <w:rsid w:val="000E00FE"/>
    <w:rsid w:val="000E049A"/>
    <w:rsid w:val="000E093F"/>
    <w:rsid w:val="000E0A50"/>
    <w:rsid w:val="000E0B05"/>
    <w:rsid w:val="000E0C1C"/>
    <w:rsid w:val="000E0F07"/>
    <w:rsid w:val="000E12EA"/>
    <w:rsid w:val="000E1448"/>
    <w:rsid w:val="000E155F"/>
    <w:rsid w:val="000E1677"/>
    <w:rsid w:val="000E188E"/>
    <w:rsid w:val="000E1920"/>
    <w:rsid w:val="000E1A7D"/>
    <w:rsid w:val="000E1D27"/>
    <w:rsid w:val="000E200F"/>
    <w:rsid w:val="000E2147"/>
    <w:rsid w:val="000E25E9"/>
    <w:rsid w:val="000E2609"/>
    <w:rsid w:val="000E26D7"/>
    <w:rsid w:val="000E2D90"/>
    <w:rsid w:val="000E3306"/>
    <w:rsid w:val="000E33EB"/>
    <w:rsid w:val="000E359A"/>
    <w:rsid w:val="000E3727"/>
    <w:rsid w:val="000E375F"/>
    <w:rsid w:val="000E3887"/>
    <w:rsid w:val="000E3FEF"/>
    <w:rsid w:val="000E4161"/>
    <w:rsid w:val="000E4169"/>
    <w:rsid w:val="000E438F"/>
    <w:rsid w:val="000E4451"/>
    <w:rsid w:val="000E44DA"/>
    <w:rsid w:val="000E4676"/>
    <w:rsid w:val="000E48B1"/>
    <w:rsid w:val="000E4C5F"/>
    <w:rsid w:val="000E522B"/>
    <w:rsid w:val="000E562F"/>
    <w:rsid w:val="000E5662"/>
    <w:rsid w:val="000E5665"/>
    <w:rsid w:val="000E5E0C"/>
    <w:rsid w:val="000E5F07"/>
    <w:rsid w:val="000E6089"/>
    <w:rsid w:val="000E6298"/>
    <w:rsid w:val="000E62AB"/>
    <w:rsid w:val="000E65B0"/>
    <w:rsid w:val="000E68E8"/>
    <w:rsid w:val="000E6951"/>
    <w:rsid w:val="000E6C1B"/>
    <w:rsid w:val="000E6D3B"/>
    <w:rsid w:val="000E7001"/>
    <w:rsid w:val="000E743C"/>
    <w:rsid w:val="000E773A"/>
    <w:rsid w:val="000E778F"/>
    <w:rsid w:val="000E7A0E"/>
    <w:rsid w:val="000E7DCD"/>
    <w:rsid w:val="000E7E90"/>
    <w:rsid w:val="000F01A5"/>
    <w:rsid w:val="000F01E7"/>
    <w:rsid w:val="000F0551"/>
    <w:rsid w:val="000F062C"/>
    <w:rsid w:val="000F0E1D"/>
    <w:rsid w:val="000F105B"/>
    <w:rsid w:val="000F12EB"/>
    <w:rsid w:val="000F17E7"/>
    <w:rsid w:val="000F194B"/>
    <w:rsid w:val="000F1AEE"/>
    <w:rsid w:val="000F20E4"/>
    <w:rsid w:val="000F2A23"/>
    <w:rsid w:val="000F2B1F"/>
    <w:rsid w:val="000F2BFE"/>
    <w:rsid w:val="000F2CFC"/>
    <w:rsid w:val="000F2D53"/>
    <w:rsid w:val="000F3005"/>
    <w:rsid w:val="000F31D8"/>
    <w:rsid w:val="000F31F2"/>
    <w:rsid w:val="000F3312"/>
    <w:rsid w:val="000F342F"/>
    <w:rsid w:val="000F38DA"/>
    <w:rsid w:val="000F3BEA"/>
    <w:rsid w:val="000F3BF9"/>
    <w:rsid w:val="000F430D"/>
    <w:rsid w:val="000F4BA5"/>
    <w:rsid w:val="000F54D0"/>
    <w:rsid w:val="000F5650"/>
    <w:rsid w:val="000F56C5"/>
    <w:rsid w:val="000F5CD0"/>
    <w:rsid w:val="000F5F46"/>
    <w:rsid w:val="000F6114"/>
    <w:rsid w:val="000F614C"/>
    <w:rsid w:val="000F62D9"/>
    <w:rsid w:val="000F6707"/>
    <w:rsid w:val="000F6A72"/>
    <w:rsid w:val="000F6A73"/>
    <w:rsid w:val="000F708E"/>
    <w:rsid w:val="000F7098"/>
    <w:rsid w:val="000F746D"/>
    <w:rsid w:val="000F7676"/>
    <w:rsid w:val="000F7A6E"/>
    <w:rsid w:val="000F7E8A"/>
    <w:rsid w:val="0010026C"/>
    <w:rsid w:val="001008DF"/>
    <w:rsid w:val="001008EF"/>
    <w:rsid w:val="00100ABC"/>
    <w:rsid w:val="00100C87"/>
    <w:rsid w:val="00100E93"/>
    <w:rsid w:val="00101202"/>
    <w:rsid w:val="00101452"/>
    <w:rsid w:val="0010163E"/>
    <w:rsid w:val="00101873"/>
    <w:rsid w:val="001018B7"/>
    <w:rsid w:val="00101A41"/>
    <w:rsid w:val="00101A91"/>
    <w:rsid w:val="00101E0C"/>
    <w:rsid w:val="00101EF4"/>
    <w:rsid w:val="00101EF7"/>
    <w:rsid w:val="001024A0"/>
    <w:rsid w:val="0010251A"/>
    <w:rsid w:val="00102527"/>
    <w:rsid w:val="00102573"/>
    <w:rsid w:val="00102674"/>
    <w:rsid w:val="00102883"/>
    <w:rsid w:val="00102DDA"/>
    <w:rsid w:val="00102E0E"/>
    <w:rsid w:val="00102F77"/>
    <w:rsid w:val="00102F7C"/>
    <w:rsid w:val="00103385"/>
    <w:rsid w:val="0010348B"/>
    <w:rsid w:val="0010348D"/>
    <w:rsid w:val="001034F0"/>
    <w:rsid w:val="00103694"/>
    <w:rsid w:val="001037C5"/>
    <w:rsid w:val="0010394C"/>
    <w:rsid w:val="00103A21"/>
    <w:rsid w:val="00103A94"/>
    <w:rsid w:val="00103CF9"/>
    <w:rsid w:val="00103D15"/>
    <w:rsid w:val="00103EEF"/>
    <w:rsid w:val="00104275"/>
    <w:rsid w:val="001049E2"/>
    <w:rsid w:val="00104BB7"/>
    <w:rsid w:val="00104C99"/>
    <w:rsid w:val="001054C5"/>
    <w:rsid w:val="0010583D"/>
    <w:rsid w:val="001061C2"/>
    <w:rsid w:val="001061EF"/>
    <w:rsid w:val="001062D4"/>
    <w:rsid w:val="001065F5"/>
    <w:rsid w:val="001068BF"/>
    <w:rsid w:val="00106C45"/>
    <w:rsid w:val="00106EE9"/>
    <w:rsid w:val="00106F72"/>
    <w:rsid w:val="0010730B"/>
    <w:rsid w:val="00107546"/>
    <w:rsid w:val="001075F5"/>
    <w:rsid w:val="0010778F"/>
    <w:rsid w:val="0010784B"/>
    <w:rsid w:val="001078CF"/>
    <w:rsid w:val="00107C06"/>
    <w:rsid w:val="00107CD4"/>
    <w:rsid w:val="00107D54"/>
    <w:rsid w:val="00107DB1"/>
    <w:rsid w:val="001100AD"/>
    <w:rsid w:val="001100D6"/>
    <w:rsid w:val="00110200"/>
    <w:rsid w:val="001102CB"/>
    <w:rsid w:val="00110C87"/>
    <w:rsid w:val="00110D7B"/>
    <w:rsid w:val="00110FE0"/>
    <w:rsid w:val="001116DE"/>
    <w:rsid w:val="00111A25"/>
    <w:rsid w:val="00111AB6"/>
    <w:rsid w:val="001122E3"/>
    <w:rsid w:val="0011233E"/>
    <w:rsid w:val="001126EE"/>
    <w:rsid w:val="00112AA8"/>
    <w:rsid w:val="00112BDD"/>
    <w:rsid w:val="00112BFF"/>
    <w:rsid w:val="00112DCD"/>
    <w:rsid w:val="00112DEA"/>
    <w:rsid w:val="00112FC0"/>
    <w:rsid w:val="00113581"/>
    <w:rsid w:val="0011458C"/>
    <w:rsid w:val="001149C0"/>
    <w:rsid w:val="00114FA6"/>
    <w:rsid w:val="00115834"/>
    <w:rsid w:val="00115ECC"/>
    <w:rsid w:val="00116EDA"/>
    <w:rsid w:val="0011705E"/>
    <w:rsid w:val="001170EA"/>
    <w:rsid w:val="001178FF"/>
    <w:rsid w:val="00117AD8"/>
    <w:rsid w:val="00117DA3"/>
    <w:rsid w:val="00117F06"/>
    <w:rsid w:val="001205B0"/>
    <w:rsid w:val="00120637"/>
    <w:rsid w:val="0012084A"/>
    <w:rsid w:val="00120860"/>
    <w:rsid w:val="00120A86"/>
    <w:rsid w:val="0012164F"/>
    <w:rsid w:val="001218C3"/>
    <w:rsid w:val="00121A20"/>
    <w:rsid w:val="00121C60"/>
    <w:rsid w:val="00121DE9"/>
    <w:rsid w:val="0012256D"/>
    <w:rsid w:val="0012283C"/>
    <w:rsid w:val="001228B6"/>
    <w:rsid w:val="00122B14"/>
    <w:rsid w:val="00122D51"/>
    <w:rsid w:val="00122E1E"/>
    <w:rsid w:val="00122E78"/>
    <w:rsid w:val="00122F12"/>
    <w:rsid w:val="00123133"/>
    <w:rsid w:val="0012389B"/>
    <w:rsid w:val="001239C4"/>
    <w:rsid w:val="00123AA3"/>
    <w:rsid w:val="00123B67"/>
    <w:rsid w:val="00123FD0"/>
    <w:rsid w:val="0012423D"/>
    <w:rsid w:val="0012439D"/>
    <w:rsid w:val="00124CB8"/>
    <w:rsid w:val="00125D5F"/>
    <w:rsid w:val="00125F39"/>
    <w:rsid w:val="001263A7"/>
    <w:rsid w:val="00126877"/>
    <w:rsid w:val="001268A0"/>
    <w:rsid w:val="00126D2C"/>
    <w:rsid w:val="00126F52"/>
    <w:rsid w:val="00127506"/>
    <w:rsid w:val="00127681"/>
    <w:rsid w:val="001277A8"/>
    <w:rsid w:val="00127AC9"/>
    <w:rsid w:val="001300A0"/>
    <w:rsid w:val="00130264"/>
    <w:rsid w:val="001302B6"/>
    <w:rsid w:val="00130403"/>
    <w:rsid w:val="001307A7"/>
    <w:rsid w:val="001307DF"/>
    <w:rsid w:val="0013087A"/>
    <w:rsid w:val="00130895"/>
    <w:rsid w:val="00130AC6"/>
    <w:rsid w:val="00130B05"/>
    <w:rsid w:val="00130B1D"/>
    <w:rsid w:val="0013162B"/>
    <w:rsid w:val="00131885"/>
    <w:rsid w:val="00131DDF"/>
    <w:rsid w:val="00131E49"/>
    <w:rsid w:val="00131E87"/>
    <w:rsid w:val="00132326"/>
    <w:rsid w:val="0013233D"/>
    <w:rsid w:val="00132624"/>
    <w:rsid w:val="00132813"/>
    <w:rsid w:val="00132D47"/>
    <w:rsid w:val="00132F8B"/>
    <w:rsid w:val="0013354B"/>
    <w:rsid w:val="00133573"/>
    <w:rsid w:val="001337F4"/>
    <w:rsid w:val="001341F2"/>
    <w:rsid w:val="0013420D"/>
    <w:rsid w:val="00134500"/>
    <w:rsid w:val="00134507"/>
    <w:rsid w:val="0013460B"/>
    <w:rsid w:val="0013499F"/>
    <w:rsid w:val="001349E1"/>
    <w:rsid w:val="00134C66"/>
    <w:rsid w:val="00134C95"/>
    <w:rsid w:val="00134C98"/>
    <w:rsid w:val="001351EC"/>
    <w:rsid w:val="0013523D"/>
    <w:rsid w:val="00135305"/>
    <w:rsid w:val="001358E9"/>
    <w:rsid w:val="00135973"/>
    <w:rsid w:val="00135D78"/>
    <w:rsid w:val="001366AE"/>
    <w:rsid w:val="00136DDC"/>
    <w:rsid w:val="00136F82"/>
    <w:rsid w:val="001370F0"/>
    <w:rsid w:val="0013752E"/>
    <w:rsid w:val="0013762D"/>
    <w:rsid w:val="001376D8"/>
    <w:rsid w:val="0013791B"/>
    <w:rsid w:val="00137B03"/>
    <w:rsid w:val="00137EF0"/>
    <w:rsid w:val="00140222"/>
    <w:rsid w:val="0014063B"/>
    <w:rsid w:val="00140EEF"/>
    <w:rsid w:val="0014107C"/>
    <w:rsid w:val="00141196"/>
    <w:rsid w:val="001417D5"/>
    <w:rsid w:val="00141AEB"/>
    <w:rsid w:val="00142648"/>
    <w:rsid w:val="0014270B"/>
    <w:rsid w:val="001427E5"/>
    <w:rsid w:val="00142B49"/>
    <w:rsid w:val="00142B55"/>
    <w:rsid w:val="00142B81"/>
    <w:rsid w:val="00142C1B"/>
    <w:rsid w:val="00142D04"/>
    <w:rsid w:val="00143119"/>
    <w:rsid w:val="00143257"/>
    <w:rsid w:val="001432EF"/>
    <w:rsid w:val="001435E7"/>
    <w:rsid w:val="00143ABA"/>
    <w:rsid w:val="00143C36"/>
    <w:rsid w:val="00143FCB"/>
    <w:rsid w:val="00144022"/>
    <w:rsid w:val="00144075"/>
    <w:rsid w:val="00144143"/>
    <w:rsid w:val="00144268"/>
    <w:rsid w:val="00144705"/>
    <w:rsid w:val="00144886"/>
    <w:rsid w:val="001449D3"/>
    <w:rsid w:val="00144B64"/>
    <w:rsid w:val="0014501E"/>
    <w:rsid w:val="00145112"/>
    <w:rsid w:val="001455BA"/>
    <w:rsid w:val="001457E9"/>
    <w:rsid w:val="001457F7"/>
    <w:rsid w:val="00145AE4"/>
    <w:rsid w:val="00145C4D"/>
    <w:rsid w:val="00145C57"/>
    <w:rsid w:val="00145E3D"/>
    <w:rsid w:val="00146494"/>
    <w:rsid w:val="00146B1E"/>
    <w:rsid w:val="00146C94"/>
    <w:rsid w:val="00146DEC"/>
    <w:rsid w:val="00146F72"/>
    <w:rsid w:val="00147737"/>
    <w:rsid w:val="00147933"/>
    <w:rsid w:val="00147EA0"/>
    <w:rsid w:val="00150179"/>
    <w:rsid w:val="001502C1"/>
    <w:rsid w:val="0015032C"/>
    <w:rsid w:val="00150375"/>
    <w:rsid w:val="00150525"/>
    <w:rsid w:val="00150566"/>
    <w:rsid w:val="001507CC"/>
    <w:rsid w:val="00150B06"/>
    <w:rsid w:val="00150B68"/>
    <w:rsid w:val="00150FA9"/>
    <w:rsid w:val="00151280"/>
    <w:rsid w:val="001514D1"/>
    <w:rsid w:val="0015159B"/>
    <w:rsid w:val="0015163A"/>
    <w:rsid w:val="0015172E"/>
    <w:rsid w:val="00151FC5"/>
    <w:rsid w:val="001522AD"/>
    <w:rsid w:val="001524E5"/>
    <w:rsid w:val="0015288D"/>
    <w:rsid w:val="00152A47"/>
    <w:rsid w:val="00152EFA"/>
    <w:rsid w:val="00153255"/>
    <w:rsid w:val="00153259"/>
    <w:rsid w:val="001532F4"/>
    <w:rsid w:val="00153424"/>
    <w:rsid w:val="00153872"/>
    <w:rsid w:val="00153B28"/>
    <w:rsid w:val="00153C38"/>
    <w:rsid w:val="001543A6"/>
    <w:rsid w:val="001543D2"/>
    <w:rsid w:val="001547DD"/>
    <w:rsid w:val="00154BB8"/>
    <w:rsid w:val="00154C05"/>
    <w:rsid w:val="00154F34"/>
    <w:rsid w:val="00155029"/>
    <w:rsid w:val="0015537F"/>
    <w:rsid w:val="001556E8"/>
    <w:rsid w:val="001558E8"/>
    <w:rsid w:val="00155AEA"/>
    <w:rsid w:val="00156088"/>
    <w:rsid w:val="00156439"/>
    <w:rsid w:val="00156450"/>
    <w:rsid w:val="001568BB"/>
    <w:rsid w:val="00156925"/>
    <w:rsid w:val="00156970"/>
    <w:rsid w:val="00156A42"/>
    <w:rsid w:val="00156AC1"/>
    <w:rsid w:val="0015705F"/>
    <w:rsid w:val="001571C0"/>
    <w:rsid w:val="0015728B"/>
    <w:rsid w:val="001572C1"/>
    <w:rsid w:val="00157926"/>
    <w:rsid w:val="00157B6A"/>
    <w:rsid w:val="00157B94"/>
    <w:rsid w:val="00157D05"/>
    <w:rsid w:val="00160041"/>
    <w:rsid w:val="001600CD"/>
    <w:rsid w:val="001600FD"/>
    <w:rsid w:val="001603F2"/>
    <w:rsid w:val="00160505"/>
    <w:rsid w:val="0016054D"/>
    <w:rsid w:val="001605A0"/>
    <w:rsid w:val="00160879"/>
    <w:rsid w:val="00160906"/>
    <w:rsid w:val="00160A45"/>
    <w:rsid w:val="00161D52"/>
    <w:rsid w:val="00161F1F"/>
    <w:rsid w:val="00162436"/>
    <w:rsid w:val="001626FE"/>
    <w:rsid w:val="00162BC2"/>
    <w:rsid w:val="00162F1E"/>
    <w:rsid w:val="00162FB0"/>
    <w:rsid w:val="00162FD1"/>
    <w:rsid w:val="00163064"/>
    <w:rsid w:val="00163478"/>
    <w:rsid w:val="001636DB"/>
    <w:rsid w:val="001638E2"/>
    <w:rsid w:val="0016396A"/>
    <w:rsid w:val="00163E95"/>
    <w:rsid w:val="00163F70"/>
    <w:rsid w:val="00164013"/>
    <w:rsid w:val="001643DA"/>
    <w:rsid w:val="001648AE"/>
    <w:rsid w:val="00164948"/>
    <w:rsid w:val="00164C29"/>
    <w:rsid w:val="00165197"/>
    <w:rsid w:val="001653B0"/>
    <w:rsid w:val="0016569B"/>
    <w:rsid w:val="001657BB"/>
    <w:rsid w:val="001657D2"/>
    <w:rsid w:val="001658E1"/>
    <w:rsid w:val="001659D9"/>
    <w:rsid w:val="00165BC2"/>
    <w:rsid w:val="00165EE5"/>
    <w:rsid w:val="00165EE9"/>
    <w:rsid w:val="0016605A"/>
    <w:rsid w:val="001664BF"/>
    <w:rsid w:val="0016655A"/>
    <w:rsid w:val="001666D5"/>
    <w:rsid w:val="00166721"/>
    <w:rsid w:val="00166EFD"/>
    <w:rsid w:val="00167474"/>
    <w:rsid w:val="0016757C"/>
    <w:rsid w:val="00167729"/>
    <w:rsid w:val="00167A53"/>
    <w:rsid w:val="00167CA5"/>
    <w:rsid w:val="00167DD4"/>
    <w:rsid w:val="001703EC"/>
    <w:rsid w:val="0017052E"/>
    <w:rsid w:val="00170610"/>
    <w:rsid w:val="001706D7"/>
    <w:rsid w:val="00170995"/>
    <w:rsid w:val="001709A0"/>
    <w:rsid w:val="00170DA1"/>
    <w:rsid w:val="00171077"/>
    <w:rsid w:val="00171425"/>
    <w:rsid w:val="00171556"/>
    <w:rsid w:val="00171589"/>
    <w:rsid w:val="001718E8"/>
    <w:rsid w:val="00172162"/>
    <w:rsid w:val="00172408"/>
    <w:rsid w:val="00172454"/>
    <w:rsid w:val="00172BF1"/>
    <w:rsid w:val="00173141"/>
    <w:rsid w:val="001732D1"/>
    <w:rsid w:val="00173451"/>
    <w:rsid w:val="0017350B"/>
    <w:rsid w:val="0017358E"/>
    <w:rsid w:val="00173ADB"/>
    <w:rsid w:val="00173D38"/>
    <w:rsid w:val="00173D8A"/>
    <w:rsid w:val="00173EB1"/>
    <w:rsid w:val="00174432"/>
    <w:rsid w:val="001746CE"/>
    <w:rsid w:val="00174883"/>
    <w:rsid w:val="00174A50"/>
    <w:rsid w:val="00174F19"/>
    <w:rsid w:val="00175256"/>
    <w:rsid w:val="0017536A"/>
    <w:rsid w:val="0017540C"/>
    <w:rsid w:val="001755CC"/>
    <w:rsid w:val="0017584B"/>
    <w:rsid w:val="00175E40"/>
    <w:rsid w:val="00176582"/>
    <w:rsid w:val="00176A77"/>
    <w:rsid w:val="00176BFB"/>
    <w:rsid w:val="00176C92"/>
    <w:rsid w:val="001773A8"/>
    <w:rsid w:val="001775F9"/>
    <w:rsid w:val="00177647"/>
    <w:rsid w:val="00177BB9"/>
    <w:rsid w:val="00177E59"/>
    <w:rsid w:val="00177F58"/>
    <w:rsid w:val="0018006B"/>
    <w:rsid w:val="00180701"/>
    <w:rsid w:val="00180B8D"/>
    <w:rsid w:val="00181128"/>
    <w:rsid w:val="00181394"/>
    <w:rsid w:val="001814F7"/>
    <w:rsid w:val="0018158B"/>
    <w:rsid w:val="00181797"/>
    <w:rsid w:val="00181FC5"/>
    <w:rsid w:val="00182213"/>
    <w:rsid w:val="00182254"/>
    <w:rsid w:val="00182A12"/>
    <w:rsid w:val="00182A52"/>
    <w:rsid w:val="00182FB4"/>
    <w:rsid w:val="001831EF"/>
    <w:rsid w:val="00183486"/>
    <w:rsid w:val="001834C8"/>
    <w:rsid w:val="00183555"/>
    <w:rsid w:val="00183951"/>
    <w:rsid w:val="00183A48"/>
    <w:rsid w:val="00183B75"/>
    <w:rsid w:val="00183C96"/>
    <w:rsid w:val="00183FC2"/>
    <w:rsid w:val="00184442"/>
    <w:rsid w:val="00184B9F"/>
    <w:rsid w:val="00184DBF"/>
    <w:rsid w:val="00184E22"/>
    <w:rsid w:val="00185177"/>
    <w:rsid w:val="00185344"/>
    <w:rsid w:val="00185351"/>
    <w:rsid w:val="0018535D"/>
    <w:rsid w:val="00185400"/>
    <w:rsid w:val="00185446"/>
    <w:rsid w:val="00185791"/>
    <w:rsid w:val="00185D85"/>
    <w:rsid w:val="00186105"/>
    <w:rsid w:val="00186716"/>
    <w:rsid w:val="00186C47"/>
    <w:rsid w:val="00186F08"/>
    <w:rsid w:val="00187139"/>
    <w:rsid w:val="001874BE"/>
    <w:rsid w:val="0018750B"/>
    <w:rsid w:val="001875AC"/>
    <w:rsid w:val="00187EE5"/>
    <w:rsid w:val="0019027A"/>
    <w:rsid w:val="00190417"/>
    <w:rsid w:val="001907F1"/>
    <w:rsid w:val="00190AF1"/>
    <w:rsid w:val="00190E6B"/>
    <w:rsid w:val="00191084"/>
    <w:rsid w:val="001910DD"/>
    <w:rsid w:val="00191253"/>
    <w:rsid w:val="001913B1"/>
    <w:rsid w:val="00191769"/>
    <w:rsid w:val="00191B40"/>
    <w:rsid w:val="00191B41"/>
    <w:rsid w:val="00191D10"/>
    <w:rsid w:val="0019278D"/>
    <w:rsid w:val="0019298D"/>
    <w:rsid w:val="00192DE2"/>
    <w:rsid w:val="00192FB8"/>
    <w:rsid w:val="001933B6"/>
    <w:rsid w:val="001933DF"/>
    <w:rsid w:val="0019345A"/>
    <w:rsid w:val="00193580"/>
    <w:rsid w:val="00193690"/>
    <w:rsid w:val="00193807"/>
    <w:rsid w:val="00193A0B"/>
    <w:rsid w:val="00193C2C"/>
    <w:rsid w:val="00193CA1"/>
    <w:rsid w:val="00193DF1"/>
    <w:rsid w:val="0019411E"/>
    <w:rsid w:val="00194303"/>
    <w:rsid w:val="001943B9"/>
    <w:rsid w:val="001944BB"/>
    <w:rsid w:val="00194620"/>
    <w:rsid w:val="00194C74"/>
    <w:rsid w:val="00194E17"/>
    <w:rsid w:val="001950A9"/>
    <w:rsid w:val="00195676"/>
    <w:rsid w:val="001956A5"/>
    <w:rsid w:val="00195A72"/>
    <w:rsid w:val="00195AD2"/>
    <w:rsid w:val="00195C4E"/>
    <w:rsid w:val="00195F69"/>
    <w:rsid w:val="00196063"/>
    <w:rsid w:val="001961A0"/>
    <w:rsid w:val="001963F8"/>
    <w:rsid w:val="001964DC"/>
    <w:rsid w:val="001965B7"/>
    <w:rsid w:val="00196899"/>
    <w:rsid w:val="001968DA"/>
    <w:rsid w:val="00196D7A"/>
    <w:rsid w:val="0019706A"/>
    <w:rsid w:val="00197254"/>
    <w:rsid w:val="00197995"/>
    <w:rsid w:val="001A0150"/>
    <w:rsid w:val="001A0371"/>
    <w:rsid w:val="001A078C"/>
    <w:rsid w:val="001A0DA6"/>
    <w:rsid w:val="001A0F88"/>
    <w:rsid w:val="001A0FE0"/>
    <w:rsid w:val="001A1049"/>
    <w:rsid w:val="001A1103"/>
    <w:rsid w:val="001A145A"/>
    <w:rsid w:val="001A145C"/>
    <w:rsid w:val="001A1569"/>
    <w:rsid w:val="001A1AD0"/>
    <w:rsid w:val="001A1B6A"/>
    <w:rsid w:val="001A2063"/>
    <w:rsid w:val="001A241A"/>
    <w:rsid w:val="001A2A8B"/>
    <w:rsid w:val="001A2BCB"/>
    <w:rsid w:val="001A34C3"/>
    <w:rsid w:val="001A35A9"/>
    <w:rsid w:val="001A3844"/>
    <w:rsid w:val="001A38A7"/>
    <w:rsid w:val="001A397C"/>
    <w:rsid w:val="001A3CC8"/>
    <w:rsid w:val="001A3E5D"/>
    <w:rsid w:val="001A4084"/>
    <w:rsid w:val="001A49D0"/>
    <w:rsid w:val="001A4C2E"/>
    <w:rsid w:val="001A4F1A"/>
    <w:rsid w:val="001A54A1"/>
    <w:rsid w:val="001A55CD"/>
    <w:rsid w:val="001A5669"/>
    <w:rsid w:val="001A56B9"/>
    <w:rsid w:val="001A5A0B"/>
    <w:rsid w:val="001A6095"/>
    <w:rsid w:val="001A6384"/>
    <w:rsid w:val="001A6417"/>
    <w:rsid w:val="001A6564"/>
    <w:rsid w:val="001A66D0"/>
    <w:rsid w:val="001A6B00"/>
    <w:rsid w:val="001A6B95"/>
    <w:rsid w:val="001A6C5B"/>
    <w:rsid w:val="001A6E4F"/>
    <w:rsid w:val="001A764A"/>
    <w:rsid w:val="001A78DC"/>
    <w:rsid w:val="001A7F0A"/>
    <w:rsid w:val="001B0408"/>
    <w:rsid w:val="001B06FB"/>
    <w:rsid w:val="001B0812"/>
    <w:rsid w:val="001B0CF6"/>
    <w:rsid w:val="001B10AD"/>
    <w:rsid w:val="001B1354"/>
    <w:rsid w:val="001B155F"/>
    <w:rsid w:val="001B158D"/>
    <w:rsid w:val="001B1654"/>
    <w:rsid w:val="001B1945"/>
    <w:rsid w:val="001B1BEA"/>
    <w:rsid w:val="001B1C65"/>
    <w:rsid w:val="001B1CAC"/>
    <w:rsid w:val="001B1EA3"/>
    <w:rsid w:val="001B2C06"/>
    <w:rsid w:val="001B2CA1"/>
    <w:rsid w:val="001B2DC6"/>
    <w:rsid w:val="001B315E"/>
    <w:rsid w:val="001B3865"/>
    <w:rsid w:val="001B3877"/>
    <w:rsid w:val="001B3A04"/>
    <w:rsid w:val="001B3C78"/>
    <w:rsid w:val="001B429F"/>
    <w:rsid w:val="001B42E5"/>
    <w:rsid w:val="001B43F1"/>
    <w:rsid w:val="001B467D"/>
    <w:rsid w:val="001B4780"/>
    <w:rsid w:val="001B4959"/>
    <w:rsid w:val="001B4BB6"/>
    <w:rsid w:val="001B4E57"/>
    <w:rsid w:val="001B5025"/>
    <w:rsid w:val="001B509B"/>
    <w:rsid w:val="001B50BD"/>
    <w:rsid w:val="001B5245"/>
    <w:rsid w:val="001B59FD"/>
    <w:rsid w:val="001B5BED"/>
    <w:rsid w:val="001B6060"/>
    <w:rsid w:val="001B62D9"/>
    <w:rsid w:val="001B6C72"/>
    <w:rsid w:val="001B6FB0"/>
    <w:rsid w:val="001B70C0"/>
    <w:rsid w:val="001B7200"/>
    <w:rsid w:val="001B7459"/>
    <w:rsid w:val="001B76D8"/>
    <w:rsid w:val="001B7763"/>
    <w:rsid w:val="001B7887"/>
    <w:rsid w:val="001B79A5"/>
    <w:rsid w:val="001B7D81"/>
    <w:rsid w:val="001B7EA1"/>
    <w:rsid w:val="001C00AE"/>
    <w:rsid w:val="001C01B7"/>
    <w:rsid w:val="001C01E2"/>
    <w:rsid w:val="001C0540"/>
    <w:rsid w:val="001C09DD"/>
    <w:rsid w:val="001C0C5F"/>
    <w:rsid w:val="001C0CD6"/>
    <w:rsid w:val="001C1141"/>
    <w:rsid w:val="001C1835"/>
    <w:rsid w:val="001C1F0E"/>
    <w:rsid w:val="001C2142"/>
    <w:rsid w:val="001C242F"/>
    <w:rsid w:val="001C26DB"/>
    <w:rsid w:val="001C2BFE"/>
    <w:rsid w:val="001C2D51"/>
    <w:rsid w:val="001C2FB6"/>
    <w:rsid w:val="001C33A3"/>
    <w:rsid w:val="001C368C"/>
    <w:rsid w:val="001C37BB"/>
    <w:rsid w:val="001C3827"/>
    <w:rsid w:val="001C3851"/>
    <w:rsid w:val="001C3AAF"/>
    <w:rsid w:val="001C3D1B"/>
    <w:rsid w:val="001C3D38"/>
    <w:rsid w:val="001C4016"/>
    <w:rsid w:val="001C4213"/>
    <w:rsid w:val="001C4295"/>
    <w:rsid w:val="001C4532"/>
    <w:rsid w:val="001C4D44"/>
    <w:rsid w:val="001C4FB3"/>
    <w:rsid w:val="001C542F"/>
    <w:rsid w:val="001C5530"/>
    <w:rsid w:val="001C5B30"/>
    <w:rsid w:val="001C5D4D"/>
    <w:rsid w:val="001C5DD4"/>
    <w:rsid w:val="001C5EC8"/>
    <w:rsid w:val="001C5EF3"/>
    <w:rsid w:val="001C5FBE"/>
    <w:rsid w:val="001C642F"/>
    <w:rsid w:val="001C6447"/>
    <w:rsid w:val="001C668D"/>
    <w:rsid w:val="001C6E31"/>
    <w:rsid w:val="001C6EA6"/>
    <w:rsid w:val="001C752A"/>
    <w:rsid w:val="001C767F"/>
    <w:rsid w:val="001C77E2"/>
    <w:rsid w:val="001C7800"/>
    <w:rsid w:val="001C792A"/>
    <w:rsid w:val="001D0189"/>
    <w:rsid w:val="001D0335"/>
    <w:rsid w:val="001D0C10"/>
    <w:rsid w:val="001D0DEE"/>
    <w:rsid w:val="001D142E"/>
    <w:rsid w:val="001D1455"/>
    <w:rsid w:val="001D15D0"/>
    <w:rsid w:val="001D1626"/>
    <w:rsid w:val="001D17FC"/>
    <w:rsid w:val="001D1CAC"/>
    <w:rsid w:val="001D1D3F"/>
    <w:rsid w:val="001D20FF"/>
    <w:rsid w:val="001D211E"/>
    <w:rsid w:val="001D2177"/>
    <w:rsid w:val="001D24B7"/>
    <w:rsid w:val="001D2C29"/>
    <w:rsid w:val="001D2CEF"/>
    <w:rsid w:val="001D2D91"/>
    <w:rsid w:val="001D3314"/>
    <w:rsid w:val="001D3334"/>
    <w:rsid w:val="001D38CB"/>
    <w:rsid w:val="001D3C52"/>
    <w:rsid w:val="001D3DB5"/>
    <w:rsid w:val="001D3DF0"/>
    <w:rsid w:val="001D40DE"/>
    <w:rsid w:val="001D4632"/>
    <w:rsid w:val="001D4D60"/>
    <w:rsid w:val="001D4FC8"/>
    <w:rsid w:val="001D5706"/>
    <w:rsid w:val="001D5DF5"/>
    <w:rsid w:val="001D622E"/>
    <w:rsid w:val="001D6D0B"/>
    <w:rsid w:val="001D6D67"/>
    <w:rsid w:val="001D6E3B"/>
    <w:rsid w:val="001D6F53"/>
    <w:rsid w:val="001D7096"/>
    <w:rsid w:val="001D7170"/>
    <w:rsid w:val="001D772B"/>
    <w:rsid w:val="001D790B"/>
    <w:rsid w:val="001D7974"/>
    <w:rsid w:val="001D7C42"/>
    <w:rsid w:val="001D7FF0"/>
    <w:rsid w:val="001E013C"/>
    <w:rsid w:val="001E077D"/>
    <w:rsid w:val="001E083E"/>
    <w:rsid w:val="001E0966"/>
    <w:rsid w:val="001E0A68"/>
    <w:rsid w:val="001E0B65"/>
    <w:rsid w:val="001E0BD0"/>
    <w:rsid w:val="001E1AB7"/>
    <w:rsid w:val="001E1E1C"/>
    <w:rsid w:val="001E1E7E"/>
    <w:rsid w:val="001E26B9"/>
    <w:rsid w:val="001E27A7"/>
    <w:rsid w:val="001E2E8F"/>
    <w:rsid w:val="001E2FDC"/>
    <w:rsid w:val="001E3164"/>
    <w:rsid w:val="001E37CE"/>
    <w:rsid w:val="001E3D77"/>
    <w:rsid w:val="001E3E0B"/>
    <w:rsid w:val="001E3ECB"/>
    <w:rsid w:val="001E413F"/>
    <w:rsid w:val="001E41A2"/>
    <w:rsid w:val="001E41D1"/>
    <w:rsid w:val="001E4750"/>
    <w:rsid w:val="001E4BEB"/>
    <w:rsid w:val="001E4CF6"/>
    <w:rsid w:val="001E4EB2"/>
    <w:rsid w:val="001E561E"/>
    <w:rsid w:val="001E58EA"/>
    <w:rsid w:val="001E5C88"/>
    <w:rsid w:val="001E601F"/>
    <w:rsid w:val="001E62E5"/>
    <w:rsid w:val="001E6703"/>
    <w:rsid w:val="001E6FEC"/>
    <w:rsid w:val="001E7074"/>
    <w:rsid w:val="001E71CA"/>
    <w:rsid w:val="001E7A69"/>
    <w:rsid w:val="001E7B2C"/>
    <w:rsid w:val="001E7BA7"/>
    <w:rsid w:val="001E7CA9"/>
    <w:rsid w:val="001E7CE6"/>
    <w:rsid w:val="001E7F36"/>
    <w:rsid w:val="001F030C"/>
    <w:rsid w:val="001F038B"/>
    <w:rsid w:val="001F0407"/>
    <w:rsid w:val="001F04D8"/>
    <w:rsid w:val="001F09B7"/>
    <w:rsid w:val="001F0A80"/>
    <w:rsid w:val="001F0B86"/>
    <w:rsid w:val="001F0CB9"/>
    <w:rsid w:val="001F0FB7"/>
    <w:rsid w:val="001F10A3"/>
    <w:rsid w:val="001F1143"/>
    <w:rsid w:val="001F1F51"/>
    <w:rsid w:val="001F222D"/>
    <w:rsid w:val="001F25B1"/>
    <w:rsid w:val="001F2614"/>
    <w:rsid w:val="001F267C"/>
    <w:rsid w:val="001F269D"/>
    <w:rsid w:val="001F26E5"/>
    <w:rsid w:val="001F2BDC"/>
    <w:rsid w:val="001F2D46"/>
    <w:rsid w:val="001F304F"/>
    <w:rsid w:val="001F33A6"/>
    <w:rsid w:val="001F33B3"/>
    <w:rsid w:val="001F3422"/>
    <w:rsid w:val="001F3646"/>
    <w:rsid w:val="001F366D"/>
    <w:rsid w:val="001F37E2"/>
    <w:rsid w:val="001F3C4C"/>
    <w:rsid w:val="001F3EDA"/>
    <w:rsid w:val="001F40FB"/>
    <w:rsid w:val="001F41DC"/>
    <w:rsid w:val="001F436D"/>
    <w:rsid w:val="001F44F2"/>
    <w:rsid w:val="001F461C"/>
    <w:rsid w:val="001F496A"/>
    <w:rsid w:val="001F4D54"/>
    <w:rsid w:val="001F51EA"/>
    <w:rsid w:val="001F5322"/>
    <w:rsid w:val="001F534A"/>
    <w:rsid w:val="001F543A"/>
    <w:rsid w:val="001F5741"/>
    <w:rsid w:val="001F5BB2"/>
    <w:rsid w:val="001F6021"/>
    <w:rsid w:val="001F615A"/>
    <w:rsid w:val="001F6889"/>
    <w:rsid w:val="001F689E"/>
    <w:rsid w:val="001F721D"/>
    <w:rsid w:val="001F7758"/>
    <w:rsid w:val="001F78D2"/>
    <w:rsid w:val="001F79A7"/>
    <w:rsid w:val="001F7A7F"/>
    <w:rsid w:val="001F7BA2"/>
    <w:rsid w:val="001F7F13"/>
    <w:rsid w:val="0020001C"/>
    <w:rsid w:val="00200A7B"/>
    <w:rsid w:val="00200B4B"/>
    <w:rsid w:val="00200F6E"/>
    <w:rsid w:val="00201006"/>
    <w:rsid w:val="0020122B"/>
    <w:rsid w:val="002012EE"/>
    <w:rsid w:val="00201661"/>
    <w:rsid w:val="002017DE"/>
    <w:rsid w:val="00201808"/>
    <w:rsid w:val="00201E11"/>
    <w:rsid w:val="002021F3"/>
    <w:rsid w:val="002022F9"/>
    <w:rsid w:val="002025C6"/>
    <w:rsid w:val="00202989"/>
    <w:rsid w:val="00202C3F"/>
    <w:rsid w:val="00202DDE"/>
    <w:rsid w:val="00203144"/>
    <w:rsid w:val="0020318C"/>
    <w:rsid w:val="002031C6"/>
    <w:rsid w:val="00203211"/>
    <w:rsid w:val="00203B42"/>
    <w:rsid w:val="00203CD9"/>
    <w:rsid w:val="0020426C"/>
    <w:rsid w:val="002044BC"/>
    <w:rsid w:val="00204585"/>
    <w:rsid w:val="00204ADE"/>
    <w:rsid w:val="00204CEB"/>
    <w:rsid w:val="00204ECC"/>
    <w:rsid w:val="0020534B"/>
    <w:rsid w:val="00205424"/>
    <w:rsid w:val="0020545D"/>
    <w:rsid w:val="00205916"/>
    <w:rsid w:val="00205AD4"/>
    <w:rsid w:val="00205BE8"/>
    <w:rsid w:val="00205C96"/>
    <w:rsid w:val="0020627A"/>
    <w:rsid w:val="00206943"/>
    <w:rsid w:val="00206A10"/>
    <w:rsid w:val="00206D90"/>
    <w:rsid w:val="00206E27"/>
    <w:rsid w:val="00206EA3"/>
    <w:rsid w:val="00207049"/>
    <w:rsid w:val="002070B1"/>
    <w:rsid w:val="00207131"/>
    <w:rsid w:val="002071C0"/>
    <w:rsid w:val="00207781"/>
    <w:rsid w:val="00207817"/>
    <w:rsid w:val="00207B69"/>
    <w:rsid w:val="00207F8D"/>
    <w:rsid w:val="00207FD8"/>
    <w:rsid w:val="00210764"/>
    <w:rsid w:val="00210935"/>
    <w:rsid w:val="00210FA1"/>
    <w:rsid w:val="0021104D"/>
    <w:rsid w:val="00211177"/>
    <w:rsid w:val="00211502"/>
    <w:rsid w:val="002119B3"/>
    <w:rsid w:val="00211ACE"/>
    <w:rsid w:val="00211B7E"/>
    <w:rsid w:val="00211BCA"/>
    <w:rsid w:val="00211DB2"/>
    <w:rsid w:val="00211ED9"/>
    <w:rsid w:val="00212384"/>
    <w:rsid w:val="00212421"/>
    <w:rsid w:val="002124F3"/>
    <w:rsid w:val="0021261A"/>
    <w:rsid w:val="002126B3"/>
    <w:rsid w:val="002126FE"/>
    <w:rsid w:val="0021289E"/>
    <w:rsid w:val="00212A0B"/>
    <w:rsid w:val="00212C90"/>
    <w:rsid w:val="00213178"/>
    <w:rsid w:val="00213391"/>
    <w:rsid w:val="002135FA"/>
    <w:rsid w:val="0021383B"/>
    <w:rsid w:val="00213A3A"/>
    <w:rsid w:val="00213F81"/>
    <w:rsid w:val="002144B8"/>
    <w:rsid w:val="00214505"/>
    <w:rsid w:val="0021488A"/>
    <w:rsid w:val="002149B2"/>
    <w:rsid w:val="00214BD5"/>
    <w:rsid w:val="00214CA8"/>
    <w:rsid w:val="002152C6"/>
    <w:rsid w:val="00215393"/>
    <w:rsid w:val="0021592A"/>
    <w:rsid w:val="0021596D"/>
    <w:rsid w:val="00215A87"/>
    <w:rsid w:val="00215B4C"/>
    <w:rsid w:val="00215EC3"/>
    <w:rsid w:val="0021609E"/>
    <w:rsid w:val="002163DC"/>
    <w:rsid w:val="00216868"/>
    <w:rsid w:val="002169C2"/>
    <w:rsid w:val="0021724D"/>
    <w:rsid w:val="002172D1"/>
    <w:rsid w:val="002172E7"/>
    <w:rsid w:val="002174BB"/>
    <w:rsid w:val="00217601"/>
    <w:rsid w:val="002178F8"/>
    <w:rsid w:val="0021798C"/>
    <w:rsid w:val="00217A86"/>
    <w:rsid w:val="00217AA8"/>
    <w:rsid w:val="00220036"/>
    <w:rsid w:val="0022003D"/>
    <w:rsid w:val="0022058E"/>
    <w:rsid w:val="00220644"/>
    <w:rsid w:val="002208FF"/>
    <w:rsid w:val="00220F00"/>
    <w:rsid w:val="00221407"/>
    <w:rsid w:val="00221415"/>
    <w:rsid w:val="00221C0B"/>
    <w:rsid w:val="00221E8B"/>
    <w:rsid w:val="00221F12"/>
    <w:rsid w:val="00221FCD"/>
    <w:rsid w:val="0022205E"/>
    <w:rsid w:val="0022206C"/>
    <w:rsid w:val="00222620"/>
    <w:rsid w:val="002226FF"/>
    <w:rsid w:val="002228E1"/>
    <w:rsid w:val="002229A2"/>
    <w:rsid w:val="00223036"/>
    <w:rsid w:val="002233A9"/>
    <w:rsid w:val="00223701"/>
    <w:rsid w:val="00223B90"/>
    <w:rsid w:val="00223C18"/>
    <w:rsid w:val="00223CA9"/>
    <w:rsid w:val="00223ED9"/>
    <w:rsid w:val="00224256"/>
    <w:rsid w:val="00224307"/>
    <w:rsid w:val="00224476"/>
    <w:rsid w:val="00224526"/>
    <w:rsid w:val="00224B51"/>
    <w:rsid w:val="002253EC"/>
    <w:rsid w:val="002257BA"/>
    <w:rsid w:val="00225847"/>
    <w:rsid w:val="00225AE3"/>
    <w:rsid w:val="00225D11"/>
    <w:rsid w:val="00226693"/>
    <w:rsid w:val="0022697E"/>
    <w:rsid w:val="00226FB7"/>
    <w:rsid w:val="00227118"/>
    <w:rsid w:val="0022712A"/>
    <w:rsid w:val="002271E2"/>
    <w:rsid w:val="00227250"/>
    <w:rsid w:val="0022734E"/>
    <w:rsid w:val="0022734F"/>
    <w:rsid w:val="00227466"/>
    <w:rsid w:val="0022776B"/>
    <w:rsid w:val="00227CFA"/>
    <w:rsid w:val="00227D1B"/>
    <w:rsid w:val="00227D3F"/>
    <w:rsid w:val="00230B57"/>
    <w:rsid w:val="002311D1"/>
    <w:rsid w:val="00231480"/>
    <w:rsid w:val="00231932"/>
    <w:rsid w:val="002319D4"/>
    <w:rsid w:val="00231A53"/>
    <w:rsid w:val="00231AA5"/>
    <w:rsid w:val="00231B1A"/>
    <w:rsid w:val="00231F5C"/>
    <w:rsid w:val="00231F66"/>
    <w:rsid w:val="002320B3"/>
    <w:rsid w:val="002321FA"/>
    <w:rsid w:val="00232438"/>
    <w:rsid w:val="002326F2"/>
    <w:rsid w:val="002327DC"/>
    <w:rsid w:val="00232994"/>
    <w:rsid w:val="00232B93"/>
    <w:rsid w:val="00232EC9"/>
    <w:rsid w:val="00233387"/>
    <w:rsid w:val="002335B7"/>
    <w:rsid w:val="00233678"/>
    <w:rsid w:val="002337DD"/>
    <w:rsid w:val="00233C37"/>
    <w:rsid w:val="00233EDF"/>
    <w:rsid w:val="00233FB0"/>
    <w:rsid w:val="0023407D"/>
    <w:rsid w:val="00234146"/>
    <w:rsid w:val="00234B41"/>
    <w:rsid w:val="00234C50"/>
    <w:rsid w:val="00234CEB"/>
    <w:rsid w:val="00234F3B"/>
    <w:rsid w:val="00234F89"/>
    <w:rsid w:val="00235910"/>
    <w:rsid w:val="00235CF8"/>
    <w:rsid w:val="00235EB1"/>
    <w:rsid w:val="00235F98"/>
    <w:rsid w:val="00236134"/>
    <w:rsid w:val="002361DD"/>
    <w:rsid w:val="002366D1"/>
    <w:rsid w:val="00236BB3"/>
    <w:rsid w:val="00236D15"/>
    <w:rsid w:val="0023779F"/>
    <w:rsid w:val="00237891"/>
    <w:rsid w:val="00237A71"/>
    <w:rsid w:val="0024025E"/>
    <w:rsid w:val="00240322"/>
    <w:rsid w:val="0024099D"/>
    <w:rsid w:val="00240B10"/>
    <w:rsid w:val="00240DB7"/>
    <w:rsid w:val="00240FED"/>
    <w:rsid w:val="002418E0"/>
    <w:rsid w:val="00241CCA"/>
    <w:rsid w:val="00242011"/>
    <w:rsid w:val="00242027"/>
    <w:rsid w:val="0024242C"/>
    <w:rsid w:val="002427DE"/>
    <w:rsid w:val="00242A87"/>
    <w:rsid w:val="00242BEC"/>
    <w:rsid w:val="00242C4C"/>
    <w:rsid w:val="002430D2"/>
    <w:rsid w:val="002434DF"/>
    <w:rsid w:val="002435DE"/>
    <w:rsid w:val="0024366F"/>
    <w:rsid w:val="0024383C"/>
    <w:rsid w:val="00243A06"/>
    <w:rsid w:val="00243AC4"/>
    <w:rsid w:val="00243BA9"/>
    <w:rsid w:val="00243C6A"/>
    <w:rsid w:val="00243F08"/>
    <w:rsid w:val="002441AC"/>
    <w:rsid w:val="00244474"/>
    <w:rsid w:val="002444AD"/>
    <w:rsid w:val="002447C7"/>
    <w:rsid w:val="002448FC"/>
    <w:rsid w:val="002451F6"/>
    <w:rsid w:val="00245790"/>
    <w:rsid w:val="002457E0"/>
    <w:rsid w:val="002459B8"/>
    <w:rsid w:val="00245A16"/>
    <w:rsid w:val="00245E2E"/>
    <w:rsid w:val="002466F2"/>
    <w:rsid w:val="00246718"/>
    <w:rsid w:val="00246CC8"/>
    <w:rsid w:val="00246EB3"/>
    <w:rsid w:val="0024741A"/>
    <w:rsid w:val="0024779B"/>
    <w:rsid w:val="002477B6"/>
    <w:rsid w:val="00247867"/>
    <w:rsid w:val="00247BC4"/>
    <w:rsid w:val="00247D2E"/>
    <w:rsid w:val="00247D6F"/>
    <w:rsid w:val="00250029"/>
    <w:rsid w:val="00250196"/>
    <w:rsid w:val="00250341"/>
    <w:rsid w:val="0025035E"/>
    <w:rsid w:val="0025054D"/>
    <w:rsid w:val="0025062B"/>
    <w:rsid w:val="002506B0"/>
    <w:rsid w:val="00250738"/>
    <w:rsid w:val="00251222"/>
    <w:rsid w:val="002512B8"/>
    <w:rsid w:val="0025152D"/>
    <w:rsid w:val="00251CAF"/>
    <w:rsid w:val="0025205F"/>
    <w:rsid w:val="002521A3"/>
    <w:rsid w:val="00252387"/>
    <w:rsid w:val="002523D3"/>
    <w:rsid w:val="0025269B"/>
    <w:rsid w:val="00252792"/>
    <w:rsid w:val="002528C3"/>
    <w:rsid w:val="00252BE4"/>
    <w:rsid w:val="00252C69"/>
    <w:rsid w:val="00252E2C"/>
    <w:rsid w:val="00253346"/>
    <w:rsid w:val="00253541"/>
    <w:rsid w:val="00253B17"/>
    <w:rsid w:val="00253BFC"/>
    <w:rsid w:val="0025407B"/>
    <w:rsid w:val="002542F4"/>
    <w:rsid w:val="00254A48"/>
    <w:rsid w:val="00254A4E"/>
    <w:rsid w:val="00254ABF"/>
    <w:rsid w:val="00254B35"/>
    <w:rsid w:val="00254CD5"/>
    <w:rsid w:val="00255A59"/>
    <w:rsid w:val="00255F28"/>
    <w:rsid w:val="00256346"/>
    <w:rsid w:val="002567F6"/>
    <w:rsid w:val="00256906"/>
    <w:rsid w:val="002569D0"/>
    <w:rsid w:val="00256BA4"/>
    <w:rsid w:val="00256D90"/>
    <w:rsid w:val="00256FBF"/>
    <w:rsid w:val="002570D2"/>
    <w:rsid w:val="0025731F"/>
    <w:rsid w:val="002573B8"/>
    <w:rsid w:val="0025768D"/>
    <w:rsid w:val="00257A9C"/>
    <w:rsid w:val="00257BB0"/>
    <w:rsid w:val="00257E75"/>
    <w:rsid w:val="00260267"/>
    <w:rsid w:val="0026066E"/>
    <w:rsid w:val="002611DB"/>
    <w:rsid w:val="00261378"/>
    <w:rsid w:val="00261717"/>
    <w:rsid w:val="002619F5"/>
    <w:rsid w:val="00261CA0"/>
    <w:rsid w:val="00261CE4"/>
    <w:rsid w:val="00261EB7"/>
    <w:rsid w:val="002621B9"/>
    <w:rsid w:val="00262245"/>
    <w:rsid w:val="00262354"/>
    <w:rsid w:val="002624F7"/>
    <w:rsid w:val="002629C9"/>
    <w:rsid w:val="00262A20"/>
    <w:rsid w:val="00262B51"/>
    <w:rsid w:val="00262DD6"/>
    <w:rsid w:val="00262ED0"/>
    <w:rsid w:val="002630B2"/>
    <w:rsid w:val="00263168"/>
    <w:rsid w:val="002635E7"/>
    <w:rsid w:val="00263779"/>
    <w:rsid w:val="002638D7"/>
    <w:rsid w:val="00263A32"/>
    <w:rsid w:val="00263E48"/>
    <w:rsid w:val="00264008"/>
    <w:rsid w:val="00264165"/>
    <w:rsid w:val="0026449E"/>
    <w:rsid w:val="002644B5"/>
    <w:rsid w:val="002644C2"/>
    <w:rsid w:val="002647B4"/>
    <w:rsid w:val="002648B6"/>
    <w:rsid w:val="00264ACF"/>
    <w:rsid w:val="00264BDB"/>
    <w:rsid w:val="00264E65"/>
    <w:rsid w:val="002651BA"/>
    <w:rsid w:val="00265337"/>
    <w:rsid w:val="00266174"/>
    <w:rsid w:val="00266789"/>
    <w:rsid w:val="002669D4"/>
    <w:rsid w:val="00266C27"/>
    <w:rsid w:val="00266D48"/>
    <w:rsid w:val="00267840"/>
    <w:rsid w:val="002704BE"/>
    <w:rsid w:val="002704C6"/>
    <w:rsid w:val="00270574"/>
    <w:rsid w:val="0027059F"/>
    <w:rsid w:val="002705ED"/>
    <w:rsid w:val="002707C7"/>
    <w:rsid w:val="002708D6"/>
    <w:rsid w:val="00270A16"/>
    <w:rsid w:val="002714B6"/>
    <w:rsid w:val="00271933"/>
    <w:rsid w:val="002728CC"/>
    <w:rsid w:val="00272AE4"/>
    <w:rsid w:val="00272CC5"/>
    <w:rsid w:val="00272D86"/>
    <w:rsid w:val="00272E46"/>
    <w:rsid w:val="00272E51"/>
    <w:rsid w:val="00273033"/>
    <w:rsid w:val="00273736"/>
    <w:rsid w:val="002739C8"/>
    <w:rsid w:val="00273B2C"/>
    <w:rsid w:val="00273BCB"/>
    <w:rsid w:val="00273C22"/>
    <w:rsid w:val="00273CF9"/>
    <w:rsid w:val="00273DE7"/>
    <w:rsid w:val="0027410D"/>
    <w:rsid w:val="0027429B"/>
    <w:rsid w:val="00274404"/>
    <w:rsid w:val="002744FB"/>
    <w:rsid w:val="0027463D"/>
    <w:rsid w:val="002749E1"/>
    <w:rsid w:val="00274C6E"/>
    <w:rsid w:val="0027539F"/>
    <w:rsid w:val="002755CC"/>
    <w:rsid w:val="002755F7"/>
    <w:rsid w:val="002756B6"/>
    <w:rsid w:val="0027584C"/>
    <w:rsid w:val="00275D99"/>
    <w:rsid w:val="00275E1E"/>
    <w:rsid w:val="00275F47"/>
    <w:rsid w:val="0027616D"/>
    <w:rsid w:val="00277093"/>
    <w:rsid w:val="0027726A"/>
    <w:rsid w:val="002772AF"/>
    <w:rsid w:val="00277767"/>
    <w:rsid w:val="0027780D"/>
    <w:rsid w:val="0027792D"/>
    <w:rsid w:val="00277B39"/>
    <w:rsid w:val="00277E2B"/>
    <w:rsid w:val="0028002E"/>
    <w:rsid w:val="00280129"/>
    <w:rsid w:val="002804A4"/>
    <w:rsid w:val="00280610"/>
    <w:rsid w:val="0028071C"/>
    <w:rsid w:val="00280989"/>
    <w:rsid w:val="00280DEE"/>
    <w:rsid w:val="00280DF9"/>
    <w:rsid w:val="00281014"/>
    <w:rsid w:val="00281234"/>
    <w:rsid w:val="0028124B"/>
    <w:rsid w:val="00281561"/>
    <w:rsid w:val="0028178E"/>
    <w:rsid w:val="0028197C"/>
    <w:rsid w:val="002824C2"/>
    <w:rsid w:val="002826C8"/>
    <w:rsid w:val="00282962"/>
    <w:rsid w:val="00282978"/>
    <w:rsid w:val="00282B7F"/>
    <w:rsid w:val="002830A6"/>
    <w:rsid w:val="0028318D"/>
    <w:rsid w:val="002837EB"/>
    <w:rsid w:val="00283E9B"/>
    <w:rsid w:val="00284132"/>
    <w:rsid w:val="00284AD8"/>
    <w:rsid w:val="00284AE1"/>
    <w:rsid w:val="00284B09"/>
    <w:rsid w:val="00284B7A"/>
    <w:rsid w:val="00284BD4"/>
    <w:rsid w:val="00284C2D"/>
    <w:rsid w:val="00284DE6"/>
    <w:rsid w:val="002850E7"/>
    <w:rsid w:val="00285287"/>
    <w:rsid w:val="00285376"/>
    <w:rsid w:val="00285AE3"/>
    <w:rsid w:val="00285C25"/>
    <w:rsid w:val="0028619F"/>
    <w:rsid w:val="002861E2"/>
    <w:rsid w:val="0028626B"/>
    <w:rsid w:val="00286281"/>
    <w:rsid w:val="0028654E"/>
    <w:rsid w:val="0028670A"/>
    <w:rsid w:val="00286AB0"/>
    <w:rsid w:val="00286CA5"/>
    <w:rsid w:val="00286DFB"/>
    <w:rsid w:val="00286EDC"/>
    <w:rsid w:val="00286FB1"/>
    <w:rsid w:val="002870CB"/>
    <w:rsid w:val="0028773B"/>
    <w:rsid w:val="002879B4"/>
    <w:rsid w:val="00287B26"/>
    <w:rsid w:val="00287CFD"/>
    <w:rsid w:val="00290476"/>
    <w:rsid w:val="0029056E"/>
    <w:rsid w:val="00290657"/>
    <w:rsid w:val="00290B8C"/>
    <w:rsid w:val="00290D56"/>
    <w:rsid w:val="00290EA8"/>
    <w:rsid w:val="002910FF"/>
    <w:rsid w:val="002915FA"/>
    <w:rsid w:val="002916CF"/>
    <w:rsid w:val="002916FD"/>
    <w:rsid w:val="00291A07"/>
    <w:rsid w:val="00291DA0"/>
    <w:rsid w:val="00291DA9"/>
    <w:rsid w:val="00291EFA"/>
    <w:rsid w:val="00291F26"/>
    <w:rsid w:val="002920CE"/>
    <w:rsid w:val="00292186"/>
    <w:rsid w:val="002922C8"/>
    <w:rsid w:val="00292731"/>
    <w:rsid w:val="00292797"/>
    <w:rsid w:val="002929BD"/>
    <w:rsid w:val="00292B0A"/>
    <w:rsid w:val="00292B3B"/>
    <w:rsid w:val="00292BAA"/>
    <w:rsid w:val="0029330C"/>
    <w:rsid w:val="00293B95"/>
    <w:rsid w:val="00293DB3"/>
    <w:rsid w:val="00294383"/>
    <w:rsid w:val="00294470"/>
    <w:rsid w:val="00294665"/>
    <w:rsid w:val="002946C1"/>
    <w:rsid w:val="0029472F"/>
    <w:rsid w:val="00294806"/>
    <w:rsid w:val="002949AD"/>
    <w:rsid w:val="00294E26"/>
    <w:rsid w:val="002952D3"/>
    <w:rsid w:val="002954E1"/>
    <w:rsid w:val="0029553D"/>
    <w:rsid w:val="00295A15"/>
    <w:rsid w:val="00295B5E"/>
    <w:rsid w:val="00295BD7"/>
    <w:rsid w:val="00295FB6"/>
    <w:rsid w:val="002962A9"/>
    <w:rsid w:val="00296547"/>
    <w:rsid w:val="00297099"/>
    <w:rsid w:val="002970F2"/>
    <w:rsid w:val="00297141"/>
    <w:rsid w:val="002978FD"/>
    <w:rsid w:val="00297B5B"/>
    <w:rsid w:val="00297D33"/>
    <w:rsid w:val="002A00C5"/>
    <w:rsid w:val="002A0355"/>
    <w:rsid w:val="002A07FD"/>
    <w:rsid w:val="002A0BE1"/>
    <w:rsid w:val="002A0CB8"/>
    <w:rsid w:val="002A11C8"/>
    <w:rsid w:val="002A1723"/>
    <w:rsid w:val="002A1848"/>
    <w:rsid w:val="002A1981"/>
    <w:rsid w:val="002A1A57"/>
    <w:rsid w:val="002A1D5A"/>
    <w:rsid w:val="002A1EB5"/>
    <w:rsid w:val="002A2141"/>
    <w:rsid w:val="002A259F"/>
    <w:rsid w:val="002A2718"/>
    <w:rsid w:val="002A29E2"/>
    <w:rsid w:val="002A2AC6"/>
    <w:rsid w:val="002A2B5B"/>
    <w:rsid w:val="002A30E0"/>
    <w:rsid w:val="002A3273"/>
    <w:rsid w:val="002A376F"/>
    <w:rsid w:val="002A37AB"/>
    <w:rsid w:val="002A380F"/>
    <w:rsid w:val="002A396A"/>
    <w:rsid w:val="002A3C0B"/>
    <w:rsid w:val="002A3FF6"/>
    <w:rsid w:val="002A4199"/>
    <w:rsid w:val="002A41CA"/>
    <w:rsid w:val="002A44AD"/>
    <w:rsid w:val="002A4B89"/>
    <w:rsid w:val="002A4BEF"/>
    <w:rsid w:val="002A4C4F"/>
    <w:rsid w:val="002A4D29"/>
    <w:rsid w:val="002A4E11"/>
    <w:rsid w:val="002A4E83"/>
    <w:rsid w:val="002A5120"/>
    <w:rsid w:val="002A5160"/>
    <w:rsid w:val="002A5314"/>
    <w:rsid w:val="002A547A"/>
    <w:rsid w:val="002A5AEA"/>
    <w:rsid w:val="002A5D60"/>
    <w:rsid w:val="002A5EC5"/>
    <w:rsid w:val="002A6077"/>
    <w:rsid w:val="002A65EF"/>
    <w:rsid w:val="002A696A"/>
    <w:rsid w:val="002A6A98"/>
    <w:rsid w:val="002A6C55"/>
    <w:rsid w:val="002A71C6"/>
    <w:rsid w:val="002A7540"/>
    <w:rsid w:val="002A7A86"/>
    <w:rsid w:val="002B00D0"/>
    <w:rsid w:val="002B0204"/>
    <w:rsid w:val="002B06B7"/>
    <w:rsid w:val="002B148D"/>
    <w:rsid w:val="002B1611"/>
    <w:rsid w:val="002B170A"/>
    <w:rsid w:val="002B18FB"/>
    <w:rsid w:val="002B1A92"/>
    <w:rsid w:val="002B1AC3"/>
    <w:rsid w:val="002B1FDB"/>
    <w:rsid w:val="002B1FE7"/>
    <w:rsid w:val="002B208F"/>
    <w:rsid w:val="002B22CC"/>
    <w:rsid w:val="002B2AD0"/>
    <w:rsid w:val="002B2D4E"/>
    <w:rsid w:val="002B2F3B"/>
    <w:rsid w:val="002B3060"/>
    <w:rsid w:val="002B31AC"/>
    <w:rsid w:val="002B3522"/>
    <w:rsid w:val="002B3660"/>
    <w:rsid w:val="002B378E"/>
    <w:rsid w:val="002B3CE2"/>
    <w:rsid w:val="002B3D9D"/>
    <w:rsid w:val="002B3FB5"/>
    <w:rsid w:val="002B40C8"/>
    <w:rsid w:val="002B4176"/>
    <w:rsid w:val="002B4399"/>
    <w:rsid w:val="002B450E"/>
    <w:rsid w:val="002B46B4"/>
    <w:rsid w:val="002B472A"/>
    <w:rsid w:val="002B4D08"/>
    <w:rsid w:val="002B4FC8"/>
    <w:rsid w:val="002B5041"/>
    <w:rsid w:val="002B51CF"/>
    <w:rsid w:val="002B542C"/>
    <w:rsid w:val="002B5895"/>
    <w:rsid w:val="002B58C7"/>
    <w:rsid w:val="002B5CBB"/>
    <w:rsid w:val="002B604B"/>
    <w:rsid w:val="002B61FE"/>
    <w:rsid w:val="002B6490"/>
    <w:rsid w:val="002B69A9"/>
    <w:rsid w:val="002B7402"/>
    <w:rsid w:val="002B779D"/>
    <w:rsid w:val="002B7848"/>
    <w:rsid w:val="002B7BBD"/>
    <w:rsid w:val="002C002D"/>
    <w:rsid w:val="002C0329"/>
    <w:rsid w:val="002C03C4"/>
    <w:rsid w:val="002C0544"/>
    <w:rsid w:val="002C071A"/>
    <w:rsid w:val="002C07BF"/>
    <w:rsid w:val="002C11C3"/>
    <w:rsid w:val="002C20E2"/>
    <w:rsid w:val="002C21F2"/>
    <w:rsid w:val="002C24DD"/>
    <w:rsid w:val="002C24DE"/>
    <w:rsid w:val="002C28D8"/>
    <w:rsid w:val="002C2A15"/>
    <w:rsid w:val="002C2A4F"/>
    <w:rsid w:val="002C2D2D"/>
    <w:rsid w:val="002C2EE8"/>
    <w:rsid w:val="002C2FC4"/>
    <w:rsid w:val="002C32E6"/>
    <w:rsid w:val="002C3304"/>
    <w:rsid w:val="002C34DA"/>
    <w:rsid w:val="002C3B6C"/>
    <w:rsid w:val="002C4172"/>
    <w:rsid w:val="002C4238"/>
    <w:rsid w:val="002C46EA"/>
    <w:rsid w:val="002C4858"/>
    <w:rsid w:val="002C4939"/>
    <w:rsid w:val="002C497F"/>
    <w:rsid w:val="002C4D6F"/>
    <w:rsid w:val="002C4DC7"/>
    <w:rsid w:val="002C500A"/>
    <w:rsid w:val="002C545C"/>
    <w:rsid w:val="002C56C7"/>
    <w:rsid w:val="002C5727"/>
    <w:rsid w:val="002C630D"/>
    <w:rsid w:val="002C63EA"/>
    <w:rsid w:val="002C644D"/>
    <w:rsid w:val="002C690E"/>
    <w:rsid w:val="002C69CD"/>
    <w:rsid w:val="002C70F7"/>
    <w:rsid w:val="002C71CA"/>
    <w:rsid w:val="002C7268"/>
    <w:rsid w:val="002C77A4"/>
    <w:rsid w:val="002C77D0"/>
    <w:rsid w:val="002C7BF2"/>
    <w:rsid w:val="002C7E34"/>
    <w:rsid w:val="002C7EE3"/>
    <w:rsid w:val="002D00E8"/>
    <w:rsid w:val="002D0285"/>
    <w:rsid w:val="002D0325"/>
    <w:rsid w:val="002D044F"/>
    <w:rsid w:val="002D091A"/>
    <w:rsid w:val="002D0CF7"/>
    <w:rsid w:val="002D106E"/>
    <w:rsid w:val="002D110C"/>
    <w:rsid w:val="002D11FF"/>
    <w:rsid w:val="002D15DE"/>
    <w:rsid w:val="002D1DEB"/>
    <w:rsid w:val="002D1EE6"/>
    <w:rsid w:val="002D208E"/>
    <w:rsid w:val="002D22CF"/>
    <w:rsid w:val="002D26D4"/>
    <w:rsid w:val="002D28AC"/>
    <w:rsid w:val="002D307D"/>
    <w:rsid w:val="002D3136"/>
    <w:rsid w:val="002D360F"/>
    <w:rsid w:val="002D3D55"/>
    <w:rsid w:val="002D3E44"/>
    <w:rsid w:val="002D40F5"/>
    <w:rsid w:val="002D4140"/>
    <w:rsid w:val="002D4500"/>
    <w:rsid w:val="002D45C4"/>
    <w:rsid w:val="002D47FB"/>
    <w:rsid w:val="002D4821"/>
    <w:rsid w:val="002D490A"/>
    <w:rsid w:val="002D4DD0"/>
    <w:rsid w:val="002D4ED6"/>
    <w:rsid w:val="002D4FD4"/>
    <w:rsid w:val="002D516E"/>
    <w:rsid w:val="002D53F6"/>
    <w:rsid w:val="002D56A1"/>
    <w:rsid w:val="002D5737"/>
    <w:rsid w:val="002D5CE5"/>
    <w:rsid w:val="002D6038"/>
    <w:rsid w:val="002D60A1"/>
    <w:rsid w:val="002D646F"/>
    <w:rsid w:val="002D65DC"/>
    <w:rsid w:val="002D675D"/>
    <w:rsid w:val="002D69EC"/>
    <w:rsid w:val="002D6E4A"/>
    <w:rsid w:val="002D6F6D"/>
    <w:rsid w:val="002D71A8"/>
    <w:rsid w:val="002D7271"/>
    <w:rsid w:val="002D75D1"/>
    <w:rsid w:val="002D78D3"/>
    <w:rsid w:val="002D78DC"/>
    <w:rsid w:val="002D7AD9"/>
    <w:rsid w:val="002D7C1F"/>
    <w:rsid w:val="002D7CAC"/>
    <w:rsid w:val="002D7D62"/>
    <w:rsid w:val="002E0470"/>
    <w:rsid w:val="002E08A0"/>
    <w:rsid w:val="002E09A1"/>
    <w:rsid w:val="002E0C6C"/>
    <w:rsid w:val="002E0C9B"/>
    <w:rsid w:val="002E1536"/>
    <w:rsid w:val="002E15E4"/>
    <w:rsid w:val="002E1C32"/>
    <w:rsid w:val="002E1F3F"/>
    <w:rsid w:val="002E26C4"/>
    <w:rsid w:val="002E2883"/>
    <w:rsid w:val="002E2CBA"/>
    <w:rsid w:val="002E2E62"/>
    <w:rsid w:val="002E2EC3"/>
    <w:rsid w:val="002E3590"/>
    <w:rsid w:val="002E3C01"/>
    <w:rsid w:val="002E400F"/>
    <w:rsid w:val="002E418C"/>
    <w:rsid w:val="002E41CD"/>
    <w:rsid w:val="002E43F1"/>
    <w:rsid w:val="002E468A"/>
    <w:rsid w:val="002E4A5B"/>
    <w:rsid w:val="002E52DE"/>
    <w:rsid w:val="002E55A8"/>
    <w:rsid w:val="002E5935"/>
    <w:rsid w:val="002E5D24"/>
    <w:rsid w:val="002E5D68"/>
    <w:rsid w:val="002E619E"/>
    <w:rsid w:val="002E623A"/>
    <w:rsid w:val="002E6727"/>
    <w:rsid w:val="002E676E"/>
    <w:rsid w:val="002E67CC"/>
    <w:rsid w:val="002E6A9D"/>
    <w:rsid w:val="002E750D"/>
    <w:rsid w:val="002E771B"/>
    <w:rsid w:val="002E7786"/>
    <w:rsid w:val="002E7A38"/>
    <w:rsid w:val="002E7A6E"/>
    <w:rsid w:val="002E7AE3"/>
    <w:rsid w:val="002E7EBC"/>
    <w:rsid w:val="002F06C7"/>
    <w:rsid w:val="002F0A71"/>
    <w:rsid w:val="002F0B46"/>
    <w:rsid w:val="002F0F98"/>
    <w:rsid w:val="002F102F"/>
    <w:rsid w:val="002F15CE"/>
    <w:rsid w:val="002F1739"/>
    <w:rsid w:val="002F1882"/>
    <w:rsid w:val="002F1CCF"/>
    <w:rsid w:val="002F1E1F"/>
    <w:rsid w:val="002F2190"/>
    <w:rsid w:val="002F2247"/>
    <w:rsid w:val="002F2338"/>
    <w:rsid w:val="002F24C8"/>
    <w:rsid w:val="002F255B"/>
    <w:rsid w:val="002F2865"/>
    <w:rsid w:val="002F2973"/>
    <w:rsid w:val="002F31E3"/>
    <w:rsid w:val="002F356A"/>
    <w:rsid w:val="002F3928"/>
    <w:rsid w:val="002F3F29"/>
    <w:rsid w:val="002F3F50"/>
    <w:rsid w:val="002F40B4"/>
    <w:rsid w:val="002F471A"/>
    <w:rsid w:val="002F498B"/>
    <w:rsid w:val="002F4CA7"/>
    <w:rsid w:val="002F50AA"/>
    <w:rsid w:val="002F51A5"/>
    <w:rsid w:val="002F5575"/>
    <w:rsid w:val="002F55CC"/>
    <w:rsid w:val="002F567F"/>
    <w:rsid w:val="002F5774"/>
    <w:rsid w:val="002F579A"/>
    <w:rsid w:val="002F57E3"/>
    <w:rsid w:val="002F5AE7"/>
    <w:rsid w:val="002F5F38"/>
    <w:rsid w:val="002F6B87"/>
    <w:rsid w:val="002F6DD8"/>
    <w:rsid w:val="002F7456"/>
    <w:rsid w:val="002F747E"/>
    <w:rsid w:val="002F753B"/>
    <w:rsid w:val="002F7752"/>
    <w:rsid w:val="002F77C9"/>
    <w:rsid w:val="002F77F1"/>
    <w:rsid w:val="002F79BC"/>
    <w:rsid w:val="002F79DA"/>
    <w:rsid w:val="002F7D10"/>
    <w:rsid w:val="002F7F78"/>
    <w:rsid w:val="002F7F7D"/>
    <w:rsid w:val="00300059"/>
    <w:rsid w:val="00300549"/>
    <w:rsid w:val="0030056C"/>
    <w:rsid w:val="003005E5"/>
    <w:rsid w:val="003006EA"/>
    <w:rsid w:val="00300BE6"/>
    <w:rsid w:val="00300BF7"/>
    <w:rsid w:val="00300C3E"/>
    <w:rsid w:val="00300F5B"/>
    <w:rsid w:val="00301242"/>
    <w:rsid w:val="003012F8"/>
    <w:rsid w:val="003019FA"/>
    <w:rsid w:val="0030318F"/>
    <w:rsid w:val="003032FA"/>
    <w:rsid w:val="0030354A"/>
    <w:rsid w:val="0030380D"/>
    <w:rsid w:val="00303998"/>
    <w:rsid w:val="00303A12"/>
    <w:rsid w:val="003041CD"/>
    <w:rsid w:val="003042CC"/>
    <w:rsid w:val="003044F6"/>
    <w:rsid w:val="0030472F"/>
    <w:rsid w:val="00304A38"/>
    <w:rsid w:val="00304BC1"/>
    <w:rsid w:val="00304E92"/>
    <w:rsid w:val="00304F1C"/>
    <w:rsid w:val="0030506C"/>
    <w:rsid w:val="003055DC"/>
    <w:rsid w:val="00305D0E"/>
    <w:rsid w:val="00305F51"/>
    <w:rsid w:val="0030611F"/>
    <w:rsid w:val="003061ED"/>
    <w:rsid w:val="003064CA"/>
    <w:rsid w:val="00306740"/>
    <w:rsid w:val="00306DB5"/>
    <w:rsid w:val="00306EA3"/>
    <w:rsid w:val="00307AD2"/>
    <w:rsid w:val="00307BE1"/>
    <w:rsid w:val="00307C64"/>
    <w:rsid w:val="00307CAB"/>
    <w:rsid w:val="00307D57"/>
    <w:rsid w:val="00307E24"/>
    <w:rsid w:val="00307FCB"/>
    <w:rsid w:val="003100CB"/>
    <w:rsid w:val="00310223"/>
    <w:rsid w:val="00310537"/>
    <w:rsid w:val="003106F7"/>
    <w:rsid w:val="00310769"/>
    <w:rsid w:val="00310B9C"/>
    <w:rsid w:val="00310F4D"/>
    <w:rsid w:val="00311359"/>
    <w:rsid w:val="00311B24"/>
    <w:rsid w:val="00311C30"/>
    <w:rsid w:val="00311D1A"/>
    <w:rsid w:val="00311E68"/>
    <w:rsid w:val="00312062"/>
    <w:rsid w:val="003122AE"/>
    <w:rsid w:val="0031238E"/>
    <w:rsid w:val="00312612"/>
    <w:rsid w:val="00312849"/>
    <w:rsid w:val="0031318A"/>
    <w:rsid w:val="003136B8"/>
    <w:rsid w:val="00313CC0"/>
    <w:rsid w:val="0031410F"/>
    <w:rsid w:val="00314209"/>
    <w:rsid w:val="00314503"/>
    <w:rsid w:val="00314506"/>
    <w:rsid w:val="003145F2"/>
    <w:rsid w:val="0031472A"/>
    <w:rsid w:val="0031496C"/>
    <w:rsid w:val="00314AE2"/>
    <w:rsid w:val="00314C2D"/>
    <w:rsid w:val="00315348"/>
    <w:rsid w:val="003155A6"/>
    <w:rsid w:val="0031563F"/>
    <w:rsid w:val="003157B7"/>
    <w:rsid w:val="00315B0A"/>
    <w:rsid w:val="00315D3B"/>
    <w:rsid w:val="00315DD4"/>
    <w:rsid w:val="00316154"/>
    <w:rsid w:val="003161A9"/>
    <w:rsid w:val="003163DA"/>
    <w:rsid w:val="00316406"/>
    <w:rsid w:val="0031670D"/>
    <w:rsid w:val="00316716"/>
    <w:rsid w:val="00316A44"/>
    <w:rsid w:val="00316B57"/>
    <w:rsid w:val="00316EA3"/>
    <w:rsid w:val="00317566"/>
    <w:rsid w:val="00317C1E"/>
    <w:rsid w:val="00317DAA"/>
    <w:rsid w:val="00317DD8"/>
    <w:rsid w:val="00317E55"/>
    <w:rsid w:val="00320211"/>
    <w:rsid w:val="003207CE"/>
    <w:rsid w:val="003207EA"/>
    <w:rsid w:val="00320ACA"/>
    <w:rsid w:val="0032103E"/>
    <w:rsid w:val="003212C9"/>
    <w:rsid w:val="00321497"/>
    <w:rsid w:val="0032188D"/>
    <w:rsid w:val="00321D22"/>
    <w:rsid w:val="00321DEF"/>
    <w:rsid w:val="0032204B"/>
    <w:rsid w:val="003222FF"/>
    <w:rsid w:val="003226E0"/>
    <w:rsid w:val="00322793"/>
    <w:rsid w:val="00322D93"/>
    <w:rsid w:val="00322EC5"/>
    <w:rsid w:val="00323277"/>
    <w:rsid w:val="00323377"/>
    <w:rsid w:val="0032339A"/>
    <w:rsid w:val="003233AA"/>
    <w:rsid w:val="0032368B"/>
    <w:rsid w:val="00323719"/>
    <w:rsid w:val="00323C0B"/>
    <w:rsid w:val="003240A6"/>
    <w:rsid w:val="003241F9"/>
    <w:rsid w:val="0032450E"/>
    <w:rsid w:val="0032464A"/>
    <w:rsid w:val="003248C4"/>
    <w:rsid w:val="00324CBC"/>
    <w:rsid w:val="00324F64"/>
    <w:rsid w:val="003253B2"/>
    <w:rsid w:val="003254DB"/>
    <w:rsid w:val="003255DC"/>
    <w:rsid w:val="00325B66"/>
    <w:rsid w:val="00325EF6"/>
    <w:rsid w:val="00326025"/>
    <w:rsid w:val="00326164"/>
    <w:rsid w:val="00326398"/>
    <w:rsid w:val="003263E5"/>
    <w:rsid w:val="003265BB"/>
    <w:rsid w:val="003266AD"/>
    <w:rsid w:val="003269FD"/>
    <w:rsid w:val="00326B78"/>
    <w:rsid w:val="00326BE3"/>
    <w:rsid w:val="00326D43"/>
    <w:rsid w:val="00326DD7"/>
    <w:rsid w:val="00326F0C"/>
    <w:rsid w:val="00327381"/>
    <w:rsid w:val="003274FC"/>
    <w:rsid w:val="0032761B"/>
    <w:rsid w:val="0032765A"/>
    <w:rsid w:val="00327949"/>
    <w:rsid w:val="00327B26"/>
    <w:rsid w:val="0033011D"/>
    <w:rsid w:val="003308BB"/>
    <w:rsid w:val="0033094C"/>
    <w:rsid w:val="00330D62"/>
    <w:rsid w:val="00330E68"/>
    <w:rsid w:val="0033112A"/>
    <w:rsid w:val="003318E3"/>
    <w:rsid w:val="00331BE1"/>
    <w:rsid w:val="00332260"/>
    <w:rsid w:val="003329FC"/>
    <w:rsid w:val="00332B94"/>
    <w:rsid w:val="003332B6"/>
    <w:rsid w:val="003333ED"/>
    <w:rsid w:val="003334F4"/>
    <w:rsid w:val="00333547"/>
    <w:rsid w:val="003335AB"/>
    <w:rsid w:val="0033394D"/>
    <w:rsid w:val="003339BF"/>
    <w:rsid w:val="00333F08"/>
    <w:rsid w:val="0033415C"/>
    <w:rsid w:val="00334214"/>
    <w:rsid w:val="003343A3"/>
    <w:rsid w:val="0033458C"/>
    <w:rsid w:val="003345ED"/>
    <w:rsid w:val="00334612"/>
    <w:rsid w:val="00334AEF"/>
    <w:rsid w:val="00334CA3"/>
    <w:rsid w:val="00334CC6"/>
    <w:rsid w:val="00334D94"/>
    <w:rsid w:val="00334E9C"/>
    <w:rsid w:val="00335019"/>
    <w:rsid w:val="00335A12"/>
    <w:rsid w:val="00335EB0"/>
    <w:rsid w:val="0033614E"/>
    <w:rsid w:val="00336264"/>
    <w:rsid w:val="00336288"/>
    <w:rsid w:val="0033668F"/>
    <w:rsid w:val="003366C2"/>
    <w:rsid w:val="003368F8"/>
    <w:rsid w:val="00336C93"/>
    <w:rsid w:val="00337504"/>
    <w:rsid w:val="0033753A"/>
    <w:rsid w:val="00337589"/>
    <w:rsid w:val="003376A8"/>
    <w:rsid w:val="0033781E"/>
    <w:rsid w:val="003378AB"/>
    <w:rsid w:val="003379D0"/>
    <w:rsid w:val="003379FB"/>
    <w:rsid w:val="00337D3E"/>
    <w:rsid w:val="00340093"/>
    <w:rsid w:val="00340770"/>
    <w:rsid w:val="003409E4"/>
    <w:rsid w:val="00340B13"/>
    <w:rsid w:val="00340C73"/>
    <w:rsid w:val="00341468"/>
    <w:rsid w:val="003414A9"/>
    <w:rsid w:val="003417A7"/>
    <w:rsid w:val="00341991"/>
    <w:rsid w:val="003419C0"/>
    <w:rsid w:val="00342294"/>
    <w:rsid w:val="003422DC"/>
    <w:rsid w:val="00342532"/>
    <w:rsid w:val="0034292B"/>
    <w:rsid w:val="00342DC2"/>
    <w:rsid w:val="00342E3B"/>
    <w:rsid w:val="00342FE7"/>
    <w:rsid w:val="00343083"/>
    <w:rsid w:val="00343193"/>
    <w:rsid w:val="00343758"/>
    <w:rsid w:val="00343B09"/>
    <w:rsid w:val="00343C73"/>
    <w:rsid w:val="00343D1C"/>
    <w:rsid w:val="0034486A"/>
    <w:rsid w:val="00344992"/>
    <w:rsid w:val="00344A51"/>
    <w:rsid w:val="00344CDC"/>
    <w:rsid w:val="00344DEA"/>
    <w:rsid w:val="0034521F"/>
    <w:rsid w:val="003452C4"/>
    <w:rsid w:val="003452D0"/>
    <w:rsid w:val="00345481"/>
    <w:rsid w:val="00345590"/>
    <w:rsid w:val="00345658"/>
    <w:rsid w:val="00345A30"/>
    <w:rsid w:val="00345B23"/>
    <w:rsid w:val="00345B9B"/>
    <w:rsid w:val="00346020"/>
    <w:rsid w:val="003461E5"/>
    <w:rsid w:val="00346438"/>
    <w:rsid w:val="00346484"/>
    <w:rsid w:val="0034665B"/>
    <w:rsid w:val="003467E0"/>
    <w:rsid w:val="00346C15"/>
    <w:rsid w:val="00346DF7"/>
    <w:rsid w:val="00347230"/>
    <w:rsid w:val="00347373"/>
    <w:rsid w:val="003476AE"/>
    <w:rsid w:val="0034777C"/>
    <w:rsid w:val="00347896"/>
    <w:rsid w:val="00347B24"/>
    <w:rsid w:val="00347E0E"/>
    <w:rsid w:val="00347FD8"/>
    <w:rsid w:val="00350041"/>
    <w:rsid w:val="00350182"/>
    <w:rsid w:val="00350402"/>
    <w:rsid w:val="00350710"/>
    <w:rsid w:val="003507BB"/>
    <w:rsid w:val="003509D6"/>
    <w:rsid w:val="00350B8B"/>
    <w:rsid w:val="00350CE6"/>
    <w:rsid w:val="00351134"/>
    <w:rsid w:val="00351487"/>
    <w:rsid w:val="00351965"/>
    <w:rsid w:val="00351BAC"/>
    <w:rsid w:val="00352035"/>
    <w:rsid w:val="003523AC"/>
    <w:rsid w:val="0035312B"/>
    <w:rsid w:val="00353640"/>
    <w:rsid w:val="0035364D"/>
    <w:rsid w:val="00353704"/>
    <w:rsid w:val="00353878"/>
    <w:rsid w:val="00353957"/>
    <w:rsid w:val="0035426E"/>
    <w:rsid w:val="00354776"/>
    <w:rsid w:val="00354DC2"/>
    <w:rsid w:val="003551DE"/>
    <w:rsid w:val="003556AF"/>
    <w:rsid w:val="003557C8"/>
    <w:rsid w:val="00355E04"/>
    <w:rsid w:val="00356222"/>
    <w:rsid w:val="00356228"/>
    <w:rsid w:val="003564B1"/>
    <w:rsid w:val="00356665"/>
    <w:rsid w:val="003566B5"/>
    <w:rsid w:val="00356788"/>
    <w:rsid w:val="00356AF6"/>
    <w:rsid w:val="00356D23"/>
    <w:rsid w:val="00356F6D"/>
    <w:rsid w:val="00356F7E"/>
    <w:rsid w:val="00357244"/>
    <w:rsid w:val="00357387"/>
    <w:rsid w:val="00357A09"/>
    <w:rsid w:val="00360050"/>
    <w:rsid w:val="00360301"/>
    <w:rsid w:val="00360551"/>
    <w:rsid w:val="00360674"/>
    <w:rsid w:val="00360761"/>
    <w:rsid w:val="003608B9"/>
    <w:rsid w:val="00360CA4"/>
    <w:rsid w:val="00360EB9"/>
    <w:rsid w:val="00360F2E"/>
    <w:rsid w:val="00361083"/>
    <w:rsid w:val="0036120F"/>
    <w:rsid w:val="00361660"/>
    <w:rsid w:val="00361883"/>
    <w:rsid w:val="00361D26"/>
    <w:rsid w:val="00361E4A"/>
    <w:rsid w:val="00361F37"/>
    <w:rsid w:val="00362981"/>
    <w:rsid w:val="00362FF5"/>
    <w:rsid w:val="003631AA"/>
    <w:rsid w:val="00363690"/>
    <w:rsid w:val="003639FC"/>
    <w:rsid w:val="00363A2A"/>
    <w:rsid w:val="00363BEB"/>
    <w:rsid w:val="0036421F"/>
    <w:rsid w:val="00364302"/>
    <w:rsid w:val="00364362"/>
    <w:rsid w:val="00364A5B"/>
    <w:rsid w:val="00364C3E"/>
    <w:rsid w:val="00365116"/>
    <w:rsid w:val="003651BA"/>
    <w:rsid w:val="00365375"/>
    <w:rsid w:val="0036546F"/>
    <w:rsid w:val="00365608"/>
    <w:rsid w:val="00365812"/>
    <w:rsid w:val="00365885"/>
    <w:rsid w:val="003659D5"/>
    <w:rsid w:val="00365FAF"/>
    <w:rsid w:val="003660E8"/>
    <w:rsid w:val="0036628F"/>
    <w:rsid w:val="003663F2"/>
    <w:rsid w:val="003667A9"/>
    <w:rsid w:val="00366B33"/>
    <w:rsid w:val="00366E75"/>
    <w:rsid w:val="0036768D"/>
    <w:rsid w:val="003678B4"/>
    <w:rsid w:val="00367ABE"/>
    <w:rsid w:val="00367B82"/>
    <w:rsid w:val="003708A3"/>
    <w:rsid w:val="00370F33"/>
    <w:rsid w:val="00371011"/>
    <w:rsid w:val="00371286"/>
    <w:rsid w:val="00371E1D"/>
    <w:rsid w:val="0037252E"/>
    <w:rsid w:val="00372690"/>
    <w:rsid w:val="003727F6"/>
    <w:rsid w:val="00372DF1"/>
    <w:rsid w:val="00372DF9"/>
    <w:rsid w:val="00372FC3"/>
    <w:rsid w:val="00373024"/>
    <w:rsid w:val="00373350"/>
    <w:rsid w:val="00373463"/>
    <w:rsid w:val="00373526"/>
    <w:rsid w:val="003738BF"/>
    <w:rsid w:val="00373B3B"/>
    <w:rsid w:val="00373BCC"/>
    <w:rsid w:val="00373C43"/>
    <w:rsid w:val="00373C54"/>
    <w:rsid w:val="00373D24"/>
    <w:rsid w:val="0037401B"/>
    <w:rsid w:val="003740F3"/>
    <w:rsid w:val="0037415D"/>
    <w:rsid w:val="0037463F"/>
    <w:rsid w:val="003746A6"/>
    <w:rsid w:val="003746E5"/>
    <w:rsid w:val="003747B7"/>
    <w:rsid w:val="003747C5"/>
    <w:rsid w:val="00374973"/>
    <w:rsid w:val="00374D5F"/>
    <w:rsid w:val="003757CD"/>
    <w:rsid w:val="00375887"/>
    <w:rsid w:val="00375C96"/>
    <w:rsid w:val="003763A5"/>
    <w:rsid w:val="003765AE"/>
    <w:rsid w:val="003766EA"/>
    <w:rsid w:val="003768CF"/>
    <w:rsid w:val="00376998"/>
    <w:rsid w:val="003771AC"/>
    <w:rsid w:val="003779F2"/>
    <w:rsid w:val="00377AE4"/>
    <w:rsid w:val="00377D52"/>
    <w:rsid w:val="00377F3B"/>
    <w:rsid w:val="00377FD6"/>
    <w:rsid w:val="00380268"/>
    <w:rsid w:val="0038065D"/>
    <w:rsid w:val="0038067B"/>
    <w:rsid w:val="00380AB4"/>
    <w:rsid w:val="00380ADF"/>
    <w:rsid w:val="00380B3B"/>
    <w:rsid w:val="00380D9D"/>
    <w:rsid w:val="003816E8"/>
    <w:rsid w:val="00381AD3"/>
    <w:rsid w:val="00381CB8"/>
    <w:rsid w:val="00381F83"/>
    <w:rsid w:val="00382913"/>
    <w:rsid w:val="00382986"/>
    <w:rsid w:val="0038336B"/>
    <w:rsid w:val="003833B0"/>
    <w:rsid w:val="003834B5"/>
    <w:rsid w:val="003834DA"/>
    <w:rsid w:val="0038351C"/>
    <w:rsid w:val="003837D7"/>
    <w:rsid w:val="00383926"/>
    <w:rsid w:val="003839F9"/>
    <w:rsid w:val="00383D84"/>
    <w:rsid w:val="00383DB4"/>
    <w:rsid w:val="00383FB7"/>
    <w:rsid w:val="00384309"/>
    <w:rsid w:val="00384405"/>
    <w:rsid w:val="0038449B"/>
    <w:rsid w:val="0038482C"/>
    <w:rsid w:val="00384B43"/>
    <w:rsid w:val="00384BE4"/>
    <w:rsid w:val="00384D1F"/>
    <w:rsid w:val="00385706"/>
    <w:rsid w:val="00385902"/>
    <w:rsid w:val="0038652E"/>
    <w:rsid w:val="00386532"/>
    <w:rsid w:val="0038657B"/>
    <w:rsid w:val="003869C0"/>
    <w:rsid w:val="0038711F"/>
    <w:rsid w:val="00387163"/>
    <w:rsid w:val="003871C5"/>
    <w:rsid w:val="00387290"/>
    <w:rsid w:val="0038733E"/>
    <w:rsid w:val="00387406"/>
    <w:rsid w:val="00387504"/>
    <w:rsid w:val="00387B1F"/>
    <w:rsid w:val="0039020E"/>
    <w:rsid w:val="003903C0"/>
    <w:rsid w:val="003905AB"/>
    <w:rsid w:val="00390D41"/>
    <w:rsid w:val="00391032"/>
    <w:rsid w:val="003910FC"/>
    <w:rsid w:val="00391334"/>
    <w:rsid w:val="00391614"/>
    <w:rsid w:val="00391639"/>
    <w:rsid w:val="00391A40"/>
    <w:rsid w:val="00391AED"/>
    <w:rsid w:val="00391BA4"/>
    <w:rsid w:val="0039227C"/>
    <w:rsid w:val="00392CC3"/>
    <w:rsid w:val="003933ED"/>
    <w:rsid w:val="00393405"/>
    <w:rsid w:val="003935A5"/>
    <w:rsid w:val="00393609"/>
    <w:rsid w:val="00393729"/>
    <w:rsid w:val="0039384F"/>
    <w:rsid w:val="00393873"/>
    <w:rsid w:val="00393B66"/>
    <w:rsid w:val="00393E74"/>
    <w:rsid w:val="00394191"/>
    <w:rsid w:val="00394539"/>
    <w:rsid w:val="00394CE1"/>
    <w:rsid w:val="00394F05"/>
    <w:rsid w:val="00395092"/>
    <w:rsid w:val="003950D2"/>
    <w:rsid w:val="003952EE"/>
    <w:rsid w:val="00395606"/>
    <w:rsid w:val="00395635"/>
    <w:rsid w:val="003956A1"/>
    <w:rsid w:val="0039575A"/>
    <w:rsid w:val="00395AB2"/>
    <w:rsid w:val="00395B29"/>
    <w:rsid w:val="00396AEF"/>
    <w:rsid w:val="0039707B"/>
    <w:rsid w:val="00397280"/>
    <w:rsid w:val="0039757F"/>
    <w:rsid w:val="00397CFB"/>
    <w:rsid w:val="00397CFE"/>
    <w:rsid w:val="00397F05"/>
    <w:rsid w:val="003A0168"/>
    <w:rsid w:val="003A0192"/>
    <w:rsid w:val="003A0206"/>
    <w:rsid w:val="003A0517"/>
    <w:rsid w:val="003A107B"/>
    <w:rsid w:val="003A136A"/>
    <w:rsid w:val="003A1AA8"/>
    <w:rsid w:val="003A1E49"/>
    <w:rsid w:val="003A24B1"/>
    <w:rsid w:val="003A27D9"/>
    <w:rsid w:val="003A2C2F"/>
    <w:rsid w:val="003A2C78"/>
    <w:rsid w:val="003A2DAE"/>
    <w:rsid w:val="003A2DC7"/>
    <w:rsid w:val="003A308B"/>
    <w:rsid w:val="003A341E"/>
    <w:rsid w:val="003A34BC"/>
    <w:rsid w:val="003A34EE"/>
    <w:rsid w:val="003A3714"/>
    <w:rsid w:val="003A39A7"/>
    <w:rsid w:val="003A4512"/>
    <w:rsid w:val="003A48D5"/>
    <w:rsid w:val="003A4C3E"/>
    <w:rsid w:val="003A4EF2"/>
    <w:rsid w:val="003A50CF"/>
    <w:rsid w:val="003A5357"/>
    <w:rsid w:val="003A5406"/>
    <w:rsid w:val="003A5D56"/>
    <w:rsid w:val="003A5E7F"/>
    <w:rsid w:val="003A5FFA"/>
    <w:rsid w:val="003A626E"/>
    <w:rsid w:val="003A6356"/>
    <w:rsid w:val="003A651D"/>
    <w:rsid w:val="003A68CB"/>
    <w:rsid w:val="003A68E5"/>
    <w:rsid w:val="003A6FCA"/>
    <w:rsid w:val="003A790D"/>
    <w:rsid w:val="003B0031"/>
    <w:rsid w:val="003B028D"/>
    <w:rsid w:val="003B0A7C"/>
    <w:rsid w:val="003B0DDB"/>
    <w:rsid w:val="003B0FC8"/>
    <w:rsid w:val="003B1122"/>
    <w:rsid w:val="003B1904"/>
    <w:rsid w:val="003B1D6B"/>
    <w:rsid w:val="003B1E08"/>
    <w:rsid w:val="003B2131"/>
    <w:rsid w:val="003B2219"/>
    <w:rsid w:val="003B2461"/>
    <w:rsid w:val="003B269B"/>
    <w:rsid w:val="003B2855"/>
    <w:rsid w:val="003B2CC2"/>
    <w:rsid w:val="003B2E71"/>
    <w:rsid w:val="003B302D"/>
    <w:rsid w:val="003B31B7"/>
    <w:rsid w:val="003B33E9"/>
    <w:rsid w:val="003B3554"/>
    <w:rsid w:val="003B370F"/>
    <w:rsid w:val="003B3781"/>
    <w:rsid w:val="003B38E3"/>
    <w:rsid w:val="003B3AF7"/>
    <w:rsid w:val="003B3BF9"/>
    <w:rsid w:val="003B3FC3"/>
    <w:rsid w:val="003B40C3"/>
    <w:rsid w:val="003B419D"/>
    <w:rsid w:val="003B4409"/>
    <w:rsid w:val="003B45D4"/>
    <w:rsid w:val="003B45EC"/>
    <w:rsid w:val="003B4656"/>
    <w:rsid w:val="003B4949"/>
    <w:rsid w:val="003B4B30"/>
    <w:rsid w:val="003B4CD1"/>
    <w:rsid w:val="003B4F96"/>
    <w:rsid w:val="003B5B44"/>
    <w:rsid w:val="003B647E"/>
    <w:rsid w:val="003B64AF"/>
    <w:rsid w:val="003B65A0"/>
    <w:rsid w:val="003B6CFC"/>
    <w:rsid w:val="003B6D42"/>
    <w:rsid w:val="003B6DE3"/>
    <w:rsid w:val="003B6EE3"/>
    <w:rsid w:val="003B7516"/>
    <w:rsid w:val="003B75CC"/>
    <w:rsid w:val="003B7FE2"/>
    <w:rsid w:val="003C055F"/>
    <w:rsid w:val="003C05B1"/>
    <w:rsid w:val="003C062C"/>
    <w:rsid w:val="003C08B8"/>
    <w:rsid w:val="003C0907"/>
    <w:rsid w:val="003C096A"/>
    <w:rsid w:val="003C0B1B"/>
    <w:rsid w:val="003C0C20"/>
    <w:rsid w:val="003C0C82"/>
    <w:rsid w:val="003C10C5"/>
    <w:rsid w:val="003C1642"/>
    <w:rsid w:val="003C165A"/>
    <w:rsid w:val="003C1926"/>
    <w:rsid w:val="003C1A94"/>
    <w:rsid w:val="003C1B10"/>
    <w:rsid w:val="003C1C46"/>
    <w:rsid w:val="003C1DEC"/>
    <w:rsid w:val="003C2338"/>
    <w:rsid w:val="003C259D"/>
    <w:rsid w:val="003C2870"/>
    <w:rsid w:val="003C291E"/>
    <w:rsid w:val="003C2DBF"/>
    <w:rsid w:val="003C2F92"/>
    <w:rsid w:val="003C2FC0"/>
    <w:rsid w:val="003C3103"/>
    <w:rsid w:val="003C3859"/>
    <w:rsid w:val="003C3B14"/>
    <w:rsid w:val="003C3B8B"/>
    <w:rsid w:val="003C3BB0"/>
    <w:rsid w:val="003C3D83"/>
    <w:rsid w:val="003C4027"/>
    <w:rsid w:val="003C4157"/>
    <w:rsid w:val="003C43ED"/>
    <w:rsid w:val="003C4413"/>
    <w:rsid w:val="003C4C65"/>
    <w:rsid w:val="003C4E35"/>
    <w:rsid w:val="003C4EA0"/>
    <w:rsid w:val="003C4FF0"/>
    <w:rsid w:val="003C505B"/>
    <w:rsid w:val="003C5068"/>
    <w:rsid w:val="003C5196"/>
    <w:rsid w:val="003C55B7"/>
    <w:rsid w:val="003C5A6A"/>
    <w:rsid w:val="003C5FA7"/>
    <w:rsid w:val="003C617F"/>
    <w:rsid w:val="003C665E"/>
    <w:rsid w:val="003C66BF"/>
    <w:rsid w:val="003C66EC"/>
    <w:rsid w:val="003C672C"/>
    <w:rsid w:val="003C6807"/>
    <w:rsid w:val="003C6A97"/>
    <w:rsid w:val="003C6DA7"/>
    <w:rsid w:val="003C6FF3"/>
    <w:rsid w:val="003C7020"/>
    <w:rsid w:val="003C7128"/>
    <w:rsid w:val="003C723F"/>
    <w:rsid w:val="003C7283"/>
    <w:rsid w:val="003C7C83"/>
    <w:rsid w:val="003C7D29"/>
    <w:rsid w:val="003C7F9E"/>
    <w:rsid w:val="003D030A"/>
    <w:rsid w:val="003D0504"/>
    <w:rsid w:val="003D06AE"/>
    <w:rsid w:val="003D077F"/>
    <w:rsid w:val="003D0FAF"/>
    <w:rsid w:val="003D10A2"/>
    <w:rsid w:val="003D1894"/>
    <w:rsid w:val="003D19A0"/>
    <w:rsid w:val="003D2217"/>
    <w:rsid w:val="003D281F"/>
    <w:rsid w:val="003D28BB"/>
    <w:rsid w:val="003D2B49"/>
    <w:rsid w:val="003D2B8E"/>
    <w:rsid w:val="003D2B92"/>
    <w:rsid w:val="003D2CF5"/>
    <w:rsid w:val="003D2E0B"/>
    <w:rsid w:val="003D317E"/>
    <w:rsid w:val="003D31FC"/>
    <w:rsid w:val="003D3BC9"/>
    <w:rsid w:val="003D3D8E"/>
    <w:rsid w:val="003D41CD"/>
    <w:rsid w:val="003D49C8"/>
    <w:rsid w:val="003D49DA"/>
    <w:rsid w:val="003D4A43"/>
    <w:rsid w:val="003D4D3E"/>
    <w:rsid w:val="003D4F1F"/>
    <w:rsid w:val="003D4F70"/>
    <w:rsid w:val="003D51F9"/>
    <w:rsid w:val="003D570A"/>
    <w:rsid w:val="003D5862"/>
    <w:rsid w:val="003D5AD6"/>
    <w:rsid w:val="003D5F50"/>
    <w:rsid w:val="003D6125"/>
    <w:rsid w:val="003D634D"/>
    <w:rsid w:val="003D6439"/>
    <w:rsid w:val="003D650E"/>
    <w:rsid w:val="003D6A62"/>
    <w:rsid w:val="003D6EAE"/>
    <w:rsid w:val="003D72C2"/>
    <w:rsid w:val="003D7362"/>
    <w:rsid w:val="003D7A85"/>
    <w:rsid w:val="003D7C57"/>
    <w:rsid w:val="003D7F88"/>
    <w:rsid w:val="003E0747"/>
    <w:rsid w:val="003E09E1"/>
    <w:rsid w:val="003E0EB8"/>
    <w:rsid w:val="003E17F4"/>
    <w:rsid w:val="003E1D37"/>
    <w:rsid w:val="003E1DD6"/>
    <w:rsid w:val="003E2129"/>
    <w:rsid w:val="003E21F4"/>
    <w:rsid w:val="003E2409"/>
    <w:rsid w:val="003E2B27"/>
    <w:rsid w:val="003E2E3B"/>
    <w:rsid w:val="003E3443"/>
    <w:rsid w:val="003E34B5"/>
    <w:rsid w:val="003E35A2"/>
    <w:rsid w:val="003E362F"/>
    <w:rsid w:val="003E394B"/>
    <w:rsid w:val="003E3A42"/>
    <w:rsid w:val="003E3D78"/>
    <w:rsid w:val="003E4034"/>
    <w:rsid w:val="003E404D"/>
    <w:rsid w:val="003E40BB"/>
    <w:rsid w:val="003E4222"/>
    <w:rsid w:val="003E434E"/>
    <w:rsid w:val="003E4431"/>
    <w:rsid w:val="003E4F40"/>
    <w:rsid w:val="003E4F9A"/>
    <w:rsid w:val="003E51EF"/>
    <w:rsid w:val="003E5236"/>
    <w:rsid w:val="003E5277"/>
    <w:rsid w:val="003E530C"/>
    <w:rsid w:val="003E60B7"/>
    <w:rsid w:val="003E6136"/>
    <w:rsid w:val="003E6276"/>
    <w:rsid w:val="003E646F"/>
    <w:rsid w:val="003E64AF"/>
    <w:rsid w:val="003E66F1"/>
    <w:rsid w:val="003E69C3"/>
    <w:rsid w:val="003E6B44"/>
    <w:rsid w:val="003E6BA4"/>
    <w:rsid w:val="003E6C3C"/>
    <w:rsid w:val="003E6D83"/>
    <w:rsid w:val="003E7205"/>
    <w:rsid w:val="003E757D"/>
    <w:rsid w:val="003E7730"/>
    <w:rsid w:val="003E788A"/>
    <w:rsid w:val="003E7D8B"/>
    <w:rsid w:val="003E7E00"/>
    <w:rsid w:val="003E7E2F"/>
    <w:rsid w:val="003F0021"/>
    <w:rsid w:val="003F047A"/>
    <w:rsid w:val="003F050A"/>
    <w:rsid w:val="003F0518"/>
    <w:rsid w:val="003F0733"/>
    <w:rsid w:val="003F07C1"/>
    <w:rsid w:val="003F0868"/>
    <w:rsid w:val="003F0B96"/>
    <w:rsid w:val="003F0DED"/>
    <w:rsid w:val="003F0E35"/>
    <w:rsid w:val="003F0E8D"/>
    <w:rsid w:val="003F0E97"/>
    <w:rsid w:val="003F0F42"/>
    <w:rsid w:val="003F129B"/>
    <w:rsid w:val="003F19A0"/>
    <w:rsid w:val="003F1B02"/>
    <w:rsid w:val="003F1CFE"/>
    <w:rsid w:val="003F1E85"/>
    <w:rsid w:val="003F1F35"/>
    <w:rsid w:val="003F2099"/>
    <w:rsid w:val="003F23FC"/>
    <w:rsid w:val="003F269A"/>
    <w:rsid w:val="003F2754"/>
    <w:rsid w:val="003F2944"/>
    <w:rsid w:val="003F2B5A"/>
    <w:rsid w:val="003F308C"/>
    <w:rsid w:val="003F34D0"/>
    <w:rsid w:val="003F36E4"/>
    <w:rsid w:val="003F3B90"/>
    <w:rsid w:val="003F3BC6"/>
    <w:rsid w:val="003F3C4F"/>
    <w:rsid w:val="003F4176"/>
    <w:rsid w:val="003F4B61"/>
    <w:rsid w:val="003F51FD"/>
    <w:rsid w:val="003F5FD2"/>
    <w:rsid w:val="003F6182"/>
    <w:rsid w:val="003F61C6"/>
    <w:rsid w:val="003F622E"/>
    <w:rsid w:val="003F62EF"/>
    <w:rsid w:val="003F6885"/>
    <w:rsid w:val="003F6CC4"/>
    <w:rsid w:val="003F6FBD"/>
    <w:rsid w:val="003F6FD7"/>
    <w:rsid w:val="003F70C8"/>
    <w:rsid w:val="003F7369"/>
    <w:rsid w:val="003F77FC"/>
    <w:rsid w:val="003F7A00"/>
    <w:rsid w:val="003F7EF0"/>
    <w:rsid w:val="0040007C"/>
    <w:rsid w:val="004000EC"/>
    <w:rsid w:val="00400756"/>
    <w:rsid w:val="00400E98"/>
    <w:rsid w:val="00400FEA"/>
    <w:rsid w:val="004010AA"/>
    <w:rsid w:val="0040114F"/>
    <w:rsid w:val="00401402"/>
    <w:rsid w:val="004017EF"/>
    <w:rsid w:val="00401921"/>
    <w:rsid w:val="004019BD"/>
    <w:rsid w:val="00401AE1"/>
    <w:rsid w:val="00401C60"/>
    <w:rsid w:val="00401F87"/>
    <w:rsid w:val="00402529"/>
    <w:rsid w:val="0040255B"/>
    <w:rsid w:val="004026C1"/>
    <w:rsid w:val="00402BDC"/>
    <w:rsid w:val="00402C3C"/>
    <w:rsid w:val="00403220"/>
    <w:rsid w:val="004035FB"/>
    <w:rsid w:val="004047F2"/>
    <w:rsid w:val="0040482A"/>
    <w:rsid w:val="00404B83"/>
    <w:rsid w:val="00404C70"/>
    <w:rsid w:val="004050DF"/>
    <w:rsid w:val="004051FE"/>
    <w:rsid w:val="0040527A"/>
    <w:rsid w:val="0040560D"/>
    <w:rsid w:val="0040560F"/>
    <w:rsid w:val="004056A3"/>
    <w:rsid w:val="00405B12"/>
    <w:rsid w:val="00405F98"/>
    <w:rsid w:val="004062D8"/>
    <w:rsid w:val="00406556"/>
    <w:rsid w:val="00406953"/>
    <w:rsid w:val="00406A30"/>
    <w:rsid w:val="00406CE4"/>
    <w:rsid w:val="004072B6"/>
    <w:rsid w:val="00407418"/>
    <w:rsid w:val="00407571"/>
    <w:rsid w:val="0040780A"/>
    <w:rsid w:val="00407871"/>
    <w:rsid w:val="0040795D"/>
    <w:rsid w:val="00407DF0"/>
    <w:rsid w:val="00410501"/>
    <w:rsid w:val="00410A73"/>
    <w:rsid w:val="00410D79"/>
    <w:rsid w:val="00410F1E"/>
    <w:rsid w:val="00410FEA"/>
    <w:rsid w:val="0041120C"/>
    <w:rsid w:val="00411893"/>
    <w:rsid w:val="004118BF"/>
    <w:rsid w:val="00411CB6"/>
    <w:rsid w:val="00411DDC"/>
    <w:rsid w:val="00411E0A"/>
    <w:rsid w:val="00411FFC"/>
    <w:rsid w:val="00412820"/>
    <w:rsid w:val="004133DD"/>
    <w:rsid w:val="00413448"/>
    <w:rsid w:val="004135DA"/>
    <w:rsid w:val="00413AAF"/>
    <w:rsid w:val="00413B54"/>
    <w:rsid w:val="00413D0C"/>
    <w:rsid w:val="00413DA1"/>
    <w:rsid w:val="00413F38"/>
    <w:rsid w:val="0041411C"/>
    <w:rsid w:val="00414225"/>
    <w:rsid w:val="00414351"/>
    <w:rsid w:val="004144F7"/>
    <w:rsid w:val="00414640"/>
    <w:rsid w:val="004146DF"/>
    <w:rsid w:val="0041491D"/>
    <w:rsid w:val="004149F7"/>
    <w:rsid w:val="00414A9D"/>
    <w:rsid w:val="00414BB6"/>
    <w:rsid w:val="004152F8"/>
    <w:rsid w:val="00415BBF"/>
    <w:rsid w:val="00416226"/>
    <w:rsid w:val="00416271"/>
    <w:rsid w:val="004162E9"/>
    <w:rsid w:val="004163A9"/>
    <w:rsid w:val="004176B7"/>
    <w:rsid w:val="00417A24"/>
    <w:rsid w:val="00417A3D"/>
    <w:rsid w:val="00417BC0"/>
    <w:rsid w:val="00417D65"/>
    <w:rsid w:val="00420261"/>
    <w:rsid w:val="004204CB"/>
    <w:rsid w:val="0042082C"/>
    <w:rsid w:val="00420843"/>
    <w:rsid w:val="00420970"/>
    <w:rsid w:val="00420A1C"/>
    <w:rsid w:val="00420A6C"/>
    <w:rsid w:val="00420ABB"/>
    <w:rsid w:val="00420B79"/>
    <w:rsid w:val="00420E70"/>
    <w:rsid w:val="00420E99"/>
    <w:rsid w:val="00421211"/>
    <w:rsid w:val="004216BF"/>
    <w:rsid w:val="004216C6"/>
    <w:rsid w:val="00421870"/>
    <w:rsid w:val="00421B9D"/>
    <w:rsid w:val="00421ED3"/>
    <w:rsid w:val="00421F67"/>
    <w:rsid w:val="00422137"/>
    <w:rsid w:val="00422546"/>
    <w:rsid w:val="00422588"/>
    <w:rsid w:val="004225E6"/>
    <w:rsid w:val="00422679"/>
    <w:rsid w:val="004228BD"/>
    <w:rsid w:val="00422D8C"/>
    <w:rsid w:val="00422F34"/>
    <w:rsid w:val="00422FFC"/>
    <w:rsid w:val="004233E9"/>
    <w:rsid w:val="00423EBB"/>
    <w:rsid w:val="0042449C"/>
    <w:rsid w:val="004244B4"/>
    <w:rsid w:val="004246D9"/>
    <w:rsid w:val="0042576B"/>
    <w:rsid w:val="00425D58"/>
    <w:rsid w:val="00425E09"/>
    <w:rsid w:val="004261A2"/>
    <w:rsid w:val="004261D1"/>
    <w:rsid w:val="004265A3"/>
    <w:rsid w:val="00426871"/>
    <w:rsid w:val="0042695E"/>
    <w:rsid w:val="004269FA"/>
    <w:rsid w:val="00426EE2"/>
    <w:rsid w:val="00426FAE"/>
    <w:rsid w:val="00427157"/>
    <w:rsid w:val="00427231"/>
    <w:rsid w:val="004278FC"/>
    <w:rsid w:val="00427912"/>
    <w:rsid w:val="00427A6A"/>
    <w:rsid w:val="00427A7C"/>
    <w:rsid w:val="0043009C"/>
    <w:rsid w:val="00430343"/>
    <w:rsid w:val="004306B3"/>
    <w:rsid w:val="00430AC2"/>
    <w:rsid w:val="00430AC9"/>
    <w:rsid w:val="00430BA1"/>
    <w:rsid w:val="00430D90"/>
    <w:rsid w:val="00430DB8"/>
    <w:rsid w:val="00431007"/>
    <w:rsid w:val="00431282"/>
    <w:rsid w:val="00431336"/>
    <w:rsid w:val="004313CB"/>
    <w:rsid w:val="004313E7"/>
    <w:rsid w:val="00431AC3"/>
    <w:rsid w:val="00431F55"/>
    <w:rsid w:val="00431F71"/>
    <w:rsid w:val="00432480"/>
    <w:rsid w:val="00432513"/>
    <w:rsid w:val="0043267B"/>
    <w:rsid w:val="0043268C"/>
    <w:rsid w:val="0043299E"/>
    <w:rsid w:val="00432E1C"/>
    <w:rsid w:val="0043316F"/>
    <w:rsid w:val="004334D3"/>
    <w:rsid w:val="004334E1"/>
    <w:rsid w:val="0043350F"/>
    <w:rsid w:val="004335EF"/>
    <w:rsid w:val="00433722"/>
    <w:rsid w:val="00433884"/>
    <w:rsid w:val="00433E15"/>
    <w:rsid w:val="00433FCC"/>
    <w:rsid w:val="00433FF4"/>
    <w:rsid w:val="00434098"/>
    <w:rsid w:val="00434D32"/>
    <w:rsid w:val="00434EA1"/>
    <w:rsid w:val="00435338"/>
    <w:rsid w:val="0043543B"/>
    <w:rsid w:val="00435654"/>
    <w:rsid w:val="00435675"/>
    <w:rsid w:val="00435842"/>
    <w:rsid w:val="00435AA8"/>
    <w:rsid w:val="00435C10"/>
    <w:rsid w:val="004364D1"/>
    <w:rsid w:val="00436A38"/>
    <w:rsid w:val="00436DB2"/>
    <w:rsid w:val="004370C8"/>
    <w:rsid w:val="004370E7"/>
    <w:rsid w:val="0043747E"/>
    <w:rsid w:val="00437483"/>
    <w:rsid w:val="00437D6E"/>
    <w:rsid w:val="0043A70B"/>
    <w:rsid w:val="00440462"/>
    <w:rsid w:val="00440554"/>
    <w:rsid w:val="004405D5"/>
    <w:rsid w:val="004409F2"/>
    <w:rsid w:val="00440B5D"/>
    <w:rsid w:val="00440D3F"/>
    <w:rsid w:val="00440E00"/>
    <w:rsid w:val="00440FC6"/>
    <w:rsid w:val="00441061"/>
    <w:rsid w:val="004410BE"/>
    <w:rsid w:val="0044147D"/>
    <w:rsid w:val="00441A5B"/>
    <w:rsid w:val="00441ADE"/>
    <w:rsid w:val="00442754"/>
    <w:rsid w:val="00442782"/>
    <w:rsid w:val="00442859"/>
    <w:rsid w:val="00442908"/>
    <w:rsid w:val="00442ABD"/>
    <w:rsid w:val="00442B1E"/>
    <w:rsid w:val="00442B41"/>
    <w:rsid w:val="00442C43"/>
    <w:rsid w:val="00442D4D"/>
    <w:rsid w:val="00442E33"/>
    <w:rsid w:val="0044318E"/>
    <w:rsid w:val="004432CA"/>
    <w:rsid w:val="004432F8"/>
    <w:rsid w:val="004433F1"/>
    <w:rsid w:val="00443741"/>
    <w:rsid w:val="00443A87"/>
    <w:rsid w:val="00443ACE"/>
    <w:rsid w:val="00443AD1"/>
    <w:rsid w:val="00443BE6"/>
    <w:rsid w:val="00443F91"/>
    <w:rsid w:val="00444114"/>
    <w:rsid w:val="004444ED"/>
    <w:rsid w:val="00444602"/>
    <w:rsid w:val="00444885"/>
    <w:rsid w:val="00444D32"/>
    <w:rsid w:val="00444D80"/>
    <w:rsid w:val="004450D9"/>
    <w:rsid w:val="004451C4"/>
    <w:rsid w:val="0044572B"/>
    <w:rsid w:val="004459EF"/>
    <w:rsid w:val="00445D88"/>
    <w:rsid w:val="00445DD1"/>
    <w:rsid w:val="00445E7F"/>
    <w:rsid w:val="00446051"/>
    <w:rsid w:val="00446130"/>
    <w:rsid w:val="00446BCD"/>
    <w:rsid w:val="00446D9A"/>
    <w:rsid w:val="00446DC3"/>
    <w:rsid w:val="004471D4"/>
    <w:rsid w:val="004471F5"/>
    <w:rsid w:val="00447345"/>
    <w:rsid w:val="004474BE"/>
    <w:rsid w:val="004476BE"/>
    <w:rsid w:val="004477AA"/>
    <w:rsid w:val="00447846"/>
    <w:rsid w:val="00447AA6"/>
    <w:rsid w:val="00447C16"/>
    <w:rsid w:val="00447EAB"/>
    <w:rsid w:val="00447F5E"/>
    <w:rsid w:val="00450717"/>
    <w:rsid w:val="00450860"/>
    <w:rsid w:val="00450869"/>
    <w:rsid w:val="00450999"/>
    <w:rsid w:val="00450ACC"/>
    <w:rsid w:val="00451055"/>
    <w:rsid w:val="004510BC"/>
    <w:rsid w:val="00451331"/>
    <w:rsid w:val="004514A1"/>
    <w:rsid w:val="004515CF"/>
    <w:rsid w:val="00451766"/>
    <w:rsid w:val="004518B6"/>
    <w:rsid w:val="00451919"/>
    <w:rsid w:val="00451938"/>
    <w:rsid w:val="0045198F"/>
    <w:rsid w:val="00451E3D"/>
    <w:rsid w:val="00451F3B"/>
    <w:rsid w:val="00451FE2"/>
    <w:rsid w:val="0045206F"/>
    <w:rsid w:val="004520DC"/>
    <w:rsid w:val="004521DE"/>
    <w:rsid w:val="004521E7"/>
    <w:rsid w:val="00452649"/>
    <w:rsid w:val="00452828"/>
    <w:rsid w:val="00452A30"/>
    <w:rsid w:val="00452A83"/>
    <w:rsid w:val="00452A91"/>
    <w:rsid w:val="00452ACE"/>
    <w:rsid w:val="00452C46"/>
    <w:rsid w:val="00452E82"/>
    <w:rsid w:val="0045313C"/>
    <w:rsid w:val="004534B2"/>
    <w:rsid w:val="00453574"/>
    <w:rsid w:val="00453599"/>
    <w:rsid w:val="0045361F"/>
    <w:rsid w:val="0045380C"/>
    <w:rsid w:val="00453A32"/>
    <w:rsid w:val="00454237"/>
    <w:rsid w:val="0045488C"/>
    <w:rsid w:val="00454D97"/>
    <w:rsid w:val="00454EFE"/>
    <w:rsid w:val="00455116"/>
    <w:rsid w:val="004559A2"/>
    <w:rsid w:val="00455B4E"/>
    <w:rsid w:val="00455C1C"/>
    <w:rsid w:val="00455E59"/>
    <w:rsid w:val="004564C8"/>
    <w:rsid w:val="004565A1"/>
    <w:rsid w:val="00456A73"/>
    <w:rsid w:val="00456A98"/>
    <w:rsid w:val="00456B9F"/>
    <w:rsid w:val="00456C1D"/>
    <w:rsid w:val="00456C68"/>
    <w:rsid w:val="004570AD"/>
    <w:rsid w:val="00457141"/>
    <w:rsid w:val="00457265"/>
    <w:rsid w:val="00457465"/>
    <w:rsid w:val="004576BB"/>
    <w:rsid w:val="004576DC"/>
    <w:rsid w:val="00457A07"/>
    <w:rsid w:val="0046014F"/>
    <w:rsid w:val="004606C4"/>
    <w:rsid w:val="004606DD"/>
    <w:rsid w:val="0046088E"/>
    <w:rsid w:val="00460965"/>
    <w:rsid w:val="00460A02"/>
    <w:rsid w:val="00460A07"/>
    <w:rsid w:val="00460A76"/>
    <w:rsid w:val="00460BBC"/>
    <w:rsid w:val="00460E8A"/>
    <w:rsid w:val="00460F71"/>
    <w:rsid w:val="004610E7"/>
    <w:rsid w:val="0046117C"/>
    <w:rsid w:val="004616BF"/>
    <w:rsid w:val="004617FB"/>
    <w:rsid w:val="004619C3"/>
    <w:rsid w:val="00461E67"/>
    <w:rsid w:val="00462682"/>
    <w:rsid w:val="00462927"/>
    <w:rsid w:val="00462BFD"/>
    <w:rsid w:val="004632DC"/>
    <w:rsid w:val="00463734"/>
    <w:rsid w:val="00463799"/>
    <w:rsid w:val="004639B0"/>
    <w:rsid w:val="00463E18"/>
    <w:rsid w:val="00463F40"/>
    <w:rsid w:val="00464066"/>
    <w:rsid w:val="00464348"/>
    <w:rsid w:val="00464362"/>
    <w:rsid w:val="004648B0"/>
    <w:rsid w:val="00464BD0"/>
    <w:rsid w:val="00464C99"/>
    <w:rsid w:val="00464FC7"/>
    <w:rsid w:val="00465007"/>
    <w:rsid w:val="004650DD"/>
    <w:rsid w:val="004654E7"/>
    <w:rsid w:val="004658C3"/>
    <w:rsid w:val="00465FED"/>
    <w:rsid w:val="0046610C"/>
    <w:rsid w:val="0046687E"/>
    <w:rsid w:val="00466FFF"/>
    <w:rsid w:val="0046734C"/>
    <w:rsid w:val="004677E6"/>
    <w:rsid w:val="00467A4C"/>
    <w:rsid w:val="00467B2A"/>
    <w:rsid w:val="00467CEF"/>
    <w:rsid w:val="00470195"/>
    <w:rsid w:val="00470847"/>
    <w:rsid w:val="00470954"/>
    <w:rsid w:val="00470D05"/>
    <w:rsid w:val="00470E00"/>
    <w:rsid w:val="00471201"/>
    <w:rsid w:val="004715B7"/>
    <w:rsid w:val="004716A3"/>
    <w:rsid w:val="004716D8"/>
    <w:rsid w:val="00471715"/>
    <w:rsid w:val="00471980"/>
    <w:rsid w:val="004719F5"/>
    <w:rsid w:val="00471BD2"/>
    <w:rsid w:val="00471D19"/>
    <w:rsid w:val="004720F7"/>
    <w:rsid w:val="0047213A"/>
    <w:rsid w:val="004723B7"/>
    <w:rsid w:val="00472634"/>
    <w:rsid w:val="00472650"/>
    <w:rsid w:val="0047266C"/>
    <w:rsid w:val="004727F7"/>
    <w:rsid w:val="00472805"/>
    <w:rsid w:val="00472839"/>
    <w:rsid w:val="0047285C"/>
    <w:rsid w:val="00472952"/>
    <w:rsid w:val="00472DB0"/>
    <w:rsid w:val="00472FCD"/>
    <w:rsid w:val="00473324"/>
    <w:rsid w:val="00473343"/>
    <w:rsid w:val="00473789"/>
    <w:rsid w:val="00473861"/>
    <w:rsid w:val="00473BF7"/>
    <w:rsid w:val="00473D3D"/>
    <w:rsid w:val="00473EF8"/>
    <w:rsid w:val="00473F2E"/>
    <w:rsid w:val="00474221"/>
    <w:rsid w:val="004744B8"/>
    <w:rsid w:val="00474651"/>
    <w:rsid w:val="00474716"/>
    <w:rsid w:val="00475026"/>
    <w:rsid w:val="00475321"/>
    <w:rsid w:val="00475B11"/>
    <w:rsid w:val="00475D67"/>
    <w:rsid w:val="0047602E"/>
    <w:rsid w:val="004763AB"/>
    <w:rsid w:val="004764BD"/>
    <w:rsid w:val="004766FA"/>
    <w:rsid w:val="00476C7C"/>
    <w:rsid w:val="00476D1C"/>
    <w:rsid w:val="00476EED"/>
    <w:rsid w:val="004770DD"/>
    <w:rsid w:val="0047722F"/>
    <w:rsid w:val="00477BC3"/>
    <w:rsid w:val="00477FE2"/>
    <w:rsid w:val="0048012E"/>
    <w:rsid w:val="0048038A"/>
    <w:rsid w:val="00480430"/>
    <w:rsid w:val="00480788"/>
    <w:rsid w:val="00480B51"/>
    <w:rsid w:val="00480BC2"/>
    <w:rsid w:val="00481322"/>
    <w:rsid w:val="00481972"/>
    <w:rsid w:val="00481ABB"/>
    <w:rsid w:val="00481C5D"/>
    <w:rsid w:val="00481CCA"/>
    <w:rsid w:val="00481CEB"/>
    <w:rsid w:val="004820B0"/>
    <w:rsid w:val="00482395"/>
    <w:rsid w:val="004825E6"/>
    <w:rsid w:val="0048283B"/>
    <w:rsid w:val="004829C5"/>
    <w:rsid w:val="00482A54"/>
    <w:rsid w:val="00482CE2"/>
    <w:rsid w:val="00483043"/>
    <w:rsid w:val="0048309D"/>
    <w:rsid w:val="0048351D"/>
    <w:rsid w:val="00483825"/>
    <w:rsid w:val="00483832"/>
    <w:rsid w:val="004838FC"/>
    <w:rsid w:val="00483A17"/>
    <w:rsid w:val="00483A8D"/>
    <w:rsid w:val="00484049"/>
    <w:rsid w:val="0048414B"/>
    <w:rsid w:val="00484504"/>
    <w:rsid w:val="0048456C"/>
    <w:rsid w:val="00484697"/>
    <w:rsid w:val="0048494F"/>
    <w:rsid w:val="00484A5F"/>
    <w:rsid w:val="00485020"/>
    <w:rsid w:val="00485086"/>
    <w:rsid w:val="004854FC"/>
    <w:rsid w:val="0048570A"/>
    <w:rsid w:val="004857D1"/>
    <w:rsid w:val="00485903"/>
    <w:rsid w:val="004859D3"/>
    <w:rsid w:val="00485A26"/>
    <w:rsid w:val="00485C45"/>
    <w:rsid w:val="00485DC3"/>
    <w:rsid w:val="00485E92"/>
    <w:rsid w:val="00485EB5"/>
    <w:rsid w:val="00486408"/>
    <w:rsid w:val="00486477"/>
    <w:rsid w:val="004868E1"/>
    <w:rsid w:val="00486B7D"/>
    <w:rsid w:val="00486FFD"/>
    <w:rsid w:val="004870BB"/>
    <w:rsid w:val="00487462"/>
    <w:rsid w:val="00487494"/>
    <w:rsid w:val="004876EF"/>
    <w:rsid w:val="004877D4"/>
    <w:rsid w:val="004878EC"/>
    <w:rsid w:val="00487A4F"/>
    <w:rsid w:val="00487DEB"/>
    <w:rsid w:val="00487F1E"/>
    <w:rsid w:val="00490350"/>
    <w:rsid w:val="004903C4"/>
    <w:rsid w:val="004903E4"/>
    <w:rsid w:val="004904B8"/>
    <w:rsid w:val="004906F0"/>
    <w:rsid w:val="0049073B"/>
    <w:rsid w:val="0049096F"/>
    <w:rsid w:val="004909E4"/>
    <w:rsid w:val="00490B16"/>
    <w:rsid w:val="00490C06"/>
    <w:rsid w:val="00490DC3"/>
    <w:rsid w:val="0049117E"/>
    <w:rsid w:val="004914DE"/>
    <w:rsid w:val="00491CF4"/>
    <w:rsid w:val="00491F10"/>
    <w:rsid w:val="00491F90"/>
    <w:rsid w:val="00492370"/>
    <w:rsid w:val="0049237D"/>
    <w:rsid w:val="00492490"/>
    <w:rsid w:val="00492582"/>
    <w:rsid w:val="00492645"/>
    <w:rsid w:val="004926FB"/>
    <w:rsid w:val="00492F4D"/>
    <w:rsid w:val="00492F53"/>
    <w:rsid w:val="00493262"/>
    <w:rsid w:val="00493350"/>
    <w:rsid w:val="004933D0"/>
    <w:rsid w:val="004935AB"/>
    <w:rsid w:val="00493604"/>
    <w:rsid w:val="00493627"/>
    <w:rsid w:val="00493673"/>
    <w:rsid w:val="00493F5B"/>
    <w:rsid w:val="004940A7"/>
    <w:rsid w:val="004945A7"/>
    <w:rsid w:val="0049462A"/>
    <w:rsid w:val="00494A06"/>
    <w:rsid w:val="00494D12"/>
    <w:rsid w:val="00494F0E"/>
    <w:rsid w:val="00495050"/>
    <w:rsid w:val="004951F0"/>
    <w:rsid w:val="00495291"/>
    <w:rsid w:val="004955B1"/>
    <w:rsid w:val="004959E8"/>
    <w:rsid w:val="00495ADD"/>
    <w:rsid w:val="00495B01"/>
    <w:rsid w:val="00495DA6"/>
    <w:rsid w:val="00495E42"/>
    <w:rsid w:val="00496396"/>
    <w:rsid w:val="0049645C"/>
    <w:rsid w:val="004967FF"/>
    <w:rsid w:val="00496932"/>
    <w:rsid w:val="00496983"/>
    <w:rsid w:val="00496C8D"/>
    <w:rsid w:val="00496CD2"/>
    <w:rsid w:val="00497551"/>
    <w:rsid w:val="00497856"/>
    <w:rsid w:val="0049793F"/>
    <w:rsid w:val="00497BC8"/>
    <w:rsid w:val="004A0714"/>
    <w:rsid w:val="004A08BA"/>
    <w:rsid w:val="004A0B88"/>
    <w:rsid w:val="004A0BBF"/>
    <w:rsid w:val="004A0DA5"/>
    <w:rsid w:val="004A0F2B"/>
    <w:rsid w:val="004A1148"/>
    <w:rsid w:val="004A11EF"/>
    <w:rsid w:val="004A1444"/>
    <w:rsid w:val="004A164B"/>
    <w:rsid w:val="004A1D68"/>
    <w:rsid w:val="004A1EAB"/>
    <w:rsid w:val="004A2026"/>
    <w:rsid w:val="004A212C"/>
    <w:rsid w:val="004A258E"/>
    <w:rsid w:val="004A25AC"/>
    <w:rsid w:val="004A265E"/>
    <w:rsid w:val="004A2797"/>
    <w:rsid w:val="004A280E"/>
    <w:rsid w:val="004A2A80"/>
    <w:rsid w:val="004A2B87"/>
    <w:rsid w:val="004A2C3D"/>
    <w:rsid w:val="004A2EF1"/>
    <w:rsid w:val="004A3185"/>
    <w:rsid w:val="004A330E"/>
    <w:rsid w:val="004A353F"/>
    <w:rsid w:val="004A358B"/>
    <w:rsid w:val="004A362E"/>
    <w:rsid w:val="004A391E"/>
    <w:rsid w:val="004A3A5A"/>
    <w:rsid w:val="004A3EE8"/>
    <w:rsid w:val="004A404B"/>
    <w:rsid w:val="004A4230"/>
    <w:rsid w:val="004A44D2"/>
    <w:rsid w:val="004A4B89"/>
    <w:rsid w:val="004A4BD7"/>
    <w:rsid w:val="004A4E98"/>
    <w:rsid w:val="004A4EB9"/>
    <w:rsid w:val="004A5566"/>
    <w:rsid w:val="004A5708"/>
    <w:rsid w:val="004A60A6"/>
    <w:rsid w:val="004A657A"/>
    <w:rsid w:val="004A65AE"/>
    <w:rsid w:val="004A6794"/>
    <w:rsid w:val="004A693B"/>
    <w:rsid w:val="004A6ADD"/>
    <w:rsid w:val="004A6D0A"/>
    <w:rsid w:val="004A701C"/>
    <w:rsid w:val="004A72AE"/>
    <w:rsid w:val="004A7838"/>
    <w:rsid w:val="004A7854"/>
    <w:rsid w:val="004B00F4"/>
    <w:rsid w:val="004B0230"/>
    <w:rsid w:val="004B03B8"/>
    <w:rsid w:val="004B05E5"/>
    <w:rsid w:val="004B067F"/>
    <w:rsid w:val="004B0778"/>
    <w:rsid w:val="004B085B"/>
    <w:rsid w:val="004B0A76"/>
    <w:rsid w:val="004B10F9"/>
    <w:rsid w:val="004B1325"/>
    <w:rsid w:val="004B15EC"/>
    <w:rsid w:val="004B173D"/>
    <w:rsid w:val="004B1ACE"/>
    <w:rsid w:val="004B1D49"/>
    <w:rsid w:val="004B1F5F"/>
    <w:rsid w:val="004B1F7A"/>
    <w:rsid w:val="004B1FC8"/>
    <w:rsid w:val="004B2090"/>
    <w:rsid w:val="004B28A7"/>
    <w:rsid w:val="004B2E41"/>
    <w:rsid w:val="004B2F0B"/>
    <w:rsid w:val="004B330D"/>
    <w:rsid w:val="004B33BB"/>
    <w:rsid w:val="004B357F"/>
    <w:rsid w:val="004B3A85"/>
    <w:rsid w:val="004B4018"/>
    <w:rsid w:val="004B4576"/>
    <w:rsid w:val="004B4662"/>
    <w:rsid w:val="004B47CB"/>
    <w:rsid w:val="004B4908"/>
    <w:rsid w:val="004B4B02"/>
    <w:rsid w:val="004B4D3A"/>
    <w:rsid w:val="004B534F"/>
    <w:rsid w:val="004B54EF"/>
    <w:rsid w:val="004B5792"/>
    <w:rsid w:val="004B632A"/>
    <w:rsid w:val="004B643E"/>
    <w:rsid w:val="004B6445"/>
    <w:rsid w:val="004B6582"/>
    <w:rsid w:val="004B688D"/>
    <w:rsid w:val="004B68D1"/>
    <w:rsid w:val="004B6D8B"/>
    <w:rsid w:val="004B7032"/>
    <w:rsid w:val="004B7625"/>
    <w:rsid w:val="004B7646"/>
    <w:rsid w:val="004B77C6"/>
    <w:rsid w:val="004B7F10"/>
    <w:rsid w:val="004C0095"/>
    <w:rsid w:val="004C00AA"/>
    <w:rsid w:val="004C0EC4"/>
    <w:rsid w:val="004C1059"/>
    <w:rsid w:val="004C117D"/>
    <w:rsid w:val="004C124B"/>
    <w:rsid w:val="004C127D"/>
    <w:rsid w:val="004C13E5"/>
    <w:rsid w:val="004C1490"/>
    <w:rsid w:val="004C14C3"/>
    <w:rsid w:val="004C1807"/>
    <w:rsid w:val="004C18B8"/>
    <w:rsid w:val="004C1C91"/>
    <w:rsid w:val="004C1D23"/>
    <w:rsid w:val="004C1DEB"/>
    <w:rsid w:val="004C2680"/>
    <w:rsid w:val="004C28CA"/>
    <w:rsid w:val="004C3451"/>
    <w:rsid w:val="004C36BD"/>
    <w:rsid w:val="004C36FE"/>
    <w:rsid w:val="004C37C6"/>
    <w:rsid w:val="004C3AD2"/>
    <w:rsid w:val="004C3B39"/>
    <w:rsid w:val="004C3D8A"/>
    <w:rsid w:val="004C3DF5"/>
    <w:rsid w:val="004C3EBE"/>
    <w:rsid w:val="004C4229"/>
    <w:rsid w:val="004C44E3"/>
    <w:rsid w:val="004C513D"/>
    <w:rsid w:val="004C5309"/>
    <w:rsid w:val="004C551B"/>
    <w:rsid w:val="004C572A"/>
    <w:rsid w:val="004C5797"/>
    <w:rsid w:val="004C5A52"/>
    <w:rsid w:val="004C6113"/>
    <w:rsid w:val="004C6291"/>
    <w:rsid w:val="004C681D"/>
    <w:rsid w:val="004C696A"/>
    <w:rsid w:val="004C6AAF"/>
    <w:rsid w:val="004C6AEA"/>
    <w:rsid w:val="004C6AFD"/>
    <w:rsid w:val="004C7463"/>
    <w:rsid w:val="004C781E"/>
    <w:rsid w:val="004C7C4D"/>
    <w:rsid w:val="004C7E08"/>
    <w:rsid w:val="004C7E61"/>
    <w:rsid w:val="004C7EC1"/>
    <w:rsid w:val="004D0025"/>
    <w:rsid w:val="004D0074"/>
    <w:rsid w:val="004D01E1"/>
    <w:rsid w:val="004D05CB"/>
    <w:rsid w:val="004D11A9"/>
    <w:rsid w:val="004D145C"/>
    <w:rsid w:val="004D165F"/>
    <w:rsid w:val="004D1CE7"/>
    <w:rsid w:val="004D1D1D"/>
    <w:rsid w:val="004D1FAE"/>
    <w:rsid w:val="004D2126"/>
    <w:rsid w:val="004D21D8"/>
    <w:rsid w:val="004D2B49"/>
    <w:rsid w:val="004D2D03"/>
    <w:rsid w:val="004D2E6A"/>
    <w:rsid w:val="004D326E"/>
    <w:rsid w:val="004D3324"/>
    <w:rsid w:val="004D33F3"/>
    <w:rsid w:val="004D3A77"/>
    <w:rsid w:val="004D3F6E"/>
    <w:rsid w:val="004D449B"/>
    <w:rsid w:val="004D4516"/>
    <w:rsid w:val="004D477C"/>
    <w:rsid w:val="004D4853"/>
    <w:rsid w:val="004D4FC8"/>
    <w:rsid w:val="004D55CD"/>
    <w:rsid w:val="004D5916"/>
    <w:rsid w:val="004D591C"/>
    <w:rsid w:val="004D5DB3"/>
    <w:rsid w:val="004D611E"/>
    <w:rsid w:val="004D61D1"/>
    <w:rsid w:val="004D6216"/>
    <w:rsid w:val="004D62D1"/>
    <w:rsid w:val="004D6326"/>
    <w:rsid w:val="004D643D"/>
    <w:rsid w:val="004D6459"/>
    <w:rsid w:val="004D6725"/>
    <w:rsid w:val="004D6A5E"/>
    <w:rsid w:val="004D6A81"/>
    <w:rsid w:val="004D763D"/>
    <w:rsid w:val="004D7C1E"/>
    <w:rsid w:val="004D7DDE"/>
    <w:rsid w:val="004D7FDF"/>
    <w:rsid w:val="004E025A"/>
    <w:rsid w:val="004E0423"/>
    <w:rsid w:val="004E0830"/>
    <w:rsid w:val="004E0DBA"/>
    <w:rsid w:val="004E1504"/>
    <w:rsid w:val="004E18AC"/>
    <w:rsid w:val="004E18C4"/>
    <w:rsid w:val="004E1CFE"/>
    <w:rsid w:val="004E1D23"/>
    <w:rsid w:val="004E1D5A"/>
    <w:rsid w:val="004E1EC1"/>
    <w:rsid w:val="004E22DB"/>
    <w:rsid w:val="004E2486"/>
    <w:rsid w:val="004E2692"/>
    <w:rsid w:val="004E27B5"/>
    <w:rsid w:val="004E2807"/>
    <w:rsid w:val="004E320F"/>
    <w:rsid w:val="004E3233"/>
    <w:rsid w:val="004E32BE"/>
    <w:rsid w:val="004E3337"/>
    <w:rsid w:val="004E33CE"/>
    <w:rsid w:val="004E388B"/>
    <w:rsid w:val="004E3CED"/>
    <w:rsid w:val="004E3E64"/>
    <w:rsid w:val="004E3F19"/>
    <w:rsid w:val="004E47CA"/>
    <w:rsid w:val="004E4962"/>
    <w:rsid w:val="004E4C37"/>
    <w:rsid w:val="004E51A8"/>
    <w:rsid w:val="004E526F"/>
    <w:rsid w:val="004E58C2"/>
    <w:rsid w:val="004E58F9"/>
    <w:rsid w:val="004E59F8"/>
    <w:rsid w:val="004E5A41"/>
    <w:rsid w:val="004E5B40"/>
    <w:rsid w:val="004E5C12"/>
    <w:rsid w:val="004E5F2A"/>
    <w:rsid w:val="004E6181"/>
    <w:rsid w:val="004E6479"/>
    <w:rsid w:val="004E6916"/>
    <w:rsid w:val="004E6962"/>
    <w:rsid w:val="004E6BFC"/>
    <w:rsid w:val="004E7057"/>
    <w:rsid w:val="004E72BA"/>
    <w:rsid w:val="004E7545"/>
    <w:rsid w:val="004E7E52"/>
    <w:rsid w:val="004F008B"/>
    <w:rsid w:val="004F0164"/>
    <w:rsid w:val="004F05E5"/>
    <w:rsid w:val="004F05EC"/>
    <w:rsid w:val="004F0B21"/>
    <w:rsid w:val="004F0B52"/>
    <w:rsid w:val="004F0BB7"/>
    <w:rsid w:val="004F0CB0"/>
    <w:rsid w:val="004F0EFA"/>
    <w:rsid w:val="004F1833"/>
    <w:rsid w:val="004F190D"/>
    <w:rsid w:val="004F1B2E"/>
    <w:rsid w:val="004F1C2E"/>
    <w:rsid w:val="004F1D48"/>
    <w:rsid w:val="004F217A"/>
    <w:rsid w:val="004F221B"/>
    <w:rsid w:val="004F25A4"/>
    <w:rsid w:val="004F284B"/>
    <w:rsid w:val="004F292A"/>
    <w:rsid w:val="004F34E7"/>
    <w:rsid w:val="004F353C"/>
    <w:rsid w:val="004F390E"/>
    <w:rsid w:val="004F3BD3"/>
    <w:rsid w:val="004F3E06"/>
    <w:rsid w:val="004F4119"/>
    <w:rsid w:val="004F4131"/>
    <w:rsid w:val="004F4526"/>
    <w:rsid w:val="004F4770"/>
    <w:rsid w:val="004F491E"/>
    <w:rsid w:val="004F494F"/>
    <w:rsid w:val="004F4AAF"/>
    <w:rsid w:val="004F4D8D"/>
    <w:rsid w:val="004F4EF7"/>
    <w:rsid w:val="004F54D6"/>
    <w:rsid w:val="004F5681"/>
    <w:rsid w:val="004F5AA1"/>
    <w:rsid w:val="004F5B3D"/>
    <w:rsid w:val="004F5BC8"/>
    <w:rsid w:val="004F671E"/>
    <w:rsid w:val="004F6D01"/>
    <w:rsid w:val="004F6D27"/>
    <w:rsid w:val="004F7166"/>
    <w:rsid w:val="004F73E8"/>
    <w:rsid w:val="004F750E"/>
    <w:rsid w:val="004F7566"/>
    <w:rsid w:val="004F7661"/>
    <w:rsid w:val="004F7C9B"/>
    <w:rsid w:val="004F7EF4"/>
    <w:rsid w:val="004F7FD7"/>
    <w:rsid w:val="005001D4"/>
    <w:rsid w:val="00500DB8"/>
    <w:rsid w:val="00501560"/>
    <w:rsid w:val="00501E03"/>
    <w:rsid w:val="00501F77"/>
    <w:rsid w:val="00502088"/>
    <w:rsid w:val="005022FB"/>
    <w:rsid w:val="005029CB"/>
    <w:rsid w:val="00502CE4"/>
    <w:rsid w:val="00502D35"/>
    <w:rsid w:val="00502E67"/>
    <w:rsid w:val="0050309F"/>
    <w:rsid w:val="00503175"/>
    <w:rsid w:val="00503206"/>
    <w:rsid w:val="005039B5"/>
    <w:rsid w:val="00504096"/>
    <w:rsid w:val="005041FD"/>
    <w:rsid w:val="00504620"/>
    <w:rsid w:val="005047F1"/>
    <w:rsid w:val="0050489A"/>
    <w:rsid w:val="005048D0"/>
    <w:rsid w:val="00504A5F"/>
    <w:rsid w:val="00504BC1"/>
    <w:rsid w:val="00504CF6"/>
    <w:rsid w:val="00504E13"/>
    <w:rsid w:val="00505474"/>
    <w:rsid w:val="00505C2F"/>
    <w:rsid w:val="00505E38"/>
    <w:rsid w:val="0050626D"/>
    <w:rsid w:val="00506521"/>
    <w:rsid w:val="00506813"/>
    <w:rsid w:val="00506E54"/>
    <w:rsid w:val="00506E58"/>
    <w:rsid w:val="00506F46"/>
    <w:rsid w:val="00506F53"/>
    <w:rsid w:val="0050706A"/>
    <w:rsid w:val="00507078"/>
    <w:rsid w:val="005071AE"/>
    <w:rsid w:val="005075DD"/>
    <w:rsid w:val="005075FC"/>
    <w:rsid w:val="0050772F"/>
    <w:rsid w:val="00507BD1"/>
    <w:rsid w:val="00507BF7"/>
    <w:rsid w:val="00507E4D"/>
    <w:rsid w:val="00507F3F"/>
    <w:rsid w:val="00507F8D"/>
    <w:rsid w:val="00510168"/>
    <w:rsid w:val="0051017D"/>
    <w:rsid w:val="005103FA"/>
    <w:rsid w:val="0051050C"/>
    <w:rsid w:val="0051083A"/>
    <w:rsid w:val="00510F1C"/>
    <w:rsid w:val="0051100B"/>
    <w:rsid w:val="00511216"/>
    <w:rsid w:val="005113A6"/>
    <w:rsid w:val="005113E0"/>
    <w:rsid w:val="005115CF"/>
    <w:rsid w:val="00511605"/>
    <w:rsid w:val="00511C30"/>
    <w:rsid w:val="00511E17"/>
    <w:rsid w:val="00512365"/>
    <w:rsid w:val="005123A0"/>
    <w:rsid w:val="005123F1"/>
    <w:rsid w:val="005124F6"/>
    <w:rsid w:val="00512624"/>
    <w:rsid w:val="00512893"/>
    <w:rsid w:val="0051292E"/>
    <w:rsid w:val="005129BC"/>
    <w:rsid w:val="00512A6D"/>
    <w:rsid w:val="00512DE6"/>
    <w:rsid w:val="0051310A"/>
    <w:rsid w:val="00513746"/>
    <w:rsid w:val="005137A4"/>
    <w:rsid w:val="00513897"/>
    <w:rsid w:val="00513924"/>
    <w:rsid w:val="0051395F"/>
    <w:rsid w:val="00513E1B"/>
    <w:rsid w:val="00514076"/>
    <w:rsid w:val="00514077"/>
    <w:rsid w:val="00514079"/>
    <w:rsid w:val="0051443A"/>
    <w:rsid w:val="00514508"/>
    <w:rsid w:val="00514C9F"/>
    <w:rsid w:val="00514CEB"/>
    <w:rsid w:val="00514E3D"/>
    <w:rsid w:val="0051517E"/>
    <w:rsid w:val="005152EC"/>
    <w:rsid w:val="005154C3"/>
    <w:rsid w:val="0051569A"/>
    <w:rsid w:val="00515842"/>
    <w:rsid w:val="0051586D"/>
    <w:rsid w:val="00515956"/>
    <w:rsid w:val="00515AFC"/>
    <w:rsid w:val="00515DC5"/>
    <w:rsid w:val="0051604C"/>
    <w:rsid w:val="005160C5"/>
    <w:rsid w:val="00516248"/>
    <w:rsid w:val="005162F5"/>
    <w:rsid w:val="005164C8"/>
    <w:rsid w:val="0051684A"/>
    <w:rsid w:val="0051760F"/>
    <w:rsid w:val="00517A7A"/>
    <w:rsid w:val="00517AED"/>
    <w:rsid w:val="00517D62"/>
    <w:rsid w:val="00517D67"/>
    <w:rsid w:val="005208A1"/>
    <w:rsid w:val="00520A3A"/>
    <w:rsid w:val="00520CB9"/>
    <w:rsid w:val="00520F29"/>
    <w:rsid w:val="005212C3"/>
    <w:rsid w:val="00521390"/>
    <w:rsid w:val="005216B5"/>
    <w:rsid w:val="00521740"/>
    <w:rsid w:val="00521920"/>
    <w:rsid w:val="00521B00"/>
    <w:rsid w:val="005220E2"/>
    <w:rsid w:val="005220F8"/>
    <w:rsid w:val="005221FF"/>
    <w:rsid w:val="00522204"/>
    <w:rsid w:val="0052220E"/>
    <w:rsid w:val="005223BE"/>
    <w:rsid w:val="0052246E"/>
    <w:rsid w:val="00522A87"/>
    <w:rsid w:val="00522E95"/>
    <w:rsid w:val="00522EF0"/>
    <w:rsid w:val="005231A9"/>
    <w:rsid w:val="00523531"/>
    <w:rsid w:val="0052382A"/>
    <w:rsid w:val="00523A85"/>
    <w:rsid w:val="00523D31"/>
    <w:rsid w:val="00523E68"/>
    <w:rsid w:val="005241AE"/>
    <w:rsid w:val="00524503"/>
    <w:rsid w:val="00524867"/>
    <w:rsid w:val="005248CF"/>
    <w:rsid w:val="00524F25"/>
    <w:rsid w:val="00524F8A"/>
    <w:rsid w:val="0052507E"/>
    <w:rsid w:val="005258B6"/>
    <w:rsid w:val="0052594B"/>
    <w:rsid w:val="005259FC"/>
    <w:rsid w:val="00525E58"/>
    <w:rsid w:val="00526236"/>
    <w:rsid w:val="005263E3"/>
    <w:rsid w:val="005264CB"/>
    <w:rsid w:val="00526998"/>
    <w:rsid w:val="00526D97"/>
    <w:rsid w:val="00526D9F"/>
    <w:rsid w:val="00526E50"/>
    <w:rsid w:val="00526EAB"/>
    <w:rsid w:val="0052701F"/>
    <w:rsid w:val="005270BA"/>
    <w:rsid w:val="00527140"/>
    <w:rsid w:val="00527255"/>
    <w:rsid w:val="0052743D"/>
    <w:rsid w:val="005276C6"/>
    <w:rsid w:val="0052773A"/>
    <w:rsid w:val="005277A8"/>
    <w:rsid w:val="00527970"/>
    <w:rsid w:val="00527CD1"/>
    <w:rsid w:val="00527FCE"/>
    <w:rsid w:val="0052BC7E"/>
    <w:rsid w:val="00530052"/>
    <w:rsid w:val="00530233"/>
    <w:rsid w:val="00530462"/>
    <w:rsid w:val="00530531"/>
    <w:rsid w:val="00530CFB"/>
    <w:rsid w:val="00530D29"/>
    <w:rsid w:val="00530D8F"/>
    <w:rsid w:val="00530EF7"/>
    <w:rsid w:val="00530FF3"/>
    <w:rsid w:val="005313F6"/>
    <w:rsid w:val="00531792"/>
    <w:rsid w:val="00531FB9"/>
    <w:rsid w:val="005321FC"/>
    <w:rsid w:val="00532250"/>
    <w:rsid w:val="005322AB"/>
    <w:rsid w:val="005322E1"/>
    <w:rsid w:val="005325AD"/>
    <w:rsid w:val="00532681"/>
    <w:rsid w:val="0053276A"/>
    <w:rsid w:val="0053289D"/>
    <w:rsid w:val="00532BD9"/>
    <w:rsid w:val="00532E53"/>
    <w:rsid w:val="005339EA"/>
    <w:rsid w:val="00533DF3"/>
    <w:rsid w:val="005340E9"/>
    <w:rsid w:val="005343C1"/>
    <w:rsid w:val="00534861"/>
    <w:rsid w:val="00534EEA"/>
    <w:rsid w:val="00535124"/>
    <w:rsid w:val="00535394"/>
    <w:rsid w:val="005356D4"/>
    <w:rsid w:val="0053583C"/>
    <w:rsid w:val="00535881"/>
    <w:rsid w:val="00535999"/>
    <w:rsid w:val="00535A91"/>
    <w:rsid w:val="00535C18"/>
    <w:rsid w:val="00535E27"/>
    <w:rsid w:val="00535F61"/>
    <w:rsid w:val="00535FB7"/>
    <w:rsid w:val="00535FBA"/>
    <w:rsid w:val="0053605F"/>
    <w:rsid w:val="0053624C"/>
    <w:rsid w:val="0053635D"/>
    <w:rsid w:val="005366A6"/>
    <w:rsid w:val="00536916"/>
    <w:rsid w:val="00536BDF"/>
    <w:rsid w:val="00536C18"/>
    <w:rsid w:val="00536C7E"/>
    <w:rsid w:val="00536DFF"/>
    <w:rsid w:val="0053718B"/>
    <w:rsid w:val="00537390"/>
    <w:rsid w:val="0053755B"/>
    <w:rsid w:val="00537916"/>
    <w:rsid w:val="00537EA5"/>
    <w:rsid w:val="00540080"/>
    <w:rsid w:val="00540093"/>
    <w:rsid w:val="005401D1"/>
    <w:rsid w:val="00540205"/>
    <w:rsid w:val="00540250"/>
    <w:rsid w:val="00540301"/>
    <w:rsid w:val="0054035E"/>
    <w:rsid w:val="00540669"/>
    <w:rsid w:val="005407DC"/>
    <w:rsid w:val="005408BF"/>
    <w:rsid w:val="00540A41"/>
    <w:rsid w:val="0054109A"/>
    <w:rsid w:val="0054132C"/>
    <w:rsid w:val="005413EE"/>
    <w:rsid w:val="005418AA"/>
    <w:rsid w:val="0054197D"/>
    <w:rsid w:val="00541AF6"/>
    <w:rsid w:val="00541B22"/>
    <w:rsid w:val="00541E39"/>
    <w:rsid w:val="00541F69"/>
    <w:rsid w:val="005420C7"/>
    <w:rsid w:val="00542175"/>
    <w:rsid w:val="00542B85"/>
    <w:rsid w:val="00543012"/>
    <w:rsid w:val="0054307D"/>
    <w:rsid w:val="00543545"/>
    <w:rsid w:val="005438F0"/>
    <w:rsid w:val="0054398F"/>
    <w:rsid w:val="005440CB"/>
    <w:rsid w:val="005443F0"/>
    <w:rsid w:val="00544429"/>
    <w:rsid w:val="0054447F"/>
    <w:rsid w:val="005444EA"/>
    <w:rsid w:val="00544577"/>
    <w:rsid w:val="00544ABF"/>
    <w:rsid w:val="00544E3F"/>
    <w:rsid w:val="00544F01"/>
    <w:rsid w:val="00545003"/>
    <w:rsid w:val="00545224"/>
    <w:rsid w:val="00545363"/>
    <w:rsid w:val="00545527"/>
    <w:rsid w:val="00545575"/>
    <w:rsid w:val="00545752"/>
    <w:rsid w:val="00545D48"/>
    <w:rsid w:val="005464DD"/>
    <w:rsid w:val="005466E7"/>
    <w:rsid w:val="00546B33"/>
    <w:rsid w:val="00546D83"/>
    <w:rsid w:val="00546DA6"/>
    <w:rsid w:val="00547207"/>
    <w:rsid w:val="0054785D"/>
    <w:rsid w:val="00547DA7"/>
    <w:rsid w:val="00550492"/>
    <w:rsid w:val="00550AAC"/>
    <w:rsid w:val="00550BAD"/>
    <w:rsid w:val="00550DDE"/>
    <w:rsid w:val="00550F2E"/>
    <w:rsid w:val="005516C0"/>
    <w:rsid w:val="0055185A"/>
    <w:rsid w:val="00551888"/>
    <w:rsid w:val="00551B03"/>
    <w:rsid w:val="00551B86"/>
    <w:rsid w:val="00551D98"/>
    <w:rsid w:val="00551F99"/>
    <w:rsid w:val="0055272B"/>
    <w:rsid w:val="00552836"/>
    <w:rsid w:val="005528FF"/>
    <w:rsid w:val="00552ADB"/>
    <w:rsid w:val="00552F4A"/>
    <w:rsid w:val="00552F96"/>
    <w:rsid w:val="0055393E"/>
    <w:rsid w:val="00553BC4"/>
    <w:rsid w:val="00553E53"/>
    <w:rsid w:val="00554318"/>
    <w:rsid w:val="00554901"/>
    <w:rsid w:val="00554BC2"/>
    <w:rsid w:val="00554BDE"/>
    <w:rsid w:val="00554E1E"/>
    <w:rsid w:val="00555030"/>
    <w:rsid w:val="005552CD"/>
    <w:rsid w:val="00555406"/>
    <w:rsid w:val="00555825"/>
    <w:rsid w:val="0055582E"/>
    <w:rsid w:val="0055589F"/>
    <w:rsid w:val="00555A9B"/>
    <w:rsid w:val="00555F15"/>
    <w:rsid w:val="00555F5B"/>
    <w:rsid w:val="005561BF"/>
    <w:rsid w:val="005562E5"/>
    <w:rsid w:val="0055668C"/>
    <w:rsid w:val="005568E5"/>
    <w:rsid w:val="00556E8F"/>
    <w:rsid w:val="005570AC"/>
    <w:rsid w:val="005570C2"/>
    <w:rsid w:val="00557415"/>
    <w:rsid w:val="005575BF"/>
    <w:rsid w:val="00557758"/>
    <w:rsid w:val="00557998"/>
    <w:rsid w:val="00557E9F"/>
    <w:rsid w:val="00560042"/>
    <w:rsid w:val="00560455"/>
    <w:rsid w:val="005607E4"/>
    <w:rsid w:val="00560B12"/>
    <w:rsid w:val="00560B58"/>
    <w:rsid w:val="00560E59"/>
    <w:rsid w:val="005611C9"/>
    <w:rsid w:val="00561485"/>
    <w:rsid w:val="00561EE6"/>
    <w:rsid w:val="00561F1A"/>
    <w:rsid w:val="00561FD3"/>
    <w:rsid w:val="005621BE"/>
    <w:rsid w:val="005621CB"/>
    <w:rsid w:val="005626B6"/>
    <w:rsid w:val="00562A90"/>
    <w:rsid w:val="00562D72"/>
    <w:rsid w:val="00562F6E"/>
    <w:rsid w:val="00562FEB"/>
    <w:rsid w:val="00563012"/>
    <w:rsid w:val="00563629"/>
    <w:rsid w:val="00563AA7"/>
    <w:rsid w:val="00563CCB"/>
    <w:rsid w:val="00563F49"/>
    <w:rsid w:val="00563FAC"/>
    <w:rsid w:val="005645DE"/>
    <w:rsid w:val="00564820"/>
    <w:rsid w:val="00564C9E"/>
    <w:rsid w:val="00564D1D"/>
    <w:rsid w:val="00564F1A"/>
    <w:rsid w:val="005651CB"/>
    <w:rsid w:val="005652CE"/>
    <w:rsid w:val="00565480"/>
    <w:rsid w:val="0056589E"/>
    <w:rsid w:val="00565D68"/>
    <w:rsid w:val="00565DF1"/>
    <w:rsid w:val="00565FD6"/>
    <w:rsid w:val="00566060"/>
    <w:rsid w:val="005661BD"/>
    <w:rsid w:val="005666DC"/>
    <w:rsid w:val="005667CB"/>
    <w:rsid w:val="005668AC"/>
    <w:rsid w:val="00566B9F"/>
    <w:rsid w:val="005673C9"/>
    <w:rsid w:val="00567446"/>
    <w:rsid w:val="005679CB"/>
    <w:rsid w:val="0057002E"/>
    <w:rsid w:val="005701E8"/>
    <w:rsid w:val="005709C8"/>
    <w:rsid w:val="005709DF"/>
    <w:rsid w:val="00570C80"/>
    <w:rsid w:val="005711BF"/>
    <w:rsid w:val="0057172A"/>
    <w:rsid w:val="00571C47"/>
    <w:rsid w:val="00571E34"/>
    <w:rsid w:val="00571FEE"/>
    <w:rsid w:val="005720B1"/>
    <w:rsid w:val="00572170"/>
    <w:rsid w:val="005724E4"/>
    <w:rsid w:val="00572548"/>
    <w:rsid w:val="00572EA7"/>
    <w:rsid w:val="005736A2"/>
    <w:rsid w:val="00573CAC"/>
    <w:rsid w:val="00573CE5"/>
    <w:rsid w:val="00573D80"/>
    <w:rsid w:val="00574190"/>
    <w:rsid w:val="005741AD"/>
    <w:rsid w:val="00574257"/>
    <w:rsid w:val="005744EC"/>
    <w:rsid w:val="00574A17"/>
    <w:rsid w:val="00574DDB"/>
    <w:rsid w:val="0057535A"/>
    <w:rsid w:val="00575A45"/>
    <w:rsid w:val="00575D4F"/>
    <w:rsid w:val="00576436"/>
    <w:rsid w:val="005766F4"/>
    <w:rsid w:val="005769CA"/>
    <w:rsid w:val="00576AA6"/>
    <w:rsid w:val="00576C80"/>
    <w:rsid w:val="00576EFD"/>
    <w:rsid w:val="00577222"/>
    <w:rsid w:val="005773F5"/>
    <w:rsid w:val="0057771D"/>
    <w:rsid w:val="005779ED"/>
    <w:rsid w:val="00577A44"/>
    <w:rsid w:val="00577AB5"/>
    <w:rsid w:val="00580A23"/>
    <w:rsid w:val="00580A63"/>
    <w:rsid w:val="00580B31"/>
    <w:rsid w:val="00580C31"/>
    <w:rsid w:val="00580EF5"/>
    <w:rsid w:val="0058111E"/>
    <w:rsid w:val="00581364"/>
    <w:rsid w:val="00581579"/>
    <w:rsid w:val="00581897"/>
    <w:rsid w:val="005819E2"/>
    <w:rsid w:val="00581B11"/>
    <w:rsid w:val="00581E34"/>
    <w:rsid w:val="0058241F"/>
    <w:rsid w:val="00582A15"/>
    <w:rsid w:val="0058312F"/>
    <w:rsid w:val="005836B4"/>
    <w:rsid w:val="00583788"/>
    <w:rsid w:val="00583B5C"/>
    <w:rsid w:val="00583FC3"/>
    <w:rsid w:val="005846C7"/>
    <w:rsid w:val="0058478B"/>
    <w:rsid w:val="005849CD"/>
    <w:rsid w:val="005849D4"/>
    <w:rsid w:val="00585180"/>
    <w:rsid w:val="00585A45"/>
    <w:rsid w:val="0058613C"/>
    <w:rsid w:val="005861B6"/>
    <w:rsid w:val="0058631E"/>
    <w:rsid w:val="0058636A"/>
    <w:rsid w:val="005869F2"/>
    <w:rsid w:val="00586ECF"/>
    <w:rsid w:val="00586EEE"/>
    <w:rsid w:val="005870E5"/>
    <w:rsid w:val="0058741D"/>
    <w:rsid w:val="005877D3"/>
    <w:rsid w:val="005878E1"/>
    <w:rsid w:val="00587DD9"/>
    <w:rsid w:val="005903C7"/>
    <w:rsid w:val="005903F1"/>
    <w:rsid w:val="005908AC"/>
    <w:rsid w:val="0059099D"/>
    <w:rsid w:val="00590C60"/>
    <w:rsid w:val="00590CA8"/>
    <w:rsid w:val="005918AD"/>
    <w:rsid w:val="00591C2D"/>
    <w:rsid w:val="00591CA0"/>
    <w:rsid w:val="00591E7F"/>
    <w:rsid w:val="00592128"/>
    <w:rsid w:val="0059259C"/>
    <w:rsid w:val="005927C0"/>
    <w:rsid w:val="0059294F"/>
    <w:rsid w:val="00592AA8"/>
    <w:rsid w:val="00592AB7"/>
    <w:rsid w:val="00592B0A"/>
    <w:rsid w:val="00592BF3"/>
    <w:rsid w:val="00592C87"/>
    <w:rsid w:val="00592CA0"/>
    <w:rsid w:val="005932CA"/>
    <w:rsid w:val="00593474"/>
    <w:rsid w:val="0059371A"/>
    <w:rsid w:val="005938F2"/>
    <w:rsid w:val="00593939"/>
    <w:rsid w:val="00593ACA"/>
    <w:rsid w:val="00593B00"/>
    <w:rsid w:val="00593D28"/>
    <w:rsid w:val="00593F28"/>
    <w:rsid w:val="0059434D"/>
    <w:rsid w:val="005948A4"/>
    <w:rsid w:val="00594B4E"/>
    <w:rsid w:val="00594FFE"/>
    <w:rsid w:val="00595080"/>
    <w:rsid w:val="005950B1"/>
    <w:rsid w:val="00595205"/>
    <w:rsid w:val="00595278"/>
    <w:rsid w:val="005952C9"/>
    <w:rsid w:val="0059557C"/>
    <w:rsid w:val="005958F9"/>
    <w:rsid w:val="0059597D"/>
    <w:rsid w:val="00595CF0"/>
    <w:rsid w:val="0059605A"/>
    <w:rsid w:val="005962CB"/>
    <w:rsid w:val="0059661A"/>
    <w:rsid w:val="00596625"/>
    <w:rsid w:val="005968C2"/>
    <w:rsid w:val="00596956"/>
    <w:rsid w:val="00596B46"/>
    <w:rsid w:val="00596C64"/>
    <w:rsid w:val="00596FD7"/>
    <w:rsid w:val="0059701F"/>
    <w:rsid w:val="0059736B"/>
    <w:rsid w:val="00597481"/>
    <w:rsid w:val="00597A88"/>
    <w:rsid w:val="00597B04"/>
    <w:rsid w:val="005A0449"/>
    <w:rsid w:val="005A062F"/>
    <w:rsid w:val="005A0664"/>
    <w:rsid w:val="005A0723"/>
    <w:rsid w:val="005A07E1"/>
    <w:rsid w:val="005A0871"/>
    <w:rsid w:val="005A0CB8"/>
    <w:rsid w:val="005A1335"/>
    <w:rsid w:val="005A1541"/>
    <w:rsid w:val="005A157F"/>
    <w:rsid w:val="005A170C"/>
    <w:rsid w:val="005A1A13"/>
    <w:rsid w:val="005A1D63"/>
    <w:rsid w:val="005A1E18"/>
    <w:rsid w:val="005A1FBE"/>
    <w:rsid w:val="005A2025"/>
    <w:rsid w:val="005A22D0"/>
    <w:rsid w:val="005A2466"/>
    <w:rsid w:val="005A253C"/>
    <w:rsid w:val="005A2B00"/>
    <w:rsid w:val="005A2FE7"/>
    <w:rsid w:val="005A33C6"/>
    <w:rsid w:val="005A3467"/>
    <w:rsid w:val="005A3812"/>
    <w:rsid w:val="005A38E0"/>
    <w:rsid w:val="005A3D30"/>
    <w:rsid w:val="005A3DCC"/>
    <w:rsid w:val="005A41E5"/>
    <w:rsid w:val="005A42CE"/>
    <w:rsid w:val="005A445A"/>
    <w:rsid w:val="005A45A1"/>
    <w:rsid w:val="005A473B"/>
    <w:rsid w:val="005A47D5"/>
    <w:rsid w:val="005A4910"/>
    <w:rsid w:val="005A4D17"/>
    <w:rsid w:val="005A4DFC"/>
    <w:rsid w:val="005A56AE"/>
    <w:rsid w:val="005A5E11"/>
    <w:rsid w:val="005A60D5"/>
    <w:rsid w:val="005A67D2"/>
    <w:rsid w:val="005A6943"/>
    <w:rsid w:val="005A6D2F"/>
    <w:rsid w:val="005A710F"/>
    <w:rsid w:val="005A79B3"/>
    <w:rsid w:val="005A7B7F"/>
    <w:rsid w:val="005A7EB3"/>
    <w:rsid w:val="005B0288"/>
    <w:rsid w:val="005B07DB"/>
    <w:rsid w:val="005B09A6"/>
    <w:rsid w:val="005B0C7E"/>
    <w:rsid w:val="005B0E26"/>
    <w:rsid w:val="005B0E6E"/>
    <w:rsid w:val="005B101D"/>
    <w:rsid w:val="005B10B5"/>
    <w:rsid w:val="005B115E"/>
    <w:rsid w:val="005B173D"/>
    <w:rsid w:val="005B1DEA"/>
    <w:rsid w:val="005B2339"/>
    <w:rsid w:val="005B2556"/>
    <w:rsid w:val="005B281A"/>
    <w:rsid w:val="005B2A27"/>
    <w:rsid w:val="005B2AF0"/>
    <w:rsid w:val="005B2E58"/>
    <w:rsid w:val="005B3068"/>
    <w:rsid w:val="005B3568"/>
    <w:rsid w:val="005B3E8F"/>
    <w:rsid w:val="005B4160"/>
    <w:rsid w:val="005B452F"/>
    <w:rsid w:val="005B4679"/>
    <w:rsid w:val="005B489D"/>
    <w:rsid w:val="005B4A63"/>
    <w:rsid w:val="005B4FE4"/>
    <w:rsid w:val="005B4FE5"/>
    <w:rsid w:val="005B5156"/>
    <w:rsid w:val="005B51A7"/>
    <w:rsid w:val="005B51F1"/>
    <w:rsid w:val="005B5327"/>
    <w:rsid w:val="005B53C7"/>
    <w:rsid w:val="005B596A"/>
    <w:rsid w:val="005B5AD9"/>
    <w:rsid w:val="005B627F"/>
    <w:rsid w:val="005B64AA"/>
    <w:rsid w:val="005B67A3"/>
    <w:rsid w:val="005B6A34"/>
    <w:rsid w:val="005B71CB"/>
    <w:rsid w:val="005B726C"/>
    <w:rsid w:val="005B7507"/>
    <w:rsid w:val="005B77D4"/>
    <w:rsid w:val="005B7D81"/>
    <w:rsid w:val="005B7E09"/>
    <w:rsid w:val="005B7ECE"/>
    <w:rsid w:val="005C03F8"/>
    <w:rsid w:val="005C0902"/>
    <w:rsid w:val="005C09FB"/>
    <w:rsid w:val="005C0A24"/>
    <w:rsid w:val="005C0B4A"/>
    <w:rsid w:val="005C0D4C"/>
    <w:rsid w:val="005C0ED2"/>
    <w:rsid w:val="005C1206"/>
    <w:rsid w:val="005C149A"/>
    <w:rsid w:val="005C156B"/>
    <w:rsid w:val="005C16E1"/>
    <w:rsid w:val="005C1846"/>
    <w:rsid w:val="005C1861"/>
    <w:rsid w:val="005C1875"/>
    <w:rsid w:val="005C1B5F"/>
    <w:rsid w:val="005C1CD1"/>
    <w:rsid w:val="005C2242"/>
    <w:rsid w:val="005C2394"/>
    <w:rsid w:val="005C241B"/>
    <w:rsid w:val="005C2B32"/>
    <w:rsid w:val="005C2BDB"/>
    <w:rsid w:val="005C2C35"/>
    <w:rsid w:val="005C2CBE"/>
    <w:rsid w:val="005C2DD0"/>
    <w:rsid w:val="005C2DE7"/>
    <w:rsid w:val="005C306C"/>
    <w:rsid w:val="005C30C8"/>
    <w:rsid w:val="005C30FC"/>
    <w:rsid w:val="005C3656"/>
    <w:rsid w:val="005C391B"/>
    <w:rsid w:val="005C3A67"/>
    <w:rsid w:val="005C3D7A"/>
    <w:rsid w:val="005C3EC1"/>
    <w:rsid w:val="005C47B6"/>
    <w:rsid w:val="005C47D3"/>
    <w:rsid w:val="005C4850"/>
    <w:rsid w:val="005C49E2"/>
    <w:rsid w:val="005C4B29"/>
    <w:rsid w:val="005C4EBC"/>
    <w:rsid w:val="005C59BA"/>
    <w:rsid w:val="005C5DA1"/>
    <w:rsid w:val="005C5F96"/>
    <w:rsid w:val="005C656F"/>
    <w:rsid w:val="005C657E"/>
    <w:rsid w:val="005C6C2E"/>
    <w:rsid w:val="005C6C3C"/>
    <w:rsid w:val="005C7906"/>
    <w:rsid w:val="005C7A1B"/>
    <w:rsid w:val="005C7FD1"/>
    <w:rsid w:val="005D053D"/>
    <w:rsid w:val="005D0A5D"/>
    <w:rsid w:val="005D1072"/>
    <w:rsid w:val="005D11DB"/>
    <w:rsid w:val="005D120A"/>
    <w:rsid w:val="005D1550"/>
    <w:rsid w:val="005D18BF"/>
    <w:rsid w:val="005D1D4D"/>
    <w:rsid w:val="005D1FCB"/>
    <w:rsid w:val="005D21E2"/>
    <w:rsid w:val="005D29DD"/>
    <w:rsid w:val="005D2C17"/>
    <w:rsid w:val="005D2CAC"/>
    <w:rsid w:val="005D2F55"/>
    <w:rsid w:val="005D3282"/>
    <w:rsid w:val="005D3391"/>
    <w:rsid w:val="005D3707"/>
    <w:rsid w:val="005D3E8E"/>
    <w:rsid w:val="005D3FC1"/>
    <w:rsid w:val="005D40FD"/>
    <w:rsid w:val="005D4171"/>
    <w:rsid w:val="005D4439"/>
    <w:rsid w:val="005D4AFD"/>
    <w:rsid w:val="005D4BF4"/>
    <w:rsid w:val="005D4CC6"/>
    <w:rsid w:val="005D4D4E"/>
    <w:rsid w:val="005D4D55"/>
    <w:rsid w:val="005D599A"/>
    <w:rsid w:val="005D5D5F"/>
    <w:rsid w:val="005D6142"/>
    <w:rsid w:val="005D617D"/>
    <w:rsid w:val="005D61A1"/>
    <w:rsid w:val="005D6322"/>
    <w:rsid w:val="005D63E4"/>
    <w:rsid w:val="005D646B"/>
    <w:rsid w:val="005D6544"/>
    <w:rsid w:val="005D65C4"/>
    <w:rsid w:val="005D6768"/>
    <w:rsid w:val="005D680A"/>
    <w:rsid w:val="005D6A72"/>
    <w:rsid w:val="005D6D25"/>
    <w:rsid w:val="005D7150"/>
    <w:rsid w:val="005D7283"/>
    <w:rsid w:val="005D742E"/>
    <w:rsid w:val="005D7729"/>
    <w:rsid w:val="005D779C"/>
    <w:rsid w:val="005D79FF"/>
    <w:rsid w:val="005D7D79"/>
    <w:rsid w:val="005D7D84"/>
    <w:rsid w:val="005D7D8C"/>
    <w:rsid w:val="005D7EE1"/>
    <w:rsid w:val="005D7F84"/>
    <w:rsid w:val="005E0623"/>
    <w:rsid w:val="005E0A8F"/>
    <w:rsid w:val="005E0E26"/>
    <w:rsid w:val="005E0E7A"/>
    <w:rsid w:val="005E0FA8"/>
    <w:rsid w:val="005E10AF"/>
    <w:rsid w:val="005E128E"/>
    <w:rsid w:val="005E1383"/>
    <w:rsid w:val="005E1498"/>
    <w:rsid w:val="005E1588"/>
    <w:rsid w:val="005E1649"/>
    <w:rsid w:val="005E1682"/>
    <w:rsid w:val="005E1867"/>
    <w:rsid w:val="005E1886"/>
    <w:rsid w:val="005E1F98"/>
    <w:rsid w:val="005E2300"/>
    <w:rsid w:val="005E26D1"/>
    <w:rsid w:val="005E284A"/>
    <w:rsid w:val="005E2C86"/>
    <w:rsid w:val="005E2E98"/>
    <w:rsid w:val="005E343C"/>
    <w:rsid w:val="005E3873"/>
    <w:rsid w:val="005E3BBE"/>
    <w:rsid w:val="005E4010"/>
    <w:rsid w:val="005E4350"/>
    <w:rsid w:val="005E521D"/>
    <w:rsid w:val="005E5503"/>
    <w:rsid w:val="005E560F"/>
    <w:rsid w:val="005E5708"/>
    <w:rsid w:val="005E5B48"/>
    <w:rsid w:val="005E5B65"/>
    <w:rsid w:val="005E5C25"/>
    <w:rsid w:val="005E5C5C"/>
    <w:rsid w:val="005E5CDC"/>
    <w:rsid w:val="005E6122"/>
    <w:rsid w:val="005E6365"/>
    <w:rsid w:val="005E65F6"/>
    <w:rsid w:val="005E6959"/>
    <w:rsid w:val="005E69E6"/>
    <w:rsid w:val="005E6AF9"/>
    <w:rsid w:val="005E6F1E"/>
    <w:rsid w:val="005E731B"/>
    <w:rsid w:val="005E7424"/>
    <w:rsid w:val="005E75F9"/>
    <w:rsid w:val="005F00DC"/>
    <w:rsid w:val="005F0227"/>
    <w:rsid w:val="005F0380"/>
    <w:rsid w:val="005F05AB"/>
    <w:rsid w:val="005F075A"/>
    <w:rsid w:val="005F0AF9"/>
    <w:rsid w:val="005F0B68"/>
    <w:rsid w:val="005F235A"/>
    <w:rsid w:val="005F2661"/>
    <w:rsid w:val="005F27CB"/>
    <w:rsid w:val="005F2808"/>
    <w:rsid w:val="005F2992"/>
    <w:rsid w:val="005F2AB7"/>
    <w:rsid w:val="005F2CD7"/>
    <w:rsid w:val="005F2CED"/>
    <w:rsid w:val="005F2D4F"/>
    <w:rsid w:val="005F317F"/>
    <w:rsid w:val="005F363D"/>
    <w:rsid w:val="005F3E05"/>
    <w:rsid w:val="005F3E27"/>
    <w:rsid w:val="005F3F71"/>
    <w:rsid w:val="005F3FF9"/>
    <w:rsid w:val="005F46BE"/>
    <w:rsid w:val="005F4D12"/>
    <w:rsid w:val="005F4D28"/>
    <w:rsid w:val="005F516D"/>
    <w:rsid w:val="005F51A6"/>
    <w:rsid w:val="005F533E"/>
    <w:rsid w:val="005F53F5"/>
    <w:rsid w:val="005F55EB"/>
    <w:rsid w:val="005F56A1"/>
    <w:rsid w:val="005F59DE"/>
    <w:rsid w:val="005F5A22"/>
    <w:rsid w:val="005F5AC9"/>
    <w:rsid w:val="005F5F76"/>
    <w:rsid w:val="005F5FED"/>
    <w:rsid w:val="005F63BA"/>
    <w:rsid w:val="005F667D"/>
    <w:rsid w:val="005F6811"/>
    <w:rsid w:val="005F69A9"/>
    <w:rsid w:val="005F6A36"/>
    <w:rsid w:val="005F6BF6"/>
    <w:rsid w:val="005F6CB8"/>
    <w:rsid w:val="005F6F16"/>
    <w:rsid w:val="005F6FF5"/>
    <w:rsid w:val="005F727F"/>
    <w:rsid w:val="005F72F5"/>
    <w:rsid w:val="005F74B9"/>
    <w:rsid w:val="005F74E9"/>
    <w:rsid w:val="005F765C"/>
    <w:rsid w:val="005F78AB"/>
    <w:rsid w:val="005F79F3"/>
    <w:rsid w:val="005F7B34"/>
    <w:rsid w:val="005F7B94"/>
    <w:rsid w:val="00600650"/>
    <w:rsid w:val="00600728"/>
    <w:rsid w:val="00600829"/>
    <w:rsid w:val="00600867"/>
    <w:rsid w:val="00600FC7"/>
    <w:rsid w:val="006010C9"/>
    <w:rsid w:val="0060132C"/>
    <w:rsid w:val="00601797"/>
    <w:rsid w:val="00601B13"/>
    <w:rsid w:val="00601B14"/>
    <w:rsid w:val="00601F15"/>
    <w:rsid w:val="00602000"/>
    <w:rsid w:val="0060271F"/>
    <w:rsid w:val="00602A37"/>
    <w:rsid w:val="00602A5C"/>
    <w:rsid w:val="006030DF"/>
    <w:rsid w:val="00603119"/>
    <w:rsid w:val="006034C0"/>
    <w:rsid w:val="006036DE"/>
    <w:rsid w:val="00603791"/>
    <w:rsid w:val="00603998"/>
    <w:rsid w:val="00603A82"/>
    <w:rsid w:val="00603BE8"/>
    <w:rsid w:val="006041FB"/>
    <w:rsid w:val="006043A0"/>
    <w:rsid w:val="006043CB"/>
    <w:rsid w:val="006046B5"/>
    <w:rsid w:val="00604986"/>
    <w:rsid w:val="00604FA1"/>
    <w:rsid w:val="006052A8"/>
    <w:rsid w:val="006054AB"/>
    <w:rsid w:val="006059C0"/>
    <w:rsid w:val="00605BC0"/>
    <w:rsid w:val="00605C72"/>
    <w:rsid w:val="00605E78"/>
    <w:rsid w:val="00605F4D"/>
    <w:rsid w:val="00605FF5"/>
    <w:rsid w:val="00606124"/>
    <w:rsid w:val="0060648D"/>
    <w:rsid w:val="0060680E"/>
    <w:rsid w:val="00606815"/>
    <w:rsid w:val="00606F5C"/>
    <w:rsid w:val="006070FB"/>
    <w:rsid w:val="006073CB"/>
    <w:rsid w:val="00607773"/>
    <w:rsid w:val="006077F4"/>
    <w:rsid w:val="00607AA5"/>
    <w:rsid w:val="0061031A"/>
    <w:rsid w:val="00610385"/>
    <w:rsid w:val="00610701"/>
    <w:rsid w:val="00610D81"/>
    <w:rsid w:val="00610FF6"/>
    <w:rsid w:val="006110F9"/>
    <w:rsid w:val="006113F2"/>
    <w:rsid w:val="00611702"/>
    <w:rsid w:val="0061188F"/>
    <w:rsid w:val="00611B9E"/>
    <w:rsid w:val="00612512"/>
    <w:rsid w:val="006127FC"/>
    <w:rsid w:val="00612814"/>
    <w:rsid w:val="006128F0"/>
    <w:rsid w:val="00612CD2"/>
    <w:rsid w:val="0061312E"/>
    <w:rsid w:val="0061328A"/>
    <w:rsid w:val="00613330"/>
    <w:rsid w:val="006133BE"/>
    <w:rsid w:val="0061350C"/>
    <w:rsid w:val="00613B2D"/>
    <w:rsid w:val="00613C93"/>
    <w:rsid w:val="00613E82"/>
    <w:rsid w:val="006140EC"/>
    <w:rsid w:val="0061441D"/>
    <w:rsid w:val="006144FB"/>
    <w:rsid w:val="006146F0"/>
    <w:rsid w:val="00614865"/>
    <w:rsid w:val="00614919"/>
    <w:rsid w:val="00614A81"/>
    <w:rsid w:val="00614D15"/>
    <w:rsid w:val="00615333"/>
    <w:rsid w:val="0061543B"/>
    <w:rsid w:val="006154B8"/>
    <w:rsid w:val="006158D3"/>
    <w:rsid w:val="006159C3"/>
    <w:rsid w:val="006159D4"/>
    <w:rsid w:val="006159E0"/>
    <w:rsid w:val="00615A7A"/>
    <w:rsid w:val="00615D9C"/>
    <w:rsid w:val="00615DD3"/>
    <w:rsid w:val="0061651F"/>
    <w:rsid w:val="00616591"/>
    <w:rsid w:val="00616FFB"/>
    <w:rsid w:val="0061770D"/>
    <w:rsid w:val="00617711"/>
    <w:rsid w:val="0062018F"/>
    <w:rsid w:val="006201F2"/>
    <w:rsid w:val="00620461"/>
    <w:rsid w:val="006207D5"/>
    <w:rsid w:val="0062095D"/>
    <w:rsid w:val="00620A5C"/>
    <w:rsid w:val="00620B87"/>
    <w:rsid w:val="00620D6B"/>
    <w:rsid w:val="00620E63"/>
    <w:rsid w:val="00620FEA"/>
    <w:rsid w:val="0062139E"/>
    <w:rsid w:val="00621461"/>
    <w:rsid w:val="0062165E"/>
    <w:rsid w:val="00621AC9"/>
    <w:rsid w:val="00621B6C"/>
    <w:rsid w:val="00621BB3"/>
    <w:rsid w:val="00621C04"/>
    <w:rsid w:val="00621D47"/>
    <w:rsid w:val="00622269"/>
    <w:rsid w:val="00622BA1"/>
    <w:rsid w:val="00622D6D"/>
    <w:rsid w:val="00622D72"/>
    <w:rsid w:val="00622F9F"/>
    <w:rsid w:val="006230F6"/>
    <w:rsid w:val="00623570"/>
    <w:rsid w:val="00623C04"/>
    <w:rsid w:val="00623F57"/>
    <w:rsid w:val="006240A8"/>
    <w:rsid w:val="006242A6"/>
    <w:rsid w:val="0062448F"/>
    <w:rsid w:val="0062457B"/>
    <w:rsid w:val="006253E8"/>
    <w:rsid w:val="00625708"/>
    <w:rsid w:val="006258FF"/>
    <w:rsid w:val="00625E7D"/>
    <w:rsid w:val="00625F37"/>
    <w:rsid w:val="006261A5"/>
    <w:rsid w:val="006261E1"/>
    <w:rsid w:val="0062628B"/>
    <w:rsid w:val="006262C4"/>
    <w:rsid w:val="0062650C"/>
    <w:rsid w:val="006268D4"/>
    <w:rsid w:val="00626C1F"/>
    <w:rsid w:val="00626D5D"/>
    <w:rsid w:val="00626D9F"/>
    <w:rsid w:val="00627597"/>
    <w:rsid w:val="00627A6D"/>
    <w:rsid w:val="00627C53"/>
    <w:rsid w:val="00627CBC"/>
    <w:rsid w:val="00627EF3"/>
    <w:rsid w:val="00630229"/>
    <w:rsid w:val="006302B0"/>
    <w:rsid w:val="0063083D"/>
    <w:rsid w:val="006308A2"/>
    <w:rsid w:val="00630999"/>
    <w:rsid w:val="00630DDC"/>
    <w:rsid w:val="00630F00"/>
    <w:rsid w:val="00630F09"/>
    <w:rsid w:val="006313C7"/>
    <w:rsid w:val="006315AF"/>
    <w:rsid w:val="006323E1"/>
    <w:rsid w:val="006324B2"/>
    <w:rsid w:val="0063258C"/>
    <w:rsid w:val="00632B8F"/>
    <w:rsid w:val="00632E0B"/>
    <w:rsid w:val="00632EF0"/>
    <w:rsid w:val="006331BA"/>
    <w:rsid w:val="006334A3"/>
    <w:rsid w:val="006334D7"/>
    <w:rsid w:val="006339C3"/>
    <w:rsid w:val="006339F8"/>
    <w:rsid w:val="00633D35"/>
    <w:rsid w:val="00633D61"/>
    <w:rsid w:val="00633E25"/>
    <w:rsid w:val="0063416A"/>
    <w:rsid w:val="0063416D"/>
    <w:rsid w:val="00634405"/>
    <w:rsid w:val="00634D22"/>
    <w:rsid w:val="00634E5B"/>
    <w:rsid w:val="00634E71"/>
    <w:rsid w:val="00634F1E"/>
    <w:rsid w:val="006350AE"/>
    <w:rsid w:val="006350FC"/>
    <w:rsid w:val="006351B8"/>
    <w:rsid w:val="006359B9"/>
    <w:rsid w:val="006359D1"/>
    <w:rsid w:val="00635C18"/>
    <w:rsid w:val="00635DD4"/>
    <w:rsid w:val="00635E25"/>
    <w:rsid w:val="0063601A"/>
    <w:rsid w:val="00636090"/>
    <w:rsid w:val="006360C4"/>
    <w:rsid w:val="00636336"/>
    <w:rsid w:val="00636431"/>
    <w:rsid w:val="00636D84"/>
    <w:rsid w:val="00636E3C"/>
    <w:rsid w:val="00636F29"/>
    <w:rsid w:val="00637369"/>
    <w:rsid w:val="00637848"/>
    <w:rsid w:val="0063792D"/>
    <w:rsid w:val="00637CB6"/>
    <w:rsid w:val="00637E9B"/>
    <w:rsid w:val="00637F12"/>
    <w:rsid w:val="0063D915"/>
    <w:rsid w:val="00640E18"/>
    <w:rsid w:val="00640F52"/>
    <w:rsid w:val="00641040"/>
    <w:rsid w:val="0064111E"/>
    <w:rsid w:val="0064158B"/>
    <w:rsid w:val="006416C5"/>
    <w:rsid w:val="00641CC8"/>
    <w:rsid w:val="00641F2A"/>
    <w:rsid w:val="00641F5F"/>
    <w:rsid w:val="00642C37"/>
    <w:rsid w:val="006435CA"/>
    <w:rsid w:val="0064371C"/>
    <w:rsid w:val="006438D8"/>
    <w:rsid w:val="006439C9"/>
    <w:rsid w:val="00643B75"/>
    <w:rsid w:val="00643DC0"/>
    <w:rsid w:val="00643F99"/>
    <w:rsid w:val="006441D4"/>
    <w:rsid w:val="00644218"/>
    <w:rsid w:val="00644262"/>
    <w:rsid w:val="00644458"/>
    <w:rsid w:val="0064453F"/>
    <w:rsid w:val="00644590"/>
    <w:rsid w:val="006447EF"/>
    <w:rsid w:val="00644A39"/>
    <w:rsid w:val="00644AAB"/>
    <w:rsid w:val="00644B5C"/>
    <w:rsid w:val="00644B76"/>
    <w:rsid w:val="00644D37"/>
    <w:rsid w:val="00644F40"/>
    <w:rsid w:val="00644F63"/>
    <w:rsid w:val="00645458"/>
    <w:rsid w:val="00645687"/>
    <w:rsid w:val="00645F9A"/>
    <w:rsid w:val="006460A2"/>
    <w:rsid w:val="00646445"/>
    <w:rsid w:val="006464B8"/>
    <w:rsid w:val="00646647"/>
    <w:rsid w:val="00646F48"/>
    <w:rsid w:val="006471AD"/>
    <w:rsid w:val="006472F8"/>
    <w:rsid w:val="00647853"/>
    <w:rsid w:val="006479D4"/>
    <w:rsid w:val="00647B1B"/>
    <w:rsid w:val="006500C8"/>
    <w:rsid w:val="0065063E"/>
    <w:rsid w:val="006507D6"/>
    <w:rsid w:val="00650918"/>
    <w:rsid w:val="00650BD0"/>
    <w:rsid w:val="00650DC4"/>
    <w:rsid w:val="00650FC0"/>
    <w:rsid w:val="006512B1"/>
    <w:rsid w:val="00651366"/>
    <w:rsid w:val="00651498"/>
    <w:rsid w:val="00651633"/>
    <w:rsid w:val="00651E83"/>
    <w:rsid w:val="006521E0"/>
    <w:rsid w:val="006523B7"/>
    <w:rsid w:val="0065251E"/>
    <w:rsid w:val="00652734"/>
    <w:rsid w:val="00652769"/>
    <w:rsid w:val="00652A4D"/>
    <w:rsid w:val="0065307A"/>
    <w:rsid w:val="00653307"/>
    <w:rsid w:val="0065333A"/>
    <w:rsid w:val="006533A9"/>
    <w:rsid w:val="006533AC"/>
    <w:rsid w:val="006536F0"/>
    <w:rsid w:val="006537E0"/>
    <w:rsid w:val="00654828"/>
    <w:rsid w:val="00654AB6"/>
    <w:rsid w:val="00654DD5"/>
    <w:rsid w:val="00655281"/>
    <w:rsid w:val="00655967"/>
    <w:rsid w:val="0065597E"/>
    <w:rsid w:val="00655C41"/>
    <w:rsid w:val="00655CCD"/>
    <w:rsid w:val="00655DC1"/>
    <w:rsid w:val="00655DC9"/>
    <w:rsid w:val="00655F3F"/>
    <w:rsid w:val="00656009"/>
    <w:rsid w:val="00656012"/>
    <w:rsid w:val="006568EC"/>
    <w:rsid w:val="00657252"/>
    <w:rsid w:val="006573C8"/>
    <w:rsid w:val="00657524"/>
    <w:rsid w:val="00657A1B"/>
    <w:rsid w:val="00657C3B"/>
    <w:rsid w:val="00657DDA"/>
    <w:rsid w:val="0066003E"/>
    <w:rsid w:val="0066011B"/>
    <w:rsid w:val="00660330"/>
    <w:rsid w:val="0066080F"/>
    <w:rsid w:val="0066090C"/>
    <w:rsid w:val="00661330"/>
    <w:rsid w:val="00661557"/>
    <w:rsid w:val="006615F9"/>
    <w:rsid w:val="00661A70"/>
    <w:rsid w:val="00661E42"/>
    <w:rsid w:val="006620BF"/>
    <w:rsid w:val="00662227"/>
    <w:rsid w:val="00662393"/>
    <w:rsid w:val="006623BE"/>
    <w:rsid w:val="006625E8"/>
    <w:rsid w:val="006626BA"/>
    <w:rsid w:val="006626DF"/>
    <w:rsid w:val="00662D24"/>
    <w:rsid w:val="00662D4E"/>
    <w:rsid w:val="00662DBC"/>
    <w:rsid w:val="0066318A"/>
    <w:rsid w:val="00663268"/>
    <w:rsid w:val="00663CC6"/>
    <w:rsid w:val="0066415B"/>
    <w:rsid w:val="00664220"/>
    <w:rsid w:val="006642A7"/>
    <w:rsid w:val="006644A1"/>
    <w:rsid w:val="00664923"/>
    <w:rsid w:val="0066495D"/>
    <w:rsid w:val="00664E46"/>
    <w:rsid w:val="00665423"/>
    <w:rsid w:val="006658C6"/>
    <w:rsid w:val="00665A51"/>
    <w:rsid w:val="00665C39"/>
    <w:rsid w:val="00665F24"/>
    <w:rsid w:val="00666045"/>
    <w:rsid w:val="006664F0"/>
    <w:rsid w:val="006668B4"/>
    <w:rsid w:val="006668DA"/>
    <w:rsid w:val="00666A34"/>
    <w:rsid w:val="00666C2D"/>
    <w:rsid w:val="00667772"/>
    <w:rsid w:val="00667872"/>
    <w:rsid w:val="006679B3"/>
    <w:rsid w:val="00667AF5"/>
    <w:rsid w:val="006700A1"/>
    <w:rsid w:val="00670115"/>
    <w:rsid w:val="00670868"/>
    <w:rsid w:val="0067091E"/>
    <w:rsid w:val="006709A8"/>
    <w:rsid w:val="006709E9"/>
    <w:rsid w:val="00670D50"/>
    <w:rsid w:val="00670DAB"/>
    <w:rsid w:val="00670DE6"/>
    <w:rsid w:val="00670E31"/>
    <w:rsid w:val="0067115A"/>
    <w:rsid w:val="0067125F"/>
    <w:rsid w:val="006714AA"/>
    <w:rsid w:val="0067174E"/>
    <w:rsid w:val="0067187B"/>
    <w:rsid w:val="006718D6"/>
    <w:rsid w:val="006719B5"/>
    <w:rsid w:val="00672699"/>
    <w:rsid w:val="00672740"/>
    <w:rsid w:val="00672E46"/>
    <w:rsid w:val="00673288"/>
    <w:rsid w:val="00673A55"/>
    <w:rsid w:val="0067444E"/>
    <w:rsid w:val="006748BF"/>
    <w:rsid w:val="00674C06"/>
    <w:rsid w:val="00674C10"/>
    <w:rsid w:val="00674E5A"/>
    <w:rsid w:val="0067555F"/>
    <w:rsid w:val="006757C3"/>
    <w:rsid w:val="0067580A"/>
    <w:rsid w:val="00675938"/>
    <w:rsid w:val="0067594D"/>
    <w:rsid w:val="00675C5A"/>
    <w:rsid w:val="00675DBB"/>
    <w:rsid w:val="00676011"/>
    <w:rsid w:val="006760BC"/>
    <w:rsid w:val="0067615C"/>
    <w:rsid w:val="006763C2"/>
    <w:rsid w:val="0067681C"/>
    <w:rsid w:val="00676871"/>
    <w:rsid w:val="00676A2D"/>
    <w:rsid w:val="00676AC6"/>
    <w:rsid w:val="00676C3E"/>
    <w:rsid w:val="0067774A"/>
    <w:rsid w:val="006777B3"/>
    <w:rsid w:val="00677817"/>
    <w:rsid w:val="00680228"/>
    <w:rsid w:val="00680262"/>
    <w:rsid w:val="006803DF"/>
    <w:rsid w:val="00680C50"/>
    <w:rsid w:val="00680CAA"/>
    <w:rsid w:val="00680CBB"/>
    <w:rsid w:val="00680CC6"/>
    <w:rsid w:val="00680CED"/>
    <w:rsid w:val="00680D20"/>
    <w:rsid w:val="00680D77"/>
    <w:rsid w:val="0068105E"/>
    <w:rsid w:val="00681311"/>
    <w:rsid w:val="006816E1"/>
    <w:rsid w:val="00681B89"/>
    <w:rsid w:val="00681DF1"/>
    <w:rsid w:val="006820DE"/>
    <w:rsid w:val="00682135"/>
    <w:rsid w:val="0068264B"/>
    <w:rsid w:val="006827D2"/>
    <w:rsid w:val="00682D89"/>
    <w:rsid w:val="00683163"/>
    <w:rsid w:val="006838C5"/>
    <w:rsid w:val="00683BA4"/>
    <w:rsid w:val="00683E6F"/>
    <w:rsid w:val="0068439E"/>
    <w:rsid w:val="00684835"/>
    <w:rsid w:val="006848D0"/>
    <w:rsid w:val="00684B22"/>
    <w:rsid w:val="006852A5"/>
    <w:rsid w:val="006852F3"/>
    <w:rsid w:val="006854EA"/>
    <w:rsid w:val="00685BC4"/>
    <w:rsid w:val="00685D92"/>
    <w:rsid w:val="00686D93"/>
    <w:rsid w:val="00686DC0"/>
    <w:rsid w:val="00686EBB"/>
    <w:rsid w:val="00687233"/>
    <w:rsid w:val="00687329"/>
    <w:rsid w:val="0068778C"/>
    <w:rsid w:val="006878CE"/>
    <w:rsid w:val="00687DB6"/>
    <w:rsid w:val="006902D7"/>
    <w:rsid w:val="00690534"/>
    <w:rsid w:val="006905A3"/>
    <w:rsid w:val="00690686"/>
    <w:rsid w:val="0069088D"/>
    <w:rsid w:val="00690E88"/>
    <w:rsid w:val="00690F87"/>
    <w:rsid w:val="00691578"/>
    <w:rsid w:val="00691EFC"/>
    <w:rsid w:val="0069245A"/>
    <w:rsid w:val="00692536"/>
    <w:rsid w:val="00692AEC"/>
    <w:rsid w:val="00692B04"/>
    <w:rsid w:val="00692B3E"/>
    <w:rsid w:val="00692B6E"/>
    <w:rsid w:val="00692D2C"/>
    <w:rsid w:val="00692D78"/>
    <w:rsid w:val="0069357B"/>
    <w:rsid w:val="00693633"/>
    <w:rsid w:val="00693759"/>
    <w:rsid w:val="00693885"/>
    <w:rsid w:val="00694129"/>
    <w:rsid w:val="00694236"/>
    <w:rsid w:val="0069491F"/>
    <w:rsid w:val="00694B13"/>
    <w:rsid w:val="0069500E"/>
    <w:rsid w:val="006950A9"/>
    <w:rsid w:val="006950F7"/>
    <w:rsid w:val="006956E9"/>
    <w:rsid w:val="00695808"/>
    <w:rsid w:val="00696340"/>
    <w:rsid w:val="00696438"/>
    <w:rsid w:val="0069676B"/>
    <w:rsid w:val="006967DC"/>
    <w:rsid w:val="006968FE"/>
    <w:rsid w:val="00696BC0"/>
    <w:rsid w:val="00696C30"/>
    <w:rsid w:val="006971C9"/>
    <w:rsid w:val="006972A7"/>
    <w:rsid w:val="0069761E"/>
    <w:rsid w:val="006976AF"/>
    <w:rsid w:val="006977ED"/>
    <w:rsid w:val="006978DD"/>
    <w:rsid w:val="0069793E"/>
    <w:rsid w:val="00697D7C"/>
    <w:rsid w:val="00697E42"/>
    <w:rsid w:val="006A0005"/>
    <w:rsid w:val="006A0577"/>
    <w:rsid w:val="006A062D"/>
    <w:rsid w:val="006A06E7"/>
    <w:rsid w:val="006A076E"/>
    <w:rsid w:val="006A1463"/>
    <w:rsid w:val="006A1501"/>
    <w:rsid w:val="006A195B"/>
    <w:rsid w:val="006A1E99"/>
    <w:rsid w:val="006A1EA9"/>
    <w:rsid w:val="006A1EE2"/>
    <w:rsid w:val="006A2573"/>
    <w:rsid w:val="006A2A57"/>
    <w:rsid w:val="006A2C41"/>
    <w:rsid w:val="006A2EB7"/>
    <w:rsid w:val="006A2EF9"/>
    <w:rsid w:val="006A3086"/>
    <w:rsid w:val="006A318B"/>
    <w:rsid w:val="006A3943"/>
    <w:rsid w:val="006A3AC4"/>
    <w:rsid w:val="006A405A"/>
    <w:rsid w:val="006A40E9"/>
    <w:rsid w:val="006A476B"/>
    <w:rsid w:val="006A4972"/>
    <w:rsid w:val="006A49F9"/>
    <w:rsid w:val="006A4C52"/>
    <w:rsid w:val="006A4DD8"/>
    <w:rsid w:val="006A5553"/>
    <w:rsid w:val="006A5790"/>
    <w:rsid w:val="006A5836"/>
    <w:rsid w:val="006A58E6"/>
    <w:rsid w:val="006A58FD"/>
    <w:rsid w:val="006A5B3F"/>
    <w:rsid w:val="006A5C27"/>
    <w:rsid w:val="006A5E7A"/>
    <w:rsid w:val="006A630B"/>
    <w:rsid w:val="006A66A0"/>
    <w:rsid w:val="006A6814"/>
    <w:rsid w:val="006A691B"/>
    <w:rsid w:val="006A6975"/>
    <w:rsid w:val="006A6996"/>
    <w:rsid w:val="006A6A72"/>
    <w:rsid w:val="006A6AAD"/>
    <w:rsid w:val="006A6B2D"/>
    <w:rsid w:val="006A6C26"/>
    <w:rsid w:val="006A7CE4"/>
    <w:rsid w:val="006A7DC6"/>
    <w:rsid w:val="006B0094"/>
    <w:rsid w:val="006B02E7"/>
    <w:rsid w:val="006B0793"/>
    <w:rsid w:val="006B0A77"/>
    <w:rsid w:val="006B129C"/>
    <w:rsid w:val="006B15AA"/>
    <w:rsid w:val="006B1618"/>
    <w:rsid w:val="006B168F"/>
    <w:rsid w:val="006B1892"/>
    <w:rsid w:val="006B1A76"/>
    <w:rsid w:val="006B1B50"/>
    <w:rsid w:val="006B1D34"/>
    <w:rsid w:val="006B1FDD"/>
    <w:rsid w:val="006B24E2"/>
    <w:rsid w:val="006B257D"/>
    <w:rsid w:val="006B26C6"/>
    <w:rsid w:val="006B2B72"/>
    <w:rsid w:val="006B2BDE"/>
    <w:rsid w:val="006B357C"/>
    <w:rsid w:val="006B36AB"/>
    <w:rsid w:val="006B36DE"/>
    <w:rsid w:val="006B3759"/>
    <w:rsid w:val="006B409E"/>
    <w:rsid w:val="006B40A6"/>
    <w:rsid w:val="006B4184"/>
    <w:rsid w:val="006B4954"/>
    <w:rsid w:val="006B4D63"/>
    <w:rsid w:val="006B5317"/>
    <w:rsid w:val="006B5580"/>
    <w:rsid w:val="006B5681"/>
    <w:rsid w:val="006B5896"/>
    <w:rsid w:val="006B5DCC"/>
    <w:rsid w:val="006B5F4E"/>
    <w:rsid w:val="006B5F78"/>
    <w:rsid w:val="006B656B"/>
    <w:rsid w:val="006B66A4"/>
    <w:rsid w:val="006B66D4"/>
    <w:rsid w:val="006B758F"/>
    <w:rsid w:val="006B7ED8"/>
    <w:rsid w:val="006C01DD"/>
    <w:rsid w:val="006C0200"/>
    <w:rsid w:val="006C0826"/>
    <w:rsid w:val="006C0C21"/>
    <w:rsid w:val="006C0F3B"/>
    <w:rsid w:val="006C11DD"/>
    <w:rsid w:val="006C14DA"/>
    <w:rsid w:val="006C1645"/>
    <w:rsid w:val="006C1A74"/>
    <w:rsid w:val="006C2682"/>
    <w:rsid w:val="006C2759"/>
    <w:rsid w:val="006C2A1C"/>
    <w:rsid w:val="006C2A3D"/>
    <w:rsid w:val="006C2FD4"/>
    <w:rsid w:val="006C31DC"/>
    <w:rsid w:val="006C3A30"/>
    <w:rsid w:val="006C3B04"/>
    <w:rsid w:val="006C41AD"/>
    <w:rsid w:val="006C4662"/>
    <w:rsid w:val="006C467F"/>
    <w:rsid w:val="006C4785"/>
    <w:rsid w:val="006C48E4"/>
    <w:rsid w:val="006C4AD1"/>
    <w:rsid w:val="006C4C3D"/>
    <w:rsid w:val="006C4D3C"/>
    <w:rsid w:val="006C527D"/>
    <w:rsid w:val="006C5327"/>
    <w:rsid w:val="006C552F"/>
    <w:rsid w:val="006C58EF"/>
    <w:rsid w:val="006C6331"/>
    <w:rsid w:val="006C63EC"/>
    <w:rsid w:val="006C6A45"/>
    <w:rsid w:val="006C6E8D"/>
    <w:rsid w:val="006C7138"/>
    <w:rsid w:val="006C72D1"/>
    <w:rsid w:val="006C77CB"/>
    <w:rsid w:val="006C78A7"/>
    <w:rsid w:val="006C7969"/>
    <w:rsid w:val="006C797D"/>
    <w:rsid w:val="006C7BC3"/>
    <w:rsid w:val="006C7BDF"/>
    <w:rsid w:val="006C7D3A"/>
    <w:rsid w:val="006C7D94"/>
    <w:rsid w:val="006C7DB8"/>
    <w:rsid w:val="006C7E90"/>
    <w:rsid w:val="006D03C5"/>
    <w:rsid w:val="006D0483"/>
    <w:rsid w:val="006D0B26"/>
    <w:rsid w:val="006D0B3F"/>
    <w:rsid w:val="006D0BE1"/>
    <w:rsid w:val="006D0E97"/>
    <w:rsid w:val="006D0F40"/>
    <w:rsid w:val="006D15BA"/>
    <w:rsid w:val="006D1CA0"/>
    <w:rsid w:val="006D2152"/>
    <w:rsid w:val="006D22BF"/>
    <w:rsid w:val="006D293A"/>
    <w:rsid w:val="006D2A96"/>
    <w:rsid w:val="006D31E1"/>
    <w:rsid w:val="006D32C4"/>
    <w:rsid w:val="006D3BE4"/>
    <w:rsid w:val="006D3DC4"/>
    <w:rsid w:val="006D4063"/>
    <w:rsid w:val="006D436F"/>
    <w:rsid w:val="006D45F6"/>
    <w:rsid w:val="006D463F"/>
    <w:rsid w:val="006D47F9"/>
    <w:rsid w:val="006D5638"/>
    <w:rsid w:val="006D57A7"/>
    <w:rsid w:val="006D5B56"/>
    <w:rsid w:val="006D5BAE"/>
    <w:rsid w:val="006D5D14"/>
    <w:rsid w:val="006D5D79"/>
    <w:rsid w:val="006D6002"/>
    <w:rsid w:val="006D603F"/>
    <w:rsid w:val="006D6043"/>
    <w:rsid w:val="006D66C1"/>
    <w:rsid w:val="006D6AC9"/>
    <w:rsid w:val="006D730B"/>
    <w:rsid w:val="006D73AC"/>
    <w:rsid w:val="006D74ED"/>
    <w:rsid w:val="006D7587"/>
    <w:rsid w:val="006D78FF"/>
    <w:rsid w:val="006D7B26"/>
    <w:rsid w:val="006D7B51"/>
    <w:rsid w:val="006D7B8A"/>
    <w:rsid w:val="006E0282"/>
    <w:rsid w:val="006E0A09"/>
    <w:rsid w:val="006E0AA1"/>
    <w:rsid w:val="006E0D18"/>
    <w:rsid w:val="006E0DB1"/>
    <w:rsid w:val="006E0DC3"/>
    <w:rsid w:val="006E1116"/>
    <w:rsid w:val="006E129D"/>
    <w:rsid w:val="006E150C"/>
    <w:rsid w:val="006E1667"/>
    <w:rsid w:val="006E1705"/>
    <w:rsid w:val="006E194F"/>
    <w:rsid w:val="006E1B42"/>
    <w:rsid w:val="006E1F43"/>
    <w:rsid w:val="006E21AE"/>
    <w:rsid w:val="006E294F"/>
    <w:rsid w:val="006E2EF7"/>
    <w:rsid w:val="006E3080"/>
    <w:rsid w:val="006E320B"/>
    <w:rsid w:val="006E324A"/>
    <w:rsid w:val="006E324D"/>
    <w:rsid w:val="006E34EA"/>
    <w:rsid w:val="006E38F5"/>
    <w:rsid w:val="006E3A12"/>
    <w:rsid w:val="006E3A4F"/>
    <w:rsid w:val="006E40B4"/>
    <w:rsid w:val="006E46EE"/>
    <w:rsid w:val="006E49BC"/>
    <w:rsid w:val="006E4B93"/>
    <w:rsid w:val="006E4C62"/>
    <w:rsid w:val="006E4F7B"/>
    <w:rsid w:val="006E5270"/>
    <w:rsid w:val="006E52E7"/>
    <w:rsid w:val="006E54E7"/>
    <w:rsid w:val="006E5637"/>
    <w:rsid w:val="006E564B"/>
    <w:rsid w:val="006E569E"/>
    <w:rsid w:val="006E56A7"/>
    <w:rsid w:val="006E5B18"/>
    <w:rsid w:val="006E5E8B"/>
    <w:rsid w:val="006E5FAB"/>
    <w:rsid w:val="006E61FE"/>
    <w:rsid w:val="006E6AD5"/>
    <w:rsid w:val="006E6B9B"/>
    <w:rsid w:val="006E705B"/>
    <w:rsid w:val="006E7099"/>
    <w:rsid w:val="006E70CA"/>
    <w:rsid w:val="006E718C"/>
    <w:rsid w:val="006E755A"/>
    <w:rsid w:val="006E768A"/>
    <w:rsid w:val="006E7703"/>
    <w:rsid w:val="006E78A7"/>
    <w:rsid w:val="006E7EBE"/>
    <w:rsid w:val="006F001F"/>
    <w:rsid w:val="006F0159"/>
    <w:rsid w:val="006F01B7"/>
    <w:rsid w:val="006F0232"/>
    <w:rsid w:val="006F0665"/>
    <w:rsid w:val="006F0967"/>
    <w:rsid w:val="006F09B2"/>
    <w:rsid w:val="006F1476"/>
    <w:rsid w:val="006F169E"/>
    <w:rsid w:val="006F16D6"/>
    <w:rsid w:val="006F1A7C"/>
    <w:rsid w:val="006F1E4B"/>
    <w:rsid w:val="006F1EA4"/>
    <w:rsid w:val="006F22A4"/>
    <w:rsid w:val="006F2418"/>
    <w:rsid w:val="006F2735"/>
    <w:rsid w:val="006F293B"/>
    <w:rsid w:val="006F2B4B"/>
    <w:rsid w:val="006F2C75"/>
    <w:rsid w:val="006F2D9A"/>
    <w:rsid w:val="006F34AD"/>
    <w:rsid w:val="006F35E0"/>
    <w:rsid w:val="006F39AA"/>
    <w:rsid w:val="006F43EF"/>
    <w:rsid w:val="006F45FA"/>
    <w:rsid w:val="006F4820"/>
    <w:rsid w:val="006F4AAB"/>
    <w:rsid w:val="006F4CD0"/>
    <w:rsid w:val="006F4E28"/>
    <w:rsid w:val="006F50D1"/>
    <w:rsid w:val="006F551C"/>
    <w:rsid w:val="006F55C1"/>
    <w:rsid w:val="006F575A"/>
    <w:rsid w:val="006F586D"/>
    <w:rsid w:val="006F599B"/>
    <w:rsid w:val="006F5A17"/>
    <w:rsid w:val="006F5B1D"/>
    <w:rsid w:val="006F63A8"/>
    <w:rsid w:val="006F6754"/>
    <w:rsid w:val="006F6820"/>
    <w:rsid w:val="006F7B11"/>
    <w:rsid w:val="007003BA"/>
    <w:rsid w:val="007009ED"/>
    <w:rsid w:val="007009FD"/>
    <w:rsid w:val="00700A06"/>
    <w:rsid w:val="00700BD3"/>
    <w:rsid w:val="00700DD7"/>
    <w:rsid w:val="00701115"/>
    <w:rsid w:val="007013FF"/>
    <w:rsid w:val="00701632"/>
    <w:rsid w:val="00701A21"/>
    <w:rsid w:val="007020F1"/>
    <w:rsid w:val="0070238E"/>
    <w:rsid w:val="007028F6"/>
    <w:rsid w:val="00702BB3"/>
    <w:rsid w:val="00702DF7"/>
    <w:rsid w:val="00703335"/>
    <w:rsid w:val="0070392B"/>
    <w:rsid w:val="00703D7C"/>
    <w:rsid w:val="00703DC2"/>
    <w:rsid w:val="0070435A"/>
    <w:rsid w:val="007043CC"/>
    <w:rsid w:val="00704762"/>
    <w:rsid w:val="00704AB3"/>
    <w:rsid w:val="00704BA7"/>
    <w:rsid w:val="00704CE0"/>
    <w:rsid w:val="00705059"/>
    <w:rsid w:val="007053F0"/>
    <w:rsid w:val="00705607"/>
    <w:rsid w:val="007057E2"/>
    <w:rsid w:val="00705A17"/>
    <w:rsid w:val="00705C5D"/>
    <w:rsid w:val="00705C66"/>
    <w:rsid w:val="00705C74"/>
    <w:rsid w:val="00705CF3"/>
    <w:rsid w:val="00706279"/>
    <w:rsid w:val="007065B7"/>
    <w:rsid w:val="00706C2A"/>
    <w:rsid w:val="00706C4B"/>
    <w:rsid w:val="00706D36"/>
    <w:rsid w:val="00707076"/>
    <w:rsid w:val="00707502"/>
    <w:rsid w:val="00707589"/>
    <w:rsid w:val="007076F4"/>
    <w:rsid w:val="00707703"/>
    <w:rsid w:val="00707775"/>
    <w:rsid w:val="00707A3A"/>
    <w:rsid w:val="00707ABB"/>
    <w:rsid w:val="00707BEE"/>
    <w:rsid w:val="00707CA4"/>
    <w:rsid w:val="00707CEE"/>
    <w:rsid w:val="00707DBD"/>
    <w:rsid w:val="00707E20"/>
    <w:rsid w:val="00707E70"/>
    <w:rsid w:val="007104EF"/>
    <w:rsid w:val="007105C5"/>
    <w:rsid w:val="00710614"/>
    <w:rsid w:val="007108BB"/>
    <w:rsid w:val="00710CC1"/>
    <w:rsid w:val="00710E93"/>
    <w:rsid w:val="00710EAE"/>
    <w:rsid w:val="0071178F"/>
    <w:rsid w:val="007117EE"/>
    <w:rsid w:val="0071191F"/>
    <w:rsid w:val="007123AE"/>
    <w:rsid w:val="0071250D"/>
    <w:rsid w:val="00712768"/>
    <w:rsid w:val="0071283F"/>
    <w:rsid w:val="0071294C"/>
    <w:rsid w:val="00712965"/>
    <w:rsid w:val="0071301B"/>
    <w:rsid w:val="0071330A"/>
    <w:rsid w:val="00713491"/>
    <w:rsid w:val="007135C1"/>
    <w:rsid w:val="0071391B"/>
    <w:rsid w:val="00713CBD"/>
    <w:rsid w:val="00714056"/>
    <w:rsid w:val="007140C4"/>
    <w:rsid w:val="00714505"/>
    <w:rsid w:val="0071454B"/>
    <w:rsid w:val="00714597"/>
    <w:rsid w:val="00714939"/>
    <w:rsid w:val="00714AF4"/>
    <w:rsid w:val="00714DDD"/>
    <w:rsid w:val="00715086"/>
    <w:rsid w:val="007151DA"/>
    <w:rsid w:val="00715393"/>
    <w:rsid w:val="0071562E"/>
    <w:rsid w:val="00715F29"/>
    <w:rsid w:val="00716028"/>
    <w:rsid w:val="007164EB"/>
    <w:rsid w:val="0071660C"/>
    <w:rsid w:val="0071665F"/>
    <w:rsid w:val="00716816"/>
    <w:rsid w:val="00716B61"/>
    <w:rsid w:val="00716C2F"/>
    <w:rsid w:val="00716D76"/>
    <w:rsid w:val="007172E7"/>
    <w:rsid w:val="0071741B"/>
    <w:rsid w:val="007174D4"/>
    <w:rsid w:val="007177F6"/>
    <w:rsid w:val="007178AA"/>
    <w:rsid w:val="00717B8F"/>
    <w:rsid w:val="00717E2F"/>
    <w:rsid w:val="00720071"/>
    <w:rsid w:val="00720264"/>
    <w:rsid w:val="007202AD"/>
    <w:rsid w:val="00720670"/>
    <w:rsid w:val="007206CA"/>
    <w:rsid w:val="0072092D"/>
    <w:rsid w:val="0072093C"/>
    <w:rsid w:val="00720A7C"/>
    <w:rsid w:val="00720B82"/>
    <w:rsid w:val="0072130F"/>
    <w:rsid w:val="00721570"/>
    <w:rsid w:val="00721731"/>
    <w:rsid w:val="0072190C"/>
    <w:rsid w:val="00721B59"/>
    <w:rsid w:val="00721C45"/>
    <w:rsid w:val="00721D8C"/>
    <w:rsid w:val="00721E80"/>
    <w:rsid w:val="00721E9E"/>
    <w:rsid w:val="007223A8"/>
    <w:rsid w:val="007223DC"/>
    <w:rsid w:val="00722AEF"/>
    <w:rsid w:val="00722F0D"/>
    <w:rsid w:val="007231B5"/>
    <w:rsid w:val="007233DA"/>
    <w:rsid w:val="007236D9"/>
    <w:rsid w:val="00723761"/>
    <w:rsid w:val="00723CC2"/>
    <w:rsid w:val="00723CE2"/>
    <w:rsid w:val="0072454B"/>
    <w:rsid w:val="00724D7C"/>
    <w:rsid w:val="00724E91"/>
    <w:rsid w:val="00724F4D"/>
    <w:rsid w:val="00724FD5"/>
    <w:rsid w:val="00725221"/>
    <w:rsid w:val="007254A6"/>
    <w:rsid w:val="0072596C"/>
    <w:rsid w:val="00725C25"/>
    <w:rsid w:val="007260CB"/>
    <w:rsid w:val="00726583"/>
    <w:rsid w:val="00726753"/>
    <w:rsid w:val="00726837"/>
    <w:rsid w:val="0072702A"/>
    <w:rsid w:val="007274AC"/>
    <w:rsid w:val="0072762A"/>
    <w:rsid w:val="00727853"/>
    <w:rsid w:val="00727C55"/>
    <w:rsid w:val="00727C93"/>
    <w:rsid w:val="00730183"/>
    <w:rsid w:val="007306DC"/>
    <w:rsid w:val="0073084A"/>
    <w:rsid w:val="00730B5C"/>
    <w:rsid w:val="00730CB6"/>
    <w:rsid w:val="00730DA5"/>
    <w:rsid w:val="00730F18"/>
    <w:rsid w:val="00731713"/>
    <w:rsid w:val="0073179B"/>
    <w:rsid w:val="00731B54"/>
    <w:rsid w:val="00731D66"/>
    <w:rsid w:val="00732616"/>
    <w:rsid w:val="0073268F"/>
    <w:rsid w:val="00732908"/>
    <w:rsid w:val="007329E6"/>
    <w:rsid w:val="00732B70"/>
    <w:rsid w:val="00732BCF"/>
    <w:rsid w:val="00732CF1"/>
    <w:rsid w:val="00732D2F"/>
    <w:rsid w:val="007333A0"/>
    <w:rsid w:val="00733428"/>
    <w:rsid w:val="00733575"/>
    <w:rsid w:val="00734675"/>
    <w:rsid w:val="00734737"/>
    <w:rsid w:val="0073492E"/>
    <w:rsid w:val="00734CF1"/>
    <w:rsid w:val="00734D22"/>
    <w:rsid w:val="00734DA3"/>
    <w:rsid w:val="00735049"/>
    <w:rsid w:val="00735352"/>
    <w:rsid w:val="0073576D"/>
    <w:rsid w:val="00735891"/>
    <w:rsid w:val="00735FF9"/>
    <w:rsid w:val="007361B3"/>
    <w:rsid w:val="0073680D"/>
    <w:rsid w:val="0073689E"/>
    <w:rsid w:val="007368AD"/>
    <w:rsid w:val="00736E92"/>
    <w:rsid w:val="00736FA6"/>
    <w:rsid w:val="00737744"/>
    <w:rsid w:val="00737C05"/>
    <w:rsid w:val="00737CE8"/>
    <w:rsid w:val="00737D09"/>
    <w:rsid w:val="00740066"/>
    <w:rsid w:val="007407E5"/>
    <w:rsid w:val="007412EC"/>
    <w:rsid w:val="00741693"/>
    <w:rsid w:val="007419AC"/>
    <w:rsid w:val="00741A59"/>
    <w:rsid w:val="00741AB4"/>
    <w:rsid w:val="00741C39"/>
    <w:rsid w:val="0074211E"/>
    <w:rsid w:val="00742178"/>
    <w:rsid w:val="0074239F"/>
    <w:rsid w:val="00742ADB"/>
    <w:rsid w:val="00742F08"/>
    <w:rsid w:val="007430E3"/>
    <w:rsid w:val="00743323"/>
    <w:rsid w:val="007436E8"/>
    <w:rsid w:val="00743DEF"/>
    <w:rsid w:val="00743DF5"/>
    <w:rsid w:val="00744520"/>
    <w:rsid w:val="00744638"/>
    <w:rsid w:val="007449C0"/>
    <w:rsid w:val="00744AD3"/>
    <w:rsid w:val="00744C29"/>
    <w:rsid w:val="00745178"/>
    <w:rsid w:val="007452D1"/>
    <w:rsid w:val="00745319"/>
    <w:rsid w:val="007455A3"/>
    <w:rsid w:val="00745617"/>
    <w:rsid w:val="00745696"/>
    <w:rsid w:val="007458F5"/>
    <w:rsid w:val="00745938"/>
    <w:rsid w:val="007459D1"/>
    <w:rsid w:val="00745DCC"/>
    <w:rsid w:val="0074629B"/>
    <w:rsid w:val="007468AF"/>
    <w:rsid w:val="00746C16"/>
    <w:rsid w:val="00746DD4"/>
    <w:rsid w:val="00747330"/>
    <w:rsid w:val="007473DD"/>
    <w:rsid w:val="007476B9"/>
    <w:rsid w:val="007476DE"/>
    <w:rsid w:val="00747AAC"/>
    <w:rsid w:val="007505AF"/>
    <w:rsid w:val="007506A2"/>
    <w:rsid w:val="007509B4"/>
    <w:rsid w:val="0075100B"/>
    <w:rsid w:val="00751013"/>
    <w:rsid w:val="00751537"/>
    <w:rsid w:val="00751F21"/>
    <w:rsid w:val="00752094"/>
    <w:rsid w:val="007529B3"/>
    <w:rsid w:val="007529FB"/>
    <w:rsid w:val="00752A28"/>
    <w:rsid w:val="00752B8D"/>
    <w:rsid w:val="00752C8B"/>
    <w:rsid w:val="0075309B"/>
    <w:rsid w:val="007530A4"/>
    <w:rsid w:val="007531B8"/>
    <w:rsid w:val="00753301"/>
    <w:rsid w:val="0075340E"/>
    <w:rsid w:val="00753511"/>
    <w:rsid w:val="00753741"/>
    <w:rsid w:val="0075379F"/>
    <w:rsid w:val="0075383B"/>
    <w:rsid w:val="00753889"/>
    <w:rsid w:val="00753BB4"/>
    <w:rsid w:val="00753C15"/>
    <w:rsid w:val="00753E07"/>
    <w:rsid w:val="007540C0"/>
    <w:rsid w:val="00754555"/>
    <w:rsid w:val="0075472E"/>
    <w:rsid w:val="00754777"/>
    <w:rsid w:val="007547B2"/>
    <w:rsid w:val="007548F4"/>
    <w:rsid w:val="00754FCE"/>
    <w:rsid w:val="0075557C"/>
    <w:rsid w:val="0075561A"/>
    <w:rsid w:val="00755716"/>
    <w:rsid w:val="00755C31"/>
    <w:rsid w:val="00755DE9"/>
    <w:rsid w:val="00755FA6"/>
    <w:rsid w:val="00755FDE"/>
    <w:rsid w:val="00756873"/>
    <w:rsid w:val="00756B6D"/>
    <w:rsid w:val="00756DA1"/>
    <w:rsid w:val="00756E47"/>
    <w:rsid w:val="00756F96"/>
    <w:rsid w:val="00757424"/>
    <w:rsid w:val="00757A1C"/>
    <w:rsid w:val="00757B7D"/>
    <w:rsid w:val="00757BC9"/>
    <w:rsid w:val="00760944"/>
    <w:rsid w:val="00760E2A"/>
    <w:rsid w:val="00760F99"/>
    <w:rsid w:val="007610B7"/>
    <w:rsid w:val="007615A6"/>
    <w:rsid w:val="007618B9"/>
    <w:rsid w:val="00761BE9"/>
    <w:rsid w:val="00761F47"/>
    <w:rsid w:val="00762490"/>
    <w:rsid w:val="00762654"/>
    <w:rsid w:val="007626C3"/>
    <w:rsid w:val="007629A3"/>
    <w:rsid w:val="00762ABE"/>
    <w:rsid w:val="00762CFA"/>
    <w:rsid w:val="00762E0E"/>
    <w:rsid w:val="00762F2F"/>
    <w:rsid w:val="00763075"/>
    <w:rsid w:val="0076328A"/>
    <w:rsid w:val="00763488"/>
    <w:rsid w:val="00763865"/>
    <w:rsid w:val="00764933"/>
    <w:rsid w:val="00764A91"/>
    <w:rsid w:val="00764BC4"/>
    <w:rsid w:val="00764FE9"/>
    <w:rsid w:val="0076509C"/>
    <w:rsid w:val="00765110"/>
    <w:rsid w:val="00765175"/>
    <w:rsid w:val="00765487"/>
    <w:rsid w:val="007655D6"/>
    <w:rsid w:val="00765A57"/>
    <w:rsid w:val="00765C75"/>
    <w:rsid w:val="00766313"/>
    <w:rsid w:val="00766347"/>
    <w:rsid w:val="007665B6"/>
    <w:rsid w:val="007669BB"/>
    <w:rsid w:val="00766A11"/>
    <w:rsid w:val="00766A77"/>
    <w:rsid w:val="00766B77"/>
    <w:rsid w:val="00766FED"/>
    <w:rsid w:val="0076706E"/>
    <w:rsid w:val="007675FD"/>
    <w:rsid w:val="00767C38"/>
    <w:rsid w:val="00770045"/>
    <w:rsid w:val="007702B2"/>
    <w:rsid w:val="007707F5"/>
    <w:rsid w:val="007708C1"/>
    <w:rsid w:val="00770CB3"/>
    <w:rsid w:val="00771D02"/>
    <w:rsid w:val="00771D7B"/>
    <w:rsid w:val="00772150"/>
    <w:rsid w:val="00772689"/>
    <w:rsid w:val="007726F7"/>
    <w:rsid w:val="00772730"/>
    <w:rsid w:val="00772894"/>
    <w:rsid w:val="007728D8"/>
    <w:rsid w:val="00772A1A"/>
    <w:rsid w:val="00772AC2"/>
    <w:rsid w:val="00772ACF"/>
    <w:rsid w:val="00772B91"/>
    <w:rsid w:val="00772C1D"/>
    <w:rsid w:val="00772D95"/>
    <w:rsid w:val="00772DA4"/>
    <w:rsid w:val="007732FD"/>
    <w:rsid w:val="00773543"/>
    <w:rsid w:val="0077384A"/>
    <w:rsid w:val="00774147"/>
    <w:rsid w:val="007741EB"/>
    <w:rsid w:val="007743C7"/>
    <w:rsid w:val="007747C3"/>
    <w:rsid w:val="007748B7"/>
    <w:rsid w:val="00774909"/>
    <w:rsid w:val="007749E7"/>
    <w:rsid w:val="00774BA1"/>
    <w:rsid w:val="00774E6E"/>
    <w:rsid w:val="0077547B"/>
    <w:rsid w:val="00775690"/>
    <w:rsid w:val="00775692"/>
    <w:rsid w:val="007758B1"/>
    <w:rsid w:val="007758F4"/>
    <w:rsid w:val="00775A1A"/>
    <w:rsid w:val="00775FED"/>
    <w:rsid w:val="0077608F"/>
    <w:rsid w:val="007763E2"/>
    <w:rsid w:val="007768A4"/>
    <w:rsid w:val="00776ABE"/>
    <w:rsid w:val="00776B7D"/>
    <w:rsid w:val="00776BA3"/>
    <w:rsid w:val="00776BCA"/>
    <w:rsid w:val="00776D7A"/>
    <w:rsid w:val="00777173"/>
    <w:rsid w:val="00777652"/>
    <w:rsid w:val="007778AD"/>
    <w:rsid w:val="00777921"/>
    <w:rsid w:val="00777AD0"/>
    <w:rsid w:val="00777C41"/>
    <w:rsid w:val="00777E51"/>
    <w:rsid w:val="00777ECE"/>
    <w:rsid w:val="007803E5"/>
    <w:rsid w:val="00780774"/>
    <w:rsid w:val="00780AF4"/>
    <w:rsid w:val="00780EC3"/>
    <w:rsid w:val="007818C7"/>
    <w:rsid w:val="00781948"/>
    <w:rsid w:val="0078221A"/>
    <w:rsid w:val="0078224B"/>
    <w:rsid w:val="007823CF"/>
    <w:rsid w:val="007825EE"/>
    <w:rsid w:val="00782942"/>
    <w:rsid w:val="00782A7E"/>
    <w:rsid w:val="00782FA4"/>
    <w:rsid w:val="0078304A"/>
    <w:rsid w:val="007833E0"/>
    <w:rsid w:val="007834BE"/>
    <w:rsid w:val="0078407C"/>
    <w:rsid w:val="007841DE"/>
    <w:rsid w:val="007842FE"/>
    <w:rsid w:val="00784762"/>
    <w:rsid w:val="00784C70"/>
    <w:rsid w:val="0078570F"/>
    <w:rsid w:val="0078584F"/>
    <w:rsid w:val="00785946"/>
    <w:rsid w:val="00785D32"/>
    <w:rsid w:val="00785F28"/>
    <w:rsid w:val="00786175"/>
    <w:rsid w:val="00786566"/>
    <w:rsid w:val="0078672B"/>
    <w:rsid w:val="00786B2A"/>
    <w:rsid w:val="00787071"/>
    <w:rsid w:val="00787523"/>
    <w:rsid w:val="007876DA"/>
    <w:rsid w:val="0078779D"/>
    <w:rsid w:val="00787A41"/>
    <w:rsid w:val="00787BFC"/>
    <w:rsid w:val="00787DA3"/>
    <w:rsid w:val="00787F91"/>
    <w:rsid w:val="007894F6"/>
    <w:rsid w:val="0079009B"/>
    <w:rsid w:val="007900CA"/>
    <w:rsid w:val="007900F1"/>
    <w:rsid w:val="00790629"/>
    <w:rsid w:val="007908B6"/>
    <w:rsid w:val="00790B39"/>
    <w:rsid w:val="00790C02"/>
    <w:rsid w:val="00790C13"/>
    <w:rsid w:val="00790E77"/>
    <w:rsid w:val="00790FDA"/>
    <w:rsid w:val="00791200"/>
    <w:rsid w:val="007912C8"/>
    <w:rsid w:val="0079142C"/>
    <w:rsid w:val="00791B5F"/>
    <w:rsid w:val="00791E54"/>
    <w:rsid w:val="007929D4"/>
    <w:rsid w:val="00792B29"/>
    <w:rsid w:val="00792ECA"/>
    <w:rsid w:val="00792F35"/>
    <w:rsid w:val="0079395A"/>
    <w:rsid w:val="0079395C"/>
    <w:rsid w:val="00793B62"/>
    <w:rsid w:val="00793BB1"/>
    <w:rsid w:val="00793F2D"/>
    <w:rsid w:val="00794106"/>
    <w:rsid w:val="0079419E"/>
    <w:rsid w:val="007942D9"/>
    <w:rsid w:val="007943BC"/>
    <w:rsid w:val="00794445"/>
    <w:rsid w:val="007945B6"/>
    <w:rsid w:val="007945E5"/>
    <w:rsid w:val="00794904"/>
    <w:rsid w:val="0079516D"/>
    <w:rsid w:val="0079530A"/>
    <w:rsid w:val="00795318"/>
    <w:rsid w:val="0079540D"/>
    <w:rsid w:val="0079540F"/>
    <w:rsid w:val="007956B2"/>
    <w:rsid w:val="0079588B"/>
    <w:rsid w:val="00795B1A"/>
    <w:rsid w:val="0079635C"/>
    <w:rsid w:val="00796509"/>
    <w:rsid w:val="00796674"/>
    <w:rsid w:val="00796F93"/>
    <w:rsid w:val="00797028"/>
    <w:rsid w:val="0079713C"/>
    <w:rsid w:val="0079715A"/>
    <w:rsid w:val="0079752B"/>
    <w:rsid w:val="00797555"/>
    <w:rsid w:val="00797643"/>
    <w:rsid w:val="007978B7"/>
    <w:rsid w:val="00797AE4"/>
    <w:rsid w:val="00797B84"/>
    <w:rsid w:val="00797B97"/>
    <w:rsid w:val="00797D05"/>
    <w:rsid w:val="00797E55"/>
    <w:rsid w:val="007A01BF"/>
    <w:rsid w:val="007A055E"/>
    <w:rsid w:val="007A084D"/>
    <w:rsid w:val="007A0C50"/>
    <w:rsid w:val="007A1093"/>
    <w:rsid w:val="007A18B7"/>
    <w:rsid w:val="007A1B85"/>
    <w:rsid w:val="007A1D00"/>
    <w:rsid w:val="007A27D0"/>
    <w:rsid w:val="007A2802"/>
    <w:rsid w:val="007A284E"/>
    <w:rsid w:val="007A2930"/>
    <w:rsid w:val="007A2BA4"/>
    <w:rsid w:val="007A2CAC"/>
    <w:rsid w:val="007A2E70"/>
    <w:rsid w:val="007A328A"/>
    <w:rsid w:val="007A3322"/>
    <w:rsid w:val="007A3370"/>
    <w:rsid w:val="007A338C"/>
    <w:rsid w:val="007A35F5"/>
    <w:rsid w:val="007A3662"/>
    <w:rsid w:val="007A3713"/>
    <w:rsid w:val="007A3755"/>
    <w:rsid w:val="007A376F"/>
    <w:rsid w:val="007A42C5"/>
    <w:rsid w:val="007A45FA"/>
    <w:rsid w:val="007A476B"/>
    <w:rsid w:val="007A4791"/>
    <w:rsid w:val="007A48B2"/>
    <w:rsid w:val="007A4DD5"/>
    <w:rsid w:val="007A4E85"/>
    <w:rsid w:val="007A4EE2"/>
    <w:rsid w:val="007A5395"/>
    <w:rsid w:val="007A545E"/>
    <w:rsid w:val="007A5691"/>
    <w:rsid w:val="007A57CA"/>
    <w:rsid w:val="007A5BB8"/>
    <w:rsid w:val="007A5BE0"/>
    <w:rsid w:val="007A5C12"/>
    <w:rsid w:val="007A5C6C"/>
    <w:rsid w:val="007A5F01"/>
    <w:rsid w:val="007A64B0"/>
    <w:rsid w:val="007A6651"/>
    <w:rsid w:val="007A66FD"/>
    <w:rsid w:val="007A6AD2"/>
    <w:rsid w:val="007A7395"/>
    <w:rsid w:val="007A741A"/>
    <w:rsid w:val="007A7537"/>
    <w:rsid w:val="007A7D14"/>
    <w:rsid w:val="007A7E51"/>
    <w:rsid w:val="007B0077"/>
    <w:rsid w:val="007B0952"/>
    <w:rsid w:val="007B0C4A"/>
    <w:rsid w:val="007B0D84"/>
    <w:rsid w:val="007B0F7D"/>
    <w:rsid w:val="007B10C5"/>
    <w:rsid w:val="007B11A1"/>
    <w:rsid w:val="007B1314"/>
    <w:rsid w:val="007B1804"/>
    <w:rsid w:val="007B19A1"/>
    <w:rsid w:val="007B1AB7"/>
    <w:rsid w:val="007B1CE9"/>
    <w:rsid w:val="007B1D67"/>
    <w:rsid w:val="007B2079"/>
    <w:rsid w:val="007B21BB"/>
    <w:rsid w:val="007B2220"/>
    <w:rsid w:val="007B23FA"/>
    <w:rsid w:val="007B2665"/>
    <w:rsid w:val="007B282D"/>
    <w:rsid w:val="007B2906"/>
    <w:rsid w:val="007B2F79"/>
    <w:rsid w:val="007B3206"/>
    <w:rsid w:val="007B3208"/>
    <w:rsid w:val="007B33E5"/>
    <w:rsid w:val="007B33E6"/>
    <w:rsid w:val="007B3A12"/>
    <w:rsid w:val="007B3A23"/>
    <w:rsid w:val="007B3B7C"/>
    <w:rsid w:val="007B3BD7"/>
    <w:rsid w:val="007B3D07"/>
    <w:rsid w:val="007B3F76"/>
    <w:rsid w:val="007B405D"/>
    <w:rsid w:val="007B40AF"/>
    <w:rsid w:val="007B4651"/>
    <w:rsid w:val="007B4E17"/>
    <w:rsid w:val="007B4F9A"/>
    <w:rsid w:val="007B52BE"/>
    <w:rsid w:val="007B52E1"/>
    <w:rsid w:val="007B59CE"/>
    <w:rsid w:val="007B5B31"/>
    <w:rsid w:val="007B5C63"/>
    <w:rsid w:val="007B5D61"/>
    <w:rsid w:val="007B6340"/>
    <w:rsid w:val="007B68F6"/>
    <w:rsid w:val="007B6C95"/>
    <w:rsid w:val="007B6CD1"/>
    <w:rsid w:val="007B72AC"/>
    <w:rsid w:val="007B7546"/>
    <w:rsid w:val="007B7592"/>
    <w:rsid w:val="007B7753"/>
    <w:rsid w:val="007B7C6E"/>
    <w:rsid w:val="007B7CCF"/>
    <w:rsid w:val="007B7E0E"/>
    <w:rsid w:val="007C0184"/>
    <w:rsid w:val="007C0202"/>
    <w:rsid w:val="007C08F2"/>
    <w:rsid w:val="007C0F07"/>
    <w:rsid w:val="007C12C4"/>
    <w:rsid w:val="007C13ED"/>
    <w:rsid w:val="007C17CD"/>
    <w:rsid w:val="007C193E"/>
    <w:rsid w:val="007C19C2"/>
    <w:rsid w:val="007C223C"/>
    <w:rsid w:val="007C2277"/>
    <w:rsid w:val="007C28EC"/>
    <w:rsid w:val="007C29D2"/>
    <w:rsid w:val="007C2D18"/>
    <w:rsid w:val="007C2DF3"/>
    <w:rsid w:val="007C2E25"/>
    <w:rsid w:val="007C2F3C"/>
    <w:rsid w:val="007C3019"/>
    <w:rsid w:val="007C350E"/>
    <w:rsid w:val="007C3AD6"/>
    <w:rsid w:val="007C3AE1"/>
    <w:rsid w:val="007C4078"/>
    <w:rsid w:val="007C424A"/>
    <w:rsid w:val="007C42A6"/>
    <w:rsid w:val="007C49A3"/>
    <w:rsid w:val="007C49DA"/>
    <w:rsid w:val="007C49FF"/>
    <w:rsid w:val="007C4A0A"/>
    <w:rsid w:val="007C4D18"/>
    <w:rsid w:val="007C518C"/>
    <w:rsid w:val="007C543C"/>
    <w:rsid w:val="007C54E6"/>
    <w:rsid w:val="007C583C"/>
    <w:rsid w:val="007C58F3"/>
    <w:rsid w:val="007C5AF9"/>
    <w:rsid w:val="007C5DB4"/>
    <w:rsid w:val="007C5F52"/>
    <w:rsid w:val="007C6138"/>
    <w:rsid w:val="007C632F"/>
    <w:rsid w:val="007C6350"/>
    <w:rsid w:val="007C66A2"/>
    <w:rsid w:val="007C7192"/>
    <w:rsid w:val="007C7324"/>
    <w:rsid w:val="007C7427"/>
    <w:rsid w:val="007C742C"/>
    <w:rsid w:val="007C7594"/>
    <w:rsid w:val="007C7A72"/>
    <w:rsid w:val="007C7ECA"/>
    <w:rsid w:val="007D02AA"/>
    <w:rsid w:val="007D0742"/>
    <w:rsid w:val="007D0B89"/>
    <w:rsid w:val="007D0CA0"/>
    <w:rsid w:val="007D0F74"/>
    <w:rsid w:val="007D0FD1"/>
    <w:rsid w:val="007D117D"/>
    <w:rsid w:val="007D161B"/>
    <w:rsid w:val="007D1658"/>
    <w:rsid w:val="007D1659"/>
    <w:rsid w:val="007D1904"/>
    <w:rsid w:val="007D1BE8"/>
    <w:rsid w:val="007D21FB"/>
    <w:rsid w:val="007D24CD"/>
    <w:rsid w:val="007D269A"/>
    <w:rsid w:val="007D271C"/>
    <w:rsid w:val="007D2AB9"/>
    <w:rsid w:val="007D2E2E"/>
    <w:rsid w:val="007D2EB9"/>
    <w:rsid w:val="007D3299"/>
    <w:rsid w:val="007D3482"/>
    <w:rsid w:val="007D34BE"/>
    <w:rsid w:val="007D3D6D"/>
    <w:rsid w:val="007D3EEB"/>
    <w:rsid w:val="007D424B"/>
    <w:rsid w:val="007D484A"/>
    <w:rsid w:val="007D4D19"/>
    <w:rsid w:val="007D5023"/>
    <w:rsid w:val="007D5096"/>
    <w:rsid w:val="007D51A7"/>
    <w:rsid w:val="007D53EE"/>
    <w:rsid w:val="007D5543"/>
    <w:rsid w:val="007D5698"/>
    <w:rsid w:val="007D56C6"/>
    <w:rsid w:val="007D57E3"/>
    <w:rsid w:val="007D5CA8"/>
    <w:rsid w:val="007D5E6F"/>
    <w:rsid w:val="007D600C"/>
    <w:rsid w:val="007D6084"/>
    <w:rsid w:val="007D61D8"/>
    <w:rsid w:val="007D6494"/>
    <w:rsid w:val="007D65B7"/>
    <w:rsid w:val="007D68F3"/>
    <w:rsid w:val="007D6921"/>
    <w:rsid w:val="007D6AD0"/>
    <w:rsid w:val="007D7821"/>
    <w:rsid w:val="007D7BED"/>
    <w:rsid w:val="007D7DA5"/>
    <w:rsid w:val="007E020C"/>
    <w:rsid w:val="007E05AE"/>
    <w:rsid w:val="007E073E"/>
    <w:rsid w:val="007E08E0"/>
    <w:rsid w:val="007E0BF6"/>
    <w:rsid w:val="007E0D1F"/>
    <w:rsid w:val="007E0E67"/>
    <w:rsid w:val="007E127C"/>
    <w:rsid w:val="007E1775"/>
    <w:rsid w:val="007E18DC"/>
    <w:rsid w:val="007E197D"/>
    <w:rsid w:val="007E1CDE"/>
    <w:rsid w:val="007E1E18"/>
    <w:rsid w:val="007E1ECE"/>
    <w:rsid w:val="007E1F93"/>
    <w:rsid w:val="007E21C9"/>
    <w:rsid w:val="007E2254"/>
    <w:rsid w:val="007E2A70"/>
    <w:rsid w:val="007E2D96"/>
    <w:rsid w:val="007E300C"/>
    <w:rsid w:val="007E355E"/>
    <w:rsid w:val="007E366F"/>
    <w:rsid w:val="007E4047"/>
    <w:rsid w:val="007E4261"/>
    <w:rsid w:val="007E42F6"/>
    <w:rsid w:val="007E43BC"/>
    <w:rsid w:val="007E4EBA"/>
    <w:rsid w:val="007E52F3"/>
    <w:rsid w:val="007E569E"/>
    <w:rsid w:val="007E5727"/>
    <w:rsid w:val="007E5A03"/>
    <w:rsid w:val="007E6EA6"/>
    <w:rsid w:val="007E74A7"/>
    <w:rsid w:val="007E7552"/>
    <w:rsid w:val="007E76F1"/>
    <w:rsid w:val="007E7848"/>
    <w:rsid w:val="007E78E4"/>
    <w:rsid w:val="007E7EC9"/>
    <w:rsid w:val="007F0117"/>
    <w:rsid w:val="007F015A"/>
    <w:rsid w:val="007F03D5"/>
    <w:rsid w:val="007F04C5"/>
    <w:rsid w:val="007F058F"/>
    <w:rsid w:val="007F0E26"/>
    <w:rsid w:val="007F116E"/>
    <w:rsid w:val="007F11A0"/>
    <w:rsid w:val="007F1589"/>
    <w:rsid w:val="007F17B3"/>
    <w:rsid w:val="007F1BAF"/>
    <w:rsid w:val="007F1C74"/>
    <w:rsid w:val="007F1D24"/>
    <w:rsid w:val="007F1F7B"/>
    <w:rsid w:val="007F2034"/>
    <w:rsid w:val="007F24F6"/>
    <w:rsid w:val="007F26C7"/>
    <w:rsid w:val="007F2761"/>
    <w:rsid w:val="007F2854"/>
    <w:rsid w:val="007F28AF"/>
    <w:rsid w:val="007F28D8"/>
    <w:rsid w:val="007F2AE5"/>
    <w:rsid w:val="007F2B76"/>
    <w:rsid w:val="007F2BCA"/>
    <w:rsid w:val="007F31C0"/>
    <w:rsid w:val="007F3914"/>
    <w:rsid w:val="007F3B26"/>
    <w:rsid w:val="007F3FF6"/>
    <w:rsid w:val="007F42B7"/>
    <w:rsid w:val="007F4532"/>
    <w:rsid w:val="007F5000"/>
    <w:rsid w:val="007F5098"/>
    <w:rsid w:val="007F5102"/>
    <w:rsid w:val="007F52B8"/>
    <w:rsid w:val="007F55E9"/>
    <w:rsid w:val="007F5624"/>
    <w:rsid w:val="007F5980"/>
    <w:rsid w:val="007F59AF"/>
    <w:rsid w:val="007F5AA7"/>
    <w:rsid w:val="007F5ADD"/>
    <w:rsid w:val="007F5CDC"/>
    <w:rsid w:val="007F5D7A"/>
    <w:rsid w:val="007F5E0A"/>
    <w:rsid w:val="007F600B"/>
    <w:rsid w:val="007F6EE6"/>
    <w:rsid w:val="007F7019"/>
    <w:rsid w:val="007F73FA"/>
    <w:rsid w:val="007F7699"/>
    <w:rsid w:val="007F7A39"/>
    <w:rsid w:val="007F7C05"/>
    <w:rsid w:val="007F7C56"/>
    <w:rsid w:val="007F7FD1"/>
    <w:rsid w:val="0080038B"/>
    <w:rsid w:val="0080040D"/>
    <w:rsid w:val="00800493"/>
    <w:rsid w:val="00800C44"/>
    <w:rsid w:val="00800D1D"/>
    <w:rsid w:val="00800D69"/>
    <w:rsid w:val="00801361"/>
    <w:rsid w:val="00801508"/>
    <w:rsid w:val="00801660"/>
    <w:rsid w:val="00801950"/>
    <w:rsid w:val="00801D08"/>
    <w:rsid w:val="0080268E"/>
    <w:rsid w:val="00802953"/>
    <w:rsid w:val="00802B0C"/>
    <w:rsid w:val="00802D46"/>
    <w:rsid w:val="00803133"/>
    <w:rsid w:val="00803247"/>
    <w:rsid w:val="0080338A"/>
    <w:rsid w:val="008033C0"/>
    <w:rsid w:val="008035CA"/>
    <w:rsid w:val="00803610"/>
    <w:rsid w:val="00803646"/>
    <w:rsid w:val="00803C84"/>
    <w:rsid w:val="00804041"/>
    <w:rsid w:val="00804423"/>
    <w:rsid w:val="00804772"/>
    <w:rsid w:val="0080495B"/>
    <w:rsid w:val="00804AF2"/>
    <w:rsid w:val="00804B54"/>
    <w:rsid w:val="00804C2B"/>
    <w:rsid w:val="00804CAB"/>
    <w:rsid w:val="00804CD7"/>
    <w:rsid w:val="00804D10"/>
    <w:rsid w:val="00804E18"/>
    <w:rsid w:val="0080551B"/>
    <w:rsid w:val="00805880"/>
    <w:rsid w:val="00805B0A"/>
    <w:rsid w:val="00805D09"/>
    <w:rsid w:val="00805FAB"/>
    <w:rsid w:val="008062FF"/>
    <w:rsid w:val="00806644"/>
    <w:rsid w:val="00806D68"/>
    <w:rsid w:val="00806FE1"/>
    <w:rsid w:val="00807298"/>
    <w:rsid w:val="00807390"/>
    <w:rsid w:val="0080746E"/>
    <w:rsid w:val="008076AA"/>
    <w:rsid w:val="0080781D"/>
    <w:rsid w:val="00807929"/>
    <w:rsid w:val="00807BF9"/>
    <w:rsid w:val="00807C6F"/>
    <w:rsid w:val="00807D06"/>
    <w:rsid w:val="00810045"/>
    <w:rsid w:val="008102E8"/>
    <w:rsid w:val="00810325"/>
    <w:rsid w:val="0081037A"/>
    <w:rsid w:val="00810387"/>
    <w:rsid w:val="00810CAA"/>
    <w:rsid w:val="00810CD2"/>
    <w:rsid w:val="00810F20"/>
    <w:rsid w:val="00810F67"/>
    <w:rsid w:val="00810FAD"/>
    <w:rsid w:val="00810FD5"/>
    <w:rsid w:val="008112A9"/>
    <w:rsid w:val="008113BC"/>
    <w:rsid w:val="008114DE"/>
    <w:rsid w:val="00811CAA"/>
    <w:rsid w:val="00811DD3"/>
    <w:rsid w:val="00811FB2"/>
    <w:rsid w:val="008123E2"/>
    <w:rsid w:val="0081256E"/>
    <w:rsid w:val="0081263E"/>
    <w:rsid w:val="00812986"/>
    <w:rsid w:val="00812B62"/>
    <w:rsid w:val="008133E1"/>
    <w:rsid w:val="008133E4"/>
    <w:rsid w:val="00813917"/>
    <w:rsid w:val="00813AD9"/>
    <w:rsid w:val="00813D68"/>
    <w:rsid w:val="00813E75"/>
    <w:rsid w:val="00813F68"/>
    <w:rsid w:val="0081404D"/>
    <w:rsid w:val="00814272"/>
    <w:rsid w:val="0081466A"/>
    <w:rsid w:val="00814A22"/>
    <w:rsid w:val="00814AC5"/>
    <w:rsid w:val="00814F13"/>
    <w:rsid w:val="008151AF"/>
    <w:rsid w:val="00815657"/>
    <w:rsid w:val="008158DA"/>
    <w:rsid w:val="0081599C"/>
    <w:rsid w:val="00815AA3"/>
    <w:rsid w:val="00815C83"/>
    <w:rsid w:val="00815FEA"/>
    <w:rsid w:val="00816AD7"/>
    <w:rsid w:val="00816C97"/>
    <w:rsid w:val="00816F5B"/>
    <w:rsid w:val="00817053"/>
    <w:rsid w:val="0081711B"/>
    <w:rsid w:val="00817394"/>
    <w:rsid w:val="0081762D"/>
    <w:rsid w:val="00817D55"/>
    <w:rsid w:val="00817DCC"/>
    <w:rsid w:val="00817E9C"/>
    <w:rsid w:val="00820406"/>
    <w:rsid w:val="0082085C"/>
    <w:rsid w:val="00820C20"/>
    <w:rsid w:val="00820D29"/>
    <w:rsid w:val="00820D89"/>
    <w:rsid w:val="00820ED0"/>
    <w:rsid w:val="00821255"/>
    <w:rsid w:val="0082127F"/>
    <w:rsid w:val="008215E6"/>
    <w:rsid w:val="00821722"/>
    <w:rsid w:val="0082192A"/>
    <w:rsid w:val="00821A50"/>
    <w:rsid w:val="00821AEE"/>
    <w:rsid w:val="00821CE9"/>
    <w:rsid w:val="00822033"/>
    <w:rsid w:val="008222EC"/>
    <w:rsid w:val="008223F5"/>
    <w:rsid w:val="00822AF7"/>
    <w:rsid w:val="00823090"/>
    <w:rsid w:val="00823174"/>
    <w:rsid w:val="008232EC"/>
    <w:rsid w:val="00823640"/>
    <w:rsid w:val="00823CC6"/>
    <w:rsid w:val="00823DBE"/>
    <w:rsid w:val="00824B79"/>
    <w:rsid w:val="00824BFE"/>
    <w:rsid w:val="008253A1"/>
    <w:rsid w:val="008253EA"/>
    <w:rsid w:val="00825547"/>
    <w:rsid w:val="00825722"/>
    <w:rsid w:val="008259E2"/>
    <w:rsid w:val="00825D77"/>
    <w:rsid w:val="00825E77"/>
    <w:rsid w:val="00826D20"/>
    <w:rsid w:val="00826DD0"/>
    <w:rsid w:val="00826DEF"/>
    <w:rsid w:val="0082741D"/>
    <w:rsid w:val="008274A6"/>
    <w:rsid w:val="00827B08"/>
    <w:rsid w:val="00827D67"/>
    <w:rsid w:val="0082EDCE"/>
    <w:rsid w:val="008305BC"/>
    <w:rsid w:val="00830619"/>
    <w:rsid w:val="008306CB"/>
    <w:rsid w:val="008308AA"/>
    <w:rsid w:val="008309EE"/>
    <w:rsid w:val="00830C4B"/>
    <w:rsid w:val="00830F96"/>
    <w:rsid w:val="00830F9D"/>
    <w:rsid w:val="00831249"/>
    <w:rsid w:val="008314C3"/>
    <w:rsid w:val="008315C6"/>
    <w:rsid w:val="00831A28"/>
    <w:rsid w:val="00831DE7"/>
    <w:rsid w:val="0083225A"/>
    <w:rsid w:val="0083314C"/>
    <w:rsid w:val="00833183"/>
    <w:rsid w:val="008335CE"/>
    <w:rsid w:val="008336AB"/>
    <w:rsid w:val="00833B3F"/>
    <w:rsid w:val="00833FB1"/>
    <w:rsid w:val="00833FE6"/>
    <w:rsid w:val="00834184"/>
    <w:rsid w:val="00834288"/>
    <w:rsid w:val="00834294"/>
    <w:rsid w:val="008342D2"/>
    <w:rsid w:val="0083433C"/>
    <w:rsid w:val="00834348"/>
    <w:rsid w:val="008347C3"/>
    <w:rsid w:val="00834B24"/>
    <w:rsid w:val="00834B31"/>
    <w:rsid w:val="00834C11"/>
    <w:rsid w:val="00834DA1"/>
    <w:rsid w:val="0083505E"/>
    <w:rsid w:val="008352AE"/>
    <w:rsid w:val="008353D6"/>
    <w:rsid w:val="00835A2E"/>
    <w:rsid w:val="00835ACF"/>
    <w:rsid w:val="00835E4F"/>
    <w:rsid w:val="008360DB"/>
    <w:rsid w:val="0083610C"/>
    <w:rsid w:val="008369A6"/>
    <w:rsid w:val="00836BCD"/>
    <w:rsid w:val="00836CC4"/>
    <w:rsid w:val="00837922"/>
    <w:rsid w:val="00837ABE"/>
    <w:rsid w:val="00837B10"/>
    <w:rsid w:val="00837F10"/>
    <w:rsid w:val="00837FC2"/>
    <w:rsid w:val="00837FC8"/>
    <w:rsid w:val="0084010D"/>
    <w:rsid w:val="00840256"/>
    <w:rsid w:val="00840690"/>
    <w:rsid w:val="00840727"/>
    <w:rsid w:val="00841152"/>
    <w:rsid w:val="008411E1"/>
    <w:rsid w:val="00841579"/>
    <w:rsid w:val="00841767"/>
    <w:rsid w:val="008419EA"/>
    <w:rsid w:val="00841EE4"/>
    <w:rsid w:val="00841F7B"/>
    <w:rsid w:val="00842333"/>
    <w:rsid w:val="00842640"/>
    <w:rsid w:val="00842832"/>
    <w:rsid w:val="00842A28"/>
    <w:rsid w:val="00842A9B"/>
    <w:rsid w:val="00842ADB"/>
    <w:rsid w:val="00842F11"/>
    <w:rsid w:val="00842F1F"/>
    <w:rsid w:val="00843A77"/>
    <w:rsid w:val="00843EFB"/>
    <w:rsid w:val="008441B4"/>
    <w:rsid w:val="008448C4"/>
    <w:rsid w:val="00844B6F"/>
    <w:rsid w:val="00844F24"/>
    <w:rsid w:val="008451AA"/>
    <w:rsid w:val="008454F6"/>
    <w:rsid w:val="0084559B"/>
    <w:rsid w:val="00845871"/>
    <w:rsid w:val="008465AD"/>
    <w:rsid w:val="00846844"/>
    <w:rsid w:val="008468D4"/>
    <w:rsid w:val="00846C07"/>
    <w:rsid w:val="00846D80"/>
    <w:rsid w:val="0084758E"/>
    <w:rsid w:val="00847B9B"/>
    <w:rsid w:val="00847CB6"/>
    <w:rsid w:val="00847D2C"/>
    <w:rsid w:val="00847D9B"/>
    <w:rsid w:val="00847FE1"/>
    <w:rsid w:val="00850429"/>
    <w:rsid w:val="00850486"/>
    <w:rsid w:val="008504A2"/>
    <w:rsid w:val="00850FFF"/>
    <w:rsid w:val="00851337"/>
    <w:rsid w:val="008513F6"/>
    <w:rsid w:val="00851415"/>
    <w:rsid w:val="00851694"/>
    <w:rsid w:val="00851816"/>
    <w:rsid w:val="008518B8"/>
    <w:rsid w:val="00851B8F"/>
    <w:rsid w:val="00851EA3"/>
    <w:rsid w:val="00851FFD"/>
    <w:rsid w:val="0085215C"/>
    <w:rsid w:val="0085218A"/>
    <w:rsid w:val="0085219E"/>
    <w:rsid w:val="0085250C"/>
    <w:rsid w:val="00852A6C"/>
    <w:rsid w:val="00852AF3"/>
    <w:rsid w:val="00852C40"/>
    <w:rsid w:val="00852C67"/>
    <w:rsid w:val="00852E20"/>
    <w:rsid w:val="00853025"/>
    <w:rsid w:val="00853173"/>
    <w:rsid w:val="0085345A"/>
    <w:rsid w:val="0085365F"/>
    <w:rsid w:val="00853DFC"/>
    <w:rsid w:val="00853F36"/>
    <w:rsid w:val="00853F39"/>
    <w:rsid w:val="00853F90"/>
    <w:rsid w:val="0085413A"/>
    <w:rsid w:val="008547C0"/>
    <w:rsid w:val="00854B27"/>
    <w:rsid w:val="00854D38"/>
    <w:rsid w:val="00854F2A"/>
    <w:rsid w:val="0085577B"/>
    <w:rsid w:val="0085585E"/>
    <w:rsid w:val="00855B98"/>
    <w:rsid w:val="00855DD8"/>
    <w:rsid w:val="00855E71"/>
    <w:rsid w:val="00855E85"/>
    <w:rsid w:val="00855FAD"/>
    <w:rsid w:val="008560E1"/>
    <w:rsid w:val="00856314"/>
    <w:rsid w:val="008566D0"/>
    <w:rsid w:val="00856741"/>
    <w:rsid w:val="00856927"/>
    <w:rsid w:val="0085697A"/>
    <w:rsid w:val="00856A7D"/>
    <w:rsid w:val="00856D10"/>
    <w:rsid w:val="00856E70"/>
    <w:rsid w:val="008570C8"/>
    <w:rsid w:val="008573DA"/>
    <w:rsid w:val="008575F5"/>
    <w:rsid w:val="0085794E"/>
    <w:rsid w:val="008579ED"/>
    <w:rsid w:val="00857AA4"/>
    <w:rsid w:val="00857C21"/>
    <w:rsid w:val="00857DB8"/>
    <w:rsid w:val="00857F6F"/>
    <w:rsid w:val="008601A0"/>
    <w:rsid w:val="008603CA"/>
    <w:rsid w:val="00860753"/>
    <w:rsid w:val="00860912"/>
    <w:rsid w:val="00860B7F"/>
    <w:rsid w:val="00861297"/>
    <w:rsid w:val="008612B2"/>
    <w:rsid w:val="008617DC"/>
    <w:rsid w:val="00861B17"/>
    <w:rsid w:val="00861CCF"/>
    <w:rsid w:val="00861D1B"/>
    <w:rsid w:val="00861DE4"/>
    <w:rsid w:val="00861DF9"/>
    <w:rsid w:val="00861FD2"/>
    <w:rsid w:val="0086215F"/>
    <w:rsid w:val="008622C4"/>
    <w:rsid w:val="008628E7"/>
    <w:rsid w:val="0086297A"/>
    <w:rsid w:val="00862C03"/>
    <w:rsid w:val="0086300D"/>
    <w:rsid w:val="008631FF"/>
    <w:rsid w:val="008632BA"/>
    <w:rsid w:val="00863525"/>
    <w:rsid w:val="00863A35"/>
    <w:rsid w:val="00863F9F"/>
    <w:rsid w:val="00864831"/>
    <w:rsid w:val="00864A2F"/>
    <w:rsid w:val="00864E12"/>
    <w:rsid w:val="00864E60"/>
    <w:rsid w:val="0086535A"/>
    <w:rsid w:val="0086543C"/>
    <w:rsid w:val="00865767"/>
    <w:rsid w:val="008657E3"/>
    <w:rsid w:val="00865814"/>
    <w:rsid w:val="00865AAC"/>
    <w:rsid w:val="00866117"/>
    <w:rsid w:val="00866181"/>
    <w:rsid w:val="008661A3"/>
    <w:rsid w:val="00866464"/>
    <w:rsid w:val="00866A7D"/>
    <w:rsid w:val="00866AE5"/>
    <w:rsid w:val="00866B34"/>
    <w:rsid w:val="00866C33"/>
    <w:rsid w:val="00866D20"/>
    <w:rsid w:val="00866F8F"/>
    <w:rsid w:val="00867387"/>
    <w:rsid w:val="0086743B"/>
    <w:rsid w:val="00867781"/>
    <w:rsid w:val="00867A67"/>
    <w:rsid w:val="00870168"/>
    <w:rsid w:val="00870239"/>
    <w:rsid w:val="008705B6"/>
    <w:rsid w:val="008705D4"/>
    <w:rsid w:val="0087092E"/>
    <w:rsid w:val="00870A13"/>
    <w:rsid w:val="00870B63"/>
    <w:rsid w:val="0087120D"/>
    <w:rsid w:val="0087154C"/>
    <w:rsid w:val="00871599"/>
    <w:rsid w:val="0087169C"/>
    <w:rsid w:val="00871EB8"/>
    <w:rsid w:val="00871FBC"/>
    <w:rsid w:val="00871FCE"/>
    <w:rsid w:val="008723B4"/>
    <w:rsid w:val="008723D9"/>
    <w:rsid w:val="00872417"/>
    <w:rsid w:val="00872857"/>
    <w:rsid w:val="008729E1"/>
    <w:rsid w:val="00872DC4"/>
    <w:rsid w:val="00872EA1"/>
    <w:rsid w:val="00873016"/>
    <w:rsid w:val="008730AF"/>
    <w:rsid w:val="0087346F"/>
    <w:rsid w:val="008736BD"/>
    <w:rsid w:val="0087390A"/>
    <w:rsid w:val="00873989"/>
    <w:rsid w:val="008741D8"/>
    <w:rsid w:val="00874AA3"/>
    <w:rsid w:val="00874FA9"/>
    <w:rsid w:val="008751CB"/>
    <w:rsid w:val="0087522D"/>
    <w:rsid w:val="00875356"/>
    <w:rsid w:val="008753F4"/>
    <w:rsid w:val="008754E8"/>
    <w:rsid w:val="00875531"/>
    <w:rsid w:val="00875626"/>
    <w:rsid w:val="00875669"/>
    <w:rsid w:val="00875DC2"/>
    <w:rsid w:val="00875E05"/>
    <w:rsid w:val="00876641"/>
    <w:rsid w:val="00876672"/>
    <w:rsid w:val="00876AF7"/>
    <w:rsid w:val="00876E80"/>
    <w:rsid w:val="008770EA"/>
    <w:rsid w:val="0087743D"/>
    <w:rsid w:val="008776FC"/>
    <w:rsid w:val="00877D64"/>
    <w:rsid w:val="00880257"/>
    <w:rsid w:val="00880CD9"/>
    <w:rsid w:val="0088103C"/>
    <w:rsid w:val="008814B1"/>
    <w:rsid w:val="00881676"/>
    <w:rsid w:val="008818F7"/>
    <w:rsid w:val="00881A1A"/>
    <w:rsid w:val="00882134"/>
    <w:rsid w:val="00882B0B"/>
    <w:rsid w:val="00882E9D"/>
    <w:rsid w:val="008830EE"/>
    <w:rsid w:val="008830F7"/>
    <w:rsid w:val="008832C7"/>
    <w:rsid w:val="00883555"/>
    <w:rsid w:val="0088393C"/>
    <w:rsid w:val="00883B92"/>
    <w:rsid w:val="00883E70"/>
    <w:rsid w:val="008841DE"/>
    <w:rsid w:val="00884327"/>
    <w:rsid w:val="00884EBD"/>
    <w:rsid w:val="0088512D"/>
    <w:rsid w:val="00885314"/>
    <w:rsid w:val="008855A0"/>
    <w:rsid w:val="008857D6"/>
    <w:rsid w:val="00885864"/>
    <w:rsid w:val="00885965"/>
    <w:rsid w:val="00885AC2"/>
    <w:rsid w:val="00885B64"/>
    <w:rsid w:val="00885B76"/>
    <w:rsid w:val="00885B91"/>
    <w:rsid w:val="00885E8C"/>
    <w:rsid w:val="0088626D"/>
    <w:rsid w:val="0088639B"/>
    <w:rsid w:val="0088664D"/>
    <w:rsid w:val="00886CB7"/>
    <w:rsid w:val="00886D0D"/>
    <w:rsid w:val="008871BA"/>
    <w:rsid w:val="008874DF"/>
    <w:rsid w:val="008875DF"/>
    <w:rsid w:val="00887AAA"/>
    <w:rsid w:val="00887AD9"/>
    <w:rsid w:val="00887F50"/>
    <w:rsid w:val="00890349"/>
    <w:rsid w:val="008904F9"/>
    <w:rsid w:val="00890A57"/>
    <w:rsid w:val="00891104"/>
    <w:rsid w:val="0089119A"/>
    <w:rsid w:val="0089159D"/>
    <w:rsid w:val="008916B2"/>
    <w:rsid w:val="00891787"/>
    <w:rsid w:val="008918D9"/>
    <w:rsid w:val="008918FF"/>
    <w:rsid w:val="00891947"/>
    <w:rsid w:val="00891D13"/>
    <w:rsid w:val="00891E56"/>
    <w:rsid w:val="00891F08"/>
    <w:rsid w:val="00892011"/>
    <w:rsid w:val="008922D8"/>
    <w:rsid w:val="008924B7"/>
    <w:rsid w:val="008926CD"/>
    <w:rsid w:val="00892A5B"/>
    <w:rsid w:val="00892ABD"/>
    <w:rsid w:val="00893559"/>
    <w:rsid w:val="00893E35"/>
    <w:rsid w:val="00893FE3"/>
    <w:rsid w:val="008940F6"/>
    <w:rsid w:val="00894511"/>
    <w:rsid w:val="00894857"/>
    <w:rsid w:val="00894B5F"/>
    <w:rsid w:val="00894D0B"/>
    <w:rsid w:val="00895222"/>
    <w:rsid w:val="008955E5"/>
    <w:rsid w:val="0089574F"/>
    <w:rsid w:val="00895B45"/>
    <w:rsid w:val="00896412"/>
    <w:rsid w:val="0089659B"/>
    <w:rsid w:val="008968F4"/>
    <w:rsid w:val="0089690A"/>
    <w:rsid w:val="00896A9E"/>
    <w:rsid w:val="00896EFC"/>
    <w:rsid w:val="0089737D"/>
    <w:rsid w:val="008973AE"/>
    <w:rsid w:val="008975C0"/>
    <w:rsid w:val="00897B9B"/>
    <w:rsid w:val="00897E29"/>
    <w:rsid w:val="00897E46"/>
    <w:rsid w:val="008A052B"/>
    <w:rsid w:val="008A0538"/>
    <w:rsid w:val="008A0899"/>
    <w:rsid w:val="008A08EF"/>
    <w:rsid w:val="008A0979"/>
    <w:rsid w:val="008A0D2C"/>
    <w:rsid w:val="008A0F7C"/>
    <w:rsid w:val="008A1022"/>
    <w:rsid w:val="008A1047"/>
    <w:rsid w:val="008A12FF"/>
    <w:rsid w:val="008A15B5"/>
    <w:rsid w:val="008A1B4E"/>
    <w:rsid w:val="008A1C5B"/>
    <w:rsid w:val="008A1CA0"/>
    <w:rsid w:val="008A1E25"/>
    <w:rsid w:val="008A1F53"/>
    <w:rsid w:val="008A1FA2"/>
    <w:rsid w:val="008A23FE"/>
    <w:rsid w:val="008A241F"/>
    <w:rsid w:val="008A2739"/>
    <w:rsid w:val="008A28B0"/>
    <w:rsid w:val="008A292F"/>
    <w:rsid w:val="008A2DAC"/>
    <w:rsid w:val="008A3164"/>
    <w:rsid w:val="008A3237"/>
    <w:rsid w:val="008A32B2"/>
    <w:rsid w:val="008A3302"/>
    <w:rsid w:val="008A3489"/>
    <w:rsid w:val="008A3566"/>
    <w:rsid w:val="008A364B"/>
    <w:rsid w:val="008A3BC5"/>
    <w:rsid w:val="008A3C18"/>
    <w:rsid w:val="008A45A5"/>
    <w:rsid w:val="008A46B3"/>
    <w:rsid w:val="008A5280"/>
    <w:rsid w:val="008A561B"/>
    <w:rsid w:val="008A5747"/>
    <w:rsid w:val="008A57E3"/>
    <w:rsid w:val="008A58BD"/>
    <w:rsid w:val="008A5AFC"/>
    <w:rsid w:val="008A5C72"/>
    <w:rsid w:val="008A6356"/>
    <w:rsid w:val="008A63CC"/>
    <w:rsid w:val="008A659A"/>
    <w:rsid w:val="008A65C9"/>
    <w:rsid w:val="008A663A"/>
    <w:rsid w:val="008A6667"/>
    <w:rsid w:val="008A67F7"/>
    <w:rsid w:val="008A6B11"/>
    <w:rsid w:val="008A6DF3"/>
    <w:rsid w:val="008A6E4E"/>
    <w:rsid w:val="008A77D9"/>
    <w:rsid w:val="008A78F4"/>
    <w:rsid w:val="008A79AD"/>
    <w:rsid w:val="008A7BA0"/>
    <w:rsid w:val="008B000B"/>
    <w:rsid w:val="008B0034"/>
    <w:rsid w:val="008B01D1"/>
    <w:rsid w:val="008B022E"/>
    <w:rsid w:val="008B0281"/>
    <w:rsid w:val="008B0309"/>
    <w:rsid w:val="008B05E4"/>
    <w:rsid w:val="008B05F2"/>
    <w:rsid w:val="008B0609"/>
    <w:rsid w:val="008B06A3"/>
    <w:rsid w:val="008B0985"/>
    <w:rsid w:val="008B0BCA"/>
    <w:rsid w:val="008B102C"/>
    <w:rsid w:val="008B11EC"/>
    <w:rsid w:val="008B15F7"/>
    <w:rsid w:val="008B1850"/>
    <w:rsid w:val="008B1B43"/>
    <w:rsid w:val="008B1D59"/>
    <w:rsid w:val="008B1EC2"/>
    <w:rsid w:val="008B1EE1"/>
    <w:rsid w:val="008B207C"/>
    <w:rsid w:val="008B211C"/>
    <w:rsid w:val="008B2243"/>
    <w:rsid w:val="008B23FC"/>
    <w:rsid w:val="008B2410"/>
    <w:rsid w:val="008B24EB"/>
    <w:rsid w:val="008B280A"/>
    <w:rsid w:val="008B2A02"/>
    <w:rsid w:val="008B2A7F"/>
    <w:rsid w:val="008B2B6F"/>
    <w:rsid w:val="008B319D"/>
    <w:rsid w:val="008B3220"/>
    <w:rsid w:val="008B3914"/>
    <w:rsid w:val="008B4002"/>
    <w:rsid w:val="008B423D"/>
    <w:rsid w:val="008B4832"/>
    <w:rsid w:val="008B4D04"/>
    <w:rsid w:val="008B4EDE"/>
    <w:rsid w:val="008B52F4"/>
    <w:rsid w:val="008B5323"/>
    <w:rsid w:val="008B53A7"/>
    <w:rsid w:val="008B549F"/>
    <w:rsid w:val="008B55FC"/>
    <w:rsid w:val="008B56F7"/>
    <w:rsid w:val="008B59AE"/>
    <w:rsid w:val="008B5EDB"/>
    <w:rsid w:val="008B6201"/>
    <w:rsid w:val="008B63A4"/>
    <w:rsid w:val="008B67BB"/>
    <w:rsid w:val="008B6949"/>
    <w:rsid w:val="008B6A1C"/>
    <w:rsid w:val="008B6AC5"/>
    <w:rsid w:val="008B6B9C"/>
    <w:rsid w:val="008B70F7"/>
    <w:rsid w:val="008B7115"/>
    <w:rsid w:val="008B71B4"/>
    <w:rsid w:val="008B7492"/>
    <w:rsid w:val="008B7661"/>
    <w:rsid w:val="008B7725"/>
    <w:rsid w:val="008B7BF2"/>
    <w:rsid w:val="008B7D64"/>
    <w:rsid w:val="008C00DF"/>
    <w:rsid w:val="008C046E"/>
    <w:rsid w:val="008C0711"/>
    <w:rsid w:val="008C0A57"/>
    <w:rsid w:val="008C0BCB"/>
    <w:rsid w:val="008C0C0B"/>
    <w:rsid w:val="008C0D5F"/>
    <w:rsid w:val="008C0E51"/>
    <w:rsid w:val="008C0FAC"/>
    <w:rsid w:val="008C12D5"/>
    <w:rsid w:val="008C2574"/>
    <w:rsid w:val="008C2658"/>
    <w:rsid w:val="008C26B5"/>
    <w:rsid w:val="008C2965"/>
    <w:rsid w:val="008C29CF"/>
    <w:rsid w:val="008C2B0B"/>
    <w:rsid w:val="008C2E2F"/>
    <w:rsid w:val="008C2F41"/>
    <w:rsid w:val="008C30AF"/>
    <w:rsid w:val="008C3271"/>
    <w:rsid w:val="008C32EB"/>
    <w:rsid w:val="008C3493"/>
    <w:rsid w:val="008C35B3"/>
    <w:rsid w:val="008C38B6"/>
    <w:rsid w:val="008C3A20"/>
    <w:rsid w:val="008C3C63"/>
    <w:rsid w:val="008C3D91"/>
    <w:rsid w:val="008C3E8B"/>
    <w:rsid w:val="008C3F3A"/>
    <w:rsid w:val="008C4027"/>
    <w:rsid w:val="008C40D9"/>
    <w:rsid w:val="008C4326"/>
    <w:rsid w:val="008C45A7"/>
    <w:rsid w:val="008C4EB1"/>
    <w:rsid w:val="008C5117"/>
    <w:rsid w:val="008C54E1"/>
    <w:rsid w:val="008C5F58"/>
    <w:rsid w:val="008C60CF"/>
    <w:rsid w:val="008C6135"/>
    <w:rsid w:val="008C613E"/>
    <w:rsid w:val="008C65A5"/>
    <w:rsid w:val="008C670F"/>
    <w:rsid w:val="008C67C0"/>
    <w:rsid w:val="008C6964"/>
    <w:rsid w:val="008C6969"/>
    <w:rsid w:val="008C6A62"/>
    <w:rsid w:val="008C6D42"/>
    <w:rsid w:val="008C6D5C"/>
    <w:rsid w:val="008C6EBE"/>
    <w:rsid w:val="008C73F9"/>
    <w:rsid w:val="008C78BB"/>
    <w:rsid w:val="008C7A2A"/>
    <w:rsid w:val="008C7B9E"/>
    <w:rsid w:val="008C7ED0"/>
    <w:rsid w:val="008D00FB"/>
    <w:rsid w:val="008D059F"/>
    <w:rsid w:val="008D05E6"/>
    <w:rsid w:val="008D076D"/>
    <w:rsid w:val="008D0D9C"/>
    <w:rsid w:val="008D106D"/>
    <w:rsid w:val="008D169A"/>
    <w:rsid w:val="008D175D"/>
    <w:rsid w:val="008D18EF"/>
    <w:rsid w:val="008D1B14"/>
    <w:rsid w:val="008D1B88"/>
    <w:rsid w:val="008D1BCB"/>
    <w:rsid w:val="008D20BF"/>
    <w:rsid w:val="008D20E7"/>
    <w:rsid w:val="008D24B7"/>
    <w:rsid w:val="008D2514"/>
    <w:rsid w:val="008D256D"/>
    <w:rsid w:val="008D2849"/>
    <w:rsid w:val="008D2955"/>
    <w:rsid w:val="008D2985"/>
    <w:rsid w:val="008D2AB3"/>
    <w:rsid w:val="008D3069"/>
    <w:rsid w:val="008D31D5"/>
    <w:rsid w:val="008D332E"/>
    <w:rsid w:val="008D3955"/>
    <w:rsid w:val="008D3B75"/>
    <w:rsid w:val="008D407B"/>
    <w:rsid w:val="008D417E"/>
    <w:rsid w:val="008D46D7"/>
    <w:rsid w:val="008D49DD"/>
    <w:rsid w:val="008D4DAC"/>
    <w:rsid w:val="008D518F"/>
    <w:rsid w:val="008D51A9"/>
    <w:rsid w:val="008D5418"/>
    <w:rsid w:val="008D5615"/>
    <w:rsid w:val="008D5974"/>
    <w:rsid w:val="008D59DB"/>
    <w:rsid w:val="008D5AEA"/>
    <w:rsid w:val="008D5C2F"/>
    <w:rsid w:val="008D617C"/>
    <w:rsid w:val="008D6B7E"/>
    <w:rsid w:val="008D6BB5"/>
    <w:rsid w:val="008D6C1F"/>
    <w:rsid w:val="008D712A"/>
    <w:rsid w:val="008D78C4"/>
    <w:rsid w:val="008D7954"/>
    <w:rsid w:val="008D7B76"/>
    <w:rsid w:val="008D7BE0"/>
    <w:rsid w:val="008D7BE2"/>
    <w:rsid w:val="008D7E52"/>
    <w:rsid w:val="008E0138"/>
    <w:rsid w:val="008E0C58"/>
    <w:rsid w:val="008E0C5B"/>
    <w:rsid w:val="008E0D3D"/>
    <w:rsid w:val="008E1553"/>
    <w:rsid w:val="008E1B4A"/>
    <w:rsid w:val="008E1D3A"/>
    <w:rsid w:val="008E1D85"/>
    <w:rsid w:val="008E1E9B"/>
    <w:rsid w:val="008E24B4"/>
    <w:rsid w:val="008E2555"/>
    <w:rsid w:val="008E2806"/>
    <w:rsid w:val="008E29D7"/>
    <w:rsid w:val="008E2AD1"/>
    <w:rsid w:val="008E3364"/>
    <w:rsid w:val="008E38D6"/>
    <w:rsid w:val="008E3FEE"/>
    <w:rsid w:val="008E41D3"/>
    <w:rsid w:val="008E428F"/>
    <w:rsid w:val="008E4590"/>
    <w:rsid w:val="008E45C9"/>
    <w:rsid w:val="008E4832"/>
    <w:rsid w:val="008E485A"/>
    <w:rsid w:val="008E499D"/>
    <w:rsid w:val="008E4BED"/>
    <w:rsid w:val="008E5202"/>
    <w:rsid w:val="008E5604"/>
    <w:rsid w:val="008E59A9"/>
    <w:rsid w:val="008E5F56"/>
    <w:rsid w:val="008E6080"/>
    <w:rsid w:val="008E60B6"/>
    <w:rsid w:val="008E6552"/>
    <w:rsid w:val="008E6837"/>
    <w:rsid w:val="008E70B5"/>
    <w:rsid w:val="008E731A"/>
    <w:rsid w:val="008E7AC9"/>
    <w:rsid w:val="008E7FCA"/>
    <w:rsid w:val="008F0376"/>
    <w:rsid w:val="008F0CC8"/>
    <w:rsid w:val="008F0D2A"/>
    <w:rsid w:val="008F0D47"/>
    <w:rsid w:val="008F11C0"/>
    <w:rsid w:val="008F1243"/>
    <w:rsid w:val="008F1534"/>
    <w:rsid w:val="008F1AE2"/>
    <w:rsid w:val="008F1F84"/>
    <w:rsid w:val="008F20BB"/>
    <w:rsid w:val="008F237B"/>
    <w:rsid w:val="008F23E1"/>
    <w:rsid w:val="008F25E3"/>
    <w:rsid w:val="008F279A"/>
    <w:rsid w:val="008F28F0"/>
    <w:rsid w:val="008F320C"/>
    <w:rsid w:val="008F33C7"/>
    <w:rsid w:val="008F3CD7"/>
    <w:rsid w:val="008F3D06"/>
    <w:rsid w:val="008F3EAB"/>
    <w:rsid w:val="008F3F6D"/>
    <w:rsid w:val="008F40EA"/>
    <w:rsid w:val="008F40F9"/>
    <w:rsid w:val="008F4545"/>
    <w:rsid w:val="008F458E"/>
    <w:rsid w:val="008F473B"/>
    <w:rsid w:val="008F4C7D"/>
    <w:rsid w:val="008F51E0"/>
    <w:rsid w:val="008F52C3"/>
    <w:rsid w:val="008F5330"/>
    <w:rsid w:val="008F6400"/>
    <w:rsid w:val="008F6532"/>
    <w:rsid w:val="008F65B2"/>
    <w:rsid w:val="008F676F"/>
    <w:rsid w:val="008F694A"/>
    <w:rsid w:val="008F6A3C"/>
    <w:rsid w:val="008F6AA8"/>
    <w:rsid w:val="008F6BB7"/>
    <w:rsid w:val="008F6BDC"/>
    <w:rsid w:val="008F7026"/>
    <w:rsid w:val="008F7042"/>
    <w:rsid w:val="008F72EE"/>
    <w:rsid w:val="008F7694"/>
    <w:rsid w:val="008F7840"/>
    <w:rsid w:val="008F7FE7"/>
    <w:rsid w:val="009001B6"/>
    <w:rsid w:val="009001C7"/>
    <w:rsid w:val="0090075A"/>
    <w:rsid w:val="009007D6"/>
    <w:rsid w:val="009009F5"/>
    <w:rsid w:val="00900B09"/>
    <w:rsid w:val="00900D45"/>
    <w:rsid w:val="00900D51"/>
    <w:rsid w:val="00900F7B"/>
    <w:rsid w:val="009012BC"/>
    <w:rsid w:val="0090132F"/>
    <w:rsid w:val="0090136F"/>
    <w:rsid w:val="009018A0"/>
    <w:rsid w:val="00901B77"/>
    <w:rsid w:val="00901BD3"/>
    <w:rsid w:val="00901E4B"/>
    <w:rsid w:val="00902245"/>
    <w:rsid w:val="009025EE"/>
    <w:rsid w:val="0090295D"/>
    <w:rsid w:val="00902B3C"/>
    <w:rsid w:val="00902F0A"/>
    <w:rsid w:val="0090334A"/>
    <w:rsid w:val="009043D0"/>
    <w:rsid w:val="009044B4"/>
    <w:rsid w:val="00904503"/>
    <w:rsid w:val="00904680"/>
    <w:rsid w:val="00904D14"/>
    <w:rsid w:val="00904D7C"/>
    <w:rsid w:val="00904E8B"/>
    <w:rsid w:val="00905004"/>
    <w:rsid w:val="0090533C"/>
    <w:rsid w:val="00905A34"/>
    <w:rsid w:val="00905B61"/>
    <w:rsid w:val="009060FD"/>
    <w:rsid w:val="0090623A"/>
    <w:rsid w:val="00906553"/>
    <w:rsid w:val="00906575"/>
    <w:rsid w:val="00906609"/>
    <w:rsid w:val="009070B1"/>
    <w:rsid w:val="00907438"/>
    <w:rsid w:val="00907778"/>
    <w:rsid w:val="00907B62"/>
    <w:rsid w:val="00910178"/>
    <w:rsid w:val="0091025D"/>
    <w:rsid w:val="00910351"/>
    <w:rsid w:val="00910440"/>
    <w:rsid w:val="0091054D"/>
    <w:rsid w:val="0091104C"/>
    <w:rsid w:val="009115E4"/>
    <w:rsid w:val="00911664"/>
    <w:rsid w:val="009117BE"/>
    <w:rsid w:val="00911A52"/>
    <w:rsid w:val="00911FFD"/>
    <w:rsid w:val="0091239A"/>
    <w:rsid w:val="009123CE"/>
    <w:rsid w:val="009123E4"/>
    <w:rsid w:val="00912780"/>
    <w:rsid w:val="00912929"/>
    <w:rsid w:val="00912BE6"/>
    <w:rsid w:val="00912C0E"/>
    <w:rsid w:val="00913160"/>
    <w:rsid w:val="0091320A"/>
    <w:rsid w:val="0091330A"/>
    <w:rsid w:val="00913405"/>
    <w:rsid w:val="00913613"/>
    <w:rsid w:val="00913662"/>
    <w:rsid w:val="0091371D"/>
    <w:rsid w:val="009138E9"/>
    <w:rsid w:val="00913960"/>
    <w:rsid w:val="00914372"/>
    <w:rsid w:val="00914589"/>
    <w:rsid w:val="0091482E"/>
    <w:rsid w:val="009149B0"/>
    <w:rsid w:val="00914A29"/>
    <w:rsid w:val="00914B07"/>
    <w:rsid w:val="009150E8"/>
    <w:rsid w:val="009156BC"/>
    <w:rsid w:val="009156E6"/>
    <w:rsid w:val="00915A3C"/>
    <w:rsid w:val="00915ABB"/>
    <w:rsid w:val="00915B2E"/>
    <w:rsid w:val="00916089"/>
    <w:rsid w:val="009160A3"/>
    <w:rsid w:val="009161A8"/>
    <w:rsid w:val="009164B8"/>
    <w:rsid w:val="00916B48"/>
    <w:rsid w:val="00916B78"/>
    <w:rsid w:val="00916C20"/>
    <w:rsid w:val="00916DAA"/>
    <w:rsid w:val="00917067"/>
    <w:rsid w:val="00917277"/>
    <w:rsid w:val="009173A9"/>
    <w:rsid w:val="009176A8"/>
    <w:rsid w:val="00917E16"/>
    <w:rsid w:val="009204ED"/>
    <w:rsid w:val="0092081D"/>
    <w:rsid w:val="00920962"/>
    <w:rsid w:val="00920A98"/>
    <w:rsid w:val="00920DF2"/>
    <w:rsid w:val="00920E1E"/>
    <w:rsid w:val="00920E88"/>
    <w:rsid w:val="00920EB7"/>
    <w:rsid w:val="00920F17"/>
    <w:rsid w:val="00920F57"/>
    <w:rsid w:val="009215AF"/>
    <w:rsid w:val="0092177F"/>
    <w:rsid w:val="00921ACE"/>
    <w:rsid w:val="00921BFA"/>
    <w:rsid w:val="009225FC"/>
    <w:rsid w:val="009229B8"/>
    <w:rsid w:val="00922B83"/>
    <w:rsid w:val="00922D41"/>
    <w:rsid w:val="0092308E"/>
    <w:rsid w:val="00923390"/>
    <w:rsid w:val="00923C2F"/>
    <w:rsid w:val="009246AF"/>
    <w:rsid w:val="009248E4"/>
    <w:rsid w:val="00924A51"/>
    <w:rsid w:val="00924DD1"/>
    <w:rsid w:val="00925071"/>
    <w:rsid w:val="0092511C"/>
    <w:rsid w:val="009252E4"/>
    <w:rsid w:val="0092543A"/>
    <w:rsid w:val="00925775"/>
    <w:rsid w:val="00925DBC"/>
    <w:rsid w:val="00925DF5"/>
    <w:rsid w:val="00926095"/>
    <w:rsid w:val="009261C8"/>
    <w:rsid w:val="0092698B"/>
    <w:rsid w:val="009271A4"/>
    <w:rsid w:val="00927C4C"/>
    <w:rsid w:val="009302A8"/>
    <w:rsid w:val="0093050D"/>
    <w:rsid w:val="00930AC0"/>
    <w:rsid w:val="00930B2A"/>
    <w:rsid w:val="00930B6A"/>
    <w:rsid w:val="00930C89"/>
    <w:rsid w:val="00930DA8"/>
    <w:rsid w:val="00930EC6"/>
    <w:rsid w:val="009313D5"/>
    <w:rsid w:val="00931474"/>
    <w:rsid w:val="00931B16"/>
    <w:rsid w:val="0093226E"/>
    <w:rsid w:val="00932457"/>
    <w:rsid w:val="00932603"/>
    <w:rsid w:val="009329C0"/>
    <w:rsid w:val="0093311A"/>
    <w:rsid w:val="009331F5"/>
    <w:rsid w:val="00933780"/>
    <w:rsid w:val="00933896"/>
    <w:rsid w:val="00933B6D"/>
    <w:rsid w:val="00933BA1"/>
    <w:rsid w:val="00934153"/>
    <w:rsid w:val="009346FA"/>
    <w:rsid w:val="0093485B"/>
    <w:rsid w:val="00934A1C"/>
    <w:rsid w:val="00935043"/>
    <w:rsid w:val="00935BC0"/>
    <w:rsid w:val="00936080"/>
    <w:rsid w:val="00936501"/>
    <w:rsid w:val="009367B9"/>
    <w:rsid w:val="00936DC4"/>
    <w:rsid w:val="00936E72"/>
    <w:rsid w:val="0093759F"/>
    <w:rsid w:val="00937625"/>
    <w:rsid w:val="00937783"/>
    <w:rsid w:val="0093788B"/>
    <w:rsid w:val="00937B0E"/>
    <w:rsid w:val="00937DA0"/>
    <w:rsid w:val="00937FEC"/>
    <w:rsid w:val="00940146"/>
    <w:rsid w:val="00940305"/>
    <w:rsid w:val="0094045E"/>
    <w:rsid w:val="0094071B"/>
    <w:rsid w:val="00940895"/>
    <w:rsid w:val="009408DC"/>
    <w:rsid w:val="00940BB5"/>
    <w:rsid w:val="00940BC5"/>
    <w:rsid w:val="00940F78"/>
    <w:rsid w:val="00941065"/>
    <w:rsid w:val="00941346"/>
    <w:rsid w:val="00941956"/>
    <w:rsid w:val="00941987"/>
    <w:rsid w:val="00941E59"/>
    <w:rsid w:val="00942170"/>
    <w:rsid w:val="0094261C"/>
    <w:rsid w:val="0094279B"/>
    <w:rsid w:val="00942FA9"/>
    <w:rsid w:val="0094302E"/>
    <w:rsid w:val="009434B1"/>
    <w:rsid w:val="009439B8"/>
    <w:rsid w:val="00943B47"/>
    <w:rsid w:val="00943CC0"/>
    <w:rsid w:val="009442CC"/>
    <w:rsid w:val="00944489"/>
    <w:rsid w:val="009445C1"/>
    <w:rsid w:val="0094466D"/>
    <w:rsid w:val="00944DBD"/>
    <w:rsid w:val="00944EB2"/>
    <w:rsid w:val="00944FCA"/>
    <w:rsid w:val="00944FF7"/>
    <w:rsid w:val="009451D7"/>
    <w:rsid w:val="009459E1"/>
    <w:rsid w:val="00945A3B"/>
    <w:rsid w:val="00945C1F"/>
    <w:rsid w:val="00945E43"/>
    <w:rsid w:val="0094622E"/>
    <w:rsid w:val="0094654D"/>
    <w:rsid w:val="0094677B"/>
    <w:rsid w:val="00946AF8"/>
    <w:rsid w:val="00946C6E"/>
    <w:rsid w:val="00946D31"/>
    <w:rsid w:val="00946DA5"/>
    <w:rsid w:val="00947080"/>
    <w:rsid w:val="009474E7"/>
    <w:rsid w:val="009478EC"/>
    <w:rsid w:val="009500CE"/>
    <w:rsid w:val="0095014A"/>
    <w:rsid w:val="0095025E"/>
    <w:rsid w:val="0095093D"/>
    <w:rsid w:val="00950A5D"/>
    <w:rsid w:val="00950A87"/>
    <w:rsid w:val="00950C85"/>
    <w:rsid w:val="00950CB4"/>
    <w:rsid w:val="00951378"/>
    <w:rsid w:val="009513BB"/>
    <w:rsid w:val="00951442"/>
    <w:rsid w:val="00951475"/>
    <w:rsid w:val="00951970"/>
    <w:rsid w:val="00951EE2"/>
    <w:rsid w:val="0095208C"/>
    <w:rsid w:val="00952160"/>
    <w:rsid w:val="009523DC"/>
    <w:rsid w:val="009524E8"/>
    <w:rsid w:val="00952652"/>
    <w:rsid w:val="0095283C"/>
    <w:rsid w:val="00952ED8"/>
    <w:rsid w:val="0095354F"/>
    <w:rsid w:val="00953AC1"/>
    <w:rsid w:val="00954144"/>
    <w:rsid w:val="00954336"/>
    <w:rsid w:val="009545B1"/>
    <w:rsid w:val="009548B4"/>
    <w:rsid w:val="009550B1"/>
    <w:rsid w:val="00955660"/>
    <w:rsid w:val="00955915"/>
    <w:rsid w:val="00955AAE"/>
    <w:rsid w:val="00955B0A"/>
    <w:rsid w:val="00955F6C"/>
    <w:rsid w:val="00956366"/>
    <w:rsid w:val="009564FB"/>
    <w:rsid w:val="00956A10"/>
    <w:rsid w:val="00956EA0"/>
    <w:rsid w:val="00957115"/>
    <w:rsid w:val="0095761A"/>
    <w:rsid w:val="00957D57"/>
    <w:rsid w:val="009602AC"/>
    <w:rsid w:val="009602F1"/>
    <w:rsid w:val="00960433"/>
    <w:rsid w:val="00960C7B"/>
    <w:rsid w:val="00960D01"/>
    <w:rsid w:val="00960FA9"/>
    <w:rsid w:val="00961273"/>
    <w:rsid w:val="0096187E"/>
    <w:rsid w:val="00961B9B"/>
    <w:rsid w:val="009620DC"/>
    <w:rsid w:val="009621C4"/>
    <w:rsid w:val="00962248"/>
    <w:rsid w:val="009627A0"/>
    <w:rsid w:val="00962E63"/>
    <w:rsid w:val="009633E2"/>
    <w:rsid w:val="00963773"/>
    <w:rsid w:val="00963A82"/>
    <w:rsid w:val="00963B10"/>
    <w:rsid w:val="00963B63"/>
    <w:rsid w:val="00963C7D"/>
    <w:rsid w:val="00963EE1"/>
    <w:rsid w:val="00964482"/>
    <w:rsid w:val="00964891"/>
    <w:rsid w:val="0096489F"/>
    <w:rsid w:val="00964ADE"/>
    <w:rsid w:val="00964CC6"/>
    <w:rsid w:val="00964D73"/>
    <w:rsid w:val="00965334"/>
    <w:rsid w:val="009659BE"/>
    <w:rsid w:val="00965A31"/>
    <w:rsid w:val="00965D91"/>
    <w:rsid w:val="00966335"/>
    <w:rsid w:val="0096687A"/>
    <w:rsid w:val="00966D53"/>
    <w:rsid w:val="00966D92"/>
    <w:rsid w:val="00966E14"/>
    <w:rsid w:val="00966E4D"/>
    <w:rsid w:val="00967397"/>
    <w:rsid w:val="00967516"/>
    <w:rsid w:val="009676B4"/>
    <w:rsid w:val="009676F0"/>
    <w:rsid w:val="00967B3C"/>
    <w:rsid w:val="009703B8"/>
    <w:rsid w:val="00970732"/>
    <w:rsid w:val="00970796"/>
    <w:rsid w:val="00970F53"/>
    <w:rsid w:val="00970FA3"/>
    <w:rsid w:val="009710B5"/>
    <w:rsid w:val="009710DD"/>
    <w:rsid w:val="00971121"/>
    <w:rsid w:val="00971AB6"/>
    <w:rsid w:val="00971E53"/>
    <w:rsid w:val="00972077"/>
    <w:rsid w:val="0097219A"/>
    <w:rsid w:val="00972388"/>
    <w:rsid w:val="00972403"/>
    <w:rsid w:val="00972427"/>
    <w:rsid w:val="009728A0"/>
    <w:rsid w:val="00972A0E"/>
    <w:rsid w:val="00972ADC"/>
    <w:rsid w:val="00972BE5"/>
    <w:rsid w:val="00972E65"/>
    <w:rsid w:val="00973313"/>
    <w:rsid w:val="0097343A"/>
    <w:rsid w:val="009735F2"/>
    <w:rsid w:val="00973625"/>
    <w:rsid w:val="009736B6"/>
    <w:rsid w:val="009738CD"/>
    <w:rsid w:val="00973A09"/>
    <w:rsid w:val="00973A24"/>
    <w:rsid w:val="00973B2B"/>
    <w:rsid w:val="00973D01"/>
    <w:rsid w:val="00973D20"/>
    <w:rsid w:val="00973EB9"/>
    <w:rsid w:val="00973F32"/>
    <w:rsid w:val="00973F94"/>
    <w:rsid w:val="0097405C"/>
    <w:rsid w:val="009741BF"/>
    <w:rsid w:val="009744E8"/>
    <w:rsid w:val="00974644"/>
    <w:rsid w:val="00974810"/>
    <w:rsid w:val="00974C31"/>
    <w:rsid w:val="00974CF8"/>
    <w:rsid w:val="00974F1C"/>
    <w:rsid w:val="00975131"/>
    <w:rsid w:val="0097534B"/>
    <w:rsid w:val="00975709"/>
    <w:rsid w:val="009769FE"/>
    <w:rsid w:val="00976E13"/>
    <w:rsid w:val="00977321"/>
    <w:rsid w:val="0097742A"/>
    <w:rsid w:val="009777C1"/>
    <w:rsid w:val="009779C2"/>
    <w:rsid w:val="0097BF52"/>
    <w:rsid w:val="0097C6D1"/>
    <w:rsid w:val="009801B8"/>
    <w:rsid w:val="0098063B"/>
    <w:rsid w:val="0098075C"/>
    <w:rsid w:val="00980A80"/>
    <w:rsid w:val="00980E0A"/>
    <w:rsid w:val="00980F70"/>
    <w:rsid w:val="00981084"/>
    <w:rsid w:val="0098111D"/>
    <w:rsid w:val="00981686"/>
    <w:rsid w:val="009817AF"/>
    <w:rsid w:val="00981CAC"/>
    <w:rsid w:val="00981F94"/>
    <w:rsid w:val="009822F2"/>
    <w:rsid w:val="009825DD"/>
    <w:rsid w:val="00982A97"/>
    <w:rsid w:val="00982C75"/>
    <w:rsid w:val="00982ED7"/>
    <w:rsid w:val="00983536"/>
    <w:rsid w:val="00983889"/>
    <w:rsid w:val="00983C35"/>
    <w:rsid w:val="00983D81"/>
    <w:rsid w:val="00984160"/>
    <w:rsid w:val="00984390"/>
    <w:rsid w:val="009846E3"/>
    <w:rsid w:val="009847A4"/>
    <w:rsid w:val="00984C14"/>
    <w:rsid w:val="00984E8F"/>
    <w:rsid w:val="009850D4"/>
    <w:rsid w:val="009852A1"/>
    <w:rsid w:val="00985519"/>
    <w:rsid w:val="009856FF"/>
    <w:rsid w:val="00985BAE"/>
    <w:rsid w:val="00985CE8"/>
    <w:rsid w:val="009863C0"/>
    <w:rsid w:val="0098642B"/>
    <w:rsid w:val="00987075"/>
    <w:rsid w:val="00987093"/>
    <w:rsid w:val="00987301"/>
    <w:rsid w:val="009874F7"/>
    <w:rsid w:val="00987578"/>
    <w:rsid w:val="00987639"/>
    <w:rsid w:val="0098787B"/>
    <w:rsid w:val="009878D5"/>
    <w:rsid w:val="00987B5B"/>
    <w:rsid w:val="0099015B"/>
    <w:rsid w:val="009901AC"/>
    <w:rsid w:val="0099020A"/>
    <w:rsid w:val="00990302"/>
    <w:rsid w:val="00990352"/>
    <w:rsid w:val="009903BB"/>
    <w:rsid w:val="00990931"/>
    <w:rsid w:val="0099094E"/>
    <w:rsid w:val="00991453"/>
    <w:rsid w:val="00991E79"/>
    <w:rsid w:val="00991E8A"/>
    <w:rsid w:val="00991EA8"/>
    <w:rsid w:val="0099227F"/>
    <w:rsid w:val="00992613"/>
    <w:rsid w:val="009929E7"/>
    <w:rsid w:val="00992A16"/>
    <w:rsid w:val="0099320A"/>
    <w:rsid w:val="009935E6"/>
    <w:rsid w:val="00993630"/>
    <w:rsid w:val="00993689"/>
    <w:rsid w:val="0099393E"/>
    <w:rsid w:val="00993B31"/>
    <w:rsid w:val="00993B4A"/>
    <w:rsid w:val="00993FFF"/>
    <w:rsid w:val="0099441C"/>
    <w:rsid w:val="00994BC2"/>
    <w:rsid w:val="00994C04"/>
    <w:rsid w:val="009954F4"/>
    <w:rsid w:val="00995594"/>
    <w:rsid w:val="00995A7E"/>
    <w:rsid w:val="0099607A"/>
    <w:rsid w:val="0099628F"/>
    <w:rsid w:val="00996465"/>
    <w:rsid w:val="009964BF"/>
    <w:rsid w:val="00996909"/>
    <w:rsid w:val="00996940"/>
    <w:rsid w:val="00996A83"/>
    <w:rsid w:val="00996AA8"/>
    <w:rsid w:val="00996C10"/>
    <w:rsid w:val="00996FBB"/>
    <w:rsid w:val="00997009"/>
    <w:rsid w:val="009973FE"/>
    <w:rsid w:val="009974B0"/>
    <w:rsid w:val="0099777E"/>
    <w:rsid w:val="00997A32"/>
    <w:rsid w:val="00997B11"/>
    <w:rsid w:val="00997D32"/>
    <w:rsid w:val="009A00B3"/>
    <w:rsid w:val="009A0285"/>
    <w:rsid w:val="009A074C"/>
    <w:rsid w:val="009A0E61"/>
    <w:rsid w:val="009A0F4F"/>
    <w:rsid w:val="009A1129"/>
    <w:rsid w:val="009A1162"/>
    <w:rsid w:val="009A1628"/>
    <w:rsid w:val="009A1693"/>
    <w:rsid w:val="009A1696"/>
    <w:rsid w:val="009A1A15"/>
    <w:rsid w:val="009A22F5"/>
    <w:rsid w:val="009A29D1"/>
    <w:rsid w:val="009A29FA"/>
    <w:rsid w:val="009A38B6"/>
    <w:rsid w:val="009A3A5E"/>
    <w:rsid w:val="009A3CBB"/>
    <w:rsid w:val="009A3DFA"/>
    <w:rsid w:val="009A4972"/>
    <w:rsid w:val="009A4BBF"/>
    <w:rsid w:val="009A4C0A"/>
    <w:rsid w:val="009A5207"/>
    <w:rsid w:val="009A55A4"/>
    <w:rsid w:val="009A58CC"/>
    <w:rsid w:val="009A59A2"/>
    <w:rsid w:val="009A5B3F"/>
    <w:rsid w:val="009A5CA9"/>
    <w:rsid w:val="009A6053"/>
    <w:rsid w:val="009A62C7"/>
    <w:rsid w:val="009A682E"/>
    <w:rsid w:val="009A6A2F"/>
    <w:rsid w:val="009A6D93"/>
    <w:rsid w:val="009A6DA1"/>
    <w:rsid w:val="009A7465"/>
    <w:rsid w:val="009A76C1"/>
    <w:rsid w:val="009A76FE"/>
    <w:rsid w:val="009A7D97"/>
    <w:rsid w:val="009B01B0"/>
    <w:rsid w:val="009B0271"/>
    <w:rsid w:val="009B02E2"/>
    <w:rsid w:val="009B0740"/>
    <w:rsid w:val="009B0FF6"/>
    <w:rsid w:val="009B14A9"/>
    <w:rsid w:val="009B16DD"/>
    <w:rsid w:val="009B1A11"/>
    <w:rsid w:val="009B1D6E"/>
    <w:rsid w:val="009B1E29"/>
    <w:rsid w:val="009B241E"/>
    <w:rsid w:val="009B29B4"/>
    <w:rsid w:val="009B2B71"/>
    <w:rsid w:val="009B2D20"/>
    <w:rsid w:val="009B3160"/>
    <w:rsid w:val="009B31C4"/>
    <w:rsid w:val="009B33C5"/>
    <w:rsid w:val="009B356A"/>
    <w:rsid w:val="009B3806"/>
    <w:rsid w:val="009B3B9C"/>
    <w:rsid w:val="009B3CBF"/>
    <w:rsid w:val="009B3D3A"/>
    <w:rsid w:val="009B3F5B"/>
    <w:rsid w:val="009B3FC6"/>
    <w:rsid w:val="009B4226"/>
    <w:rsid w:val="009B451B"/>
    <w:rsid w:val="009B468C"/>
    <w:rsid w:val="009B46B5"/>
    <w:rsid w:val="009B4702"/>
    <w:rsid w:val="009B48C0"/>
    <w:rsid w:val="009B4A04"/>
    <w:rsid w:val="009B4CDC"/>
    <w:rsid w:val="009B50A7"/>
    <w:rsid w:val="009B51C9"/>
    <w:rsid w:val="009B52A7"/>
    <w:rsid w:val="009B565E"/>
    <w:rsid w:val="009B5668"/>
    <w:rsid w:val="009B59EE"/>
    <w:rsid w:val="009B5B3C"/>
    <w:rsid w:val="009B5C6F"/>
    <w:rsid w:val="009B5F4A"/>
    <w:rsid w:val="009B61A5"/>
    <w:rsid w:val="009B65CB"/>
    <w:rsid w:val="009B6868"/>
    <w:rsid w:val="009B6CED"/>
    <w:rsid w:val="009B7686"/>
    <w:rsid w:val="009B784B"/>
    <w:rsid w:val="009B794F"/>
    <w:rsid w:val="009B79F0"/>
    <w:rsid w:val="009C0216"/>
    <w:rsid w:val="009C07D8"/>
    <w:rsid w:val="009C0FD8"/>
    <w:rsid w:val="009C119F"/>
    <w:rsid w:val="009C11DD"/>
    <w:rsid w:val="009C1A34"/>
    <w:rsid w:val="009C210A"/>
    <w:rsid w:val="009C282A"/>
    <w:rsid w:val="009C2941"/>
    <w:rsid w:val="009C31CF"/>
    <w:rsid w:val="009C366C"/>
    <w:rsid w:val="009C3684"/>
    <w:rsid w:val="009C39AD"/>
    <w:rsid w:val="009C3B74"/>
    <w:rsid w:val="009C3C28"/>
    <w:rsid w:val="009C3D3A"/>
    <w:rsid w:val="009C3E8A"/>
    <w:rsid w:val="009C4006"/>
    <w:rsid w:val="009C4321"/>
    <w:rsid w:val="009C4831"/>
    <w:rsid w:val="009C4E66"/>
    <w:rsid w:val="009C4E8B"/>
    <w:rsid w:val="009C4EB4"/>
    <w:rsid w:val="009C51EF"/>
    <w:rsid w:val="009C52E2"/>
    <w:rsid w:val="009C54A2"/>
    <w:rsid w:val="009C5649"/>
    <w:rsid w:val="009C5830"/>
    <w:rsid w:val="009C5876"/>
    <w:rsid w:val="009C5B3A"/>
    <w:rsid w:val="009C5F3C"/>
    <w:rsid w:val="009C6045"/>
    <w:rsid w:val="009C6432"/>
    <w:rsid w:val="009C6910"/>
    <w:rsid w:val="009C69B9"/>
    <w:rsid w:val="009C6B82"/>
    <w:rsid w:val="009C75F7"/>
    <w:rsid w:val="009C7602"/>
    <w:rsid w:val="009C766A"/>
    <w:rsid w:val="009C79C1"/>
    <w:rsid w:val="009C7C22"/>
    <w:rsid w:val="009C7E23"/>
    <w:rsid w:val="009C7F17"/>
    <w:rsid w:val="009D0045"/>
    <w:rsid w:val="009D06D3"/>
    <w:rsid w:val="009D08CE"/>
    <w:rsid w:val="009D0CD0"/>
    <w:rsid w:val="009D1041"/>
    <w:rsid w:val="009D121A"/>
    <w:rsid w:val="009D129E"/>
    <w:rsid w:val="009D1AAA"/>
    <w:rsid w:val="009D1BCE"/>
    <w:rsid w:val="009D1BF2"/>
    <w:rsid w:val="009D1E64"/>
    <w:rsid w:val="009D1FF6"/>
    <w:rsid w:val="009D2224"/>
    <w:rsid w:val="009D223E"/>
    <w:rsid w:val="009D2620"/>
    <w:rsid w:val="009D2E16"/>
    <w:rsid w:val="009D3B61"/>
    <w:rsid w:val="009D3E10"/>
    <w:rsid w:val="009D3F74"/>
    <w:rsid w:val="009D414C"/>
    <w:rsid w:val="009D43BF"/>
    <w:rsid w:val="009D4E7B"/>
    <w:rsid w:val="009D4EA0"/>
    <w:rsid w:val="009D500A"/>
    <w:rsid w:val="009D5216"/>
    <w:rsid w:val="009D581F"/>
    <w:rsid w:val="009D5A5D"/>
    <w:rsid w:val="009D6014"/>
    <w:rsid w:val="009D6095"/>
    <w:rsid w:val="009D6188"/>
    <w:rsid w:val="009D618F"/>
    <w:rsid w:val="009D61D8"/>
    <w:rsid w:val="009D6261"/>
    <w:rsid w:val="009D6BDF"/>
    <w:rsid w:val="009D710A"/>
    <w:rsid w:val="009D721E"/>
    <w:rsid w:val="009D7468"/>
    <w:rsid w:val="009D74D0"/>
    <w:rsid w:val="009D766A"/>
    <w:rsid w:val="009D76F8"/>
    <w:rsid w:val="009D78D8"/>
    <w:rsid w:val="009D7EFE"/>
    <w:rsid w:val="009E0079"/>
    <w:rsid w:val="009E0171"/>
    <w:rsid w:val="009E047A"/>
    <w:rsid w:val="009E05AC"/>
    <w:rsid w:val="009E069C"/>
    <w:rsid w:val="009E0743"/>
    <w:rsid w:val="009E079E"/>
    <w:rsid w:val="009E0900"/>
    <w:rsid w:val="009E0A8E"/>
    <w:rsid w:val="009E0EFD"/>
    <w:rsid w:val="009E11B8"/>
    <w:rsid w:val="009E1583"/>
    <w:rsid w:val="009E1634"/>
    <w:rsid w:val="009E16DD"/>
    <w:rsid w:val="009E186B"/>
    <w:rsid w:val="009E19A5"/>
    <w:rsid w:val="009E2356"/>
    <w:rsid w:val="009E240D"/>
    <w:rsid w:val="009E2625"/>
    <w:rsid w:val="009E291D"/>
    <w:rsid w:val="009E2B1A"/>
    <w:rsid w:val="009E31FF"/>
    <w:rsid w:val="009E364B"/>
    <w:rsid w:val="009E36C4"/>
    <w:rsid w:val="009E3947"/>
    <w:rsid w:val="009E3B11"/>
    <w:rsid w:val="009E3CD4"/>
    <w:rsid w:val="009E3DC1"/>
    <w:rsid w:val="009E4335"/>
    <w:rsid w:val="009E455A"/>
    <w:rsid w:val="009E4C55"/>
    <w:rsid w:val="009E4F66"/>
    <w:rsid w:val="009E556B"/>
    <w:rsid w:val="009E56C1"/>
    <w:rsid w:val="009E57B9"/>
    <w:rsid w:val="009E5959"/>
    <w:rsid w:val="009E5C61"/>
    <w:rsid w:val="009E5CCC"/>
    <w:rsid w:val="009E5CD8"/>
    <w:rsid w:val="009E5D4B"/>
    <w:rsid w:val="009E61A0"/>
    <w:rsid w:val="009E61FA"/>
    <w:rsid w:val="009E6237"/>
    <w:rsid w:val="009E62CA"/>
    <w:rsid w:val="009E6639"/>
    <w:rsid w:val="009E665C"/>
    <w:rsid w:val="009E682A"/>
    <w:rsid w:val="009E6CBA"/>
    <w:rsid w:val="009E70AF"/>
    <w:rsid w:val="009E7499"/>
    <w:rsid w:val="009E7606"/>
    <w:rsid w:val="009E7685"/>
    <w:rsid w:val="009E77AC"/>
    <w:rsid w:val="009E7A05"/>
    <w:rsid w:val="009E7AC7"/>
    <w:rsid w:val="009E7E5A"/>
    <w:rsid w:val="009F0002"/>
    <w:rsid w:val="009F0019"/>
    <w:rsid w:val="009F0176"/>
    <w:rsid w:val="009F01DB"/>
    <w:rsid w:val="009F050C"/>
    <w:rsid w:val="009F0847"/>
    <w:rsid w:val="009F08DE"/>
    <w:rsid w:val="009F09E0"/>
    <w:rsid w:val="009F0B45"/>
    <w:rsid w:val="009F0CDD"/>
    <w:rsid w:val="009F1000"/>
    <w:rsid w:val="009F100C"/>
    <w:rsid w:val="009F138A"/>
    <w:rsid w:val="009F15B5"/>
    <w:rsid w:val="009F1B68"/>
    <w:rsid w:val="009F222F"/>
    <w:rsid w:val="009F2467"/>
    <w:rsid w:val="009F26EE"/>
    <w:rsid w:val="009F2CF8"/>
    <w:rsid w:val="009F3100"/>
    <w:rsid w:val="009F34C5"/>
    <w:rsid w:val="009F3541"/>
    <w:rsid w:val="009F3761"/>
    <w:rsid w:val="009F39F0"/>
    <w:rsid w:val="009F3B9F"/>
    <w:rsid w:val="009F4042"/>
    <w:rsid w:val="009F409E"/>
    <w:rsid w:val="009F40F8"/>
    <w:rsid w:val="009F42E0"/>
    <w:rsid w:val="009F461F"/>
    <w:rsid w:val="009F4743"/>
    <w:rsid w:val="009F479E"/>
    <w:rsid w:val="009F490A"/>
    <w:rsid w:val="009F49CF"/>
    <w:rsid w:val="009F4F7C"/>
    <w:rsid w:val="009F4F92"/>
    <w:rsid w:val="009F5116"/>
    <w:rsid w:val="009F51C4"/>
    <w:rsid w:val="009F5206"/>
    <w:rsid w:val="009F53B7"/>
    <w:rsid w:val="009F56D6"/>
    <w:rsid w:val="009F58D5"/>
    <w:rsid w:val="009F5BA7"/>
    <w:rsid w:val="009F5EE0"/>
    <w:rsid w:val="009F60F8"/>
    <w:rsid w:val="009F672D"/>
    <w:rsid w:val="009F678F"/>
    <w:rsid w:val="009F6B0B"/>
    <w:rsid w:val="009F6C72"/>
    <w:rsid w:val="009F6CE6"/>
    <w:rsid w:val="009F6EA5"/>
    <w:rsid w:val="009F704C"/>
    <w:rsid w:val="009F71D3"/>
    <w:rsid w:val="009F74C9"/>
    <w:rsid w:val="009F752F"/>
    <w:rsid w:val="009F790B"/>
    <w:rsid w:val="009F7BB0"/>
    <w:rsid w:val="009F7F6F"/>
    <w:rsid w:val="00A00459"/>
    <w:rsid w:val="00A004CA"/>
    <w:rsid w:val="00A00675"/>
    <w:rsid w:val="00A00850"/>
    <w:rsid w:val="00A0086B"/>
    <w:rsid w:val="00A00A02"/>
    <w:rsid w:val="00A00C97"/>
    <w:rsid w:val="00A00D44"/>
    <w:rsid w:val="00A011FF"/>
    <w:rsid w:val="00A0153A"/>
    <w:rsid w:val="00A01767"/>
    <w:rsid w:val="00A01AE7"/>
    <w:rsid w:val="00A01B79"/>
    <w:rsid w:val="00A01BE9"/>
    <w:rsid w:val="00A01E5C"/>
    <w:rsid w:val="00A02217"/>
    <w:rsid w:val="00A022A2"/>
    <w:rsid w:val="00A0266B"/>
    <w:rsid w:val="00A02689"/>
    <w:rsid w:val="00A027D4"/>
    <w:rsid w:val="00A02A70"/>
    <w:rsid w:val="00A0313D"/>
    <w:rsid w:val="00A031BA"/>
    <w:rsid w:val="00A03207"/>
    <w:rsid w:val="00A0334B"/>
    <w:rsid w:val="00A0346B"/>
    <w:rsid w:val="00A035A7"/>
    <w:rsid w:val="00A03989"/>
    <w:rsid w:val="00A04173"/>
    <w:rsid w:val="00A041D3"/>
    <w:rsid w:val="00A04B51"/>
    <w:rsid w:val="00A04B9F"/>
    <w:rsid w:val="00A04CDB"/>
    <w:rsid w:val="00A04FA0"/>
    <w:rsid w:val="00A0503C"/>
    <w:rsid w:val="00A05161"/>
    <w:rsid w:val="00A054BE"/>
    <w:rsid w:val="00A05B53"/>
    <w:rsid w:val="00A05CE9"/>
    <w:rsid w:val="00A05DC8"/>
    <w:rsid w:val="00A06285"/>
    <w:rsid w:val="00A06478"/>
    <w:rsid w:val="00A067AE"/>
    <w:rsid w:val="00A06926"/>
    <w:rsid w:val="00A06B33"/>
    <w:rsid w:val="00A06E0D"/>
    <w:rsid w:val="00A06FDB"/>
    <w:rsid w:val="00A070FD"/>
    <w:rsid w:val="00A07299"/>
    <w:rsid w:val="00A0733D"/>
    <w:rsid w:val="00A0747C"/>
    <w:rsid w:val="00A07834"/>
    <w:rsid w:val="00A10067"/>
    <w:rsid w:val="00A100DB"/>
    <w:rsid w:val="00A101BA"/>
    <w:rsid w:val="00A10201"/>
    <w:rsid w:val="00A102B9"/>
    <w:rsid w:val="00A102DE"/>
    <w:rsid w:val="00A1085B"/>
    <w:rsid w:val="00A10A1D"/>
    <w:rsid w:val="00A10B28"/>
    <w:rsid w:val="00A10C81"/>
    <w:rsid w:val="00A1137C"/>
    <w:rsid w:val="00A114D5"/>
    <w:rsid w:val="00A114F6"/>
    <w:rsid w:val="00A1157E"/>
    <w:rsid w:val="00A115B6"/>
    <w:rsid w:val="00A11609"/>
    <w:rsid w:val="00A116EE"/>
    <w:rsid w:val="00A1177E"/>
    <w:rsid w:val="00A1182B"/>
    <w:rsid w:val="00A12652"/>
    <w:rsid w:val="00A12759"/>
    <w:rsid w:val="00A129F3"/>
    <w:rsid w:val="00A12E1B"/>
    <w:rsid w:val="00A12F0C"/>
    <w:rsid w:val="00A13536"/>
    <w:rsid w:val="00A13617"/>
    <w:rsid w:val="00A1363A"/>
    <w:rsid w:val="00A136B7"/>
    <w:rsid w:val="00A13751"/>
    <w:rsid w:val="00A1379A"/>
    <w:rsid w:val="00A139F9"/>
    <w:rsid w:val="00A13B48"/>
    <w:rsid w:val="00A13C70"/>
    <w:rsid w:val="00A13CF1"/>
    <w:rsid w:val="00A13D78"/>
    <w:rsid w:val="00A13E7C"/>
    <w:rsid w:val="00A13F6A"/>
    <w:rsid w:val="00A13FDB"/>
    <w:rsid w:val="00A1405D"/>
    <w:rsid w:val="00A143CB"/>
    <w:rsid w:val="00A14AC5"/>
    <w:rsid w:val="00A14C7E"/>
    <w:rsid w:val="00A14D81"/>
    <w:rsid w:val="00A150D1"/>
    <w:rsid w:val="00A15272"/>
    <w:rsid w:val="00A15277"/>
    <w:rsid w:val="00A1554F"/>
    <w:rsid w:val="00A1568D"/>
    <w:rsid w:val="00A159A8"/>
    <w:rsid w:val="00A15E5E"/>
    <w:rsid w:val="00A15E99"/>
    <w:rsid w:val="00A15F72"/>
    <w:rsid w:val="00A16046"/>
    <w:rsid w:val="00A164E4"/>
    <w:rsid w:val="00A16725"/>
    <w:rsid w:val="00A16935"/>
    <w:rsid w:val="00A16BEF"/>
    <w:rsid w:val="00A16E50"/>
    <w:rsid w:val="00A1709A"/>
    <w:rsid w:val="00A172F4"/>
    <w:rsid w:val="00A17601"/>
    <w:rsid w:val="00A17910"/>
    <w:rsid w:val="00A179A6"/>
    <w:rsid w:val="00A17D9B"/>
    <w:rsid w:val="00A200F9"/>
    <w:rsid w:val="00A2013B"/>
    <w:rsid w:val="00A202FE"/>
    <w:rsid w:val="00A204C5"/>
    <w:rsid w:val="00A20936"/>
    <w:rsid w:val="00A209BA"/>
    <w:rsid w:val="00A20E7E"/>
    <w:rsid w:val="00A2116C"/>
    <w:rsid w:val="00A2179E"/>
    <w:rsid w:val="00A21D3B"/>
    <w:rsid w:val="00A220E4"/>
    <w:rsid w:val="00A2267C"/>
    <w:rsid w:val="00A22790"/>
    <w:rsid w:val="00A22AD4"/>
    <w:rsid w:val="00A22C51"/>
    <w:rsid w:val="00A2303A"/>
    <w:rsid w:val="00A23219"/>
    <w:rsid w:val="00A2344A"/>
    <w:rsid w:val="00A23708"/>
    <w:rsid w:val="00A2381E"/>
    <w:rsid w:val="00A23848"/>
    <w:rsid w:val="00A23C10"/>
    <w:rsid w:val="00A23E6E"/>
    <w:rsid w:val="00A240A9"/>
    <w:rsid w:val="00A242C1"/>
    <w:rsid w:val="00A24544"/>
    <w:rsid w:val="00A249E6"/>
    <w:rsid w:val="00A24E8A"/>
    <w:rsid w:val="00A25098"/>
    <w:rsid w:val="00A25374"/>
    <w:rsid w:val="00A253EC"/>
    <w:rsid w:val="00A2546C"/>
    <w:rsid w:val="00A25624"/>
    <w:rsid w:val="00A25D1F"/>
    <w:rsid w:val="00A26523"/>
    <w:rsid w:val="00A268AB"/>
    <w:rsid w:val="00A26F05"/>
    <w:rsid w:val="00A26FB3"/>
    <w:rsid w:val="00A27165"/>
    <w:rsid w:val="00A271EC"/>
    <w:rsid w:val="00A272C0"/>
    <w:rsid w:val="00A2743B"/>
    <w:rsid w:val="00A274EE"/>
    <w:rsid w:val="00A27649"/>
    <w:rsid w:val="00A27665"/>
    <w:rsid w:val="00A27863"/>
    <w:rsid w:val="00A278AE"/>
    <w:rsid w:val="00A27AC7"/>
    <w:rsid w:val="00A27F02"/>
    <w:rsid w:val="00A30794"/>
    <w:rsid w:val="00A309FF"/>
    <w:rsid w:val="00A30AA7"/>
    <w:rsid w:val="00A30B6A"/>
    <w:rsid w:val="00A30C92"/>
    <w:rsid w:val="00A31394"/>
    <w:rsid w:val="00A31435"/>
    <w:rsid w:val="00A314EF"/>
    <w:rsid w:val="00A31769"/>
    <w:rsid w:val="00A317D5"/>
    <w:rsid w:val="00A31BB7"/>
    <w:rsid w:val="00A31D8B"/>
    <w:rsid w:val="00A31DDD"/>
    <w:rsid w:val="00A32101"/>
    <w:rsid w:val="00A3244C"/>
    <w:rsid w:val="00A325C5"/>
    <w:rsid w:val="00A328E3"/>
    <w:rsid w:val="00A32A66"/>
    <w:rsid w:val="00A32C8C"/>
    <w:rsid w:val="00A32CA6"/>
    <w:rsid w:val="00A32D79"/>
    <w:rsid w:val="00A33460"/>
    <w:rsid w:val="00A33564"/>
    <w:rsid w:val="00A339A6"/>
    <w:rsid w:val="00A33B44"/>
    <w:rsid w:val="00A33CE0"/>
    <w:rsid w:val="00A33FEC"/>
    <w:rsid w:val="00A3415E"/>
    <w:rsid w:val="00A34229"/>
    <w:rsid w:val="00A34795"/>
    <w:rsid w:val="00A3490B"/>
    <w:rsid w:val="00A34B48"/>
    <w:rsid w:val="00A34DD3"/>
    <w:rsid w:val="00A34F0B"/>
    <w:rsid w:val="00A3559D"/>
    <w:rsid w:val="00A3573D"/>
    <w:rsid w:val="00A35976"/>
    <w:rsid w:val="00A359E6"/>
    <w:rsid w:val="00A35E2C"/>
    <w:rsid w:val="00A35E56"/>
    <w:rsid w:val="00A3617A"/>
    <w:rsid w:val="00A364B9"/>
    <w:rsid w:val="00A369A8"/>
    <w:rsid w:val="00A36D10"/>
    <w:rsid w:val="00A36D2F"/>
    <w:rsid w:val="00A372A7"/>
    <w:rsid w:val="00A3731D"/>
    <w:rsid w:val="00A3732B"/>
    <w:rsid w:val="00A3734F"/>
    <w:rsid w:val="00A373AD"/>
    <w:rsid w:val="00A3752F"/>
    <w:rsid w:val="00A37604"/>
    <w:rsid w:val="00A376D9"/>
    <w:rsid w:val="00A377A2"/>
    <w:rsid w:val="00A37FCF"/>
    <w:rsid w:val="00A40262"/>
    <w:rsid w:val="00A402DB"/>
    <w:rsid w:val="00A402DF"/>
    <w:rsid w:val="00A406DB"/>
    <w:rsid w:val="00A408F3"/>
    <w:rsid w:val="00A40D07"/>
    <w:rsid w:val="00A41090"/>
    <w:rsid w:val="00A41547"/>
    <w:rsid w:val="00A41592"/>
    <w:rsid w:val="00A41743"/>
    <w:rsid w:val="00A418A5"/>
    <w:rsid w:val="00A41923"/>
    <w:rsid w:val="00A41D4E"/>
    <w:rsid w:val="00A41DF5"/>
    <w:rsid w:val="00A41F81"/>
    <w:rsid w:val="00A4233E"/>
    <w:rsid w:val="00A42680"/>
    <w:rsid w:val="00A42867"/>
    <w:rsid w:val="00A428E2"/>
    <w:rsid w:val="00A42AB3"/>
    <w:rsid w:val="00A42B10"/>
    <w:rsid w:val="00A42BB8"/>
    <w:rsid w:val="00A42C1E"/>
    <w:rsid w:val="00A430B4"/>
    <w:rsid w:val="00A43213"/>
    <w:rsid w:val="00A43577"/>
    <w:rsid w:val="00A438BE"/>
    <w:rsid w:val="00A44318"/>
    <w:rsid w:val="00A44385"/>
    <w:rsid w:val="00A443E7"/>
    <w:rsid w:val="00A44D4D"/>
    <w:rsid w:val="00A44FD1"/>
    <w:rsid w:val="00A452C3"/>
    <w:rsid w:val="00A4535F"/>
    <w:rsid w:val="00A454BC"/>
    <w:rsid w:val="00A45994"/>
    <w:rsid w:val="00A45EB8"/>
    <w:rsid w:val="00A45F5C"/>
    <w:rsid w:val="00A46287"/>
    <w:rsid w:val="00A464C9"/>
    <w:rsid w:val="00A467CD"/>
    <w:rsid w:val="00A467D3"/>
    <w:rsid w:val="00A46B9A"/>
    <w:rsid w:val="00A4706B"/>
    <w:rsid w:val="00A4706E"/>
    <w:rsid w:val="00A47462"/>
    <w:rsid w:val="00A47507"/>
    <w:rsid w:val="00A4779E"/>
    <w:rsid w:val="00A477BA"/>
    <w:rsid w:val="00A477F3"/>
    <w:rsid w:val="00A47A09"/>
    <w:rsid w:val="00A47AE4"/>
    <w:rsid w:val="00A47DF0"/>
    <w:rsid w:val="00A50181"/>
    <w:rsid w:val="00A502B3"/>
    <w:rsid w:val="00A505C8"/>
    <w:rsid w:val="00A51402"/>
    <w:rsid w:val="00A51756"/>
    <w:rsid w:val="00A51D5E"/>
    <w:rsid w:val="00A51E3E"/>
    <w:rsid w:val="00A52199"/>
    <w:rsid w:val="00A521B0"/>
    <w:rsid w:val="00A521BA"/>
    <w:rsid w:val="00A523D5"/>
    <w:rsid w:val="00A52649"/>
    <w:rsid w:val="00A5288B"/>
    <w:rsid w:val="00A5288D"/>
    <w:rsid w:val="00A52960"/>
    <w:rsid w:val="00A52CF8"/>
    <w:rsid w:val="00A5346E"/>
    <w:rsid w:val="00A5363F"/>
    <w:rsid w:val="00A5375C"/>
    <w:rsid w:val="00A539F8"/>
    <w:rsid w:val="00A53A08"/>
    <w:rsid w:val="00A53A89"/>
    <w:rsid w:val="00A53BA4"/>
    <w:rsid w:val="00A53C97"/>
    <w:rsid w:val="00A53DFB"/>
    <w:rsid w:val="00A53E6E"/>
    <w:rsid w:val="00A53FD6"/>
    <w:rsid w:val="00A543BA"/>
    <w:rsid w:val="00A54709"/>
    <w:rsid w:val="00A54DEA"/>
    <w:rsid w:val="00A54F5A"/>
    <w:rsid w:val="00A5541B"/>
    <w:rsid w:val="00A55B6C"/>
    <w:rsid w:val="00A55CC4"/>
    <w:rsid w:val="00A55E44"/>
    <w:rsid w:val="00A55F8B"/>
    <w:rsid w:val="00A563D4"/>
    <w:rsid w:val="00A56532"/>
    <w:rsid w:val="00A56849"/>
    <w:rsid w:val="00A56EB6"/>
    <w:rsid w:val="00A56F47"/>
    <w:rsid w:val="00A56FB5"/>
    <w:rsid w:val="00A573BF"/>
    <w:rsid w:val="00A57916"/>
    <w:rsid w:val="00A579D0"/>
    <w:rsid w:val="00A57CC1"/>
    <w:rsid w:val="00A57CC7"/>
    <w:rsid w:val="00A57EC4"/>
    <w:rsid w:val="00A57EFA"/>
    <w:rsid w:val="00A57F79"/>
    <w:rsid w:val="00A57FB3"/>
    <w:rsid w:val="00A5916D"/>
    <w:rsid w:val="00A6019D"/>
    <w:rsid w:val="00A603A7"/>
    <w:rsid w:val="00A60534"/>
    <w:rsid w:val="00A61252"/>
    <w:rsid w:val="00A61521"/>
    <w:rsid w:val="00A6172D"/>
    <w:rsid w:val="00A61A4E"/>
    <w:rsid w:val="00A61BC8"/>
    <w:rsid w:val="00A61DA3"/>
    <w:rsid w:val="00A62149"/>
    <w:rsid w:val="00A62224"/>
    <w:rsid w:val="00A62408"/>
    <w:rsid w:val="00A624DA"/>
    <w:rsid w:val="00A62592"/>
    <w:rsid w:val="00A625F0"/>
    <w:rsid w:val="00A62837"/>
    <w:rsid w:val="00A62B9D"/>
    <w:rsid w:val="00A62CAB"/>
    <w:rsid w:val="00A62D4C"/>
    <w:rsid w:val="00A62F03"/>
    <w:rsid w:val="00A63161"/>
    <w:rsid w:val="00A63199"/>
    <w:rsid w:val="00A63230"/>
    <w:rsid w:val="00A633BD"/>
    <w:rsid w:val="00A636B9"/>
    <w:rsid w:val="00A63909"/>
    <w:rsid w:val="00A6446F"/>
    <w:rsid w:val="00A649B0"/>
    <w:rsid w:val="00A64E18"/>
    <w:rsid w:val="00A64F89"/>
    <w:rsid w:val="00A6500C"/>
    <w:rsid w:val="00A6527D"/>
    <w:rsid w:val="00A654EF"/>
    <w:rsid w:val="00A655EF"/>
    <w:rsid w:val="00A65D4A"/>
    <w:rsid w:val="00A65E17"/>
    <w:rsid w:val="00A666A6"/>
    <w:rsid w:val="00A667A6"/>
    <w:rsid w:val="00A66B00"/>
    <w:rsid w:val="00A66B8C"/>
    <w:rsid w:val="00A66C46"/>
    <w:rsid w:val="00A66CDA"/>
    <w:rsid w:val="00A66E68"/>
    <w:rsid w:val="00A66F8C"/>
    <w:rsid w:val="00A674D4"/>
    <w:rsid w:val="00A678F2"/>
    <w:rsid w:val="00A67B42"/>
    <w:rsid w:val="00A67C20"/>
    <w:rsid w:val="00A67C35"/>
    <w:rsid w:val="00A700F5"/>
    <w:rsid w:val="00A70130"/>
    <w:rsid w:val="00A7015C"/>
    <w:rsid w:val="00A70421"/>
    <w:rsid w:val="00A707F5"/>
    <w:rsid w:val="00A70F6A"/>
    <w:rsid w:val="00A71323"/>
    <w:rsid w:val="00A713C6"/>
    <w:rsid w:val="00A71503"/>
    <w:rsid w:val="00A715A0"/>
    <w:rsid w:val="00A71646"/>
    <w:rsid w:val="00A71991"/>
    <w:rsid w:val="00A71A66"/>
    <w:rsid w:val="00A71D5B"/>
    <w:rsid w:val="00A71ED5"/>
    <w:rsid w:val="00A721A7"/>
    <w:rsid w:val="00A726C6"/>
    <w:rsid w:val="00A72BBE"/>
    <w:rsid w:val="00A72E6C"/>
    <w:rsid w:val="00A72E83"/>
    <w:rsid w:val="00A731FD"/>
    <w:rsid w:val="00A732A9"/>
    <w:rsid w:val="00A734DD"/>
    <w:rsid w:val="00A737D5"/>
    <w:rsid w:val="00A73816"/>
    <w:rsid w:val="00A73985"/>
    <w:rsid w:val="00A73AC8"/>
    <w:rsid w:val="00A73EBC"/>
    <w:rsid w:val="00A7405E"/>
    <w:rsid w:val="00A74215"/>
    <w:rsid w:val="00A744B3"/>
    <w:rsid w:val="00A7454A"/>
    <w:rsid w:val="00A7459F"/>
    <w:rsid w:val="00A745ED"/>
    <w:rsid w:val="00A7467B"/>
    <w:rsid w:val="00A74C74"/>
    <w:rsid w:val="00A74EA5"/>
    <w:rsid w:val="00A75207"/>
    <w:rsid w:val="00A75285"/>
    <w:rsid w:val="00A753CA"/>
    <w:rsid w:val="00A7570E"/>
    <w:rsid w:val="00A75D03"/>
    <w:rsid w:val="00A75D4F"/>
    <w:rsid w:val="00A75D54"/>
    <w:rsid w:val="00A75D82"/>
    <w:rsid w:val="00A76D2B"/>
    <w:rsid w:val="00A76DC7"/>
    <w:rsid w:val="00A76DEF"/>
    <w:rsid w:val="00A775D9"/>
    <w:rsid w:val="00A77644"/>
    <w:rsid w:val="00A777B4"/>
    <w:rsid w:val="00A77CF3"/>
    <w:rsid w:val="00A80131"/>
    <w:rsid w:val="00A8045D"/>
    <w:rsid w:val="00A80500"/>
    <w:rsid w:val="00A805B3"/>
    <w:rsid w:val="00A80708"/>
    <w:rsid w:val="00A807B1"/>
    <w:rsid w:val="00A80942"/>
    <w:rsid w:val="00A80C6C"/>
    <w:rsid w:val="00A813CC"/>
    <w:rsid w:val="00A815EE"/>
    <w:rsid w:val="00A8177A"/>
    <w:rsid w:val="00A81BCF"/>
    <w:rsid w:val="00A81DDE"/>
    <w:rsid w:val="00A820B2"/>
    <w:rsid w:val="00A82383"/>
    <w:rsid w:val="00A823A5"/>
    <w:rsid w:val="00A8281E"/>
    <w:rsid w:val="00A82860"/>
    <w:rsid w:val="00A82E5F"/>
    <w:rsid w:val="00A835C4"/>
    <w:rsid w:val="00A83808"/>
    <w:rsid w:val="00A839FE"/>
    <w:rsid w:val="00A83B85"/>
    <w:rsid w:val="00A83C5C"/>
    <w:rsid w:val="00A83D96"/>
    <w:rsid w:val="00A84362"/>
    <w:rsid w:val="00A8444C"/>
    <w:rsid w:val="00A84864"/>
    <w:rsid w:val="00A851DD"/>
    <w:rsid w:val="00A853C6"/>
    <w:rsid w:val="00A85447"/>
    <w:rsid w:val="00A85683"/>
    <w:rsid w:val="00A85A9E"/>
    <w:rsid w:val="00A85CD5"/>
    <w:rsid w:val="00A85DC7"/>
    <w:rsid w:val="00A85F16"/>
    <w:rsid w:val="00A86657"/>
    <w:rsid w:val="00A86A99"/>
    <w:rsid w:val="00A86C2A"/>
    <w:rsid w:val="00A8716A"/>
    <w:rsid w:val="00A873A2"/>
    <w:rsid w:val="00A876AE"/>
    <w:rsid w:val="00A8779B"/>
    <w:rsid w:val="00A87B09"/>
    <w:rsid w:val="00A87BA9"/>
    <w:rsid w:val="00A87C5F"/>
    <w:rsid w:val="00A90052"/>
    <w:rsid w:val="00A90667"/>
    <w:rsid w:val="00A90959"/>
    <w:rsid w:val="00A90B52"/>
    <w:rsid w:val="00A90BB0"/>
    <w:rsid w:val="00A90C44"/>
    <w:rsid w:val="00A90D7F"/>
    <w:rsid w:val="00A91495"/>
    <w:rsid w:val="00A915E7"/>
    <w:rsid w:val="00A91716"/>
    <w:rsid w:val="00A91883"/>
    <w:rsid w:val="00A91A46"/>
    <w:rsid w:val="00A91E23"/>
    <w:rsid w:val="00A91FC9"/>
    <w:rsid w:val="00A92300"/>
    <w:rsid w:val="00A92330"/>
    <w:rsid w:val="00A924BB"/>
    <w:rsid w:val="00A929E3"/>
    <w:rsid w:val="00A92BEC"/>
    <w:rsid w:val="00A92CB4"/>
    <w:rsid w:val="00A92D38"/>
    <w:rsid w:val="00A92EDA"/>
    <w:rsid w:val="00A932EE"/>
    <w:rsid w:val="00A93472"/>
    <w:rsid w:val="00A93525"/>
    <w:rsid w:val="00A9376F"/>
    <w:rsid w:val="00A937A8"/>
    <w:rsid w:val="00A93CCC"/>
    <w:rsid w:val="00A93E05"/>
    <w:rsid w:val="00A93E66"/>
    <w:rsid w:val="00A94167"/>
    <w:rsid w:val="00A94857"/>
    <w:rsid w:val="00A94A9A"/>
    <w:rsid w:val="00A94B67"/>
    <w:rsid w:val="00A94EE3"/>
    <w:rsid w:val="00A94EE5"/>
    <w:rsid w:val="00A94F7E"/>
    <w:rsid w:val="00A9514D"/>
    <w:rsid w:val="00A95152"/>
    <w:rsid w:val="00A959FD"/>
    <w:rsid w:val="00A960F4"/>
    <w:rsid w:val="00A96235"/>
    <w:rsid w:val="00A9643B"/>
    <w:rsid w:val="00A964AB"/>
    <w:rsid w:val="00A9656D"/>
    <w:rsid w:val="00A967D7"/>
    <w:rsid w:val="00A96918"/>
    <w:rsid w:val="00A96C86"/>
    <w:rsid w:val="00A96EFE"/>
    <w:rsid w:val="00A97609"/>
    <w:rsid w:val="00A9763D"/>
    <w:rsid w:val="00A977BF"/>
    <w:rsid w:val="00A97A7D"/>
    <w:rsid w:val="00A97F46"/>
    <w:rsid w:val="00A97FEA"/>
    <w:rsid w:val="00AA0182"/>
    <w:rsid w:val="00AA0325"/>
    <w:rsid w:val="00AA03B5"/>
    <w:rsid w:val="00AA03C0"/>
    <w:rsid w:val="00AA05A5"/>
    <w:rsid w:val="00AA0613"/>
    <w:rsid w:val="00AA071D"/>
    <w:rsid w:val="00AA0C1D"/>
    <w:rsid w:val="00AA0FD3"/>
    <w:rsid w:val="00AA12B5"/>
    <w:rsid w:val="00AA1370"/>
    <w:rsid w:val="00AA14C7"/>
    <w:rsid w:val="00AA1532"/>
    <w:rsid w:val="00AA1777"/>
    <w:rsid w:val="00AA18E2"/>
    <w:rsid w:val="00AA1A7A"/>
    <w:rsid w:val="00AA1AF3"/>
    <w:rsid w:val="00AA1CAD"/>
    <w:rsid w:val="00AA1E69"/>
    <w:rsid w:val="00AA22C5"/>
    <w:rsid w:val="00AA2374"/>
    <w:rsid w:val="00AA2539"/>
    <w:rsid w:val="00AA2714"/>
    <w:rsid w:val="00AA2831"/>
    <w:rsid w:val="00AA2993"/>
    <w:rsid w:val="00AA2AAA"/>
    <w:rsid w:val="00AA2C57"/>
    <w:rsid w:val="00AA2EDD"/>
    <w:rsid w:val="00AA2F17"/>
    <w:rsid w:val="00AA329D"/>
    <w:rsid w:val="00AA32A7"/>
    <w:rsid w:val="00AA3490"/>
    <w:rsid w:val="00AA398D"/>
    <w:rsid w:val="00AA3BA2"/>
    <w:rsid w:val="00AA4444"/>
    <w:rsid w:val="00AA4704"/>
    <w:rsid w:val="00AA4C92"/>
    <w:rsid w:val="00AA4EE0"/>
    <w:rsid w:val="00AA5171"/>
    <w:rsid w:val="00AA5303"/>
    <w:rsid w:val="00AA5B1F"/>
    <w:rsid w:val="00AA5DBE"/>
    <w:rsid w:val="00AA6403"/>
    <w:rsid w:val="00AA6562"/>
    <w:rsid w:val="00AA6653"/>
    <w:rsid w:val="00AA7212"/>
    <w:rsid w:val="00AA739F"/>
    <w:rsid w:val="00AA73CB"/>
    <w:rsid w:val="00AA75E9"/>
    <w:rsid w:val="00AA77D6"/>
    <w:rsid w:val="00AA7848"/>
    <w:rsid w:val="00AA7C1B"/>
    <w:rsid w:val="00AB00CF"/>
    <w:rsid w:val="00AB02F5"/>
    <w:rsid w:val="00AB04EA"/>
    <w:rsid w:val="00AB0691"/>
    <w:rsid w:val="00AB08B5"/>
    <w:rsid w:val="00AB110D"/>
    <w:rsid w:val="00AB1125"/>
    <w:rsid w:val="00AB12CF"/>
    <w:rsid w:val="00AB17CB"/>
    <w:rsid w:val="00AB1913"/>
    <w:rsid w:val="00AB1A50"/>
    <w:rsid w:val="00AB1B39"/>
    <w:rsid w:val="00AB23DB"/>
    <w:rsid w:val="00AB2658"/>
    <w:rsid w:val="00AB2B90"/>
    <w:rsid w:val="00AB2E29"/>
    <w:rsid w:val="00AB3213"/>
    <w:rsid w:val="00AB371E"/>
    <w:rsid w:val="00AB38FA"/>
    <w:rsid w:val="00AB3A3F"/>
    <w:rsid w:val="00AB3F3B"/>
    <w:rsid w:val="00AB451D"/>
    <w:rsid w:val="00AB45DD"/>
    <w:rsid w:val="00AB4652"/>
    <w:rsid w:val="00AB46D4"/>
    <w:rsid w:val="00AB4A67"/>
    <w:rsid w:val="00AB4ABB"/>
    <w:rsid w:val="00AB4DFC"/>
    <w:rsid w:val="00AB4F32"/>
    <w:rsid w:val="00AB4F6A"/>
    <w:rsid w:val="00AB54DA"/>
    <w:rsid w:val="00AB5C86"/>
    <w:rsid w:val="00AB5D7A"/>
    <w:rsid w:val="00AB63D5"/>
    <w:rsid w:val="00AB64AA"/>
    <w:rsid w:val="00AB66B9"/>
    <w:rsid w:val="00AB6852"/>
    <w:rsid w:val="00AB6C7F"/>
    <w:rsid w:val="00AB6C9E"/>
    <w:rsid w:val="00AB758D"/>
    <w:rsid w:val="00AB7B07"/>
    <w:rsid w:val="00AC0118"/>
    <w:rsid w:val="00AC016E"/>
    <w:rsid w:val="00AC047D"/>
    <w:rsid w:val="00AC04D3"/>
    <w:rsid w:val="00AC0918"/>
    <w:rsid w:val="00AC0AD8"/>
    <w:rsid w:val="00AC0C62"/>
    <w:rsid w:val="00AC0D10"/>
    <w:rsid w:val="00AC16B8"/>
    <w:rsid w:val="00AC1B7A"/>
    <w:rsid w:val="00AC1C0F"/>
    <w:rsid w:val="00AC1C57"/>
    <w:rsid w:val="00AC1CE8"/>
    <w:rsid w:val="00AC1F84"/>
    <w:rsid w:val="00AC1FE1"/>
    <w:rsid w:val="00AC2132"/>
    <w:rsid w:val="00AC25BB"/>
    <w:rsid w:val="00AC2633"/>
    <w:rsid w:val="00AC272F"/>
    <w:rsid w:val="00AC2A8E"/>
    <w:rsid w:val="00AC3753"/>
    <w:rsid w:val="00AC37DE"/>
    <w:rsid w:val="00AC3BF2"/>
    <w:rsid w:val="00AC3C32"/>
    <w:rsid w:val="00AC4099"/>
    <w:rsid w:val="00AC4174"/>
    <w:rsid w:val="00AC4508"/>
    <w:rsid w:val="00AC450F"/>
    <w:rsid w:val="00AC45DC"/>
    <w:rsid w:val="00AC46E8"/>
    <w:rsid w:val="00AC4961"/>
    <w:rsid w:val="00AC4A95"/>
    <w:rsid w:val="00AC4AE9"/>
    <w:rsid w:val="00AC4E6C"/>
    <w:rsid w:val="00AC5193"/>
    <w:rsid w:val="00AC5483"/>
    <w:rsid w:val="00AC5902"/>
    <w:rsid w:val="00AC5B6B"/>
    <w:rsid w:val="00AC5F5D"/>
    <w:rsid w:val="00AC5F5F"/>
    <w:rsid w:val="00AC628B"/>
    <w:rsid w:val="00AC6586"/>
    <w:rsid w:val="00AC65ED"/>
    <w:rsid w:val="00AC662B"/>
    <w:rsid w:val="00AC67F9"/>
    <w:rsid w:val="00AC6B10"/>
    <w:rsid w:val="00AC6BBB"/>
    <w:rsid w:val="00AC6C93"/>
    <w:rsid w:val="00AC6CAC"/>
    <w:rsid w:val="00AC6D50"/>
    <w:rsid w:val="00AC6DC7"/>
    <w:rsid w:val="00AC6EC7"/>
    <w:rsid w:val="00AC7796"/>
    <w:rsid w:val="00AC7AB5"/>
    <w:rsid w:val="00AC7B7A"/>
    <w:rsid w:val="00AD04EB"/>
    <w:rsid w:val="00AD0762"/>
    <w:rsid w:val="00AD0846"/>
    <w:rsid w:val="00AD0D16"/>
    <w:rsid w:val="00AD1107"/>
    <w:rsid w:val="00AD119D"/>
    <w:rsid w:val="00AD13E1"/>
    <w:rsid w:val="00AD1EED"/>
    <w:rsid w:val="00AD20A5"/>
    <w:rsid w:val="00AD20DB"/>
    <w:rsid w:val="00AD2793"/>
    <w:rsid w:val="00AD2ADA"/>
    <w:rsid w:val="00AD2B26"/>
    <w:rsid w:val="00AD2B2A"/>
    <w:rsid w:val="00AD2BCB"/>
    <w:rsid w:val="00AD2CEC"/>
    <w:rsid w:val="00AD2E41"/>
    <w:rsid w:val="00AD2F82"/>
    <w:rsid w:val="00AD32B4"/>
    <w:rsid w:val="00AD332F"/>
    <w:rsid w:val="00AD3472"/>
    <w:rsid w:val="00AD3665"/>
    <w:rsid w:val="00AD3A9D"/>
    <w:rsid w:val="00AD3AC4"/>
    <w:rsid w:val="00AD3B0D"/>
    <w:rsid w:val="00AD3C7D"/>
    <w:rsid w:val="00AD3CA0"/>
    <w:rsid w:val="00AD3D32"/>
    <w:rsid w:val="00AD3E0E"/>
    <w:rsid w:val="00AD3E80"/>
    <w:rsid w:val="00AD423F"/>
    <w:rsid w:val="00AD444D"/>
    <w:rsid w:val="00AD4765"/>
    <w:rsid w:val="00AD47A6"/>
    <w:rsid w:val="00AD4A14"/>
    <w:rsid w:val="00AD4A30"/>
    <w:rsid w:val="00AD4D45"/>
    <w:rsid w:val="00AD4E37"/>
    <w:rsid w:val="00AD5192"/>
    <w:rsid w:val="00AD53D9"/>
    <w:rsid w:val="00AD55EF"/>
    <w:rsid w:val="00AD57F8"/>
    <w:rsid w:val="00AD5911"/>
    <w:rsid w:val="00AD592E"/>
    <w:rsid w:val="00AD5FB0"/>
    <w:rsid w:val="00AD5FB8"/>
    <w:rsid w:val="00AD63D4"/>
    <w:rsid w:val="00AD66EC"/>
    <w:rsid w:val="00AD66FF"/>
    <w:rsid w:val="00AD6837"/>
    <w:rsid w:val="00AD695A"/>
    <w:rsid w:val="00AD6CDE"/>
    <w:rsid w:val="00AD6EDC"/>
    <w:rsid w:val="00AD6F08"/>
    <w:rsid w:val="00AD7258"/>
    <w:rsid w:val="00AD72BC"/>
    <w:rsid w:val="00AD7308"/>
    <w:rsid w:val="00AD75F3"/>
    <w:rsid w:val="00AD7702"/>
    <w:rsid w:val="00AD77A6"/>
    <w:rsid w:val="00AD7B3A"/>
    <w:rsid w:val="00AD7C69"/>
    <w:rsid w:val="00AD7C7D"/>
    <w:rsid w:val="00AD7E8D"/>
    <w:rsid w:val="00AD7EA6"/>
    <w:rsid w:val="00AE0064"/>
    <w:rsid w:val="00AE0131"/>
    <w:rsid w:val="00AE0146"/>
    <w:rsid w:val="00AE01D6"/>
    <w:rsid w:val="00AE0552"/>
    <w:rsid w:val="00AE058F"/>
    <w:rsid w:val="00AE0760"/>
    <w:rsid w:val="00AE07E7"/>
    <w:rsid w:val="00AE0B65"/>
    <w:rsid w:val="00AE0B66"/>
    <w:rsid w:val="00AE0EDC"/>
    <w:rsid w:val="00AE101F"/>
    <w:rsid w:val="00AE11A4"/>
    <w:rsid w:val="00AE11D2"/>
    <w:rsid w:val="00AE124C"/>
    <w:rsid w:val="00AE13F6"/>
    <w:rsid w:val="00AE1835"/>
    <w:rsid w:val="00AE1A07"/>
    <w:rsid w:val="00AE1A0F"/>
    <w:rsid w:val="00AE1C25"/>
    <w:rsid w:val="00AE1D34"/>
    <w:rsid w:val="00AE2614"/>
    <w:rsid w:val="00AE26BC"/>
    <w:rsid w:val="00AE2888"/>
    <w:rsid w:val="00AE2BAB"/>
    <w:rsid w:val="00AE36D3"/>
    <w:rsid w:val="00AE36D6"/>
    <w:rsid w:val="00AE378B"/>
    <w:rsid w:val="00AE37CB"/>
    <w:rsid w:val="00AE385E"/>
    <w:rsid w:val="00AE3A62"/>
    <w:rsid w:val="00AE4329"/>
    <w:rsid w:val="00AE4A68"/>
    <w:rsid w:val="00AE4B5A"/>
    <w:rsid w:val="00AE4D2E"/>
    <w:rsid w:val="00AE51E0"/>
    <w:rsid w:val="00AE52C4"/>
    <w:rsid w:val="00AE53D3"/>
    <w:rsid w:val="00AE5743"/>
    <w:rsid w:val="00AE58AF"/>
    <w:rsid w:val="00AE58F5"/>
    <w:rsid w:val="00AE5A14"/>
    <w:rsid w:val="00AE5AA3"/>
    <w:rsid w:val="00AE5AB0"/>
    <w:rsid w:val="00AE5D8A"/>
    <w:rsid w:val="00AE5E88"/>
    <w:rsid w:val="00AE5F47"/>
    <w:rsid w:val="00AE620C"/>
    <w:rsid w:val="00AE6670"/>
    <w:rsid w:val="00AE6681"/>
    <w:rsid w:val="00AE70BA"/>
    <w:rsid w:val="00AE73D9"/>
    <w:rsid w:val="00AE7827"/>
    <w:rsid w:val="00AE7B4F"/>
    <w:rsid w:val="00AE7C2E"/>
    <w:rsid w:val="00AE7DD1"/>
    <w:rsid w:val="00AE7E20"/>
    <w:rsid w:val="00AF00BF"/>
    <w:rsid w:val="00AF0A79"/>
    <w:rsid w:val="00AF0BCD"/>
    <w:rsid w:val="00AF109E"/>
    <w:rsid w:val="00AF10A3"/>
    <w:rsid w:val="00AF1142"/>
    <w:rsid w:val="00AF1805"/>
    <w:rsid w:val="00AF186E"/>
    <w:rsid w:val="00AF18CF"/>
    <w:rsid w:val="00AF1DB4"/>
    <w:rsid w:val="00AF1E6F"/>
    <w:rsid w:val="00AF1FE5"/>
    <w:rsid w:val="00AF2085"/>
    <w:rsid w:val="00AF20DE"/>
    <w:rsid w:val="00AF21BB"/>
    <w:rsid w:val="00AF2201"/>
    <w:rsid w:val="00AF2371"/>
    <w:rsid w:val="00AF2550"/>
    <w:rsid w:val="00AF25B4"/>
    <w:rsid w:val="00AF281F"/>
    <w:rsid w:val="00AF2BE3"/>
    <w:rsid w:val="00AF2CCA"/>
    <w:rsid w:val="00AF311C"/>
    <w:rsid w:val="00AF31D6"/>
    <w:rsid w:val="00AF3542"/>
    <w:rsid w:val="00AF35F3"/>
    <w:rsid w:val="00AF364E"/>
    <w:rsid w:val="00AF36B1"/>
    <w:rsid w:val="00AF36E9"/>
    <w:rsid w:val="00AF37AB"/>
    <w:rsid w:val="00AF3987"/>
    <w:rsid w:val="00AF39EE"/>
    <w:rsid w:val="00AF3A78"/>
    <w:rsid w:val="00AF3BD4"/>
    <w:rsid w:val="00AF3C82"/>
    <w:rsid w:val="00AF3C97"/>
    <w:rsid w:val="00AF3FBD"/>
    <w:rsid w:val="00AF40A0"/>
    <w:rsid w:val="00AF4378"/>
    <w:rsid w:val="00AF44F7"/>
    <w:rsid w:val="00AF4571"/>
    <w:rsid w:val="00AF471C"/>
    <w:rsid w:val="00AF48BB"/>
    <w:rsid w:val="00AF4926"/>
    <w:rsid w:val="00AF4D21"/>
    <w:rsid w:val="00AF5264"/>
    <w:rsid w:val="00AF5641"/>
    <w:rsid w:val="00AF5643"/>
    <w:rsid w:val="00AF570C"/>
    <w:rsid w:val="00AF5923"/>
    <w:rsid w:val="00AF5BD9"/>
    <w:rsid w:val="00AF5F57"/>
    <w:rsid w:val="00AF6203"/>
    <w:rsid w:val="00AF6279"/>
    <w:rsid w:val="00AF62B9"/>
    <w:rsid w:val="00AF62C0"/>
    <w:rsid w:val="00AF63B7"/>
    <w:rsid w:val="00AF6429"/>
    <w:rsid w:val="00AF6575"/>
    <w:rsid w:val="00AF67E7"/>
    <w:rsid w:val="00AF680F"/>
    <w:rsid w:val="00AF6D52"/>
    <w:rsid w:val="00AF7798"/>
    <w:rsid w:val="00AF7AE2"/>
    <w:rsid w:val="00AF7B1B"/>
    <w:rsid w:val="00AF7F45"/>
    <w:rsid w:val="00B001CB"/>
    <w:rsid w:val="00B004C6"/>
    <w:rsid w:val="00B007CC"/>
    <w:rsid w:val="00B007F7"/>
    <w:rsid w:val="00B00832"/>
    <w:rsid w:val="00B00BC0"/>
    <w:rsid w:val="00B00CFA"/>
    <w:rsid w:val="00B012C1"/>
    <w:rsid w:val="00B013C2"/>
    <w:rsid w:val="00B0140E"/>
    <w:rsid w:val="00B01411"/>
    <w:rsid w:val="00B01881"/>
    <w:rsid w:val="00B019D8"/>
    <w:rsid w:val="00B0250B"/>
    <w:rsid w:val="00B02791"/>
    <w:rsid w:val="00B027D3"/>
    <w:rsid w:val="00B02E9D"/>
    <w:rsid w:val="00B03017"/>
    <w:rsid w:val="00B030BC"/>
    <w:rsid w:val="00B0310B"/>
    <w:rsid w:val="00B0322D"/>
    <w:rsid w:val="00B03471"/>
    <w:rsid w:val="00B037D5"/>
    <w:rsid w:val="00B03901"/>
    <w:rsid w:val="00B03CF5"/>
    <w:rsid w:val="00B03FA9"/>
    <w:rsid w:val="00B044BC"/>
    <w:rsid w:val="00B044E7"/>
    <w:rsid w:val="00B0454C"/>
    <w:rsid w:val="00B047AD"/>
    <w:rsid w:val="00B04B18"/>
    <w:rsid w:val="00B04D01"/>
    <w:rsid w:val="00B04DBA"/>
    <w:rsid w:val="00B04E45"/>
    <w:rsid w:val="00B050B0"/>
    <w:rsid w:val="00B05544"/>
    <w:rsid w:val="00B058CE"/>
    <w:rsid w:val="00B05B34"/>
    <w:rsid w:val="00B0617F"/>
    <w:rsid w:val="00B0618D"/>
    <w:rsid w:val="00B061A4"/>
    <w:rsid w:val="00B06771"/>
    <w:rsid w:val="00B067B9"/>
    <w:rsid w:val="00B06B66"/>
    <w:rsid w:val="00B06B9A"/>
    <w:rsid w:val="00B06FB5"/>
    <w:rsid w:val="00B06FC6"/>
    <w:rsid w:val="00B07312"/>
    <w:rsid w:val="00B077F8"/>
    <w:rsid w:val="00B07AE9"/>
    <w:rsid w:val="00B07E81"/>
    <w:rsid w:val="00B100D0"/>
    <w:rsid w:val="00B10711"/>
    <w:rsid w:val="00B10A32"/>
    <w:rsid w:val="00B10F68"/>
    <w:rsid w:val="00B111F1"/>
    <w:rsid w:val="00B112E4"/>
    <w:rsid w:val="00B11302"/>
    <w:rsid w:val="00B11B26"/>
    <w:rsid w:val="00B11B2A"/>
    <w:rsid w:val="00B12293"/>
    <w:rsid w:val="00B125CE"/>
    <w:rsid w:val="00B1297D"/>
    <w:rsid w:val="00B12CBD"/>
    <w:rsid w:val="00B1324E"/>
    <w:rsid w:val="00B133DD"/>
    <w:rsid w:val="00B13561"/>
    <w:rsid w:val="00B13955"/>
    <w:rsid w:val="00B13997"/>
    <w:rsid w:val="00B139C0"/>
    <w:rsid w:val="00B13C19"/>
    <w:rsid w:val="00B13D1E"/>
    <w:rsid w:val="00B13FA3"/>
    <w:rsid w:val="00B14233"/>
    <w:rsid w:val="00B142F5"/>
    <w:rsid w:val="00B14306"/>
    <w:rsid w:val="00B14782"/>
    <w:rsid w:val="00B148FA"/>
    <w:rsid w:val="00B14BE7"/>
    <w:rsid w:val="00B14DE2"/>
    <w:rsid w:val="00B15246"/>
    <w:rsid w:val="00B15985"/>
    <w:rsid w:val="00B16963"/>
    <w:rsid w:val="00B16994"/>
    <w:rsid w:val="00B16D8C"/>
    <w:rsid w:val="00B16E06"/>
    <w:rsid w:val="00B17819"/>
    <w:rsid w:val="00B1783A"/>
    <w:rsid w:val="00B17E76"/>
    <w:rsid w:val="00B17ED9"/>
    <w:rsid w:val="00B17F25"/>
    <w:rsid w:val="00B17FF0"/>
    <w:rsid w:val="00B203E0"/>
    <w:rsid w:val="00B204D9"/>
    <w:rsid w:val="00B20536"/>
    <w:rsid w:val="00B20804"/>
    <w:rsid w:val="00B208CF"/>
    <w:rsid w:val="00B20A08"/>
    <w:rsid w:val="00B20F1F"/>
    <w:rsid w:val="00B20FD8"/>
    <w:rsid w:val="00B210F3"/>
    <w:rsid w:val="00B21170"/>
    <w:rsid w:val="00B2130A"/>
    <w:rsid w:val="00B224F8"/>
    <w:rsid w:val="00B2278D"/>
    <w:rsid w:val="00B22863"/>
    <w:rsid w:val="00B22CD0"/>
    <w:rsid w:val="00B22CF8"/>
    <w:rsid w:val="00B22ECB"/>
    <w:rsid w:val="00B23C58"/>
    <w:rsid w:val="00B23CEB"/>
    <w:rsid w:val="00B23D5B"/>
    <w:rsid w:val="00B23EE5"/>
    <w:rsid w:val="00B2418D"/>
    <w:rsid w:val="00B2421D"/>
    <w:rsid w:val="00B24260"/>
    <w:rsid w:val="00B24A66"/>
    <w:rsid w:val="00B24CEC"/>
    <w:rsid w:val="00B24E1D"/>
    <w:rsid w:val="00B25003"/>
    <w:rsid w:val="00B25290"/>
    <w:rsid w:val="00B25646"/>
    <w:rsid w:val="00B25B71"/>
    <w:rsid w:val="00B25C53"/>
    <w:rsid w:val="00B25CA8"/>
    <w:rsid w:val="00B25E57"/>
    <w:rsid w:val="00B2648B"/>
    <w:rsid w:val="00B265BE"/>
    <w:rsid w:val="00B2668C"/>
    <w:rsid w:val="00B273A3"/>
    <w:rsid w:val="00B27925"/>
    <w:rsid w:val="00B27C59"/>
    <w:rsid w:val="00B3010A"/>
    <w:rsid w:val="00B3052B"/>
    <w:rsid w:val="00B30C79"/>
    <w:rsid w:val="00B30FF8"/>
    <w:rsid w:val="00B311E7"/>
    <w:rsid w:val="00B314F2"/>
    <w:rsid w:val="00B31638"/>
    <w:rsid w:val="00B31894"/>
    <w:rsid w:val="00B31938"/>
    <w:rsid w:val="00B320DE"/>
    <w:rsid w:val="00B32144"/>
    <w:rsid w:val="00B324CC"/>
    <w:rsid w:val="00B3262C"/>
    <w:rsid w:val="00B32774"/>
    <w:rsid w:val="00B329EA"/>
    <w:rsid w:val="00B32B9B"/>
    <w:rsid w:val="00B33178"/>
    <w:rsid w:val="00B3341F"/>
    <w:rsid w:val="00B33474"/>
    <w:rsid w:val="00B33496"/>
    <w:rsid w:val="00B33589"/>
    <w:rsid w:val="00B33BB1"/>
    <w:rsid w:val="00B33C42"/>
    <w:rsid w:val="00B33EC3"/>
    <w:rsid w:val="00B341B7"/>
    <w:rsid w:val="00B341FE"/>
    <w:rsid w:val="00B34390"/>
    <w:rsid w:val="00B344DA"/>
    <w:rsid w:val="00B346FA"/>
    <w:rsid w:val="00B34C73"/>
    <w:rsid w:val="00B350E9"/>
    <w:rsid w:val="00B3550C"/>
    <w:rsid w:val="00B35A73"/>
    <w:rsid w:val="00B35D62"/>
    <w:rsid w:val="00B35DD6"/>
    <w:rsid w:val="00B366E6"/>
    <w:rsid w:val="00B36B14"/>
    <w:rsid w:val="00B370C0"/>
    <w:rsid w:val="00B372AC"/>
    <w:rsid w:val="00B372C2"/>
    <w:rsid w:val="00B375E2"/>
    <w:rsid w:val="00B37848"/>
    <w:rsid w:val="00B379AB"/>
    <w:rsid w:val="00B37B17"/>
    <w:rsid w:val="00B37CDE"/>
    <w:rsid w:val="00B37E18"/>
    <w:rsid w:val="00B37FB9"/>
    <w:rsid w:val="00B4091F"/>
    <w:rsid w:val="00B40A4C"/>
    <w:rsid w:val="00B40A4D"/>
    <w:rsid w:val="00B40BF1"/>
    <w:rsid w:val="00B40EA4"/>
    <w:rsid w:val="00B4102A"/>
    <w:rsid w:val="00B412E7"/>
    <w:rsid w:val="00B4142E"/>
    <w:rsid w:val="00B41497"/>
    <w:rsid w:val="00B41CB6"/>
    <w:rsid w:val="00B41FE4"/>
    <w:rsid w:val="00B42275"/>
    <w:rsid w:val="00B4259C"/>
    <w:rsid w:val="00B427C5"/>
    <w:rsid w:val="00B42914"/>
    <w:rsid w:val="00B42A4B"/>
    <w:rsid w:val="00B430FF"/>
    <w:rsid w:val="00B43467"/>
    <w:rsid w:val="00B43922"/>
    <w:rsid w:val="00B44597"/>
    <w:rsid w:val="00B4497D"/>
    <w:rsid w:val="00B44C38"/>
    <w:rsid w:val="00B4515D"/>
    <w:rsid w:val="00B453A2"/>
    <w:rsid w:val="00B4558B"/>
    <w:rsid w:val="00B458FF"/>
    <w:rsid w:val="00B4598A"/>
    <w:rsid w:val="00B45DA1"/>
    <w:rsid w:val="00B464B9"/>
    <w:rsid w:val="00B4671C"/>
    <w:rsid w:val="00B467C9"/>
    <w:rsid w:val="00B46A07"/>
    <w:rsid w:val="00B46D47"/>
    <w:rsid w:val="00B473A8"/>
    <w:rsid w:val="00B47425"/>
    <w:rsid w:val="00B47431"/>
    <w:rsid w:val="00B4756A"/>
    <w:rsid w:val="00B47B18"/>
    <w:rsid w:val="00B47B31"/>
    <w:rsid w:val="00B47B71"/>
    <w:rsid w:val="00B47D43"/>
    <w:rsid w:val="00B47D47"/>
    <w:rsid w:val="00B47E18"/>
    <w:rsid w:val="00B50420"/>
    <w:rsid w:val="00B50497"/>
    <w:rsid w:val="00B50D51"/>
    <w:rsid w:val="00B50F0A"/>
    <w:rsid w:val="00B51017"/>
    <w:rsid w:val="00B510BD"/>
    <w:rsid w:val="00B51280"/>
    <w:rsid w:val="00B515ED"/>
    <w:rsid w:val="00B51C3E"/>
    <w:rsid w:val="00B52309"/>
    <w:rsid w:val="00B525AA"/>
    <w:rsid w:val="00B525F7"/>
    <w:rsid w:val="00B52A9B"/>
    <w:rsid w:val="00B52CAE"/>
    <w:rsid w:val="00B531F7"/>
    <w:rsid w:val="00B5371A"/>
    <w:rsid w:val="00B538F3"/>
    <w:rsid w:val="00B53BA2"/>
    <w:rsid w:val="00B53D33"/>
    <w:rsid w:val="00B54045"/>
    <w:rsid w:val="00B54325"/>
    <w:rsid w:val="00B546F7"/>
    <w:rsid w:val="00B547DE"/>
    <w:rsid w:val="00B54844"/>
    <w:rsid w:val="00B548E2"/>
    <w:rsid w:val="00B548E4"/>
    <w:rsid w:val="00B55095"/>
    <w:rsid w:val="00B551C1"/>
    <w:rsid w:val="00B5526B"/>
    <w:rsid w:val="00B556A1"/>
    <w:rsid w:val="00B556E2"/>
    <w:rsid w:val="00B55771"/>
    <w:rsid w:val="00B55876"/>
    <w:rsid w:val="00B55911"/>
    <w:rsid w:val="00B55B1F"/>
    <w:rsid w:val="00B55BE6"/>
    <w:rsid w:val="00B563DE"/>
    <w:rsid w:val="00B56B6D"/>
    <w:rsid w:val="00B56D2D"/>
    <w:rsid w:val="00B56D6F"/>
    <w:rsid w:val="00B56DE5"/>
    <w:rsid w:val="00B56F46"/>
    <w:rsid w:val="00B573F9"/>
    <w:rsid w:val="00B57683"/>
    <w:rsid w:val="00B57CEB"/>
    <w:rsid w:val="00B57CFB"/>
    <w:rsid w:val="00B57E9D"/>
    <w:rsid w:val="00B57F35"/>
    <w:rsid w:val="00B6007B"/>
    <w:rsid w:val="00B607F6"/>
    <w:rsid w:val="00B60A5F"/>
    <w:rsid w:val="00B60C14"/>
    <w:rsid w:val="00B61212"/>
    <w:rsid w:val="00B61BDF"/>
    <w:rsid w:val="00B62DE6"/>
    <w:rsid w:val="00B631E3"/>
    <w:rsid w:val="00B632E6"/>
    <w:rsid w:val="00B63331"/>
    <w:rsid w:val="00B6338D"/>
    <w:rsid w:val="00B63487"/>
    <w:rsid w:val="00B635C4"/>
    <w:rsid w:val="00B6398C"/>
    <w:rsid w:val="00B63AAC"/>
    <w:rsid w:val="00B63AF4"/>
    <w:rsid w:val="00B63EC8"/>
    <w:rsid w:val="00B6434F"/>
    <w:rsid w:val="00B647D5"/>
    <w:rsid w:val="00B64E04"/>
    <w:rsid w:val="00B65691"/>
    <w:rsid w:val="00B656EF"/>
    <w:rsid w:val="00B65B7B"/>
    <w:rsid w:val="00B66582"/>
    <w:rsid w:val="00B66798"/>
    <w:rsid w:val="00B66C05"/>
    <w:rsid w:val="00B66D9D"/>
    <w:rsid w:val="00B66E6A"/>
    <w:rsid w:val="00B66FA0"/>
    <w:rsid w:val="00B67073"/>
    <w:rsid w:val="00B67351"/>
    <w:rsid w:val="00B673EF"/>
    <w:rsid w:val="00B67604"/>
    <w:rsid w:val="00B6767F"/>
    <w:rsid w:val="00B678C1"/>
    <w:rsid w:val="00B6793E"/>
    <w:rsid w:val="00B67A7C"/>
    <w:rsid w:val="00B67DF0"/>
    <w:rsid w:val="00B70073"/>
    <w:rsid w:val="00B701E7"/>
    <w:rsid w:val="00B704B4"/>
    <w:rsid w:val="00B7172A"/>
    <w:rsid w:val="00B71A43"/>
    <w:rsid w:val="00B720DE"/>
    <w:rsid w:val="00B722D6"/>
    <w:rsid w:val="00B723DF"/>
    <w:rsid w:val="00B725B1"/>
    <w:rsid w:val="00B7262C"/>
    <w:rsid w:val="00B72643"/>
    <w:rsid w:val="00B7268D"/>
    <w:rsid w:val="00B7273F"/>
    <w:rsid w:val="00B72775"/>
    <w:rsid w:val="00B728F8"/>
    <w:rsid w:val="00B72A5F"/>
    <w:rsid w:val="00B72E4A"/>
    <w:rsid w:val="00B73183"/>
    <w:rsid w:val="00B73368"/>
    <w:rsid w:val="00B73400"/>
    <w:rsid w:val="00B734D2"/>
    <w:rsid w:val="00B73670"/>
    <w:rsid w:val="00B7397A"/>
    <w:rsid w:val="00B73B72"/>
    <w:rsid w:val="00B73DEC"/>
    <w:rsid w:val="00B73DF8"/>
    <w:rsid w:val="00B73E6D"/>
    <w:rsid w:val="00B743D5"/>
    <w:rsid w:val="00B744FC"/>
    <w:rsid w:val="00B74661"/>
    <w:rsid w:val="00B74BF8"/>
    <w:rsid w:val="00B74E01"/>
    <w:rsid w:val="00B7503C"/>
    <w:rsid w:val="00B75293"/>
    <w:rsid w:val="00B752DC"/>
    <w:rsid w:val="00B752E7"/>
    <w:rsid w:val="00B75701"/>
    <w:rsid w:val="00B7578D"/>
    <w:rsid w:val="00B75808"/>
    <w:rsid w:val="00B75837"/>
    <w:rsid w:val="00B759C1"/>
    <w:rsid w:val="00B75A01"/>
    <w:rsid w:val="00B75E69"/>
    <w:rsid w:val="00B7605C"/>
    <w:rsid w:val="00B761F3"/>
    <w:rsid w:val="00B768A9"/>
    <w:rsid w:val="00B76C80"/>
    <w:rsid w:val="00B76CFC"/>
    <w:rsid w:val="00B76DD3"/>
    <w:rsid w:val="00B76FF7"/>
    <w:rsid w:val="00B770DD"/>
    <w:rsid w:val="00B77193"/>
    <w:rsid w:val="00B773F0"/>
    <w:rsid w:val="00B774C0"/>
    <w:rsid w:val="00B775BC"/>
    <w:rsid w:val="00B77D88"/>
    <w:rsid w:val="00B77E8B"/>
    <w:rsid w:val="00B77F09"/>
    <w:rsid w:val="00B77F97"/>
    <w:rsid w:val="00B8034C"/>
    <w:rsid w:val="00B8037F"/>
    <w:rsid w:val="00B805C9"/>
    <w:rsid w:val="00B8063A"/>
    <w:rsid w:val="00B80743"/>
    <w:rsid w:val="00B80FF3"/>
    <w:rsid w:val="00B81175"/>
    <w:rsid w:val="00B8182C"/>
    <w:rsid w:val="00B81C62"/>
    <w:rsid w:val="00B81D44"/>
    <w:rsid w:val="00B81EA5"/>
    <w:rsid w:val="00B81EF1"/>
    <w:rsid w:val="00B81F80"/>
    <w:rsid w:val="00B8207C"/>
    <w:rsid w:val="00B8210C"/>
    <w:rsid w:val="00B8238E"/>
    <w:rsid w:val="00B825D8"/>
    <w:rsid w:val="00B829D7"/>
    <w:rsid w:val="00B82E6E"/>
    <w:rsid w:val="00B8342E"/>
    <w:rsid w:val="00B834B3"/>
    <w:rsid w:val="00B83504"/>
    <w:rsid w:val="00B83565"/>
    <w:rsid w:val="00B83A25"/>
    <w:rsid w:val="00B83AAB"/>
    <w:rsid w:val="00B83EEF"/>
    <w:rsid w:val="00B83F66"/>
    <w:rsid w:val="00B84010"/>
    <w:rsid w:val="00B84740"/>
    <w:rsid w:val="00B84BED"/>
    <w:rsid w:val="00B85182"/>
    <w:rsid w:val="00B8562A"/>
    <w:rsid w:val="00B8599D"/>
    <w:rsid w:val="00B85EED"/>
    <w:rsid w:val="00B860EA"/>
    <w:rsid w:val="00B86222"/>
    <w:rsid w:val="00B86A16"/>
    <w:rsid w:val="00B86F05"/>
    <w:rsid w:val="00B86F0D"/>
    <w:rsid w:val="00B86F3C"/>
    <w:rsid w:val="00B873EF"/>
    <w:rsid w:val="00B875E6"/>
    <w:rsid w:val="00B879D3"/>
    <w:rsid w:val="00B87E20"/>
    <w:rsid w:val="00B90096"/>
    <w:rsid w:val="00B90667"/>
    <w:rsid w:val="00B9085E"/>
    <w:rsid w:val="00B909A5"/>
    <w:rsid w:val="00B90BFD"/>
    <w:rsid w:val="00B90DE6"/>
    <w:rsid w:val="00B90FED"/>
    <w:rsid w:val="00B9137C"/>
    <w:rsid w:val="00B91ABD"/>
    <w:rsid w:val="00B920CB"/>
    <w:rsid w:val="00B925D9"/>
    <w:rsid w:val="00B92856"/>
    <w:rsid w:val="00B9292D"/>
    <w:rsid w:val="00B92A93"/>
    <w:rsid w:val="00B92A98"/>
    <w:rsid w:val="00B93625"/>
    <w:rsid w:val="00B93727"/>
    <w:rsid w:val="00B93763"/>
    <w:rsid w:val="00B93885"/>
    <w:rsid w:val="00B9411C"/>
    <w:rsid w:val="00B950F9"/>
    <w:rsid w:val="00B95365"/>
    <w:rsid w:val="00B95591"/>
    <w:rsid w:val="00B95609"/>
    <w:rsid w:val="00B95780"/>
    <w:rsid w:val="00B95995"/>
    <w:rsid w:val="00B95A98"/>
    <w:rsid w:val="00B95C8D"/>
    <w:rsid w:val="00B9602C"/>
    <w:rsid w:val="00B96045"/>
    <w:rsid w:val="00B96139"/>
    <w:rsid w:val="00B96350"/>
    <w:rsid w:val="00B965C2"/>
    <w:rsid w:val="00B9672E"/>
    <w:rsid w:val="00B9696B"/>
    <w:rsid w:val="00B96B4B"/>
    <w:rsid w:val="00B96C9A"/>
    <w:rsid w:val="00B96EEE"/>
    <w:rsid w:val="00B96F47"/>
    <w:rsid w:val="00B97018"/>
    <w:rsid w:val="00B97871"/>
    <w:rsid w:val="00B979C4"/>
    <w:rsid w:val="00B97B20"/>
    <w:rsid w:val="00B97B41"/>
    <w:rsid w:val="00B97C22"/>
    <w:rsid w:val="00BA0022"/>
    <w:rsid w:val="00BA00AB"/>
    <w:rsid w:val="00BA074E"/>
    <w:rsid w:val="00BA0AD0"/>
    <w:rsid w:val="00BA0CC2"/>
    <w:rsid w:val="00BA0D96"/>
    <w:rsid w:val="00BA1310"/>
    <w:rsid w:val="00BA1624"/>
    <w:rsid w:val="00BA16A5"/>
    <w:rsid w:val="00BA16F3"/>
    <w:rsid w:val="00BA19CD"/>
    <w:rsid w:val="00BA1A7D"/>
    <w:rsid w:val="00BA2410"/>
    <w:rsid w:val="00BA2464"/>
    <w:rsid w:val="00BA2491"/>
    <w:rsid w:val="00BA2749"/>
    <w:rsid w:val="00BA2AD6"/>
    <w:rsid w:val="00BA2B00"/>
    <w:rsid w:val="00BA2D35"/>
    <w:rsid w:val="00BA3915"/>
    <w:rsid w:val="00BA3B41"/>
    <w:rsid w:val="00BA3E42"/>
    <w:rsid w:val="00BA4021"/>
    <w:rsid w:val="00BA45BA"/>
    <w:rsid w:val="00BA498C"/>
    <w:rsid w:val="00BA49C2"/>
    <w:rsid w:val="00BA4EF8"/>
    <w:rsid w:val="00BA4F01"/>
    <w:rsid w:val="00BA57E7"/>
    <w:rsid w:val="00BA5A6F"/>
    <w:rsid w:val="00BA5D89"/>
    <w:rsid w:val="00BA601D"/>
    <w:rsid w:val="00BA622C"/>
    <w:rsid w:val="00BA62D3"/>
    <w:rsid w:val="00BA64FA"/>
    <w:rsid w:val="00BA65AB"/>
    <w:rsid w:val="00BA6895"/>
    <w:rsid w:val="00BA69D1"/>
    <w:rsid w:val="00BA6A5D"/>
    <w:rsid w:val="00BA6C98"/>
    <w:rsid w:val="00BA6F8C"/>
    <w:rsid w:val="00BA6FBC"/>
    <w:rsid w:val="00BA71E5"/>
    <w:rsid w:val="00BA7566"/>
    <w:rsid w:val="00BA79EB"/>
    <w:rsid w:val="00BA7A61"/>
    <w:rsid w:val="00BA7CF3"/>
    <w:rsid w:val="00BA7E4D"/>
    <w:rsid w:val="00BB009A"/>
    <w:rsid w:val="00BB0337"/>
    <w:rsid w:val="00BB0445"/>
    <w:rsid w:val="00BB0826"/>
    <w:rsid w:val="00BB0B77"/>
    <w:rsid w:val="00BB0D7D"/>
    <w:rsid w:val="00BB120F"/>
    <w:rsid w:val="00BB1465"/>
    <w:rsid w:val="00BB14C4"/>
    <w:rsid w:val="00BB1864"/>
    <w:rsid w:val="00BB1BDC"/>
    <w:rsid w:val="00BB1E4D"/>
    <w:rsid w:val="00BB1EAB"/>
    <w:rsid w:val="00BB1F8E"/>
    <w:rsid w:val="00BB2273"/>
    <w:rsid w:val="00BB2341"/>
    <w:rsid w:val="00BB2373"/>
    <w:rsid w:val="00BB24BD"/>
    <w:rsid w:val="00BB25A5"/>
    <w:rsid w:val="00BB2881"/>
    <w:rsid w:val="00BB29A7"/>
    <w:rsid w:val="00BB2DFE"/>
    <w:rsid w:val="00BB3201"/>
    <w:rsid w:val="00BB379C"/>
    <w:rsid w:val="00BB3869"/>
    <w:rsid w:val="00BB3B5E"/>
    <w:rsid w:val="00BB3BB0"/>
    <w:rsid w:val="00BB433A"/>
    <w:rsid w:val="00BB4BD5"/>
    <w:rsid w:val="00BB4D35"/>
    <w:rsid w:val="00BB5034"/>
    <w:rsid w:val="00BB5642"/>
    <w:rsid w:val="00BB573B"/>
    <w:rsid w:val="00BB59A8"/>
    <w:rsid w:val="00BB5C05"/>
    <w:rsid w:val="00BB5DC2"/>
    <w:rsid w:val="00BB617A"/>
    <w:rsid w:val="00BB61F6"/>
    <w:rsid w:val="00BB62AE"/>
    <w:rsid w:val="00BB6698"/>
    <w:rsid w:val="00BB6D64"/>
    <w:rsid w:val="00BB7597"/>
    <w:rsid w:val="00BB7666"/>
    <w:rsid w:val="00BB7737"/>
    <w:rsid w:val="00BB7A32"/>
    <w:rsid w:val="00BC077E"/>
    <w:rsid w:val="00BC0DC5"/>
    <w:rsid w:val="00BC0E9F"/>
    <w:rsid w:val="00BC10E7"/>
    <w:rsid w:val="00BC13F0"/>
    <w:rsid w:val="00BC1AF2"/>
    <w:rsid w:val="00BC1ED3"/>
    <w:rsid w:val="00BC2080"/>
    <w:rsid w:val="00BC2874"/>
    <w:rsid w:val="00BC292B"/>
    <w:rsid w:val="00BC29FD"/>
    <w:rsid w:val="00BC2B19"/>
    <w:rsid w:val="00BC2BF6"/>
    <w:rsid w:val="00BC2F72"/>
    <w:rsid w:val="00BC2FEF"/>
    <w:rsid w:val="00BC3216"/>
    <w:rsid w:val="00BC3349"/>
    <w:rsid w:val="00BC3525"/>
    <w:rsid w:val="00BC367C"/>
    <w:rsid w:val="00BC377B"/>
    <w:rsid w:val="00BC378A"/>
    <w:rsid w:val="00BC3B33"/>
    <w:rsid w:val="00BC3E26"/>
    <w:rsid w:val="00BC3FAF"/>
    <w:rsid w:val="00BC4217"/>
    <w:rsid w:val="00BC42B9"/>
    <w:rsid w:val="00BC44D6"/>
    <w:rsid w:val="00BC4CBD"/>
    <w:rsid w:val="00BC4D58"/>
    <w:rsid w:val="00BC4DA0"/>
    <w:rsid w:val="00BC4EA6"/>
    <w:rsid w:val="00BC5049"/>
    <w:rsid w:val="00BC54F2"/>
    <w:rsid w:val="00BC56D2"/>
    <w:rsid w:val="00BC5949"/>
    <w:rsid w:val="00BC5DCA"/>
    <w:rsid w:val="00BC5FF9"/>
    <w:rsid w:val="00BC6387"/>
    <w:rsid w:val="00BC65E2"/>
    <w:rsid w:val="00BC6A0E"/>
    <w:rsid w:val="00BC7D1B"/>
    <w:rsid w:val="00BD00AF"/>
    <w:rsid w:val="00BD0281"/>
    <w:rsid w:val="00BD0401"/>
    <w:rsid w:val="00BD0688"/>
    <w:rsid w:val="00BD0BF7"/>
    <w:rsid w:val="00BD0CE2"/>
    <w:rsid w:val="00BD0D08"/>
    <w:rsid w:val="00BD1124"/>
    <w:rsid w:val="00BD124E"/>
    <w:rsid w:val="00BD13FB"/>
    <w:rsid w:val="00BD1A72"/>
    <w:rsid w:val="00BD1AE9"/>
    <w:rsid w:val="00BD1B7F"/>
    <w:rsid w:val="00BD1DDC"/>
    <w:rsid w:val="00BD1ED8"/>
    <w:rsid w:val="00BD1ED9"/>
    <w:rsid w:val="00BD27C9"/>
    <w:rsid w:val="00BD27F8"/>
    <w:rsid w:val="00BD2968"/>
    <w:rsid w:val="00BD29B5"/>
    <w:rsid w:val="00BD2C92"/>
    <w:rsid w:val="00BD3308"/>
    <w:rsid w:val="00BD3451"/>
    <w:rsid w:val="00BD35CB"/>
    <w:rsid w:val="00BD3AB9"/>
    <w:rsid w:val="00BD3D07"/>
    <w:rsid w:val="00BD42B7"/>
    <w:rsid w:val="00BD4310"/>
    <w:rsid w:val="00BD43AD"/>
    <w:rsid w:val="00BD47B8"/>
    <w:rsid w:val="00BD4969"/>
    <w:rsid w:val="00BD49EF"/>
    <w:rsid w:val="00BD4ADE"/>
    <w:rsid w:val="00BD559C"/>
    <w:rsid w:val="00BD58F4"/>
    <w:rsid w:val="00BD5954"/>
    <w:rsid w:val="00BD5BBA"/>
    <w:rsid w:val="00BD5C4E"/>
    <w:rsid w:val="00BD6001"/>
    <w:rsid w:val="00BD60BD"/>
    <w:rsid w:val="00BD60FB"/>
    <w:rsid w:val="00BD663B"/>
    <w:rsid w:val="00BD68F7"/>
    <w:rsid w:val="00BD6ACD"/>
    <w:rsid w:val="00BD7145"/>
    <w:rsid w:val="00BD7359"/>
    <w:rsid w:val="00BD75D5"/>
    <w:rsid w:val="00BD7645"/>
    <w:rsid w:val="00BD78DC"/>
    <w:rsid w:val="00BD7A68"/>
    <w:rsid w:val="00BD7C57"/>
    <w:rsid w:val="00BD7E44"/>
    <w:rsid w:val="00BD7F5C"/>
    <w:rsid w:val="00BE00E7"/>
    <w:rsid w:val="00BE03CD"/>
    <w:rsid w:val="00BE0406"/>
    <w:rsid w:val="00BE0761"/>
    <w:rsid w:val="00BE0AF7"/>
    <w:rsid w:val="00BE1772"/>
    <w:rsid w:val="00BE17D2"/>
    <w:rsid w:val="00BE18D2"/>
    <w:rsid w:val="00BE1CE5"/>
    <w:rsid w:val="00BE1D69"/>
    <w:rsid w:val="00BE2027"/>
    <w:rsid w:val="00BE2283"/>
    <w:rsid w:val="00BE22D8"/>
    <w:rsid w:val="00BE22FB"/>
    <w:rsid w:val="00BE2375"/>
    <w:rsid w:val="00BE24F8"/>
    <w:rsid w:val="00BE251B"/>
    <w:rsid w:val="00BE2571"/>
    <w:rsid w:val="00BE257D"/>
    <w:rsid w:val="00BE2698"/>
    <w:rsid w:val="00BE281F"/>
    <w:rsid w:val="00BE2DBA"/>
    <w:rsid w:val="00BE2E23"/>
    <w:rsid w:val="00BE2F10"/>
    <w:rsid w:val="00BE3056"/>
    <w:rsid w:val="00BE3226"/>
    <w:rsid w:val="00BE351B"/>
    <w:rsid w:val="00BE3881"/>
    <w:rsid w:val="00BE3FF0"/>
    <w:rsid w:val="00BE401B"/>
    <w:rsid w:val="00BE40B8"/>
    <w:rsid w:val="00BE4128"/>
    <w:rsid w:val="00BE45AF"/>
    <w:rsid w:val="00BE470F"/>
    <w:rsid w:val="00BE49FC"/>
    <w:rsid w:val="00BE4D06"/>
    <w:rsid w:val="00BE4D2A"/>
    <w:rsid w:val="00BE4E83"/>
    <w:rsid w:val="00BE4EDA"/>
    <w:rsid w:val="00BE4F6F"/>
    <w:rsid w:val="00BE50C3"/>
    <w:rsid w:val="00BE5487"/>
    <w:rsid w:val="00BE54C8"/>
    <w:rsid w:val="00BE587F"/>
    <w:rsid w:val="00BE5CF9"/>
    <w:rsid w:val="00BE5ECD"/>
    <w:rsid w:val="00BE5F0C"/>
    <w:rsid w:val="00BE62DE"/>
    <w:rsid w:val="00BE6D66"/>
    <w:rsid w:val="00BE6EF6"/>
    <w:rsid w:val="00BE6FBD"/>
    <w:rsid w:val="00BE70FC"/>
    <w:rsid w:val="00BE71D4"/>
    <w:rsid w:val="00BE7270"/>
    <w:rsid w:val="00BE72A7"/>
    <w:rsid w:val="00BE7686"/>
    <w:rsid w:val="00BE7A32"/>
    <w:rsid w:val="00BE7B60"/>
    <w:rsid w:val="00BE7C39"/>
    <w:rsid w:val="00BE7C59"/>
    <w:rsid w:val="00BE7F76"/>
    <w:rsid w:val="00BF0140"/>
    <w:rsid w:val="00BF021B"/>
    <w:rsid w:val="00BF08B6"/>
    <w:rsid w:val="00BF0935"/>
    <w:rsid w:val="00BF1146"/>
    <w:rsid w:val="00BF11D8"/>
    <w:rsid w:val="00BF16AF"/>
    <w:rsid w:val="00BF1C6E"/>
    <w:rsid w:val="00BF1C9F"/>
    <w:rsid w:val="00BF1E82"/>
    <w:rsid w:val="00BF2743"/>
    <w:rsid w:val="00BF2830"/>
    <w:rsid w:val="00BF28C4"/>
    <w:rsid w:val="00BF2B03"/>
    <w:rsid w:val="00BF2BF2"/>
    <w:rsid w:val="00BF2DAC"/>
    <w:rsid w:val="00BF330E"/>
    <w:rsid w:val="00BF3666"/>
    <w:rsid w:val="00BF37BF"/>
    <w:rsid w:val="00BF3832"/>
    <w:rsid w:val="00BF38DF"/>
    <w:rsid w:val="00BF3AC8"/>
    <w:rsid w:val="00BF4034"/>
    <w:rsid w:val="00BF431D"/>
    <w:rsid w:val="00BF453E"/>
    <w:rsid w:val="00BF48AF"/>
    <w:rsid w:val="00BF48BC"/>
    <w:rsid w:val="00BF4C3C"/>
    <w:rsid w:val="00BF4C76"/>
    <w:rsid w:val="00BF512C"/>
    <w:rsid w:val="00BF5283"/>
    <w:rsid w:val="00BF54FC"/>
    <w:rsid w:val="00BF579D"/>
    <w:rsid w:val="00BF5961"/>
    <w:rsid w:val="00BF5A72"/>
    <w:rsid w:val="00BF5AF2"/>
    <w:rsid w:val="00BF5BF4"/>
    <w:rsid w:val="00BF5C16"/>
    <w:rsid w:val="00BF5F86"/>
    <w:rsid w:val="00BF60FC"/>
    <w:rsid w:val="00BF6122"/>
    <w:rsid w:val="00BF6142"/>
    <w:rsid w:val="00BF6172"/>
    <w:rsid w:val="00BF6709"/>
    <w:rsid w:val="00BF7359"/>
    <w:rsid w:val="00BF7649"/>
    <w:rsid w:val="00BF76ED"/>
    <w:rsid w:val="00BF77EB"/>
    <w:rsid w:val="00BF79FD"/>
    <w:rsid w:val="00C00227"/>
    <w:rsid w:val="00C0035C"/>
    <w:rsid w:val="00C008A0"/>
    <w:rsid w:val="00C00E07"/>
    <w:rsid w:val="00C00F38"/>
    <w:rsid w:val="00C01170"/>
    <w:rsid w:val="00C01272"/>
    <w:rsid w:val="00C01320"/>
    <w:rsid w:val="00C017D7"/>
    <w:rsid w:val="00C018CB"/>
    <w:rsid w:val="00C01B98"/>
    <w:rsid w:val="00C01C74"/>
    <w:rsid w:val="00C01D91"/>
    <w:rsid w:val="00C01DD2"/>
    <w:rsid w:val="00C01E12"/>
    <w:rsid w:val="00C0203E"/>
    <w:rsid w:val="00C02273"/>
    <w:rsid w:val="00C02415"/>
    <w:rsid w:val="00C024EE"/>
    <w:rsid w:val="00C02D6A"/>
    <w:rsid w:val="00C02EB6"/>
    <w:rsid w:val="00C03098"/>
    <w:rsid w:val="00C03824"/>
    <w:rsid w:val="00C038F9"/>
    <w:rsid w:val="00C03A81"/>
    <w:rsid w:val="00C03BC0"/>
    <w:rsid w:val="00C04023"/>
    <w:rsid w:val="00C0464F"/>
    <w:rsid w:val="00C048A5"/>
    <w:rsid w:val="00C049FC"/>
    <w:rsid w:val="00C04EF8"/>
    <w:rsid w:val="00C04FAC"/>
    <w:rsid w:val="00C050A4"/>
    <w:rsid w:val="00C0513D"/>
    <w:rsid w:val="00C051E4"/>
    <w:rsid w:val="00C05862"/>
    <w:rsid w:val="00C05A7C"/>
    <w:rsid w:val="00C05C71"/>
    <w:rsid w:val="00C06153"/>
    <w:rsid w:val="00C066E2"/>
    <w:rsid w:val="00C069C6"/>
    <w:rsid w:val="00C06A34"/>
    <w:rsid w:val="00C06F54"/>
    <w:rsid w:val="00C07B7A"/>
    <w:rsid w:val="00C07D97"/>
    <w:rsid w:val="00C100F3"/>
    <w:rsid w:val="00C10561"/>
    <w:rsid w:val="00C1099B"/>
    <w:rsid w:val="00C10A56"/>
    <w:rsid w:val="00C10B6E"/>
    <w:rsid w:val="00C10BEB"/>
    <w:rsid w:val="00C10D10"/>
    <w:rsid w:val="00C10F80"/>
    <w:rsid w:val="00C1139E"/>
    <w:rsid w:val="00C114CE"/>
    <w:rsid w:val="00C116AD"/>
    <w:rsid w:val="00C1170E"/>
    <w:rsid w:val="00C11892"/>
    <w:rsid w:val="00C11AFD"/>
    <w:rsid w:val="00C11D13"/>
    <w:rsid w:val="00C11F43"/>
    <w:rsid w:val="00C1218A"/>
    <w:rsid w:val="00C12880"/>
    <w:rsid w:val="00C128AF"/>
    <w:rsid w:val="00C12E4B"/>
    <w:rsid w:val="00C13052"/>
    <w:rsid w:val="00C131A4"/>
    <w:rsid w:val="00C132D3"/>
    <w:rsid w:val="00C13627"/>
    <w:rsid w:val="00C137FE"/>
    <w:rsid w:val="00C13C42"/>
    <w:rsid w:val="00C14226"/>
    <w:rsid w:val="00C14389"/>
    <w:rsid w:val="00C143C1"/>
    <w:rsid w:val="00C147AB"/>
    <w:rsid w:val="00C14B7C"/>
    <w:rsid w:val="00C14DC2"/>
    <w:rsid w:val="00C14DFA"/>
    <w:rsid w:val="00C152A8"/>
    <w:rsid w:val="00C154BF"/>
    <w:rsid w:val="00C15684"/>
    <w:rsid w:val="00C15A81"/>
    <w:rsid w:val="00C15D8F"/>
    <w:rsid w:val="00C15DA7"/>
    <w:rsid w:val="00C15DE7"/>
    <w:rsid w:val="00C1636E"/>
    <w:rsid w:val="00C163CD"/>
    <w:rsid w:val="00C1663E"/>
    <w:rsid w:val="00C16C14"/>
    <w:rsid w:val="00C16F6A"/>
    <w:rsid w:val="00C1749D"/>
    <w:rsid w:val="00C179CF"/>
    <w:rsid w:val="00C17A99"/>
    <w:rsid w:val="00C20282"/>
    <w:rsid w:val="00C20374"/>
    <w:rsid w:val="00C20432"/>
    <w:rsid w:val="00C2069F"/>
    <w:rsid w:val="00C206A2"/>
    <w:rsid w:val="00C20E79"/>
    <w:rsid w:val="00C20EA8"/>
    <w:rsid w:val="00C212CD"/>
    <w:rsid w:val="00C2131A"/>
    <w:rsid w:val="00C21594"/>
    <w:rsid w:val="00C21630"/>
    <w:rsid w:val="00C216A1"/>
    <w:rsid w:val="00C216EF"/>
    <w:rsid w:val="00C218AD"/>
    <w:rsid w:val="00C224CD"/>
    <w:rsid w:val="00C22571"/>
    <w:rsid w:val="00C22CF9"/>
    <w:rsid w:val="00C23104"/>
    <w:rsid w:val="00C23410"/>
    <w:rsid w:val="00C234EB"/>
    <w:rsid w:val="00C23A68"/>
    <w:rsid w:val="00C23B87"/>
    <w:rsid w:val="00C24353"/>
    <w:rsid w:val="00C24370"/>
    <w:rsid w:val="00C244CC"/>
    <w:rsid w:val="00C249AB"/>
    <w:rsid w:val="00C24AC6"/>
    <w:rsid w:val="00C24BCE"/>
    <w:rsid w:val="00C24C7C"/>
    <w:rsid w:val="00C24CA1"/>
    <w:rsid w:val="00C24D9C"/>
    <w:rsid w:val="00C2507D"/>
    <w:rsid w:val="00C2520F"/>
    <w:rsid w:val="00C25BDC"/>
    <w:rsid w:val="00C25C94"/>
    <w:rsid w:val="00C25E75"/>
    <w:rsid w:val="00C25FE8"/>
    <w:rsid w:val="00C26684"/>
    <w:rsid w:val="00C26A69"/>
    <w:rsid w:val="00C26E84"/>
    <w:rsid w:val="00C270D1"/>
    <w:rsid w:val="00C2743A"/>
    <w:rsid w:val="00C274A3"/>
    <w:rsid w:val="00C27591"/>
    <w:rsid w:val="00C2781A"/>
    <w:rsid w:val="00C27D24"/>
    <w:rsid w:val="00C27E90"/>
    <w:rsid w:val="00C302D5"/>
    <w:rsid w:val="00C30AEA"/>
    <w:rsid w:val="00C31061"/>
    <w:rsid w:val="00C310AC"/>
    <w:rsid w:val="00C31133"/>
    <w:rsid w:val="00C314A9"/>
    <w:rsid w:val="00C3152A"/>
    <w:rsid w:val="00C3211E"/>
    <w:rsid w:val="00C3243E"/>
    <w:rsid w:val="00C32CA5"/>
    <w:rsid w:val="00C33032"/>
    <w:rsid w:val="00C33247"/>
    <w:rsid w:val="00C332B3"/>
    <w:rsid w:val="00C334C3"/>
    <w:rsid w:val="00C3376D"/>
    <w:rsid w:val="00C338FB"/>
    <w:rsid w:val="00C33BCA"/>
    <w:rsid w:val="00C33D00"/>
    <w:rsid w:val="00C34050"/>
    <w:rsid w:val="00C342DE"/>
    <w:rsid w:val="00C34619"/>
    <w:rsid w:val="00C3467B"/>
    <w:rsid w:val="00C346A1"/>
    <w:rsid w:val="00C34997"/>
    <w:rsid w:val="00C34FDC"/>
    <w:rsid w:val="00C3566C"/>
    <w:rsid w:val="00C356F6"/>
    <w:rsid w:val="00C35C80"/>
    <w:rsid w:val="00C35EB7"/>
    <w:rsid w:val="00C36019"/>
    <w:rsid w:val="00C36113"/>
    <w:rsid w:val="00C362B5"/>
    <w:rsid w:val="00C363BA"/>
    <w:rsid w:val="00C36952"/>
    <w:rsid w:val="00C36B04"/>
    <w:rsid w:val="00C36BB0"/>
    <w:rsid w:val="00C36D06"/>
    <w:rsid w:val="00C36D0E"/>
    <w:rsid w:val="00C36FBF"/>
    <w:rsid w:val="00C372A5"/>
    <w:rsid w:val="00C377D2"/>
    <w:rsid w:val="00C37984"/>
    <w:rsid w:val="00C37B07"/>
    <w:rsid w:val="00C37D1F"/>
    <w:rsid w:val="00C40164"/>
    <w:rsid w:val="00C403FF"/>
    <w:rsid w:val="00C40531"/>
    <w:rsid w:val="00C406F6"/>
    <w:rsid w:val="00C4072A"/>
    <w:rsid w:val="00C40767"/>
    <w:rsid w:val="00C4081C"/>
    <w:rsid w:val="00C4112B"/>
    <w:rsid w:val="00C4142B"/>
    <w:rsid w:val="00C41781"/>
    <w:rsid w:val="00C419F1"/>
    <w:rsid w:val="00C41F9B"/>
    <w:rsid w:val="00C4231B"/>
    <w:rsid w:val="00C4242E"/>
    <w:rsid w:val="00C42808"/>
    <w:rsid w:val="00C428DE"/>
    <w:rsid w:val="00C42A62"/>
    <w:rsid w:val="00C42AEC"/>
    <w:rsid w:val="00C42E6D"/>
    <w:rsid w:val="00C42EFD"/>
    <w:rsid w:val="00C4300A"/>
    <w:rsid w:val="00C430FB"/>
    <w:rsid w:val="00C43384"/>
    <w:rsid w:val="00C43E83"/>
    <w:rsid w:val="00C44072"/>
    <w:rsid w:val="00C44459"/>
    <w:rsid w:val="00C4448C"/>
    <w:rsid w:val="00C44870"/>
    <w:rsid w:val="00C45044"/>
    <w:rsid w:val="00C4510F"/>
    <w:rsid w:val="00C4578E"/>
    <w:rsid w:val="00C45901"/>
    <w:rsid w:val="00C45B2B"/>
    <w:rsid w:val="00C45D1B"/>
    <w:rsid w:val="00C45EA1"/>
    <w:rsid w:val="00C4603A"/>
    <w:rsid w:val="00C460E3"/>
    <w:rsid w:val="00C461D7"/>
    <w:rsid w:val="00C462A4"/>
    <w:rsid w:val="00C46439"/>
    <w:rsid w:val="00C46A31"/>
    <w:rsid w:val="00C46AAA"/>
    <w:rsid w:val="00C46E53"/>
    <w:rsid w:val="00C4727A"/>
    <w:rsid w:val="00C47663"/>
    <w:rsid w:val="00C4790B"/>
    <w:rsid w:val="00C4799B"/>
    <w:rsid w:val="00C47C91"/>
    <w:rsid w:val="00C47DD4"/>
    <w:rsid w:val="00C47E08"/>
    <w:rsid w:val="00C47E73"/>
    <w:rsid w:val="00C47F5C"/>
    <w:rsid w:val="00C47FEB"/>
    <w:rsid w:val="00C50025"/>
    <w:rsid w:val="00C5012C"/>
    <w:rsid w:val="00C50568"/>
    <w:rsid w:val="00C505AD"/>
    <w:rsid w:val="00C5063D"/>
    <w:rsid w:val="00C50678"/>
    <w:rsid w:val="00C508F5"/>
    <w:rsid w:val="00C50A5B"/>
    <w:rsid w:val="00C50AEB"/>
    <w:rsid w:val="00C50B5C"/>
    <w:rsid w:val="00C50E1B"/>
    <w:rsid w:val="00C50E89"/>
    <w:rsid w:val="00C51009"/>
    <w:rsid w:val="00C5116D"/>
    <w:rsid w:val="00C51236"/>
    <w:rsid w:val="00C513C8"/>
    <w:rsid w:val="00C513D2"/>
    <w:rsid w:val="00C5151A"/>
    <w:rsid w:val="00C51765"/>
    <w:rsid w:val="00C51783"/>
    <w:rsid w:val="00C517A1"/>
    <w:rsid w:val="00C51E69"/>
    <w:rsid w:val="00C5228B"/>
    <w:rsid w:val="00C5249D"/>
    <w:rsid w:val="00C5299B"/>
    <w:rsid w:val="00C529B6"/>
    <w:rsid w:val="00C52B19"/>
    <w:rsid w:val="00C52F79"/>
    <w:rsid w:val="00C53066"/>
    <w:rsid w:val="00C53302"/>
    <w:rsid w:val="00C5334A"/>
    <w:rsid w:val="00C5337F"/>
    <w:rsid w:val="00C538A1"/>
    <w:rsid w:val="00C53913"/>
    <w:rsid w:val="00C53D37"/>
    <w:rsid w:val="00C53E4A"/>
    <w:rsid w:val="00C54393"/>
    <w:rsid w:val="00C54ED5"/>
    <w:rsid w:val="00C55203"/>
    <w:rsid w:val="00C553A7"/>
    <w:rsid w:val="00C55466"/>
    <w:rsid w:val="00C559BC"/>
    <w:rsid w:val="00C55A06"/>
    <w:rsid w:val="00C55DD6"/>
    <w:rsid w:val="00C560DC"/>
    <w:rsid w:val="00C56473"/>
    <w:rsid w:val="00C56514"/>
    <w:rsid w:val="00C56A98"/>
    <w:rsid w:val="00C56C7E"/>
    <w:rsid w:val="00C56CC4"/>
    <w:rsid w:val="00C56D0A"/>
    <w:rsid w:val="00C56FE2"/>
    <w:rsid w:val="00C5731A"/>
    <w:rsid w:val="00C5775B"/>
    <w:rsid w:val="00C57864"/>
    <w:rsid w:val="00C57A65"/>
    <w:rsid w:val="00C57A6E"/>
    <w:rsid w:val="00C57C5A"/>
    <w:rsid w:val="00C57DAC"/>
    <w:rsid w:val="00C60366"/>
    <w:rsid w:val="00C605DC"/>
    <w:rsid w:val="00C60816"/>
    <w:rsid w:val="00C6083A"/>
    <w:rsid w:val="00C60B1A"/>
    <w:rsid w:val="00C60CFD"/>
    <w:rsid w:val="00C6102A"/>
    <w:rsid w:val="00C6113F"/>
    <w:rsid w:val="00C61217"/>
    <w:rsid w:val="00C61265"/>
    <w:rsid w:val="00C61626"/>
    <w:rsid w:val="00C61C81"/>
    <w:rsid w:val="00C6230D"/>
    <w:rsid w:val="00C627C1"/>
    <w:rsid w:val="00C62817"/>
    <w:rsid w:val="00C62C82"/>
    <w:rsid w:val="00C62D73"/>
    <w:rsid w:val="00C6301C"/>
    <w:rsid w:val="00C632ED"/>
    <w:rsid w:val="00C632EE"/>
    <w:rsid w:val="00C63DCE"/>
    <w:rsid w:val="00C63ECF"/>
    <w:rsid w:val="00C63F31"/>
    <w:rsid w:val="00C643E1"/>
    <w:rsid w:val="00C645AA"/>
    <w:rsid w:val="00C648AD"/>
    <w:rsid w:val="00C64CE3"/>
    <w:rsid w:val="00C64E60"/>
    <w:rsid w:val="00C652F6"/>
    <w:rsid w:val="00C658EE"/>
    <w:rsid w:val="00C65A4B"/>
    <w:rsid w:val="00C65A57"/>
    <w:rsid w:val="00C65B30"/>
    <w:rsid w:val="00C65C2E"/>
    <w:rsid w:val="00C65CB2"/>
    <w:rsid w:val="00C65E3B"/>
    <w:rsid w:val="00C66179"/>
    <w:rsid w:val="00C66373"/>
    <w:rsid w:val="00C663A0"/>
    <w:rsid w:val="00C6646E"/>
    <w:rsid w:val="00C66A16"/>
    <w:rsid w:val="00C66E1C"/>
    <w:rsid w:val="00C66E90"/>
    <w:rsid w:val="00C6769B"/>
    <w:rsid w:val="00C67735"/>
    <w:rsid w:val="00C67A23"/>
    <w:rsid w:val="00C67A54"/>
    <w:rsid w:val="00C67D5B"/>
    <w:rsid w:val="00C67FD3"/>
    <w:rsid w:val="00C70182"/>
    <w:rsid w:val="00C704E2"/>
    <w:rsid w:val="00C70852"/>
    <w:rsid w:val="00C70B55"/>
    <w:rsid w:val="00C70DE0"/>
    <w:rsid w:val="00C71191"/>
    <w:rsid w:val="00C712AB"/>
    <w:rsid w:val="00C717FD"/>
    <w:rsid w:val="00C71D84"/>
    <w:rsid w:val="00C7210E"/>
    <w:rsid w:val="00C722A4"/>
    <w:rsid w:val="00C72314"/>
    <w:rsid w:val="00C72555"/>
    <w:rsid w:val="00C72563"/>
    <w:rsid w:val="00C72A36"/>
    <w:rsid w:val="00C72C4C"/>
    <w:rsid w:val="00C72D80"/>
    <w:rsid w:val="00C72FC1"/>
    <w:rsid w:val="00C730A9"/>
    <w:rsid w:val="00C732D7"/>
    <w:rsid w:val="00C73515"/>
    <w:rsid w:val="00C73B80"/>
    <w:rsid w:val="00C73E42"/>
    <w:rsid w:val="00C73F6F"/>
    <w:rsid w:val="00C7406F"/>
    <w:rsid w:val="00C74305"/>
    <w:rsid w:val="00C74350"/>
    <w:rsid w:val="00C74694"/>
    <w:rsid w:val="00C746A8"/>
    <w:rsid w:val="00C746C6"/>
    <w:rsid w:val="00C7475F"/>
    <w:rsid w:val="00C747E3"/>
    <w:rsid w:val="00C74BBB"/>
    <w:rsid w:val="00C74CC2"/>
    <w:rsid w:val="00C7503C"/>
    <w:rsid w:val="00C750D1"/>
    <w:rsid w:val="00C75163"/>
    <w:rsid w:val="00C7524B"/>
    <w:rsid w:val="00C754FC"/>
    <w:rsid w:val="00C7585F"/>
    <w:rsid w:val="00C75C0A"/>
    <w:rsid w:val="00C75D59"/>
    <w:rsid w:val="00C76111"/>
    <w:rsid w:val="00C76154"/>
    <w:rsid w:val="00C7636D"/>
    <w:rsid w:val="00C765C7"/>
    <w:rsid w:val="00C76878"/>
    <w:rsid w:val="00C76C2C"/>
    <w:rsid w:val="00C76E5C"/>
    <w:rsid w:val="00C76F1A"/>
    <w:rsid w:val="00C7724B"/>
    <w:rsid w:val="00C7730F"/>
    <w:rsid w:val="00C77370"/>
    <w:rsid w:val="00C776AB"/>
    <w:rsid w:val="00C77815"/>
    <w:rsid w:val="00C7794C"/>
    <w:rsid w:val="00C77B83"/>
    <w:rsid w:val="00C77BA0"/>
    <w:rsid w:val="00C805A6"/>
    <w:rsid w:val="00C8066A"/>
    <w:rsid w:val="00C80883"/>
    <w:rsid w:val="00C80BE8"/>
    <w:rsid w:val="00C80D4D"/>
    <w:rsid w:val="00C80F06"/>
    <w:rsid w:val="00C81194"/>
    <w:rsid w:val="00C8134E"/>
    <w:rsid w:val="00C81687"/>
    <w:rsid w:val="00C818D6"/>
    <w:rsid w:val="00C81F64"/>
    <w:rsid w:val="00C8217B"/>
    <w:rsid w:val="00C82571"/>
    <w:rsid w:val="00C82766"/>
    <w:rsid w:val="00C82B04"/>
    <w:rsid w:val="00C8311F"/>
    <w:rsid w:val="00C836AB"/>
    <w:rsid w:val="00C8371C"/>
    <w:rsid w:val="00C83945"/>
    <w:rsid w:val="00C83B8A"/>
    <w:rsid w:val="00C83C5D"/>
    <w:rsid w:val="00C83FA6"/>
    <w:rsid w:val="00C84008"/>
    <w:rsid w:val="00C841C8"/>
    <w:rsid w:val="00C84215"/>
    <w:rsid w:val="00C8433F"/>
    <w:rsid w:val="00C84373"/>
    <w:rsid w:val="00C84AB7"/>
    <w:rsid w:val="00C84C4D"/>
    <w:rsid w:val="00C85391"/>
    <w:rsid w:val="00C853AE"/>
    <w:rsid w:val="00C857CD"/>
    <w:rsid w:val="00C85810"/>
    <w:rsid w:val="00C858BF"/>
    <w:rsid w:val="00C85B56"/>
    <w:rsid w:val="00C85B8C"/>
    <w:rsid w:val="00C864F8"/>
    <w:rsid w:val="00C86568"/>
    <w:rsid w:val="00C86607"/>
    <w:rsid w:val="00C867B0"/>
    <w:rsid w:val="00C86B31"/>
    <w:rsid w:val="00C86C45"/>
    <w:rsid w:val="00C87348"/>
    <w:rsid w:val="00C873A0"/>
    <w:rsid w:val="00C87464"/>
    <w:rsid w:val="00C877AB"/>
    <w:rsid w:val="00C87961"/>
    <w:rsid w:val="00C87B1D"/>
    <w:rsid w:val="00C87BAD"/>
    <w:rsid w:val="00C906A7"/>
    <w:rsid w:val="00C90BE0"/>
    <w:rsid w:val="00C90CB2"/>
    <w:rsid w:val="00C90EB8"/>
    <w:rsid w:val="00C91CFB"/>
    <w:rsid w:val="00C923B6"/>
    <w:rsid w:val="00C924CA"/>
    <w:rsid w:val="00C92598"/>
    <w:rsid w:val="00C926C8"/>
    <w:rsid w:val="00C92C2A"/>
    <w:rsid w:val="00C92CB3"/>
    <w:rsid w:val="00C92D22"/>
    <w:rsid w:val="00C9322C"/>
    <w:rsid w:val="00C93438"/>
    <w:rsid w:val="00C9353B"/>
    <w:rsid w:val="00C93570"/>
    <w:rsid w:val="00C937BE"/>
    <w:rsid w:val="00C93B0B"/>
    <w:rsid w:val="00C93D76"/>
    <w:rsid w:val="00C93E0C"/>
    <w:rsid w:val="00C93FCD"/>
    <w:rsid w:val="00C9407B"/>
    <w:rsid w:val="00C941E5"/>
    <w:rsid w:val="00C94442"/>
    <w:rsid w:val="00C94596"/>
    <w:rsid w:val="00C947BE"/>
    <w:rsid w:val="00C949FD"/>
    <w:rsid w:val="00C94CA2"/>
    <w:rsid w:val="00C94CFA"/>
    <w:rsid w:val="00C94E12"/>
    <w:rsid w:val="00C9516D"/>
    <w:rsid w:val="00C95AD3"/>
    <w:rsid w:val="00C95AD5"/>
    <w:rsid w:val="00C95B7F"/>
    <w:rsid w:val="00C9635A"/>
    <w:rsid w:val="00C96381"/>
    <w:rsid w:val="00C963BE"/>
    <w:rsid w:val="00C9679B"/>
    <w:rsid w:val="00C9688C"/>
    <w:rsid w:val="00C96A47"/>
    <w:rsid w:val="00C96C80"/>
    <w:rsid w:val="00C970DB"/>
    <w:rsid w:val="00C97D3F"/>
    <w:rsid w:val="00C97DBE"/>
    <w:rsid w:val="00C97E05"/>
    <w:rsid w:val="00CA029B"/>
    <w:rsid w:val="00CA0522"/>
    <w:rsid w:val="00CA0763"/>
    <w:rsid w:val="00CA0C3A"/>
    <w:rsid w:val="00CA0EF9"/>
    <w:rsid w:val="00CA1124"/>
    <w:rsid w:val="00CA128E"/>
    <w:rsid w:val="00CA1294"/>
    <w:rsid w:val="00CA15C5"/>
    <w:rsid w:val="00CA1723"/>
    <w:rsid w:val="00CA1DC2"/>
    <w:rsid w:val="00CA1DDD"/>
    <w:rsid w:val="00CA20B0"/>
    <w:rsid w:val="00CA211C"/>
    <w:rsid w:val="00CA222D"/>
    <w:rsid w:val="00CA23EA"/>
    <w:rsid w:val="00CA28EA"/>
    <w:rsid w:val="00CA2B78"/>
    <w:rsid w:val="00CA2BA8"/>
    <w:rsid w:val="00CA2BAE"/>
    <w:rsid w:val="00CA2E24"/>
    <w:rsid w:val="00CA2EA1"/>
    <w:rsid w:val="00CA2F8C"/>
    <w:rsid w:val="00CA2FA4"/>
    <w:rsid w:val="00CA32BB"/>
    <w:rsid w:val="00CA331C"/>
    <w:rsid w:val="00CA345C"/>
    <w:rsid w:val="00CA3633"/>
    <w:rsid w:val="00CA3B89"/>
    <w:rsid w:val="00CA410B"/>
    <w:rsid w:val="00CA438E"/>
    <w:rsid w:val="00CA499B"/>
    <w:rsid w:val="00CA4FF0"/>
    <w:rsid w:val="00CA50FE"/>
    <w:rsid w:val="00CA5257"/>
    <w:rsid w:val="00CA5612"/>
    <w:rsid w:val="00CA59A5"/>
    <w:rsid w:val="00CA5A87"/>
    <w:rsid w:val="00CA5E3D"/>
    <w:rsid w:val="00CA6359"/>
    <w:rsid w:val="00CA64E8"/>
    <w:rsid w:val="00CA6509"/>
    <w:rsid w:val="00CA6695"/>
    <w:rsid w:val="00CA695E"/>
    <w:rsid w:val="00CA6A74"/>
    <w:rsid w:val="00CA6B6B"/>
    <w:rsid w:val="00CA6D28"/>
    <w:rsid w:val="00CA6E2A"/>
    <w:rsid w:val="00CA6FC3"/>
    <w:rsid w:val="00CA7121"/>
    <w:rsid w:val="00CA765B"/>
    <w:rsid w:val="00CA7772"/>
    <w:rsid w:val="00CA791C"/>
    <w:rsid w:val="00CA7E7C"/>
    <w:rsid w:val="00CA7EAE"/>
    <w:rsid w:val="00CA7F05"/>
    <w:rsid w:val="00CB0AB2"/>
    <w:rsid w:val="00CB0CAF"/>
    <w:rsid w:val="00CB0EA9"/>
    <w:rsid w:val="00CB1057"/>
    <w:rsid w:val="00CB105D"/>
    <w:rsid w:val="00CB1157"/>
    <w:rsid w:val="00CB1854"/>
    <w:rsid w:val="00CB18B4"/>
    <w:rsid w:val="00CB18C4"/>
    <w:rsid w:val="00CB198A"/>
    <w:rsid w:val="00CB19BA"/>
    <w:rsid w:val="00CB1E1B"/>
    <w:rsid w:val="00CB1EA5"/>
    <w:rsid w:val="00CB2196"/>
    <w:rsid w:val="00CB23C9"/>
    <w:rsid w:val="00CB2AE8"/>
    <w:rsid w:val="00CB31DF"/>
    <w:rsid w:val="00CB382B"/>
    <w:rsid w:val="00CB3873"/>
    <w:rsid w:val="00CB3B98"/>
    <w:rsid w:val="00CB3EA4"/>
    <w:rsid w:val="00CB4082"/>
    <w:rsid w:val="00CB41C7"/>
    <w:rsid w:val="00CB41D0"/>
    <w:rsid w:val="00CB41E5"/>
    <w:rsid w:val="00CB422C"/>
    <w:rsid w:val="00CB43E1"/>
    <w:rsid w:val="00CB4477"/>
    <w:rsid w:val="00CB4661"/>
    <w:rsid w:val="00CB4761"/>
    <w:rsid w:val="00CB49BA"/>
    <w:rsid w:val="00CB4BCC"/>
    <w:rsid w:val="00CB4CAB"/>
    <w:rsid w:val="00CB5112"/>
    <w:rsid w:val="00CB597A"/>
    <w:rsid w:val="00CB5F14"/>
    <w:rsid w:val="00CB6120"/>
    <w:rsid w:val="00CB62AC"/>
    <w:rsid w:val="00CB64AD"/>
    <w:rsid w:val="00CB6668"/>
    <w:rsid w:val="00CB68BF"/>
    <w:rsid w:val="00CB6A09"/>
    <w:rsid w:val="00CB6B96"/>
    <w:rsid w:val="00CB6BE2"/>
    <w:rsid w:val="00CB6DF7"/>
    <w:rsid w:val="00CB6EEC"/>
    <w:rsid w:val="00CB703E"/>
    <w:rsid w:val="00CB734D"/>
    <w:rsid w:val="00CB739B"/>
    <w:rsid w:val="00CB7D7C"/>
    <w:rsid w:val="00CC0044"/>
    <w:rsid w:val="00CC0880"/>
    <w:rsid w:val="00CC0CFB"/>
    <w:rsid w:val="00CC1273"/>
    <w:rsid w:val="00CC1380"/>
    <w:rsid w:val="00CC14B2"/>
    <w:rsid w:val="00CC162D"/>
    <w:rsid w:val="00CC1655"/>
    <w:rsid w:val="00CC18E7"/>
    <w:rsid w:val="00CC1D77"/>
    <w:rsid w:val="00CC1DFF"/>
    <w:rsid w:val="00CC2142"/>
    <w:rsid w:val="00CC273B"/>
    <w:rsid w:val="00CC27DC"/>
    <w:rsid w:val="00CC2B2E"/>
    <w:rsid w:val="00CC2CB4"/>
    <w:rsid w:val="00CC3043"/>
    <w:rsid w:val="00CC3078"/>
    <w:rsid w:val="00CC32E9"/>
    <w:rsid w:val="00CC3343"/>
    <w:rsid w:val="00CC3373"/>
    <w:rsid w:val="00CC3609"/>
    <w:rsid w:val="00CC36E4"/>
    <w:rsid w:val="00CC37EE"/>
    <w:rsid w:val="00CC3937"/>
    <w:rsid w:val="00CC3CB9"/>
    <w:rsid w:val="00CC3DDD"/>
    <w:rsid w:val="00CC3EA5"/>
    <w:rsid w:val="00CC3F73"/>
    <w:rsid w:val="00CC4026"/>
    <w:rsid w:val="00CC418B"/>
    <w:rsid w:val="00CC422B"/>
    <w:rsid w:val="00CC4628"/>
    <w:rsid w:val="00CC4B2F"/>
    <w:rsid w:val="00CC4E36"/>
    <w:rsid w:val="00CC51A5"/>
    <w:rsid w:val="00CC521A"/>
    <w:rsid w:val="00CC5445"/>
    <w:rsid w:val="00CC56FE"/>
    <w:rsid w:val="00CC5734"/>
    <w:rsid w:val="00CC5796"/>
    <w:rsid w:val="00CC5A4E"/>
    <w:rsid w:val="00CC5CB5"/>
    <w:rsid w:val="00CC5F2D"/>
    <w:rsid w:val="00CC5F5F"/>
    <w:rsid w:val="00CC614F"/>
    <w:rsid w:val="00CC624C"/>
    <w:rsid w:val="00CC62EA"/>
    <w:rsid w:val="00CC6302"/>
    <w:rsid w:val="00CC63BE"/>
    <w:rsid w:val="00CC6B01"/>
    <w:rsid w:val="00CC6BCE"/>
    <w:rsid w:val="00CC7229"/>
    <w:rsid w:val="00CC7451"/>
    <w:rsid w:val="00CC75E3"/>
    <w:rsid w:val="00CC7A70"/>
    <w:rsid w:val="00CC7AD3"/>
    <w:rsid w:val="00CD028C"/>
    <w:rsid w:val="00CD042A"/>
    <w:rsid w:val="00CD0510"/>
    <w:rsid w:val="00CD0730"/>
    <w:rsid w:val="00CD07AC"/>
    <w:rsid w:val="00CD0AA7"/>
    <w:rsid w:val="00CD0B83"/>
    <w:rsid w:val="00CD0C3F"/>
    <w:rsid w:val="00CD104A"/>
    <w:rsid w:val="00CD12C1"/>
    <w:rsid w:val="00CD140D"/>
    <w:rsid w:val="00CD14DD"/>
    <w:rsid w:val="00CD1554"/>
    <w:rsid w:val="00CD1665"/>
    <w:rsid w:val="00CD16BF"/>
    <w:rsid w:val="00CD194B"/>
    <w:rsid w:val="00CD1D94"/>
    <w:rsid w:val="00CD1F24"/>
    <w:rsid w:val="00CD2131"/>
    <w:rsid w:val="00CD2573"/>
    <w:rsid w:val="00CD26AA"/>
    <w:rsid w:val="00CD2851"/>
    <w:rsid w:val="00CD29FD"/>
    <w:rsid w:val="00CD2B6E"/>
    <w:rsid w:val="00CD2D6E"/>
    <w:rsid w:val="00CD2EEE"/>
    <w:rsid w:val="00CD3145"/>
    <w:rsid w:val="00CD32E8"/>
    <w:rsid w:val="00CD3525"/>
    <w:rsid w:val="00CD373E"/>
    <w:rsid w:val="00CD3A95"/>
    <w:rsid w:val="00CD3D66"/>
    <w:rsid w:val="00CD3E2B"/>
    <w:rsid w:val="00CD4193"/>
    <w:rsid w:val="00CD48FE"/>
    <w:rsid w:val="00CD4DE3"/>
    <w:rsid w:val="00CD51C9"/>
    <w:rsid w:val="00CD5365"/>
    <w:rsid w:val="00CD56E2"/>
    <w:rsid w:val="00CD5B39"/>
    <w:rsid w:val="00CD5D15"/>
    <w:rsid w:val="00CD62A4"/>
    <w:rsid w:val="00CD6490"/>
    <w:rsid w:val="00CD7087"/>
    <w:rsid w:val="00CD70E8"/>
    <w:rsid w:val="00CD7103"/>
    <w:rsid w:val="00CD7627"/>
    <w:rsid w:val="00CD7696"/>
    <w:rsid w:val="00CD789E"/>
    <w:rsid w:val="00CD78AD"/>
    <w:rsid w:val="00CD7CF0"/>
    <w:rsid w:val="00CD7FB2"/>
    <w:rsid w:val="00CE0053"/>
    <w:rsid w:val="00CE041D"/>
    <w:rsid w:val="00CE0456"/>
    <w:rsid w:val="00CE0653"/>
    <w:rsid w:val="00CE074F"/>
    <w:rsid w:val="00CE0843"/>
    <w:rsid w:val="00CE0F98"/>
    <w:rsid w:val="00CE1387"/>
    <w:rsid w:val="00CE16BE"/>
    <w:rsid w:val="00CE1717"/>
    <w:rsid w:val="00CE1A3F"/>
    <w:rsid w:val="00CE1ACA"/>
    <w:rsid w:val="00CE1C02"/>
    <w:rsid w:val="00CE1EAC"/>
    <w:rsid w:val="00CE2323"/>
    <w:rsid w:val="00CE23C4"/>
    <w:rsid w:val="00CE273B"/>
    <w:rsid w:val="00CE2B20"/>
    <w:rsid w:val="00CE2C6A"/>
    <w:rsid w:val="00CE311F"/>
    <w:rsid w:val="00CE3324"/>
    <w:rsid w:val="00CE33AB"/>
    <w:rsid w:val="00CE376E"/>
    <w:rsid w:val="00CE38E5"/>
    <w:rsid w:val="00CE3FCD"/>
    <w:rsid w:val="00CE42A4"/>
    <w:rsid w:val="00CE4361"/>
    <w:rsid w:val="00CE436A"/>
    <w:rsid w:val="00CE45A8"/>
    <w:rsid w:val="00CE47D7"/>
    <w:rsid w:val="00CE48ED"/>
    <w:rsid w:val="00CE4951"/>
    <w:rsid w:val="00CE49BA"/>
    <w:rsid w:val="00CE4A9E"/>
    <w:rsid w:val="00CE4E52"/>
    <w:rsid w:val="00CE4FA3"/>
    <w:rsid w:val="00CE5043"/>
    <w:rsid w:val="00CE513A"/>
    <w:rsid w:val="00CE5604"/>
    <w:rsid w:val="00CE560F"/>
    <w:rsid w:val="00CE5A01"/>
    <w:rsid w:val="00CE5D14"/>
    <w:rsid w:val="00CE5EF2"/>
    <w:rsid w:val="00CE5F4D"/>
    <w:rsid w:val="00CE6111"/>
    <w:rsid w:val="00CE623F"/>
    <w:rsid w:val="00CE6300"/>
    <w:rsid w:val="00CE651C"/>
    <w:rsid w:val="00CE67C3"/>
    <w:rsid w:val="00CE6A25"/>
    <w:rsid w:val="00CE6B9D"/>
    <w:rsid w:val="00CE6FBB"/>
    <w:rsid w:val="00CE71C8"/>
    <w:rsid w:val="00CE72C9"/>
    <w:rsid w:val="00CE7A4D"/>
    <w:rsid w:val="00CE7C64"/>
    <w:rsid w:val="00CF013E"/>
    <w:rsid w:val="00CF02DA"/>
    <w:rsid w:val="00CF0B6C"/>
    <w:rsid w:val="00CF0DAD"/>
    <w:rsid w:val="00CF0DE6"/>
    <w:rsid w:val="00CF0F8C"/>
    <w:rsid w:val="00CF127D"/>
    <w:rsid w:val="00CF15FE"/>
    <w:rsid w:val="00CF1AA5"/>
    <w:rsid w:val="00CF1EF7"/>
    <w:rsid w:val="00CF1F5A"/>
    <w:rsid w:val="00CF25C7"/>
    <w:rsid w:val="00CF2650"/>
    <w:rsid w:val="00CF2923"/>
    <w:rsid w:val="00CF2DBF"/>
    <w:rsid w:val="00CF30BF"/>
    <w:rsid w:val="00CF33AA"/>
    <w:rsid w:val="00CF35BA"/>
    <w:rsid w:val="00CF36F4"/>
    <w:rsid w:val="00CF3713"/>
    <w:rsid w:val="00CF3DD4"/>
    <w:rsid w:val="00CF430F"/>
    <w:rsid w:val="00CF4347"/>
    <w:rsid w:val="00CF4349"/>
    <w:rsid w:val="00CF44E1"/>
    <w:rsid w:val="00CF49BB"/>
    <w:rsid w:val="00CF49EE"/>
    <w:rsid w:val="00CF4A29"/>
    <w:rsid w:val="00CF4BFE"/>
    <w:rsid w:val="00CF4E47"/>
    <w:rsid w:val="00CF52FF"/>
    <w:rsid w:val="00CF574B"/>
    <w:rsid w:val="00CF5774"/>
    <w:rsid w:val="00CF57A0"/>
    <w:rsid w:val="00CF5B21"/>
    <w:rsid w:val="00CF5ED6"/>
    <w:rsid w:val="00CF601C"/>
    <w:rsid w:val="00CF6136"/>
    <w:rsid w:val="00CF625E"/>
    <w:rsid w:val="00CF6439"/>
    <w:rsid w:val="00CF645A"/>
    <w:rsid w:val="00CF64AA"/>
    <w:rsid w:val="00CF660A"/>
    <w:rsid w:val="00CF67A7"/>
    <w:rsid w:val="00CF6D0A"/>
    <w:rsid w:val="00CF6D4B"/>
    <w:rsid w:val="00CF7100"/>
    <w:rsid w:val="00CF7259"/>
    <w:rsid w:val="00CF7D39"/>
    <w:rsid w:val="00CF7E5E"/>
    <w:rsid w:val="00CF7E9B"/>
    <w:rsid w:val="00CF7F67"/>
    <w:rsid w:val="00D00291"/>
    <w:rsid w:val="00D002FA"/>
    <w:rsid w:val="00D005CC"/>
    <w:rsid w:val="00D00805"/>
    <w:rsid w:val="00D0090A"/>
    <w:rsid w:val="00D020AC"/>
    <w:rsid w:val="00D020FA"/>
    <w:rsid w:val="00D02628"/>
    <w:rsid w:val="00D026F2"/>
    <w:rsid w:val="00D02901"/>
    <w:rsid w:val="00D0293E"/>
    <w:rsid w:val="00D02A0C"/>
    <w:rsid w:val="00D02BBC"/>
    <w:rsid w:val="00D02C7A"/>
    <w:rsid w:val="00D0310A"/>
    <w:rsid w:val="00D032A9"/>
    <w:rsid w:val="00D03445"/>
    <w:rsid w:val="00D03646"/>
    <w:rsid w:val="00D03A9F"/>
    <w:rsid w:val="00D03CF5"/>
    <w:rsid w:val="00D03F13"/>
    <w:rsid w:val="00D03FA6"/>
    <w:rsid w:val="00D044A0"/>
    <w:rsid w:val="00D04B68"/>
    <w:rsid w:val="00D04F94"/>
    <w:rsid w:val="00D05056"/>
    <w:rsid w:val="00D05119"/>
    <w:rsid w:val="00D05181"/>
    <w:rsid w:val="00D0542E"/>
    <w:rsid w:val="00D05494"/>
    <w:rsid w:val="00D05761"/>
    <w:rsid w:val="00D05A24"/>
    <w:rsid w:val="00D05C0F"/>
    <w:rsid w:val="00D05C63"/>
    <w:rsid w:val="00D061F1"/>
    <w:rsid w:val="00D0631C"/>
    <w:rsid w:val="00D0643B"/>
    <w:rsid w:val="00D06C7A"/>
    <w:rsid w:val="00D06FEA"/>
    <w:rsid w:val="00D07334"/>
    <w:rsid w:val="00D0758B"/>
    <w:rsid w:val="00D077AB"/>
    <w:rsid w:val="00D0785E"/>
    <w:rsid w:val="00D07875"/>
    <w:rsid w:val="00D07B74"/>
    <w:rsid w:val="00D07CFC"/>
    <w:rsid w:val="00D07DF6"/>
    <w:rsid w:val="00D07E64"/>
    <w:rsid w:val="00D07F3C"/>
    <w:rsid w:val="00D10070"/>
    <w:rsid w:val="00D10118"/>
    <w:rsid w:val="00D107C1"/>
    <w:rsid w:val="00D1088C"/>
    <w:rsid w:val="00D10F89"/>
    <w:rsid w:val="00D11086"/>
    <w:rsid w:val="00D115F4"/>
    <w:rsid w:val="00D1180B"/>
    <w:rsid w:val="00D11A61"/>
    <w:rsid w:val="00D11DD7"/>
    <w:rsid w:val="00D11ED4"/>
    <w:rsid w:val="00D120C6"/>
    <w:rsid w:val="00D1225F"/>
    <w:rsid w:val="00D126C2"/>
    <w:rsid w:val="00D12B23"/>
    <w:rsid w:val="00D12F4B"/>
    <w:rsid w:val="00D1340D"/>
    <w:rsid w:val="00D13A27"/>
    <w:rsid w:val="00D13A90"/>
    <w:rsid w:val="00D13C8E"/>
    <w:rsid w:val="00D14300"/>
    <w:rsid w:val="00D1435D"/>
    <w:rsid w:val="00D144A2"/>
    <w:rsid w:val="00D14741"/>
    <w:rsid w:val="00D14CF3"/>
    <w:rsid w:val="00D14D2D"/>
    <w:rsid w:val="00D14F33"/>
    <w:rsid w:val="00D15197"/>
    <w:rsid w:val="00D156BA"/>
    <w:rsid w:val="00D158BB"/>
    <w:rsid w:val="00D15A30"/>
    <w:rsid w:val="00D15C7E"/>
    <w:rsid w:val="00D15D02"/>
    <w:rsid w:val="00D15DD8"/>
    <w:rsid w:val="00D16455"/>
    <w:rsid w:val="00D1655D"/>
    <w:rsid w:val="00D165BF"/>
    <w:rsid w:val="00D16763"/>
    <w:rsid w:val="00D1677C"/>
    <w:rsid w:val="00D169AE"/>
    <w:rsid w:val="00D16B8D"/>
    <w:rsid w:val="00D17158"/>
    <w:rsid w:val="00D17165"/>
    <w:rsid w:val="00D173FD"/>
    <w:rsid w:val="00D17766"/>
    <w:rsid w:val="00D17BA9"/>
    <w:rsid w:val="00D17D15"/>
    <w:rsid w:val="00D17DE7"/>
    <w:rsid w:val="00D17FBA"/>
    <w:rsid w:val="00D20143"/>
    <w:rsid w:val="00D20525"/>
    <w:rsid w:val="00D20954"/>
    <w:rsid w:val="00D20C19"/>
    <w:rsid w:val="00D20EDB"/>
    <w:rsid w:val="00D20F64"/>
    <w:rsid w:val="00D21193"/>
    <w:rsid w:val="00D217F3"/>
    <w:rsid w:val="00D21A41"/>
    <w:rsid w:val="00D2231B"/>
    <w:rsid w:val="00D223E3"/>
    <w:rsid w:val="00D22404"/>
    <w:rsid w:val="00D2248B"/>
    <w:rsid w:val="00D22552"/>
    <w:rsid w:val="00D226AB"/>
    <w:rsid w:val="00D2275A"/>
    <w:rsid w:val="00D22B3A"/>
    <w:rsid w:val="00D22C55"/>
    <w:rsid w:val="00D22D6A"/>
    <w:rsid w:val="00D22DBC"/>
    <w:rsid w:val="00D22E9D"/>
    <w:rsid w:val="00D23076"/>
    <w:rsid w:val="00D23179"/>
    <w:rsid w:val="00D234D4"/>
    <w:rsid w:val="00D23739"/>
    <w:rsid w:val="00D23931"/>
    <w:rsid w:val="00D23973"/>
    <w:rsid w:val="00D23AFA"/>
    <w:rsid w:val="00D23D8B"/>
    <w:rsid w:val="00D2419B"/>
    <w:rsid w:val="00D2473D"/>
    <w:rsid w:val="00D24C21"/>
    <w:rsid w:val="00D24FE0"/>
    <w:rsid w:val="00D252B6"/>
    <w:rsid w:val="00D25748"/>
    <w:rsid w:val="00D257F4"/>
    <w:rsid w:val="00D25BB3"/>
    <w:rsid w:val="00D25C62"/>
    <w:rsid w:val="00D25D26"/>
    <w:rsid w:val="00D260B1"/>
    <w:rsid w:val="00D264B7"/>
    <w:rsid w:val="00D2671F"/>
    <w:rsid w:val="00D26819"/>
    <w:rsid w:val="00D269D9"/>
    <w:rsid w:val="00D26E35"/>
    <w:rsid w:val="00D26EB4"/>
    <w:rsid w:val="00D276D9"/>
    <w:rsid w:val="00D27721"/>
    <w:rsid w:val="00D27883"/>
    <w:rsid w:val="00D27C7B"/>
    <w:rsid w:val="00D27FE6"/>
    <w:rsid w:val="00D302DF"/>
    <w:rsid w:val="00D302EC"/>
    <w:rsid w:val="00D30841"/>
    <w:rsid w:val="00D309DB"/>
    <w:rsid w:val="00D30A0A"/>
    <w:rsid w:val="00D30BD0"/>
    <w:rsid w:val="00D31412"/>
    <w:rsid w:val="00D315D0"/>
    <w:rsid w:val="00D31669"/>
    <w:rsid w:val="00D317D7"/>
    <w:rsid w:val="00D31880"/>
    <w:rsid w:val="00D318E6"/>
    <w:rsid w:val="00D31911"/>
    <w:rsid w:val="00D31B8E"/>
    <w:rsid w:val="00D31C49"/>
    <w:rsid w:val="00D31FB0"/>
    <w:rsid w:val="00D32278"/>
    <w:rsid w:val="00D3232D"/>
    <w:rsid w:val="00D323A9"/>
    <w:rsid w:val="00D329A4"/>
    <w:rsid w:val="00D329D4"/>
    <w:rsid w:val="00D32A45"/>
    <w:rsid w:val="00D32B38"/>
    <w:rsid w:val="00D32C78"/>
    <w:rsid w:val="00D32D6E"/>
    <w:rsid w:val="00D33329"/>
    <w:rsid w:val="00D334CC"/>
    <w:rsid w:val="00D335B5"/>
    <w:rsid w:val="00D338D2"/>
    <w:rsid w:val="00D33A46"/>
    <w:rsid w:val="00D33A73"/>
    <w:rsid w:val="00D33AAC"/>
    <w:rsid w:val="00D33B1D"/>
    <w:rsid w:val="00D33F4C"/>
    <w:rsid w:val="00D33FB8"/>
    <w:rsid w:val="00D34232"/>
    <w:rsid w:val="00D34420"/>
    <w:rsid w:val="00D34A86"/>
    <w:rsid w:val="00D34C36"/>
    <w:rsid w:val="00D34ED1"/>
    <w:rsid w:val="00D35174"/>
    <w:rsid w:val="00D35505"/>
    <w:rsid w:val="00D35772"/>
    <w:rsid w:val="00D358E9"/>
    <w:rsid w:val="00D3590A"/>
    <w:rsid w:val="00D35AA6"/>
    <w:rsid w:val="00D35ED9"/>
    <w:rsid w:val="00D3625A"/>
    <w:rsid w:val="00D3645E"/>
    <w:rsid w:val="00D3670F"/>
    <w:rsid w:val="00D3678E"/>
    <w:rsid w:val="00D369FF"/>
    <w:rsid w:val="00D36AF0"/>
    <w:rsid w:val="00D37440"/>
    <w:rsid w:val="00D3764D"/>
    <w:rsid w:val="00D37746"/>
    <w:rsid w:val="00D378AC"/>
    <w:rsid w:val="00D378D2"/>
    <w:rsid w:val="00D37B53"/>
    <w:rsid w:val="00D37DA3"/>
    <w:rsid w:val="00D37E3B"/>
    <w:rsid w:val="00D4025B"/>
    <w:rsid w:val="00D404CD"/>
    <w:rsid w:val="00D40671"/>
    <w:rsid w:val="00D40B08"/>
    <w:rsid w:val="00D40E8A"/>
    <w:rsid w:val="00D41772"/>
    <w:rsid w:val="00D41EE7"/>
    <w:rsid w:val="00D41F5E"/>
    <w:rsid w:val="00D424C5"/>
    <w:rsid w:val="00D429E0"/>
    <w:rsid w:val="00D42AD0"/>
    <w:rsid w:val="00D42E9A"/>
    <w:rsid w:val="00D431B5"/>
    <w:rsid w:val="00D431CD"/>
    <w:rsid w:val="00D4325E"/>
    <w:rsid w:val="00D433B6"/>
    <w:rsid w:val="00D43925"/>
    <w:rsid w:val="00D4405F"/>
    <w:rsid w:val="00D44118"/>
    <w:rsid w:val="00D44762"/>
    <w:rsid w:val="00D44A12"/>
    <w:rsid w:val="00D44A20"/>
    <w:rsid w:val="00D44F92"/>
    <w:rsid w:val="00D450A9"/>
    <w:rsid w:val="00D45234"/>
    <w:rsid w:val="00D454D2"/>
    <w:rsid w:val="00D455A8"/>
    <w:rsid w:val="00D457E9"/>
    <w:rsid w:val="00D45B85"/>
    <w:rsid w:val="00D45CE0"/>
    <w:rsid w:val="00D45E07"/>
    <w:rsid w:val="00D46184"/>
    <w:rsid w:val="00D464F3"/>
    <w:rsid w:val="00D4651D"/>
    <w:rsid w:val="00D466C0"/>
    <w:rsid w:val="00D4685F"/>
    <w:rsid w:val="00D46B76"/>
    <w:rsid w:val="00D47505"/>
    <w:rsid w:val="00D478FD"/>
    <w:rsid w:val="00D47ADD"/>
    <w:rsid w:val="00D47DFD"/>
    <w:rsid w:val="00D50049"/>
    <w:rsid w:val="00D500EF"/>
    <w:rsid w:val="00D501F8"/>
    <w:rsid w:val="00D50333"/>
    <w:rsid w:val="00D50358"/>
    <w:rsid w:val="00D50973"/>
    <w:rsid w:val="00D50A55"/>
    <w:rsid w:val="00D50FA0"/>
    <w:rsid w:val="00D51105"/>
    <w:rsid w:val="00D5139B"/>
    <w:rsid w:val="00D51783"/>
    <w:rsid w:val="00D51C75"/>
    <w:rsid w:val="00D51E13"/>
    <w:rsid w:val="00D51E35"/>
    <w:rsid w:val="00D51E9C"/>
    <w:rsid w:val="00D51F7F"/>
    <w:rsid w:val="00D525EA"/>
    <w:rsid w:val="00D52BDD"/>
    <w:rsid w:val="00D52DDA"/>
    <w:rsid w:val="00D52E07"/>
    <w:rsid w:val="00D52E97"/>
    <w:rsid w:val="00D535D5"/>
    <w:rsid w:val="00D53619"/>
    <w:rsid w:val="00D53966"/>
    <w:rsid w:val="00D53E8A"/>
    <w:rsid w:val="00D548FF"/>
    <w:rsid w:val="00D5495E"/>
    <w:rsid w:val="00D54A7C"/>
    <w:rsid w:val="00D54A7D"/>
    <w:rsid w:val="00D54D58"/>
    <w:rsid w:val="00D54DF6"/>
    <w:rsid w:val="00D54FF7"/>
    <w:rsid w:val="00D550FF"/>
    <w:rsid w:val="00D552EB"/>
    <w:rsid w:val="00D55406"/>
    <w:rsid w:val="00D55705"/>
    <w:rsid w:val="00D5678E"/>
    <w:rsid w:val="00D5683B"/>
    <w:rsid w:val="00D56B44"/>
    <w:rsid w:val="00D56C25"/>
    <w:rsid w:val="00D56E1E"/>
    <w:rsid w:val="00D57171"/>
    <w:rsid w:val="00D571D1"/>
    <w:rsid w:val="00D5732A"/>
    <w:rsid w:val="00D5786C"/>
    <w:rsid w:val="00D57DC9"/>
    <w:rsid w:val="00D57FB1"/>
    <w:rsid w:val="00D60136"/>
    <w:rsid w:val="00D60277"/>
    <w:rsid w:val="00D60738"/>
    <w:rsid w:val="00D61002"/>
    <w:rsid w:val="00D6145C"/>
    <w:rsid w:val="00D61679"/>
    <w:rsid w:val="00D6174E"/>
    <w:rsid w:val="00D61961"/>
    <w:rsid w:val="00D61B67"/>
    <w:rsid w:val="00D61EE4"/>
    <w:rsid w:val="00D61F18"/>
    <w:rsid w:val="00D61FDD"/>
    <w:rsid w:val="00D622BA"/>
    <w:rsid w:val="00D62528"/>
    <w:rsid w:val="00D62576"/>
    <w:rsid w:val="00D62755"/>
    <w:rsid w:val="00D6319E"/>
    <w:rsid w:val="00D63692"/>
    <w:rsid w:val="00D63BE8"/>
    <w:rsid w:val="00D63C70"/>
    <w:rsid w:val="00D63D6C"/>
    <w:rsid w:val="00D642E2"/>
    <w:rsid w:val="00D6435F"/>
    <w:rsid w:val="00D64454"/>
    <w:rsid w:val="00D649E0"/>
    <w:rsid w:val="00D64D3F"/>
    <w:rsid w:val="00D64ECE"/>
    <w:rsid w:val="00D65042"/>
    <w:rsid w:val="00D6511F"/>
    <w:rsid w:val="00D65507"/>
    <w:rsid w:val="00D65559"/>
    <w:rsid w:val="00D65742"/>
    <w:rsid w:val="00D65760"/>
    <w:rsid w:val="00D65763"/>
    <w:rsid w:val="00D65B6D"/>
    <w:rsid w:val="00D65C0B"/>
    <w:rsid w:val="00D65DF5"/>
    <w:rsid w:val="00D65E7D"/>
    <w:rsid w:val="00D65EBD"/>
    <w:rsid w:val="00D66250"/>
    <w:rsid w:val="00D666EB"/>
    <w:rsid w:val="00D666F0"/>
    <w:rsid w:val="00D66777"/>
    <w:rsid w:val="00D66DE5"/>
    <w:rsid w:val="00D66EBA"/>
    <w:rsid w:val="00D66F0C"/>
    <w:rsid w:val="00D66F63"/>
    <w:rsid w:val="00D66FA4"/>
    <w:rsid w:val="00D670D1"/>
    <w:rsid w:val="00D671D3"/>
    <w:rsid w:val="00D67339"/>
    <w:rsid w:val="00D673D0"/>
    <w:rsid w:val="00D6751E"/>
    <w:rsid w:val="00D678A7"/>
    <w:rsid w:val="00D67D30"/>
    <w:rsid w:val="00D67E63"/>
    <w:rsid w:val="00D703FB"/>
    <w:rsid w:val="00D7050A"/>
    <w:rsid w:val="00D70614"/>
    <w:rsid w:val="00D70670"/>
    <w:rsid w:val="00D70CCD"/>
    <w:rsid w:val="00D70E2F"/>
    <w:rsid w:val="00D71288"/>
    <w:rsid w:val="00D716FD"/>
    <w:rsid w:val="00D7174E"/>
    <w:rsid w:val="00D71D4D"/>
    <w:rsid w:val="00D720D7"/>
    <w:rsid w:val="00D7269E"/>
    <w:rsid w:val="00D7272E"/>
    <w:rsid w:val="00D72A7B"/>
    <w:rsid w:val="00D72BCD"/>
    <w:rsid w:val="00D73010"/>
    <w:rsid w:val="00D730C7"/>
    <w:rsid w:val="00D730F2"/>
    <w:rsid w:val="00D732E4"/>
    <w:rsid w:val="00D7334B"/>
    <w:rsid w:val="00D736B4"/>
    <w:rsid w:val="00D736E9"/>
    <w:rsid w:val="00D73769"/>
    <w:rsid w:val="00D73BCF"/>
    <w:rsid w:val="00D742A2"/>
    <w:rsid w:val="00D744AB"/>
    <w:rsid w:val="00D7478C"/>
    <w:rsid w:val="00D74E75"/>
    <w:rsid w:val="00D74FD4"/>
    <w:rsid w:val="00D752AC"/>
    <w:rsid w:val="00D75848"/>
    <w:rsid w:val="00D75887"/>
    <w:rsid w:val="00D75B6D"/>
    <w:rsid w:val="00D75B74"/>
    <w:rsid w:val="00D75E82"/>
    <w:rsid w:val="00D75FB1"/>
    <w:rsid w:val="00D7606D"/>
    <w:rsid w:val="00D76626"/>
    <w:rsid w:val="00D767DF"/>
    <w:rsid w:val="00D76EA0"/>
    <w:rsid w:val="00D7739E"/>
    <w:rsid w:val="00D776E6"/>
    <w:rsid w:val="00D77CBB"/>
    <w:rsid w:val="00D77E47"/>
    <w:rsid w:val="00D77EDF"/>
    <w:rsid w:val="00D8036A"/>
    <w:rsid w:val="00D8048C"/>
    <w:rsid w:val="00D8052E"/>
    <w:rsid w:val="00D805CC"/>
    <w:rsid w:val="00D80873"/>
    <w:rsid w:val="00D808FC"/>
    <w:rsid w:val="00D80B9B"/>
    <w:rsid w:val="00D80C96"/>
    <w:rsid w:val="00D80EA2"/>
    <w:rsid w:val="00D80F05"/>
    <w:rsid w:val="00D81101"/>
    <w:rsid w:val="00D81269"/>
    <w:rsid w:val="00D813E0"/>
    <w:rsid w:val="00D8168A"/>
    <w:rsid w:val="00D81871"/>
    <w:rsid w:val="00D81D60"/>
    <w:rsid w:val="00D82025"/>
    <w:rsid w:val="00D82064"/>
    <w:rsid w:val="00D824C8"/>
    <w:rsid w:val="00D826BD"/>
    <w:rsid w:val="00D828EC"/>
    <w:rsid w:val="00D83198"/>
    <w:rsid w:val="00D83229"/>
    <w:rsid w:val="00D833D2"/>
    <w:rsid w:val="00D8342D"/>
    <w:rsid w:val="00D83497"/>
    <w:rsid w:val="00D83713"/>
    <w:rsid w:val="00D837A5"/>
    <w:rsid w:val="00D8393C"/>
    <w:rsid w:val="00D83E12"/>
    <w:rsid w:val="00D83F6B"/>
    <w:rsid w:val="00D83FD9"/>
    <w:rsid w:val="00D84037"/>
    <w:rsid w:val="00D84136"/>
    <w:rsid w:val="00D84354"/>
    <w:rsid w:val="00D84899"/>
    <w:rsid w:val="00D84C7E"/>
    <w:rsid w:val="00D84DC6"/>
    <w:rsid w:val="00D84E75"/>
    <w:rsid w:val="00D857AA"/>
    <w:rsid w:val="00D8581B"/>
    <w:rsid w:val="00D85846"/>
    <w:rsid w:val="00D85E89"/>
    <w:rsid w:val="00D86004"/>
    <w:rsid w:val="00D8624D"/>
    <w:rsid w:val="00D86401"/>
    <w:rsid w:val="00D86CCF"/>
    <w:rsid w:val="00D87402"/>
    <w:rsid w:val="00D8764E"/>
    <w:rsid w:val="00D876C7"/>
    <w:rsid w:val="00D87898"/>
    <w:rsid w:val="00D87B92"/>
    <w:rsid w:val="00D87C60"/>
    <w:rsid w:val="00D87EB6"/>
    <w:rsid w:val="00D90662"/>
    <w:rsid w:val="00D90C69"/>
    <w:rsid w:val="00D912D4"/>
    <w:rsid w:val="00D91BD4"/>
    <w:rsid w:val="00D91D10"/>
    <w:rsid w:val="00D91D9F"/>
    <w:rsid w:val="00D9223E"/>
    <w:rsid w:val="00D9233A"/>
    <w:rsid w:val="00D9263E"/>
    <w:rsid w:val="00D92CED"/>
    <w:rsid w:val="00D93A4B"/>
    <w:rsid w:val="00D93A7D"/>
    <w:rsid w:val="00D93C66"/>
    <w:rsid w:val="00D93FD4"/>
    <w:rsid w:val="00D945DB"/>
    <w:rsid w:val="00D946CA"/>
    <w:rsid w:val="00D94A68"/>
    <w:rsid w:val="00D94AD6"/>
    <w:rsid w:val="00D94B8F"/>
    <w:rsid w:val="00D94F4B"/>
    <w:rsid w:val="00D94FDE"/>
    <w:rsid w:val="00D953F6"/>
    <w:rsid w:val="00D957D5"/>
    <w:rsid w:val="00D9617F"/>
    <w:rsid w:val="00D96231"/>
    <w:rsid w:val="00D9671D"/>
    <w:rsid w:val="00D96724"/>
    <w:rsid w:val="00D96943"/>
    <w:rsid w:val="00D96988"/>
    <w:rsid w:val="00D96CBB"/>
    <w:rsid w:val="00D97850"/>
    <w:rsid w:val="00D97B80"/>
    <w:rsid w:val="00D97D75"/>
    <w:rsid w:val="00D97FF3"/>
    <w:rsid w:val="00DA016C"/>
    <w:rsid w:val="00DA057E"/>
    <w:rsid w:val="00DA0932"/>
    <w:rsid w:val="00DA094B"/>
    <w:rsid w:val="00DA0A05"/>
    <w:rsid w:val="00DA1194"/>
    <w:rsid w:val="00DA176E"/>
    <w:rsid w:val="00DA1BED"/>
    <w:rsid w:val="00DA1E13"/>
    <w:rsid w:val="00DA1ECB"/>
    <w:rsid w:val="00DA1F8E"/>
    <w:rsid w:val="00DA212B"/>
    <w:rsid w:val="00DA22F8"/>
    <w:rsid w:val="00DA2902"/>
    <w:rsid w:val="00DA29B8"/>
    <w:rsid w:val="00DA2D42"/>
    <w:rsid w:val="00DA2F59"/>
    <w:rsid w:val="00DA2F60"/>
    <w:rsid w:val="00DA2FA3"/>
    <w:rsid w:val="00DA319E"/>
    <w:rsid w:val="00DA3299"/>
    <w:rsid w:val="00DA3E20"/>
    <w:rsid w:val="00DA3EAA"/>
    <w:rsid w:val="00DA41BA"/>
    <w:rsid w:val="00DA4282"/>
    <w:rsid w:val="00DA4331"/>
    <w:rsid w:val="00DA47E5"/>
    <w:rsid w:val="00DA4845"/>
    <w:rsid w:val="00DA4992"/>
    <w:rsid w:val="00DA49E3"/>
    <w:rsid w:val="00DA4FBD"/>
    <w:rsid w:val="00DA508F"/>
    <w:rsid w:val="00DA5389"/>
    <w:rsid w:val="00DA53F6"/>
    <w:rsid w:val="00DA5597"/>
    <w:rsid w:val="00DA56D5"/>
    <w:rsid w:val="00DA5977"/>
    <w:rsid w:val="00DA5AC3"/>
    <w:rsid w:val="00DA5BD2"/>
    <w:rsid w:val="00DA5E68"/>
    <w:rsid w:val="00DA5FEA"/>
    <w:rsid w:val="00DA609A"/>
    <w:rsid w:val="00DA627C"/>
    <w:rsid w:val="00DA65DB"/>
    <w:rsid w:val="00DA68F9"/>
    <w:rsid w:val="00DA6B20"/>
    <w:rsid w:val="00DA6D19"/>
    <w:rsid w:val="00DA6DCC"/>
    <w:rsid w:val="00DA72F4"/>
    <w:rsid w:val="00DA77BA"/>
    <w:rsid w:val="00DA781F"/>
    <w:rsid w:val="00DA7DA0"/>
    <w:rsid w:val="00DA7F2D"/>
    <w:rsid w:val="00DA7F36"/>
    <w:rsid w:val="00DB0076"/>
    <w:rsid w:val="00DB00F6"/>
    <w:rsid w:val="00DB02F8"/>
    <w:rsid w:val="00DB0A0D"/>
    <w:rsid w:val="00DB0E52"/>
    <w:rsid w:val="00DB109E"/>
    <w:rsid w:val="00DB1403"/>
    <w:rsid w:val="00DB1A3B"/>
    <w:rsid w:val="00DB1ED3"/>
    <w:rsid w:val="00DB1F2C"/>
    <w:rsid w:val="00DB1F63"/>
    <w:rsid w:val="00DB1FA3"/>
    <w:rsid w:val="00DB23A8"/>
    <w:rsid w:val="00DB2486"/>
    <w:rsid w:val="00DB251F"/>
    <w:rsid w:val="00DB2B64"/>
    <w:rsid w:val="00DB2B71"/>
    <w:rsid w:val="00DB2D8D"/>
    <w:rsid w:val="00DB3164"/>
    <w:rsid w:val="00DB3369"/>
    <w:rsid w:val="00DB3771"/>
    <w:rsid w:val="00DB39DE"/>
    <w:rsid w:val="00DB3A8B"/>
    <w:rsid w:val="00DB3D19"/>
    <w:rsid w:val="00DB3EB7"/>
    <w:rsid w:val="00DB3F5F"/>
    <w:rsid w:val="00DB3FD2"/>
    <w:rsid w:val="00DB44D8"/>
    <w:rsid w:val="00DB4648"/>
    <w:rsid w:val="00DB4698"/>
    <w:rsid w:val="00DB4A99"/>
    <w:rsid w:val="00DB4D78"/>
    <w:rsid w:val="00DB5316"/>
    <w:rsid w:val="00DB5342"/>
    <w:rsid w:val="00DB5429"/>
    <w:rsid w:val="00DB550C"/>
    <w:rsid w:val="00DB58F3"/>
    <w:rsid w:val="00DB5A10"/>
    <w:rsid w:val="00DB5AC0"/>
    <w:rsid w:val="00DB5C47"/>
    <w:rsid w:val="00DB5CDE"/>
    <w:rsid w:val="00DB5CEF"/>
    <w:rsid w:val="00DB5D3D"/>
    <w:rsid w:val="00DB5FD4"/>
    <w:rsid w:val="00DB643B"/>
    <w:rsid w:val="00DB65ED"/>
    <w:rsid w:val="00DB6788"/>
    <w:rsid w:val="00DB6A97"/>
    <w:rsid w:val="00DB6E5E"/>
    <w:rsid w:val="00DB7279"/>
    <w:rsid w:val="00DB73C0"/>
    <w:rsid w:val="00DB740C"/>
    <w:rsid w:val="00DB74BC"/>
    <w:rsid w:val="00DB78B1"/>
    <w:rsid w:val="00DB79CC"/>
    <w:rsid w:val="00DB7D82"/>
    <w:rsid w:val="00DB7EF6"/>
    <w:rsid w:val="00DC0006"/>
    <w:rsid w:val="00DC0054"/>
    <w:rsid w:val="00DC00ED"/>
    <w:rsid w:val="00DC0218"/>
    <w:rsid w:val="00DC0373"/>
    <w:rsid w:val="00DC0600"/>
    <w:rsid w:val="00DC0675"/>
    <w:rsid w:val="00DC075A"/>
    <w:rsid w:val="00DC0788"/>
    <w:rsid w:val="00DC082E"/>
    <w:rsid w:val="00DC0B31"/>
    <w:rsid w:val="00DC0E19"/>
    <w:rsid w:val="00DC1703"/>
    <w:rsid w:val="00DC17C6"/>
    <w:rsid w:val="00DC1E49"/>
    <w:rsid w:val="00DC1EA8"/>
    <w:rsid w:val="00DC1EED"/>
    <w:rsid w:val="00DC2292"/>
    <w:rsid w:val="00DC241E"/>
    <w:rsid w:val="00DC255D"/>
    <w:rsid w:val="00DC2AE4"/>
    <w:rsid w:val="00DC2CFB"/>
    <w:rsid w:val="00DC2ED0"/>
    <w:rsid w:val="00DC34D1"/>
    <w:rsid w:val="00DC3813"/>
    <w:rsid w:val="00DC3875"/>
    <w:rsid w:val="00DC3A05"/>
    <w:rsid w:val="00DC3D6C"/>
    <w:rsid w:val="00DC3E87"/>
    <w:rsid w:val="00DC3EC2"/>
    <w:rsid w:val="00DC3FE9"/>
    <w:rsid w:val="00DC3FEE"/>
    <w:rsid w:val="00DC4071"/>
    <w:rsid w:val="00DC4900"/>
    <w:rsid w:val="00DC497B"/>
    <w:rsid w:val="00DC49C4"/>
    <w:rsid w:val="00DC4D57"/>
    <w:rsid w:val="00DC4E23"/>
    <w:rsid w:val="00DC50ED"/>
    <w:rsid w:val="00DC51C8"/>
    <w:rsid w:val="00DC548A"/>
    <w:rsid w:val="00DC57DE"/>
    <w:rsid w:val="00DC5B3B"/>
    <w:rsid w:val="00DC5BA6"/>
    <w:rsid w:val="00DC5BCC"/>
    <w:rsid w:val="00DC5E4C"/>
    <w:rsid w:val="00DC5FBB"/>
    <w:rsid w:val="00DC650D"/>
    <w:rsid w:val="00DC68A7"/>
    <w:rsid w:val="00DC68BA"/>
    <w:rsid w:val="00DC6CB4"/>
    <w:rsid w:val="00DC6CEF"/>
    <w:rsid w:val="00DC6FE6"/>
    <w:rsid w:val="00DC7016"/>
    <w:rsid w:val="00DC7186"/>
    <w:rsid w:val="00DC7214"/>
    <w:rsid w:val="00DC72AE"/>
    <w:rsid w:val="00DC74A9"/>
    <w:rsid w:val="00DC74ED"/>
    <w:rsid w:val="00DC7623"/>
    <w:rsid w:val="00DC76EF"/>
    <w:rsid w:val="00DC7C29"/>
    <w:rsid w:val="00DC7CDC"/>
    <w:rsid w:val="00DC7D33"/>
    <w:rsid w:val="00DC7EB3"/>
    <w:rsid w:val="00DD0199"/>
    <w:rsid w:val="00DD0387"/>
    <w:rsid w:val="00DD08D3"/>
    <w:rsid w:val="00DD0D6E"/>
    <w:rsid w:val="00DD0E1F"/>
    <w:rsid w:val="00DD1164"/>
    <w:rsid w:val="00DD11BF"/>
    <w:rsid w:val="00DD151A"/>
    <w:rsid w:val="00DD181E"/>
    <w:rsid w:val="00DD1853"/>
    <w:rsid w:val="00DD1881"/>
    <w:rsid w:val="00DD190F"/>
    <w:rsid w:val="00DD1916"/>
    <w:rsid w:val="00DD1AE4"/>
    <w:rsid w:val="00DD1B50"/>
    <w:rsid w:val="00DD1DF0"/>
    <w:rsid w:val="00DD21AD"/>
    <w:rsid w:val="00DD2456"/>
    <w:rsid w:val="00DD24AF"/>
    <w:rsid w:val="00DD2634"/>
    <w:rsid w:val="00DD265B"/>
    <w:rsid w:val="00DD28AF"/>
    <w:rsid w:val="00DD2EFB"/>
    <w:rsid w:val="00DD2FE8"/>
    <w:rsid w:val="00DD3C0E"/>
    <w:rsid w:val="00DD3D34"/>
    <w:rsid w:val="00DD400B"/>
    <w:rsid w:val="00DD426F"/>
    <w:rsid w:val="00DD46D1"/>
    <w:rsid w:val="00DD4D52"/>
    <w:rsid w:val="00DD56C0"/>
    <w:rsid w:val="00DD5D5C"/>
    <w:rsid w:val="00DD6640"/>
    <w:rsid w:val="00DD6701"/>
    <w:rsid w:val="00DD674F"/>
    <w:rsid w:val="00DD68F2"/>
    <w:rsid w:val="00DD6A19"/>
    <w:rsid w:val="00DD6A6D"/>
    <w:rsid w:val="00DD6BBE"/>
    <w:rsid w:val="00DD6C7C"/>
    <w:rsid w:val="00DD6E1F"/>
    <w:rsid w:val="00DD6F06"/>
    <w:rsid w:val="00DD757F"/>
    <w:rsid w:val="00DD76B1"/>
    <w:rsid w:val="00DD77C4"/>
    <w:rsid w:val="00DE01BB"/>
    <w:rsid w:val="00DE0BDE"/>
    <w:rsid w:val="00DE0C87"/>
    <w:rsid w:val="00DE131C"/>
    <w:rsid w:val="00DE1715"/>
    <w:rsid w:val="00DE19F8"/>
    <w:rsid w:val="00DE20D6"/>
    <w:rsid w:val="00DE230D"/>
    <w:rsid w:val="00DE36CD"/>
    <w:rsid w:val="00DE3959"/>
    <w:rsid w:val="00DE3D74"/>
    <w:rsid w:val="00DE3FC1"/>
    <w:rsid w:val="00DE40C7"/>
    <w:rsid w:val="00DE445C"/>
    <w:rsid w:val="00DE45B7"/>
    <w:rsid w:val="00DE45D0"/>
    <w:rsid w:val="00DE4B2E"/>
    <w:rsid w:val="00DE4D7E"/>
    <w:rsid w:val="00DE4D9F"/>
    <w:rsid w:val="00DE4F42"/>
    <w:rsid w:val="00DE5040"/>
    <w:rsid w:val="00DE5050"/>
    <w:rsid w:val="00DE50E8"/>
    <w:rsid w:val="00DE53C8"/>
    <w:rsid w:val="00DE5452"/>
    <w:rsid w:val="00DE590B"/>
    <w:rsid w:val="00DE5BB9"/>
    <w:rsid w:val="00DE6439"/>
    <w:rsid w:val="00DE68B8"/>
    <w:rsid w:val="00DE6B36"/>
    <w:rsid w:val="00DE6C34"/>
    <w:rsid w:val="00DE6CF8"/>
    <w:rsid w:val="00DE7055"/>
    <w:rsid w:val="00DE722E"/>
    <w:rsid w:val="00DE7528"/>
    <w:rsid w:val="00DE7572"/>
    <w:rsid w:val="00DE77A5"/>
    <w:rsid w:val="00DE7817"/>
    <w:rsid w:val="00DE7A50"/>
    <w:rsid w:val="00DE7A8F"/>
    <w:rsid w:val="00DE7F26"/>
    <w:rsid w:val="00DF0138"/>
    <w:rsid w:val="00DF03A9"/>
    <w:rsid w:val="00DF06D3"/>
    <w:rsid w:val="00DF07D0"/>
    <w:rsid w:val="00DF118D"/>
    <w:rsid w:val="00DF12FB"/>
    <w:rsid w:val="00DF1324"/>
    <w:rsid w:val="00DF13D5"/>
    <w:rsid w:val="00DF1591"/>
    <w:rsid w:val="00DF16FE"/>
    <w:rsid w:val="00DF17A9"/>
    <w:rsid w:val="00DF189F"/>
    <w:rsid w:val="00DF1AB8"/>
    <w:rsid w:val="00DF2173"/>
    <w:rsid w:val="00DF2391"/>
    <w:rsid w:val="00DF23D7"/>
    <w:rsid w:val="00DF29DC"/>
    <w:rsid w:val="00DF2C23"/>
    <w:rsid w:val="00DF333E"/>
    <w:rsid w:val="00DF335E"/>
    <w:rsid w:val="00DF3C47"/>
    <w:rsid w:val="00DF3DA4"/>
    <w:rsid w:val="00DF41FA"/>
    <w:rsid w:val="00DF437C"/>
    <w:rsid w:val="00DF43C1"/>
    <w:rsid w:val="00DF44B1"/>
    <w:rsid w:val="00DF5174"/>
    <w:rsid w:val="00DF528C"/>
    <w:rsid w:val="00DF52C4"/>
    <w:rsid w:val="00DF54B2"/>
    <w:rsid w:val="00DF5581"/>
    <w:rsid w:val="00DF5695"/>
    <w:rsid w:val="00DF5886"/>
    <w:rsid w:val="00DF5B8B"/>
    <w:rsid w:val="00DF5BAA"/>
    <w:rsid w:val="00DF5E38"/>
    <w:rsid w:val="00DF61B1"/>
    <w:rsid w:val="00DF6235"/>
    <w:rsid w:val="00DF6570"/>
    <w:rsid w:val="00DF7C4D"/>
    <w:rsid w:val="00DF7D9A"/>
    <w:rsid w:val="00E00267"/>
    <w:rsid w:val="00E0032F"/>
    <w:rsid w:val="00E00566"/>
    <w:rsid w:val="00E005A7"/>
    <w:rsid w:val="00E00786"/>
    <w:rsid w:val="00E0097E"/>
    <w:rsid w:val="00E00C97"/>
    <w:rsid w:val="00E010E7"/>
    <w:rsid w:val="00E01174"/>
    <w:rsid w:val="00E0134F"/>
    <w:rsid w:val="00E01487"/>
    <w:rsid w:val="00E0183C"/>
    <w:rsid w:val="00E0194E"/>
    <w:rsid w:val="00E01C9D"/>
    <w:rsid w:val="00E01D72"/>
    <w:rsid w:val="00E01F03"/>
    <w:rsid w:val="00E0215D"/>
    <w:rsid w:val="00E02162"/>
    <w:rsid w:val="00E02253"/>
    <w:rsid w:val="00E023AF"/>
    <w:rsid w:val="00E02C84"/>
    <w:rsid w:val="00E0312D"/>
    <w:rsid w:val="00E0312F"/>
    <w:rsid w:val="00E03250"/>
    <w:rsid w:val="00E03CB8"/>
    <w:rsid w:val="00E03D21"/>
    <w:rsid w:val="00E03DD8"/>
    <w:rsid w:val="00E03EA5"/>
    <w:rsid w:val="00E0434A"/>
    <w:rsid w:val="00E0435A"/>
    <w:rsid w:val="00E04890"/>
    <w:rsid w:val="00E04A79"/>
    <w:rsid w:val="00E04BF2"/>
    <w:rsid w:val="00E053C4"/>
    <w:rsid w:val="00E05408"/>
    <w:rsid w:val="00E05635"/>
    <w:rsid w:val="00E05777"/>
    <w:rsid w:val="00E05F14"/>
    <w:rsid w:val="00E05FFC"/>
    <w:rsid w:val="00E062B0"/>
    <w:rsid w:val="00E063A2"/>
    <w:rsid w:val="00E06892"/>
    <w:rsid w:val="00E06AEF"/>
    <w:rsid w:val="00E06BC5"/>
    <w:rsid w:val="00E06CBC"/>
    <w:rsid w:val="00E0711D"/>
    <w:rsid w:val="00E071AA"/>
    <w:rsid w:val="00E072CC"/>
    <w:rsid w:val="00E0751F"/>
    <w:rsid w:val="00E07894"/>
    <w:rsid w:val="00E07C23"/>
    <w:rsid w:val="00E07F0E"/>
    <w:rsid w:val="00E1009B"/>
    <w:rsid w:val="00E1009C"/>
    <w:rsid w:val="00E101D9"/>
    <w:rsid w:val="00E10D1F"/>
    <w:rsid w:val="00E11072"/>
    <w:rsid w:val="00E11100"/>
    <w:rsid w:val="00E112F8"/>
    <w:rsid w:val="00E11329"/>
    <w:rsid w:val="00E1149F"/>
    <w:rsid w:val="00E11670"/>
    <w:rsid w:val="00E11745"/>
    <w:rsid w:val="00E11933"/>
    <w:rsid w:val="00E119AD"/>
    <w:rsid w:val="00E11C7B"/>
    <w:rsid w:val="00E11C8E"/>
    <w:rsid w:val="00E11D42"/>
    <w:rsid w:val="00E11DA6"/>
    <w:rsid w:val="00E11DE8"/>
    <w:rsid w:val="00E120E5"/>
    <w:rsid w:val="00E12214"/>
    <w:rsid w:val="00E126F6"/>
    <w:rsid w:val="00E128FC"/>
    <w:rsid w:val="00E12924"/>
    <w:rsid w:val="00E12B74"/>
    <w:rsid w:val="00E131F3"/>
    <w:rsid w:val="00E134A4"/>
    <w:rsid w:val="00E13629"/>
    <w:rsid w:val="00E1370E"/>
    <w:rsid w:val="00E13749"/>
    <w:rsid w:val="00E1387C"/>
    <w:rsid w:val="00E13B8A"/>
    <w:rsid w:val="00E13C80"/>
    <w:rsid w:val="00E14257"/>
    <w:rsid w:val="00E14B47"/>
    <w:rsid w:val="00E14D55"/>
    <w:rsid w:val="00E151D5"/>
    <w:rsid w:val="00E15679"/>
    <w:rsid w:val="00E159D1"/>
    <w:rsid w:val="00E15B43"/>
    <w:rsid w:val="00E15C10"/>
    <w:rsid w:val="00E15E63"/>
    <w:rsid w:val="00E15F52"/>
    <w:rsid w:val="00E160FE"/>
    <w:rsid w:val="00E16250"/>
    <w:rsid w:val="00E16412"/>
    <w:rsid w:val="00E16657"/>
    <w:rsid w:val="00E1725D"/>
    <w:rsid w:val="00E17852"/>
    <w:rsid w:val="00E17A3B"/>
    <w:rsid w:val="00E17D06"/>
    <w:rsid w:val="00E17F1A"/>
    <w:rsid w:val="00E201DF"/>
    <w:rsid w:val="00E20527"/>
    <w:rsid w:val="00E20559"/>
    <w:rsid w:val="00E207DA"/>
    <w:rsid w:val="00E2088F"/>
    <w:rsid w:val="00E20ACC"/>
    <w:rsid w:val="00E20E24"/>
    <w:rsid w:val="00E210C1"/>
    <w:rsid w:val="00E214EB"/>
    <w:rsid w:val="00E215A8"/>
    <w:rsid w:val="00E216DE"/>
    <w:rsid w:val="00E21DF6"/>
    <w:rsid w:val="00E21E26"/>
    <w:rsid w:val="00E21FB1"/>
    <w:rsid w:val="00E220C9"/>
    <w:rsid w:val="00E2232F"/>
    <w:rsid w:val="00E22381"/>
    <w:rsid w:val="00E22517"/>
    <w:rsid w:val="00E22965"/>
    <w:rsid w:val="00E22C66"/>
    <w:rsid w:val="00E22DE1"/>
    <w:rsid w:val="00E23264"/>
    <w:rsid w:val="00E23F2B"/>
    <w:rsid w:val="00E24467"/>
    <w:rsid w:val="00E244E3"/>
    <w:rsid w:val="00E247DD"/>
    <w:rsid w:val="00E2484A"/>
    <w:rsid w:val="00E24963"/>
    <w:rsid w:val="00E24B63"/>
    <w:rsid w:val="00E24DC0"/>
    <w:rsid w:val="00E24E43"/>
    <w:rsid w:val="00E24E49"/>
    <w:rsid w:val="00E25553"/>
    <w:rsid w:val="00E25A3B"/>
    <w:rsid w:val="00E25A58"/>
    <w:rsid w:val="00E25F5F"/>
    <w:rsid w:val="00E268EA"/>
    <w:rsid w:val="00E27142"/>
    <w:rsid w:val="00E27518"/>
    <w:rsid w:val="00E2792A"/>
    <w:rsid w:val="00E27A16"/>
    <w:rsid w:val="00E27CF3"/>
    <w:rsid w:val="00E30010"/>
    <w:rsid w:val="00E30081"/>
    <w:rsid w:val="00E30366"/>
    <w:rsid w:val="00E30374"/>
    <w:rsid w:val="00E30455"/>
    <w:rsid w:val="00E3060A"/>
    <w:rsid w:val="00E306FC"/>
    <w:rsid w:val="00E3083F"/>
    <w:rsid w:val="00E30A49"/>
    <w:rsid w:val="00E30ACE"/>
    <w:rsid w:val="00E30D0C"/>
    <w:rsid w:val="00E30EF7"/>
    <w:rsid w:val="00E310B4"/>
    <w:rsid w:val="00E31312"/>
    <w:rsid w:val="00E3151E"/>
    <w:rsid w:val="00E31564"/>
    <w:rsid w:val="00E316E3"/>
    <w:rsid w:val="00E318EF"/>
    <w:rsid w:val="00E31AD2"/>
    <w:rsid w:val="00E31BC4"/>
    <w:rsid w:val="00E31D03"/>
    <w:rsid w:val="00E31D42"/>
    <w:rsid w:val="00E32071"/>
    <w:rsid w:val="00E32911"/>
    <w:rsid w:val="00E32A41"/>
    <w:rsid w:val="00E32A6D"/>
    <w:rsid w:val="00E32F36"/>
    <w:rsid w:val="00E33349"/>
    <w:rsid w:val="00E33365"/>
    <w:rsid w:val="00E33366"/>
    <w:rsid w:val="00E33405"/>
    <w:rsid w:val="00E338C5"/>
    <w:rsid w:val="00E338CD"/>
    <w:rsid w:val="00E33A19"/>
    <w:rsid w:val="00E33E63"/>
    <w:rsid w:val="00E34093"/>
    <w:rsid w:val="00E34627"/>
    <w:rsid w:val="00E34AB9"/>
    <w:rsid w:val="00E34C51"/>
    <w:rsid w:val="00E34F3C"/>
    <w:rsid w:val="00E34F88"/>
    <w:rsid w:val="00E3505C"/>
    <w:rsid w:val="00E3529B"/>
    <w:rsid w:val="00E356B7"/>
    <w:rsid w:val="00E35983"/>
    <w:rsid w:val="00E35B4F"/>
    <w:rsid w:val="00E36300"/>
    <w:rsid w:val="00E3642B"/>
    <w:rsid w:val="00E364C2"/>
    <w:rsid w:val="00E36689"/>
    <w:rsid w:val="00E3676C"/>
    <w:rsid w:val="00E37116"/>
    <w:rsid w:val="00E372B4"/>
    <w:rsid w:val="00E373A9"/>
    <w:rsid w:val="00E37573"/>
    <w:rsid w:val="00E37719"/>
    <w:rsid w:val="00E37819"/>
    <w:rsid w:val="00E37901"/>
    <w:rsid w:val="00E37919"/>
    <w:rsid w:val="00E403FB"/>
    <w:rsid w:val="00E40473"/>
    <w:rsid w:val="00E40925"/>
    <w:rsid w:val="00E40CF9"/>
    <w:rsid w:val="00E40D85"/>
    <w:rsid w:val="00E41576"/>
    <w:rsid w:val="00E4166F"/>
    <w:rsid w:val="00E4176E"/>
    <w:rsid w:val="00E41B2F"/>
    <w:rsid w:val="00E42160"/>
    <w:rsid w:val="00E42808"/>
    <w:rsid w:val="00E42CFC"/>
    <w:rsid w:val="00E42D05"/>
    <w:rsid w:val="00E43174"/>
    <w:rsid w:val="00E434E6"/>
    <w:rsid w:val="00E43722"/>
    <w:rsid w:val="00E438AB"/>
    <w:rsid w:val="00E43AAB"/>
    <w:rsid w:val="00E43B07"/>
    <w:rsid w:val="00E43C5E"/>
    <w:rsid w:val="00E43FB3"/>
    <w:rsid w:val="00E43FEB"/>
    <w:rsid w:val="00E4404C"/>
    <w:rsid w:val="00E4421B"/>
    <w:rsid w:val="00E4450E"/>
    <w:rsid w:val="00E448C3"/>
    <w:rsid w:val="00E44A39"/>
    <w:rsid w:val="00E44D87"/>
    <w:rsid w:val="00E44E2D"/>
    <w:rsid w:val="00E4500F"/>
    <w:rsid w:val="00E45066"/>
    <w:rsid w:val="00E454D7"/>
    <w:rsid w:val="00E455BD"/>
    <w:rsid w:val="00E456A9"/>
    <w:rsid w:val="00E4585C"/>
    <w:rsid w:val="00E45A87"/>
    <w:rsid w:val="00E45B59"/>
    <w:rsid w:val="00E45B75"/>
    <w:rsid w:val="00E45FDF"/>
    <w:rsid w:val="00E463F2"/>
    <w:rsid w:val="00E4646B"/>
    <w:rsid w:val="00E46999"/>
    <w:rsid w:val="00E46DC4"/>
    <w:rsid w:val="00E46E69"/>
    <w:rsid w:val="00E46F2F"/>
    <w:rsid w:val="00E470EB"/>
    <w:rsid w:val="00E472F7"/>
    <w:rsid w:val="00E47393"/>
    <w:rsid w:val="00E473A2"/>
    <w:rsid w:val="00E47932"/>
    <w:rsid w:val="00E47F9A"/>
    <w:rsid w:val="00E50309"/>
    <w:rsid w:val="00E50690"/>
    <w:rsid w:val="00E5086C"/>
    <w:rsid w:val="00E50A79"/>
    <w:rsid w:val="00E50B65"/>
    <w:rsid w:val="00E51301"/>
    <w:rsid w:val="00E515AC"/>
    <w:rsid w:val="00E5163B"/>
    <w:rsid w:val="00E516B1"/>
    <w:rsid w:val="00E517AA"/>
    <w:rsid w:val="00E51A0D"/>
    <w:rsid w:val="00E51A5A"/>
    <w:rsid w:val="00E51A65"/>
    <w:rsid w:val="00E51BD6"/>
    <w:rsid w:val="00E51CCB"/>
    <w:rsid w:val="00E52C47"/>
    <w:rsid w:val="00E52CA4"/>
    <w:rsid w:val="00E52CEF"/>
    <w:rsid w:val="00E52E0F"/>
    <w:rsid w:val="00E53704"/>
    <w:rsid w:val="00E53850"/>
    <w:rsid w:val="00E53B1A"/>
    <w:rsid w:val="00E53BB0"/>
    <w:rsid w:val="00E54131"/>
    <w:rsid w:val="00E544CC"/>
    <w:rsid w:val="00E54B69"/>
    <w:rsid w:val="00E54C25"/>
    <w:rsid w:val="00E54FF3"/>
    <w:rsid w:val="00E55039"/>
    <w:rsid w:val="00E55100"/>
    <w:rsid w:val="00E555DF"/>
    <w:rsid w:val="00E55941"/>
    <w:rsid w:val="00E55AE1"/>
    <w:rsid w:val="00E55B72"/>
    <w:rsid w:val="00E56638"/>
    <w:rsid w:val="00E5666D"/>
    <w:rsid w:val="00E56C23"/>
    <w:rsid w:val="00E56F7B"/>
    <w:rsid w:val="00E57421"/>
    <w:rsid w:val="00E57A62"/>
    <w:rsid w:val="00E57FDE"/>
    <w:rsid w:val="00E602D0"/>
    <w:rsid w:val="00E6040C"/>
    <w:rsid w:val="00E60473"/>
    <w:rsid w:val="00E6071F"/>
    <w:rsid w:val="00E6087E"/>
    <w:rsid w:val="00E60CE6"/>
    <w:rsid w:val="00E60DBA"/>
    <w:rsid w:val="00E61715"/>
    <w:rsid w:val="00E61721"/>
    <w:rsid w:val="00E618E8"/>
    <w:rsid w:val="00E61D4A"/>
    <w:rsid w:val="00E61F4C"/>
    <w:rsid w:val="00E62B40"/>
    <w:rsid w:val="00E62B86"/>
    <w:rsid w:val="00E62C82"/>
    <w:rsid w:val="00E62E42"/>
    <w:rsid w:val="00E63169"/>
    <w:rsid w:val="00E63304"/>
    <w:rsid w:val="00E63505"/>
    <w:rsid w:val="00E6387D"/>
    <w:rsid w:val="00E63AB6"/>
    <w:rsid w:val="00E63AF5"/>
    <w:rsid w:val="00E63CC0"/>
    <w:rsid w:val="00E63E16"/>
    <w:rsid w:val="00E63E2D"/>
    <w:rsid w:val="00E63F94"/>
    <w:rsid w:val="00E6400E"/>
    <w:rsid w:val="00E6430D"/>
    <w:rsid w:val="00E6450C"/>
    <w:rsid w:val="00E64534"/>
    <w:rsid w:val="00E6483E"/>
    <w:rsid w:val="00E64C54"/>
    <w:rsid w:val="00E650C5"/>
    <w:rsid w:val="00E6556B"/>
    <w:rsid w:val="00E65895"/>
    <w:rsid w:val="00E65D8D"/>
    <w:rsid w:val="00E65DBF"/>
    <w:rsid w:val="00E65FF9"/>
    <w:rsid w:val="00E66052"/>
    <w:rsid w:val="00E66889"/>
    <w:rsid w:val="00E669A5"/>
    <w:rsid w:val="00E66DBA"/>
    <w:rsid w:val="00E66F4D"/>
    <w:rsid w:val="00E6741D"/>
    <w:rsid w:val="00E674BB"/>
    <w:rsid w:val="00E6755A"/>
    <w:rsid w:val="00E677CD"/>
    <w:rsid w:val="00E677EB"/>
    <w:rsid w:val="00E67B27"/>
    <w:rsid w:val="00E700C3"/>
    <w:rsid w:val="00E703D6"/>
    <w:rsid w:val="00E709CC"/>
    <w:rsid w:val="00E70AA4"/>
    <w:rsid w:val="00E70DA7"/>
    <w:rsid w:val="00E71626"/>
    <w:rsid w:val="00E71641"/>
    <w:rsid w:val="00E7169D"/>
    <w:rsid w:val="00E71710"/>
    <w:rsid w:val="00E71CD9"/>
    <w:rsid w:val="00E71DA1"/>
    <w:rsid w:val="00E7228F"/>
    <w:rsid w:val="00E7233A"/>
    <w:rsid w:val="00E723A6"/>
    <w:rsid w:val="00E723E9"/>
    <w:rsid w:val="00E7260B"/>
    <w:rsid w:val="00E72756"/>
    <w:rsid w:val="00E729C0"/>
    <w:rsid w:val="00E729F5"/>
    <w:rsid w:val="00E72B7E"/>
    <w:rsid w:val="00E72DBC"/>
    <w:rsid w:val="00E72E4A"/>
    <w:rsid w:val="00E730E7"/>
    <w:rsid w:val="00E737DA"/>
    <w:rsid w:val="00E7396C"/>
    <w:rsid w:val="00E73BB2"/>
    <w:rsid w:val="00E741CA"/>
    <w:rsid w:val="00E74719"/>
    <w:rsid w:val="00E74803"/>
    <w:rsid w:val="00E74B48"/>
    <w:rsid w:val="00E74D4D"/>
    <w:rsid w:val="00E74E2E"/>
    <w:rsid w:val="00E753C2"/>
    <w:rsid w:val="00E7544D"/>
    <w:rsid w:val="00E757C1"/>
    <w:rsid w:val="00E75CD0"/>
    <w:rsid w:val="00E75D29"/>
    <w:rsid w:val="00E76341"/>
    <w:rsid w:val="00E7661B"/>
    <w:rsid w:val="00E76629"/>
    <w:rsid w:val="00E767B5"/>
    <w:rsid w:val="00E768A2"/>
    <w:rsid w:val="00E76D93"/>
    <w:rsid w:val="00E76ED8"/>
    <w:rsid w:val="00E77020"/>
    <w:rsid w:val="00E770A4"/>
    <w:rsid w:val="00E771C8"/>
    <w:rsid w:val="00E771FD"/>
    <w:rsid w:val="00E77341"/>
    <w:rsid w:val="00E77434"/>
    <w:rsid w:val="00E77753"/>
    <w:rsid w:val="00E77960"/>
    <w:rsid w:val="00E80310"/>
    <w:rsid w:val="00E80448"/>
    <w:rsid w:val="00E80534"/>
    <w:rsid w:val="00E806A1"/>
    <w:rsid w:val="00E80B8F"/>
    <w:rsid w:val="00E80CF3"/>
    <w:rsid w:val="00E8132F"/>
    <w:rsid w:val="00E81388"/>
    <w:rsid w:val="00E818B2"/>
    <w:rsid w:val="00E81D2C"/>
    <w:rsid w:val="00E81D83"/>
    <w:rsid w:val="00E8212D"/>
    <w:rsid w:val="00E829B8"/>
    <w:rsid w:val="00E82D3D"/>
    <w:rsid w:val="00E8334D"/>
    <w:rsid w:val="00E83480"/>
    <w:rsid w:val="00E837B0"/>
    <w:rsid w:val="00E83929"/>
    <w:rsid w:val="00E839F9"/>
    <w:rsid w:val="00E83A2F"/>
    <w:rsid w:val="00E83CBC"/>
    <w:rsid w:val="00E83DB1"/>
    <w:rsid w:val="00E840F6"/>
    <w:rsid w:val="00E8417B"/>
    <w:rsid w:val="00E842C0"/>
    <w:rsid w:val="00E843E4"/>
    <w:rsid w:val="00E84460"/>
    <w:rsid w:val="00E8447C"/>
    <w:rsid w:val="00E8497B"/>
    <w:rsid w:val="00E849EE"/>
    <w:rsid w:val="00E84D48"/>
    <w:rsid w:val="00E84DF9"/>
    <w:rsid w:val="00E84E50"/>
    <w:rsid w:val="00E84F1E"/>
    <w:rsid w:val="00E852FE"/>
    <w:rsid w:val="00E85473"/>
    <w:rsid w:val="00E8592A"/>
    <w:rsid w:val="00E85B5B"/>
    <w:rsid w:val="00E85DD7"/>
    <w:rsid w:val="00E85E38"/>
    <w:rsid w:val="00E85F4C"/>
    <w:rsid w:val="00E86157"/>
    <w:rsid w:val="00E8656E"/>
    <w:rsid w:val="00E8690E"/>
    <w:rsid w:val="00E86A43"/>
    <w:rsid w:val="00E86B5B"/>
    <w:rsid w:val="00E86D19"/>
    <w:rsid w:val="00E86F08"/>
    <w:rsid w:val="00E87881"/>
    <w:rsid w:val="00E87AE0"/>
    <w:rsid w:val="00E87F69"/>
    <w:rsid w:val="00E906A9"/>
    <w:rsid w:val="00E91634"/>
    <w:rsid w:val="00E91871"/>
    <w:rsid w:val="00E91BF4"/>
    <w:rsid w:val="00E91D71"/>
    <w:rsid w:val="00E91DE4"/>
    <w:rsid w:val="00E91E79"/>
    <w:rsid w:val="00E91E80"/>
    <w:rsid w:val="00E9217B"/>
    <w:rsid w:val="00E92296"/>
    <w:rsid w:val="00E92461"/>
    <w:rsid w:val="00E92471"/>
    <w:rsid w:val="00E9247C"/>
    <w:rsid w:val="00E92634"/>
    <w:rsid w:val="00E927D7"/>
    <w:rsid w:val="00E929AC"/>
    <w:rsid w:val="00E92A02"/>
    <w:rsid w:val="00E92C53"/>
    <w:rsid w:val="00E92FA1"/>
    <w:rsid w:val="00E936A8"/>
    <w:rsid w:val="00E937CA"/>
    <w:rsid w:val="00E93C14"/>
    <w:rsid w:val="00E941AE"/>
    <w:rsid w:val="00E943A2"/>
    <w:rsid w:val="00E94C8E"/>
    <w:rsid w:val="00E95060"/>
    <w:rsid w:val="00E953CE"/>
    <w:rsid w:val="00E95736"/>
    <w:rsid w:val="00E958EE"/>
    <w:rsid w:val="00E95DDD"/>
    <w:rsid w:val="00E95F06"/>
    <w:rsid w:val="00E96245"/>
    <w:rsid w:val="00E96531"/>
    <w:rsid w:val="00E965D8"/>
    <w:rsid w:val="00E966E0"/>
    <w:rsid w:val="00E969EA"/>
    <w:rsid w:val="00E96A64"/>
    <w:rsid w:val="00E96C44"/>
    <w:rsid w:val="00E96FE6"/>
    <w:rsid w:val="00E9722D"/>
    <w:rsid w:val="00E9769E"/>
    <w:rsid w:val="00E97773"/>
    <w:rsid w:val="00E9794C"/>
    <w:rsid w:val="00E97A83"/>
    <w:rsid w:val="00E97E6A"/>
    <w:rsid w:val="00E97EE4"/>
    <w:rsid w:val="00EA01AC"/>
    <w:rsid w:val="00EA0393"/>
    <w:rsid w:val="00EA0495"/>
    <w:rsid w:val="00EA0636"/>
    <w:rsid w:val="00EA0904"/>
    <w:rsid w:val="00EA0B58"/>
    <w:rsid w:val="00EA0B98"/>
    <w:rsid w:val="00EA10C5"/>
    <w:rsid w:val="00EA1226"/>
    <w:rsid w:val="00EA1AD6"/>
    <w:rsid w:val="00EA1E4E"/>
    <w:rsid w:val="00EA1F18"/>
    <w:rsid w:val="00EA21C9"/>
    <w:rsid w:val="00EA2A0D"/>
    <w:rsid w:val="00EA2B6F"/>
    <w:rsid w:val="00EA2BEE"/>
    <w:rsid w:val="00EA3826"/>
    <w:rsid w:val="00EA3BF4"/>
    <w:rsid w:val="00EA3DBE"/>
    <w:rsid w:val="00EA40FF"/>
    <w:rsid w:val="00EA4223"/>
    <w:rsid w:val="00EA4242"/>
    <w:rsid w:val="00EA4A9A"/>
    <w:rsid w:val="00EA4C71"/>
    <w:rsid w:val="00EA4D7E"/>
    <w:rsid w:val="00EA4F68"/>
    <w:rsid w:val="00EA53E3"/>
    <w:rsid w:val="00EA5906"/>
    <w:rsid w:val="00EA5AC5"/>
    <w:rsid w:val="00EA6267"/>
    <w:rsid w:val="00EA64EB"/>
    <w:rsid w:val="00EA685D"/>
    <w:rsid w:val="00EA69F2"/>
    <w:rsid w:val="00EA6B1C"/>
    <w:rsid w:val="00EA6C63"/>
    <w:rsid w:val="00EA6F8A"/>
    <w:rsid w:val="00EA75FC"/>
    <w:rsid w:val="00EA792C"/>
    <w:rsid w:val="00EA7968"/>
    <w:rsid w:val="00EA7C08"/>
    <w:rsid w:val="00EB0159"/>
    <w:rsid w:val="00EB048E"/>
    <w:rsid w:val="00EB04E7"/>
    <w:rsid w:val="00EB0638"/>
    <w:rsid w:val="00EB087E"/>
    <w:rsid w:val="00EB0D34"/>
    <w:rsid w:val="00EB0F54"/>
    <w:rsid w:val="00EB1145"/>
    <w:rsid w:val="00EB1A5D"/>
    <w:rsid w:val="00EB1CFF"/>
    <w:rsid w:val="00EB1D06"/>
    <w:rsid w:val="00EB2043"/>
    <w:rsid w:val="00EB22E3"/>
    <w:rsid w:val="00EB23EA"/>
    <w:rsid w:val="00EB2497"/>
    <w:rsid w:val="00EB2541"/>
    <w:rsid w:val="00EB2DAC"/>
    <w:rsid w:val="00EB3110"/>
    <w:rsid w:val="00EB3330"/>
    <w:rsid w:val="00EB3A6F"/>
    <w:rsid w:val="00EB3BD3"/>
    <w:rsid w:val="00EB45A5"/>
    <w:rsid w:val="00EB476B"/>
    <w:rsid w:val="00EB48CD"/>
    <w:rsid w:val="00EB48ED"/>
    <w:rsid w:val="00EB4DC2"/>
    <w:rsid w:val="00EB4F72"/>
    <w:rsid w:val="00EB51EF"/>
    <w:rsid w:val="00EB538B"/>
    <w:rsid w:val="00EB54BB"/>
    <w:rsid w:val="00EB56F0"/>
    <w:rsid w:val="00EB573D"/>
    <w:rsid w:val="00EB594A"/>
    <w:rsid w:val="00EB599A"/>
    <w:rsid w:val="00EB5C42"/>
    <w:rsid w:val="00EB5CFE"/>
    <w:rsid w:val="00EB5F35"/>
    <w:rsid w:val="00EB6270"/>
    <w:rsid w:val="00EB646B"/>
    <w:rsid w:val="00EB64AA"/>
    <w:rsid w:val="00EB64C0"/>
    <w:rsid w:val="00EB65DB"/>
    <w:rsid w:val="00EB65DF"/>
    <w:rsid w:val="00EB670C"/>
    <w:rsid w:val="00EB672D"/>
    <w:rsid w:val="00EB67AC"/>
    <w:rsid w:val="00EB6D29"/>
    <w:rsid w:val="00EB6DE0"/>
    <w:rsid w:val="00EB6ECA"/>
    <w:rsid w:val="00EB7363"/>
    <w:rsid w:val="00EB737D"/>
    <w:rsid w:val="00EB73BE"/>
    <w:rsid w:val="00EB73E9"/>
    <w:rsid w:val="00EB7615"/>
    <w:rsid w:val="00EC026F"/>
    <w:rsid w:val="00EC02A2"/>
    <w:rsid w:val="00EC0511"/>
    <w:rsid w:val="00EC05CF"/>
    <w:rsid w:val="00EC06AC"/>
    <w:rsid w:val="00EC0B12"/>
    <w:rsid w:val="00EC0C0C"/>
    <w:rsid w:val="00EC0EAA"/>
    <w:rsid w:val="00EC0F82"/>
    <w:rsid w:val="00EC1243"/>
    <w:rsid w:val="00EC153E"/>
    <w:rsid w:val="00EC1A10"/>
    <w:rsid w:val="00EC20DB"/>
    <w:rsid w:val="00EC20F2"/>
    <w:rsid w:val="00EC2201"/>
    <w:rsid w:val="00EC248C"/>
    <w:rsid w:val="00EC2960"/>
    <w:rsid w:val="00EC29EA"/>
    <w:rsid w:val="00EC2A16"/>
    <w:rsid w:val="00EC2ADA"/>
    <w:rsid w:val="00EC2C9D"/>
    <w:rsid w:val="00EC3173"/>
    <w:rsid w:val="00EC388E"/>
    <w:rsid w:val="00EC3936"/>
    <w:rsid w:val="00EC3A0D"/>
    <w:rsid w:val="00EC3B29"/>
    <w:rsid w:val="00EC3B5D"/>
    <w:rsid w:val="00EC3C8D"/>
    <w:rsid w:val="00EC3EE7"/>
    <w:rsid w:val="00EC4331"/>
    <w:rsid w:val="00EC434F"/>
    <w:rsid w:val="00EC4685"/>
    <w:rsid w:val="00EC473D"/>
    <w:rsid w:val="00EC49C9"/>
    <w:rsid w:val="00EC4A7F"/>
    <w:rsid w:val="00EC4AA0"/>
    <w:rsid w:val="00EC4F35"/>
    <w:rsid w:val="00EC517B"/>
    <w:rsid w:val="00EC59D3"/>
    <w:rsid w:val="00EC5AC5"/>
    <w:rsid w:val="00EC5B08"/>
    <w:rsid w:val="00EC666B"/>
    <w:rsid w:val="00EC6CAB"/>
    <w:rsid w:val="00EC6E50"/>
    <w:rsid w:val="00EC6E80"/>
    <w:rsid w:val="00EC727C"/>
    <w:rsid w:val="00EC7717"/>
    <w:rsid w:val="00EC79A8"/>
    <w:rsid w:val="00EC7FF4"/>
    <w:rsid w:val="00ED030E"/>
    <w:rsid w:val="00ED038E"/>
    <w:rsid w:val="00ED03D3"/>
    <w:rsid w:val="00ED0621"/>
    <w:rsid w:val="00ED0CF6"/>
    <w:rsid w:val="00ED0DCF"/>
    <w:rsid w:val="00ED0ED8"/>
    <w:rsid w:val="00ED14B6"/>
    <w:rsid w:val="00ED18CA"/>
    <w:rsid w:val="00ED191D"/>
    <w:rsid w:val="00ED1C16"/>
    <w:rsid w:val="00ED1C35"/>
    <w:rsid w:val="00ED1CF7"/>
    <w:rsid w:val="00ED226C"/>
    <w:rsid w:val="00ED237C"/>
    <w:rsid w:val="00ED26E3"/>
    <w:rsid w:val="00ED29CD"/>
    <w:rsid w:val="00ED2A7E"/>
    <w:rsid w:val="00ED2E46"/>
    <w:rsid w:val="00ED309B"/>
    <w:rsid w:val="00ED3380"/>
    <w:rsid w:val="00ED39F2"/>
    <w:rsid w:val="00ED3A97"/>
    <w:rsid w:val="00ED3AD0"/>
    <w:rsid w:val="00ED3AF4"/>
    <w:rsid w:val="00ED3D35"/>
    <w:rsid w:val="00ED3D8E"/>
    <w:rsid w:val="00ED497F"/>
    <w:rsid w:val="00ED4AAE"/>
    <w:rsid w:val="00ED4C70"/>
    <w:rsid w:val="00ED4CCF"/>
    <w:rsid w:val="00ED4ED5"/>
    <w:rsid w:val="00ED511E"/>
    <w:rsid w:val="00ED51D3"/>
    <w:rsid w:val="00ED533A"/>
    <w:rsid w:val="00ED545C"/>
    <w:rsid w:val="00ED562E"/>
    <w:rsid w:val="00ED5649"/>
    <w:rsid w:val="00ED5862"/>
    <w:rsid w:val="00ED5A43"/>
    <w:rsid w:val="00ED619F"/>
    <w:rsid w:val="00ED62B7"/>
    <w:rsid w:val="00ED633D"/>
    <w:rsid w:val="00ED689F"/>
    <w:rsid w:val="00ED68CA"/>
    <w:rsid w:val="00ED7394"/>
    <w:rsid w:val="00ED7557"/>
    <w:rsid w:val="00ED77BF"/>
    <w:rsid w:val="00ED7A21"/>
    <w:rsid w:val="00ED7B69"/>
    <w:rsid w:val="00EE00CA"/>
    <w:rsid w:val="00EE0394"/>
    <w:rsid w:val="00EE05AC"/>
    <w:rsid w:val="00EE0860"/>
    <w:rsid w:val="00EE0AAF"/>
    <w:rsid w:val="00EE0B10"/>
    <w:rsid w:val="00EE0E16"/>
    <w:rsid w:val="00EE11D5"/>
    <w:rsid w:val="00EE12DD"/>
    <w:rsid w:val="00EE13FC"/>
    <w:rsid w:val="00EE172E"/>
    <w:rsid w:val="00EE1D91"/>
    <w:rsid w:val="00EE1E5E"/>
    <w:rsid w:val="00EE1FD1"/>
    <w:rsid w:val="00EE206A"/>
    <w:rsid w:val="00EE2094"/>
    <w:rsid w:val="00EE2363"/>
    <w:rsid w:val="00EE23CE"/>
    <w:rsid w:val="00EE2489"/>
    <w:rsid w:val="00EE24AF"/>
    <w:rsid w:val="00EE2B1D"/>
    <w:rsid w:val="00EE2E14"/>
    <w:rsid w:val="00EE303F"/>
    <w:rsid w:val="00EE32C7"/>
    <w:rsid w:val="00EE3A3D"/>
    <w:rsid w:val="00EE3EC7"/>
    <w:rsid w:val="00EE42AD"/>
    <w:rsid w:val="00EE48CD"/>
    <w:rsid w:val="00EE4A17"/>
    <w:rsid w:val="00EE4A1F"/>
    <w:rsid w:val="00EE4C4F"/>
    <w:rsid w:val="00EE5487"/>
    <w:rsid w:val="00EE5754"/>
    <w:rsid w:val="00EE5A83"/>
    <w:rsid w:val="00EE5CF4"/>
    <w:rsid w:val="00EE5FDA"/>
    <w:rsid w:val="00EE62BA"/>
    <w:rsid w:val="00EE62DF"/>
    <w:rsid w:val="00EE6350"/>
    <w:rsid w:val="00EE63E9"/>
    <w:rsid w:val="00EE6453"/>
    <w:rsid w:val="00EE682D"/>
    <w:rsid w:val="00EE6BEA"/>
    <w:rsid w:val="00EE6EFF"/>
    <w:rsid w:val="00EE6F2F"/>
    <w:rsid w:val="00EE7130"/>
    <w:rsid w:val="00EE753D"/>
    <w:rsid w:val="00EE7AFE"/>
    <w:rsid w:val="00EE7BBA"/>
    <w:rsid w:val="00EE7C3D"/>
    <w:rsid w:val="00EE7E7F"/>
    <w:rsid w:val="00EE7F50"/>
    <w:rsid w:val="00EE7F88"/>
    <w:rsid w:val="00EF0066"/>
    <w:rsid w:val="00EF01EF"/>
    <w:rsid w:val="00EF05F7"/>
    <w:rsid w:val="00EF074D"/>
    <w:rsid w:val="00EF0796"/>
    <w:rsid w:val="00EF08FA"/>
    <w:rsid w:val="00EF0CC5"/>
    <w:rsid w:val="00EF0D8E"/>
    <w:rsid w:val="00EF0D92"/>
    <w:rsid w:val="00EF0F74"/>
    <w:rsid w:val="00EF1141"/>
    <w:rsid w:val="00EF18A1"/>
    <w:rsid w:val="00EF1A4B"/>
    <w:rsid w:val="00EF1B1D"/>
    <w:rsid w:val="00EF1F56"/>
    <w:rsid w:val="00EF20E6"/>
    <w:rsid w:val="00EF278F"/>
    <w:rsid w:val="00EF294C"/>
    <w:rsid w:val="00EF2B55"/>
    <w:rsid w:val="00EF2B6B"/>
    <w:rsid w:val="00EF2C7C"/>
    <w:rsid w:val="00EF31EA"/>
    <w:rsid w:val="00EF3245"/>
    <w:rsid w:val="00EF3310"/>
    <w:rsid w:val="00EF34CE"/>
    <w:rsid w:val="00EF38C4"/>
    <w:rsid w:val="00EF3B53"/>
    <w:rsid w:val="00EF3B68"/>
    <w:rsid w:val="00EF41C6"/>
    <w:rsid w:val="00EF495E"/>
    <w:rsid w:val="00EF4CA3"/>
    <w:rsid w:val="00EF505C"/>
    <w:rsid w:val="00EF51C6"/>
    <w:rsid w:val="00EF5242"/>
    <w:rsid w:val="00EF5285"/>
    <w:rsid w:val="00EF573D"/>
    <w:rsid w:val="00EF5ED1"/>
    <w:rsid w:val="00EF634D"/>
    <w:rsid w:val="00EF640A"/>
    <w:rsid w:val="00EF64AE"/>
    <w:rsid w:val="00EF6A51"/>
    <w:rsid w:val="00EF6AC9"/>
    <w:rsid w:val="00EF6B91"/>
    <w:rsid w:val="00EF6C07"/>
    <w:rsid w:val="00EF6C56"/>
    <w:rsid w:val="00EF6D50"/>
    <w:rsid w:val="00EF75CE"/>
    <w:rsid w:val="00EF7644"/>
    <w:rsid w:val="00EF769C"/>
    <w:rsid w:val="00EF7AFA"/>
    <w:rsid w:val="00EF7EAC"/>
    <w:rsid w:val="00EF7F58"/>
    <w:rsid w:val="00F0004B"/>
    <w:rsid w:val="00F00104"/>
    <w:rsid w:val="00F00478"/>
    <w:rsid w:val="00F0080D"/>
    <w:rsid w:val="00F00B4D"/>
    <w:rsid w:val="00F00BB5"/>
    <w:rsid w:val="00F00CFB"/>
    <w:rsid w:val="00F01495"/>
    <w:rsid w:val="00F014EF"/>
    <w:rsid w:val="00F01792"/>
    <w:rsid w:val="00F01856"/>
    <w:rsid w:val="00F0229F"/>
    <w:rsid w:val="00F02470"/>
    <w:rsid w:val="00F02685"/>
    <w:rsid w:val="00F026F7"/>
    <w:rsid w:val="00F0285A"/>
    <w:rsid w:val="00F02B85"/>
    <w:rsid w:val="00F02D49"/>
    <w:rsid w:val="00F02ED3"/>
    <w:rsid w:val="00F030BE"/>
    <w:rsid w:val="00F0338E"/>
    <w:rsid w:val="00F035F1"/>
    <w:rsid w:val="00F03B9A"/>
    <w:rsid w:val="00F03DB8"/>
    <w:rsid w:val="00F042B5"/>
    <w:rsid w:val="00F04692"/>
    <w:rsid w:val="00F049A4"/>
    <w:rsid w:val="00F04BDA"/>
    <w:rsid w:val="00F04C88"/>
    <w:rsid w:val="00F05164"/>
    <w:rsid w:val="00F0518E"/>
    <w:rsid w:val="00F05A5B"/>
    <w:rsid w:val="00F05A6D"/>
    <w:rsid w:val="00F06257"/>
    <w:rsid w:val="00F064BD"/>
    <w:rsid w:val="00F06946"/>
    <w:rsid w:val="00F06E72"/>
    <w:rsid w:val="00F06FF1"/>
    <w:rsid w:val="00F070D0"/>
    <w:rsid w:val="00F072D6"/>
    <w:rsid w:val="00F07668"/>
    <w:rsid w:val="00F07A77"/>
    <w:rsid w:val="00F07B94"/>
    <w:rsid w:val="00F07C86"/>
    <w:rsid w:val="00F07DB5"/>
    <w:rsid w:val="00F101CB"/>
    <w:rsid w:val="00F101E9"/>
    <w:rsid w:val="00F10693"/>
    <w:rsid w:val="00F1071A"/>
    <w:rsid w:val="00F10B07"/>
    <w:rsid w:val="00F10BF4"/>
    <w:rsid w:val="00F10D1B"/>
    <w:rsid w:val="00F11464"/>
    <w:rsid w:val="00F11485"/>
    <w:rsid w:val="00F11691"/>
    <w:rsid w:val="00F116BF"/>
    <w:rsid w:val="00F1186C"/>
    <w:rsid w:val="00F11C69"/>
    <w:rsid w:val="00F120AA"/>
    <w:rsid w:val="00F120DF"/>
    <w:rsid w:val="00F122DC"/>
    <w:rsid w:val="00F1236A"/>
    <w:rsid w:val="00F12697"/>
    <w:rsid w:val="00F1296A"/>
    <w:rsid w:val="00F12F71"/>
    <w:rsid w:val="00F1313D"/>
    <w:rsid w:val="00F1326F"/>
    <w:rsid w:val="00F13372"/>
    <w:rsid w:val="00F13380"/>
    <w:rsid w:val="00F133FE"/>
    <w:rsid w:val="00F135FF"/>
    <w:rsid w:val="00F13B52"/>
    <w:rsid w:val="00F13D91"/>
    <w:rsid w:val="00F13E6A"/>
    <w:rsid w:val="00F13F11"/>
    <w:rsid w:val="00F14368"/>
    <w:rsid w:val="00F148C6"/>
    <w:rsid w:val="00F149FF"/>
    <w:rsid w:val="00F1552F"/>
    <w:rsid w:val="00F158CD"/>
    <w:rsid w:val="00F15AE3"/>
    <w:rsid w:val="00F15CFB"/>
    <w:rsid w:val="00F164E9"/>
    <w:rsid w:val="00F1662A"/>
    <w:rsid w:val="00F1666F"/>
    <w:rsid w:val="00F16A7A"/>
    <w:rsid w:val="00F16A9E"/>
    <w:rsid w:val="00F1737F"/>
    <w:rsid w:val="00F17D74"/>
    <w:rsid w:val="00F17EF5"/>
    <w:rsid w:val="00F17F4E"/>
    <w:rsid w:val="00F20863"/>
    <w:rsid w:val="00F20939"/>
    <w:rsid w:val="00F209E0"/>
    <w:rsid w:val="00F20A95"/>
    <w:rsid w:val="00F20BB3"/>
    <w:rsid w:val="00F20C48"/>
    <w:rsid w:val="00F21288"/>
    <w:rsid w:val="00F212DE"/>
    <w:rsid w:val="00F2164B"/>
    <w:rsid w:val="00F21783"/>
    <w:rsid w:val="00F2187C"/>
    <w:rsid w:val="00F21949"/>
    <w:rsid w:val="00F219F0"/>
    <w:rsid w:val="00F21C83"/>
    <w:rsid w:val="00F2217D"/>
    <w:rsid w:val="00F221BF"/>
    <w:rsid w:val="00F22269"/>
    <w:rsid w:val="00F22571"/>
    <w:rsid w:val="00F22735"/>
    <w:rsid w:val="00F229B1"/>
    <w:rsid w:val="00F22F03"/>
    <w:rsid w:val="00F235B4"/>
    <w:rsid w:val="00F23765"/>
    <w:rsid w:val="00F237E7"/>
    <w:rsid w:val="00F23EA0"/>
    <w:rsid w:val="00F23FBA"/>
    <w:rsid w:val="00F24085"/>
    <w:rsid w:val="00F240CE"/>
    <w:rsid w:val="00F24280"/>
    <w:rsid w:val="00F242A2"/>
    <w:rsid w:val="00F243AB"/>
    <w:rsid w:val="00F24AFA"/>
    <w:rsid w:val="00F24BFD"/>
    <w:rsid w:val="00F24EDD"/>
    <w:rsid w:val="00F251A5"/>
    <w:rsid w:val="00F25550"/>
    <w:rsid w:val="00F25670"/>
    <w:rsid w:val="00F256F9"/>
    <w:rsid w:val="00F25B1B"/>
    <w:rsid w:val="00F25B9D"/>
    <w:rsid w:val="00F263A0"/>
    <w:rsid w:val="00F26808"/>
    <w:rsid w:val="00F268C4"/>
    <w:rsid w:val="00F27028"/>
    <w:rsid w:val="00F27273"/>
    <w:rsid w:val="00F27844"/>
    <w:rsid w:val="00F278F2"/>
    <w:rsid w:val="00F27A16"/>
    <w:rsid w:val="00F27A8F"/>
    <w:rsid w:val="00F27E0F"/>
    <w:rsid w:val="00F300E6"/>
    <w:rsid w:val="00F303EB"/>
    <w:rsid w:val="00F30692"/>
    <w:rsid w:val="00F30833"/>
    <w:rsid w:val="00F3094A"/>
    <w:rsid w:val="00F30CA8"/>
    <w:rsid w:val="00F30DE9"/>
    <w:rsid w:val="00F30E18"/>
    <w:rsid w:val="00F30F4A"/>
    <w:rsid w:val="00F30F5F"/>
    <w:rsid w:val="00F3100E"/>
    <w:rsid w:val="00F31029"/>
    <w:rsid w:val="00F3110E"/>
    <w:rsid w:val="00F31154"/>
    <w:rsid w:val="00F311B3"/>
    <w:rsid w:val="00F3128A"/>
    <w:rsid w:val="00F31383"/>
    <w:rsid w:val="00F31592"/>
    <w:rsid w:val="00F318BC"/>
    <w:rsid w:val="00F31C2A"/>
    <w:rsid w:val="00F31D8B"/>
    <w:rsid w:val="00F31E56"/>
    <w:rsid w:val="00F325D1"/>
    <w:rsid w:val="00F326AC"/>
    <w:rsid w:val="00F32D06"/>
    <w:rsid w:val="00F32FBB"/>
    <w:rsid w:val="00F32FEF"/>
    <w:rsid w:val="00F33007"/>
    <w:rsid w:val="00F3307A"/>
    <w:rsid w:val="00F33584"/>
    <w:rsid w:val="00F33A9E"/>
    <w:rsid w:val="00F33DC9"/>
    <w:rsid w:val="00F3434C"/>
    <w:rsid w:val="00F3480B"/>
    <w:rsid w:val="00F354CE"/>
    <w:rsid w:val="00F35538"/>
    <w:rsid w:val="00F3589C"/>
    <w:rsid w:val="00F35C92"/>
    <w:rsid w:val="00F36034"/>
    <w:rsid w:val="00F36087"/>
    <w:rsid w:val="00F36271"/>
    <w:rsid w:val="00F3633C"/>
    <w:rsid w:val="00F36379"/>
    <w:rsid w:val="00F363FB"/>
    <w:rsid w:val="00F36482"/>
    <w:rsid w:val="00F365EE"/>
    <w:rsid w:val="00F366C3"/>
    <w:rsid w:val="00F3697D"/>
    <w:rsid w:val="00F37029"/>
    <w:rsid w:val="00F371F0"/>
    <w:rsid w:val="00F37420"/>
    <w:rsid w:val="00F374A8"/>
    <w:rsid w:val="00F37ACE"/>
    <w:rsid w:val="00F37D31"/>
    <w:rsid w:val="00F37E9B"/>
    <w:rsid w:val="00F37EAD"/>
    <w:rsid w:val="00F37F31"/>
    <w:rsid w:val="00F37FB8"/>
    <w:rsid w:val="00F4026F"/>
    <w:rsid w:val="00F4030D"/>
    <w:rsid w:val="00F40966"/>
    <w:rsid w:val="00F4099F"/>
    <w:rsid w:val="00F40AC1"/>
    <w:rsid w:val="00F40C60"/>
    <w:rsid w:val="00F40D26"/>
    <w:rsid w:val="00F4110C"/>
    <w:rsid w:val="00F41244"/>
    <w:rsid w:val="00F41395"/>
    <w:rsid w:val="00F41652"/>
    <w:rsid w:val="00F417B0"/>
    <w:rsid w:val="00F41E0B"/>
    <w:rsid w:val="00F424BD"/>
    <w:rsid w:val="00F427F3"/>
    <w:rsid w:val="00F42844"/>
    <w:rsid w:val="00F42978"/>
    <w:rsid w:val="00F42CBE"/>
    <w:rsid w:val="00F42D09"/>
    <w:rsid w:val="00F43856"/>
    <w:rsid w:val="00F43DC9"/>
    <w:rsid w:val="00F43F7D"/>
    <w:rsid w:val="00F44393"/>
    <w:rsid w:val="00F446FB"/>
    <w:rsid w:val="00F44EE8"/>
    <w:rsid w:val="00F44F8F"/>
    <w:rsid w:val="00F4508F"/>
    <w:rsid w:val="00F45316"/>
    <w:rsid w:val="00F453DB"/>
    <w:rsid w:val="00F45426"/>
    <w:rsid w:val="00F454E8"/>
    <w:rsid w:val="00F4552B"/>
    <w:rsid w:val="00F459B4"/>
    <w:rsid w:val="00F45EDF"/>
    <w:rsid w:val="00F4620B"/>
    <w:rsid w:val="00F46415"/>
    <w:rsid w:val="00F46558"/>
    <w:rsid w:val="00F4666B"/>
    <w:rsid w:val="00F46830"/>
    <w:rsid w:val="00F469A0"/>
    <w:rsid w:val="00F46A26"/>
    <w:rsid w:val="00F46B30"/>
    <w:rsid w:val="00F46B5E"/>
    <w:rsid w:val="00F46C2E"/>
    <w:rsid w:val="00F46C48"/>
    <w:rsid w:val="00F470B8"/>
    <w:rsid w:val="00F472E1"/>
    <w:rsid w:val="00F47345"/>
    <w:rsid w:val="00F47482"/>
    <w:rsid w:val="00F47508"/>
    <w:rsid w:val="00F47986"/>
    <w:rsid w:val="00F47FC7"/>
    <w:rsid w:val="00F50013"/>
    <w:rsid w:val="00F50450"/>
    <w:rsid w:val="00F505E1"/>
    <w:rsid w:val="00F50873"/>
    <w:rsid w:val="00F50993"/>
    <w:rsid w:val="00F50AF8"/>
    <w:rsid w:val="00F50D51"/>
    <w:rsid w:val="00F50E1C"/>
    <w:rsid w:val="00F514CC"/>
    <w:rsid w:val="00F51A57"/>
    <w:rsid w:val="00F51D2D"/>
    <w:rsid w:val="00F51EC3"/>
    <w:rsid w:val="00F52154"/>
    <w:rsid w:val="00F52427"/>
    <w:rsid w:val="00F5279F"/>
    <w:rsid w:val="00F5299E"/>
    <w:rsid w:val="00F52E9C"/>
    <w:rsid w:val="00F52ECC"/>
    <w:rsid w:val="00F52F87"/>
    <w:rsid w:val="00F53578"/>
    <w:rsid w:val="00F53580"/>
    <w:rsid w:val="00F538CC"/>
    <w:rsid w:val="00F53A87"/>
    <w:rsid w:val="00F53E9D"/>
    <w:rsid w:val="00F54039"/>
    <w:rsid w:val="00F540AF"/>
    <w:rsid w:val="00F546A4"/>
    <w:rsid w:val="00F54A78"/>
    <w:rsid w:val="00F54B9A"/>
    <w:rsid w:val="00F55109"/>
    <w:rsid w:val="00F55211"/>
    <w:rsid w:val="00F55314"/>
    <w:rsid w:val="00F55431"/>
    <w:rsid w:val="00F5553E"/>
    <w:rsid w:val="00F55629"/>
    <w:rsid w:val="00F55BB0"/>
    <w:rsid w:val="00F55CEA"/>
    <w:rsid w:val="00F55F1A"/>
    <w:rsid w:val="00F5610A"/>
    <w:rsid w:val="00F5628C"/>
    <w:rsid w:val="00F56300"/>
    <w:rsid w:val="00F5672A"/>
    <w:rsid w:val="00F56935"/>
    <w:rsid w:val="00F56AF4"/>
    <w:rsid w:val="00F56E4D"/>
    <w:rsid w:val="00F574B2"/>
    <w:rsid w:val="00F5753F"/>
    <w:rsid w:val="00F576F2"/>
    <w:rsid w:val="00F57980"/>
    <w:rsid w:val="00F579EB"/>
    <w:rsid w:val="00F60034"/>
    <w:rsid w:val="00F607D9"/>
    <w:rsid w:val="00F60C8D"/>
    <w:rsid w:val="00F60D11"/>
    <w:rsid w:val="00F60EAA"/>
    <w:rsid w:val="00F6125C"/>
    <w:rsid w:val="00F6133C"/>
    <w:rsid w:val="00F61356"/>
    <w:rsid w:val="00F61364"/>
    <w:rsid w:val="00F61372"/>
    <w:rsid w:val="00F619D6"/>
    <w:rsid w:val="00F61DB8"/>
    <w:rsid w:val="00F61E44"/>
    <w:rsid w:val="00F61F9B"/>
    <w:rsid w:val="00F623D8"/>
    <w:rsid w:val="00F62503"/>
    <w:rsid w:val="00F628A3"/>
    <w:rsid w:val="00F62AFE"/>
    <w:rsid w:val="00F62D96"/>
    <w:rsid w:val="00F63497"/>
    <w:rsid w:val="00F63632"/>
    <w:rsid w:val="00F6363C"/>
    <w:rsid w:val="00F636C0"/>
    <w:rsid w:val="00F6370A"/>
    <w:rsid w:val="00F63C47"/>
    <w:rsid w:val="00F642FD"/>
    <w:rsid w:val="00F6433E"/>
    <w:rsid w:val="00F644A9"/>
    <w:rsid w:val="00F64599"/>
    <w:rsid w:val="00F646F7"/>
    <w:rsid w:val="00F649AA"/>
    <w:rsid w:val="00F64CB6"/>
    <w:rsid w:val="00F64F75"/>
    <w:rsid w:val="00F65082"/>
    <w:rsid w:val="00F65216"/>
    <w:rsid w:val="00F6544C"/>
    <w:rsid w:val="00F65628"/>
    <w:rsid w:val="00F658C6"/>
    <w:rsid w:val="00F6612A"/>
    <w:rsid w:val="00F66158"/>
    <w:rsid w:val="00F6639F"/>
    <w:rsid w:val="00F6659B"/>
    <w:rsid w:val="00F667B3"/>
    <w:rsid w:val="00F66C3D"/>
    <w:rsid w:val="00F66D04"/>
    <w:rsid w:val="00F66F0C"/>
    <w:rsid w:val="00F66FCB"/>
    <w:rsid w:val="00F67285"/>
    <w:rsid w:val="00F676C3"/>
    <w:rsid w:val="00F67911"/>
    <w:rsid w:val="00F67B7B"/>
    <w:rsid w:val="00F67C9C"/>
    <w:rsid w:val="00F67DC6"/>
    <w:rsid w:val="00F704FD"/>
    <w:rsid w:val="00F7073A"/>
    <w:rsid w:val="00F707A9"/>
    <w:rsid w:val="00F70A36"/>
    <w:rsid w:val="00F70A61"/>
    <w:rsid w:val="00F70BF4"/>
    <w:rsid w:val="00F7101B"/>
    <w:rsid w:val="00F710ED"/>
    <w:rsid w:val="00F71522"/>
    <w:rsid w:val="00F71B2E"/>
    <w:rsid w:val="00F71D17"/>
    <w:rsid w:val="00F71D18"/>
    <w:rsid w:val="00F72089"/>
    <w:rsid w:val="00F7210F"/>
    <w:rsid w:val="00F723B7"/>
    <w:rsid w:val="00F72935"/>
    <w:rsid w:val="00F72C04"/>
    <w:rsid w:val="00F72CA7"/>
    <w:rsid w:val="00F72E4A"/>
    <w:rsid w:val="00F72EC3"/>
    <w:rsid w:val="00F72F44"/>
    <w:rsid w:val="00F730B4"/>
    <w:rsid w:val="00F734E4"/>
    <w:rsid w:val="00F736DD"/>
    <w:rsid w:val="00F73717"/>
    <w:rsid w:val="00F73C11"/>
    <w:rsid w:val="00F74761"/>
    <w:rsid w:val="00F74887"/>
    <w:rsid w:val="00F749EC"/>
    <w:rsid w:val="00F74E38"/>
    <w:rsid w:val="00F75062"/>
    <w:rsid w:val="00F750F4"/>
    <w:rsid w:val="00F752E1"/>
    <w:rsid w:val="00F753E1"/>
    <w:rsid w:val="00F75536"/>
    <w:rsid w:val="00F7581A"/>
    <w:rsid w:val="00F75B51"/>
    <w:rsid w:val="00F75C83"/>
    <w:rsid w:val="00F762FA"/>
    <w:rsid w:val="00F7647E"/>
    <w:rsid w:val="00F76735"/>
    <w:rsid w:val="00F767C2"/>
    <w:rsid w:val="00F76B74"/>
    <w:rsid w:val="00F76F56"/>
    <w:rsid w:val="00F770C4"/>
    <w:rsid w:val="00F774D6"/>
    <w:rsid w:val="00F77685"/>
    <w:rsid w:val="00F779BF"/>
    <w:rsid w:val="00F779C5"/>
    <w:rsid w:val="00F77DB2"/>
    <w:rsid w:val="00F77EBE"/>
    <w:rsid w:val="00F8035C"/>
    <w:rsid w:val="00F806B9"/>
    <w:rsid w:val="00F80E7C"/>
    <w:rsid w:val="00F817A7"/>
    <w:rsid w:val="00F818A1"/>
    <w:rsid w:val="00F818AD"/>
    <w:rsid w:val="00F818B9"/>
    <w:rsid w:val="00F81BC3"/>
    <w:rsid w:val="00F81C53"/>
    <w:rsid w:val="00F81D97"/>
    <w:rsid w:val="00F81EAB"/>
    <w:rsid w:val="00F81F64"/>
    <w:rsid w:val="00F81F94"/>
    <w:rsid w:val="00F82063"/>
    <w:rsid w:val="00F82FE9"/>
    <w:rsid w:val="00F83245"/>
    <w:rsid w:val="00F83281"/>
    <w:rsid w:val="00F838E9"/>
    <w:rsid w:val="00F8390D"/>
    <w:rsid w:val="00F83D05"/>
    <w:rsid w:val="00F83DF9"/>
    <w:rsid w:val="00F83EE0"/>
    <w:rsid w:val="00F8402C"/>
    <w:rsid w:val="00F8428A"/>
    <w:rsid w:val="00F84717"/>
    <w:rsid w:val="00F84858"/>
    <w:rsid w:val="00F84889"/>
    <w:rsid w:val="00F849A7"/>
    <w:rsid w:val="00F84F24"/>
    <w:rsid w:val="00F85013"/>
    <w:rsid w:val="00F85157"/>
    <w:rsid w:val="00F8532F"/>
    <w:rsid w:val="00F85686"/>
    <w:rsid w:val="00F8569B"/>
    <w:rsid w:val="00F858EF"/>
    <w:rsid w:val="00F85CB1"/>
    <w:rsid w:val="00F85FD5"/>
    <w:rsid w:val="00F862AA"/>
    <w:rsid w:val="00F86386"/>
    <w:rsid w:val="00F8650C"/>
    <w:rsid w:val="00F86985"/>
    <w:rsid w:val="00F8703D"/>
    <w:rsid w:val="00F8761C"/>
    <w:rsid w:val="00F87C52"/>
    <w:rsid w:val="00F87E7B"/>
    <w:rsid w:val="00F87F5C"/>
    <w:rsid w:val="00F901F6"/>
    <w:rsid w:val="00F90340"/>
    <w:rsid w:val="00F9045A"/>
    <w:rsid w:val="00F904F8"/>
    <w:rsid w:val="00F90D5F"/>
    <w:rsid w:val="00F9180F"/>
    <w:rsid w:val="00F91911"/>
    <w:rsid w:val="00F91C6D"/>
    <w:rsid w:val="00F92060"/>
    <w:rsid w:val="00F92143"/>
    <w:rsid w:val="00F92289"/>
    <w:rsid w:val="00F922F7"/>
    <w:rsid w:val="00F9237E"/>
    <w:rsid w:val="00F92712"/>
    <w:rsid w:val="00F92C3C"/>
    <w:rsid w:val="00F92F3D"/>
    <w:rsid w:val="00F930EA"/>
    <w:rsid w:val="00F93548"/>
    <w:rsid w:val="00F93935"/>
    <w:rsid w:val="00F939B9"/>
    <w:rsid w:val="00F93AF5"/>
    <w:rsid w:val="00F93BF6"/>
    <w:rsid w:val="00F94675"/>
    <w:rsid w:val="00F9478C"/>
    <w:rsid w:val="00F94FD3"/>
    <w:rsid w:val="00F95090"/>
    <w:rsid w:val="00F95137"/>
    <w:rsid w:val="00F95156"/>
    <w:rsid w:val="00F95351"/>
    <w:rsid w:val="00F953D7"/>
    <w:rsid w:val="00F9548C"/>
    <w:rsid w:val="00F95640"/>
    <w:rsid w:val="00F95C86"/>
    <w:rsid w:val="00F95F8A"/>
    <w:rsid w:val="00F95FD8"/>
    <w:rsid w:val="00F9690D"/>
    <w:rsid w:val="00F96CC4"/>
    <w:rsid w:val="00F96FCC"/>
    <w:rsid w:val="00F97546"/>
    <w:rsid w:val="00F97591"/>
    <w:rsid w:val="00F979C4"/>
    <w:rsid w:val="00F97B33"/>
    <w:rsid w:val="00F97B41"/>
    <w:rsid w:val="00F97E2A"/>
    <w:rsid w:val="00FA02BF"/>
    <w:rsid w:val="00FA073F"/>
    <w:rsid w:val="00FA07AC"/>
    <w:rsid w:val="00FA0958"/>
    <w:rsid w:val="00FA0991"/>
    <w:rsid w:val="00FA09A1"/>
    <w:rsid w:val="00FA0E61"/>
    <w:rsid w:val="00FA120A"/>
    <w:rsid w:val="00FA123C"/>
    <w:rsid w:val="00FA136D"/>
    <w:rsid w:val="00FA1581"/>
    <w:rsid w:val="00FA15CC"/>
    <w:rsid w:val="00FA17CF"/>
    <w:rsid w:val="00FA1A47"/>
    <w:rsid w:val="00FA1E6B"/>
    <w:rsid w:val="00FA2151"/>
    <w:rsid w:val="00FA2262"/>
    <w:rsid w:val="00FA245D"/>
    <w:rsid w:val="00FA260F"/>
    <w:rsid w:val="00FA28EF"/>
    <w:rsid w:val="00FA2A42"/>
    <w:rsid w:val="00FA2FA9"/>
    <w:rsid w:val="00FA326C"/>
    <w:rsid w:val="00FA368A"/>
    <w:rsid w:val="00FA3875"/>
    <w:rsid w:val="00FA3AF0"/>
    <w:rsid w:val="00FA419F"/>
    <w:rsid w:val="00FA450B"/>
    <w:rsid w:val="00FA49DF"/>
    <w:rsid w:val="00FA5087"/>
    <w:rsid w:val="00FA542D"/>
    <w:rsid w:val="00FA5589"/>
    <w:rsid w:val="00FA5D5B"/>
    <w:rsid w:val="00FA5D9C"/>
    <w:rsid w:val="00FA6156"/>
    <w:rsid w:val="00FA6888"/>
    <w:rsid w:val="00FA6932"/>
    <w:rsid w:val="00FA6BE2"/>
    <w:rsid w:val="00FA6C49"/>
    <w:rsid w:val="00FA717E"/>
    <w:rsid w:val="00FA7206"/>
    <w:rsid w:val="00FA727C"/>
    <w:rsid w:val="00FA78B7"/>
    <w:rsid w:val="00FA7BDA"/>
    <w:rsid w:val="00FA7DC9"/>
    <w:rsid w:val="00FB025E"/>
    <w:rsid w:val="00FB02D6"/>
    <w:rsid w:val="00FB0365"/>
    <w:rsid w:val="00FB052E"/>
    <w:rsid w:val="00FB08A4"/>
    <w:rsid w:val="00FB09FF"/>
    <w:rsid w:val="00FB0A2F"/>
    <w:rsid w:val="00FB0EC2"/>
    <w:rsid w:val="00FB1702"/>
    <w:rsid w:val="00FB19EE"/>
    <w:rsid w:val="00FB1AD2"/>
    <w:rsid w:val="00FB1ADC"/>
    <w:rsid w:val="00FB1C80"/>
    <w:rsid w:val="00FB1E35"/>
    <w:rsid w:val="00FB2017"/>
    <w:rsid w:val="00FB20E0"/>
    <w:rsid w:val="00FB233E"/>
    <w:rsid w:val="00FB237C"/>
    <w:rsid w:val="00FB2A08"/>
    <w:rsid w:val="00FB2A37"/>
    <w:rsid w:val="00FB2AD4"/>
    <w:rsid w:val="00FB2B3E"/>
    <w:rsid w:val="00FB2E26"/>
    <w:rsid w:val="00FB2F0D"/>
    <w:rsid w:val="00FB3210"/>
    <w:rsid w:val="00FB3365"/>
    <w:rsid w:val="00FB347C"/>
    <w:rsid w:val="00FB387C"/>
    <w:rsid w:val="00FB3EDB"/>
    <w:rsid w:val="00FB40C5"/>
    <w:rsid w:val="00FB41C8"/>
    <w:rsid w:val="00FB4A6C"/>
    <w:rsid w:val="00FB4ABF"/>
    <w:rsid w:val="00FB4F71"/>
    <w:rsid w:val="00FB5363"/>
    <w:rsid w:val="00FB54DA"/>
    <w:rsid w:val="00FB55C7"/>
    <w:rsid w:val="00FB584F"/>
    <w:rsid w:val="00FB5F98"/>
    <w:rsid w:val="00FB608E"/>
    <w:rsid w:val="00FB6197"/>
    <w:rsid w:val="00FB6340"/>
    <w:rsid w:val="00FB64F0"/>
    <w:rsid w:val="00FB6B3D"/>
    <w:rsid w:val="00FB6FDE"/>
    <w:rsid w:val="00FB752F"/>
    <w:rsid w:val="00FB76F0"/>
    <w:rsid w:val="00FB771D"/>
    <w:rsid w:val="00FB78F7"/>
    <w:rsid w:val="00FB793D"/>
    <w:rsid w:val="00FB7AE7"/>
    <w:rsid w:val="00FB7D6B"/>
    <w:rsid w:val="00FC00D7"/>
    <w:rsid w:val="00FC0723"/>
    <w:rsid w:val="00FC0AD3"/>
    <w:rsid w:val="00FC0ADF"/>
    <w:rsid w:val="00FC0BE7"/>
    <w:rsid w:val="00FC0E10"/>
    <w:rsid w:val="00FC14EC"/>
    <w:rsid w:val="00FC15AD"/>
    <w:rsid w:val="00FC16D6"/>
    <w:rsid w:val="00FC176B"/>
    <w:rsid w:val="00FC1BC5"/>
    <w:rsid w:val="00FC1CD9"/>
    <w:rsid w:val="00FC1CE9"/>
    <w:rsid w:val="00FC1D4A"/>
    <w:rsid w:val="00FC2070"/>
    <w:rsid w:val="00FC21DD"/>
    <w:rsid w:val="00FC22D6"/>
    <w:rsid w:val="00FC2557"/>
    <w:rsid w:val="00FC2B83"/>
    <w:rsid w:val="00FC3002"/>
    <w:rsid w:val="00FC311E"/>
    <w:rsid w:val="00FC31B5"/>
    <w:rsid w:val="00FC331C"/>
    <w:rsid w:val="00FC3577"/>
    <w:rsid w:val="00FC35CD"/>
    <w:rsid w:val="00FC35EB"/>
    <w:rsid w:val="00FC377A"/>
    <w:rsid w:val="00FC3994"/>
    <w:rsid w:val="00FC3F91"/>
    <w:rsid w:val="00FC3FC0"/>
    <w:rsid w:val="00FC4219"/>
    <w:rsid w:val="00FC48E7"/>
    <w:rsid w:val="00FC495A"/>
    <w:rsid w:val="00FC4C0F"/>
    <w:rsid w:val="00FC4C53"/>
    <w:rsid w:val="00FC4F56"/>
    <w:rsid w:val="00FC515E"/>
    <w:rsid w:val="00FC5475"/>
    <w:rsid w:val="00FC549E"/>
    <w:rsid w:val="00FC54A9"/>
    <w:rsid w:val="00FC54D9"/>
    <w:rsid w:val="00FC5AF6"/>
    <w:rsid w:val="00FC5B28"/>
    <w:rsid w:val="00FC5D57"/>
    <w:rsid w:val="00FC5E4D"/>
    <w:rsid w:val="00FC62F9"/>
    <w:rsid w:val="00FC6505"/>
    <w:rsid w:val="00FC6941"/>
    <w:rsid w:val="00FC6A32"/>
    <w:rsid w:val="00FC6A3A"/>
    <w:rsid w:val="00FC6AB9"/>
    <w:rsid w:val="00FC6FAA"/>
    <w:rsid w:val="00FC70A2"/>
    <w:rsid w:val="00FC731C"/>
    <w:rsid w:val="00FC74E5"/>
    <w:rsid w:val="00FC756B"/>
    <w:rsid w:val="00FC7712"/>
    <w:rsid w:val="00FC785F"/>
    <w:rsid w:val="00FC7909"/>
    <w:rsid w:val="00FC7B09"/>
    <w:rsid w:val="00FC7F6A"/>
    <w:rsid w:val="00FD00FA"/>
    <w:rsid w:val="00FD0535"/>
    <w:rsid w:val="00FD0787"/>
    <w:rsid w:val="00FD099D"/>
    <w:rsid w:val="00FD0E06"/>
    <w:rsid w:val="00FD0EB5"/>
    <w:rsid w:val="00FD11FE"/>
    <w:rsid w:val="00FD153E"/>
    <w:rsid w:val="00FD1715"/>
    <w:rsid w:val="00FD18BC"/>
    <w:rsid w:val="00FD1A9F"/>
    <w:rsid w:val="00FD21DA"/>
    <w:rsid w:val="00FD2BAF"/>
    <w:rsid w:val="00FD2BBD"/>
    <w:rsid w:val="00FD2C34"/>
    <w:rsid w:val="00FD2C5C"/>
    <w:rsid w:val="00FD2D19"/>
    <w:rsid w:val="00FD2E7E"/>
    <w:rsid w:val="00FD2EC2"/>
    <w:rsid w:val="00FD312F"/>
    <w:rsid w:val="00FD32EF"/>
    <w:rsid w:val="00FD342F"/>
    <w:rsid w:val="00FD3467"/>
    <w:rsid w:val="00FD3E03"/>
    <w:rsid w:val="00FD4123"/>
    <w:rsid w:val="00FD46E6"/>
    <w:rsid w:val="00FD4DD6"/>
    <w:rsid w:val="00FD508E"/>
    <w:rsid w:val="00FD5113"/>
    <w:rsid w:val="00FD5217"/>
    <w:rsid w:val="00FD525F"/>
    <w:rsid w:val="00FD5660"/>
    <w:rsid w:val="00FD5A22"/>
    <w:rsid w:val="00FD5A68"/>
    <w:rsid w:val="00FD5C80"/>
    <w:rsid w:val="00FD5D3E"/>
    <w:rsid w:val="00FD5E84"/>
    <w:rsid w:val="00FD6000"/>
    <w:rsid w:val="00FD608A"/>
    <w:rsid w:val="00FD6145"/>
    <w:rsid w:val="00FD6488"/>
    <w:rsid w:val="00FD691B"/>
    <w:rsid w:val="00FD6C80"/>
    <w:rsid w:val="00FD715A"/>
    <w:rsid w:val="00FD74D2"/>
    <w:rsid w:val="00FD7684"/>
    <w:rsid w:val="00FD7750"/>
    <w:rsid w:val="00FD7980"/>
    <w:rsid w:val="00FD7A38"/>
    <w:rsid w:val="00FD7CDD"/>
    <w:rsid w:val="00FD7F06"/>
    <w:rsid w:val="00FE0022"/>
    <w:rsid w:val="00FE085B"/>
    <w:rsid w:val="00FE0B82"/>
    <w:rsid w:val="00FE0DB4"/>
    <w:rsid w:val="00FE0FB6"/>
    <w:rsid w:val="00FE1074"/>
    <w:rsid w:val="00FE110F"/>
    <w:rsid w:val="00FE16A5"/>
    <w:rsid w:val="00FE1798"/>
    <w:rsid w:val="00FE1833"/>
    <w:rsid w:val="00FE1975"/>
    <w:rsid w:val="00FE1A7C"/>
    <w:rsid w:val="00FE1B27"/>
    <w:rsid w:val="00FE23D6"/>
    <w:rsid w:val="00FE26D9"/>
    <w:rsid w:val="00FE28D8"/>
    <w:rsid w:val="00FE2E0A"/>
    <w:rsid w:val="00FE3022"/>
    <w:rsid w:val="00FE302A"/>
    <w:rsid w:val="00FE3044"/>
    <w:rsid w:val="00FE308F"/>
    <w:rsid w:val="00FE3791"/>
    <w:rsid w:val="00FE38A9"/>
    <w:rsid w:val="00FE398D"/>
    <w:rsid w:val="00FE3A06"/>
    <w:rsid w:val="00FE3A11"/>
    <w:rsid w:val="00FE3A92"/>
    <w:rsid w:val="00FE3BBC"/>
    <w:rsid w:val="00FE3D3B"/>
    <w:rsid w:val="00FE3D44"/>
    <w:rsid w:val="00FE3EE9"/>
    <w:rsid w:val="00FE4032"/>
    <w:rsid w:val="00FE4215"/>
    <w:rsid w:val="00FE43B5"/>
    <w:rsid w:val="00FE501C"/>
    <w:rsid w:val="00FE573D"/>
    <w:rsid w:val="00FE579E"/>
    <w:rsid w:val="00FE5EF8"/>
    <w:rsid w:val="00FE6668"/>
    <w:rsid w:val="00FE66A2"/>
    <w:rsid w:val="00FE6827"/>
    <w:rsid w:val="00FE69B1"/>
    <w:rsid w:val="00FE6CFF"/>
    <w:rsid w:val="00FE6DCD"/>
    <w:rsid w:val="00FE6DED"/>
    <w:rsid w:val="00FE6EEB"/>
    <w:rsid w:val="00FE6F8B"/>
    <w:rsid w:val="00FE76EA"/>
    <w:rsid w:val="00FE779D"/>
    <w:rsid w:val="00FE79AA"/>
    <w:rsid w:val="00FE7AF0"/>
    <w:rsid w:val="00FF0239"/>
    <w:rsid w:val="00FF0319"/>
    <w:rsid w:val="00FF04F0"/>
    <w:rsid w:val="00FF064A"/>
    <w:rsid w:val="00FF0EC0"/>
    <w:rsid w:val="00FF1155"/>
    <w:rsid w:val="00FF164D"/>
    <w:rsid w:val="00FF1742"/>
    <w:rsid w:val="00FF177C"/>
    <w:rsid w:val="00FF1DB0"/>
    <w:rsid w:val="00FF21A9"/>
    <w:rsid w:val="00FF28E7"/>
    <w:rsid w:val="00FF2C5C"/>
    <w:rsid w:val="00FF3343"/>
    <w:rsid w:val="00FF3673"/>
    <w:rsid w:val="00FF36A4"/>
    <w:rsid w:val="00FF399F"/>
    <w:rsid w:val="00FF3B78"/>
    <w:rsid w:val="00FF4341"/>
    <w:rsid w:val="00FF45F5"/>
    <w:rsid w:val="00FF48DA"/>
    <w:rsid w:val="00FF4A15"/>
    <w:rsid w:val="00FF4CB6"/>
    <w:rsid w:val="00FF5155"/>
    <w:rsid w:val="00FF5157"/>
    <w:rsid w:val="00FF5346"/>
    <w:rsid w:val="00FF583C"/>
    <w:rsid w:val="00FF593E"/>
    <w:rsid w:val="00FF5AC6"/>
    <w:rsid w:val="00FF5B75"/>
    <w:rsid w:val="00FF5C2E"/>
    <w:rsid w:val="00FF5E6F"/>
    <w:rsid w:val="00FF5F7E"/>
    <w:rsid w:val="00FF64D8"/>
    <w:rsid w:val="00FF666F"/>
    <w:rsid w:val="00FF69A8"/>
    <w:rsid w:val="00FF6B64"/>
    <w:rsid w:val="00FF6EFF"/>
    <w:rsid w:val="00FF71DD"/>
    <w:rsid w:val="00FF72B0"/>
    <w:rsid w:val="00FF7451"/>
    <w:rsid w:val="00FF7845"/>
    <w:rsid w:val="00FF7D75"/>
    <w:rsid w:val="00FF7ECE"/>
    <w:rsid w:val="00FF7F47"/>
    <w:rsid w:val="00FF7FB4"/>
    <w:rsid w:val="0102965A"/>
    <w:rsid w:val="010D4024"/>
    <w:rsid w:val="0110D664"/>
    <w:rsid w:val="0110EB21"/>
    <w:rsid w:val="011A58A3"/>
    <w:rsid w:val="01229E26"/>
    <w:rsid w:val="01312A9E"/>
    <w:rsid w:val="0136727B"/>
    <w:rsid w:val="0138804A"/>
    <w:rsid w:val="01409EBB"/>
    <w:rsid w:val="0148EEF7"/>
    <w:rsid w:val="0150DE12"/>
    <w:rsid w:val="015A021A"/>
    <w:rsid w:val="015AD8FA"/>
    <w:rsid w:val="015DB329"/>
    <w:rsid w:val="0174B3A8"/>
    <w:rsid w:val="01790C4B"/>
    <w:rsid w:val="017F5574"/>
    <w:rsid w:val="0186A0AC"/>
    <w:rsid w:val="01887CAD"/>
    <w:rsid w:val="018A2B55"/>
    <w:rsid w:val="018B950B"/>
    <w:rsid w:val="018CA168"/>
    <w:rsid w:val="01925337"/>
    <w:rsid w:val="0197F482"/>
    <w:rsid w:val="01B01819"/>
    <w:rsid w:val="01B4AE7B"/>
    <w:rsid w:val="01B5EFED"/>
    <w:rsid w:val="01D4D9B3"/>
    <w:rsid w:val="01E473B5"/>
    <w:rsid w:val="01E90A4B"/>
    <w:rsid w:val="01ECCF7E"/>
    <w:rsid w:val="01EF305D"/>
    <w:rsid w:val="01F3810A"/>
    <w:rsid w:val="0207B719"/>
    <w:rsid w:val="020CA0D8"/>
    <w:rsid w:val="020DB5CF"/>
    <w:rsid w:val="0212CA22"/>
    <w:rsid w:val="02197927"/>
    <w:rsid w:val="022249B4"/>
    <w:rsid w:val="02273557"/>
    <w:rsid w:val="022E2714"/>
    <w:rsid w:val="023C44D0"/>
    <w:rsid w:val="023D54F2"/>
    <w:rsid w:val="025646D0"/>
    <w:rsid w:val="025BD5FE"/>
    <w:rsid w:val="0263F033"/>
    <w:rsid w:val="02755945"/>
    <w:rsid w:val="028263EE"/>
    <w:rsid w:val="02829BE4"/>
    <w:rsid w:val="028616AC"/>
    <w:rsid w:val="0288C770"/>
    <w:rsid w:val="029C83BE"/>
    <w:rsid w:val="02C5D296"/>
    <w:rsid w:val="02D1C06A"/>
    <w:rsid w:val="02D591AB"/>
    <w:rsid w:val="02D696E1"/>
    <w:rsid w:val="02DA23FA"/>
    <w:rsid w:val="02F85CA9"/>
    <w:rsid w:val="03506995"/>
    <w:rsid w:val="035299D5"/>
    <w:rsid w:val="036BB693"/>
    <w:rsid w:val="038EBA61"/>
    <w:rsid w:val="0390A102"/>
    <w:rsid w:val="039D8BDF"/>
    <w:rsid w:val="03A13207"/>
    <w:rsid w:val="03A3C10D"/>
    <w:rsid w:val="03A4974D"/>
    <w:rsid w:val="03AB04C1"/>
    <w:rsid w:val="03AC37C6"/>
    <w:rsid w:val="03AED90B"/>
    <w:rsid w:val="03B3B8C9"/>
    <w:rsid w:val="03C8EEA6"/>
    <w:rsid w:val="03DD5CFA"/>
    <w:rsid w:val="03DF15D1"/>
    <w:rsid w:val="03E95FE9"/>
    <w:rsid w:val="03F5B036"/>
    <w:rsid w:val="03F7A63B"/>
    <w:rsid w:val="0401B921"/>
    <w:rsid w:val="0429A989"/>
    <w:rsid w:val="0429BA3F"/>
    <w:rsid w:val="04360519"/>
    <w:rsid w:val="04414B74"/>
    <w:rsid w:val="0442D28A"/>
    <w:rsid w:val="045D0EEC"/>
    <w:rsid w:val="0467A750"/>
    <w:rsid w:val="047780B7"/>
    <w:rsid w:val="04787E49"/>
    <w:rsid w:val="048263ED"/>
    <w:rsid w:val="04842632"/>
    <w:rsid w:val="048860C3"/>
    <w:rsid w:val="04A64E0D"/>
    <w:rsid w:val="04A8A071"/>
    <w:rsid w:val="04C50EC1"/>
    <w:rsid w:val="04CA0084"/>
    <w:rsid w:val="04D10B53"/>
    <w:rsid w:val="04D95684"/>
    <w:rsid w:val="04E9DCE2"/>
    <w:rsid w:val="04F691CB"/>
    <w:rsid w:val="050739A6"/>
    <w:rsid w:val="0507738B"/>
    <w:rsid w:val="0507A3E8"/>
    <w:rsid w:val="050A1BEE"/>
    <w:rsid w:val="0525838F"/>
    <w:rsid w:val="0529035E"/>
    <w:rsid w:val="05292ADB"/>
    <w:rsid w:val="052C4223"/>
    <w:rsid w:val="05378441"/>
    <w:rsid w:val="0544959C"/>
    <w:rsid w:val="054A31B8"/>
    <w:rsid w:val="054B15E4"/>
    <w:rsid w:val="054C0E3F"/>
    <w:rsid w:val="0550EEF2"/>
    <w:rsid w:val="056135D1"/>
    <w:rsid w:val="056D81B0"/>
    <w:rsid w:val="056EEC5A"/>
    <w:rsid w:val="056FFE36"/>
    <w:rsid w:val="05785CDD"/>
    <w:rsid w:val="05927B90"/>
    <w:rsid w:val="0593E34E"/>
    <w:rsid w:val="0594D8CF"/>
    <w:rsid w:val="05A4FCE7"/>
    <w:rsid w:val="05AD6BFD"/>
    <w:rsid w:val="05AEFFFA"/>
    <w:rsid w:val="05B58037"/>
    <w:rsid w:val="05CC27F8"/>
    <w:rsid w:val="05D01701"/>
    <w:rsid w:val="05D9611D"/>
    <w:rsid w:val="05F3B78D"/>
    <w:rsid w:val="05F8DE10"/>
    <w:rsid w:val="060632BA"/>
    <w:rsid w:val="06078742"/>
    <w:rsid w:val="062D564B"/>
    <w:rsid w:val="06413D52"/>
    <w:rsid w:val="0641C42B"/>
    <w:rsid w:val="06451ECF"/>
    <w:rsid w:val="0656CF65"/>
    <w:rsid w:val="0667DC0C"/>
    <w:rsid w:val="0668131C"/>
    <w:rsid w:val="0674ED4C"/>
    <w:rsid w:val="06780C55"/>
    <w:rsid w:val="069073CE"/>
    <w:rsid w:val="06955DE7"/>
    <w:rsid w:val="06A344AA"/>
    <w:rsid w:val="06BB91AC"/>
    <w:rsid w:val="06BBF2A2"/>
    <w:rsid w:val="06C33911"/>
    <w:rsid w:val="06C44839"/>
    <w:rsid w:val="06C45B4D"/>
    <w:rsid w:val="06C95071"/>
    <w:rsid w:val="06C9A199"/>
    <w:rsid w:val="06CA3714"/>
    <w:rsid w:val="06CAAAF3"/>
    <w:rsid w:val="06D0FE24"/>
    <w:rsid w:val="06DE264B"/>
    <w:rsid w:val="06EBF430"/>
    <w:rsid w:val="06F4F2ED"/>
    <w:rsid w:val="0709B81F"/>
    <w:rsid w:val="070B7459"/>
    <w:rsid w:val="070BE7C7"/>
    <w:rsid w:val="0711DC3D"/>
    <w:rsid w:val="0728D978"/>
    <w:rsid w:val="072D6157"/>
    <w:rsid w:val="073BE99A"/>
    <w:rsid w:val="073C6C68"/>
    <w:rsid w:val="07492054"/>
    <w:rsid w:val="074C68F1"/>
    <w:rsid w:val="074FBC1F"/>
    <w:rsid w:val="075DCE7D"/>
    <w:rsid w:val="076CE981"/>
    <w:rsid w:val="077C1AC8"/>
    <w:rsid w:val="078176A7"/>
    <w:rsid w:val="078C93ED"/>
    <w:rsid w:val="078FFAD5"/>
    <w:rsid w:val="07AFA4F3"/>
    <w:rsid w:val="07B5DDB8"/>
    <w:rsid w:val="07BB3F3B"/>
    <w:rsid w:val="07BECCA1"/>
    <w:rsid w:val="07C8E14E"/>
    <w:rsid w:val="07D7235F"/>
    <w:rsid w:val="07D9C886"/>
    <w:rsid w:val="07E3B502"/>
    <w:rsid w:val="07E6AEFA"/>
    <w:rsid w:val="07ECC0A9"/>
    <w:rsid w:val="07F23F09"/>
    <w:rsid w:val="07F3689C"/>
    <w:rsid w:val="07F824D2"/>
    <w:rsid w:val="0807801F"/>
    <w:rsid w:val="080DE6C5"/>
    <w:rsid w:val="081B5D8F"/>
    <w:rsid w:val="081CC04F"/>
    <w:rsid w:val="0829167A"/>
    <w:rsid w:val="0848BB9D"/>
    <w:rsid w:val="086397C8"/>
    <w:rsid w:val="086F8932"/>
    <w:rsid w:val="087038D9"/>
    <w:rsid w:val="087CA44E"/>
    <w:rsid w:val="087FA2A6"/>
    <w:rsid w:val="088199B9"/>
    <w:rsid w:val="08830516"/>
    <w:rsid w:val="08837CDA"/>
    <w:rsid w:val="0893ECE1"/>
    <w:rsid w:val="0898416C"/>
    <w:rsid w:val="089B8C39"/>
    <w:rsid w:val="08A7BD39"/>
    <w:rsid w:val="08BEF3B1"/>
    <w:rsid w:val="08C3CAD5"/>
    <w:rsid w:val="08C4211A"/>
    <w:rsid w:val="08CDF722"/>
    <w:rsid w:val="08D61422"/>
    <w:rsid w:val="08EB20F5"/>
    <w:rsid w:val="08EB46D4"/>
    <w:rsid w:val="08F80EE2"/>
    <w:rsid w:val="0920BDEE"/>
    <w:rsid w:val="092552EE"/>
    <w:rsid w:val="092BD750"/>
    <w:rsid w:val="092E1730"/>
    <w:rsid w:val="0938B394"/>
    <w:rsid w:val="09659FA0"/>
    <w:rsid w:val="097136CC"/>
    <w:rsid w:val="097621BA"/>
    <w:rsid w:val="097B0165"/>
    <w:rsid w:val="097E1AE7"/>
    <w:rsid w:val="0997D455"/>
    <w:rsid w:val="09ADB928"/>
    <w:rsid w:val="09B4E949"/>
    <w:rsid w:val="09BA3C01"/>
    <w:rsid w:val="09C06038"/>
    <w:rsid w:val="09C52448"/>
    <w:rsid w:val="09DA2346"/>
    <w:rsid w:val="09DE43CF"/>
    <w:rsid w:val="09F8A250"/>
    <w:rsid w:val="09FA60DB"/>
    <w:rsid w:val="0A0003CE"/>
    <w:rsid w:val="0A0AD3BE"/>
    <w:rsid w:val="0A0E22C4"/>
    <w:rsid w:val="0A193C16"/>
    <w:rsid w:val="0A2D9E6C"/>
    <w:rsid w:val="0A39CB27"/>
    <w:rsid w:val="0A65C267"/>
    <w:rsid w:val="0A6B52D8"/>
    <w:rsid w:val="0A89998F"/>
    <w:rsid w:val="0A8A870C"/>
    <w:rsid w:val="0A8C4960"/>
    <w:rsid w:val="0A8E209D"/>
    <w:rsid w:val="0A8EB17B"/>
    <w:rsid w:val="0A9CDCE9"/>
    <w:rsid w:val="0AA7BD30"/>
    <w:rsid w:val="0AB70C3D"/>
    <w:rsid w:val="0ABCF856"/>
    <w:rsid w:val="0AD86AC5"/>
    <w:rsid w:val="0AE0C705"/>
    <w:rsid w:val="0AF5BBA6"/>
    <w:rsid w:val="0AF8C855"/>
    <w:rsid w:val="0B0ECE0B"/>
    <w:rsid w:val="0B0FAA33"/>
    <w:rsid w:val="0B283E5D"/>
    <w:rsid w:val="0B2FD98B"/>
    <w:rsid w:val="0B331FCB"/>
    <w:rsid w:val="0B4AE2AE"/>
    <w:rsid w:val="0B52F6BA"/>
    <w:rsid w:val="0B577BCE"/>
    <w:rsid w:val="0B6B621B"/>
    <w:rsid w:val="0B7C6415"/>
    <w:rsid w:val="0B7FAB16"/>
    <w:rsid w:val="0B818323"/>
    <w:rsid w:val="0B8A13F6"/>
    <w:rsid w:val="0BB391C2"/>
    <w:rsid w:val="0BB695AC"/>
    <w:rsid w:val="0BB7E6DB"/>
    <w:rsid w:val="0BC82A36"/>
    <w:rsid w:val="0BCA5D9A"/>
    <w:rsid w:val="0BCEE0B7"/>
    <w:rsid w:val="0BDB7BDA"/>
    <w:rsid w:val="0BDF15BE"/>
    <w:rsid w:val="0BE37391"/>
    <w:rsid w:val="0BF30495"/>
    <w:rsid w:val="0BF8A704"/>
    <w:rsid w:val="0C0296F4"/>
    <w:rsid w:val="0C2BACFC"/>
    <w:rsid w:val="0C31A254"/>
    <w:rsid w:val="0C43DE3C"/>
    <w:rsid w:val="0C4F82AF"/>
    <w:rsid w:val="0C57604E"/>
    <w:rsid w:val="0C639239"/>
    <w:rsid w:val="0C7900AF"/>
    <w:rsid w:val="0C848AAB"/>
    <w:rsid w:val="0C97EF7D"/>
    <w:rsid w:val="0C9AC18E"/>
    <w:rsid w:val="0CA09CB0"/>
    <w:rsid w:val="0CAC3FFF"/>
    <w:rsid w:val="0CAF3E76"/>
    <w:rsid w:val="0CBB3C74"/>
    <w:rsid w:val="0CBC0679"/>
    <w:rsid w:val="0CC0FF60"/>
    <w:rsid w:val="0CD12A7E"/>
    <w:rsid w:val="0CD94390"/>
    <w:rsid w:val="0CDA0EE3"/>
    <w:rsid w:val="0CE8A551"/>
    <w:rsid w:val="0CEDBB2E"/>
    <w:rsid w:val="0CF1612E"/>
    <w:rsid w:val="0CF2B282"/>
    <w:rsid w:val="0D0A4D2F"/>
    <w:rsid w:val="0D0DD4EB"/>
    <w:rsid w:val="0D0FDD7D"/>
    <w:rsid w:val="0D19007B"/>
    <w:rsid w:val="0D1A1AC9"/>
    <w:rsid w:val="0D1D3B64"/>
    <w:rsid w:val="0D2610EF"/>
    <w:rsid w:val="0D378DE5"/>
    <w:rsid w:val="0D3F5969"/>
    <w:rsid w:val="0D455069"/>
    <w:rsid w:val="0D49F68B"/>
    <w:rsid w:val="0D907775"/>
    <w:rsid w:val="0DA0C5CA"/>
    <w:rsid w:val="0DA6C261"/>
    <w:rsid w:val="0DB2009E"/>
    <w:rsid w:val="0DB691A8"/>
    <w:rsid w:val="0DC4177E"/>
    <w:rsid w:val="0DCDFC98"/>
    <w:rsid w:val="0DD2F55E"/>
    <w:rsid w:val="0DDB30CA"/>
    <w:rsid w:val="0DDDE168"/>
    <w:rsid w:val="0DE2DD6D"/>
    <w:rsid w:val="0DE9EFF2"/>
    <w:rsid w:val="0DEF5E8B"/>
    <w:rsid w:val="0DEFA335"/>
    <w:rsid w:val="0DF85857"/>
    <w:rsid w:val="0DF9BEDC"/>
    <w:rsid w:val="0DF9DBBD"/>
    <w:rsid w:val="0DFFD381"/>
    <w:rsid w:val="0E0937DD"/>
    <w:rsid w:val="0E0E57FF"/>
    <w:rsid w:val="0E19597B"/>
    <w:rsid w:val="0E2126CA"/>
    <w:rsid w:val="0E337C57"/>
    <w:rsid w:val="0E3EA240"/>
    <w:rsid w:val="0E60A485"/>
    <w:rsid w:val="0E620CB6"/>
    <w:rsid w:val="0E6224C3"/>
    <w:rsid w:val="0E661FC7"/>
    <w:rsid w:val="0E71AAFB"/>
    <w:rsid w:val="0E73064F"/>
    <w:rsid w:val="0E865C10"/>
    <w:rsid w:val="0E937C8B"/>
    <w:rsid w:val="0E974D39"/>
    <w:rsid w:val="0EA9C376"/>
    <w:rsid w:val="0EACC117"/>
    <w:rsid w:val="0EB24739"/>
    <w:rsid w:val="0EC0347F"/>
    <w:rsid w:val="0ED2A6F1"/>
    <w:rsid w:val="0ED54427"/>
    <w:rsid w:val="0ED56411"/>
    <w:rsid w:val="0EE78C14"/>
    <w:rsid w:val="0EEBF481"/>
    <w:rsid w:val="0EFDF0EA"/>
    <w:rsid w:val="0F0ABE4F"/>
    <w:rsid w:val="0F17C4DA"/>
    <w:rsid w:val="0F18742E"/>
    <w:rsid w:val="0F187A31"/>
    <w:rsid w:val="0F226303"/>
    <w:rsid w:val="0F24274D"/>
    <w:rsid w:val="0F3206F8"/>
    <w:rsid w:val="0F428F2E"/>
    <w:rsid w:val="0F4DB6B3"/>
    <w:rsid w:val="0F4F253F"/>
    <w:rsid w:val="0F504640"/>
    <w:rsid w:val="0F515885"/>
    <w:rsid w:val="0F5A2DAD"/>
    <w:rsid w:val="0F83142D"/>
    <w:rsid w:val="0F83AE30"/>
    <w:rsid w:val="0F8D8701"/>
    <w:rsid w:val="0F90CE74"/>
    <w:rsid w:val="0FA48CDA"/>
    <w:rsid w:val="0FCD0C8C"/>
    <w:rsid w:val="0FD58A74"/>
    <w:rsid w:val="0FD5ED6B"/>
    <w:rsid w:val="0FD62C83"/>
    <w:rsid w:val="0FDFDBBE"/>
    <w:rsid w:val="0FEA1CF6"/>
    <w:rsid w:val="0FF09347"/>
    <w:rsid w:val="0FF14C02"/>
    <w:rsid w:val="0FFBB1DB"/>
    <w:rsid w:val="10024C94"/>
    <w:rsid w:val="100C539E"/>
    <w:rsid w:val="10118273"/>
    <w:rsid w:val="1013111D"/>
    <w:rsid w:val="10172409"/>
    <w:rsid w:val="1020409C"/>
    <w:rsid w:val="1028C3D1"/>
    <w:rsid w:val="102FF310"/>
    <w:rsid w:val="10306DFA"/>
    <w:rsid w:val="10374393"/>
    <w:rsid w:val="103C27DB"/>
    <w:rsid w:val="10598A47"/>
    <w:rsid w:val="105FAF3B"/>
    <w:rsid w:val="1065C2C4"/>
    <w:rsid w:val="10673887"/>
    <w:rsid w:val="107DD4B7"/>
    <w:rsid w:val="108916A4"/>
    <w:rsid w:val="1095F7A0"/>
    <w:rsid w:val="10A030BB"/>
    <w:rsid w:val="10A5704B"/>
    <w:rsid w:val="10B6DF60"/>
    <w:rsid w:val="10C35A23"/>
    <w:rsid w:val="10D046EB"/>
    <w:rsid w:val="10D33A36"/>
    <w:rsid w:val="10E8C65D"/>
    <w:rsid w:val="10FD6DE6"/>
    <w:rsid w:val="11033505"/>
    <w:rsid w:val="110EC54C"/>
    <w:rsid w:val="111BD727"/>
    <w:rsid w:val="112E3FA1"/>
    <w:rsid w:val="112F6CEC"/>
    <w:rsid w:val="113BA2E3"/>
    <w:rsid w:val="1148DAA5"/>
    <w:rsid w:val="116B3AA3"/>
    <w:rsid w:val="116CE4C8"/>
    <w:rsid w:val="11700804"/>
    <w:rsid w:val="11776C0C"/>
    <w:rsid w:val="1197EC90"/>
    <w:rsid w:val="1198FC0B"/>
    <w:rsid w:val="11C114C6"/>
    <w:rsid w:val="11C3584A"/>
    <w:rsid w:val="11C78C91"/>
    <w:rsid w:val="11CD52EB"/>
    <w:rsid w:val="11CE3A42"/>
    <w:rsid w:val="11D1B8FE"/>
    <w:rsid w:val="11F35D2E"/>
    <w:rsid w:val="12016609"/>
    <w:rsid w:val="120F4BD3"/>
    <w:rsid w:val="121422BA"/>
    <w:rsid w:val="1220DB3C"/>
    <w:rsid w:val="122DAC6E"/>
    <w:rsid w:val="123C0260"/>
    <w:rsid w:val="12421B6F"/>
    <w:rsid w:val="1243ABF2"/>
    <w:rsid w:val="1249AF64"/>
    <w:rsid w:val="126393CD"/>
    <w:rsid w:val="126D63C8"/>
    <w:rsid w:val="126F63E7"/>
    <w:rsid w:val="12720EE6"/>
    <w:rsid w:val="1277B6E0"/>
    <w:rsid w:val="12918BC9"/>
    <w:rsid w:val="129B2F4A"/>
    <w:rsid w:val="12A33936"/>
    <w:rsid w:val="12B874AC"/>
    <w:rsid w:val="12BDFBE4"/>
    <w:rsid w:val="12C89509"/>
    <w:rsid w:val="12C94459"/>
    <w:rsid w:val="12D3A6E1"/>
    <w:rsid w:val="12D3C5C9"/>
    <w:rsid w:val="12D95043"/>
    <w:rsid w:val="12DA3218"/>
    <w:rsid w:val="12DE1DD9"/>
    <w:rsid w:val="12DEBA90"/>
    <w:rsid w:val="12E0D2A1"/>
    <w:rsid w:val="12E12427"/>
    <w:rsid w:val="12E3A5E4"/>
    <w:rsid w:val="12EC6EB5"/>
    <w:rsid w:val="12FC0DE2"/>
    <w:rsid w:val="12FC55BC"/>
    <w:rsid w:val="13020193"/>
    <w:rsid w:val="130AF0FF"/>
    <w:rsid w:val="130CDCC3"/>
    <w:rsid w:val="1320FD36"/>
    <w:rsid w:val="132C9CAC"/>
    <w:rsid w:val="132DAF98"/>
    <w:rsid w:val="1335C797"/>
    <w:rsid w:val="13418812"/>
    <w:rsid w:val="13482230"/>
    <w:rsid w:val="13612B96"/>
    <w:rsid w:val="136A2917"/>
    <w:rsid w:val="136BC50E"/>
    <w:rsid w:val="136ED04D"/>
    <w:rsid w:val="1381A9A6"/>
    <w:rsid w:val="138A753C"/>
    <w:rsid w:val="139395D2"/>
    <w:rsid w:val="1397135F"/>
    <w:rsid w:val="1398ABCB"/>
    <w:rsid w:val="13A2F581"/>
    <w:rsid w:val="13AF5A6D"/>
    <w:rsid w:val="13B299CF"/>
    <w:rsid w:val="13B3761F"/>
    <w:rsid w:val="13B8DA2C"/>
    <w:rsid w:val="13CA9F28"/>
    <w:rsid w:val="13D10AFC"/>
    <w:rsid w:val="13D5CB66"/>
    <w:rsid w:val="13E49447"/>
    <w:rsid w:val="13F1F831"/>
    <w:rsid w:val="13F7A6CD"/>
    <w:rsid w:val="13F8FA41"/>
    <w:rsid w:val="14080169"/>
    <w:rsid w:val="14116A09"/>
    <w:rsid w:val="14209255"/>
    <w:rsid w:val="14238A7D"/>
    <w:rsid w:val="14333DDC"/>
    <w:rsid w:val="144448AB"/>
    <w:rsid w:val="1450FD4D"/>
    <w:rsid w:val="145B337E"/>
    <w:rsid w:val="146FC3E2"/>
    <w:rsid w:val="1484A1AB"/>
    <w:rsid w:val="1488E54C"/>
    <w:rsid w:val="14913135"/>
    <w:rsid w:val="1498B30D"/>
    <w:rsid w:val="149AC0ED"/>
    <w:rsid w:val="14AF4DC7"/>
    <w:rsid w:val="14AF6772"/>
    <w:rsid w:val="14B3D04A"/>
    <w:rsid w:val="14B64C07"/>
    <w:rsid w:val="14BCDAC0"/>
    <w:rsid w:val="14C0B24E"/>
    <w:rsid w:val="14C282DE"/>
    <w:rsid w:val="14D4E5E1"/>
    <w:rsid w:val="14D93C52"/>
    <w:rsid w:val="14E9D1A2"/>
    <w:rsid w:val="14FFFD07"/>
    <w:rsid w:val="150F294B"/>
    <w:rsid w:val="15172AAA"/>
    <w:rsid w:val="151AE1A6"/>
    <w:rsid w:val="152A75B8"/>
    <w:rsid w:val="153246B0"/>
    <w:rsid w:val="1538688A"/>
    <w:rsid w:val="15403367"/>
    <w:rsid w:val="1543949D"/>
    <w:rsid w:val="15444A71"/>
    <w:rsid w:val="154618BA"/>
    <w:rsid w:val="15461D26"/>
    <w:rsid w:val="15514CD8"/>
    <w:rsid w:val="1569A9C1"/>
    <w:rsid w:val="15767BF0"/>
    <w:rsid w:val="1578FF4C"/>
    <w:rsid w:val="157C5EA3"/>
    <w:rsid w:val="15846929"/>
    <w:rsid w:val="1591013A"/>
    <w:rsid w:val="1591A15B"/>
    <w:rsid w:val="15A6F7BC"/>
    <w:rsid w:val="15AB1F85"/>
    <w:rsid w:val="15AD099E"/>
    <w:rsid w:val="15B1820B"/>
    <w:rsid w:val="15B5ED6C"/>
    <w:rsid w:val="15C2B256"/>
    <w:rsid w:val="15C3B630"/>
    <w:rsid w:val="15E73205"/>
    <w:rsid w:val="15ECA990"/>
    <w:rsid w:val="15F10D1A"/>
    <w:rsid w:val="15F633FD"/>
    <w:rsid w:val="1603A49F"/>
    <w:rsid w:val="1606DB47"/>
    <w:rsid w:val="1615F415"/>
    <w:rsid w:val="16258473"/>
    <w:rsid w:val="162CE16B"/>
    <w:rsid w:val="163249CE"/>
    <w:rsid w:val="1638FB0E"/>
    <w:rsid w:val="163B7C5A"/>
    <w:rsid w:val="16430F1A"/>
    <w:rsid w:val="1649E692"/>
    <w:rsid w:val="164BAE14"/>
    <w:rsid w:val="16625E0C"/>
    <w:rsid w:val="16A519B5"/>
    <w:rsid w:val="16AE6DC5"/>
    <w:rsid w:val="16B53F11"/>
    <w:rsid w:val="16B9DBC2"/>
    <w:rsid w:val="16C73529"/>
    <w:rsid w:val="16C7976A"/>
    <w:rsid w:val="16D40DC1"/>
    <w:rsid w:val="16DAFA9F"/>
    <w:rsid w:val="16DC062A"/>
    <w:rsid w:val="16E619FE"/>
    <w:rsid w:val="170C9BEE"/>
    <w:rsid w:val="170E902D"/>
    <w:rsid w:val="171EF281"/>
    <w:rsid w:val="17257E7F"/>
    <w:rsid w:val="1726F170"/>
    <w:rsid w:val="172923EA"/>
    <w:rsid w:val="172CFFE9"/>
    <w:rsid w:val="1730C96B"/>
    <w:rsid w:val="17372D6E"/>
    <w:rsid w:val="173D3338"/>
    <w:rsid w:val="17456F37"/>
    <w:rsid w:val="174A613B"/>
    <w:rsid w:val="1754856D"/>
    <w:rsid w:val="17637C42"/>
    <w:rsid w:val="177378E6"/>
    <w:rsid w:val="177DC275"/>
    <w:rsid w:val="177F6EEA"/>
    <w:rsid w:val="1793F211"/>
    <w:rsid w:val="179EB7A3"/>
    <w:rsid w:val="17A53ECE"/>
    <w:rsid w:val="17A6C061"/>
    <w:rsid w:val="17A9C4A9"/>
    <w:rsid w:val="17AC4311"/>
    <w:rsid w:val="17DA0301"/>
    <w:rsid w:val="17DFBB25"/>
    <w:rsid w:val="17E07D92"/>
    <w:rsid w:val="17EFFBC6"/>
    <w:rsid w:val="17F726E9"/>
    <w:rsid w:val="1801F37F"/>
    <w:rsid w:val="180535C1"/>
    <w:rsid w:val="18138865"/>
    <w:rsid w:val="18162D24"/>
    <w:rsid w:val="1818B78D"/>
    <w:rsid w:val="1825AF4C"/>
    <w:rsid w:val="18340A29"/>
    <w:rsid w:val="1838382C"/>
    <w:rsid w:val="1838A46F"/>
    <w:rsid w:val="183F93A9"/>
    <w:rsid w:val="186D379A"/>
    <w:rsid w:val="186D600D"/>
    <w:rsid w:val="1872B927"/>
    <w:rsid w:val="188565FF"/>
    <w:rsid w:val="1886A60B"/>
    <w:rsid w:val="18964FE3"/>
    <w:rsid w:val="189A581A"/>
    <w:rsid w:val="18A735C9"/>
    <w:rsid w:val="18B75DAC"/>
    <w:rsid w:val="18BC5BD2"/>
    <w:rsid w:val="18E2B3A3"/>
    <w:rsid w:val="18EFCFA1"/>
    <w:rsid w:val="18F97D2D"/>
    <w:rsid w:val="18FD0E70"/>
    <w:rsid w:val="19055AE8"/>
    <w:rsid w:val="1910B230"/>
    <w:rsid w:val="19143369"/>
    <w:rsid w:val="19195D20"/>
    <w:rsid w:val="191D485F"/>
    <w:rsid w:val="191DE84E"/>
    <w:rsid w:val="1920A8EC"/>
    <w:rsid w:val="194D9776"/>
    <w:rsid w:val="19601141"/>
    <w:rsid w:val="1960F046"/>
    <w:rsid w:val="19621E03"/>
    <w:rsid w:val="19631B7D"/>
    <w:rsid w:val="1968559B"/>
    <w:rsid w:val="1974D475"/>
    <w:rsid w:val="198296D8"/>
    <w:rsid w:val="198ACB57"/>
    <w:rsid w:val="19ADA95F"/>
    <w:rsid w:val="19B7C778"/>
    <w:rsid w:val="19C35440"/>
    <w:rsid w:val="19CC3E63"/>
    <w:rsid w:val="19F01DBE"/>
    <w:rsid w:val="19F091E6"/>
    <w:rsid w:val="19F78F1F"/>
    <w:rsid w:val="1A11F415"/>
    <w:rsid w:val="1A1F4A73"/>
    <w:rsid w:val="1A23A94F"/>
    <w:rsid w:val="1A2B88B2"/>
    <w:rsid w:val="1A3DC6B1"/>
    <w:rsid w:val="1A45FC50"/>
    <w:rsid w:val="1A50EBD8"/>
    <w:rsid w:val="1A5B233F"/>
    <w:rsid w:val="1A5CD41E"/>
    <w:rsid w:val="1A6B8C26"/>
    <w:rsid w:val="1A833262"/>
    <w:rsid w:val="1A8BE942"/>
    <w:rsid w:val="1AA0EDFB"/>
    <w:rsid w:val="1ABF4523"/>
    <w:rsid w:val="1ACD94F9"/>
    <w:rsid w:val="1AD0C714"/>
    <w:rsid w:val="1AE1532A"/>
    <w:rsid w:val="1B0A4556"/>
    <w:rsid w:val="1B0CB08F"/>
    <w:rsid w:val="1B1CA2CC"/>
    <w:rsid w:val="1B2306A8"/>
    <w:rsid w:val="1B4418ED"/>
    <w:rsid w:val="1B44EFA8"/>
    <w:rsid w:val="1B503D40"/>
    <w:rsid w:val="1B53CECA"/>
    <w:rsid w:val="1B6ECC60"/>
    <w:rsid w:val="1B745BCA"/>
    <w:rsid w:val="1B7B858D"/>
    <w:rsid w:val="1B7D2C0C"/>
    <w:rsid w:val="1B896EA8"/>
    <w:rsid w:val="1B91063E"/>
    <w:rsid w:val="1B94CE20"/>
    <w:rsid w:val="1BA0026E"/>
    <w:rsid w:val="1BA6826A"/>
    <w:rsid w:val="1BA92C47"/>
    <w:rsid w:val="1BC329F0"/>
    <w:rsid w:val="1BC66F97"/>
    <w:rsid w:val="1BD65787"/>
    <w:rsid w:val="1BDB1D91"/>
    <w:rsid w:val="1BE5A47A"/>
    <w:rsid w:val="1BFA0EB4"/>
    <w:rsid w:val="1BFD7CAD"/>
    <w:rsid w:val="1BFEDABF"/>
    <w:rsid w:val="1C08C7B3"/>
    <w:rsid w:val="1C0E4D8A"/>
    <w:rsid w:val="1C115A56"/>
    <w:rsid w:val="1C167588"/>
    <w:rsid w:val="1C196854"/>
    <w:rsid w:val="1C274927"/>
    <w:rsid w:val="1C3E54B5"/>
    <w:rsid w:val="1C3FF356"/>
    <w:rsid w:val="1C44DCDD"/>
    <w:rsid w:val="1C48977E"/>
    <w:rsid w:val="1C4F2C1F"/>
    <w:rsid w:val="1C4F5ADE"/>
    <w:rsid w:val="1C53C495"/>
    <w:rsid w:val="1C6109AC"/>
    <w:rsid w:val="1C68AF34"/>
    <w:rsid w:val="1C723885"/>
    <w:rsid w:val="1C7C7456"/>
    <w:rsid w:val="1C7E49C7"/>
    <w:rsid w:val="1C80DE15"/>
    <w:rsid w:val="1C8C8484"/>
    <w:rsid w:val="1C95A94C"/>
    <w:rsid w:val="1CA68382"/>
    <w:rsid w:val="1CC3DB0D"/>
    <w:rsid w:val="1CCF7CCC"/>
    <w:rsid w:val="1CD9BAE3"/>
    <w:rsid w:val="1CDCA020"/>
    <w:rsid w:val="1CEC730D"/>
    <w:rsid w:val="1CF12504"/>
    <w:rsid w:val="1CF37C7F"/>
    <w:rsid w:val="1CF77ECC"/>
    <w:rsid w:val="1CFDB6F3"/>
    <w:rsid w:val="1D103B6D"/>
    <w:rsid w:val="1D1125BD"/>
    <w:rsid w:val="1D1225C3"/>
    <w:rsid w:val="1D16DC98"/>
    <w:rsid w:val="1D1D08B0"/>
    <w:rsid w:val="1D2132D6"/>
    <w:rsid w:val="1D3C8BE0"/>
    <w:rsid w:val="1D4D8137"/>
    <w:rsid w:val="1D56B7AD"/>
    <w:rsid w:val="1D5B03A9"/>
    <w:rsid w:val="1D5C1178"/>
    <w:rsid w:val="1D649E2F"/>
    <w:rsid w:val="1D68CB87"/>
    <w:rsid w:val="1D7A7523"/>
    <w:rsid w:val="1D8D93FC"/>
    <w:rsid w:val="1D8F3547"/>
    <w:rsid w:val="1D9AF627"/>
    <w:rsid w:val="1DC39DFB"/>
    <w:rsid w:val="1DC3E331"/>
    <w:rsid w:val="1DCD0A68"/>
    <w:rsid w:val="1DF22AD1"/>
    <w:rsid w:val="1E0CAD67"/>
    <w:rsid w:val="1E174F27"/>
    <w:rsid w:val="1E273412"/>
    <w:rsid w:val="1E4C31D1"/>
    <w:rsid w:val="1E541362"/>
    <w:rsid w:val="1E57CF3E"/>
    <w:rsid w:val="1E614FC9"/>
    <w:rsid w:val="1E7174B4"/>
    <w:rsid w:val="1E717D3B"/>
    <w:rsid w:val="1E729F26"/>
    <w:rsid w:val="1E7D7BEE"/>
    <w:rsid w:val="1E834DA5"/>
    <w:rsid w:val="1E907F78"/>
    <w:rsid w:val="1E982F45"/>
    <w:rsid w:val="1EA57AE3"/>
    <w:rsid w:val="1EA895E2"/>
    <w:rsid w:val="1EB34C60"/>
    <w:rsid w:val="1EB3DCA4"/>
    <w:rsid w:val="1EB41086"/>
    <w:rsid w:val="1EB49463"/>
    <w:rsid w:val="1EB75917"/>
    <w:rsid w:val="1EBFF459"/>
    <w:rsid w:val="1EC9BAD4"/>
    <w:rsid w:val="1ECAF0A8"/>
    <w:rsid w:val="1ECBE349"/>
    <w:rsid w:val="1ED3FFB5"/>
    <w:rsid w:val="1EDC498C"/>
    <w:rsid w:val="1EEF23F9"/>
    <w:rsid w:val="1EF60EE4"/>
    <w:rsid w:val="1EFA7D20"/>
    <w:rsid w:val="1F053D75"/>
    <w:rsid w:val="1F05779F"/>
    <w:rsid w:val="1F0D925D"/>
    <w:rsid w:val="1F119325"/>
    <w:rsid w:val="1F455D9D"/>
    <w:rsid w:val="1F457A3B"/>
    <w:rsid w:val="1F56A65E"/>
    <w:rsid w:val="1F6607E3"/>
    <w:rsid w:val="1F72025E"/>
    <w:rsid w:val="1F7B6CDF"/>
    <w:rsid w:val="1F7BB767"/>
    <w:rsid w:val="1F7D52D0"/>
    <w:rsid w:val="1F867182"/>
    <w:rsid w:val="1F89FB60"/>
    <w:rsid w:val="1F99B660"/>
    <w:rsid w:val="1FAF0860"/>
    <w:rsid w:val="1FB1ADB1"/>
    <w:rsid w:val="1FD0AAB7"/>
    <w:rsid w:val="1FD1674C"/>
    <w:rsid w:val="1FD832B8"/>
    <w:rsid w:val="1FE51182"/>
    <w:rsid w:val="1FE85B50"/>
    <w:rsid w:val="1FEADCEB"/>
    <w:rsid w:val="1FEF511F"/>
    <w:rsid w:val="2009962C"/>
    <w:rsid w:val="2010B960"/>
    <w:rsid w:val="20231477"/>
    <w:rsid w:val="202EF874"/>
    <w:rsid w:val="2030C3DF"/>
    <w:rsid w:val="203CA679"/>
    <w:rsid w:val="20438965"/>
    <w:rsid w:val="2046210A"/>
    <w:rsid w:val="2047746E"/>
    <w:rsid w:val="205FDDC8"/>
    <w:rsid w:val="2075B322"/>
    <w:rsid w:val="207A4B40"/>
    <w:rsid w:val="208A7699"/>
    <w:rsid w:val="208E1901"/>
    <w:rsid w:val="208F4FFF"/>
    <w:rsid w:val="209C77EF"/>
    <w:rsid w:val="20A4CC8D"/>
    <w:rsid w:val="20A76A15"/>
    <w:rsid w:val="20B163D1"/>
    <w:rsid w:val="20B32715"/>
    <w:rsid w:val="20B395E6"/>
    <w:rsid w:val="20B95CEE"/>
    <w:rsid w:val="20C93053"/>
    <w:rsid w:val="20CA207F"/>
    <w:rsid w:val="20DF64D4"/>
    <w:rsid w:val="20E7CAE7"/>
    <w:rsid w:val="20F03B94"/>
    <w:rsid w:val="20F73546"/>
    <w:rsid w:val="20F90BE5"/>
    <w:rsid w:val="21122CC6"/>
    <w:rsid w:val="211A9CFD"/>
    <w:rsid w:val="2124A9F4"/>
    <w:rsid w:val="21254639"/>
    <w:rsid w:val="2127F04F"/>
    <w:rsid w:val="21297430"/>
    <w:rsid w:val="21320569"/>
    <w:rsid w:val="213CCB83"/>
    <w:rsid w:val="214D8FE8"/>
    <w:rsid w:val="2155C94B"/>
    <w:rsid w:val="2167522F"/>
    <w:rsid w:val="21734C27"/>
    <w:rsid w:val="2174C2BE"/>
    <w:rsid w:val="217B4A9C"/>
    <w:rsid w:val="217BDCFC"/>
    <w:rsid w:val="21832A89"/>
    <w:rsid w:val="2189CD74"/>
    <w:rsid w:val="2191633A"/>
    <w:rsid w:val="21960988"/>
    <w:rsid w:val="2196F8F5"/>
    <w:rsid w:val="219CDDAD"/>
    <w:rsid w:val="21B452A8"/>
    <w:rsid w:val="21B553D9"/>
    <w:rsid w:val="21B66CDB"/>
    <w:rsid w:val="21B8DAEE"/>
    <w:rsid w:val="21BA8061"/>
    <w:rsid w:val="21C00EC0"/>
    <w:rsid w:val="21C533F7"/>
    <w:rsid w:val="21D85DC9"/>
    <w:rsid w:val="21DD8F86"/>
    <w:rsid w:val="21F1055D"/>
    <w:rsid w:val="21F6FBE8"/>
    <w:rsid w:val="220B059E"/>
    <w:rsid w:val="220E5194"/>
    <w:rsid w:val="22161D85"/>
    <w:rsid w:val="2249CEA0"/>
    <w:rsid w:val="224C8E76"/>
    <w:rsid w:val="2258CDC5"/>
    <w:rsid w:val="22616D97"/>
    <w:rsid w:val="22684050"/>
    <w:rsid w:val="226AD850"/>
    <w:rsid w:val="226B9F06"/>
    <w:rsid w:val="2270CAAA"/>
    <w:rsid w:val="2277B5A0"/>
    <w:rsid w:val="227D0F22"/>
    <w:rsid w:val="22829D2D"/>
    <w:rsid w:val="228F1B53"/>
    <w:rsid w:val="22B2239F"/>
    <w:rsid w:val="22B916B0"/>
    <w:rsid w:val="22BAC5A6"/>
    <w:rsid w:val="22C4A9FD"/>
    <w:rsid w:val="22DB012E"/>
    <w:rsid w:val="22DC56FF"/>
    <w:rsid w:val="22FDACC6"/>
    <w:rsid w:val="230C0D52"/>
    <w:rsid w:val="230CDFB6"/>
    <w:rsid w:val="230F4B6B"/>
    <w:rsid w:val="23217C6C"/>
    <w:rsid w:val="23449CAE"/>
    <w:rsid w:val="23463D08"/>
    <w:rsid w:val="234E30EB"/>
    <w:rsid w:val="235E4B9A"/>
    <w:rsid w:val="235EE6B2"/>
    <w:rsid w:val="236443F4"/>
    <w:rsid w:val="2364E337"/>
    <w:rsid w:val="2366FD83"/>
    <w:rsid w:val="236EA89D"/>
    <w:rsid w:val="236F59F6"/>
    <w:rsid w:val="2373EB9F"/>
    <w:rsid w:val="237CF6B2"/>
    <w:rsid w:val="237F1A22"/>
    <w:rsid w:val="23842634"/>
    <w:rsid w:val="23844324"/>
    <w:rsid w:val="2388FE3E"/>
    <w:rsid w:val="23A66DD3"/>
    <w:rsid w:val="23A76A37"/>
    <w:rsid w:val="23B04AE8"/>
    <w:rsid w:val="23B2F992"/>
    <w:rsid w:val="23BBDA1B"/>
    <w:rsid w:val="23BD2AEB"/>
    <w:rsid w:val="23C7C0CA"/>
    <w:rsid w:val="23E55A3A"/>
    <w:rsid w:val="23E96F32"/>
    <w:rsid w:val="23FE6E1D"/>
    <w:rsid w:val="240CC766"/>
    <w:rsid w:val="240D4BEE"/>
    <w:rsid w:val="2421A4A1"/>
    <w:rsid w:val="242B2A58"/>
    <w:rsid w:val="2431DBA4"/>
    <w:rsid w:val="24377DCD"/>
    <w:rsid w:val="243B77FB"/>
    <w:rsid w:val="24498D82"/>
    <w:rsid w:val="244C5CED"/>
    <w:rsid w:val="245877E0"/>
    <w:rsid w:val="246550CB"/>
    <w:rsid w:val="248397CC"/>
    <w:rsid w:val="248D9BC1"/>
    <w:rsid w:val="249C0982"/>
    <w:rsid w:val="249D00EA"/>
    <w:rsid w:val="249EF93F"/>
    <w:rsid w:val="24B5FB43"/>
    <w:rsid w:val="24C60EEA"/>
    <w:rsid w:val="24C6DD59"/>
    <w:rsid w:val="24CBCCDB"/>
    <w:rsid w:val="24D42DF0"/>
    <w:rsid w:val="24DE4A69"/>
    <w:rsid w:val="24E82571"/>
    <w:rsid w:val="24F1A9A5"/>
    <w:rsid w:val="25037CD1"/>
    <w:rsid w:val="250E4958"/>
    <w:rsid w:val="252BA278"/>
    <w:rsid w:val="252DA270"/>
    <w:rsid w:val="25367275"/>
    <w:rsid w:val="253AC815"/>
    <w:rsid w:val="2542A17A"/>
    <w:rsid w:val="25437C80"/>
    <w:rsid w:val="2546269A"/>
    <w:rsid w:val="255081CC"/>
    <w:rsid w:val="25534704"/>
    <w:rsid w:val="255620AF"/>
    <w:rsid w:val="2556F49B"/>
    <w:rsid w:val="255BED36"/>
    <w:rsid w:val="2568CC53"/>
    <w:rsid w:val="2569C81E"/>
    <w:rsid w:val="256DD604"/>
    <w:rsid w:val="25704C6C"/>
    <w:rsid w:val="2577B5E5"/>
    <w:rsid w:val="258A2121"/>
    <w:rsid w:val="2592F55D"/>
    <w:rsid w:val="259818B5"/>
    <w:rsid w:val="259ECF5F"/>
    <w:rsid w:val="25A76E49"/>
    <w:rsid w:val="25AD0AD2"/>
    <w:rsid w:val="25B2F731"/>
    <w:rsid w:val="25B74A96"/>
    <w:rsid w:val="25BB3BC3"/>
    <w:rsid w:val="25BB506A"/>
    <w:rsid w:val="25D48B3A"/>
    <w:rsid w:val="25E25EF8"/>
    <w:rsid w:val="25E967F9"/>
    <w:rsid w:val="25EC5E77"/>
    <w:rsid w:val="25EE6E60"/>
    <w:rsid w:val="25EF81C9"/>
    <w:rsid w:val="25EFCCC7"/>
    <w:rsid w:val="25F32CC7"/>
    <w:rsid w:val="26064326"/>
    <w:rsid w:val="26094B12"/>
    <w:rsid w:val="260E99C7"/>
    <w:rsid w:val="2614892A"/>
    <w:rsid w:val="2617BF67"/>
    <w:rsid w:val="261FE087"/>
    <w:rsid w:val="262A2721"/>
    <w:rsid w:val="263F085D"/>
    <w:rsid w:val="26479B68"/>
    <w:rsid w:val="2648286B"/>
    <w:rsid w:val="264A8FF5"/>
    <w:rsid w:val="264AEFF4"/>
    <w:rsid w:val="264B2665"/>
    <w:rsid w:val="2652A0F2"/>
    <w:rsid w:val="2659DA01"/>
    <w:rsid w:val="2659EADA"/>
    <w:rsid w:val="2662DF74"/>
    <w:rsid w:val="26676202"/>
    <w:rsid w:val="266EC4C7"/>
    <w:rsid w:val="2672279A"/>
    <w:rsid w:val="26887147"/>
    <w:rsid w:val="26899B57"/>
    <w:rsid w:val="26926B2B"/>
    <w:rsid w:val="26971298"/>
    <w:rsid w:val="26982E7D"/>
    <w:rsid w:val="2698991B"/>
    <w:rsid w:val="26A36F4E"/>
    <w:rsid w:val="26A3E855"/>
    <w:rsid w:val="26AF7BBD"/>
    <w:rsid w:val="26B92820"/>
    <w:rsid w:val="26C1A4E8"/>
    <w:rsid w:val="26C43AC4"/>
    <w:rsid w:val="26C85EEA"/>
    <w:rsid w:val="26CB126C"/>
    <w:rsid w:val="26D5C2F0"/>
    <w:rsid w:val="26E7CE73"/>
    <w:rsid w:val="26ED6459"/>
    <w:rsid w:val="26F6344C"/>
    <w:rsid w:val="26F76CF0"/>
    <w:rsid w:val="26FCE407"/>
    <w:rsid w:val="2701506D"/>
    <w:rsid w:val="2712C57A"/>
    <w:rsid w:val="2712F362"/>
    <w:rsid w:val="2719D73F"/>
    <w:rsid w:val="271A6C9A"/>
    <w:rsid w:val="271D3D03"/>
    <w:rsid w:val="2741476D"/>
    <w:rsid w:val="274ECEB1"/>
    <w:rsid w:val="275A1BF5"/>
    <w:rsid w:val="27633426"/>
    <w:rsid w:val="27649C88"/>
    <w:rsid w:val="276B10CC"/>
    <w:rsid w:val="276DF6AA"/>
    <w:rsid w:val="276FCF80"/>
    <w:rsid w:val="277EEF1E"/>
    <w:rsid w:val="2789BB20"/>
    <w:rsid w:val="278C5BDA"/>
    <w:rsid w:val="27912298"/>
    <w:rsid w:val="27AC3A6A"/>
    <w:rsid w:val="27AC5CE3"/>
    <w:rsid w:val="27ACD851"/>
    <w:rsid w:val="27AEB10F"/>
    <w:rsid w:val="27B6B980"/>
    <w:rsid w:val="27BF1DEC"/>
    <w:rsid w:val="27C49B07"/>
    <w:rsid w:val="27C6F02A"/>
    <w:rsid w:val="27F7EB68"/>
    <w:rsid w:val="280DF325"/>
    <w:rsid w:val="281180A7"/>
    <w:rsid w:val="2821F762"/>
    <w:rsid w:val="282641B7"/>
    <w:rsid w:val="282982A6"/>
    <w:rsid w:val="282AA6B2"/>
    <w:rsid w:val="2836606A"/>
    <w:rsid w:val="283BADD1"/>
    <w:rsid w:val="283BDFD3"/>
    <w:rsid w:val="28446EE6"/>
    <w:rsid w:val="2852E94A"/>
    <w:rsid w:val="28607C8F"/>
    <w:rsid w:val="286E02D4"/>
    <w:rsid w:val="28752862"/>
    <w:rsid w:val="2877954E"/>
    <w:rsid w:val="287A55EA"/>
    <w:rsid w:val="287A63A3"/>
    <w:rsid w:val="287F4068"/>
    <w:rsid w:val="2886B630"/>
    <w:rsid w:val="28896C8A"/>
    <w:rsid w:val="288C916A"/>
    <w:rsid w:val="2893A619"/>
    <w:rsid w:val="28976230"/>
    <w:rsid w:val="289C8285"/>
    <w:rsid w:val="28AD6F3B"/>
    <w:rsid w:val="28AFC416"/>
    <w:rsid w:val="28BFE157"/>
    <w:rsid w:val="28C49BAB"/>
    <w:rsid w:val="28C6A10E"/>
    <w:rsid w:val="28D68FA8"/>
    <w:rsid w:val="28D73003"/>
    <w:rsid w:val="28D990F7"/>
    <w:rsid w:val="28DB2360"/>
    <w:rsid w:val="28E4DDAE"/>
    <w:rsid w:val="28E4FFBE"/>
    <w:rsid w:val="28EF23AA"/>
    <w:rsid w:val="28F175E4"/>
    <w:rsid w:val="28F95C3E"/>
    <w:rsid w:val="290DF433"/>
    <w:rsid w:val="2911F78B"/>
    <w:rsid w:val="2913B538"/>
    <w:rsid w:val="29276F31"/>
    <w:rsid w:val="2938F7FB"/>
    <w:rsid w:val="2946FECB"/>
    <w:rsid w:val="296894DE"/>
    <w:rsid w:val="29734E98"/>
    <w:rsid w:val="29797BA1"/>
    <w:rsid w:val="297EB51D"/>
    <w:rsid w:val="2980B517"/>
    <w:rsid w:val="2980CFDD"/>
    <w:rsid w:val="29822C2F"/>
    <w:rsid w:val="29896669"/>
    <w:rsid w:val="29AD0583"/>
    <w:rsid w:val="29B1F53B"/>
    <w:rsid w:val="29C3F92A"/>
    <w:rsid w:val="29CB45C1"/>
    <w:rsid w:val="29D60E20"/>
    <w:rsid w:val="29D70588"/>
    <w:rsid w:val="2A0069E2"/>
    <w:rsid w:val="2A1691CF"/>
    <w:rsid w:val="2A1CA0F9"/>
    <w:rsid w:val="2A253DC0"/>
    <w:rsid w:val="2A29AF0F"/>
    <w:rsid w:val="2A3641D5"/>
    <w:rsid w:val="2A4D57D8"/>
    <w:rsid w:val="2A4D9ADC"/>
    <w:rsid w:val="2A5D6168"/>
    <w:rsid w:val="2A5F77E6"/>
    <w:rsid w:val="2A621553"/>
    <w:rsid w:val="2A6B1B6B"/>
    <w:rsid w:val="2A768EF4"/>
    <w:rsid w:val="2A8C8923"/>
    <w:rsid w:val="2A8DE775"/>
    <w:rsid w:val="2A97B7E7"/>
    <w:rsid w:val="2A9BB9F7"/>
    <w:rsid w:val="2A9CCE6E"/>
    <w:rsid w:val="2A9D6259"/>
    <w:rsid w:val="2AA2283D"/>
    <w:rsid w:val="2ABC6A8A"/>
    <w:rsid w:val="2AD12602"/>
    <w:rsid w:val="2AD36CF5"/>
    <w:rsid w:val="2AD56C71"/>
    <w:rsid w:val="2AE1F68C"/>
    <w:rsid w:val="2AEBD106"/>
    <w:rsid w:val="2AF4FFCC"/>
    <w:rsid w:val="2AF7273D"/>
    <w:rsid w:val="2B0E1895"/>
    <w:rsid w:val="2B170E6A"/>
    <w:rsid w:val="2B24D125"/>
    <w:rsid w:val="2B2FCB60"/>
    <w:rsid w:val="2B337473"/>
    <w:rsid w:val="2B3A1044"/>
    <w:rsid w:val="2B41A6E6"/>
    <w:rsid w:val="2B480A9A"/>
    <w:rsid w:val="2B49C72A"/>
    <w:rsid w:val="2B504A6F"/>
    <w:rsid w:val="2B52BB83"/>
    <w:rsid w:val="2B59ECF2"/>
    <w:rsid w:val="2B705AB6"/>
    <w:rsid w:val="2B765767"/>
    <w:rsid w:val="2B772F2A"/>
    <w:rsid w:val="2B860A44"/>
    <w:rsid w:val="2B968294"/>
    <w:rsid w:val="2BA3E459"/>
    <w:rsid w:val="2BAA0943"/>
    <w:rsid w:val="2BACC6A5"/>
    <w:rsid w:val="2BC102B2"/>
    <w:rsid w:val="2BC6A7E3"/>
    <w:rsid w:val="2BCB8BE9"/>
    <w:rsid w:val="2BF47B7B"/>
    <w:rsid w:val="2BFEDCE7"/>
    <w:rsid w:val="2C0533D8"/>
    <w:rsid w:val="2C063569"/>
    <w:rsid w:val="2C102C12"/>
    <w:rsid w:val="2C127968"/>
    <w:rsid w:val="2C19E163"/>
    <w:rsid w:val="2C26AE0E"/>
    <w:rsid w:val="2C299F59"/>
    <w:rsid w:val="2C305E3C"/>
    <w:rsid w:val="2C4014EE"/>
    <w:rsid w:val="2C420278"/>
    <w:rsid w:val="2C4597DD"/>
    <w:rsid w:val="2C4E2242"/>
    <w:rsid w:val="2C56D104"/>
    <w:rsid w:val="2C56EA32"/>
    <w:rsid w:val="2C6DE202"/>
    <w:rsid w:val="2C75DB56"/>
    <w:rsid w:val="2C9CCAC6"/>
    <w:rsid w:val="2C9FCBCB"/>
    <w:rsid w:val="2CA00F3E"/>
    <w:rsid w:val="2CA72990"/>
    <w:rsid w:val="2CBFEE49"/>
    <w:rsid w:val="2CCF95CA"/>
    <w:rsid w:val="2CD4DE48"/>
    <w:rsid w:val="2CE46800"/>
    <w:rsid w:val="2CE6AA74"/>
    <w:rsid w:val="2CE6D14A"/>
    <w:rsid w:val="2D03390F"/>
    <w:rsid w:val="2D0470EE"/>
    <w:rsid w:val="2D0BF3B4"/>
    <w:rsid w:val="2D0EABEA"/>
    <w:rsid w:val="2D13DFFA"/>
    <w:rsid w:val="2D146109"/>
    <w:rsid w:val="2D249B90"/>
    <w:rsid w:val="2D269D1E"/>
    <w:rsid w:val="2D2749CE"/>
    <w:rsid w:val="2D28AA7E"/>
    <w:rsid w:val="2D2B0900"/>
    <w:rsid w:val="2D374556"/>
    <w:rsid w:val="2D43FA37"/>
    <w:rsid w:val="2D4938E3"/>
    <w:rsid w:val="2D5243A4"/>
    <w:rsid w:val="2D52AA66"/>
    <w:rsid w:val="2D598908"/>
    <w:rsid w:val="2D60DC18"/>
    <w:rsid w:val="2D70B7E8"/>
    <w:rsid w:val="2D75AA52"/>
    <w:rsid w:val="2D781B9C"/>
    <w:rsid w:val="2D78DDA9"/>
    <w:rsid w:val="2D86A3E0"/>
    <w:rsid w:val="2D9B54FA"/>
    <w:rsid w:val="2DAA5C3A"/>
    <w:rsid w:val="2DBCE6B4"/>
    <w:rsid w:val="2DC50593"/>
    <w:rsid w:val="2DC673DD"/>
    <w:rsid w:val="2DD4B0DB"/>
    <w:rsid w:val="2DDBBF25"/>
    <w:rsid w:val="2DE85AD8"/>
    <w:rsid w:val="2DF09E27"/>
    <w:rsid w:val="2DF127CB"/>
    <w:rsid w:val="2DFBFBBC"/>
    <w:rsid w:val="2E094F90"/>
    <w:rsid w:val="2E12567E"/>
    <w:rsid w:val="2E1E4DF4"/>
    <w:rsid w:val="2E250126"/>
    <w:rsid w:val="2E27B6A4"/>
    <w:rsid w:val="2E2CE3F6"/>
    <w:rsid w:val="2E672DA7"/>
    <w:rsid w:val="2E6EC772"/>
    <w:rsid w:val="2E8E5252"/>
    <w:rsid w:val="2E9016B6"/>
    <w:rsid w:val="2E93C9DA"/>
    <w:rsid w:val="2EA21A4F"/>
    <w:rsid w:val="2EA2C3D1"/>
    <w:rsid w:val="2EAD9E2C"/>
    <w:rsid w:val="2EB5D4E9"/>
    <w:rsid w:val="2EC1FC78"/>
    <w:rsid w:val="2EC7630F"/>
    <w:rsid w:val="2EC94F32"/>
    <w:rsid w:val="2ECB3379"/>
    <w:rsid w:val="2ECB6D80"/>
    <w:rsid w:val="2EDA6D98"/>
    <w:rsid w:val="2EE4EC78"/>
    <w:rsid w:val="2EE7EF1C"/>
    <w:rsid w:val="2EEA2F67"/>
    <w:rsid w:val="2EF9871E"/>
    <w:rsid w:val="2F14B59D"/>
    <w:rsid w:val="2F19F4BD"/>
    <w:rsid w:val="2F1BB155"/>
    <w:rsid w:val="2F2B1230"/>
    <w:rsid w:val="2F2F4867"/>
    <w:rsid w:val="2F31E5DB"/>
    <w:rsid w:val="2F3E3A5D"/>
    <w:rsid w:val="2F42D133"/>
    <w:rsid w:val="2F47EAB0"/>
    <w:rsid w:val="2F570ECF"/>
    <w:rsid w:val="2F767C89"/>
    <w:rsid w:val="2F80302A"/>
    <w:rsid w:val="2F803D7D"/>
    <w:rsid w:val="2FD16579"/>
    <w:rsid w:val="2FE4AD99"/>
    <w:rsid w:val="2FED61DD"/>
    <w:rsid w:val="2FEF0582"/>
    <w:rsid w:val="30002672"/>
    <w:rsid w:val="3002AFF0"/>
    <w:rsid w:val="3002E5CE"/>
    <w:rsid w:val="30048A75"/>
    <w:rsid w:val="3004BD25"/>
    <w:rsid w:val="30143566"/>
    <w:rsid w:val="301640E8"/>
    <w:rsid w:val="3038DBC7"/>
    <w:rsid w:val="30460B23"/>
    <w:rsid w:val="304E3FD3"/>
    <w:rsid w:val="304EBF89"/>
    <w:rsid w:val="305149A8"/>
    <w:rsid w:val="3060B5FB"/>
    <w:rsid w:val="3061BF51"/>
    <w:rsid w:val="30664AE9"/>
    <w:rsid w:val="306C404A"/>
    <w:rsid w:val="30A21EAD"/>
    <w:rsid w:val="30B24800"/>
    <w:rsid w:val="30C2C609"/>
    <w:rsid w:val="30CB4755"/>
    <w:rsid w:val="30CDCE95"/>
    <w:rsid w:val="30CF1E72"/>
    <w:rsid w:val="30E0A3A5"/>
    <w:rsid w:val="30E5A253"/>
    <w:rsid w:val="30F21E3C"/>
    <w:rsid w:val="30F3399B"/>
    <w:rsid w:val="31049CEA"/>
    <w:rsid w:val="310F2B63"/>
    <w:rsid w:val="311E5CE1"/>
    <w:rsid w:val="312778AA"/>
    <w:rsid w:val="312E5D36"/>
    <w:rsid w:val="3132BE87"/>
    <w:rsid w:val="31401838"/>
    <w:rsid w:val="31411565"/>
    <w:rsid w:val="31455E11"/>
    <w:rsid w:val="31460E8B"/>
    <w:rsid w:val="3152F9C1"/>
    <w:rsid w:val="315EA7DE"/>
    <w:rsid w:val="31663170"/>
    <w:rsid w:val="316A0B12"/>
    <w:rsid w:val="317C0CC4"/>
    <w:rsid w:val="318A93D7"/>
    <w:rsid w:val="319093E0"/>
    <w:rsid w:val="3194466D"/>
    <w:rsid w:val="319633AE"/>
    <w:rsid w:val="31B28198"/>
    <w:rsid w:val="31B39368"/>
    <w:rsid w:val="31B79360"/>
    <w:rsid w:val="31BB68B4"/>
    <w:rsid w:val="31CB8DF8"/>
    <w:rsid w:val="31D768AE"/>
    <w:rsid w:val="31DEF161"/>
    <w:rsid w:val="3209C5FA"/>
    <w:rsid w:val="3219CE92"/>
    <w:rsid w:val="321B02C8"/>
    <w:rsid w:val="32290A9B"/>
    <w:rsid w:val="3232D72E"/>
    <w:rsid w:val="32436ABE"/>
    <w:rsid w:val="326C0966"/>
    <w:rsid w:val="32718499"/>
    <w:rsid w:val="327C1C2E"/>
    <w:rsid w:val="3281A905"/>
    <w:rsid w:val="328A3F1C"/>
    <w:rsid w:val="328CB74A"/>
    <w:rsid w:val="328F6D96"/>
    <w:rsid w:val="32AA1629"/>
    <w:rsid w:val="32CAD40C"/>
    <w:rsid w:val="32EE681C"/>
    <w:rsid w:val="32FCBF5D"/>
    <w:rsid w:val="33031BEB"/>
    <w:rsid w:val="33101612"/>
    <w:rsid w:val="33164C01"/>
    <w:rsid w:val="33265E25"/>
    <w:rsid w:val="33318ABC"/>
    <w:rsid w:val="3347DA99"/>
    <w:rsid w:val="334BD674"/>
    <w:rsid w:val="33708A24"/>
    <w:rsid w:val="337C0E62"/>
    <w:rsid w:val="337FD434"/>
    <w:rsid w:val="338FB4BD"/>
    <w:rsid w:val="339D3D27"/>
    <w:rsid w:val="339DFE42"/>
    <w:rsid w:val="339E4C4B"/>
    <w:rsid w:val="33A9AFA0"/>
    <w:rsid w:val="33AA942F"/>
    <w:rsid w:val="33C59AD6"/>
    <w:rsid w:val="33CE7E73"/>
    <w:rsid w:val="33D0034C"/>
    <w:rsid w:val="33D476A2"/>
    <w:rsid w:val="33D7AAB1"/>
    <w:rsid w:val="33E7B21E"/>
    <w:rsid w:val="33E897BB"/>
    <w:rsid w:val="33F8E95D"/>
    <w:rsid w:val="33FE1D50"/>
    <w:rsid w:val="34023F6F"/>
    <w:rsid w:val="341F2DED"/>
    <w:rsid w:val="34251A0D"/>
    <w:rsid w:val="342FB8A0"/>
    <w:rsid w:val="34318FDE"/>
    <w:rsid w:val="343DCDBE"/>
    <w:rsid w:val="34541A2A"/>
    <w:rsid w:val="3456E1EC"/>
    <w:rsid w:val="34624104"/>
    <w:rsid w:val="346772BE"/>
    <w:rsid w:val="346C1230"/>
    <w:rsid w:val="346D421E"/>
    <w:rsid w:val="347674D9"/>
    <w:rsid w:val="347C9C82"/>
    <w:rsid w:val="34872DFC"/>
    <w:rsid w:val="349D07D5"/>
    <w:rsid w:val="349D29EB"/>
    <w:rsid w:val="349DEEC0"/>
    <w:rsid w:val="34B54F1A"/>
    <w:rsid w:val="34BA39D5"/>
    <w:rsid w:val="34BBDB48"/>
    <w:rsid w:val="34C79BD4"/>
    <w:rsid w:val="34CA57B0"/>
    <w:rsid w:val="34D1D749"/>
    <w:rsid w:val="34E3E4B8"/>
    <w:rsid w:val="34E526C8"/>
    <w:rsid w:val="34EEFD13"/>
    <w:rsid w:val="34F70E09"/>
    <w:rsid w:val="34FDC414"/>
    <w:rsid w:val="3500099D"/>
    <w:rsid w:val="35083531"/>
    <w:rsid w:val="350924AA"/>
    <w:rsid w:val="3509E210"/>
    <w:rsid w:val="350F9A42"/>
    <w:rsid w:val="3511C12E"/>
    <w:rsid w:val="351C8DC3"/>
    <w:rsid w:val="351C9AA0"/>
    <w:rsid w:val="352248B8"/>
    <w:rsid w:val="352B6721"/>
    <w:rsid w:val="35335328"/>
    <w:rsid w:val="3540EC5D"/>
    <w:rsid w:val="3541F65F"/>
    <w:rsid w:val="35449C57"/>
    <w:rsid w:val="35510B54"/>
    <w:rsid w:val="3555BF8A"/>
    <w:rsid w:val="3559B592"/>
    <w:rsid w:val="355B3632"/>
    <w:rsid w:val="35608945"/>
    <w:rsid w:val="3561ED27"/>
    <w:rsid w:val="3565C965"/>
    <w:rsid w:val="3580A1EF"/>
    <w:rsid w:val="3584C1EB"/>
    <w:rsid w:val="35850A69"/>
    <w:rsid w:val="3588BE70"/>
    <w:rsid w:val="358C1858"/>
    <w:rsid w:val="35948CCA"/>
    <w:rsid w:val="359C9093"/>
    <w:rsid w:val="359CE4E3"/>
    <w:rsid w:val="359F0A29"/>
    <w:rsid w:val="35B2AB8F"/>
    <w:rsid w:val="35B73B61"/>
    <w:rsid w:val="35CF7120"/>
    <w:rsid w:val="35D39C72"/>
    <w:rsid w:val="35DA4EEF"/>
    <w:rsid w:val="35E1ED20"/>
    <w:rsid w:val="35E3152B"/>
    <w:rsid w:val="35E39326"/>
    <w:rsid w:val="361073AE"/>
    <w:rsid w:val="362A646B"/>
    <w:rsid w:val="363E3F86"/>
    <w:rsid w:val="36435E0A"/>
    <w:rsid w:val="364A9499"/>
    <w:rsid w:val="365790E8"/>
    <w:rsid w:val="368519B6"/>
    <w:rsid w:val="3691FE5C"/>
    <w:rsid w:val="3693C6CB"/>
    <w:rsid w:val="36A00949"/>
    <w:rsid w:val="36A0D931"/>
    <w:rsid w:val="36ABA458"/>
    <w:rsid w:val="36B52D03"/>
    <w:rsid w:val="36BEEF24"/>
    <w:rsid w:val="36BF4135"/>
    <w:rsid w:val="36C04068"/>
    <w:rsid w:val="36D9EB4D"/>
    <w:rsid w:val="36DD5DCA"/>
    <w:rsid w:val="36E031A9"/>
    <w:rsid w:val="36E4DFF2"/>
    <w:rsid w:val="36E64273"/>
    <w:rsid w:val="36F0699A"/>
    <w:rsid w:val="36FCEA06"/>
    <w:rsid w:val="3702DF88"/>
    <w:rsid w:val="3704D502"/>
    <w:rsid w:val="37058C9A"/>
    <w:rsid w:val="370DAF8B"/>
    <w:rsid w:val="3715BEEB"/>
    <w:rsid w:val="371DEEF2"/>
    <w:rsid w:val="37273B96"/>
    <w:rsid w:val="3728189E"/>
    <w:rsid w:val="373A52AD"/>
    <w:rsid w:val="373A5907"/>
    <w:rsid w:val="373EBAEB"/>
    <w:rsid w:val="373FD31B"/>
    <w:rsid w:val="3751DCE7"/>
    <w:rsid w:val="37534814"/>
    <w:rsid w:val="375EE545"/>
    <w:rsid w:val="37615AB8"/>
    <w:rsid w:val="37640539"/>
    <w:rsid w:val="3767488B"/>
    <w:rsid w:val="37745418"/>
    <w:rsid w:val="3774A158"/>
    <w:rsid w:val="377FC8BF"/>
    <w:rsid w:val="3781CA62"/>
    <w:rsid w:val="378435FD"/>
    <w:rsid w:val="37856E63"/>
    <w:rsid w:val="3787B19A"/>
    <w:rsid w:val="37AB9CC6"/>
    <w:rsid w:val="37AD6D86"/>
    <w:rsid w:val="37B9C2D5"/>
    <w:rsid w:val="37BD0DDB"/>
    <w:rsid w:val="37C01120"/>
    <w:rsid w:val="37C608E1"/>
    <w:rsid w:val="37D053FA"/>
    <w:rsid w:val="37D1B42D"/>
    <w:rsid w:val="37D2C94B"/>
    <w:rsid w:val="37E09F3B"/>
    <w:rsid w:val="37F32CB2"/>
    <w:rsid w:val="37F63EFE"/>
    <w:rsid w:val="3807BA8F"/>
    <w:rsid w:val="3810D77E"/>
    <w:rsid w:val="38129612"/>
    <w:rsid w:val="3821AC38"/>
    <w:rsid w:val="38252E60"/>
    <w:rsid w:val="3825B563"/>
    <w:rsid w:val="38279072"/>
    <w:rsid w:val="38296680"/>
    <w:rsid w:val="382CCA76"/>
    <w:rsid w:val="3833F206"/>
    <w:rsid w:val="3838A726"/>
    <w:rsid w:val="3839427F"/>
    <w:rsid w:val="383E5BF7"/>
    <w:rsid w:val="3846BA01"/>
    <w:rsid w:val="3858D10F"/>
    <w:rsid w:val="385E3EAD"/>
    <w:rsid w:val="385E6C40"/>
    <w:rsid w:val="386101E5"/>
    <w:rsid w:val="3865538F"/>
    <w:rsid w:val="3865D1D4"/>
    <w:rsid w:val="387E5AB0"/>
    <w:rsid w:val="388ECB27"/>
    <w:rsid w:val="389091E6"/>
    <w:rsid w:val="38955FD7"/>
    <w:rsid w:val="389BDB27"/>
    <w:rsid w:val="38A31BBA"/>
    <w:rsid w:val="38A49A1E"/>
    <w:rsid w:val="38AFD58F"/>
    <w:rsid w:val="38B28706"/>
    <w:rsid w:val="38BE2A01"/>
    <w:rsid w:val="38C2895A"/>
    <w:rsid w:val="38C87A54"/>
    <w:rsid w:val="38D28E76"/>
    <w:rsid w:val="38DBE389"/>
    <w:rsid w:val="38DD40BF"/>
    <w:rsid w:val="38F896FA"/>
    <w:rsid w:val="38FCC62A"/>
    <w:rsid w:val="390CF8FC"/>
    <w:rsid w:val="391E2D2A"/>
    <w:rsid w:val="39215712"/>
    <w:rsid w:val="393B4CEF"/>
    <w:rsid w:val="3943D5A0"/>
    <w:rsid w:val="3959C60E"/>
    <w:rsid w:val="395E0D21"/>
    <w:rsid w:val="3960B738"/>
    <w:rsid w:val="396419B7"/>
    <w:rsid w:val="39738AA5"/>
    <w:rsid w:val="3986787D"/>
    <w:rsid w:val="39C4C524"/>
    <w:rsid w:val="39C9693D"/>
    <w:rsid w:val="39CB340C"/>
    <w:rsid w:val="39DB36E9"/>
    <w:rsid w:val="39DE7552"/>
    <w:rsid w:val="39DE7557"/>
    <w:rsid w:val="39DF5B8A"/>
    <w:rsid w:val="39F94EC5"/>
    <w:rsid w:val="39FFA7E4"/>
    <w:rsid w:val="3A0A45BA"/>
    <w:rsid w:val="3A164EF4"/>
    <w:rsid w:val="3A1ACD5E"/>
    <w:rsid w:val="3A1E7FA6"/>
    <w:rsid w:val="3A2288D9"/>
    <w:rsid w:val="3A3DDEFC"/>
    <w:rsid w:val="3A4834A3"/>
    <w:rsid w:val="3A4F35F2"/>
    <w:rsid w:val="3A507154"/>
    <w:rsid w:val="3A5FD27C"/>
    <w:rsid w:val="3A5FFD11"/>
    <w:rsid w:val="3A6C5710"/>
    <w:rsid w:val="3A6E7EE2"/>
    <w:rsid w:val="3A6EF7A1"/>
    <w:rsid w:val="3A71D6F5"/>
    <w:rsid w:val="3A74291D"/>
    <w:rsid w:val="3A8198B1"/>
    <w:rsid w:val="3A9C2246"/>
    <w:rsid w:val="3AA0992C"/>
    <w:rsid w:val="3AA17A03"/>
    <w:rsid w:val="3AA17B4A"/>
    <w:rsid w:val="3AA278E2"/>
    <w:rsid w:val="3AA4BF7E"/>
    <w:rsid w:val="3AAD76F3"/>
    <w:rsid w:val="3AB1CE54"/>
    <w:rsid w:val="3AB9973A"/>
    <w:rsid w:val="3AC127ED"/>
    <w:rsid w:val="3AD423EC"/>
    <w:rsid w:val="3ADC65F2"/>
    <w:rsid w:val="3AE48EFE"/>
    <w:rsid w:val="3AE84B53"/>
    <w:rsid w:val="3AEE6936"/>
    <w:rsid w:val="3AFB94B3"/>
    <w:rsid w:val="3B11D638"/>
    <w:rsid w:val="3B17F598"/>
    <w:rsid w:val="3B23DD76"/>
    <w:rsid w:val="3B270A34"/>
    <w:rsid w:val="3B29C676"/>
    <w:rsid w:val="3B3212F8"/>
    <w:rsid w:val="3B389765"/>
    <w:rsid w:val="3B494AAE"/>
    <w:rsid w:val="3B57AADD"/>
    <w:rsid w:val="3B5A33C4"/>
    <w:rsid w:val="3B7E8D4F"/>
    <w:rsid w:val="3B8524CA"/>
    <w:rsid w:val="3B85B7FD"/>
    <w:rsid w:val="3B9AB0AF"/>
    <w:rsid w:val="3B9C7095"/>
    <w:rsid w:val="3BA48300"/>
    <w:rsid w:val="3BAF9219"/>
    <w:rsid w:val="3BB15A43"/>
    <w:rsid w:val="3BB4D918"/>
    <w:rsid w:val="3BCA6677"/>
    <w:rsid w:val="3BCA7E16"/>
    <w:rsid w:val="3BE2AB5E"/>
    <w:rsid w:val="3BE8D681"/>
    <w:rsid w:val="3BEAD3FD"/>
    <w:rsid w:val="3BFD10FC"/>
    <w:rsid w:val="3BFE2F92"/>
    <w:rsid w:val="3C09933A"/>
    <w:rsid w:val="3C0EA2FC"/>
    <w:rsid w:val="3C107471"/>
    <w:rsid w:val="3C1E614A"/>
    <w:rsid w:val="3C209E48"/>
    <w:rsid w:val="3C26E933"/>
    <w:rsid w:val="3C27FA69"/>
    <w:rsid w:val="3C2BBC83"/>
    <w:rsid w:val="3C339DA4"/>
    <w:rsid w:val="3C354C04"/>
    <w:rsid w:val="3C45E734"/>
    <w:rsid w:val="3C5BB629"/>
    <w:rsid w:val="3C5FD13A"/>
    <w:rsid w:val="3C648FD9"/>
    <w:rsid w:val="3C7376D0"/>
    <w:rsid w:val="3C7AF69B"/>
    <w:rsid w:val="3C7D1995"/>
    <w:rsid w:val="3C80F36A"/>
    <w:rsid w:val="3C8412BA"/>
    <w:rsid w:val="3C89534C"/>
    <w:rsid w:val="3C8C556E"/>
    <w:rsid w:val="3C8E3858"/>
    <w:rsid w:val="3C91C2FC"/>
    <w:rsid w:val="3C981A06"/>
    <w:rsid w:val="3C9A9B13"/>
    <w:rsid w:val="3CA42654"/>
    <w:rsid w:val="3CBACE19"/>
    <w:rsid w:val="3CCB28CB"/>
    <w:rsid w:val="3CCD40AE"/>
    <w:rsid w:val="3CD1CF13"/>
    <w:rsid w:val="3CD34779"/>
    <w:rsid w:val="3CD87B73"/>
    <w:rsid w:val="3CE8DC7E"/>
    <w:rsid w:val="3CEB3028"/>
    <w:rsid w:val="3CEEC858"/>
    <w:rsid w:val="3CF2053C"/>
    <w:rsid w:val="3CF73055"/>
    <w:rsid w:val="3CF8EA0E"/>
    <w:rsid w:val="3D020B14"/>
    <w:rsid w:val="3D093254"/>
    <w:rsid w:val="3D0B94E6"/>
    <w:rsid w:val="3D12CCD6"/>
    <w:rsid w:val="3D192748"/>
    <w:rsid w:val="3D2FC7C6"/>
    <w:rsid w:val="3D32F512"/>
    <w:rsid w:val="3D34E731"/>
    <w:rsid w:val="3D39C872"/>
    <w:rsid w:val="3D555259"/>
    <w:rsid w:val="3D5FCD05"/>
    <w:rsid w:val="3D616181"/>
    <w:rsid w:val="3D61EF45"/>
    <w:rsid w:val="3D67F375"/>
    <w:rsid w:val="3D76D699"/>
    <w:rsid w:val="3D7C626B"/>
    <w:rsid w:val="3D7EDB1D"/>
    <w:rsid w:val="3D851A51"/>
    <w:rsid w:val="3D8AE9F6"/>
    <w:rsid w:val="3D9E54F1"/>
    <w:rsid w:val="3D9F38FE"/>
    <w:rsid w:val="3DA4EFDA"/>
    <w:rsid w:val="3DA7E3D5"/>
    <w:rsid w:val="3DA9DDE5"/>
    <w:rsid w:val="3DAF6380"/>
    <w:rsid w:val="3DB6E633"/>
    <w:rsid w:val="3DBCA5F1"/>
    <w:rsid w:val="3DCF81D0"/>
    <w:rsid w:val="3DDC3EDA"/>
    <w:rsid w:val="3E0C6485"/>
    <w:rsid w:val="3E156B1B"/>
    <w:rsid w:val="3E3CE170"/>
    <w:rsid w:val="3E54AD3F"/>
    <w:rsid w:val="3E60E1A6"/>
    <w:rsid w:val="3E65ACC4"/>
    <w:rsid w:val="3E665A6F"/>
    <w:rsid w:val="3E6757B3"/>
    <w:rsid w:val="3E699E16"/>
    <w:rsid w:val="3E75BC4E"/>
    <w:rsid w:val="3E76A083"/>
    <w:rsid w:val="3E89B0C2"/>
    <w:rsid w:val="3E915C24"/>
    <w:rsid w:val="3E95D56F"/>
    <w:rsid w:val="3EAEE81A"/>
    <w:rsid w:val="3EB9C543"/>
    <w:rsid w:val="3EC1A223"/>
    <w:rsid w:val="3ECB7ED0"/>
    <w:rsid w:val="3ECF4025"/>
    <w:rsid w:val="3ED35E58"/>
    <w:rsid w:val="3EF5525D"/>
    <w:rsid w:val="3F09B075"/>
    <w:rsid w:val="3F0B1BB6"/>
    <w:rsid w:val="3F2187A7"/>
    <w:rsid w:val="3F232185"/>
    <w:rsid w:val="3F26D1B1"/>
    <w:rsid w:val="3F28553A"/>
    <w:rsid w:val="3F2B9CD3"/>
    <w:rsid w:val="3F45577B"/>
    <w:rsid w:val="3F47A241"/>
    <w:rsid w:val="3F47F74C"/>
    <w:rsid w:val="3F4C5C2F"/>
    <w:rsid w:val="3F4ED6F0"/>
    <w:rsid w:val="3F513B1C"/>
    <w:rsid w:val="3F51A073"/>
    <w:rsid w:val="3F55E8F8"/>
    <w:rsid w:val="3F5B87D1"/>
    <w:rsid w:val="3F637D5F"/>
    <w:rsid w:val="3F782ABB"/>
    <w:rsid w:val="3F7C3B01"/>
    <w:rsid w:val="3F8F2DD2"/>
    <w:rsid w:val="3FA25CE7"/>
    <w:rsid w:val="3FA918D9"/>
    <w:rsid w:val="3FAADB3F"/>
    <w:rsid w:val="3FC8F65C"/>
    <w:rsid w:val="3FCF5C82"/>
    <w:rsid w:val="3FD086C9"/>
    <w:rsid w:val="3FE672DB"/>
    <w:rsid w:val="3FE9A6D9"/>
    <w:rsid w:val="3FEE64B6"/>
    <w:rsid w:val="400112E2"/>
    <w:rsid w:val="400BC01A"/>
    <w:rsid w:val="402A8183"/>
    <w:rsid w:val="403AA96F"/>
    <w:rsid w:val="403DDA5D"/>
    <w:rsid w:val="4040197A"/>
    <w:rsid w:val="4041D001"/>
    <w:rsid w:val="4044BF8C"/>
    <w:rsid w:val="404FB6CF"/>
    <w:rsid w:val="405B7FE3"/>
    <w:rsid w:val="405C83B4"/>
    <w:rsid w:val="40608544"/>
    <w:rsid w:val="406FC22A"/>
    <w:rsid w:val="40870E60"/>
    <w:rsid w:val="408A3559"/>
    <w:rsid w:val="40958FEB"/>
    <w:rsid w:val="40A79B07"/>
    <w:rsid w:val="40B88D25"/>
    <w:rsid w:val="40BB9207"/>
    <w:rsid w:val="40CE510B"/>
    <w:rsid w:val="40D180F8"/>
    <w:rsid w:val="40D19E60"/>
    <w:rsid w:val="40D73632"/>
    <w:rsid w:val="40D9B32E"/>
    <w:rsid w:val="40E6A905"/>
    <w:rsid w:val="40EC5828"/>
    <w:rsid w:val="40EEA06D"/>
    <w:rsid w:val="41060128"/>
    <w:rsid w:val="4121EE63"/>
    <w:rsid w:val="412B1A14"/>
    <w:rsid w:val="413ACA9D"/>
    <w:rsid w:val="4143EBA2"/>
    <w:rsid w:val="4157341C"/>
    <w:rsid w:val="415D3C53"/>
    <w:rsid w:val="415E6B11"/>
    <w:rsid w:val="4169F764"/>
    <w:rsid w:val="4178A977"/>
    <w:rsid w:val="417905BA"/>
    <w:rsid w:val="41790B80"/>
    <w:rsid w:val="417C4131"/>
    <w:rsid w:val="419C51BB"/>
    <w:rsid w:val="41A1838B"/>
    <w:rsid w:val="41A99C59"/>
    <w:rsid w:val="41BB4F0A"/>
    <w:rsid w:val="41C78E39"/>
    <w:rsid w:val="41CE3AF3"/>
    <w:rsid w:val="41CF24C2"/>
    <w:rsid w:val="41EFAEBE"/>
    <w:rsid w:val="41FCFD23"/>
    <w:rsid w:val="4203837A"/>
    <w:rsid w:val="4204153F"/>
    <w:rsid w:val="420ABCA8"/>
    <w:rsid w:val="4212761C"/>
    <w:rsid w:val="421324F0"/>
    <w:rsid w:val="4225351C"/>
    <w:rsid w:val="422E68B4"/>
    <w:rsid w:val="422F0B0C"/>
    <w:rsid w:val="422FD96B"/>
    <w:rsid w:val="4230245E"/>
    <w:rsid w:val="42358117"/>
    <w:rsid w:val="42364ABF"/>
    <w:rsid w:val="423D5FE4"/>
    <w:rsid w:val="4243D609"/>
    <w:rsid w:val="424F6851"/>
    <w:rsid w:val="4253B0BC"/>
    <w:rsid w:val="425C9484"/>
    <w:rsid w:val="426A6C28"/>
    <w:rsid w:val="426C5DB8"/>
    <w:rsid w:val="427B5B85"/>
    <w:rsid w:val="427B6902"/>
    <w:rsid w:val="427E230A"/>
    <w:rsid w:val="429203E1"/>
    <w:rsid w:val="429EE005"/>
    <w:rsid w:val="429F8F31"/>
    <w:rsid w:val="429FE072"/>
    <w:rsid w:val="42A9B553"/>
    <w:rsid w:val="42B40C2C"/>
    <w:rsid w:val="42C5BADF"/>
    <w:rsid w:val="42CFA1FF"/>
    <w:rsid w:val="42D47EE2"/>
    <w:rsid w:val="42D6E71E"/>
    <w:rsid w:val="42DBE5F8"/>
    <w:rsid w:val="42DF6BFE"/>
    <w:rsid w:val="42EDAD55"/>
    <w:rsid w:val="42EE3399"/>
    <w:rsid w:val="42F0EA86"/>
    <w:rsid w:val="42FC738E"/>
    <w:rsid w:val="43062884"/>
    <w:rsid w:val="430B98A3"/>
    <w:rsid w:val="4311ED4D"/>
    <w:rsid w:val="4317E23F"/>
    <w:rsid w:val="431D6084"/>
    <w:rsid w:val="4323E318"/>
    <w:rsid w:val="4326D4D4"/>
    <w:rsid w:val="4336F63A"/>
    <w:rsid w:val="434627F6"/>
    <w:rsid w:val="4368BB57"/>
    <w:rsid w:val="437127A1"/>
    <w:rsid w:val="43716896"/>
    <w:rsid w:val="438B3BEC"/>
    <w:rsid w:val="43922342"/>
    <w:rsid w:val="439C9A9B"/>
    <w:rsid w:val="43A1B00C"/>
    <w:rsid w:val="43B00D2A"/>
    <w:rsid w:val="43BAE0B5"/>
    <w:rsid w:val="43BFCE44"/>
    <w:rsid w:val="43D30470"/>
    <w:rsid w:val="43D3C92D"/>
    <w:rsid w:val="440BFC6E"/>
    <w:rsid w:val="440CADB3"/>
    <w:rsid w:val="440DD225"/>
    <w:rsid w:val="4416398B"/>
    <w:rsid w:val="4421C1EF"/>
    <w:rsid w:val="44284968"/>
    <w:rsid w:val="442C2E86"/>
    <w:rsid w:val="44439244"/>
    <w:rsid w:val="4451F4CA"/>
    <w:rsid w:val="445CDFB3"/>
    <w:rsid w:val="4466CA70"/>
    <w:rsid w:val="446FA274"/>
    <w:rsid w:val="446FDE58"/>
    <w:rsid w:val="4481BDC1"/>
    <w:rsid w:val="4481D569"/>
    <w:rsid w:val="44869810"/>
    <w:rsid w:val="4486C4B3"/>
    <w:rsid w:val="448DAA56"/>
    <w:rsid w:val="4498A141"/>
    <w:rsid w:val="44A6A9A8"/>
    <w:rsid w:val="44AD8725"/>
    <w:rsid w:val="44C10AF9"/>
    <w:rsid w:val="44C287D1"/>
    <w:rsid w:val="45043CB8"/>
    <w:rsid w:val="450A24D2"/>
    <w:rsid w:val="450F8790"/>
    <w:rsid w:val="451DAB35"/>
    <w:rsid w:val="4529F8E9"/>
    <w:rsid w:val="453A3EB6"/>
    <w:rsid w:val="45465CA8"/>
    <w:rsid w:val="4549D299"/>
    <w:rsid w:val="4555F893"/>
    <w:rsid w:val="4563727A"/>
    <w:rsid w:val="4579EA24"/>
    <w:rsid w:val="457E9A7C"/>
    <w:rsid w:val="457EF5BE"/>
    <w:rsid w:val="458D82DF"/>
    <w:rsid w:val="4596511E"/>
    <w:rsid w:val="45A66307"/>
    <w:rsid w:val="45A72323"/>
    <w:rsid w:val="45B3C071"/>
    <w:rsid w:val="45BF0F9C"/>
    <w:rsid w:val="45C36D6B"/>
    <w:rsid w:val="45D3A17C"/>
    <w:rsid w:val="45DAB803"/>
    <w:rsid w:val="45DB8704"/>
    <w:rsid w:val="45E1CB94"/>
    <w:rsid w:val="45E6F639"/>
    <w:rsid w:val="45F514ED"/>
    <w:rsid w:val="4604E3EF"/>
    <w:rsid w:val="46069A73"/>
    <w:rsid w:val="461282E8"/>
    <w:rsid w:val="462212C7"/>
    <w:rsid w:val="46267C87"/>
    <w:rsid w:val="4626EE31"/>
    <w:rsid w:val="462889BB"/>
    <w:rsid w:val="462C7AD4"/>
    <w:rsid w:val="463D5FD1"/>
    <w:rsid w:val="4643E1AA"/>
    <w:rsid w:val="4646152D"/>
    <w:rsid w:val="465690EA"/>
    <w:rsid w:val="465FC64F"/>
    <w:rsid w:val="466C02B1"/>
    <w:rsid w:val="466C67A9"/>
    <w:rsid w:val="46723126"/>
    <w:rsid w:val="4687DDAB"/>
    <w:rsid w:val="468B669C"/>
    <w:rsid w:val="468DAACB"/>
    <w:rsid w:val="46A88196"/>
    <w:rsid w:val="46A94510"/>
    <w:rsid w:val="46AA579F"/>
    <w:rsid w:val="46C0E951"/>
    <w:rsid w:val="46C31B29"/>
    <w:rsid w:val="46C4F128"/>
    <w:rsid w:val="46CE0B92"/>
    <w:rsid w:val="46D951E1"/>
    <w:rsid w:val="46DD4B0B"/>
    <w:rsid w:val="47062EF6"/>
    <w:rsid w:val="470CD6E3"/>
    <w:rsid w:val="47188D5F"/>
    <w:rsid w:val="471902EC"/>
    <w:rsid w:val="473263E8"/>
    <w:rsid w:val="473EBEAE"/>
    <w:rsid w:val="4744BBB2"/>
    <w:rsid w:val="474F3AD7"/>
    <w:rsid w:val="474F74EF"/>
    <w:rsid w:val="474FF4E6"/>
    <w:rsid w:val="476961A3"/>
    <w:rsid w:val="4786CE91"/>
    <w:rsid w:val="478A8805"/>
    <w:rsid w:val="47995949"/>
    <w:rsid w:val="47A913DB"/>
    <w:rsid w:val="47AD81DF"/>
    <w:rsid w:val="47C1847F"/>
    <w:rsid w:val="47D037F6"/>
    <w:rsid w:val="47DBACB0"/>
    <w:rsid w:val="47DDA52D"/>
    <w:rsid w:val="47E81FAE"/>
    <w:rsid w:val="47EA1B7C"/>
    <w:rsid w:val="47EF05D7"/>
    <w:rsid w:val="47EFD841"/>
    <w:rsid w:val="47F8E777"/>
    <w:rsid w:val="47FAC692"/>
    <w:rsid w:val="47FC6E7A"/>
    <w:rsid w:val="4810521D"/>
    <w:rsid w:val="481986E2"/>
    <w:rsid w:val="48249984"/>
    <w:rsid w:val="482506B4"/>
    <w:rsid w:val="483704BC"/>
    <w:rsid w:val="484371F0"/>
    <w:rsid w:val="4844234A"/>
    <w:rsid w:val="4850BE2A"/>
    <w:rsid w:val="4851BAB5"/>
    <w:rsid w:val="48599277"/>
    <w:rsid w:val="488A39B1"/>
    <w:rsid w:val="488A7947"/>
    <w:rsid w:val="48930D95"/>
    <w:rsid w:val="48A589DF"/>
    <w:rsid w:val="48B697C1"/>
    <w:rsid w:val="48B8BB31"/>
    <w:rsid w:val="48DCE746"/>
    <w:rsid w:val="48E0874C"/>
    <w:rsid w:val="48E543DE"/>
    <w:rsid w:val="48ED88A4"/>
    <w:rsid w:val="48F2BF1A"/>
    <w:rsid w:val="49246B19"/>
    <w:rsid w:val="492F6171"/>
    <w:rsid w:val="494A7D2F"/>
    <w:rsid w:val="494D3A2F"/>
    <w:rsid w:val="494FAEC9"/>
    <w:rsid w:val="495B454F"/>
    <w:rsid w:val="49602E2C"/>
    <w:rsid w:val="4972621D"/>
    <w:rsid w:val="49848812"/>
    <w:rsid w:val="49856CB6"/>
    <w:rsid w:val="498ACDD6"/>
    <w:rsid w:val="498BCAE0"/>
    <w:rsid w:val="49918A55"/>
    <w:rsid w:val="499F10EC"/>
    <w:rsid w:val="49B35A03"/>
    <w:rsid w:val="49B37A4D"/>
    <w:rsid w:val="49C11BE7"/>
    <w:rsid w:val="49C2914E"/>
    <w:rsid w:val="49C50F27"/>
    <w:rsid w:val="49DD0493"/>
    <w:rsid w:val="49E7C894"/>
    <w:rsid w:val="49EC635A"/>
    <w:rsid w:val="49ED4785"/>
    <w:rsid w:val="49F60316"/>
    <w:rsid w:val="4A00CC53"/>
    <w:rsid w:val="4A046FAA"/>
    <w:rsid w:val="4A0F94EB"/>
    <w:rsid w:val="4A142F83"/>
    <w:rsid w:val="4A210D70"/>
    <w:rsid w:val="4A4948FC"/>
    <w:rsid w:val="4A4A7689"/>
    <w:rsid w:val="4A4C7E58"/>
    <w:rsid w:val="4A538631"/>
    <w:rsid w:val="4A564F7F"/>
    <w:rsid w:val="4A5E11C4"/>
    <w:rsid w:val="4A6CBD32"/>
    <w:rsid w:val="4A71A38B"/>
    <w:rsid w:val="4A884E89"/>
    <w:rsid w:val="4A89945D"/>
    <w:rsid w:val="4A8C00F5"/>
    <w:rsid w:val="4A9174E1"/>
    <w:rsid w:val="4A935A37"/>
    <w:rsid w:val="4A94BFA0"/>
    <w:rsid w:val="4AA84745"/>
    <w:rsid w:val="4AAC523E"/>
    <w:rsid w:val="4AB2F059"/>
    <w:rsid w:val="4AC996AF"/>
    <w:rsid w:val="4AD00BAF"/>
    <w:rsid w:val="4AD4E7CF"/>
    <w:rsid w:val="4AE78237"/>
    <w:rsid w:val="4AEB86A2"/>
    <w:rsid w:val="4AF5B7E7"/>
    <w:rsid w:val="4B02E6BD"/>
    <w:rsid w:val="4B0B2F4F"/>
    <w:rsid w:val="4B0BE737"/>
    <w:rsid w:val="4B13AD28"/>
    <w:rsid w:val="4B1BF12F"/>
    <w:rsid w:val="4B21F09E"/>
    <w:rsid w:val="4B27AA79"/>
    <w:rsid w:val="4B3CCD2C"/>
    <w:rsid w:val="4B3F4248"/>
    <w:rsid w:val="4B42D9FE"/>
    <w:rsid w:val="4B42E931"/>
    <w:rsid w:val="4B504A6E"/>
    <w:rsid w:val="4B560AB5"/>
    <w:rsid w:val="4B586CF2"/>
    <w:rsid w:val="4B5929DB"/>
    <w:rsid w:val="4B7851F9"/>
    <w:rsid w:val="4B7C2F70"/>
    <w:rsid w:val="4B839E9D"/>
    <w:rsid w:val="4B8CC1AA"/>
    <w:rsid w:val="4B8D252F"/>
    <w:rsid w:val="4B9B9E38"/>
    <w:rsid w:val="4BBC4F9B"/>
    <w:rsid w:val="4BC3B026"/>
    <w:rsid w:val="4BD34FF2"/>
    <w:rsid w:val="4BD76ACC"/>
    <w:rsid w:val="4BFC0D2C"/>
    <w:rsid w:val="4C02616D"/>
    <w:rsid w:val="4C06E986"/>
    <w:rsid w:val="4C078CE8"/>
    <w:rsid w:val="4C15BFFA"/>
    <w:rsid w:val="4C1ED6D0"/>
    <w:rsid w:val="4C248D3F"/>
    <w:rsid w:val="4C3D51B0"/>
    <w:rsid w:val="4C3E2847"/>
    <w:rsid w:val="4C40BA7C"/>
    <w:rsid w:val="4C5D833F"/>
    <w:rsid w:val="4C5EA597"/>
    <w:rsid w:val="4C6348A4"/>
    <w:rsid w:val="4C6503C7"/>
    <w:rsid w:val="4C74FCBB"/>
    <w:rsid w:val="4C7516E5"/>
    <w:rsid w:val="4C8319C7"/>
    <w:rsid w:val="4C880BAA"/>
    <w:rsid w:val="4C901360"/>
    <w:rsid w:val="4CA63AC4"/>
    <w:rsid w:val="4CBE41A4"/>
    <w:rsid w:val="4CD98945"/>
    <w:rsid w:val="4CDA6CEF"/>
    <w:rsid w:val="4CE536BF"/>
    <w:rsid w:val="4CEF1157"/>
    <w:rsid w:val="4D020F9B"/>
    <w:rsid w:val="4D0562F7"/>
    <w:rsid w:val="4D29A8C0"/>
    <w:rsid w:val="4D3AB72F"/>
    <w:rsid w:val="4D418334"/>
    <w:rsid w:val="4D4E11F0"/>
    <w:rsid w:val="4D51FD4D"/>
    <w:rsid w:val="4D57D729"/>
    <w:rsid w:val="4D5E3E84"/>
    <w:rsid w:val="4D5F2482"/>
    <w:rsid w:val="4D68231B"/>
    <w:rsid w:val="4D68C315"/>
    <w:rsid w:val="4D691B0C"/>
    <w:rsid w:val="4D723A23"/>
    <w:rsid w:val="4D789734"/>
    <w:rsid w:val="4D7FEDD3"/>
    <w:rsid w:val="4D802D7B"/>
    <w:rsid w:val="4DA3634F"/>
    <w:rsid w:val="4DA6A022"/>
    <w:rsid w:val="4DB600FE"/>
    <w:rsid w:val="4DBC7BBA"/>
    <w:rsid w:val="4DC03F6C"/>
    <w:rsid w:val="4DC79126"/>
    <w:rsid w:val="4DCD1E6D"/>
    <w:rsid w:val="4DCF68CF"/>
    <w:rsid w:val="4DDDDCFE"/>
    <w:rsid w:val="4DE33028"/>
    <w:rsid w:val="4DE6389E"/>
    <w:rsid w:val="4DE7FC13"/>
    <w:rsid w:val="4DF24F57"/>
    <w:rsid w:val="4DFFAD1F"/>
    <w:rsid w:val="4E0661EC"/>
    <w:rsid w:val="4E0A288A"/>
    <w:rsid w:val="4E0A30FD"/>
    <w:rsid w:val="4E13C2DE"/>
    <w:rsid w:val="4E20CBC6"/>
    <w:rsid w:val="4E257C41"/>
    <w:rsid w:val="4E2909D8"/>
    <w:rsid w:val="4E2D259C"/>
    <w:rsid w:val="4E2F0AB5"/>
    <w:rsid w:val="4E338E03"/>
    <w:rsid w:val="4E37F2A1"/>
    <w:rsid w:val="4E3FB962"/>
    <w:rsid w:val="4E443F4D"/>
    <w:rsid w:val="4E4FBD9D"/>
    <w:rsid w:val="4E59164C"/>
    <w:rsid w:val="4E5BE1CF"/>
    <w:rsid w:val="4E724278"/>
    <w:rsid w:val="4E782009"/>
    <w:rsid w:val="4E8D4F51"/>
    <w:rsid w:val="4E938504"/>
    <w:rsid w:val="4E945A84"/>
    <w:rsid w:val="4E9A3BE7"/>
    <w:rsid w:val="4EA63B6F"/>
    <w:rsid w:val="4EA9C2AF"/>
    <w:rsid w:val="4EAB8DE3"/>
    <w:rsid w:val="4EB8C914"/>
    <w:rsid w:val="4EC3CC77"/>
    <w:rsid w:val="4EC3EF4D"/>
    <w:rsid w:val="4ECEE8AF"/>
    <w:rsid w:val="4EEB6471"/>
    <w:rsid w:val="4EED2EA9"/>
    <w:rsid w:val="4EF00B96"/>
    <w:rsid w:val="4EF53C78"/>
    <w:rsid w:val="4F14678B"/>
    <w:rsid w:val="4F18DE42"/>
    <w:rsid w:val="4F19D632"/>
    <w:rsid w:val="4F3AE443"/>
    <w:rsid w:val="4F3D37B3"/>
    <w:rsid w:val="4F5F20DD"/>
    <w:rsid w:val="4F5F6BEB"/>
    <w:rsid w:val="4F688C1D"/>
    <w:rsid w:val="4F6F1D8D"/>
    <w:rsid w:val="4F730867"/>
    <w:rsid w:val="4F85E2EC"/>
    <w:rsid w:val="4F876770"/>
    <w:rsid w:val="4F8C3F62"/>
    <w:rsid w:val="4F906F57"/>
    <w:rsid w:val="4F9EEBF2"/>
    <w:rsid w:val="4FA05DED"/>
    <w:rsid w:val="4FA11FAB"/>
    <w:rsid w:val="4FA3EEA7"/>
    <w:rsid w:val="4FACD30D"/>
    <w:rsid w:val="4FC044DB"/>
    <w:rsid w:val="4FC299BF"/>
    <w:rsid w:val="4FC6B3D2"/>
    <w:rsid w:val="4FD03AA3"/>
    <w:rsid w:val="4FD1B267"/>
    <w:rsid w:val="4FDA5FFC"/>
    <w:rsid w:val="4FDE8456"/>
    <w:rsid w:val="4FE64EF8"/>
    <w:rsid w:val="4FF288A2"/>
    <w:rsid w:val="4FF5AC64"/>
    <w:rsid w:val="4FFBC431"/>
    <w:rsid w:val="5002AF4A"/>
    <w:rsid w:val="500C71EA"/>
    <w:rsid w:val="501E2977"/>
    <w:rsid w:val="50230E42"/>
    <w:rsid w:val="502A539D"/>
    <w:rsid w:val="5045E5DC"/>
    <w:rsid w:val="504E2845"/>
    <w:rsid w:val="5052F008"/>
    <w:rsid w:val="5062894F"/>
    <w:rsid w:val="5076F16A"/>
    <w:rsid w:val="507A80AC"/>
    <w:rsid w:val="5096D324"/>
    <w:rsid w:val="50A2766A"/>
    <w:rsid w:val="50BCB4A1"/>
    <w:rsid w:val="50C1445C"/>
    <w:rsid w:val="50D284AF"/>
    <w:rsid w:val="50E101A2"/>
    <w:rsid w:val="50E184C1"/>
    <w:rsid w:val="50E5BB64"/>
    <w:rsid w:val="50E5E6B7"/>
    <w:rsid w:val="50EDF260"/>
    <w:rsid w:val="50EEC182"/>
    <w:rsid w:val="51130229"/>
    <w:rsid w:val="51208832"/>
    <w:rsid w:val="514AF770"/>
    <w:rsid w:val="515548A1"/>
    <w:rsid w:val="516303E6"/>
    <w:rsid w:val="5168FF9D"/>
    <w:rsid w:val="517E9A5A"/>
    <w:rsid w:val="5183E61E"/>
    <w:rsid w:val="518B2A29"/>
    <w:rsid w:val="518F8E78"/>
    <w:rsid w:val="519338B9"/>
    <w:rsid w:val="51A486C6"/>
    <w:rsid w:val="51AAB0F0"/>
    <w:rsid w:val="51C9DA38"/>
    <w:rsid w:val="51CC9812"/>
    <w:rsid w:val="51E8C976"/>
    <w:rsid w:val="51EA5999"/>
    <w:rsid w:val="51EB96D3"/>
    <w:rsid w:val="51EE3FD7"/>
    <w:rsid w:val="51FBE2B4"/>
    <w:rsid w:val="5224F194"/>
    <w:rsid w:val="5230DC8D"/>
    <w:rsid w:val="523826CF"/>
    <w:rsid w:val="524019A4"/>
    <w:rsid w:val="5241E217"/>
    <w:rsid w:val="524A0676"/>
    <w:rsid w:val="52586A58"/>
    <w:rsid w:val="5259015A"/>
    <w:rsid w:val="525DA963"/>
    <w:rsid w:val="52669AAE"/>
    <w:rsid w:val="5269D43F"/>
    <w:rsid w:val="526E02C3"/>
    <w:rsid w:val="52720389"/>
    <w:rsid w:val="5273F593"/>
    <w:rsid w:val="5274FA0A"/>
    <w:rsid w:val="5277A88B"/>
    <w:rsid w:val="52785109"/>
    <w:rsid w:val="527AB67B"/>
    <w:rsid w:val="527C9F44"/>
    <w:rsid w:val="5288EDCE"/>
    <w:rsid w:val="528E3C1F"/>
    <w:rsid w:val="52A3CB68"/>
    <w:rsid w:val="52BB3008"/>
    <w:rsid w:val="52BE29DD"/>
    <w:rsid w:val="52C20217"/>
    <w:rsid w:val="52C61E58"/>
    <w:rsid w:val="52CED97B"/>
    <w:rsid w:val="52D69C5F"/>
    <w:rsid w:val="52DCC582"/>
    <w:rsid w:val="52E0F67F"/>
    <w:rsid w:val="52FA4126"/>
    <w:rsid w:val="52FFADD1"/>
    <w:rsid w:val="530D25FA"/>
    <w:rsid w:val="53193003"/>
    <w:rsid w:val="5325E43D"/>
    <w:rsid w:val="533E1E6C"/>
    <w:rsid w:val="5349B5E2"/>
    <w:rsid w:val="534B8E67"/>
    <w:rsid w:val="534F3FA2"/>
    <w:rsid w:val="53506811"/>
    <w:rsid w:val="53553FB6"/>
    <w:rsid w:val="5371F2E6"/>
    <w:rsid w:val="537B5F19"/>
    <w:rsid w:val="53918DE2"/>
    <w:rsid w:val="5392F48A"/>
    <w:rsid w:val="539CA011"/>
    <w:rsid w:val="53A85DA6"/>
    <w:rsid w:val="53A8A0FA"/>
    <w:rsid w:val="53AD45F3"/>
    <w:rsid w:val="53B133EA"/>
    <w:rsid w:val="53B2C6AE"/>
    <w:rsid w:val="53B97356"/>
    <w:rsid w:val="53BEB079"/>
    <w:rsid w:val="53BFF8AD"/>
    <w:rsid w:val="53C872F1"/>
    <w:rsid w:val="53E591B3"/>
    <w:rsid w:val="53F1D44B"/>
    <w:rsid w:val="53F34EAF"/>
    <w:rsid w:val="53F56220"/>
    <w:rsid w:val="54006123"/>
    <w:rsid w:val="5401F355"/>
    <w:rsid w:val="54027C2D"/>
    <w:rsid w:val="5402D5E2"/>
    <w:rsid w:val="54057148"/>
    <w:rsid w:val="5407672D"/>
    <w:rsid w:val="541215BF"/>
    <w:rsid w:val="541CC265"/>
    <w:rsid w:val="542645DF"/>
    <w:rsid w:val="54303EB6"/>
    <w:rsid w:val="543A4567"/>
    <w:rsid w:val="544262C6"/>
    <w:rsid w:val="5448658F"/>
    <w:rsid w:val="544B281E"/>
    <w:rsid w:val="54566380"/>
    <w:rsid w:val="5457306C"/>
    <w:rsid w:val="54578E72"/>
    <w:rsid w:val="54592A5A"/>
    <w:rsid w:val="546682B8"/>
    <w:rsid w:val="546BD6F6"/>
    <w:rsid w:val="546F612A"/>
    <w:rsid w:val="547B4AC4"/>
    <w:rsid w:val="547C63F1"/>
    <w:rsid w:val="547DB0E9"/>
    <w:rsid w:val="54835E2A"/>
    <w:rsid w:val="54C7BD06"/>
    <w:rsid w:val="54DF6B32"/>
    <w:rsid w:val="54E71E7A"/>
    <w:rsid w:val="5508E6A9"/>
    <w:rsid w:val="5515D7DC"/>
    <w:rsid w:val="551BF4AF"/>
    <w:rsid w:val="551DC10B"/>
    <w:rsid w:val="5532CF46"/>
    <w:rsid w:val="5535AA89"/>
    <w:rsid w:val="553ABC0B"/>
    <w:rsid w:val="553FC646"/>
    <w:rsid w:val="5546744F"/>
    <w:rsid w:val="55474167"/>
    <w:rsid w:val="5549DC61"/>
    <w:rsid w:val="554BC695"/>
    <w:rsid w:val="556B1D11"/>
    <w:rsid w:val="5574BCAA"/>
    <w:rsid w:val="5576AD3A"/>
    <w:rsid w:val="557C94F6"/>
    <w:rsid w:val="55807921"/>
    <w:rsid w:val="55829ECD"/>
    <w:rsid w:val="5582ED5E"/>
    <w:rsid w:val="5585C7F3"/>
    <w:rsid w:val="5585E624"/>
    <w:rsid w:val="55917605"/>
    <w:rsid w:val="5592C44B"/>
    <w:rsid w:val="559CD429"/>
    <w:rsid w:val="55A0438C"/>
    <w:rsid w:val="55A52028"/>
    <w:rsid w:val="55AB3339"/>
    <w:rsid w:val="55AC6086"/>
    <w:rsid w:val="55B31DC6"/>
    <w:rsid w:val="55B4353A"/>
    <w:rsid w:val="55BB1292"/>
    <w:rsid w:val="55CB3500"/>
    <w:rsid w:val="55E34465"/>
    <w:rsid w:val="55F54422"/>
    <w:rsid w:val="56017842"/>
    <w:rsid w:val="560C56EE"/>
    <w:rsid w:val="560F73FA"/>
    <w:rsid w:val="56412932"/>
    <w:rsid w:val="56621968"/>
    <w:rsid w:val="566304E8"/>
    <w:rsid w:val="566B1085"/>
    <w:rsid w:val="56908004"/>
    <w:rsid w:val="5697DD71"/>
    <w:rsid w:val="56A2BB1D"/>
    <w:rsid w:val="56AE45E9"/>
    <w:rsid w:val="56AEA850"/>
    <w:rsid w:val="56BCC88B"/>
    <w:rsid w:val="56D85BFB"/>
    <w:rsid w:val="56DAEF05"/>
    <w:rsid w:val="56DC3063"/>
    <w:rsid w:val="56DCBE22"/>
    <w:rsid w:val="56EBE8B2"/>
    <w:rsid w:val="56F1676E"/>
    <w:rsid w:val="5702DB02"/>
    <w:rsid w:val="570FDA54"/>
    <w:rsid w:val="57107BE8"/>
    <w:rsid w:val="57151E0A"/>
    <w:rsid w:val="571CC28D"/>
    <w:rsid w:val="57282A9E"/>
    <w:rsid w:val="57306CD6"/>
    <w:rsid w:val="5744BC4D"/>
    <w:rsid w:val="57510A25"/>
    <w:rsid w:val="575EB23B"/>
    <w:rsid w:val="57677609"/>
    <w:rsid w:val="577E3817"/>
    <w:rsid w:val="5783E5E8"/>
    <w:rsid w:val="57849D2C"/>
    <w:rsid w:val="57A0EDEB"/>
    <w:rsid w:val="57A6768F"/>
    <w:rsid w:val="57A97411"/>
    <w:rsid w:val="57B2EC7F"/>
    <w:rsid w:val="57BA8CCD"/>
    <w:rsid w:val="57D99198"/>
    <w:rsid w:val="57DED41D"/>
    <w:rsid w:val="57E2565A"/>
    <w:rsid w:val="57E68A79"/>
    <w:rsid w:val="57EBC67F"/>
    <w:rsid w:val="57F2EC78"/>
    <w:rsid w:val="57F4DBB3"/>
    <w:rsid w:val="57F95C33"/>
    <w:rsid w:val="57FDDAAC"/>
    <w:rsid w:val="58047219"/>
    <w:rsid w:val="580741DD"/>
    <w:rsid w:val="580DFB2E"/>
    <w:rsid w:val="5812AF54"/>
    <w:rsid w:val="5814ECAC"/>
    <w:rsid w:val="581DF096"/>
    <w:rsid w:val="5823098B"/>
    <w:rsid w:val="58238378"/>
    <w:rsid w:val="582C44D6"/>
    <w:rsid w:val="5870753F"/>
    <w:rsid w:val="58755170"/>
    <w:rsid w:val="5890C43B"/>
    <w:rsid w:val="58925382"/>
    <w:rsid w:val="58A884A3"/>
    <w:rsid w:val="58C5B946"/>
    <w:rsid w:val="58D4ED33"/>
    <w:rsid w:val="58DC44DA"/>
    <w:rsid w:val="58E315BE"/>
    <w:rsid w:val="58E66C30"/>
    <w:rsid w:val="58EBEDFB"/>
    <w:rsid w:val="58F069A3"/>
    <w:rsid w:val="58F2A8B5"/>
    <w:rsid w:val="58F2CEF7"/>
    <w:rsid w:val="5906E8D4"/>
    <w:rsid w:val="590F70CF"/>
    <w:rsid w:val="59163D96"/>
    <w:rsid w:val="59196D31"/>
    <w:rsid w:val="591A51D3"/>
    <w:rsid w:val="592B3FA0"/>
    <w:rsid w:val="592E9AA0"/>
    <w:rsid w:val="592F9A18"/>
    <w:rsid w:val="592FD4A6"/>
    <w:rsid w:val="5932A0E8"/>
    <w:rsid w:val="5936981E"/>
    <w:rsid w:val="59373D08"/>
    <w:rsid w:val="5942D1E5"/>
    <w:rsid w:val="59461271"/>
    <w:rsid w:val="5953AE1A"/>
    <w:rsid w:val="5953E576"/>
    <w:rsid w:val="59662B6D"/>
    <w:rsid w:val="5969DB0D"/>
    <w:rsid w:val="5973B553"/>
    <w:rsid w:val="5975FF50"/>
    <w:rsid w:val="59776842"/>
    <w:rsid w:val="5978CF28"/>
    <w:rsid w:val="598740F9"/>
    <w:rsid w:val="5989E872"/>
    <w:rsid w:val="598AF352"/>
    <w:rsid w:val="598BEB0C"/>
    <w:rsid w:val="59959971"/>
    <w:rsid w:val="599792F1"/>
    <w:rsid w:val="59A35B39"/>
    <w:rsid w:val="59A6E4C4"/>
    <w:rsid w:val="59AD1540"/>
    <w:rsid w:val="59B3BF45"/>
    <w:rsid w:val="59D2CCB8"/>
    <w:rsid w:val="59D429F9"/>
    <w:rsid w:val="59D87380"/>
    <w:rsid w:val="59E6ADCF"/>
    <w:rsid w:val="59F52004"/>
    <w:rsid w:val="5A0598E5"/>
    <w:rsid w:val="5A0A6C07"/>
    <w:rsid w:val="5A1B67C7"/>
    <w:rsid w:val="5A3B4512"/>
    <w:rsid w:val="5A3F20F8"/>
    <w:rsid w:val="5A490763"/>
    <w:rsid w:val="5A4C9F69"/>
    <w:rsid w:val="5A4DFF05"/>
    <w:rsid w:val="5A52D1D2"/>
    <w:rsid w:val="5A53F4AF"/>
    <w:rsid w:val="5A67C34A"/>
    <w:rsid w:val="5A7DA7B2"/>
    <w:rsid w:val="5A814720"/>
    <w:rsid w:val="5A8404A2"/>
    <w:rsid w:val="5A8EEDFD"/>
    <w:rsid w:val="5A9FF5E4"/>
    <w:rsid w:val="5AA2D7DD"/>
    <w:rsid w:val="5AB24A70"/>
    <w:rsid w:val="5AB3A273"/>
    <w:rsid w:val="5ACE954A"/>
    <w:rsid w:val="5AE7B3B2"/>
    <w:rsid w:val="5AEB75FB"/>
    <w:rsid w:val="5AED4EF0"/>
    <w:rsid w:val="5AEF3EAA"/>
    <w:rsid w:val="5AF6CCDF"/>
    <w:rsid w:val="5AFB322C"/>
    <w:rsid w:val="5AFFBE31"/>
    <w:rsid w:val="5B050D01"/>
    <w:rsid w:val="5B16F5BD"/>
    <w:rsid w:val="5B18323A"/>
    <w:rsid w:val="5B2917E8"/>
    <w:rsid w:val="5B4E6CE0"/>
    <w:rsid w:val="5B4E7ACD"/>
    <w:rsid w:val="5B5379E4"/>
    <w:rsid w:val="5B57DDB8"/>
    <w:rsid w:val="5B5BB09E"/>
    <w:rsid w:val="5B730922"/>
    <w:rsid w:val="5B824795"/>
    <w:rsid w:val="5B857DF9"/>
    <w:rsid w:val="5B857E2B"/>
    <w:rsid w:val="5B8DA217"/>
    <w:rsid w:val="5B901257"/>
    <w:rsid w:val="5B91227A"/>
    <w:rsid w:val="5B99074A"/>
    <w:rsid w:val="5BA1318D"/>
    <w:rsid w:val="5BB64768"/>
    <w:rsid w:val="5BC60111"/>
    <w:rsid w:val="5BCD8A2A"/>
    <w:rsid w:val="5BCF3F3C"/>
    <w:rsid w:val="5BD2F7CB"/>
    <w:rsid w:val="5BDA26B8"/>
    <w:rsid w:val="5BE29E39"/>
    <w:rsid w:val="5BEB61F5"/>
    <w:rsid w:val="5BEED98C"/>
    <w:rsid w:val="5C202F28"/>
    <w:rsid w:val="5C23A19C"/>
    <w:rsid w:val="5C24A468"/>
    <w:rsid w:val="5C3D089F"/>
    <w:rsid w:val="5C3ED82D"/>
    <w:rsid w:val="5C5E52D4"/>
    <w:rsid w:val="5C7495AE"/>
    <w:rsid w:val="5C7716EE"/>
    <w:rsid w:val="5C7D6999"/>
    <w:rsid w:val="5C86354E"/>
    <w:rsid w:val="5C92270B"/>
    <w:rsid w:val="5C979C4D"/>
    <w:rsid w:val="5C991B52"/>
    <w:rsid w:val="5CC38521"/>
    <w:rsid w:val="5CDBECBF"/>
    <w:rsid w:val="5CF66A30"/>
    <w:rsid w:val="5CFA2F3D"/>
    <w:rsid w:val="5D0CEC0F"/>
    <w:rsid w:val="5D0FC504"/>
    <w:rsid w:val="5D12E958"/>
    <w:rsid w:val="5D1BAC8F"/>
    <w:rsid w:val="5D3030BF"/>
    <w:rsid w:val="5D30ACEF"/>
    <w:rsid w:val="5D33724E"/>
    <w:rsid w:val="5D36BC85"/>
    <w:rsid w:val="5D3C1708"/>
    <w:rsid w:val="5D3E27FA"/>
    <w:rsid w:val="5D3E8D63"/>
    <w:rsid w:val="5D4380DC"/>
    <w:rsid w:val="5D457119"/>
    <w:rsid w:val="5D53BE32"/>
    <w:rsid w:val="5D66D85E"/>
    <w:rsid w:val="5D6DBE5A"/>
    <w:rsid w:val="5D755A23"/>
    <w:rsid w:val="5D7CF7AA"/>
    <w:rsid w:val="5D7EDE50"/>
    <w:rsid w:val="5D86FB16"/>
    <w:rsid w:val="5D8E225E"/>
    <w:rsid w:val="5D9C4183"/>
    <w:rsid w:val="5D9D033D"/>
    <w:rsid w:val="5D9E53FF"/>
    <w:rsid w:val="5D9F7D0C"/>
    <w:rsid w:val="5DA6BBCE"/>
    <w:rsid w:val="5DBDC1D5"/>
    <w:rsid w:val="5DC2E6CD"/>
    <w:rsid w:val="5DC45CCE"/>
    <w:rsid w:val="5DC982D3"/>
    <w:rsid w:val="5DDFA0C9"/>
    <w:rsid w:val="5DE5E02A"/>
    <w:rsid w:val="5DE9595A"/>
    <w:rsid w:val="5DE9F418"/>
    <w:rsid w:val="5DEB51E0"/>
    <w:rsid w:val="5DFEF844"/>
    <w:rsid w:val="5E132A4D"/>
    <w:rsid w:val="5E145C46"/>
    <w:rsid w:val="5E14AD56"/>
    <w:rsid w:val="5E1A16DD"/>
    <w:rsid w:val="5E1B198E"/>
    <w:rsid w:val="5E1EDEDB"/>
    <w:rsid w:val="5E35509B"/>
    <w:rsid w:val="5E378158"/>
    <w:rsid w:val="5E40CA14"/>
    <w:rsid w:val="5E42A766"/>
    <w:rsid w:val="5E5239A9"/>
    <w:rsid w:val="5E5281ED"/>
    <w:rsid w:val="5E617ECB"/>
    <w:rsid w:val="5E7685E4"/>
    <w:rsid w:val="5E7C2578"/>
    <w:rsid w:val="5E820C1E"/>
    <w:rsid w:val="5E829BF4"/>
    <w:rsid w:val="5E8EC5FF"/>
    <w:rsid w:val="5E988729"/>
    <w:rsid w:val="5E9974A1"/>
    <w:rsid w:val="5EA17F9F"/>
    <w:rsid w:val="5EDA5214"/>
    <w:rsid w:val="5EDD7795"/>
    <w:rsid w:val="5F0ACB44"/>
    <w:rsid w:val="5F1141EB"/>
    <w:rsid w:val="5F163139"/>
    <w:rsid w:val="5F1EB792"/>
    <w:rsid w:val="5F20E91B"/>
    <w:rsid w:val="5F2AB0D6"/>
    <w:rsid w:val="5F363B78"/>
    <w:rsid w:val="5F4C0F18"/>
    <w:rsid w:val="5F5729F2"/>
    <w:rsid w:val="5F5C4005"/>
    <w:rsid w:val="5F631051"/>
    <w:rsid w:val="5F6A7BBD"/>
    <w:rsid w:val="5FA29FD6"/>
    <w:rsid w:val="5FA35F41"/>
    <w:rsid w:val="5FA42E78"/>
    <w:rsid w:val="5FAB636C"/>
    <w:rsid w:val="5FAC04E8"/>
    <w:rsid w:val="5FACE643"/>
    <w:rsid w:val="5FB58890"/>
    <w:rsid w:val="5FBDBE58"/>
    <w:rsid w:val="5FC0D086"/>
    <w:rsid w:val="5FCA8C66"/>
    <w:rsid w:val="5FD25C0C"/>
    <w:rsid w:val="5FD9F520"/>
    <w:rsid w:val="5FDA1CCE"/>
    <w:rsid w:val="5FE7D7AA"/>
    <w:rsid w:val="5FEC0193"/>
    <w:rsid w:val="5FED34D4"/>
    <w:rsid w:val="60049820"/>
    <w:rsid w:val="600B0545"/>
    <w:rsid w:val="6013490D"/>
    <w:rsid w:val="6019C671"/>
    <w:rsid w:val="601C1007"/>
    <w:rsid w:val="60293690"/>
    <w:rsid w:val="602AEB51"/>
    <w:rsid w:val="60304061"/>
    <w:rsid w:val="60361A0A"/>
    <w:rsid w:val="6036DA3B"/>
    <w:rsid w:val="60512090"/>
    <w:rsid w:val="6051B80C"/>
    <w:rsid w:val="6052854B"/>
    <w:rsid w:val="60571FB1"/>
    <w:rsid w:val="605D7EAD"/>
    <w:rsid w:val="6060BDFE"/>
    <w:rsid w:val="606A4F05"/>
    <w:rsid w:val="6079F97E"/>
    <w:rsid w:val="6083A5A1"/>
    <w:rsid w:val="609C1BE7"/>
    <w:rsid w:val="609C4041"/>
    <w:rsid w:val="60A4E575"/>
    <w:rsid w:val="60AAB91B"/>
    <w:rsid w:val="60ADFF23"/>
    <w:rsid w:val="60B7D7BD"/>
    <w:rsid w:val="60C29995"/>
    <w:rsid w:val="60D1A45D"/>
    <w:rsid w:val="60D7775F"/>
    <w:rsid w:val="60DE9E1F"/>
    <w:rsid w:val="61072CE7"/>
    <w:rsid w:val="610956D5"/>
    <w:rsid w:val="610EDECB"/>
    <w:rsid w:val="611203FE"/>
    <w:rsid w:val="61149ABB"/>
    <w:rsid w:val="611FF180"/>
    <w:rsid w:val="614C9854"/>
    <w:rsid w:val="6166E927"/>
    <w:rsid w:val="61816948"/>
    <w:rsid w:val="6185E4C7"/>
    <w:rsid w:val="61AE741E"/>
    <w:rsid w:val="61B6C54C"/>
    <w:rsid w:val="61C08632"/>
    <w:rsid w:val="61C49487"/>
    <w:rsid w:val="61C71422"/>
    <w:rsid w:val="61C7A91E"/>
    <w:rsid w:val="61E4E1DA"/>
    <w:rsid w:val="61F6BD1F"/>
    <w:rsid w:val="61F76B5E"/>
    <w:rsid w:val="61FA9981"/>
    <w:rsid w:val="61FBF74C"/>
    <w:rsid w:val="6207F919"/>
    <w:rsid w:val="62148EB7"/>
    <w:rsid w:val="6226D1FD"/>
    <w:rsid w:val="622B0471"/>
    <w:rsid w:val="6247DEB1"/>
    <w:rsid w:val="62673F2F"/>
    <w:rsid w:val="626C27BA"/>
    <w:rsid w:val="626D8C1B"/>
    <w:rsid w:val="62701DC8"/>
    <w:rsid w:val="62871ACF"/>
    <w:rsid w:val="628F3AA0"/>
    <w:rsid w:val="629127E4"/>
    <w:rsid w:val="62B3271F"/>
    <w:rsid w:val="62C22293"/>
    <w:rsid w:val="62D01E96"/>
    <w:rsid w:val="62D291C0"/>
    <w:rsid w:val="62D4D6E1"/>
    <w:rsid w:val="62DD786D"/>
    <w:rsid w:val="62E18C3C"/>
    <w:rsid w:val="62EDA4CB"/>
    <w:rsid w:val="62F06DBE"/>
    <w:rsid w:val="62FE9E4F"/>
    <w:rsid w:val="63091664"/>
    <w:rsid w:val="6311CC1C"/>
    <w:rsid w:val="631A48A2"/>
    <w:rsid w:val="632B5BD9"/>
    <w:rsid w:val="632B74D5"/>
    <w:rsid w:val="634963D5"/>
    <w:rsid w:val="634A938E"/>
    <w:rsid w:val="63565B27"/>
    <w:rsid w:val="635970C5"/>
    <w:rsid w:val="635E0E01"/>
    <w:rsid w:val="6365DBF6"/>
    <w:rsid w:val="6366590C"/>
    <w:rsid w:val="63687695"/>
    <w:rsid w:val="636E0FA1"/>
    <w:rsid w:val="637BBE46"/>
    <w:rsid w:val="6380510B"/>
    <w:rsid w:val="638D721D"/>
    <w:rsid w:val="6390E7BB"/>
    <w:rsid w:val="639AC218"/>
    <w:rsid w:val="63B5BBA7"/>
    <w:rsid w:val="63BF232B"/>
    <w:rsid w:val="63C6757D"/>
    <w:rsid w:val="63C85D4E"/>
    <w:rsid w:val="63D2E406"/>
    <w:rsid w:val="63E9AE96"/>
    <w:rsid w:val="63EF0E74"/>
    <w:rsid w:val="641359B7"/>
    <w:rsid w:val="64153F3E"/>
    <w:rsid w:val="64176845"/>
    <w:rsid w:val="64191E75"/>
    <w:rsid w:val="641B8FC6"/>
    <w:rsid w:val="641EBA09"/>
    <w:rsid w:val="6420D024"/>
    <w:rsid w:val="642D738A"/>
    <w:rsid w:val="6439ECB5"/>
    <w:rsid w:val="643E90C4"/>
    <w:rsid w:val="644987F6"/>
    <w:rsid w:val="644FDA5A"/>
    <w:rsid w:val="645CEF20"/>
    <w:rsid w:val="646E0724"/>
    <w:rsid w:val="646EC692"/>
    <w:rsid w:val="6472846C"/>
    <w:rsid w:val="6477FBB3"/>
    <w:rsid w:val="648571F4"/>
    <w:rsid w:val="649FA333"/>
    <w:rsid w:val="64A5FDC7"/>
    <w:rsid w:val="64AF516B"/>
    <w:rsid w:val="64D50B9E"/>
    <w:rsid w:val="64D7A68B"/>
    <w:rsid w:val="64ED9246"/>
    <w:rsid w:val="64F0DA5C"/>
    <w:rsid w:val="65049C4B"/>
    <w:rsid w:val="6515EB60"/>
    <w:rsid w:val="65171789"/>
    <w:rsid w:val="651BF448"/>
    <w:rsid w:val="651FD1E1"/>
    <w:rsid w:val="652B7F06"/>
    <w:rsid w:val="652C47C6"/>
    <w:rsid w:val="653CE7A1"/>
    <w:rsid w:val="65456700"/>
    <w:rsid w:val="6546A350"/>
    <w:rsid w:val="65657F22"/>
    <w:rsid w:val="656D9BE6"/>
    <w:rsid w:val="656E75F6"/>
    <w:rsid w:val="65700005"/>
    <w:rsid w:val="6577A83B"/>
    <w:rsid w:val="657A8796"/>
    <w:rsid w:val="65851C79"/>
    <w:rsid w:val="65898B95"/>
    <w:rsid w:val="658F896D"/>
    <w:rsid w:val="659E4A88"/>
    <w:rsid w:val="65A1FC67"/>
    <w:rsid w:val="65A4FEC6"/>
    <w:rsid w:val="65AB7DF5"/>
    <w:rsid w:val="65B1D094"/>
    <w:rsid w:val="65BA7733"/>
    <w:rsid w:val="65BFD363"/>
    <w:rsid w:val="65C2C0F4"/>
    <w:rsid w:val="65C6EC60"/>
    <w:rsid w:val="65DBEC75"/>
    <w:rsid w:val="65DC2CC7"/>
    <w:rsid w:val="65EE0206"/>
    <w:rsid w:val="65EEAB50"/>
    <w:rsid w:val="65F73F77"/>
    <w:rsid w:val="65FC56D5"/>
    <w:rsid w:val="6601919C"/>
    <w:rsid w:val="6603F491"/>
    <w:rsid w:val="6608C9B0"/>
    <w:rsid w:val="66102A12"/>
    <w:rsid w:val="66196505"/>
    <w:rsid w:val="6635A649"/>
    <w:rsid w:val="663A3BF7"/>
    <w:rsid w:val="663AA54B"/>
    <w:rsid w:val="664908E2"/>
    <w:rsid w:val="6651DF4F"/>
    <w:rsid w:val="66556DDD"/>
    <w:rsid w:val="6682E8A1"/>
    <w:rsid w:val="668D580B"/>
    <w:rsid w:val="668EDA58"/>
    <w:rsid w:val="66AB4065"/>
    <w:rsid w:val="66AB4A85"/>
    <w:rsid w:val="66AD8717"/>
    <w:rsid w:val="66BAE945"/>
    <w:rsid w:val="66CADA2F"/>
    <w:rsid w:val="66D90C8A"/>
    <w:rsid w:val="66E3C420"/>
    <w:rsid w:val="66F9493B"/>
    <w:rsid w:val="66F9E943"/>
    <w:rsid w:val="66FB2D43"/>
    <w:rsid w:val="671B5C7F"/>
    <w:rsid w:val="671D01C4"/>
    <w:rsid w:val="67201994"/>
    <w:rsid w:val="6732F47A"/>
    <w:rsid w:val="67506B6B"/>
    <w:rsid w:val="67543847"/>
    <w:rsid w:val="67593069"/>
    <w:rsid w:val="6762F538"/>
    <w:rsid w:val="67633439"/>
    <w:rsid w:val="676ABBE7"/>
    <w:rsid w:val="677A7A27"/>
    <w:rsid w:val="677CA8F8"/>
    <w:rsid w:val="6783174C"/>
    <w:rsid w:val="679F4479"/>
    <w:rsid w:val="67A56383"/>
    <w:rsid w:val="67A95F2F"/>
    <w:rsid w:val="67ACB857"/>
    <w:rsid w:val="67B101BA"/>
    <w:rsid w:val="67B698F4"/>
    <w:rsid w:val="67C7343D"/>
    <w:rsid w:val="67CE8E95"/>
    <w:rsid w:val="67DA1D79"/>
    <w:rsid w:val="67DB2C0C"/>
    <w:rsid w:val="67F54506"/>
    <w:rsid w:val="67FC10C6"/>
    <w:rsid w:val="6809B122"/>
    <w:rsid w:val="680D85D8"/>
    <w:rsid w:val="6813289C"/>
    <w:rsid w:val="683667D3"/>
    <w:rsid w:val="683B12F1"/>
    <w:rsid w:val="6853B2DB"/>
    <w:rsid w:val="6857EDCD"/>
    <w:rsid w:val="686402C0"/>
    <w:rsid w:val="686AD89B"/>
    <w:rsid w:val="686BB837"/>
    <w:rsid w:val="6872B6FF"/>
    <w:rsid w:val="68738F31"/>
    <w:rsid w:val="6887B03C"/>
    <w:rsid w:val="6895F8B4"/>
    <w:rsid w:val="689D6699"/>
    <w:rsid w:val="68A08009"/>
    <w:rsid w:val="68A4ABC8"/>
    <w:rsid w:val="68B061F4"/>
    <w:rsid w:val="68BBA39E"/>
    <w:rsid w:val="68BC3309"/>
    <w:rsid w:val="68BCDFA3"/>
    <w:rsid w:val="68C07275"/>
    <w:rsid w:val="68C34970"/>
    <w:rsid w:val="68EC1B1D"/>
    <w:rsid w:val="68F951F5"/>
    <w:rsid w:val="692C08E4"/>
    <w:rsid w:val="6944870F"/>
    <w:rsid w:val="694A688F"/>
    <w:rsid w:val="69531ACA"/>
    <w:rsid w:val="695439EC"/>
    <w:rsid w:val="69551DBA"/>
    <w:rsid w:val="6957EBE3"/>
    <w:rsid w:val="69597B75"/>
    <w:rsid w:val="6961515A"/>
    <w:rsid w:val="6964FB4B"/>
    <w:rsid w:val="696B4C2B"/>
    <w:rsid w:val="696D9E7A"/>
    <w:rsid w:val="69738844"/>
    <w:rsid w:val="6978B706"/>
    <w:rsid w:val="69804814"/>
    <w:rsid w:val="6987D925"/>
    <w:rsid w:val="698C7347"/>
    <w:rsid w:val="69A53F39"/>
    <w:rsid w:val="69AAD341"/>
    <w:rsid w:val="69B035E3"/>
    <w:rsid w:val="69B11839"/>
    <w:rsid w:val="69B6329E"/>
    <w:rsid w:val="69CDDC7C"/>
    <w:rsid w:val="69DE6F01"/>
    <w:rsid w:val="69E0EA4E"/>
    <w:rsid w:val="69E102BB"/>
    <w:rsid w:val="69E8A7AE"/>
    <w:rsid w:val="69ED6239"/>
    <w:rsid w:val="69F21962"/>
    <w:rsid w:val="69F3929D"/>
    <w:rsid w:val="69F4A1EA"/>
    <w:rsid w:val="69F94275"/>
    <w:rsid w:val="69F9F169"/>
    <w:rsid w:val="6A121600"/>
    <w:rsid w:val="6A1E83EB"/>
    <w:rsid w:val="6A2DB5F1"/>
    <w:rsid w:val="6A348E98"/>
    <w:rsid w:val="6A3CD754"/>
    <w:rsid w:val="6A41DCAD"/>
    <w:rsid w:val="6A4AC75F"/>
    <w:rsid w:val="6A564A38"/>
    <w:rsid w:val="6A6C9C86"/>
    <w:rsid w:val="6A6D7ECF"/>
    <w:rsid w:val="6A7BC09E"/>
    <w:rsid w:val="6A886EA1"/>
    <w:rsid w:val="6AA109A6"/>
    <w:rsid w:val="6AABC2EB"/>
    <w:rsid w:val="6AAD00E5"/>
    <w:rsid w:val="6AB3DE9B"/>
    <w:rsid w:val="6AC1803E"/>
    <w:rsid w:val="6AC32B84"/>
    <w:rsid w:val="6AD84468"/>
    <w:rsid w:val="6AD92C18"/>
    <w:rsid w:val="6AE33954"/>
    <w:rsid w:val="6AEB4375"/>
    <w:rsid w:val="6AEE0C14"/>
    <w:rsid w:val="6B014DC2"/>
    <w:rsid w:val="6B09C0B3"/>
    <w:rsid w:val="6B0A3795"/>
    <w:rsid w:val="6B1F0BC4"/>
    <w:rsid w:val="6B22A050"/>
    <w:rsid w:val="6B2E7DA1"/>
    <w:rsid w:val="6B3437F3"/>
    <w:rsid w:val="6B368B07"/>
    <w:rsid w:val="6B4041F1"/>
    <w:rsid w:val="6B48EF10"/>
    <w:rsid w:val="6B4CC649"/>
    <w:rsid w:val="6B589C0F"/>
    <w:rsid w:val="6B58E8C5"/>
    <w:rsid w:val="6B622A78"/>
    <w:rsid w:val="6B63214A"/>
    <w:rsid w:val="6B6D57F0"/>
    <w:rsid w:val="6B73998F"/>
    <w:rsid w:val="6B7AEF05"/>
    <w:rsid w:val="6B824396"/>
    <w:rsid w:val="6B89B079"/>
    <w:rsid w:val="6B8A3899"/>
    <w:rsid w:val="6B902821"/>
    <w:rsid w:val="6B9D5E5E"/>
    <w:rsid w:val="6BA6682D"/>
    <w:rsid w:val="6BA6845D"/>
    <w:rsid w:val="6BAE423A"/>
    <w:rsid w:val="6BBA15AE"/>
    <w:rsid w:val="6BBD65E4"/>
    <w:rsid w:val="6BD733C0"/>
    <w:rsid w:val="6BD7524E"/>
    <w:rsid w:val="6BD8F1AA"/>
    <w:rsid w:val="6BDF88ED"/>
    <w:rsid w:val="6BF55B09"/>
    <w:rsid w:val="6C12FAC8"/>
    <w:rsid w:val="6C1F0B93"/>
    <w:rsid w:val="6C1F875F"/>
    <w:rsid w:val="6C1F8B38"/>
    <w:rsid w:val="6C2C3E5D"/>
    <w:rsid w:val="6C318EC9"/>
    <w:rsid w:val="6C3C3335"/>
    <w:rsid w:val="6C433523"/>
    <w:rsid w:val="6C55ABD4"/>
    <w:rsid w:val="6C64610C"/>
    <w:rsid w:val="6C68535A"/>
    <w:rsid w:val="6C6A8A6F"/>
    <w:rsid w:val="6C7253C9"/>
    <w:rsid w:val="6C7D4BAB"/>
    <w:rsid w:val="6C83DC76"/>
    <w:rsid w:val="6C867FC6"/>
    <w:rsid w:val="6C993C91"/>
    <w:rsid w:val="6C9A78EC"/>
    <w:rsid w:val="6CA7C503"/>
    <w:rsid w:val="6CAAD257"/>
    <w:rsid w:val="6CB6C9A0"/>
    <w:rsid w:val="6CC15D08"/>
    <w:rsid w:val="6CCCC371"/>
    <w:rsid w:val="6CD61CCF"/>
    <w:rsid w:val="6CD976A8"/>
    <w:rsid w:val="6CF7E58C"/>
    <w:rsid w:val="6CF8FF4E"/>
    <w:rsid w:val="6D07E92B"/>
    <w:rsid w:val="6D2471E2"/>
    <w:rsid w:val="6D33A5C1"/>
    <w:rsid w:val="6D391A2B"/>
    <w:rsid w:val="6D50321D"/>
    <w:rsid w:val="6D508709"/>
    <w:rsid w:val="6D57DBCE"/>
    <w:rsid w:val="6D627B53"/>
    <w:rsid w:val="6D683915"/>
    <w:rsid w:val="6D6CF0F9"/>
    <w:rsid w:val="6D708537"/>
    <w:rsid w:val="6D76A217"/>
    <w:rsid w:val="6D78B159"/>
    <w:rsid w:val="6D7A389E"/>
    <w:rsid w:val="6D7DC183"/>
    <w:rsid w:val="6D81A086"/>
    <w:rsid w:val="6DADEEDC"/>
    <w:rsid w:val="6DB4F40A"/>
    <w:rsid w:val="6DC1E9BF"/>
    <w:rsid w:val="6DD598E1"/>
    <w:rsid w:val="6DD95E37"/>
    <w:rsid w:val="6DDE4778"/>
    <w:rsid w:val="6DDF3306"/>
    <w:rsid w:val="6DE2B6EB"/>
    <w:rsid w:val="6DE6FA16"/>
    <w:rsid w:val="6DF3C30D"/>
    <w:rsid w:val="6DFD51FE"/>
    <w:rsid w:val="6E02E268"/>
    <w:rsid w:val="6E0BF487"/>
    <w:rsid w:val="6E1C4309"/>
    <w:rsid w:val="6E3A142F"/>
    <w:rsid w:val="6E4E478C"/>
    <w:rsid w:val="6E591E0E"/>
    <w:rsid w:val="6E6F9C96"/>
    <w:rsid w:val="6E701A09"/>
    <w:rsid w:val="6E723244"/>
    <w:rsid w:val="6E7D9A6E"/>
    <w:rsid w:val="6E86EE49"/>
    <w:rsid w:val="6E96E84A"/>
    <w:rsid w:val="6E9C1FBF"/>
    <w:rsid w:val="6EA35170"/>
    <w:rsid w:val="6EA63E5E"/>
    <w:rsid w:val="6EC8AAB2"/>
    <w:rsid w:val="6ECDCD1C"/>
    <w:rsid w:val="6EDA73D5"/>
    <w:rsid w:val="6EE604CA"/>
    <w:rsid w:val="6EEE2A38"/>
    <w:rsid w:val="6EF25F16"/>
    <w:rsid w:val="6F072B1B"/>
    <w:rsid w:val="6F1D1FB5"/>
    <w:rsid w:val="6F2C8096"/>
    <w:rsid w:val="6F2DD62F"/>
    <w:rsid w:val="6F34C4A4"/>
    <w:rsid w:val="6F5E17DE"/>
    <w:rsid w:val="6F6ED38A"/>
    <w:rsid w:val="6F76E269"/>
    <w:rsid w:val="6F7F6FE8"/>
    <w:rsid w:val="6F8C8F66"/>
    <w:rsid w:val="6F9C366C"/>
    <w:rsid w:val="6FA3C1C5"/>
    <w:rsid w:val="6FB38A3D"/>
    <w:rsid w:val="6FB48CC2"/>
    <w:rsid w:val="6FE7CDC4"/>
    <w:rsid w:val="6FEAC7F8"/>
    <w:rsid w:val="6FF100F8"/>
    <w:rsid w:val="6FFB1080"/>
    <w:rsid w:val="6FFFD095"/>
    <w:rsid w:val="700C01E7"/>
    <w:rsid w:val="700FF498"/>
    <w:rsid w:val="70136C1E"/>
    <w:rsid w:val="701BAAD2"/>
    <w:rsid w:val="703447CC"/>
    <w:rsid w:val="703FE801"/>
    <w:rsid w:val="70400236"/>
    <w:rsid w:val="70458002"/>
    <w:rsid w:val="704BB8E2"/>
    <w:rsid w:val="705139BE"/>
    <w:rsid w:val="7053F42E"/>
    <w:rsid w:val="7055E3E8"/>
    <w:rsid w:val="70643C42"/>
    <w:rsid w:val="706A1B32"/>
    <w:rsid w:val="70789DBE"/>
    <w:rsid w:val="707E11B0"/>
    <w:rsid w:val="70821466"/>
    <w:rsid w:val="7082175A"/>
    <w:rsid w:val="70823A13"/>
    <w:rsid w:val="70852EAE"/>
    <w:rsid w:val="708F71C0"/>
    <w:rsid w:val="7096B3A7"/>
    <w:rsid w:val="709C1467"/>
    <w:rsid w:val="70B771FD"/>
    <w:rsid w:val="70B782A0"/>
    <w:rsid w:val="70BC8C07"/>
    <w:rsid w:val="70C03ECB"/>
    <w:rsid w:val="70CE0E96"/>
    <w:rsid w:val="70E08EDF"/>
    <w:rsid w:val="70E6B8C0"/>
    <w:rsid w:val="70F0F534"/>
    <w:rsid w:val="70F86DB5"/>
    <w:rsid w:val="70FAFD97"/>
    <w:rsid w:val="7106379E"/>
    <w:rsid w:val="710B66D4"/>
    <w:rsid w:val="71132D1B"/>
    <w:rsid w:val="7117B9F7"/>
    <w:rsid w:val="71221DFB"/>
    <w:rsid w:val="71311DA7"/>
    <w:rsid w:val="7136E3FC"/>
    <w:rsid w:val="71381B4F"/>
    <w:rsid w:val="713B1712"/>
    <w:rsid w:val="713BCA3F"/>
    <w:rsid w:val="713FEB16"/>
    <w:rsid w:val="714F2053"/>
    <w:rsid w:val="71544D02"/>
    <w:rsid w:val="715452F6"/>
    <w:rsid w:val="715A27E3"/>
    <w:rsid w:val="71640CD9"/>
    <w:rsid w:val="7170F4A1"/>
    <w:rsid w:val="717C3923"/>
    <w:rsid w:val="71864FD1"/>
    <w:rsid w:val="718740BD"/>
    <w:rsid w:val="71923B8C"/>
    <w:rsid w:val="7195404B"/>
    <w:rsid w:val="71ABFF9A"/>
    <w:rsid w:val="71B2596E"/>
    <w:rsid w:val="71BDDFCF"/>
    <w:rsid w:val="71BFDA50"/>
    <w:rsid w:val="71C903A2"/>
    <w:rsid w:val="71CF4FCA"/>
    <w:rsid w:val="71F42D26"/>
    <w:rsid w:val="7213CBF9"/>
    <w:rsid w:val="7221E489"/>
    <w:rsid w:val="72258109"/>
    <w:rsid w:val="7240D3BB"/>
    <w:rsid w:val="7240F3E7"/>
    <w:rsid w:val="724998C5"/>
    <w:rsid w:val="7278A4E3"/>
    <w:rsid w:val="727AAAB5"/>
    <w:rsid w:val="7282CDBA"/>
    <w:rsid w:val="728B40E8"/>
    <w:rsid w:val="729FC0BF"/>
    <w:rsid w:val="72A6D923"/>
    <w:rsid w:val="72AED802"/>
    <w:rsid w:val="72B1C575"/>
    <w:rsid w:val="72B6505B"/>
    <w:rsid w:val="72C11F17"/>
    <w:rsid w:val="72EADDDE"/>
    <w:rsid w:val="72EFD821"/>
    <w:rsid w:val="72F6D1FA"/>
    <w:rsid w:val="72F99385"/>
    <w:rsid w:val="7309B65C"/>
    <w:rsid w:val="73182E61"/>
    <w:rsid w:val="732B1A1A"/>
    <w:rsid w:val="73395B00"/>
    <w:rsid w:val="734BC83B"/>
    <w:rsid w:val="735BA869"/>
    <w:rsid w:val="7371244A"/>
    <w:rsid w:val="73855D03"/>
    <w:rsid w:val="7395890E"/>
    <w:rsid w:val="739C2034"/>
    <w:rsid w:val="73AEE49F"/>
    <w:rsid w:val="73BF3AB9"/>
    <w:rsid w:val="73C43B0F"/>
    <w:rsid w:val="73CD31BA"/>
    <w:rsid w:val="73D069B7"/>
    <w:rsid w:val="73D741D5"/>
    <w:rsid w:val="73DA0FB4"/>
    <w:rsid w:val="73DE3E1D"/>
    <w:rsid w:val="73E8B085"/>
    <w:rsid w:val="73EADB94"/>
    <w:rsid w:val="73F6998B"/>
    <w:rsid w:val="7403B0DC"/>
    <w:rsid w:val="7403E833"/>
    <w:rsid w:val="74077278"/>
    <w:rsid w:val="741CC651"/>
    <w:rsid w:val="7424343A"/>
    <w:rsid w:val="7426B8EA"/>
    <w:rsid w:val="742C012A"/>
    <w:rsid w:val="743AF400"/>
    <w:rsid w:val="743F9FBE"/>
    <w:rsid w:val="744066E5"/>
    <w:rsid w:val="7442FCA2"/>
    <w:rsid w:val="745413BC"/>
    <w:rsid w:val="745B0C99"/>
    <w:rsid w:val="745D1468"/>
    <w:rsid w:val="7462894F"/>
    <w:rsid w:val="74682744"/>
    <w:rsid w:val="747AC672"/>
    <w:rsid w:val="7482DF37"/>
    <w:rsid w:val="74842581"/>
    <w:rsid w:val="7484611E"/>
    <w:rsid w:val="74941F14"/>
    <w:rsid w:val="74A13E2E"/>
    <w:rsid w:val="74BF24DB"/>
    <w:rsid w:val="74C85169"/>
    <w:rsid w:val="74D50C3F"/>
    <w:rsid w:val="74DB7F50"/>
    <w:rsid w:val="74DE7A3A"/>
    <w:rsid w:val="74E6CA7F"/>
    <w:rsid w:val="751CF403"/>
    <w:rsid w:val="7521C7B1"/>
    <w:rsid w:val="7526A442"/>
    <w:rsid w:val="75360DD3"/>
    <w:rsid w:val="754CA8F3"/>
    <w:rsid w:val="75515590"/>
    <w:rsid w:val="7551CA0D"/>
    <w:rsid w:val="7555D496"/>
    <w:rsid w:val="7559ABF0"/>
    <w:rsid w:val="755A3132"/>
    <w:rsid w:val="7569EADD"/>
    <w:rsid w:val="756A901B"/>
    <w:rsid w:val="756D0AFB"/>
    <w:rsid w:val="756DA2B2"/>
    <w:rsid w:val="756ED1C5"/>
    <w:rsid w:val="7574C372"/>
    <w:rsid w:val="757951F2"/>
    <w:rsid w:val="75837E6A"/>
    <w:rsid w:val="758D06D8"/>
    <w:rsid w:val="758FAE22"/>
    <w:rsid w:val="7594E625"/>
    <w:rsid w:val="7598FC92"/>
    <w:rsid w:val="75A24637"/>
    <w:rsid w:val="75B6A9F5"/>
    <w:rsid w:val="75BDEABD"/>
    <w:rsid w:val="75C2B6D5"/>
    <w:rsid w:val="75DB5991"/>
    <w:rsid w:val="75DCE50F"/>
    <w:rsid w:val="75E2BC8F"/>
    <w:rsid w:val="75F9737B"/>
    <w:rsid w:val="76053081"/>
    <w:rsid w:val="76060FED"/>
    <w:rsid w:val="76066517"/>
    <w:rsid w:val="76121FF6"/>
    <w:rsid w:val="762CFBA1"/>
    <w:rsid w:val="762F0BF7"/>
    <w:rsid w:val="763B64C3"/>
    <w:rsid w:val="763D030D"/>
    <w:rsid w:val="763DC7EE"/>
    <w:rsid w:val="7655C088"/>
    <w:rsid w:val="76716CC2"/>
    <w:rsid w:val="76821410"/>
    <w:rsid w:val="7685DC57"/>
    <w:rsid w:val="768FE89A"/>
    <w:rsid w:val="769BC17F"/>
    <w:rsid w:val="76A3C07F"/>
    <w:rsid w:val="76A893F1"/>
    <w:rsid w:val="76AF6332"/>
    <w:rsid w:val="76B558F3"/>
    <w:rsid w:val="76DBE364"/>
    <w:rsid w:val="76F792F4"/>
    <w:rsid w:val="76FA075D"/>
    <w:rsid w:val="76FB7079"/>
    <w:rsid w:val="77030DFB"/>
    <w:rsid w:val="77050705"/>
    <w:rsid w:val="770C767E"/>
    <w:rsid w:val="77109BA8"/>
    <w:rsid w:val="771190E6"/>
    <w:rsid w:val="7712D4F1"/>
    <w:rsid w:val="77145017"/>
    <w:rsid w:val="771E5662"/>
    <w:rsid w:val="77294C77"/>
    <w:rsid w:val="772AD141"/>
    <w:rsid w:val="773C902D"/>
    <w:rsid w:val="7743E709"/>
    <w:rsid w:val="7744814E"/>
    <w:rsid w:val="7749C61B"/>
    <w:rsid w:val="77551AC6"/>
    <w:rsid w:val="775A6D35"/>
    <w:rsid w:val="775CB5B1"/>
    <w:rsid w:val="7766B32B"/>
    <w:rsid w:val="776A0DEC"/>
    <w:rsid w:val="77733749"/>
    <w:rsid w:val="77759333"/>
    <w:rsid w:val="77786C70"/>
    <w:rsid w:val="777FCF37"/>
    <w:rsid w:val="778B51AF"/>
    <w:rsid w:val="779C6F38"/>
    <w:rsid w:val="779D32BC"/>
    <w:rsid w:val="77AED72D"/>
    <w:rsid w:val="77B895B1"/>
    <w:rsid w:val="77BCD305"/>
    <w:rsid w:val="77E3055C"/>
    <w:rsid w:val="77E6F606"/>
    <w:rsid w:val="77E945E2"/>
    <w:rsid w:val="77E9BED5"/>
    <w:rsid w:val="77F462F0"/>
    <w:rsid w:val="7805C98F"/>
    <w:rsid w:val="7816028C"/>
    <w:rsid w:val="7823B417"/>
    <w:rsid w:val="78284F4D"/>
    <w:rsid w:val="782E6888"/>
    <w:rsid w:val="78301EAA"/>
    <w:rsid w:val="7832F552"/>
    <w:rsid w:val="7834045B"/>
    <w:rsid w:val="784F45D8"/>
    <w:rsid w:val="7855D12D"/>
    <w:rsid w:val="7860274B"/>
    <w:rsid w:val="7861DC21"/>
    <w:rsid w:val="7862A774"/>
    <w:rsid w:val="78664EB5"/>
    <w:rsid w:val="7870B058"/>
    <w:rsid w:val="7872094B"/>
    <w:rsid w:val="7873D440"/>
    <w:rsid w:val="7877E279"/>
    <w:rsid w:val="78847B61"/>
    <w:rsid w:val="7887E28F"/>
    <w:rsid w:val="788B7F29"/>
    <w:rsid w:val="78A28EA7"/>
    <w:rsid w:val="78C5F81E"/>
    <w:rsid w:val="78C99E66"/>
    <w:rsid w:val="78EA5E2B"/>
    <w:rsid w:val="78EB31E3"/>
    <w:rsid w:val="78F6969D"/>
    <w:rsid w:val="78FD0323"/>
    <w:rsid w:val="7923A27A"/>
    <w:rsid w:val="79267547"/>
    <w:rsid w:val="792CC438"/>
    <w:rsid w:val="79489F33"/>
    <w:rsid w:val="795233C0"/>
    <w:rsid w:val="79597B72"/>
    <w:rsid w:val="795CE5B4"/>
    <w:rsid w:val="795FD301"/>
    <w:rsid w:val="797F77E3"/>
    <w:rsid w:val="7998C656"/>
    <w:rsid w:val="79999BB8"/>
    <w:rsid w:val="79AC1989"/>
    <w:rsid w:val="79BF8C37"/>
    <w:rsid w:val="79C16F43"/>
    <w:rsid w:val="79D4E702"/>
    <w:rsid w:val="79F096FB"/>
    <w:rsid w:val="7A01F98D"/>
    <w:rsid w:val="7A05242E"/>
    <w:rsid w:val="7A0DFDD0"/>
    <w:rsid w:val="7A12CE6E"/>
    <w:rsid w:val="7A2839E0"/>
    <w:rsid w:val="7A29E30D"/>
    <w:rsid w:val="7A37E38F"/>
    <w:rsid w:val="7A594F39"/>
    <w:rsid w:val="7A6C3D35"/>
    <w:rsid w:val="7A91FAC1"/>
    <w:rsid w:val="7A961996"/>
    <w:rsid w:val="7AAC3C1D"/>
    <w:rsid w:val="7ABD18D0"/>
    <w:rsid w:val="7AC60ED9"/>
    <w:rsid w:val="7AC74CA4"/>
    <w:rsid w:val="7AC8ED38"/>
    <w:rsid w:val="7AD472E2"/>
    <w:rsid w:val="7ADA0291"/>
    <w:rsid w:val="7AE322B4"/>
    <w:rsid w:val="7AEE9E73"/>
    <w:rsid w:val="7AF7A7F3"/>
    <w:rsid w:val="7AFB7843"/>
    <w:rsid w:val="7B02E747"/>
    <w:rsid w:val="7B040D3E"/>
    <w:rsid w:val="7B089E31"/>
    <w:rsid w:val="7B0932BC"/>
    <w:rsid w:val="7B0E1952"/>
    <w:rsid w:val="7B0E25F1"/>
    <w:rsid w:val="7B0E2ACB"/>
    <w:rsid w:val="7B1283E0"/>
    <w:rsid w:val="7B172C23"/>
    <w:rsid w:val="7B1BCEC0"/>
    <w:rsid w:val="7B242F8F"/>
    <w:rsid w:val="7B29E48D"/>
    <w:rsid w:val="7B48163C"/>
    <w:rsid w:val="7B53CB8C"/>
    <w:rsid w:val="7B60A9CD"/>
    <w:rsid w:val="7B62C288"/>
    <w:rsid w:val="7B6F84ED"/>
    <w:rsid w:val="7B7F1787"/>
    <w:rsid w:val="7B80E105"/>
    <w:rsid w:val="7B9D8EE8"/>
    <w:rsid w:val="7B9E4343"/>
    <w:rsid w:val="7BA488AE"/>
    <w:rsid w:val="7BA6E033"/>
    <w:rsid w:val="7BAC6033"/>
    <w:rsid w:val="7BB35E2D"/>
    <w:rsid w:val="7BB6DCEF"/>
    <w:rsid w:val="7BBC5FED"/>
    <w:rsid w:val="7BCBBB52"/>
    <w:rsid w:val="7BDDF1E7"/>
    <w:rsid w:val="7BE396E9"/>
    <w:rsid w:val="7BE9266F"/>
    <w:rsid w:val="7BFE0E21"/>
    <w:rsid w:val="7C033BA0"/>
    <w:rsid w:val="7C15A7CC"/>
    <w:rsid w:val="7C1C6CC0"/>
    <w:rsid w:val="7C2DE029"/>
    <w:rsid w:val="7C36E844"/>
    <w:rsid w:val="7C56E595"/>
    <w:rsid w:val="7C63DECF"/>
    <w:rsid w:val="7C6662EF"/>
    <w:rsid w:val="7C6BA690"/>
    <w:rsid w:val="7C6E3028"/>
    <w:rsid w:val="7C8D993D"/>
    <w:rsid w:val="7C962C1E"/>
    <w:rsid w:val="7C9A849B"/>
    <w:rsid w:val="7C9E18D4"/>
    <w:rsid w:val="7CB86FAA"/>
    <w:rsid w:val="7CE6596D"/>
    <w:rsid w:val="7CEEE051"/>
    <w:rsid w:val="7CF375DC"/>
    <w:rsid w:val="7CFC5447"/>
    <w:rsid w:val="7D0C0907"/>
    <w:rsid w:val="7D2B074D"/>
    <w:rsid w:val="7D353DEF"/>
    <w:rsid w:val="7D4E12B8"/>
    <w:rsid w:val="7D557074"/>
    <w:rsid w:val="7D568031"/>
    <w:rsid w:val="7D5719BA"/>
    <w:rsid w:val="7D5A45E9"/>
    <w:rsid w:val="7D61CE56"/>
    <w:rsid w:val="7D64CF53"/>
    <w:rsid w:val="7D683E5E"/>
    <w:rsid w:val="7D7707CB"/>
    <w:rsid w:val="7D7C5F87"/>
    <w:rsid w:val="7D858409"/>
    <w:rsid w:val="7D885951"/>
    <w:rsid w:val="7DAA0D39"/>
    <w:rsid w:val="7DAC2A12"/>
    <w:rsid w:val="7DAD0DAA"/>
    <w:rsid w:val="7DAD872B"/>
    <w:rsid w:val="7DB1F5E2"/>
    <w:rsid w:val="7DB28978"/>
    <w:rsid w:val="7DB934BC"/>
    <w:rsid w:val="7DD54568"/>
    <w:rsid w:val="7DD733FE"/>
    <w:rsid w:val="7DE16D09"/>
    <w:rsid w:val="7DE55A50"/>
    <w:rsid w:val="7DEE9D47"/>
    <w:rsid w:val="7DFDA6DD"/>
    <w:rsid w:val="7E08CB29"/>
    <w:rsid w:val="7E1C218E"/>
    <w:rsid w:val="7E1C8C28"/>
    <w:rsid w:val="7E1C9FC5"/>
    <w:rsid w:val="7E2B50FF"/>
    <w:rsid w:val="7E3A6BD7"/>
    <w:rsid w:val="7E41A308"/>
    <w:rsid w:val="7E4769EC"/>
    <w:rsid w:val="7E4A7CB0"/>
    <w:rsid w:val="7E4D3D37"/>
    <w:rsid w:val="7E5C401A"/>
    <w:rsid w:val="7E6BA03B"/>
    <w:rsid w:val="7E834E1C"/>
    <w:rsid w:val="7E8EAF14"/>
    <w:rsid w:val="7E8FF9DC"/>
    <w:rsid w:val="7E91341F"/>
    <w:rsid w:val="7EA2998A"/>
    <w:rsid w:val="7EBC917B"/>
    <w:rsid w:val="7ED755C9"/>
    <w:rsid w:val="7EDB5F3E"/>
    <w:rsid w:val="7EDDE80D"/>
    <w:rsid w:val="7EEA6C09"/>
    <w:rsid w:val="7EED53FA"/>
    <w:rsid w:val="7EF42E73"/>
    <w:rsid w:val="7EF44B2A"/>
    <w:rsid w:val="7F08DB4B"/>
    <w:rsid w:val="7F2A8F78"/>
    <w:rsid w:val="7F53D730"/>
    <w:rsid w:val="7F590985"/>
    <w:rsid w:val="7F64E70F"/>
    <w:rsid w:val="7F7105FB"/>
    <w:rsid w:val="7F73E22E"/>
    <w:rsid w:val="7F7F80A4"/>
    <w:rsid w:val="7F87D518"/>
    <w:rsid w:val="7F92D2C1"/>
    <w:rsid w:val="7F98DC07"/>
    <w:rsid w:val="7F9F7DFF"/>
    <w:rsid w:val="7FA29888"/>
    <w:rsid w:val="7FA52915"/>
    <w:rsid w:val="7FB1BE00"/>
    <w:rsid w:val="7FC0D6A7"/>
    <w:rsid w:val="7FC17E60"/>
    <w:rsid w:val="7FC747A0"/>
    <w:rsid w:val="7FCFC150"/>
    <w:rsid w:val="7FD0EBBF"/>
    <w:rsid w:val="7FE3B10F"/>
    <w:rsid w:val="7FE83F90"/>
    <w:rsid w:val="7FF602C0"/>
    <w:rsid w:val="7FF70394"/>
    <w:rsid w:val="7FFB6050"/>
    <w:rsid w:val="7FFFBB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4360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4F7"/>
  </w:style>
  <w:style w:type="paragraph" w:styleId="Heading1">
    <w:name w:val="heading 1"/>
    <w:basedOn w:val="Normal"/>
    <w:next w:val="Normal"/>
    <w:link w:val="Heading1Char"/>
    <w:uiPriority w:val="9"/>
    <w:qFormat/>
    <w:rsid w:val="00F3633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3633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3633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3633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3633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36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33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3633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3633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3633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3633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36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33C"/>
    <w:rPr>
      <w:rFonts w:eastAsiaTheme="majorEastAsia" w:cstheme="majorBidi"/>
      <w:color w:val="272727" w:themeColor="text1" w:themeTint="D8"/>
    </w:rPr>
  </w:style>
  <w:style w:type="paragraph" w:styleId="Title">
    <w:name w:val="Title"/>
    <w:basedOn w:val="Normal"/>
    <w:next w:val="Normal"/>
    <w:link w:val="TitleChar"/>
    <w:uiPriority w:val="10"/>
    <w:qFormat/>
    <w:rsid w:val="00F36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33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3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633C"/>
    <w:rPr>
      <w:i/>
      <w:iCs/>
      <w:color w:val="404040" w:themeColor="text1" w:themeTint="BF"/>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
    <w:basedOn w:val="Normal"/>
    <w:link w:val="ListParagraphChar"/>
    <w:uiPriority w:val="34"/>
    <w:qFormat/>
    <w:rsid w:val="00F3633C"/>
    <w:pPr>
      <w:ind w:left="720"/>
      <w:contextualSpacing/>
    </w:pPr>
  </w:style>
  <w:style w:type="character" w:styleId="IntenseEmphasis">
    <w:name w:val="Intense Emphasis"/>
    <w:basedOn w:val="DefaultParagraphFont"/>
    <w:uiPriority w:val="21"/>
    <w:qFormat/>
    <w:rsid w:val="00F3633C"/>
    <w:rPr>
      <w:i/>
      <w:iCs/>
      <w:color w:val="365F91" w:themeColor="accent1" w:themeShade="BF"/>
    </w:rPr>
  </w:style>
  <w:style w:type="paragraph" w:styleId="IntenseQuote">
    <w:name w:val="Intense Quote"/>
    <w:basedOn w:val="Normal"/>
    <w:next w:val="Normal"/>
    <w:link w:val="IntenseQuoteChar"/>
    <w:uiPriority w:val="30"/>
    <w:qFormat/>
    <w:rsid w:val="00F3633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3633C"/>
    <w:rPr>
      <w:i/>
      <w:iCs/>
      <w:color w:val="365F91" w:themeColor="accent1" w:themeShade="BF"/>
    </w:rPr>
  </w:style>
  <w:style w:type="character" w:styleId="IntenseReference">
    <w:name w:val="Intense Reference"/>
    <w:basedOn w:val="DefaultParagraphFont"/>
    <w:uiPriority w:val="32"/>
    <w:qFormat/>
    <w:rsid w:val="00F3633C"/>
    <w:rPr>
      <w:b/>
      <w:bCs/>
      <w:smallCaps/>
      <w:color w:val="365F91" w:themeColor="accent1" w:themeShade="BF"/>
      <w:spacing w:val="5"/>
    </w:rPr>
  </w:style>
  <w:style w:type="table" w:styleId="TableGrid">
    <w:name w:val="Table Grid"/>
    <w:basedOn w:val="TableNormal"/>
    <w:uiPriority w:val="59"/>
    <w:rsid w:val="00A054BE"/>
    <w:pPr>
      <w:spacing w:after="0" w:line="240" w:lineRule="auto"/>
    </w:pPr>
    <w:tblPr/>
  </w:style>
  <w:style w:type="paragraph" w:styleId="Revision">
    <w:name w:val="Revision"/>
    <w:hidden/>
    <w:uiPriority w:val="99"/>
    <w:semiHidden/>
    <w:rsid w:val="007C5AF9"/>
    <w:pPr>
      <w:spacing w:after="0" w:line="240" w:lineRule="auto"/>
    </w:pPr>
  </w:style>
  <w:style w:type="character" w:styleId="CommentReference">
    <w:name w:val="annotation reference"/>
    <w:basedOn w:val="DefaultParagraphFont"/>
    <w:uiPriority w:val="99"/>
    <w:semiHidden/>
    <w:unhideWhenUsed/>
    <w:rsid w:val="00EB0F54"/>
    <w:rPr>
      <w:sz w:val="16"/>
      <w:szCs w:val="16"/>
    </w:rPr>
  </w:style>
  <w:style w:type="paragraph" w:styleId="CommentText">
    <w:name w:val="annotation text"/>
    <w:basedOn w:val="Normal"/>
    <w:link w:val="CommentTextChar"/>
    <w:uiPriority w:val="99"/>
    <w:unhideWhenUsed/>
    <w:rsid w:val="00EB0F54"/>
    <w:pPr>
      <w:spacing w:line="240" w:lineRule="auto"/>
    </w:pPr>
    <w:rPr>
      <w:sz w:val="20"/>
      <w:szCs w:val="20"/>
    </w:rPr>
  </w:style>
  <w:style w:type="character" w:customStyle="1" w:styleId="CommentTextChar">
    <w:name w:val="Comment Text Char"/>
    <w:basedOn w:val="DefaultParagraphFont"/>
    <w:link w:val="CommentText"/>
    <w:uiPriority w:val="99"/>
    <w:rsid w:val="00EB0F54"/>
    <w:rPr>
      <w:sz w:val="20"/>
      <w:szCs w:val="20"/>
    </w:rPr>
  </w:style>
  <w:style w:type="paragraph" w:styleId="CommentSubject">
    <w:name w:val="annotation subject"/>
    <w:basedOn w:val="CommentText"/>
    <w:next w:val="CommentText"/>
    <w:link w:val="CommentSubjectChar"/>
    <w:uiPriority w:val="99"/>
    <w:semiHidden/>
    <w:unhideWhenUsed/>
    <w:rsid w:val="00EB0F54"/>
    <w:rPr>
      <w:b/>
      <w:bCs/>
    </w:rPr>
  </w:style>
  <w:style w:type="character" w:customStyle="1" w:styleId="CommentSubjectChar">
    <w:name w:val="Comment Subject Char"/>
    <w:basedOn w:val="CommentTextChar"/>
    <w:link w:val="CommentSubject"/>
    <w:uiPriority w:val="99"/>
    <w:semiHidden/>
    <w:rsid w:val="00EB0F54"/>
    <w:rPr>
      <w:b/>
      <w:bCs/>
      <w:sz w:val="20"/>
      <w:szCs w:val="20"/>
    </w:rPr>
  </w:style>
  <w:style w:type="paragraph" w:styleId="Caption">
    <w:name w:val="caption"/>
    <w:basedOn w:val="Normal"/>
    <w:next w:val="Normal"/>
    <w:uiPriority w:val="35"/>
    <w:unhideWhenUsed/>
    <w:qFormat/>
    <w:rsid w:val="00530233"/>
    <w:pPr>
      <w:spacing w:line="240" w:lineRule="auto"/>
    </w:pPr>
    <w:rPr>
      <w:i/>
      <w:iCs/>
      <w:color w:val="1F497D" w:themeColor="text2"/>
      <w:sz w:val="18"/>
      <w:szCs w:val="18"/>
    </w:rPr>
  </w:style>
  <w:style w:type="paragraph" w:styleId="Header">
    <w:name w:val="header"/>
    <w:basedOn w:val="Normal"/>
    <w:link w:val="HeaderChar"/>
    <w:uiPriority w:val="99"/>
    <w:unhideWhenUsed/>
    <w:rsid w:val="00F41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44"/>
  </w:style>
  <w:style w:type="paragraph" w:styleId="Footer">
    <w:name w:val="footer"/>
    <w:basedOn w:val="Normal"/>
    <w:link w:val="FooterChar"/>
    <w:uiPriority w:val="99"/>
    <w:unhideWhenUsed/>
    <w:rsid w:val="00F41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44"/>
  </w:style>
  <w:style w:type="paragraph" w:styleId="FootnoteText">
    <w:name w:val="footnote text"/>
    <w:basedOn w:val="Normal"/>
    <w:link w:val="FootnoteTextChar"/>
    <w:uiPriority w:val="99"/>
    <w:semiHidden/>
    <w:unhideWhenUsed/>
    <w:rsid w:val="00ED3D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3D35"/>
    <w:rPr>
      <w:sz w:val="20"/>
      <w:szCs w:val="20"/>
    </w:rPr>
  </w:style>
  <w:style w:type="character" w:styleId="FootnoteReference">
    <w:name w:val="footnote reference"/>
    <w:basedOn w:val="DefaultParagraphFont"/>
    <w:uiPriority w:val="99"/>
    <w:semiHidden/>
    <w:unhideWhenUsed/>
    <w:rsid w:val="00ED3D35"/>
    <w:rPr>
      <w:vertAlign w:val="superscri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682D89"/>
  </w:style>
  <w:style w:type="character" w:styleId="Hyperlink">
    <w:name w:val="Hyperlink"/>
    <w:basedOn w:val="DefaultParagraphFont"/>
    <w:uiPriority w:val="99"/>
    <w:unhideWhenUsed/>
    <w:rsid w:val="00B546F7"/>
    <w:rPr>
      <w:color w:val="0000FF" w:themeColor="hyperlink"/>
      <w:u w:val="single"/>
    </w:rPr>
  </w:style>
  <w:style w:type="table" w:customStyle="1" w:styleId="TableGrid1">
    <w:name w:val="Table Grid1"/>
    <w:basedOn w:val="TableNormal"/>
    <w:next w:val="TableGrid"/>
    <w:uiPriority w:val="59"/>
    <w:rsid w:val="00973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96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2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D60277"/>
    <w:rPr>
      <w:color w:val="0000FF"/>
      <w:shd w:val="clear" w:color="auto" w:fill="auto"/>
    </w:rPr>
  </w:style>
  <w:style w:type="paragraph" w:customStyle="1" w:styleId="Pagedecouverture">
    <w:name w:val="Page de couverture"/>
    <w:basedOn w:val="Normal"/>
    <w:next w:val="Normal"/>
    <w:rsid w:val="00D6027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6027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60277"/>
    <w:rPr>
      <w:rFonts w:ascii="Times New Roman" w:hAnsi="Times New Roman" w:cs="Times New Roman"/>
      <w:sz w:val="24"/>
    </w:rPr>
  </w:style>
  <w:style w:type="paragraph" w:customStyle="1" w:styleId="FooterSensitivity">
    <w:name w:val="Footer Sensitivity"/>
    <w:basedOn w:val="Normal"/>
    <w:link w:val="FooterSensitivityChar"/>
    <w:rsid w:val="00D6027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60277"/>
    <w:rPr>
      <w:rFonts w:ascii="Times New Roman" w:hAnsi="Times New Roman" w:cs="Times New Roman"/>
      <w:b/>
      <w:sz w:val="32"/>
    </w:rPr>
  </w:style>
  <w:style w:type="paragraph" w:customStyle="1" w:styleId="HeaderCoverPage">
    <w:name w:val="Header Cover Page"/>
    <w:basedOn w:val="Normal"/>
    <w:link w:val="HeaderCoverPageChar"/>
    <w:rsid w:val="00D6027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60277"/>
    <w:rPr>
      <w:rFonts w:ascii="Times New Roman" w:hAnsi="Times New Roman" w:cs="Times New Roman"/>
      <w:sz w:val="24"/>
    </w:rPr>
  </w:style>
  <w:style w:type="paragraph" w:customStyle="1" w:styleId="HeaderSensitivity">
    <w:name w:val="Header Sensitivity"/>
    <w:basedOn w:val="Normal"/>
    <w:link w:val="HeaderSensitivityChar"/>
    <w:rsid w:val="00D6027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60277"/>
    <w:rPr>
      <w:rFonts w:ascii="Times New Roman" w:hAnsi="Times New Roman" w:cs="Times New Roman"/>
      <w:b/>
      <w:sz w:val="32"/>
    </w:rPr>
  </w:style>
  <w:style w:type="paragraph" w:customStyle="1" w:styleId="HeaderSensitivityRight">
    <w:name w:val="Header Sensitivity Right"/>
    <w:basedOn w:val="Normal"/>
    <w:link w:val="HeaderSensitivityRightChar"/>
    <w:rsid w:val="00CA5E3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60277"/>
    <w:rPr>
      <w:rFonts w:ascii="Times New Roman" w:hAnsi="Times New Roman" w:cs="Times New Roman"/>
      <w:sz w:val="28"/>
    </w:rPr>
  </w:style>
  <w:style w:type="character" w:customStyle="1" w:styleId="UnresolvedMention">
    <w:name w:val="Unresolved Mention"/>
    <w:basedOn w:val="DefaultParagraphFont"/>
    <w:uiPriority w:val="99"/>
    <w:semiHidden/>
    <w:unhideWhenUsed/>
    <w:rsid w:val="00EF278F"/>
    <w:rPr>
      <w:color w:val="605E5C"/>
      <w:shd w:val="clear" w:color="auto" w:fill="E1DFDD"/>
    </w:rPr>
  </w:style>
  <w:style w:type="paragraph" w:customStyle="1" w:styleId="Disclaimer">
    <w:name w:val="Disclaimer"/>
    <w:basedOn w:val="Normal"/>
    <w:rsid w:val="00CA5E3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CA5E3D"/>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CA5E3D"/>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CA5E3D"/>
    <w:pPr>
      <w:spacing w:after="0"/>
      <w:ind w:left="5103"/>
    </w:pPr>
    <w:rPr>
      <w:rFonts w:ascii="Times New Roman" w:hAnsi="Times New Roman" w:cs="Times New Roman"/>
      <w:i/>
      <w:kern w:val="0"/>
      <w:sz w:val="28"/>
      <w14:ligatures w14:val="none"/>
    </w:rPr>
  </w:style>
  <w:style w:type="paragraph" w:customStyle="1" w:styleId="Languesfaisantfoi">
    <w:name w:val="Langues faisant foi"/>
    <w:basedOn w:val="Normal"/>
    <w:next w:val="Normal"/>
    <w:rsid w:val="00EF6D50"/>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EF6D50"/>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EF6D50"/>
    <w:pPr>
      <w:spacing w:after="0"/>
    </w:pPr>
  </w:style>
  <w:style w:type="paragraph" w:customStyle="1" w:styleId="IntrtEEEPagedecouverture">
    <w:name w:val="Intérêt EEE (Page de couverture)"/>
    <w:basedOn w:val="IntrtEEE"/>
    <w:next w:val="Normal"/>
    <w:rsid w:val="00EF6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7379">
      <w:bodyDiv w:val="1"/>
      <w:marLeft w:val="0"/>
      <w:marRight w:val="0"/>
      <w:marTop w:val="0"/>
      <w:marBottom w:val="0"/>
      <w:divBdr>
        <w:top w:val="none" w:sz="0" w:space="0" w:color="auto"/>
        <w:left w:val="none" w:sz="0" w:space="0" w:color="auto"/>
        <w:bottom w:val="none" w:sz="0" w:space="0" w:color="auto"/>
        <w:right w:val="none" w:sz="0" w:space="0" w:color="auto"/>
      </w:divBdr>
    </w:div>
    <w:div w:id="65149658">
      <w:bodyDiv w:val="1"/>
      <w:marLeft w:val="0"/>
      <w:marRight w:val="0"/>
      <w:marTop w:val="0"/>
      <w:marBottom w:val="0"/>
      <w:divBdr>
        <w:top w:val="none" w:sz="0" w:space="0" w:color="auto"/>
        <w:left w:val="none" w:sz="0" w:space="0" w:color="auto"/>
        <w:bottom w:val="none" w:sz="0" w:space="0" w:color="auto"/>
        <w:right w:val="none" w:sz="0" w:space="0" w:color="auto"/>
      </w:divBdr>
    </w:div>
    <w:div w:id="81725283">
      <w:bodyDiv w:val="1"/>
      <w:marLeft w:val="0"/>
      <w:marRight w:val="0"/>
      <w:marTop w:val="0"/>
      <w:marBottom w:val="0"/>
      <w:divBdr>
        <w:top w:val="none" w:sz="0" w:space="0" w:color="auto"/>
        <w:left w:val="none" w:sz="0" w:space="0" w:color="auto"/>
        <w:bottom w:val="none" w:sz="0" w:space="0" w:color="auto"/>
        <w:right w:val="none" w:sz="0" w:space="0" w:color="auto"/>
      </w:divBdr>
    </w:div>
    <w:div w:id="219756321">
      <w:bodyDiv w:val="1"/>
      <w:marLeft w:val="0"/>
      <w:marRight w:val="0"/>
      <w:marTop w:val="0"/>
      <w:marBottom w:val="0"/>
      <w:divBdr>
        <w:top w:val="none" w:sz="0" w:space="0" w:color="auto"/>
        <w:left w:val="none" w:sz="0" w:space="0" w:color="auto"/>
        <w:bottom w:val="none" w:sz="0" w:space="0" w:color="auto"/>
        <w:right w:val="none" w:sz="0" w:space="0" w:color="auto"/>
      </w:divBdr>
    </w:div>
    <w:div w:id="320156221">
      <w:bodyDiv w:val="1"/>
      <w:marLeft w:val="0"/>
      <w:marRight w:val="0"/>
      <w:marTop w:val="0"/>
      <w:marBottom w:val="0"/>
      <w:divBdr>
        <w:top w:val="none" w:sz="0" w:space="0" w:color="auto"/>
        <w:left w:val="none" w:sz="0" w:space="0" w:color="auto"/>
        <w:bottom w:val="none" w:sz="0" w:space="0" w:color="auto"/>
        <w:right w:val="none" w:sz="0" w:space="0" w:color="auto"/>
      </w:divBdr>
    </w:div>
    <w:div w:id="383022861">
      <w:bodyDiv w:val="1"/>
      <w:marLeft w:val="0"/>
      <w:marRight w:val="0"/>
      <w:marTop w:val="0"/>
      <w:marBottom w:val="0"/>
      <w:divBdr>
        <w:top w:val="none" w:sz="0" w:space="0" w:color="auto"/>
        <w:left w:val="none" w:sz="0" w:space="0" w:color="auto"/>
        <w:bottom w:val="none" w:sz="0" w:space="0" w:color="auto"/>
        <w:right w:val="none" w:sz="0" w:space="0" w:color="auto"/>
      </w:divBdr>
    </w:div>
    <w:div w:id="384380578">
      <w:bodyDiv w:val="1"/>
      <w:marLeft w:val="0"/>
      <w:marRight w:val="0"/>
      <w:marTop w:val="0"/>
      <w:marBottom w:val="0"/>
      <w:divBdr>
        <w:top w:val="none" w:sz="0" w:space="0" w:color="auto"/>
        <w:left w:val="none" w:sz="0" w:space="0" w:color="auto"/>
        <w:bottom w:val="none" w:sz="0" w:space="0" w:color="auto"/>
        <w:right w:val="none" w:sz="0" w:space="0" w:color="auto"/>
      </w:divBdr>
    </w:div>
    <w:div w:id="413865892">
      <w:bodyDiv w:val="1"/>
      <w:marLeft w:val="0"/>
      <w:marRight w:val="0"/>
      <w:marTop w:val="0"/>
      <w:marBottom w:val="0"/>
      <w:divBdr>
        <w:top w:val="none" w:sz="0" w:space="0" w:color="auto"/>
        <w:left w:val="none" w:sz="0" w:space="0" w:color="auto"/>
        <w:bottom w:val="none" w:sz="0" w:space="0" w:color="auto"/>
        <w:right w:val="none" w:sz="0" w:space="0" w:color="auto"/>
      </w:divBdr>
      <w:divsChild>
        <w:div w:id="322582936">
          <w:marLeft w:val="547"/>
          <w:marRight w:val="0"/>
          <w:marTop w:val="0"/>
          <w:marBottom w:val="0"/>
          <w:divBdr>
            <w:top w:val="none" w:sz="0" w:space="0" w:color="auto"/>
            <w:left w:val="none" w:sz="0" w:space="0" w:color="auto"/>
            <w:bottom w:val="none" w:sz="0" w:space="0" w:color="auto"/>
            <w:right w:val="none" w:sz="0" w:space="0" w:color="auto"/>
          </w:divBdr>
        </w:div>
      </w:divsChild>
    </w:div>
    <w:div w:id="424807035">
      <w:bodyDiv w:val="1"/>
      <w:marLeft w:val="0"/>
      <w:marRight w:val="0"/>
      <w:marTop w:val="0"/>
      <w:marBottom w:val="0"/>
      <w:divBdr>
        <w:top w:val="none" w:sz="0" w:space="0" w:color="auto"/>
        <w:left w:val="none" w:sz="0" w:space="0" w:color="auto"/>
        <w:bottom w:val="none" w:sz="0" w:space="0" w:color="auto"/>
        <w:right w:val="none" w:sz="0" w:space="0" w:color="auto"/>
      </w:divBdr>
      <w:divsChild>
        <w:div w:id="522397329">
          <w:marLeft w:val="547"/>
          <w:marRight w:val="0"/>
          <w:marTop w:val="0"/>
          <w:marBottom w:val="0"/>
          <w:divBdr>
            <w:top w:val="none" w:sz="0" w:space="0" w:color="auto"/>
            <w:left w:val="none" w:sz="0" w:space="0" w:color="auto"/>
            <w:bottom w:val="none" w:sz="0" w:space="0" w:color="auto"/>
            <w:right w:val="none" w:sz="0" w:space="0" w:color="auto"/>
          </w:divBdr>
        </w:div>
      </w:divsChild>
    </w:div>
    <w:div w:id="438329871">
      <w:bodyDiv w:val="1"/>
      <w:marLeft w:val="0"/>
      <w:marRight w:val="0"/>
      <w:marTop w:val="0"/>
      <w:marBottom w:val="0"/>
      <w:divBdr>
        <w:top w:val="none" w:sz="0" w:space="0" w:color="auto"/>
        <w:left w:val="none" w:sz="0" w:space="0" w:color="auto"/>
        <w:bottom w:val="none" w:sz="0" w:space="0" w:color="auto"/>
        <w:right w:val="none" w:sz="0" w:space="0" w:color="auto"/>
      </w:divBdr>
      <w:divsChild>
        <w:div w:id="880437543">
          <w:marLeft w:val="547"/>
          <w:marRight w:val="0"/>
          <w:marTop w:val="0"/>
          <w:marBottom w:val="0"/>
          <w:divBdr>
            <w:top w:val="none" w:sz="0" w:space="0" w:color="auto"/>
            <w:left w:val="none" w:sz="0" w:space="0" w:color="auto"/>
            <w:bottom w:val="none" w:sz="0" w:space="0" w:color="auto"/>
            <w:right w:val="none" w:sz="0" w:space="0" w:color="auto"/>
          </w:divBdr>
        </w:div>
      </w:divsChild>
    </w:div>
    <w:div w:id="506555876">
      <w:bodyDiv w:val="1"/>
      <w:marLeft w:val="0"/>
      <w:marRight w:val="0"/>
      <w:marTop w:val="0"/>
      <w:marBottom w:val="0"/>
      <w:divBdr>
        <w:top w:val="none" w:sz="0" w:space="0" w:color="auto"/>
        <w:left w:val="none" w:sz="0" w:space="0" w:color="auto"/>
        <w:bottom w:val="none" w:sz="0" w:space="0" w:color="auto"/>
        <w:right w:val="none" w:sz="0" w:space="0" w:color="auto"/>
      </w:divBdr>
    </w:div>
    <w:div w:id="542905750">
      <w:bodyDiv w:val="1"/>
      <w:marLeft w:val="0"/>
      <w:marRight w:val="0"/>
      <w:marTop w:val="0"/>
      <w:marBottom w:val="0"/>
      <w:divBdr>
        <w:top w:val="none" w:sz="0" w:space="0" w:color="auto"/>
        <w:left w:val="none" w:sz="0" w:space="0" w:color="auto"/>
        <w:bottom w:val="none" w:sz="0" w:space="0" w:color="auto"/>
        <w:right w:val="none" w:sz="0" w:space="0" w:color="auto"/>
      </w:divBdr>
    </w:div>
    <w:div w:id="647905972">
      <w:bodyDiv w:val="1"/>
      <w:marLeft w:val="0"/>
      <w:marRight w:val="0"/>
      <w:marTop w:val="0"/>
      <w:marBottom w:val="0"/>
      <w:divBdr>
        <w:top w:val="none" w:sz="0" w:space="0" w:color="auto"/>
        <w:left w:val="none" w:sz="0" w:space="0" w:color="auto"/>
        <w:bottom w:val="none" w:sz="0" w:space="0" w:color="auto"/>
        <w:right w:val="none" w:sz="0" w:space="0" w:color="auto"/>
      </w:divBdr>
      <w:divsChild>
        <w:div w:id="726951247">
          <w:marLeft w:val="547"/>
          <w:marRight w:val="0"/>
          <w:marTop w:val="0"/>
          <w:marBottom w:val="0"/>
          <w:divBdr>
            <w:top w:val="none" w:sz="0" w:space="0" w:color="auto"/>
            <w:left w:val="none" w:sz="0" w:space="0" w:color="auto"/>
            <w:bottom w:val="none" w:sz="0" w:space="0" w:color="auto"/>
            <w:right w:val="none" w:sz="0" w:space="0" w:color="auto"/>
          </w:divBdr>
        </w:div>
      </w:divsChild>
    </w:div>
    <w:div w:id="723868277">
      <w:bodyDiv w:val="1"/>
      <w:marLeft w:val="0"/>
      <w:marRight w:val="0"/>
      <w:marTop w:val="0"/>
      <w:marBottom w:val="0"/>
      <w:divBdr>
        <w:top w:val="none" w:sz="0" w:space="0" w:color="auto"/>
        <w:left w:val="none" w:sz="0" w:space="0" w:color="auto"/>
        <w:bottom w:val="none" w:sz="0" w:space="0" w:color="auto"/>
        <w:right w:val="none" w:sz="0" w:space="0" w:color="auto"/>
      </w:divBdr>
    </w:div>
    <w:div w:id="731199462">
      <w:bodyDiv w:val="1"/>
      <w:marLeft w:val="0"/>
      <w:marRight w:val="0"/>
      <w:marTop w:val="0"/>
      <w:marBottom w:val="0"/>
      <w:divBdr>
        <w:top w:val="none" w:sz="0" w:space="0" w:color="auto"/>
        <w:left w:val="none" w:sz="0" w:space="0" w:color="auto"/>
        <w:bottom w:val="none" w:sz="0" w:space="0" w:color="auto"/>
        <w:right w:val="none" w:sz="0" w:space="0" w:color="auto"/>
      </w:divBdr>
    </w:div>
    <w:div w:id="950161867">
      <w:bodyDiv w:val="1"/>
      <w:marLeft w:val="0"/>
      <w:marRight w:val="0"/>
      <w:marTop w:val="0"/>
      <w:marBottom w:val="0"/>
      <w:divBdr>
        <w:top w:val="none" w:sz="0" w:space="0" w:color="auto"/>
        <w:left w:val="none" w:sz="0" w:space="0" w:color="auto"/>
        <w:bottom w:val="none" w:sz="0" w:space="0" w:color="auto"/>
        <w:right w:val="none" w:sz="0" w:space="0" w:color="auto"/>
      </w:divBdr>
    </w:div>
    <w:div w:id="977490449">
      <w:bodyDiv w:val="1"/>
      <w:marLeft w:val="0"/>
      <w:marRight w:val="0"/>
      <w:marTop w:val="0"/>
      <w:marBottom w:val="0"/>
      <w:divBdr>
        <w:top w:val="none" w:sz="0" w:space="0" w:color="auto"/>
        <w:left w:val="none" w:sz="0" w:space="0" w:color="auto"/>
        <w:bottom w:val="none" w:sz="0" w:space="0" w:color="auto"/>
        <w:right w:val="none" w:sz="0" w:space="0" w:color="auto"/>
      </w:divBdr>
    </w:div>
    <w:div w:id="1044670411">
      <w:bodyDiv w:val="1"/>
      <w:marLeft w:val="0"/>
      <w:marRight w:val="0"/>
      <w:marTop w:val="0"/>
      <w:marBottom w:val="0"/>
      <w:divBdr>
        <w:top w:val="none" w:sz="0" w:space="0" w:color="auto"/>
        <w:left w:val="none" w:sz="0" w:space="0" w:color="auto"/>
        <w:bottom w:val="none" w:sz="0" w:space="0" w:color="auto"/>
        <w:right w:val="none" w:sz="0" w:space="0" w:color="auto"/>
      </w:divBdr>
    </w:div>
    <w:div w:id="1049918043">
      <w:bodyDiv w:val="1"/>
      <w:marLeft w:val="0"/>
      <w:marRight w:val="0"/>
      <w:marTop w:val="0"/>
      <w:marBottom w:val="0"/>
      <w:divBdr>
        <w:top w:val="none" w:sz="0" w:space="0" w:color="auto"/>
        <w:left w:val="none" w:sz="0" w:space="0" w:color="auto"/>
        <w:bottom w:val="none" w:sz="0" w:space="0" w:color="auto"/>
        <w:right w:val="none" w:sz="0" w:space="0" w:color="auto"/>
      </w:divBdr>
    </w:div>
    <w:div w:id="1091513007">
      <w:bodyDiv w:val="1"/>
      <w:marLeft w:val="0"/>
      <w:marRight w:val="0"/>
      <w:marTop w:val="0"/>
      <w:marBottom w:val="0"/>
      <w:divBdr>
        <w:top w:val="none" w:sz="0" w:space="0" w:color="auto"/>
        <w:left w:val="none" w:sz="0" w:space="0" w:color="auto"/>
        <w:bottom w:val="none" w:sz="0" w:space="0" w:color="auto"/>
        <w:right w:val="none" w:sz="0" w:space="0" w:color="auto"/>
      </w:divBdr>
    </w:div>
    <w:div w:id="1228033318">
      <w:bodyDiv w:val="1"/>
      <w:marLeft w:val="0"/>
      <w:marRight w:val="0"/>
      <w:marTop w:val="0"/>
      <w:marBottom w:val="0"/>
      <w:divBdr>
        <w:top w:val="none" w:sz="0" w:space="0" w:color="auto"/>
        <w:left w:val="none" w:sz="0" w:space="0" w:color="auto"/>
        <w:bottom w:val="none" w:sz="0" w:space="0" w:color="auto"/>
        <w:right w:val="none" w:sz="0" w:space="0" w:color="auto"/>
      </w:divBdr>
    </w:div>
    <w:div w:id="1382972768">
      <w:bodyDiv w:val="1"/>
      <w:marLeft w:val="0"/>
      <w:marRight w:val="0"/>
      <w:marTop w:val="0"/>
      <w:marBottom w:val="0"/>
      <w:divBdr>
        <w:top w:val="none" w:sz="0" w:space="0" w:color="auto"/>
        <w:left w:val="none" w:sz="0" w:space="0" w:color="auto"/>
        <w:bottom w:val="none" w:sz="0" w:space="0" w:color="auto"/>
        <w:right w:val="none" w:sz="0" w:space="0" w:color="auto"/>
      </w:divBdr>
    </w:div>
    <w:div w:id="1428381770">
      <w:bodyDiv w:val="1"/>
      <w:marLeft w:val="0"/>
      <w:marRight w:val="0"/>
      <w:marTop w:val="0"/>
      <w:marBottom w:val="0"/>
      <w:divBdr>
        <w:top w:val="none" w:sz="0" w:space="0" w:color="auto"/>
        <w:left w:val="none" w:sz="0" w:space="0" w:color="auto"/>
        <w:bottom w:val="none" w:sz="0" w:space="0" w:color="auto"/>
        <w:right w:val="none" w:sz="0" w:space="0" w:color="auto"/>
      </w:divBdr>
    </w:div>
    <w:div w:id="1431391156">
      <w:bodyDiv w:val="1"/>
      <w:marLeft w:val="0"/>
      <w:marRight w:val="0"/>
      <w:marTop w:val="0"/>
      <w:marBottom w:val="0"/>
      <w:divBdr>
        <w:top w:val="none" w:sz="0" w:space="0" w:color="auto"/>
        <w:left w:val="none" w:sz="0" w:space="0" w:color="auto"/>
        <w:bottom w:val="none" w:sz="0" w:space="0" w:color="auto"/>
        <w:right w:val="none" w:sz="0" w:space="0" w:color="auto"/>
      </w:divBdr>
    </w:div>
    <w:div w:id="1431896717">
      <w:bodyDiv w:val="1"/>
      <w:marLeft w:val="0"/>
      <w:marRight w:val="0"/>
      <w:marTop w:val="0"/>
      <w:marBottom w:val="0"/>
      <w:divBdr>
        <w:top w:val="none" w:sz="0" w:space="0" w:color="auto"/>
        <w:left w:val="none" w:sz="0" w:space="0" w:color="auto"/>
        <w:bottom w:val="none" w:sz="0" w:space="0" w:color="auto"/>
        <w:right w:val="none" w:sz="0" w:space="0" w:color="auto"/>
      </w:divBdr>
    </w:div>
    <w:div w:id="1473404402">
      <w:bodyDiv w:val="1"/>
      <w:marLeft w:val="0"/>
      <w:marRight w:val="0"/>
      <w:marTop w:val="0"/>
      <w:marBottom w:val="0"/>
      <w:divBdr>
        <w:top w:val="none" w:sz="0" w:space="0" w:color="auto"/>
        <w:left w:val="none" w:sz="0" w:space="0" w:color="auto"/>
        <w:bottom w:val="none" w:sz="0" w:space="0" w:color="auto"/>
        <w:right w:val="none" w:sz="0" w:space="0" w:color="auto"/>
      </w:divBdr>
    </w:div>
    <w:div w:id="1623227837">
      <w:bodyDiv w:val="1"/>
      <w:marLeft w:val="0"/>
      <w:marRight w:val="0"/>
      <w:marTop w:val="0"/>
      <w:marBottom w:val="0"/>
      <w:divBdr>
        <w:top w:val="none" w:sz="0" w:space="0" w:color="auto"/>
        <w:left w:val="none" w:sz="0" w:space="0" w:color="auto"/>
        <w:bottom w:val="none" w:sz="0" w:space="0" w:color="auto"/>
        <w:right w:val="none" w:sz="0" w:space="0" w:color="auto"/>
      </w:divBdr>
    </w:div>
    <w:div w:id="1781955151">
      <w:bodyDiv w:val="1"/>
      <w:marLeft w:val="0"/>
      <w:marRight w:val="0"/>
      <w:marTop w:val="0"/>
      <w:marBottom w:val="0"/>
      <w:divBdr>
        <w:top w:val="none" w:sz="0" w:space="0" w:color="auto"/>
        <w:left w:val="none" w:sz="0" w:space="0" w:color="auto"/>
        <w:bottom w:val="none" w:sz="0" w:space="0" w:color="auto"/>
        <w:right w:val="none" w:sz="0" w:space="0" w:color="auto"/>
      </w:divBdr>
    </w:div>
    <w:div w:id="1814325463">
      <w:bodyDiv w:val="1"/>
      <w:marLeft w:val="0"/>
      <w:marRight w:val="0"/>
      <w:marTop w:val="0"/>
      <w:marBottom w:val="0"/>
      <w:divBdr>
        <w:top w:val="none" w:sz="0" w:space="0" w:color="auto"/>
        <w:left w:val="none" w:sz="0" w:space="0" w:color="auto"/>
        <w:bottom w:val="none" w:sz="0" w:space="0" w:color="auto"/>
        <w:right w:val="none" w:sz="0" w:space="0" w:color="auto"/>
      </w:divBdr>
    </w:div>
    <w:div w:id="1876186836">
      <w:bodyDiv w:val="1"/>
      <w:marLeft w:val="0"/>
      <w:marRight w:val="0"/>
      <w:marTop w:val="0"/>
      <w:marBottom w:val="0"/>
      <w:divBdr>
        <w:top w:val="none" w:sz="0" w:space="0" w:color="auto"/>
        <w:left w:val="none" w:sz="0" w:space="0" w:color="auto"/>
        <w:bottom w:val="none" w:sz="0" w:space="0" w:color="auto"/>
        <w:right w:val="none" w:sz="0" w:space="0" w:color="auto"/>
      </w:divBdr>
    </w:div>
    <w:div w:id="1888687559">
      <w:bodyDiv w:val="1"/>
      <w:marLeft w:val="0"/>
      <w:marRight w:val="0"/>
      <w:marTop w:val="0"/>
      <w:marBottom w:val="0"/>
      <w:divBdr>
        <w:top w:val="none" w:sz="0" w:space="0" w:color="auto"/>
        <w:left w:val="none" w:sz="0" w:space="0" w:color="auto"/>
        <w:bottom w:val="none" w:sz="0" w:space="0" w:color="auto"/>
        <w:right w:val="none" w:sz="0" w:space="0" w:color="auto"/>
      </w:divBdr>
    </w:div>
    <w:div w:id="1915698639">
      <w:bodyDiv w:val="1"/>
      <w:marLeft w:val="0"/>
      <w:marRight w:val="0"/>
      <w:marTop w:val="0"/>
      <w:marBottom w:val="0"/>
      <w:divBdr>
        <w:top w:val="none" w:sz="0" w:space="0" w:color="auto"/>
        <w:left w:val="none" w:sz="0" w:space="0" w:color="auto"/>
        <w:bottom w:val="none" w:sz="0" w:space="0" w:color="auto"/>
        <w:right w:val="none" w:sz="0" w:space="0" w:color="auto"/>
      </w:divBdr>
    </w:div>
    <w:div w:id="1918593021">
      <w:bodyDiv w:val="1"/>
      <w:marLeft w:val="0"/>
      <w:marRight w:val="0"/>
      <w:marTop w:val="0"/>
      <w:marBottom w:val="0"/>
      <w:divBdr>
        <w:top w:val="none" w:sz="0" w:space="0" w:color="auto"/>
        <w:left w:val="none" w:sz="0" w:space="0" w:color="auto"/>
        <w:bottom w:val="none" w:sz="0" w:space="0" w:color="auto"/>
        <w:right w:val="none" w:sz="0" w:space="0" w:color="auto"/>
      </w:divBdr>
    </w:div>
    <w:div w:id="1956987322">
      <w:bodyDiv w:val="1"/>
      <w:marLeft w:val="0"/>
      <w:marRight w:val="0"/>
      <w:marTop w:val="0"/>
      <w:marBottom w:val="0"/>
      <w:divBdr>
        <w:top w:val="none" w:sz="0" w:space="0" w:color="auto"/>
        <w:left w:val="none" w:sz="0" w:space="0" w:color="auto"/>
        <w:bottom w:val="none" w:sz="0" w:space="0" w:color="auto"/>
        <w:right w:val="none" w:sz="0" w:space="0" w:color="auto"/>
      </w:divBdr>
    </w:div>
    <w:div w:id="1971933450">
      <w:bodyDiv w:val="1"/>
      <w:marLeft w:val="0"/>
      <w:marRight w:val="0"/>
      <w:marTop w:val="0"/>
      <w:marBottom w:val="0"/>
      <w:divBdr>
        <w:top w:val="none" w:sz="0" w:space="0" w:color="auto"/>
        <w:left w:val="none" w:sz="0" w:space="0" w:color="auto"/>
        <w:bottom w:val="none" w:sz="0" w:space="0" w:color="auto"/>
        <w:right w:val="none" w:sz="0" w:space="0" w:color="auto"/>
      </w:divBdr>
    </w:div>
    <w:div w:id="1985961023">
      <w:bodyDiv w:val="1"/>
      <w:marLeft w:val="0"/>
      <w:marRight w:val="0"/>
      <w:marTop w:val="0"/>
      <w:marBottom w:val="0"/>
      <w:divBdr>
        <w:top w:val="none" w:sz="0" w:space="0" w:color="auto"/>
        <w:left w:val="none" w:sz="0" w:space="0" w:color="auto"/>
        <w:bottom w:val="none" w:sz="0" w:space="0" w:color="auto"/>
        <w:right w:val="none" w:sz="0" w:space="0" w:color="auto"/>
      </w:divBdr>
    </w:div>
    <w:div w:id="2008894974">
      <w:bodyDiv w:val="1"/>
      <w:marLeft w:val="0"/>
      <w:marRight w:val="0"/>
      <w:marTop w:val="0"/>
      <w:marBottom w:val="0"/>
      <w:divBdr>
        <w:top w:val="none" w:sz="0" w:space="0" w:color="auto"/>
        <w:left w:val="none" w:sz="0" w:space="0" w:color="auto"/>
        <w:bottom w:val="none" w:sz="0" w:space="0" w:color="auto"/>
        <w:right w:val="none" w:sz="0" w:space="0" w:color="auto"/>
      </w:divBdr>
      <w:divsChild>
        <w:div w:id="177623839">
          <w:marLeft w:val="547"/>
          <w:marRight w:val="0"/>
          <w:marTop w:val="0"/>
          <w:marBottom w:val="0"/>
          <w:divBdr>
            <w:top w:val="none" w:sz="0" w:space="0" w:color="auto"/>
            <w:left w:val="none" w:sz="0" w:space="0" w:color="auto"/>
            <w:bottom w:val="none" w:sz="0" w:space="0" w:color="auto"/>
            <w:right w:val="none" w:sz="0" w:space="0" w:color="auto"/>
          </w:divBdr>
        </w:div>
      </w:divsChild>
    </w:div>
    <w:div w:id="2076929638">
      <w:bodyDiv w:val="1"/>
      <w:marLeft w:val="0"/>
      <w:marRight w:val="0"/>
      <w:marTop w:val="0"/>
      <w:marBottom w:val="0"/>
      <w:divBdr>
        <w:top w:val="none" w:sz="0" w:space="0" w:color="auto"/>
        <w:left w:val="none" w:sz="0" w:space="0" w:color="auto"/>
        <w:bottom w:val="none" w:sz="0" w:space="0" w:color="auto"/>
        <w:right w:val="none" w:sz="0" w:space="0" w:color="auto"/>
      </w:divBdr>
    </w:div>
    <w:div w:id="210653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diagramQuickStyle" Target="diagrams/quickStyle2.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diagramLayout" Target="diagrams/layout2.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diagramData" Target="diagrams/data2.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footer" Target="footer4.xm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E1F518-0D4D-404E-9F47-99626EC5C0D5}" type="doc">
      <dgm:prSet loTypeId="urn:microsoft.com/office/officeart/2005/8/layout/hList6" loCatId="list" qsTypeId="urn:microsoft.com/office/officeart/2005/8/quickstyle/simple1" qsCatId="simple" csTypeId="urn:microsoft.com/office/officeart/2005/8/colors/colorful1" csCatId="colorful" phldr="1"/>
      <dgm:spPr/>
      <dgm:t>
        <a:bodyPr/>
        <a:lstStyle/>
        <a:p>
          <a:endParaRPr lang="en-IE"/>
        </a:p>
      </dgm:t>
    </dgm:pt>
    <dgm:pt modelId="{FC6C2292-4751-4BCC-8102-10542BB43FD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fr-FR" sz="750" dirty="0">
              <a:solidFill>
                <a:srgbClr val="FFFFFF"/>
              </a:solidFill>
              <a:latin typeface="Arial"/>
              <a:ea typeface="+mn-ea"/>
              <a:cs typeface="+mn-cs"/>
            </a:rPr>
            <a:t>Résilience et cybersécurité</a:t>
          </a:r>
        </a:p>
      </dgm:t>
    </dgm:pt>
    <dgm:pt modelId="{C637802B-872F-41E0-A348-A13235A23D0F}" type="parTrans" cxnId="{AAB23FE2-C387-45DD-B1B4-FD281BADBC72}">
      <dgm:prSet/>
      <dgm:spPr/>
      <dgm:t>
        <a:bodyPr/>
        <a:lstStyle/>
        <a:p>
          <a:endParaRPr lang="en-IE" sz="750"/>
        </a:p>
      </dgm:t>
    </dgm:pt>
    <dgm:pt modelId="{1500BFAB-AEEA-4F22-A486-78F70627CBFC}" type="sibTrans" cxnId="{AAB23FE2-C387-45DD-B1B4-FD281BADBC72}">
      <dgm:prSet/>
      <dgm:spPr/>
      <dgm:t>
        <a:bodyPr/>
        <a:lstStyle/>
        <a:p>
          <a:endParaRPr lang="en-IE" sz="750"/>
        </a:p>
      </dgm:t>
    </dgm:pt>
    <dgm:pt modelId="{55304315-DCC2-4FB2-AD43-352195E97AFC}">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fr-FR" sz="750" dirty="0">
              <a:solidFill>
                <a:srgbClr val="FFFFFF"/>
              </a:solidFill>
              <a:latin typeface="Arial"/>
              <a:ea typeface="+mn-ea"/>
              <a:cs typeface="+mn-cs"/>
            </a:rPr>
            <a:t>Sécurité et ordre public</a:t>
          </a:r>
        </a:p>
      </dgm:t>
    </dgm:pt>
    <dgm:pt modelId="{8A6DCBBE-DC48-42E2-9025-ADC4934A8754}" type="parTrans" cxnId="{333D579E-DF18-4B3F-95E7-20F466565C90}">
      <dgm:prSet/>
      <dgm:spPr/>
      <dgm:t>
        <a:bodyPr/>
        <a:lstStyle/>
        <a:p>
          <a:endParaRPr lang="en-IE" sz="750"/>
        </a:p>
      </dgm:t>
    </dgm:pt>
    <dgm:pt modelId="{FD045865-B80F-4808-B659-7B82EC1E1AAC}" type="sibTrans" cxnId="{333D579E-DF18-4B3F-95E7-20F466565C90}">
      <dgm:prSet/>
      <dgm:spPr/>
      <dgm:t>
        <a:bodyPr/>
        <a:lstStyle/>
        <a:p>
          <a:endParaRPr lang="en-IE" sz="750"/>
        </a:p>
      </dgm:t>
    </dgm:pt>
    <dgm:pt modelId="{15BFE9C1-D04F-4E5C-998E-5A96A61AD51A}">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fr-FR" sz="750" dirty="0">
              <a:solidFill>
                <a:srgbClr val="FFFFFF"/>
              </a:solidFill>
              <a:latin typeface="Arial"/>
              <a:ea typeface="+mn-ea"/>
              <a:cs typeface="+mn-cs"/>
            </a:rPr>
            <a:t>Mesures anticoercitives et restrictives</a:t>
          </a:r>
        </a:p>
      </dgm:t>
    </dgm:pt>
    <dgm:pt modelId="{E83B14ED-7164-47AF-8FA0-963FA0188214}" type="parTrans" cxnId="{09961330-FDDD-4903-AE29-33EAA09F9799}">
      <dgm:prSet/>
      <dgm:spPr/>
      <dgm:t>
        <a:bodyPr/>
        <a:lstStyle/>
        <a:p>
          <a:endParaRPr lang="en-IE" sz="750"/>
        </a:p>
      </dgm:t>
    </dgm:pt>
    <dgm:pt modelId="{6243D136-6D07-423F-AA9D-D8997BD92E1E}" type="sibTrans" cxnId="{09961330-FDDD-4903-AE29-33EAA09F9799}">
      <dgm:prSet/>
      <dgm:spPr/>
      <dgm:t>
        <a:bodyPr/>
        <a:lstStyle/>
        <a:p>
          <a:endParaRPr lang="en-IE" sz="750"/>
        </a:p>
      </dgm:t>
    </dgm:pt>
    <dgm:pt modelId="{091542FC-77C4-4234-B137-36ED5F844341}">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fr-FR" sz="750" dirty="0">
              <a:solidFill>
                <a:srgbClr val="FFFFFF"/>
              </a:solidFill>
              <a:latin typeface="Arial"/>
              <a:ea typeface="+mn-ea"/>
              <a:cs typeface="+mn-cs"/>
            </a:rPr>
            <a:t>Quelques initiatives sectorielles</a:t>
          </a:r>
        </a:p>
      </dgm:t>
    </dgm:pt>
    <dgm:pt modelId="{073CD249-AA76-40B7-8828-99AFDEC7DEFE}" type="parTrans" cxnId="{53419A4C-5255-4FC6-9604-6A4A1359EB5A}">
      <dgm:prSet/>
      <dgm:spPr/>
      <dgm:t>
        <a:bodyPr/>
        <a:lstStyle/>
        <a:p>
          <a:endParaRPr lang="en-IE" sz="750"/>
        </a:p>
      </dgm:t>
    </dgm:pt>
    <dgm:pt modelId="{810802F9-27CB-44FA-89C8-E07F6C38F086}" type="sibTrans" cxnId="{53419A4C-5255-4FC6-9604-6A4A1359EB5A}">
      <dgm:prSet/>
      <dgm:spPr/>
      <dgm:t>
        <a:bodyPr/>
        <a:lstStyle/>
        <a:p>
          <a:endParaRPr lang="en-IE" sz="750"/>
        </a:p>
      </dgm:t>
    </dgm:pt>
    <dgm:pt modelId="{FC5426B1-5CB5-4C2F-8BEA-269F997A028F}">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fr-FR" sz="750" dirty="0">
              <a:solidFill>
                <a:srgbClr val="FFFFFF"/>
              </a:solidFill>
              <a:latin typeface="Arial"/>
              <a:ea typeface="+mn-ea"/>
              <a:cs typeface="+mn-cs"/>
            </a:rPr>
            <a:t>Commerce et concurrence</a:t>
          </a:r>
        </a:p>
      </dgm:t>
    </dgm:pt>
    <dgm:pt modelId="{24F384E6-237C-4CED-B53E-A042FAD2A326}" type="parTrans" cxnId="{9E616936-A5FF-419B-A268-0CD355D95691}">
      <dgm:prSet/>
      <dgm:spPr/>
      <dgm:t>
        <a:bodyPr/>
        <a:lstStyle/>
        <a:p>
          <a:endParaRPr lang="en-IE" sz="750"/>
        </a:p>
      </dgm:t>
    </dgm:pt>
    <dgm:pt modelId="{2FEDFC9A-5F4F-41B0-84D5-FD0C5CA4B273}" type="sibTrans" cxnId="{9E616936-A5FF-419B-A268-0CD355D95691}">
      <dgm:prSet/>
      <dgm:spPr/>
      <dgm:t>
        <a:bodyPr/>
        <a:lstStyle/>
        <a:p>
          <a:endParaRPr lang="en-IE" sz="750"/>
        </a:p>
      </dgm:t>
    </dgm:pt>
    <dgm:pt modelId="{F3772EAF-15CA-4595-AC71-0453610DC121}">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Règlement «subventions étrangères»</a:t>
          </a:r>
        </a:p>
      </dgm:t>
    </dgm:pt>
    <dgm:pt modelId="{303E920C-A3E5-429B-8FC4-6587FEFB40EF}" type="parTrans" cxnId="{6EF5B608-CFE5-41EC-857B-F3F40E3771DB}">
      <dgm:prSet/>
      <dgm:spPr/>
      <dgm:t>
        <a:bodyPr/>
        <a:lstStyle/>
        <a:p>
          <a:endParaRPr lang="en-IE" sz="750"/>
        </a:p>
      </dgm:t>
    </dgm:pt>
    <dgm:pt modelId="{76D7C8E5-E23A-481E-AAB2-A55551622B84}" type="sibTrans" cxnId="{6EF5B608-CFE5-41EC-857B-F3F40E3771DB}">
      <dgm:prSet/>
      <dgm:spPr/>
      <dgm:t>
        <a:bodyPr/>
        <a:lstStyle/>
        <a:p>
          <a:endParaRPr lang="en-IE" sz="750"/>
        </a:p>
      </dgm:t>
    </dgm:pt>
    <dgm:pt modelId="{04C3FD59-AC2E-45D6-BF02-8124F7333553}">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a:solidFill>
                <a:srgbClr val="FFFFFF"/>
              </a:solidFill>
              <a:latin typeface="Arial"/>
              <a:ea typeface="+mn-ea"/>
              <a:cs typeface="+mn-cs"/>
            </a:rPr>
            <a:t>Règlement «situations d’urgence et résilience du marché intérieur»</a:t>
          </a:r>
        </a:p>
      </dgm:t>
    </dgm:pt>
    <dgm:pt modelId="{CE65F464-8CC0-406E-891E-37DD5AD2DA26}" type="parTrans" cxnId="{847D7D9C-6000-4142-A43C-04B8F14D2A4F}">
      <dgm:prSet/>
      <dgm:spPr/>
      <dgm:t>
        <a:bodyPr/>
        <a:lstStyle/>
        <a:p>
          <a:endParaRPr lang="en-IE" sz="750"/>
        </a:p>
      </dgm:t>
    </dgm:pt>
    <dgm:pt modelId="{621F764B-45EE-4B5F-A91E-E10E06C407C0}" type="sibTrans" cxnId="{847D7D9C-6000-4142-A43C-04B8F14D2A4F}">
      <dgm:prSet/>
      <dgm:spPr/>
      <dgm:t>
        <a:bodyPr/>
        <a:lstStyle/>
        <a:p>
          <a:endParaRPr lang="en-IE" sz="750"/>
        </a:p>
      </dgm:t>
    </dgm:pt>
    <dgm:pt modelId="{B0E3B7F7-6AD2-4DBD-BB01-15579C01285B}">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Règlement «filtrage des IDE»</a:t>
          </a:r>
        </a:p>
      </dgm:t>
    </dgm:pt>
    <dgm:pt modelId="{F37C651C-9F8E-435C-999F-C5365AC665BA}" type="parTrans" cxnId="{06EA5AE4-1E21-40AA-A687-01776A203D13}">
      <dgm:prSet/>
      <dgm:spPr/>
      <dgm:t>
        <a:bodyPr/>
        <a:lstStyle/>
        <a:p>
          <a:endParaRPr lang="en-IE" sz="750"/>
        </a:p>
      </dgm:t>
    </dgm:pt>
    <dgm:pt modelId="{6ED4DD17-F55E-43DF-802B-5B828D565F03}" type="sibTrans" cxnId="{06EA5AE4-1E21-40AA-A687-01776A203D13}">
      <dgm:prSet/>
      <dgm:spPr/>
      <dgm:t>
        <a:bodyPr/>
        <a:lstStyle/>
        <a:p>
          <a:endParaRPr lang="en-IE" sz="750"/>
        </a:p>
      </dgm:t>
    </dgm:pt>
    <dgm:pt modelId="{770E93E2-299F-4A62-9A92-65FCCC751281}">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Règlement «contrôle des exportations de biens à double usage»</a:t>
          </a:r>
        </a:p>
      </dgm:t>
    </dgm:pt>
    <dgm:pt modelId="{5A61E83B-0B82-4D5C-829F-6118D662BCFC}" type="parTrans" cxnId="{C8119D0D-537B-4135-8034-8E0EA1AC2E02}">
      <dgm:prSet/>
      <dgm:spPr/>
      <dgm:t>
        <a:bodyPr/>
        <a:lstStyle/>
        <a:p>
          <a:endParaRPr lang="en-IE" sz="750"/>
        </a:p>
      </dgm:t>
    </dgm:pt>
    <dgm:pt modelId="{194D2D46-7D9C-4B59-A065-9D247021C1B5}" type="sibTrans" cxnId="{C8119D0D-537B-4135-8034-8E0EA1AC2E02}">
      <dgm:prSet/>
      <dgm:spPr/>
      <dgm:t>
        <a:bodyPr/>
        <a:lstStyle/>
        <a:p>
          <a:endParaRPr lang="en-IE" sz="750"/>
        </a:p>
      </dgm:t>
    </dgm:pt>
    <dgm:pt modelId="{4FBDDBD6-5226-443A-84AA-4A45605A473B}">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Recommandation «examen des investissements sortants»</a:t>
          </a:r>
        </a:p>
      </dgm:t>
    </dgm:pt>
    <dgm:pt modelId="{F313CE84-CB7F-49B1-964D-29679D7085D7}" type="parTrans" cxnId="{EF33DF12-BC1D-4DA6-8865-9C7FB6E663F4}">
      <dgm:prSet/>
      <dgm:spPr/>
      <dgm:t>
        <a:bodyPr/>
        <a:lstStyle/>
        <a:p>
          <a:endParaRPr lang="en-IE" sz="750"/>
        </a:p>
      </dgm:t>
    </dgm:pt>
    <dgm:pt modelId="{410712C8-DADE-4158-ABC4-449DAAE97A6E}" type="sibTrans" cxnId="{EF33DF12-BC1D-4DA6-8865-9C7FB6E663F4}">
      <dgm:prSet/>
      <dgm:spPr/>
      <dgm:t>
        <a:bodyPr/>
        <a:lstStyle/>
        <a:p>
          <a:endParaRPr lang="en-IE" sz="750"/>
        </a:p>
      </dgm:t>
    </dgm:pt>
    <dgm:pt modelId="{E4CD00E1-BDD8-4DC4-9998-93952B75407D}">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fr-FR" sz="750" dirty="0">
              <a:solidFill>
                <a:srgbClr val="FFFFFF"/>
              </a:solidFill>
              <a:latin typeface="Arial"/>
              <a:ea typeface="+mn-ea"/>
              <a:cs typeface="+mn-cs"/>
            </a:rPr>
            <a:t>Financement et restrictions</a:t>
          </a:r>
        </a:p>
      </dgm:t>
    </dgm:pt>
    <dgm:pt modelId="{D7223826-D62D-4F40-ACB6-E66AF23CF4E3}" type="parTrans" cxnId="{3474AE02-5CAF-482B-BFD1-A005F67870A8}">
      <dgm:prSet/>
      <dgm:spPr/>
      <dgm:t>
        <a:bodyPr/>
        <a:lstStyle/>
        <a:p>
          <a:endParaRPr lang="en-IE" sz="750"/>
        </a:p>
      </dgm:t>
    </dgm:pt>
    <dgm:pt modelId="{C1F5DB98-92E3-489E-801C-B3453A465A84}" type="sibTrans" cxnId="{3474AE02-5CAF-482B-BFD1-A005F67870A8}">
      <dgm:prSet/>
      <dgm:spPr/>
      <dgm:t>
        <a:bodyPr/>
        <a:lstStyle/>
        <a:p>
          <a:endParaRPr lang="en-IE" sz="750"/>
        </a:p>
      </dgm:t>
    </dgm:pt>
    <dgm:pt modelId="{DD3F9754-2469-49F2-8619-86E99B2BD57B}">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Restrictions de financement dans Horizon Europe, le programme pour une Europe numérique et le MIE</a:t>
          </a:r>
        </a:p>
      </dgm:t>
    </dgm:pt>
    <dgm:pt modelId="{22D30DF2-E30F-46D4-A786-FDB57244F525}" type="parTrans" cxnId="{A6AC50DE-3595-44A7-BF47-D62A74F191DC}">
      <dgm:prSet/>
      <dgm:spPr/>
      <dgm:t>
        <a:bodyPr/>
        <a:lstStyle/>
        <a:p>
          <a:endParaRPr lang="en-IE" sz="750"/>
        </a:p>
      </dgm:t>
    </dgm:pt>
    <dgm:pt modelId="{D67CFEDD-AB22-4D81-9CA1-80083D7E3B40}" type="sibTrans" cxnId="{A6AC50DE-3595-44A7-BF47-D62A74F191DC}">
      <dgm:prSet/>
      <dgm:spPr/>
      <dgm:t>
        <a:bodyPr/>
        <a:lstStyle/>
        <a:p>
          <a:endParaRPr lang="en-IE" sz="750"/>
        </a:p>
      </dgm:t>
    </dgm:pt>
    <dgm:pt modelId="{F4D28CC1-27FF-4B01-86B3-5E5382F5C9D2}">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Instrument anticoercitif</a:t>
          </a:r>
        </a:p>
      </dgm:t>
    </dgm:pt>
    <dgm:pt modelId="{8729205D-17F9-49B3-8104-0C0FF51FFD45}" type="parTrans" cxnId="{5D5EFED8-2671-4E72-BB13-7721B0389C5D}">
      <dgm:prSet/>
      <dgm:spPr/>
      <dgm:t>
        <a:bodyPr/>
        <a:lstStyle/>
        <a:p>
          <a:endParaRPr lang="en-IE" sz="750"/>
        </a:p>
      </dgm:t>
    </dgm:pt>
    <dgm:pt modelId="{A5DCC5EB-9D8A-44FF-B077-6988D283413C}" type="sibTrans" cxnId="{5D5EFED8-2671-4E72-BB13-7721B0389C5D}">
      <dgm:prSet/>
      <dgm:spPr/>
      <dgm:t>
        <a:bodyPr/>
        <a:lstStyle/>
        <a:p>
          <a:endParaRPr lang="en-IE" sz="750"/>
        </a:p>
      </dgm:t>
    </dgm:pt>
    <dgm:pt modelId="{E1917D2C-0B89-495F-8AEC-F425001851AD}">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Sanctions/mesures restrictives  </a:t>
          </a:r>
        </a:p>
      </dgm:t>
    </dgm:pt>
    <dgm:pt modelId="{15E158FF-25C1-49AB-8672-690C2CDFC05D}" type="parTrans" cxnId="{8207AB6A-D02B-4239-83A5-3C38E7539EAC}">
      <dgm:prSet/>
      <dgm:spPr/>
      <dgm:t>
        <a:bodyPr/>
        <a:lstStyle/>
        <a:p>
          <a:endParaRPr lang="en-IE" sz="750"/>
        </a:p>
      </dgm:t>
    </dgm:pt>
    <dgm:pt modelId="{6ECFCAB1-DAC8-4803-BBF3-6C42683D9BF6}" type="sibTrans" cxnId="{8207AB6A-D02B-4239-83A5-3C38E7539EAC}">
      <dgm:prSet/>
      <dgm:spPr/>
      <dgm:t>
        <a:bodyPr/>
        <a:lstStyle/>
        <a:p>
          <a:endParaRPr lang="en-IE" sz="750"/>
        </a:p>
      </dgm:t>
    </dgm:pt>
    <dgm:pt modelId="{3C34AD98-BBC4-4301-8DF1-4F46C29AD298}">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Mesures antisubventions</a:t>
          </a:r>
        </a:p>
      </dgm:t>
    </dgm:pt>
    <dgm:pt modelId="{4A9D33D6-58B4-44BA-BDD9-43278D454F6B}" type="parTrans" cxnId="{8BAD415A-3FFF-4E2F-B32C-D8B10608462A}">
      <dgm:prSet/>
      <dgm:spPr/>
      <dgm:t>
        <a:bodyPr/>
        <a:lstStyle/>
        <a:p>
          <a:endParaRPr lang="en-IE" sz="750"/>
        </a:p>
      </dgm:t>
    </dgm:pt>
    <dgm:pt modelId="{E3EE43CE-DB5F-414F-B024-94AC28AE62D0}" type="sibTrans" cxnId="{8BAD415A-3FFF-4E2F-B32C-D8B10608462A}">
      <dgm:prSet/>
      <dgm:spPr/>
      <dgm:t>
        <a:bodyPr/>
        <a:lstStyle/>
        <a:p>
          <a:endParaRPr lang="en-IE" sz="750"/>
        </a:p>
      </dgm:t>
    </dgm:pt>
    <dgm:pt modelId="{1F9B504E-B4CA-4C9F-B85B-3050CED29D44}">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Mesures antidumping</a:t>
          </a:r>
        </a:p>
      </dgm:t>
    </dgm:pt>
    <dgm:pt modelId="{982C0BC9-129F-4B32-85BC-70ECFAB9D969}" type="parTrans" cxnId="{8E248FDA-7F39-450C-B700-E8ED8C151109}">
      <dgm:prSet/>
      <dgm:spPr/>
      <dgm:t>
        <a:bodyPr/>
        <a:lstStyle/>
        <a:p>
          <a:endParaRPr lang="en-IE" sz="750"/>
        </a:p>
      </dgm:t>
    </dgm:pt>
    <dgm:pt modelId="{22CDB036-B335-4E2E-89BC-6B7EDE633297}" type="sibTrans" cxnId="{8E248FDA-7F39-450C-B700-E8ED8C151109}">
      <dgm:prSet/>
      <dgm:spPr/>
      <dgm:t>
        <a:bodyPr/>
        <a:lstStyle/>
        <a:p>
          <a:endParaRPr lang="en-IE" sz="750"/>
        </a:p>
      </dgm:t>
    </dgm:pt>
    <dgm:pt modelId="{3B28F38D-37D3-486A-94F5-092EBD957001}">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Mesures de sauvegarde</a:t>
          </a:r>
        </a:p>
      </dgm:t>
    </dgm:pt>
    <dgm:pt modelId="{9238D67B-2E8C-45C1-BE7C-3E4EF586E3D8}" type="parTrans" cxnId="{46D176D5-F198-481E-863F-4FA428ECA51D}">
      <dgm:prSet/>
      <dgm:spPr/>
      <dgm:t>
        <a:bodyPr/>
        <a:lstStyle/>
        <a:p>
          <a:endParaRPr lang="en-IE" sz="750"/>
        </a:p>
      </dgm:t>
    </dgm:pt>
    <dgm:pt modelId="{4C1F9D30-48BD-48EF-B397-A6BC536FD2F9}" type="sibTrans" cxnId="{46D176D5-F198-481E-863F-4FA428ECA51D}">
      <dgm:prSet/>
      <dgm:spPr/>
      <dgm:t>
        <a:bodyPr/>
        <a:lstStyle/>
        <a:p>
          <a:endParaRPr lang="en-IE" sz="750"/>
        </a:p>
      </dgm:t>
    </dgm:pt>
    <dgm:pt modelId="{84A9FDF7-C95B-4386-9FC8-E024FE3F39FC}">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Directive «résilience des entités critiques»</a:t>
          </a:r>
        </a:p>
      </dgm:t>
    </dgm:pt>
    <dgm:pt modelId="{11A8D8F7-1304-4B62-82D3-62413CFB64A1}" type="parTrans" cxnId="{7EDC11C5-7E29-452A-90C4-F5E4EF566E77}">
      <dgm:prSet/>
      <dgm:spPr/>
      <dgm:t>
        <a:bodyPr/>
        <a:lstStyle/>
        <a:p>
          <a:endParaRPr lang="en-IE" sz="750"/>
        </a:p>
      </dgm:t>
    </dgm:pt>
    <dgm:pt modelId="{6A0D8D9D-D072-47EB-AD7C-135D7B71A136}" type="sibTrans" cxnId="{7EDC11C5-7E29-452A-90C4-F5E4EF566E77}">
      <dgm:prSet/>
      <dgm:spPr/>
      <dgm:t>
        <a:bodyPr/>
        <a:lstStyle/>
        <a:p>
          <a:endParaRPr lang="en-IE" sz="750"/>
        </a:p>
      </dgm:t>
    </dgm:pt>
    <dgm:pt modelId="{AD4F8265-0F9B-40E8-B3FD-EC74AF2BED07}">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Autres outils de concurrence</a:t>
          </a:r>
        </a:p>
      </dgm:t>
    </dgm:pt>
    <dgm:pt modelId="{61EB4D57-D180-4BA5-BBA9-1EDFF1B404E0}" type="parTrans" cxnId="{3552D2BE-064D-4D28-9374-EAC4CD7D2383}">
      <dgm:prSet/>
      <dgm:spPr/>
      <dgm:t>
        <a:bodyPr/>
        <a:lstStyle/>
        <a:p>
          <a:endParaRPr lang="en-IE" sz="750"/>
        </a:p>
      </dgm:t>
    </dgm:pt>
    <dgm:pt modelId="{357469FE-0B02-473A-9E97-BE0EDE513F4E}" type="sibTrans" cxnId="{3552D2BE-064D-4D28-9374-EAC4CD7D2383}">
      <dgm:prSet/>
      <dgm:spPr/>
      <dgm:t>
        <a:bodyPr/>
        <a:lstStyle/>
        <a:p>
          <a:endParaRPr lang="en-IE" sz="750"/>
        </a:p>
      </dgm:t>
    </dgm:pt>
    <dgm:pt modelId="{830AA2B8-B78A-4C6D-8210-A180A3D6D5C0}">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Douane (formalités et contrôles)</a:t>
          </a:r>
        </a:p>
      </dgm:t>
    </dgm:pt>
    <dgm:pt modelId="{94B3E4D0-7059-47B9-A142-E79BB4207A3A}" type="parTrans" cxnId="{41DC94AF-D9BC-42F5-871A-95145D33379B}">
      <dgm:prSet/>
      <dgm:spPr/>
      <dgm:t>
        <a:bodyPr/>
        <a:lstStyle/>
        <a:p>
          <a:endParaRPr lang="en-IE" sz="750"/>
        </a:p>
      </dgm:t>
    </dgm:pt>
    <dgm:pt modelId="{2764896E-60ED-47F2-884C-B895A283DE3B}" type="sibTrans" cxnId="{41DC94AF-D9BC-42F5-871A-95145D33379B}">
      <dgm:prSet/>
      <dgm:spPr/>
      <dgm:t>
        <a:bodyPr/>
        <a:lstStyle/>
        <a:p>
          <a:endParaRPr lang="en-IE" sz="750"/>
        </a:p>
      </dgm:t>
    </dgm:pt>
    <dgm:pt modelId="{5DD097BC-2F79-4A87-BB4A-4713B462C899}">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Recommandation du Conseil «sécurité de la recherche»</a:t>
          </a:r>
        </a:p>
      </dgm:t>
    </dgm:pt>
    <dgm:pt modelId="{DC98CDCF-ABBA-4F98-896D-1314CCCFD39A}" type="parTrans" cxnId="{52A07306-05C1-476B-90BB-234DAB62FB93}">
      <dgm:prSet/>
      <dgm:spPr/>
      <dgm:t>
        <a:bodyPr/>
        <a:lstStyle/>
        <a:p>
          <a:endParaRPr lang="en-IE" sz="750"/>
        </a:p>
      </dgm:t>
    </dgm:pt>
    <dgm:pt modelId="{A309786A-202C-4007-9CD6-BFF60D24DD25}" type="sibTrans" cxnId="{52A07306-05C1-476B-90BB-234DAB62FB93}">
      <dgm:prSet/>
      <dgm:spPr/>
      <dgm:t>
        <a:bodyPr/>
        <a:lstStyle/>
        <a:p>
          <a:endParaRPr lang="en-IE" sz="750"/>
        </a:p>
      </dgm:t>
    </dgm:pt>
    <dgm:pt modelId="{CB79A8B7-E3B7-462C-9BDE-72DB8A99BFE0}">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Loi de blocage</a:t>
          </a:r>
        </a:p>
      </dgm:t>
    </dgm:pt>
    <dgm:pt modelId="{30751327-B2F9-4EDC-B85F-CB5D1145FA96}" type="parTrans" cxnId="{CC48D400-B7E2-4BFE-ADFF-FD5CCCD5583A}">
      <dgm:prSet/>
      <dgm:spPr/>
      <dgm:t>
        <a:bodyPr/>
        <a:lstStyle/>
        <a:p>
          <a:endParaRPr lang="en-IE" sz="750"/>
        </a:p>
      </dgm:t>
    </dgm:pt>
    <dgm:pt modelId="{205304C0-0FEE-4B5A-B8AA-E33A032595FD}" type="sibTrans" cxnId="{CC48D400-B7E2-4BFE-ADFF-FD5CCCD5583A}">
      <dgm:prSet/>
      <dgm:spPr/>
      <dgm:t>
        <a:bodyPr/>
        <a:lstStyle/>
        <a:p>
          <a:endParaRPr lang="en-IE" sz="750"/>
        </a:p>
      </dgm:t>
    </dgm:pt>
    <dgm:pt modelId="{F83E4D16-8CDE-40CF-AD79-DAB8B5BAA128}">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Restrictions liées à la sécurité économique (CFP post-2027)</a:t>
          </a:r>
        </a:p>
      </dgm:t>
    </dgm:pt>
    <dgm:pt modelId="{C1EBE26D-A4FF-4781-AB5D-FFD878EB2577}" type="parTrans" cxnId="{141EDDA1-CAE4-4C09-BB63-D6B5E0FF57AA}">
      <dgm:prSet/>
      <dgm:spPr/>
      <dgm:t>
        <a:bodyPr/>
        <a:lstStyle/>
        <a:p>
          <a:endParaRPr lang="en-IE" sz="750"/>
        </a:p>
      </dgm:t>
    </dgm:pt>
    <dgm:pt modelId="{9AE8F018-CF22-4FA0-BDA0-772C84EF4958}" type="sibTrans" cxnId="{141EDDA1-CAE4-4C09-BB63-D6B5E0FF57AA}">
      <dgm:prSet/>
      <dgm:spPr/>
      <dgm:t>
        <a:bodyPr/>
        <a:lstStyle/>
        <a:p>
          <a:endParaRPr lang="en-IE" sz="750"/>
        </a:p>
      </dgm:t>
    </dgm:pt>
    <dgm:pt modelId="{0CC8DE9D-C7DA-4BB3-AFFE-7E4A97D0C37D}">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Restrictions liées aux fournisseurs à haut risque (CFP post-2027)</a:t>
          </a:r>
        </a:p>
      </dgm:t>
    </dgm:pt>
    <dgm:pt modelId="{52FFA7B2-A327-49AE-9B47-510598164EFB}" type="parTrans" cxnId="{F889081F-2C64-42CC-9378-6D4EEFA6EEC5}">
      <dgm:prSet/>
      <dgm:spPr/>
      <dgm:t>
        <a:bodyPr/>
        <a:lstStyle/>
        <a:p>
          <a:endParaRPr lang="en-IE" sz="750"/>
        </a:p>
      </dgm:t>
    </dgm:pt>
    <dgm:pt modelId="{814D1581-7CB2-426B-8854-D7ABD4DFE9F9}" type="sibTrans" cxnId="{F889081F-2C64-42CC-9378-6D4EEFA6EEC5}">
      <dgm:prSet/>
      <dgm:spPr/>
      <dgm:t>
        <a:bodyPr/>
        <a:lstStyle/>
        <a:p>
          <a:endParaRPr lang="en-IE" sz="750"/>
        </a:p>
      </dgm:t>
    </dgm:pt>
    <dgm:pt modelId="{B7FAB7BD-6F60-4CFE-B388-B1D6F323E185}">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Outil de coordination de la compétitivité</a:t>
          </a:r>
        </a:p>
      </dgm:t>
    </dgm:pt>
    <dgm:pt modelId="{C0FA3409-3925-431E-BF39-F2BB57C61218}" type="parTrans" cxnId="{B7F099A2-8D80-4392-A607-112C9BB0285D}">
      <dgm:prSet/>
      <dgm:spPr/>
      <dgm:t>
        <a:bodyPr/>
        <a:lstStyle/>
        <a:p>
          <a:endParaRPr lang="en-IE" sz="750"/>
        </a:p>
      </dgm:t>
    </dgm:pt>
    <dgm:pt modelId="{DF162088-B441-4B61-B454-44E8FBD72C5E}" type="sibTrans" cxnId="{B7F099A2-8D80-4392-A607-112C9BB0285D}">
      <dgm:prSet/>
      <dgm:spPr/>
      <dgm:t>
        <a:bodyPr/>
        <a:lstStyle/>
        <a:p>
          <a:endParaRPr lang="en-IE" sz="750"/>
        </a:p>
      </dgm:t>
    </dgm:pt>
    <dgm:pt modelId="{0D797494-3AAC-4A9C-B40F-6FA003E4453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Règlement «cyberrésilience»</a:t>
          </a:r>
        </a:p>
      </dgm:t>
    </dgm:pt>
    <dgm:pt modelId="{AABFFF8D-9369-49FD-AA40-D74CD225D6F4}" type="parTrans" cxnId="{912D5AA9-8371-4A64-AA78-7F559CB390F2}">
      <dgm:prSet/>
      <dgm:spPr/>
      <dgm:t>
        <a:bodyPr/>
        <a:lstStyle/>
        <a:p>
          <a:endParaRPr lang="en-IE" sz="750"/>
        </a:p>
      </dgm:t>
    </dgm:pt>
    <dgm:pt modelId="{6E95E4F7-8143-44F2-8AEC-46E87A9B406D}" type="sibTrans" cxnId="{912D5AA9-8371-4A64-AA78-7F559CB390F2}">
      <dgm:prSet/>
      <dgm:spPr/>
      <dgm:t>
        <a:bodyPr/>
        <a:lstStyle/>
        <a:p>
          <a:endParaRPr lang="en-IE" sz="750"/>
        </a:p>
      </dgm:t>
    </dgm:pt>
    <dgm:pt modelId="{4802F4AA-F16E-4719-9BB5-7E84A5216822}">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Directive SRI 2</a:t>
          </a:r>
        </a:p>
      </dgm:t>
    </dgm:pt>
    <dgm:pt modelId="{82528740-F2E5-44A0-881B-80E6D4A3F11D}" type="parTrans" cxnId="{1081BA08-E274-4082-81A2-E2BEDBFA8A42}">
      <dgm:prSet/>
      <dgm:spPr/>
      <dgm:t>
        <a:bodyPr/>
        <a:lstStyle/>
        <a:p>
          <a:endParaRPr lang="en-IE" sz="750"/>
        </a:p>
      </dgm:t>
    </dgm:pt>
    <dgm:pt modelId="{3C1C9E77-6F0F-44E4-822E-594D5A0052DC}" type="sibTrans" cxnId="{1081BA08-E274-4082-81A2-E2BEDBFA8A42}">
      <dgm:prSet/>
      <dgm:spPr/>
      <dgm:t>
        <a:bodyPr/>
        <a:lstStyle/>
        <a:p>
          <a:endParaRPr lang="en-IE" sz="750"/>
        </a:p>
      </dgm:t>
    </dgm:pt>
    <dgm:pt modelId="{BAB57D81-92BC-4E3D-B216-07658CD862E0}">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Boîte à outils 5G</a:t>
          </a:r>
        </a:p>
      </dgm:t>
    </dgm:pt>
    <dgm:pt modelId="{53237665-2B85-4B24-B802-80778DADA226}" type="parTrans" cxnId="{7ED45617-E730-4349-A0CF-0938B44F2710}">
      <dgm:prSet/>
      <dgm:spPr/>
      <dgm:t>
        <a:bodyPr/>
        <a:lstStyle/>
        <a:p>
          <a:endParaRPr lang="en-IE" sz="750"/>
        </a:p>
      </dgm:t>
    </dgm:pt>
    <dgm:pt modelId="{1F94891A-AF11-4AC5-81AA-82531B144D54}" type="sibTrans" cxnId="{7ED45617-E730-4349-A0CF-0938B44F2710}">
      <dgm:prSet/>
      <dgm:spPr/>
      <dgm:t>
        <a:bodyPr/>
        <a:lstStyle/>
        <a:p>
          <a:endParaRPr lang="en-IE" sz="750"/>
        </a:p>
      </dgm:t>
    </dgm:pt>
    <dgm:pt modelId="{E756BBFD-944B-482F-BDAD-EC316B7A504C}">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Règlement «cybersécurité» (révision)</a:t>
          </a:r>
        </a:p>
      </dgm:t>
    </dgm:pt>
    <dgm:pt modelId="{CC15ABE8-47C3-419C-B9FC-45B91DDF2F71}" type="parTrans" cxnId="{B7D4EF3A-746E-4605-992C-F375117601B1}">
      <dgm:prSet/>
      <dgm:spPr/>
      <dgm:t>
        <a:bodyPr/>
        <a:lstStyle/>
        <a:p>
          <a:endParaRPr lang="en-IE" sz="750"/>
        </a:p>
      </dgm:t>
    </dgm:pt>
    <dgm:pt modelId="{C5355A97-C289-4C53-AC07-CED2D10EAFCC}" type="sibTrans" cxnId="{B7D4EF3A-746E-4605-992C-F375117601B1}">
      <dgm:prSet/>
      <dgm:spPr/>
      <dgm:t>
        <a:bodyPr/>
        <a:lstStyle/>
        <a:p>
          <a:endParaRPr lang="en-IE" sz="750"/>
        </a:p>
      </dgm:t>
    </dgm:pt>
    <dgm:pt modelId="{9FEABC15-0459-44AA-97B3-F20F08DDD210}">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Règlement sur les puces 2.0</a:t>
          </a:r>
        </a:p>
      </dgm:t>
    </dgm:pt>
    <dgm:pt modelId="{05FC1D4C-0B36-4501-936B-78D21CCB8235}" type="parTrans" cxnId="{3BDE19AA-0A49-4B83-8C25-C02F66FD1E81}">
      <dgm:prSet/>
      <dgm:spPr/>
      <dgm:t>
        <a:bodyPr/>
        <a:lstStyle/>
        <a:p>
          <a:endParaRPr lang="en-IE" sz="750"/>
        </a:p>
      </dgm:t>
    </dgm:pt>
    <dgm:pt modelId="{6AD7162C-4A01-4192-9E99-0F1AD1503950}" type="sibTrans" cxnId="{3BDE19AA-0A49-4B83-8C25-C02F66FD1E81}">
      <dgm:prSet/>
      <dgm:spPr/>
      <dgm:t>
        <a:bodyPr/>
        <a:lstStyle/>
        <a:p>
          <a:endParaRPr lang="en-IE" sz="750"/>
        </a:p>
      </dgm:t>
    </dgm:pt>
    <dgm:pt modelId="{57AC766C-2B08-4360-A8EE-15D8258AB08A}">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Stratégie quantique</a:t>
          </a:r>
        </a:p>
      </dgm:t>
    </dgm:pt>
    <dgm:pt modelId="{373FAD99-B263-42D4-8D82-9D84B0963508}" type="parTrans" cxnId="{ADC87DAD-1CE7-4F72-B757-DE215B57680F}">
      <dgm:prSet/>
      <dgm:spPr/>
      <dgm:t>
        <a:bodyPr/>
        <a:lstStyle/>
        <a:p>
          <a:endParaRPr lang="en-IE" sz="750"/>
        </a:p>
      </dgm:t>
    </dgm:pt>
    <dgm:pt modelId="{8535C4C0-F565-49E5-ABBE-A4F4A978BEB2}" type="sibTrans" cxnId="{ADC87DAD-1CE7-4F72-B757-DE215B57680F}">
      <dgm:prSet/>
      <dgm:spPr/>
      <dgm:t>
        <a:bodyPr/>
        <a:lstStyle/>
        <a:p>
          <a:endParaRPr lang="en-IE" sz="750"/>
        </a:p>
      </dgm:t>
    </dgm:pt>
    <dgm:pt modelId="{60624F2E-7C35-4F03-B96E-184409F4342D}">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Acte «accélération de l’activité industrielle»</a:t>
          </a:r>
        </a:p>
      </dgm:t>
    </dgm:pt>
    <dgm:pt modelId="{F9BF3257-07D0-42F1-BEED-FAF51AE088F9}" type="parTrans" cxnId="{422015D5-0CF6-48FA-AE00-DDD0B7CCB303}">
      <dgm:prSet/>
      <dgm:spPr/>
      <dgm:t>
        <a:bodyPr/>
        <a:lstStyle/>
        <a:p>
          <a:endParaRPr lang="en-IE" sz="750"/>
        </a:p>
      </dgm:t>
    </dgm:pt>
    <dgm:pt modelId="{D953FE80-FE3C-42C7-AAAA-FF77249C04D3}" type="sibTrans" cxnId="{422015D5-0CF6-48FA-AE00-DDD0B7CCB303}">
      <dgm:prSet/>
      <dgm:spPr/>
      <dgm:t>
        <a:bodyPr/>
        <a:lstStyle/>
        <a:p>
          <a:endParaRPr lang="en-IE" sz="750"/>
        </a:p>
      </dgm:t>
    </dgm:pt>
    <dgm:pt modelId="{FD4ACB47-016F-4B50-A901-EDB079974BD0}">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Stratégie pour une union européenne des données</a:t>
          </a:r>
        </a:p>
      </dgm:t>
    </dgm:pt>
    <dgm:pt modelId="{9D1423FB-5CA8-4EED-A981-1F9E60045407}" type="parTrans" cxnId="{23F55791-84E0-4EAE-A5D9-719A31562FB7}">
      <dgm:prSet/>
      <dgm:spPr/>
      <dgm:t>
        <a:bodyPr/>
        <a:lstStyle/>
        <a:p>
          <a:endParaRPr lang="en-IE" sz="750"/>
        </a:p>
      </dgm:t>
    </dgm:pt>
    <dgm:pt modelId="{DB704F69-E0CB-426D-A5D3-A4AD69CBFBF4}" type="sibTrans" cxnId="{23F55791-84E0-4EAE-A5D9-719A31562FB7}">
      <dgm:prSet/>
      <dgm:spPr/>
      <dgm:t>
        <a:bodyPr/>
        <a:lstStyle/>
        <a:p>
          <a:endParaRPr lang="en-IE" sz="750"/>
        </a:p>
      </dgm:t>
    </dgm:pt>
    <dgm:pt modelId="{FC445833-E8E7-4104-9135-947123C44BAB}">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Loi «MPC»/Centre «MPC»</a:t>
          </a:r>
        </a:p>
      </dgm:t>
    </dgm:pt>
    <dgm:pt modelId="{63BEA2EA-7007-4E7B-AFF7-7A10B1F26A75}" type="parTrans" cxnId="{9EA2FECF-2B89-4F3F-AD4F-BA4A4CFA5A2B}">
      <dgm:prSet/>
      <dgm:spPr/>
      <dgm:t>
        <a:bodyPr/>
        <a:lstStyle/>
        <a:p>
          <a:endParaRPr lang="en-IE" sz="750"/>
        </a:p>
      </dgm:t>
    </dgm:pt>
    <dgm:pt modelId="{D1C6391F-E481-4994-9108-52A1BF839BDA}" type="sibTrans" cxnId="{9EA2FECF-2B89-4F3F-AD4F-BA4A4CFA5A2B}">
      <dgm:prSet/>
      <dgm:spPr/>
      <dgm:t>
        <a:bodyPr/>
        <a:lstStyle/>
        <a:p>
          <a:endParaRPr lang="en-IE" sz="750"/>
        </a:p>
      </dgm:t>
    </dgm:pt>
    <dgm:pt modelId="{E9B9EB72-9426-4FA4-8589-8B819107E6A4}">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Accords commerciaux</a:t>
          </a:r>
        </a:p>
      </dgm:t>
    </dgm:pt>
    <dgm:pt modelId="{B16268BE-1D24-4B5D-9DF0-1ADC4FA46688}" type="parTrans" cxnId="{436D2974-7E2F-4D32-8A22-6877D0DDF51B}">
      <dgm:prSet/>
      <dgm:spPr/>
      <dgm:t>
        <a:bodyPr/>
        <a:lstStyle/>
        <a:p>
          <a:endParaRPr lang="en-IE" sz="750"/>
        </a:p>
      </dgm:t>
    </dgm:pt>
    <dgm:pt modelId="{93BAE32A-464B-4C8C-8052-0638DF9F16CC}" type="sibTrans" cxnId="{436D2974-7E2F-4D32-8A22-6877D0DDF51B}">
      <dgm:prSet/>
      <dgm:spPr/>
      <dgm:t>
        <a:bodyPr/>
        <a:lstStyle/>
        <a:p>
          <a:endParaRPr lang="en-IE" sz="750"/>
        </a:p>
      </dgm:t>
    </dgm:pt>
    <dgm:pt modelId="{227A9513-2E10-402C-895A-520819FEF38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Règlement «régime commun applicable aux exportations»</a:t>
          </a:r>
        </a:p>
      </dgm:t>
    </dgm:pt>
    <dgm:pt modelId="{60FAB807-2C96-4183-BF48-F66E55AB7B96}" type="parTrans" cxnId="{279ECA5A-855F-49E1-AA4A-5A8036331FCE}">
      <dgm:prSet/>
      <dgm:spPr/>
      <dgm:t>
        <a:bodyPr/>
        <a:lstStyle/>
        <a:p>
          <a:endParaRPr lang="en-IE" sz="750"/>
        </a:p>
      </dgm:t>
    </dgm:pt>
    <dgm:pt modelId="{96372414-D1E0-4400-A88F-DA1D7232EDF8}" type="sibTrans" cxnId="{279ECA5A-855F-49E1-AA4A-5A8036331FCE}">
      <dgm:prSet/>
      <dgm:spPr/>
      <dgm:t>
        <a:bodyPr/>
        <a:lstStyle/>
        <a:p>
          <a:endParaRPr lang="en-IE" sz="750"/>
        </a:p>
      </dgm:t>
    </dgm:pt>
    <dgm:pt modelId="{4711FC9F-1363-4F63-8A35-9568007F71F8}">
      <dgm:prSet custT="1"/>
      <dgm:spPr>
        <a:xfrm rot="16200000">
          <a:off x="5748411" y="2473523"/>
          <a:ext cx="6858000" cy="1910952"/>
        </a:xfr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Article 136 du règlement financier</a:t>
          </a:r>
        </a:p>
      </dgm:t>
    </dgm:pt>
    <dgm:pt modelId="{9CB79924-16F8-458C-A98B-C98CD64B1699}" type="parTrans" cxnId="{F941E9C2-B258-48EF-B770-4B404D79743C}">
      <dgm:prSet/>
      <dgm:spPr/>
      <dgm:t>
        <a:bodyPr/>
        <a:lstStyle/>
        <a:p>
          <a:endParaRPr lang="en-IE"/>
        </a:p>
      </dgm:t>
    </dgm:pt>
    <dgm:pt modelId="{0B4B6FA6-DFB8-403E-86D8-BE66F0134A1D}" type="sibTrans" cxnId="{F941E9C2-B258-48EF-B770-4B404D79743C}">
      <dgm:prSet/>
      <dgm:spPr/>
      <dgm:t>
        <a:bodyPr/>
        <a:lstStyle/>
        <a:p>
          <a:endParaRPr lang="en-IE"/>
        </a:p>
      </dgm:t>
    </dgm:pt>
    <dgm:pt modelId="{9ECE5984-814A-437A-93D9-91D40498A04B}">
      <dgm:prSet custT="1"/>
      <dgm:spPr>
        <a:xfrm rot="16200000">
          <a:off x="-414412" y="2473523"/>
          <a:ext cx="6858000" cy="1910952"/>
        </a:xfr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Règlement «cybersolidarité»</a:t>
          </a:r>
        </a:p>
      </dgm:t>
    </dgm:pt>
    <dgm:pt modelId="{1A861B61-7193-4BB0-BD30-0B984D1559D3}" type="parTrans" cxnId="{AF2C69C9-4458-4A00-9D9F-ADB5D3C17AD8}">
      <dgm:prSet/>
      <dgm:spPr/>
      <dgm:t>
        <a:bodyPr/>
        <a:lstStyle/>
        <a:p>
          <a:endParaRPr lang="en-IE"/>
        </a:p>
      </dgm:t>
    </dgm:pt>
    <dgm:pt modelId="{F0E1E402-68F9-47DB-8A79-779E206F03B5}" type="sibTrans" cxnId="{AF2C69C9-4458-4A00-9D9F-ADB5D3C17AD8}">
      <dgm:prSet/>
      <dgm:spPr/>
      <dgm:t>
        <a:bodyPr/>
        <a:lstStyle/>
        <a:p>
          <a:endParaRPr lang="en-IE"/>
        </a:p>
      </dgm:t>
    </dgm:pt>
    <dgm:pt modelId="{4AB266A1-9C11-43DC-B679-A893B4EE153E}">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b="0">
              <a:latin typeface="Arial" panose="020B0604020202020204" pitchFamily="34" charset="0"/>
              <a:cs typeface="Arial" panose="020B0604020202020204" pitchFamily="34" charset="0"/>
            </a:rPr>
            <a:t>Stratégie «start-up et scale-up»</a:t>
          </a:r>
        </a:p>
      </dgm:t>
    </dgm:pt>
    <dgm:pt modelId="{07729513-EEB6-4E36-8683-55C9AC7B050D}" type="parTrans" cxnId="{B4D79968-A0ED-4AB8-9492-1CA6C8763A78}">
      <dgm:prSet/>
      <dgm:spPr/>
      <dgm:t>
        <a:bodyPr/>
        <a:lstStyle/>
        <a:p>
          <a:endParaRPr lang="en-IE"/>
        </a:p>
      </dgm:t>
    </dgm:pt>
    <dgm:pt modelId="{DBFD60C6-74DC-40DA-8342-DA01D7A56FDE}" type="sibTrans" cxnId="{B4D79968-A0ED-4AB8-9492-1CA6C8763A78}">
      <dgm:prSet/>
      <dgm:spPr/>
      <dgm:t>
        <a:bodyPr/>
        <a:lstStyle/>
        <a:p>
          <a:endParaRPr lang="en-IE"/>
        </a:p>
      </dgm:t>
    </dgm:pt>
    <dgm:pt modelId="{452DD774-5A33-4421-8763-4E368B715EC1}">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b="0">
              <a:latin typeface="Arial" panose="020B0604020202020204" pitchFamily="34" charset="0"/>
              <a:cs typeface="Arial" panose="020B0604020202020204" pitchFamily="34" charset="0"/>
            </a:rPr>
            <a:t>Acte «innovation» </a:t>
          </a:r>
        </a:p>
      </dgm:t>
    </dgm:pt>
    <dgm:pt modelId="{4B359A1A-A480-499B-8549-7B33725D47CA}" type="parTrans" cxnId="{A80EA6EB-8B46-4683-AC8C-945D19353021}">
      <dgm:prSet/>
      <dgm:spPr/>
      <dgm:t>
        <a:bodyPr/>
        <a:lstStyle/>
        <a:p>
          <a:endParaRPr lang="en-IE"/>
        </a:p>
      </dgm:t>
    </dgm:pt>
    <dgm:pt modelId="{88C309C8-7037-43C4-96EB-4D63F340BF69}" type="sibTrans" cxnId="{A80EA6EB-8B46-4683-AC8C-945D19353021}">
      <dgm:prSet/>
      <dgm:spPr/>
      <dgm:t>
        <a:bodyPr/>
        <a:lstStyle/>
        <a:p>
          <a:endParaRPr lang="en-IE"/>
        </a:p>
      </dgm:t>
    </dgm:pt>
    <dgm:pt modelId="{85E9E1FE-0FBC-49D9-BCD2-5F750B655696}">
      <dgm:prSet custT="1"/>
      <dgm:spPr>
        <a:xfrm rot="16200000">
          <a:off x="5748411" y="2473523"/>
          <a:ext cx="6858000" cy="1910952"/>
        </a:xfr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Stratégie «Global Gateway»</a:t>
          </a:r>
        </a:p>
      </dgm:t>
    </dgm:pt>
    <dgm:pt modelId="{A8968741-A16F-4B9E-9607-5E6AC48935CE}" type="parTrans" cxnId="{316BE1E5-17E1-4A14-BB13-FF548C5D2D2F}">
      <dgm:prSet/>
      <dgm:spPr/>
      <dgm:t>
        <a:bodyPr/>
        <a:lstStyle/>
        <a:p>
          <a:endParaRPr lang="en-IE"/>
        </a:p>
      </dgm:t>
    </dgm:pt>
    <dgm:pt modelId="{579301DA-C924-49D6-855A-C00A7C2E919F}" type="sibTrans" cxnId="{316BE1E5-17E1-4A14-BB13-FF548C5D2D2F}">
      <dgm:prSet/>
      <dgm:spPr/>
      <dgm:t>
        <a:bodyPr/>
        <a:lstStyle/>
        <a:p>
          <a:endParaRPr lang="en-IE"/>
        </a:p>
      </dgm:t>
    </dgm:pt>
    <dgm:pt modelId="{9D473F5C-4CB6-41E9-92AC-7EC9713F41A5}">
      <dgm:prSet custT="1"/>
      <dgm:spPr>
        <a:xfrm rot="16200000">
          <a:off x="-2468686"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Échanges respectant des normes</a:t>
          </a:r>
        </a:p>
      </dgm:t>
    </dgm:pt>
    <dgm:pt modelId="{1CD8A5C4-4F59-4433-882B-4528DF051DB9}" type="parTrans" cxnId="{30C971C3-E4A8-4F8C-8497-69EA87DE395E}">
      <dgm:prSet/>
      <dgm:spPr/>
      <dgm:t>
        <a:bodyPr/>
        <a:lstStyle/>
        <a:p>
          <a:endParaRPr lang="en-IE"/>
        </a:p>
      </dgm:t>
    </dgm:pt>
    <dgm:pt modelId="{B2395B98-F3F3-479D-AB40-D8E46755994A}" type="sibTrans" cxnId="{30C971C3-E4A8-4F8C-8497-69EA87DE395E}">
      <dgm:prSet/>
      <dgm:spPr/>
      <dgm:t>
        <a:bodyPr/>
        <a:lstStyle/>
        <a:p>
          <a:endParaRPr lang="en-IE"/>
        </a:p>
      </dgm:t>
    </dgm:pt>
    <dgm:pt modelId="{6174DC3F-4E45-4A45-8E81-5C04BB29300F}">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ResourceEU</a:t>
          </a:r>
        </a:p>
      </dgm:t>
    </dgm:pt>
    <dgm:pt modelId="{5CBEFF50-621B-4A38-8B49-A2B323C552B1}" type="parTrans" cxnId="{0BABCE37-BBB3-4FF3-9781-8EFE944D6016}">
      <dgm:prSet/>
      <dgm:spPr/>
      <dgm:t>
        <a:bodyPr/>
        <a:lstStyle/>
        <a:p>
          <a:endParaRPr lang="en-IE"/>
        </a:p>
      </dgm:t>
    </dgm:pt>
    <dgm:pt modelId="{0B5B1DA8-4AFB-4BCA-8738-FB721208F1FA}" type="sibTrans" cxnId="{0BABCE37-BBB3-4FF3-9781-8EFE944D6016}">
      <dgm:prSet/>
      <dgm:spPr/>
      <dgm:t>
        <a:bodyPr/>
        <a:lstStyle/>
        <a:p>
          <a:endParaRPr lang="en-IE"/>
        </a:p>
      </dgm:t>
    </dgm:pt>
    <dgm:pt modelId="{16761F4F-88D7-44DA-88D7-C4D0A1BC882B}">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b="0" dirty="0">
              <a:solidFill>
                <a:srgbClr val="FFFFFF"/>
              </a:solidFill>
              <a:latin typeface="Arial" panose="020B0604020202020204" pitchFamily="34" charset="0"/>
              <a:ea typeface="+mn-ea"/>
              <a:cs typeface="Arial" panose="020B0604020202020204" pitchFamily="34" charset="0"/>
            </a:rPr>
            <a:t>Stratégie portuaire</a:t>
          </a:r>
        </a:p>
      </dgm:t>
    </dgm:pt>
    <dgm:pt modelId="{724E9C38-6647-46E7-8ADE-40BC35ED1685}" type="parTrans" cxnId="{FC6EB65C-99E9-4E63-9DBE-61518E99C5AA}">
      <dgm:prSet/>
      <dgm:spPr/>
      <dgm:t>
        <a:bodyPr/>
        <a:lstStyle/>
        <a:p>
          <a:endParaRPr lang="en-IE"/>
        </a:p>
      </dgm:t>
    </dgm:pt>
    <dgm:pt modelId="{EEED5AE4-F322-4491-9193-C09170CE1768}" type="sibTrans" cxnId="{FC6EB65C-99E9-4E63-9DBE-61518E99C5AA}">
      <dgm:prSet/>
      <dgm:spPr/>
      <dgm:t>
        <a:bodyPr/>
        <a:lstStyle/>
        <a:p>
          <a:endParaRPr lang="en-IE"/>
        </a:p>
      </dgm:t>
    </dgm:pt>
    <dgm:pt modelId="{11E4F217-104F-4317-B136-0FA0463E4B64}">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b="0" dirty="0">
              <a:solidFill>
                <a:srgbClr val="FFFFFF"/>
              </a:solidFill>
              <a:latin typeface="Arial" panose="020B0604020202020204" pitchFamily="34" charset="0"/>
              <a:ea typeface="+mn-ea"/>
              <a:cs typeface="Arial" panose="020B0604020202020204" pitchFamily="34" charset="0"/>
            </a:rPr>
            <a:t>Stratégie Drone 2.0</a:t>
          </a:r>
        </a:p>
      </dgm:t>
    </dgm:pt>
    <dgm:pt modelId="{068A6621-DEE5-4A78-8C52-1C7976D85BE7}" type="parTrans" cxnId="{56F13124-213C-42D7-AB9D-58DE64DE38F6}">
      <dgm:prSet/>
      <dgm:spPr/>
      <dgm:t>
        <a:bodyPr/>
        <a:lstStyle/>
        <a:p>
          <a:endParaRPr lang="en-IE"/>
        </a:p>
      </dgm:t>
    </dgm:pt>
    <dgm:pt modelId="{C7DDA89C-01CD-4627-95A2-1829AE9C8714}" type="sibTrans" cxnId="{56F13124-213C-42D7-AB9D-58DE64DE38F6}">
      <dgm:prSet/>
      <dgm:spPr/>
      <dgm:t>
        <a:bodyPr/>
        <a:lstStyle/>
        <a:p>
          <a:endParaRPr lang="en-IE"/>
        </a:p>
      </dgm:t>
    </dgm:pt>
    <dgm:pt modelId="{6F3D3C7B-DED4-49D1-A62F-C906488001D5}">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Stratégie de constitution de stocks</a:t>
          </a:r>
        </a:p>
      </dgm:t>
    </dgm:pt>
    <dgm:pt modelId="{4C3D7D6D-9DD0-4DD9-A9BA-74FA25E20D02}" type="sibTrans" cxnId="{3BBBA116-5065-4378-8F5C-825E08E678F7}">
      <dgm:prSet/>
      <dgm:spPr/>
      <dgm:t>
        <a:bodyPr/>
        <a:lstStyle/>
        <a:p>
          <a:endParaRPr lang="en-IE" sz="750"/>
        </a:p>
      </dgm:t>
    </dgm:pt>
    <dgm:pt modelId="{45E4689B-10EF-4BF4-9917-CFD6DE4C3976}" type="parTrans" cxnId="{3BBBA116-5065-4378-8F5C-825E08E678F7}">
      <dgm:prSet/>
      <dgm:spPr/>
      <dgm:t>
        <a:bodyPr/>
        <a:lstStyle/>
        <a:p>
          <a:endParaRPr lang="en-IE" sz="750"/>
        </a:p>
      </dgm:t>
    </dgm:pt>
    <dgm:pt modelId="{85C428EC-3EBB-47F3-977F-E8B572D2A976}">
      <dgm:prSet custT="1"/>
      <dgm:spPr>
        <a:xfrm rot="16200000">
          <a:off x="-414412" y="2473523"/>
          <a:ext cx="6858000" cy="1910952"/>
        </a:xfr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fr-FR" sz="750" dirty="0">
              <a:solidFill>
                <a:srgbClr val="FFFFFF"/>
              </a:solidFill>
              <a:latin typeface="Arial"/>
              <a:ea typeface="+mn-ea"/>
              <a:cs typeface="+mn-cs"/>
            </a:rPr>
            <a:t>Directive «passation des marchés publics»</a:t>
          </a:r>
        </a:p>
      </dgm:t>
    </dgm:pt>
    <dgm:pt modelId="{D88FA894-51EC-47AD-85A4-447AA0447C02}" type="sibTrans" cxnId="{76A96F21-64BA-4269-9D4C-2A5D2EB1FC5A}">
      <dgm:prSet/>
      <dgm:spPr/>
      <dgm:t>
        <a:bodyPr/>
        <a:lstStyle/>
        <a:p>
          <a:endParaRPr lang="en-IE"/>
        </a:p>
      </dgm:t>
    </dgm:pt>
    <dgm:pt modelId="{0EEE4891-F375-42CF-B704-68BCDCA0C2F7}" type="parTrans" cxnId="{76A96F21-64BA-4269-9D4C-2A5D2EB1FC5A}">
      <dgm:prSet/>
      <dgm:spPr/>
      <dgm:t>
        <a:bodyPr/>
        <a:lstStyle/>
        <a:p>
          <a:endParaRPr lang="en-IE"/>
        </a:p>
      </dgm:t>
    </dgm:pt>
    <dgm:pt modelId="{B8899FA0-760E-4A29-9F77-508F11233DAF}" type="pres">
      <dgm:prSet presAssocID="{15E1F518-0D4D-404E-9F47-99626EC5C0D5}" presName="Name0" presStyleCnt="0">
        <dgm:presLayoutVars>
          <dgm:dir/>
          <dgm:resizeHandles val="exact"/>
        </dgm:presLayoutVars>
      </dgm:prSet>
      <dgm:spPr/>
      <dgm:t>
        <a:bodyPr/>
        <a:lstStyle/>
        <a:p>
          <a:endParaRPr lang="en-US"/>
        </a:p>
      </dgm:t>
    </dgm:pt>
    <dgm:pt modelId="{D20BB4C0-1AD9-4A7C-AF23-B7F4C15202BE}" type="pres">
      <dgm:prSet presAssocID="{FC5426B1-5CB5-4C2F-8BEA-269F997A028F}" presName="node" presStyleLbl="node1" presStyleIdx="0" presStyleCnt="6">
        <dgm:presLayoutVars>
          <dgm:bulletEnabled val="1"/>
        </dgm:presLayoutVars>
      </dgm:prSet>
      <dgm:spPr>
        <a:prstGeom prst="flowChartManualOperation">
          <a:avLst/>
        </a:prstGeom>
      </dgm:spPr>
      <dgm:t>
        <a:bodyPr/>
        <a:lstStyle/>
        <a:p>
          <a:endParaRPr lang="en-US"/>
        </a:p>
      </dgm:t>
    </dgm:pt>
    <dgm:pt modelId="{E673E62B-BFE5-4902-A7BC-0903F38679B5}" type="pres">
      <dgm:prSet presAssocID="{2FEDFC9A-5F4F-41B0-84D5-FD0C5CA4B273}" presName="sibTrans" presStyleCnt="0"/>
      <dgm:spPr/>
    </dgm:pt>
    <dgm:pt modelId="{0E93A9A3-5295-4AB2-82CB-071197DB5A84}" type="pres">
      <dgm:prSet presAssocID="{FC6C2292-4751-4BCC-8102-10542BB43FD8}" presName="node" presStyleLbl="node1" presStyleIdx="1" presStyleCnt="6">
        <dgm:presLayoutVars>
          <dgm:bulletEnabled val="1"/>
        </dgm:presLayoutVars>
      </dgm:prSet>
      <dgm:spPr>
        <a:prstGeom prst="flowChartManualOperation">
          <a:avLst/>
        </a:prstGeom>
      </dgm:spPr>
      <dgm:t>
        <a:bodyPr/>
        <a:lstStyle/>
        <a:p>
          <a:endParaRPr lang="en-US"/>
        </a:p>
      </dgm:t>
    </dgm:pt>
    <dgm:pt modelId="{9EA8D82D-711D-43C6-8D48-9FC6D618E5C5}" type="pres">
      <dgm:prSet presAssocID="{1500BFAB-AEEA-4F22-A486-78F70627CBFC}" presName="sibTrans" presStyleCnt="0"/>
      <dgm:spPr/>
    </dgm:pt>
    <dgm:pt modelId="{6DA17A80-2AB6-4EFF-A930-F4191E7A995E}" type="pres">
      <dgm:prSet presAssocID="{55304315-DCC2-4FB2-AD43-352195E97AFC}" presName="node" presStyleLbl="node1" presStyleIdx="2" presStyleCnt="6">
        <dgm:presLayoutVars>
          <dgm:bulletEnabled val="1"/>
        </dgm:presLayoutVars>
      </dgm:prSet>
      <dgm:spPr/>
      <dgm:t>
        <a:bodyPr/>
        <a:lstStyle/>
        <a:p>
          <a:endParaRPr lang="en-US"/>
        </a:p>
      </dgm:t>
    </dgm:pt>
    <dgm:pt modelId="{16486F86-3E6A-4CB2-ACAA-4B09CDEDF43E}" type="pres">
      <dgm:prSet presAssocID="{FD045865-B80F-4808-B659-7B82EC1E1AAC}" presName="sibTrans" presStyleCnt="0"/>
      <dgm:spPr/>
    </dgm:pt>
    <dgm:pt modelId="{D1227667-AC01-44F9-B464-718AE932F2B0}" type="pres">
      <dgm:prSet presAssocID="{15BFE9C1-D04F-4E5C-998E-5A96A61AD51A}" presName="node" presStyleLbl="node1" presStyleIdx="3" presStyleCnt="6">
        <dgm:presLayoutVars>
          <dgm:bulletEnabled val="1"/>
        </dgm:presLayoutVars>
      </dgm:prSet>
      <dgm:spPr/>
      <dgm:t>
        <a:bodyPr/>
        <a:lstStyle/>
        <a:p>
          <a:endParaRPr lang="en-US"/>
        </a:p>
      </dgm:t>
    </dgm:pt>
    <dgm:pt modelId="{ACE54C49-83F9-43CA-B447-76EBE525D3E3}" type="pres">
      <dgm:prSet presAssocID="{6243D136-6D07-423F-AA9D-D8997BD92E1E}" presName="sibTrans" presStyleCnt="0"/>
      <dgm:spPr/>
    </dgm:pt>
    <dgm:pt modelId="{E6FCF5A5-EFB5-4FB2-8878-C6326D43B400}" type="pres">
      <dgm:prSet presAssocID="{E4CD00E1-BDD8-4DC4-9998-93952B75407D}" presName="node" presStyleLbl="node1" presStyleIdx="4" presStyleCnt="6">
        <dgm:presLayoutVars>
          <dgm:bulletEnabled val="1"/>
        </dgm:presLayoutVars>
      </dgm:prSet>
      <dgm:spPr>
        <a:prstGeom prst="flowChartManualOperation">
          <a:avLst/>
        </a:prstGeom>
      </dgm:spPr>
      <dgm:t>
        <a:bodyPr/>
        <a:lstStyle/>
        <a:p>
          <a:endParaRPr lang="en-US"/>
        </a:p>
      </dgm:t>
    </dgm:pt>
    <dgm:pt modelId="{EE167C18-5CE5-4801-803D-C6D276EEAEC3}" type="pres">
      <dgm:prSet presAssocID="{C1F5DB98-92E3-489E-801C-B3453A465A84}" presName="sibTrans" presStyleCnt="0"/>
      <dgm:spPr/>
    </dgm:pt>
    <dgm:pt modelId="{FBBEE4AA-C9CC-4ED0-A700-B49BA97F6A51}" type="pres">
      <dgm:prSet presAssocID="{091542FC-77C4-4234-B137-36ED5F844341}" presName="node" presStyleLbl="node1" presStyleIdx="5" presStyleCnt="6">
        <dgm:presLayoutVars>
          <dgm:bulletEnabled val="1"/>
        </dgm:presLayoutVars>
      </dgm:prSet>
      <dgm:spPr>
        <a:prstGeom prst="flowChartManualOperation">
          <a:avLst/>
        </a:prstGeom>
      </dgm:spPr>
      <dgm:t>
        <a:bodyPr/>
        <a:lstStyle/>
        <a:p>
          <a:endParaRPr lang="en-US"/>
        </a:p>
      </dgm:t>
    </dgm:pt>
  </dgm:ptLst>
  <dgm:cxnLst>
    <dgm:cxn modelId="{09961330-FDDD-4903-AE29-33EAA09F9799}" srcId="{15E1F518-0D4D-404E-9F47-99626EC5C0D5}" destId="{15BFE9C1-D04F-4E5C-998E-5A96A61AD51A}" srcOrd="3" destOrd="0" parTransId="{E83B14ED-7164-47AF-8FA0-963FA0188214}" sibTransId="{6243D136-6D07-423F-AA9D-D8997BD92E1E}"/>
    <dgm:cxn modelId="{C430D0B3-E3BE-4DC2-9A0D-14666E3B9A24}" type="presOf" srcId="{4AB266A1-9C11-43DC-B679-A893B4EE153E}" destId="{FBBEE4AA-C9CC-4ED0-A700-B49BA97F6A51}" srcOrd="0" destOrd="7" presId="urn:microsoft.com/office/officeart/2005/8/layout/hList6"/>
    <dgm:cxn modelId="{A181DFD0-6845-4EA1-BFA4-A77B2E2BDF31}" type="presOf" srcId="{FD4ACB47-016F-4B50-A901-EDB079974BD0}" destId="{FBBEE4AA-C9CC-4ED0-A700-B49BA97F6A51}" srcOrd="0" destOrd="5" presId="urn:microsoft.com/office/officeart/2005/8/layout/hList6"/>
    <dgm:cxn modelId="{60495384-52DC-4342-86B6-881BE30BFAF5}" type="presOf" srcId="{091542FC-77C4-4234-B137-36ED5F844341}" destId="{FBBEE4AA-C9CC-4ED0-A700-B49BA97F6A51}" srcOrd="0" destOrd="0" presId="urn:microsoft.com/office/officeart/2005/8/layout/hList6"/>
    <dgm:cxn modelId="{438E2B11-EDF3-4637-90B8-BA2DAEBAFCF0}" type="presOf" srcId="{16761F4F-88D7-44DA-88D7-C4D0A1BC882B}" destId="{FBBEE4AA-C9CC-4ED0-A700-B49BA97F6A51}" srcOrd="0" destOrd="9" presId="urn:microsoft.com/office/officeart/2005/8/layout/hList6"/>
    <dgm:cxn modelId="{911DB776-FFA4-4CAE-B3B1-82327528FB90}" type="presOf" srcId="{6F3D3C7B-DED4-49D1-A62F-C906488001D5}" destId="{0E93A9A3-5295-4AB2-82CB-071197DB5A84}" srcOrd="0" destOrd="3" presId="urn:microsoft.com/office/officeart/2005/8/layout/hList6"/>
    <dgm:cxn modelId="{CC48D400-B7E2-4BFE-ADFF-FD5CCCD5583A}" srcId="{15BFE9C1-D04F-4E5C-998E-5A96A61AD51A}" destId="{CB79A8B7-E3B7-462C-9BDE-72DB8A99BFE0}" srcOrd="2" destOrd="0" parTransId="{30751327-B2F9-4EDC-B85F-CB5D1145FA96}" sibTransId="{205304C0-0FEE-4B5A-B8AA-E33A032595FD}"/>
    <dgm:cxn modelId="{3552D2BE-064D-4D28-9374-EAC4CD7D2383}" srcId="{FC5426B1-5CB5-4C2F-8BEA-269F997A028F}" destId="{AD4F8265-0F9B-40E8-B3FD-EC74AF2BED07}" srcOrd="4" destOrd="0" parTransId="{61EB4D57-D180-4BA5-BBA9-1EDFF1B404E0}" sibTransId="{357469FE-0B02-473A-9E97-BE0EDE513F4E}"/>
    <dgm:cxn modelId="{AAB23FE2-C387-45DD-B1B4-FD281BADBC72}" srcId="{15E1F518-0D4D-404E-9F47-99626EC5C0D5}" destId="{FC6C2292-4751-4BCC-8102-10542BB43FD8}" srcOrd="1" destOrd="0" parTransId="{C637802B-872F-41E0-A348-A13235A23D0F}" sibTransId="{1500BFAB-AEEA-4F22-A486-78F70627CBFC}"/>
    <dgm:cxn modelId="{F17A2AA6-5DFB-41C8-A8DC-FEC75BB81DE7}" type="presOf" srcId="{E1917D2C-0B89-495F-8AEC-F425001851AD}" destId="{D1227667-AC01-44F9-B464-718AE932F2B0}" srcOrd="0" destOrd="2" presId="urn:microsoft.com/office/officeart/2005/8/layout/hList6"/>
    <dgm:cxn modelId="{FC6EB65C-99E9-4E63-9DBE-61518E99C5AA}" srcId="{091542FC-77C4-4234-B137-36ED5F844341}" destId="{16761F4F-88D7-44DA-88D7-C4D0A1BC882B}" srcOrd="8" destOrd="0" parTransId="{724E9C38-6647-46E7-8ADE-40BC35ED1685}" sibTransId="{EEED5AE4-F322-4491-9193-C09170CE1768}"/>
    <dgm:cxn modelId="{56F13124-213C-42D7-AB9D-58DE64DE38F6}" srcId="{091542FC-77C4-4234-B137-36ED5F844341}" destId="{11E4F217-104F-4317-B136-0FA0463E4B64}" srcOrd="9" destOrd="0" parTransId="{068A6621-DEE5-4A78-8C52-1C7976D85BE7}" sibTransId="{C7DDA89C-01CD-4627-95A2-1829AE9C8714}"/>
    <dgm:cxn modelId="{8AC44011-B655-4E2F-BCB3-A3541E1909AC}" type="presOf" srcId="{FC445833-E8E7-4104-9135-947123C44BAB}" destId="{FBBEE4AA-C9CC-4ED0-A700-B49BA97F6A51}" srcOrd="0" destOrd="6" presId="urn:microsoft.com/office/officeart/2005/8/layout/hList6"/>
    <dgm:cxn modelId="{0CB9E1E8-DF38-44FC-816F-1E23DE6B077F}" type="presOf" srcId="{E756BBFD-944B-482F-BDAD-EC316B7A504C}" destId="{0E93A9A3-5295-4AB2-82CB-071197DB5A84}" srcOrd="0" destOrd="8" presId="urn:microsoft.com/office/officeart/2005/8/layout/hList6"/>
    <dgm:cxn modelId="{B7F099A2-8D80-4392-A607-112C9BB0285D}" srcId="{E4CD00E1-BDD8-4DC4-9998-93952B75407D}" destId="{B7FAB7BD-6F60-4CFE-B388-B1D6F323E185}" srcOrd="4" destOrd="0" parTransId="{C0FA3409-3925-431E-BF39-F2BB57C61218}" sibTransId="{DF162088-B441-4B61-B454-44E8FBD72C5E}"/>
    <dgm:cxn modelId="{52A07306-05C1-476B-90BB-234DAB62FB93}" srcId="{55304315-DCC2-4FB2-AD43-352195E97AFC}" destId="{5DD097BC-2F79-4A87-BB4A-4713B462C899}" srcOrd="3" destOrd="0" parTransId="{DC98CDCF-ABBA-4F98-896D-1314CCCFD39A}" sibTransId="{A309786A-202C-4007-9CD6-BFF60D24DD25}"/>
    <dgm:cxn modelId="{463050EA-B64F-4AE9-9F67-C86ED98D26DA}" type="presOf" srcId="{85C428EC-3EBB-47F3-977F-E8B572D2A976}" destId="{0E93A9A3-5295-4AB2-82CB-071197DB5A84}" srcOrd="0" destOrd="10" presId="urn:microsoft.com/office/officeart/2005/8/layout/hList6"/>
    <dgm:cxn modelId="{0BABCE37-BBB3-4FF3-9781-8EFE944D6016}" srcId="{091542FC-77C4-4234-B137-36ED5F844341}" destId="{6174DC3F-4E45-4A45-8E81-5C04BB29300F}" srcOrd="0" destOrd="0" parTransId="{5CBEFF50-621B-4A38-8B49-A2B323C552B1}" sibTransId="{0B5B1DA8-4AFB-4BCA-8738-FB721208F1FA}"/>
    <dgm:cxn modelId="{7041C8DF-E888-462E-B027-A36ECA5C4D6F}" type="presOf" srcId="{452DD774-5A33-4421-8763-4E368B715EC1}" destId="{FBBEE4AA-C9CC-4ED0-A700-B49BA97F6A51}" srcOrd="0" destOrd="8" presId="urn:microsoft.com/office/officeart/2005/8/layout/hList6"/>
    <dgm:cxn modelId="{992BCC94-A3F0-4B0E-A29E-EEE60FDC4D0D}" type="presOf" srcId="{FC5426B1-5CB5-4C2F-8BEA-269F997A028F}" destId="{D20BB4C0-1AD9-4A7C-AF23-B7F4C15202BE}" srcOrd="0" destOrd="0" presId="urn:microsoft.com/office/officeart/2005/8/layout/hList6"/>
    <dgm:cxn modelId="{847D7D9C-6000-4142-A43C-04B8F14D2A4F}" srcId="{FC6C2292-4751-4BCC-8102-10542BB43FD8}" destId="{04C3FD59-AC2E-45D6-BF02-8124F7333553}" srcOrd="0" destOrd="0" parTransId="{CE65F464-8CC0-406E-891E-37DD5AD2DA26}" sibTransId="{621F764B-45EE-4B5F-A91E-E10E06C407C0}"/>
    <dgm:cxn modelId="{8B42EC88-699D-49B3-80BF-4E61D5877481}" type="presOf" srcId="{830AA2B8-B78A-4C6D-8210-A180A3D6D5C0}" destId="{D20BB4C0-1AD9-4A7C-AF23-B7F4C15202BE}" srcOrd="0" destOrd="6" presId="urn:microsoft.com/office/officeart/2005/8/layout/hList6"/>
    <dgm:cxn modelId="{B83C5961-7F59-4E74-9E4B-32735408E6CE}" type="presOf" srcId="{B0E3B7F7-6AD2-4DBD-BB01-15579C01285B}" destId="{6DA17A80-2AB6-4EFF-A930-F4191E7A995E}" srcOrd="0" destOrd="1" presId="urn:microsoft.com/office/officeart/2005/8/layout/hList6"/>
    <dgm:cxn modelId="{422015D5-0CF6-48FA-AE00-DDD0B7CCB303}" srcId="{091542FC-77C4-4234-B137-36ED5F844341}" destId="{60624F2E-7C35-4F03-B96E-184409F4342D}" srcOrd="3" destOrd="0" parTransId="{F9BF3257-07D0-42F1-BEED-FAF51AE088F9}" sibTransId="{D953FE80-FE3C-42C7-AAAA-FF77249C04D3}"/>
    <dgm:cxn modelId="{A6AC50DE-3595-44A7-BF47-D62A74F191DC}" srcId="{E4CD00E1-BDD8-4DC4-9998-93952B75407D}" destId="{DD3F9754-2469-49F2-8619-86E99B2BD57B}" srcOrd="1" destOrd="0" parTransId="{22D30DF2-E30F-46D4-A786-FDB57244F525}" sibTransId="{D67CFEDD-AB22-4D81-9CA1-80083D7E3B40}"/>
    <dgm:cxn modelId="{EF33DF12-BC1D-4DA6-8865-9C7FB6E663F4}" srcId="{55304315-DCC2-4FB2-AD43-352195E97AFC}" destId="{4FBDDBD6-5226-443A-84AA-4A45605A473B}" srcOrd="2" destOrd="0" parTransId="{F313CE84-CB7F-49B1-964D-29679D7085D7}" sibTransId="{410712C8-DADE-4158-ABC4-449DAAE97A6E}"/>
    <dgm:cxn modelId="{B4D79968-A0ED-4AB8-9492-1CA6C8763A78}" srcId="{091542FC-77C4-4234-B137-36ED5F844341}" destId="{4AB266A1-9C11-43DC-B679-A893B4EE153E}" srcOrd="6" destOrd="0" parTransId="{07729513-EEB6-4E36-8683-55C9AC7B050D}" sibTransId="{DBFD60C6-74DC-40DA-8342-DA01D7A56FDE}"/>
    <dgm:cxn modelId="{240D38A3-DD38-43FC-B2E0-A5FA867A4E3D}" type="presOf" srcId="{1F9B504E-B4CA-4C9F-B85B-3050CED29D44}" destId="{D20BB4C0-1AD9-4A7C-AF23-B7F4C15202BE}" srcOrd="0" destOrd="2" presId="urn:microsoft.com/office/officeart/2005/8/layout/hList6"/>
    <dgm:cxn modelId="{7EDC11C5-7E29-452A-90C4-F5E4EF566E77}" srcId="{FC6C2292-4751-4BCC-8102-10542BB43FD8}" destId="{84A9FDF7-C95B-4386-9FC8-E024FE3F39FC}" srcOrd="3" destOrd="0" parTransId="{11A8D8F7-1304-4B62-82D3-62413CFB64A1}" sibTransId="{6A0D8D9D-D072-47EB-AD7C-135D7B71A136}"/>
    <dgm:cxn modelId="{5240B097-EBF0-4A27-BB9C-8CD727188985}" type="presOf" srcId="{E4CD00E1-BDD8-4DC4-9998-93952B75407D}" destId="{E6FCF5A5-EFB5-4FB2-8878-C6326D43B400}" srcOrd="0" destOrd="0" presId="urn:microsoft.com/office/officeart/2005/8/layout/hList6"/>
    <dgm:cxn modelId="{333D579E-DF18-4B3F-95E7-20F466565C90}" srcId="{15E1F518-0D4D-404E-9F47-99626EC5C0D5}" destId="{55304315-DCC2-4FB2-AD43-352195E97AFC}" srcOrd="2" destOrd="0" parTransId="{8A6DCBBE-DC48-42E2-9025-ADC4934A8754}" sibTransId="{FD045865-B80F-4808-B659-7B82EC1E1AAC}"/>
    <dgm:cxn modelId="{4D500AB3-D054-4E4A-BE82-697379DCF4AD}" type="presOf" srcId="{F3772EAF-15CA-4595-AC71-0453610DC121}" destId="{D20BB4C0-1AD9-4A7C-AF23-B7F4C15202BE}" srcOrd="0" destOrd="4" presId="urn:microsoft.com/office/officeart/2005/8/layout/hList6"/>
    <dgm:cxn modelId="{30C971C3-E4A8-4F8C-8497-69EA87DE395E}" srcId="{FC5426B1-5CB5-4C2F-8BEA-269F997A028F}" destId="{9D473F5C-4CB6-41E9-92AC-7EC9713F41A5}" srcOrd="7" destOrd="0" parTransId="{1CD8A5C4-4F59-4433-882B-4528DF051DB9}" sibTransId="{B2395B98-F3F3-479D-AB40-D8E46755994A}"/>
    <dgm:cxn modelId="{AF2C69C9-4458-4A00-9D9F-ADB5D3C17AD8}" srcId="{FC6C2292-4751-4BCC-8102-10542BB43FD8}" destId="{9ECE5984-814A-437A-93D9-91D40498A04B}" srcOrd="8" destOrd="0" parTransId="{1A861B61-7193-4BB0-BD30-0B984D1559D3}" sibTransId="{F0E1E402-68F9-47DB-8A79-779E206F03B5}"/>
    <dgm:cxn modelId="{FC6D1578-2845-4756-B292-3A66EFB59CDA}" type="presOf" srcId="{60624F2E-7C35-4F03-B96E-184409F4342D}" destId="{FBBEE4AA-C9CC-4ED0-A700-B49BA97F6A51}" srcOrd="0" destOrd="4" presId="urn:microsoft.com/office/officeart/2005/8/layout/hList6"/>
    <dgm:cxn modelId="{ADC87DAD-1CE7-4F72-B757-DE215B57680F}" srcId="{091542FC-77C4-4234-B137-36ED5F844341}" destId="{57AC766C-2B08-4360-A8EE-15D8258AB08A}" srcOrd="2" destOrd="0" parTransId="{373FAD99-B263-42D4-8D82-9D84B0963508}" sibTransId="{8535C4C0-F565-49E5-ABBE-A4F4A978BEB2}"/>
    <dgm:cxn modelId="{3D0B1861-69BF-43FD-BF86-CE47E467AB6F}" type="presOf" srcId="{BAB57D81-92BC-4E3D-B216-07658CD862E0}" destId="{0E93A9A3-5295-4AB2-82CB-071197DB5A84}" srcOrd="0" destOrd="7" presId="urn:microsoft.com/office/officeart/2005/8/layout/hList6"/>
    <dgm:cxn modelId="{66EDFCA4-EF8F-414A-B0FE-22DFFEF911B6}" type="presOf" srcId="{6174DC3F-4E45-4A45-8E81-5C04BB29300F}" destId="{FBBEE4AA-C9CC-4ED0-A700-B49BA97F6A51}" srcOrd="0" destOrd="1" presId="urn:microsoft.com/office/officeart/2005/8/layout/hList6"/>
    <dgm:cxn modelId="{AD0C5BC2-DA33-40D5-A3AD-5140EAA5B158}" type="presOf" srcId="{15E1F518-0D4D-404E-9F47-99626EC5C0D5}" destId="{B8899FA0-760E-4A29-9F77-508F11233DAF}" srcOrd="0" destOrd="0" presId="urn:microsoft.com/office/officeart/2005/8/layout/hList6"/>
    <dgm:cxn modelId="{CD6902DA-EC1C-48B1-8140-425A21BAD7F3}" type="presOf" srcId="{0CC8DE9D-C7DA-4BB3-AFFE-7E4A97D0C37D}" destId="{E6FCF5A5-EFB5-4FB2-8878-C6326D43B400}" srcOrd="0" destOrd="4" presId="urn:microsoft.com/office/officeart/2005/8/layout/hList6"/>
    <dgm:cxn modelId="{1681A10D-4EF2-449B-B3FC-442A0BA7C298}" type="presOf" srcId="{227A9513-2E10-402C-895A-520819FEF388}" destId="{0E93A9A3-5295-4AB2-82CB-071197DB5A84}" srcOrd="0" destOrd="2" presId="urn:microsoft.com/office/officeart/2005/8/layout/hList6"/>
    <dgm:cxn modelId="{1081BA08-E274-4082-81A2-E2BEDBFA8A42}" srcId="{FC6C2292-4751-4BCC-8102-10542BB43FD8}" destId="{4802F4AA-F16E-4719-9BB5-7E84A5216822}" srcOrd="5" destOrd="0" parTransId="{82528740-F2E5-44A0-881B-80E6D4A3F11D}" sibTransId="{3C1C9E77-6F0F-44E4-822E-594D5A0052DC}"/>
    <dgm:cxn modelId="{06C0F057-9CD3-4680-A962-4DCB1AFE253C}" type="presOf" srcId="{84A9FDF7-C95B-4386-9FC8-E024FE3F39FC}" destId="{0E93A9A3-5295-4AB2-82CB-071197DB5A84}" srcOrd="0" destOrd="4" presId="urn:microsoft.com/office/officeart/2005/8/layout/hList6"/>
    <dgm:cxn modelId="{23F55791-84E0-4EAE-A5D9-719A31562FB7}" srcId="{091542FC-77C4-4234-B137-36ED5F844341}" destId="{FD4ACB47-016F-4B50-A901-EDB079974BD0}" srcOrd="4" destOrd="0" parTransId="{9D1423FB-5CA8-4EED-A981-1F9E60045407}" sibTransId="{DB704F69-E0CB-426D-A5D3-A4AD69CBFBF4}"/>
    <dgm:cxn modelId="{41DC94AF-D9BC-42F5-871A-95145D33379B}" srcId="{FC5426B1-5CB5-4C2F-8BEA-269F997A028F}" destId="{830AA2B8-B78A-4C6D-8210-A180A3D6D5C0}" srcOrd="5" destOrd="0" parTransId="{94B3E4D0-7059-47B9-A142-E79BB4207A3A}" sibTransId="{2764896E-60ED-47F2-884C-B895A283DE3B}"/>
    <dgm:cxn modelId="{03C5D83E-EAD4-4EC3-94C1-889AD82C3A72}" type="presOf" srcId="{4802F4AA-F16E-4719-9BB5-7E84A5216822}" destId="{0E93A9A3-5295-4AB2-82CB-071197DB5A84}" srcOrd="0" destOrd="6" presId="urn:microsoft.com/office/officeart/2005/8/layout/hList6"/>
    <dgm:cxn modelId="{279ECA5A-855F-49E1-AA4A-5A8036331FCE}" srcId="{FC6C2292-4751-4BCC-8102-10542BB43FD8}" destId="{227A9513-2E10-402C-895A-520819FEF388}" srcOrd="1" destOrd="0" parTransId="{60FAB807-2C96-4183-BF48-F66E55AB7B96}" sibTransId="{96372414-D1E0-4400-A88F-DA1D7232EDF8}"/>
    <dgm:cxn modelId="{9E616936-A5FF-419B-A268-0CD355D95691}" srcId="{15E1F518-0D4D-404E-9F47-99626EC5C0D5}" destId="{FC5426B1-5CB5-4C2F-8BEA-269F997A028F}" srcOrd="0" destOrd="0" parTransId="{24F384E6-237C-4CED-B53E-A042FAD2A326}" sibTransId="{2FEDFC9A-5F4F-41B0-84D5-FD0C5CA4B273}"/>
    <dgm:cxn modelId="{8BAD415A-3FFF-4E2F-B32C-D8B10608462A}" srcId="{FC5426B1-5CB5-4C2F-8BEA-269F997A028F}" destId="{3C34AD98-BBC4-4301-8DF1-4F46C29AD298}" srcOrd="0" destOrd="0" parTransId="{4A9D33D6-58B4-44BA-BDD9-43278D454F6B}" sibTransId="{E3EE43CE-DB5F-414F-B024-94AC28AE62D0}"/>
    <dgm:cxn modelId="{EBBDD9B7-7641-4722-9DCA-0BFAB8002ECE}" type="presOf" srcId="{57AC766C-2B08-4360-A8EE-15D8258AB08A}" destId="{FBBEE4AA-C9CC-4ED0-A700-B49BA97F6A51}" srcOrd="0" destOrd="3" presId="urn:microsoft.com/office/officeart/2005/8/layout/hList6"/>
    <dgm:cxn modelId="{E1873294-7130-4CD1-BC06-E5EA0E2FD74B}" type="presOf" srcId="{9FEABC15-0459-44AA-97B3-F20F08DDD210}" destId="{FBBEE4AA-C9CC-4ED0-A700-B49BA97F6A51}" srcOrd="0" destOrd="2" presId="urn:microsoft.com/office/officeart/2005/8/layout/hList6"/>
    <dgm:cxn modelId="{F941E9C2-B258-48EF-B770-4B404D79743C}" srcId="{E4CD00E1-BDD8-4DC4-9998-93952B75407D}" destId="{4711FC9F-1363-4F63-8A35-9568007F71F8}" srcOrd="5" destOrd="0" parTransId="{9CB79924-16F8-458C-A98B-C98CD64B1699}" sibTransId="{0B4B6FA6-DFB8-403E-86D8-BE66F0134A1D}"/>
    <dgm:cxn modelId="{F889081F-2C64-42CC-9378-6D4EEFA6EEC5}" srcId="{E4CD00E1-BDD8-4DC4-9998-93952B75407D}" destId="{0CC8DE9D-C7DA-4BB3-AFFE-7E4A97D0C37D}" srcOrd="3" destOrd="0" parTransId="{52FFA7B2-A327-49AE-9B47-510598164EFB}" sibTransId="{814D1581-7CB2-426B-8854-D7ABD4DFE9F9}"/>
    <dgm:cxn modelId="{8207AB6A-D02B-4239-83A5-3C38E7539EAC}" srcId="{15BFE9C1-D04F-4E5C-998E-5A96A61AD51A}" destId="{E1917D2C-0B89-495F-8AEC-F425001851AD}" srcOrd="1" destOrd="0" parTransId="{15E158FF-25C1-49AB-8672-690C2CDFC05D}" sibTransId="{6ECFCAB1-DAC8-4803-BBF3-6C42683D9BF6}"/>
    <dgm:cxn modelId="{3BDE19AA-0A49-4B83-8C25-C02F66FD1E81}" srcId="{091542FC-77C4-4234-B137-36ED5F844341}" destId="{9FEABC15-0459-44AA-97B3-F20F08DDD210}" srcOrd="1" destOrd="0" parTransId="{05FC1D4C-0B36-4501-936B-78D21CCB8235}" sibTransId="{6AD7162C-4A01-4192-9E99-0F1AD1503950}"/>
    <dgm:cxn modelId="{EC3FFD50-6B3A-4971-B2A2-8FCBEC0D9639}" type="presOf" srcId="{F4D28CC1-27FF-4B01-86B3-5E5382F5C9D2}" destId="{D1227667-AC01-44F9-B464-718AE932F2B0}" srcOrd="0" destOrd="1" presId="urn:microsoft.com/office/officeart/2005/8/layout/hList6"/>
    <dgm:cxn modelId="{E1FFFD2F-5AA3-42C9-8AB9-94CCD352F835}" type="presOf" srcId="{E9B9EB72-9426-4FA4-8589-8B819107E6A4}" destId="{D20BB4C0-1AD9-4A7C-AF23-B7F4C15202BE}" srcOrd="0" destOrd="7" presId="urn:microsoft.com/office/officeart/2005/8/layout/hList6"/>
    <dgm:cxn modelId="{316BE1E5-17E1-4A14-BB13-FF548C5D2D2F}" srcId="{E4CD00E1-BDD8-4DC4-9998-93952B75407D}" destId="{85E9E1FE-0FBC-49D9-BCD2-5F750B655696}" srcOrd="0" destOrd="0" parTransId="{A8968741-A16F-4B9E-9607-5E6AC48935CE}" sibTransId="{579301DA-C924-49D6-855A-C00A7C2E919F}"/>
    <dgm:cxn modelId="{06EA5AE4-1E21-40AA-A687-01776A203D13}" srcId="{55304315-DCC2-4FB2-AD43-352195E97AFC}" destId="{B0E3B7F7-6AD2-4DBD-BB01-15579C01285B}" srcOrd="0" destOrd="0" parTransId="{F37C651C-9F8E-435C-999F-C5365AC665BA}" sibTransId="{6ED4DD17-F55E-43DF-802B-5B828D565F03}"/>
    <dgm:cxn modelId="{9CF55A75-6E8D-4C90-B5D5-1E035CB73278}" type="presOf" srcId="{4FBDDBD6-5226-443A-84AA-4A45605A473B}" destId="{6DA17A80-2AB6-4EFF-A930-F4191E7A995E}" srcOrd="0" destOrd="3" presId="urn:microsoft.com/office/officeart/2005/8/layout/hList6"/>
    <dgm:cxn modelId="{E8543461-5C69-41FF-ACD8-66FE6A2653D8}" type="presOf" srcId="{04C3FD59-AC2E-45D6-BF02-8124F7333553}" destId="{0E93A9A3-5295-4AB2-82CB-071197DB5A84}" srcOrd="0" destOrd="1" presId="urn:microsoft.com/office/officeart/2005/8/layout/hList6"/>
    <dgm:cxn modelId="{9AB99A83-3C38-4E61-B69C-0FDE827363EA}" type="presOf" srcId="{DD3F9754-2469-49F2-8619-86E99B2BD57B}" destId="{E6FCF5A5-EFB5-4FB2-8878-C6326D43B400}" srcOrd="0" destOrd="2" presId="urn:microsoft.com/office/officeart/2005/8/layout/hList6"/>
    <dgm:cxn modelId="{46D176D5-F198-481E-863F-4FA428ECA51D}" srcId="{FC5426B1-5CB5-4C2F-8BEA-269F997A028F}" destId="{3B28F38D-37D3-486A-94F5-092EBD957001}" srcOrd="2" destOrd="0" parTransId="{9238D67B-2E8C-45C1-BE7C-3E4EF586E3D8}" sibTransId="{4C1F9D30-48BD-48EF-B397-A6BC536FD2F9}"/>
    <dgm:cxn modelId="{B2EC19E8-DDC2-40FE-8A83-A82396DB9724}" type="presOf" srcId="{55304315-DCC2-4FB2-AD43-352195E97AFC}" destId="{6DA17A80-2AB6-4EFF-A930-F4191E7A995E}" srcOrd="0" destOrd="0" presId="urn:microsoft.com/office/officeart/2005/8/layout/hList6"/>
    <dgm:cxn modelId="{6DEF5024-C4F1-46E2-AEF4-4484E6902DAF}" type="presOf" srcId="{3C34AD98-BBC4-4301-8DF1-4F46C29AD298}" destId="{D20BB4C0-1AD9-4A7C-AF23-B7F4C15202BE}" srcOrd="0" destOrd="1" presId="urn:microsoft.com/office/officeart/2005/8/layout/hList6"/>
    <dgm:cxn modelId="{C8119D0D-537B-4135-8034-8E0EA1AC2E02}" srcId="{55304315-DCC2-4FB2-AD43-352195E97AFC}" destId="{770E93E2-299F-4A62-9A92-65FCCC751281}" srcOrd="1" destOrd="0" parTransId="{5A61E83B-0B82-4D5C-829F-6118D662BCFC}" sibTransId="{194D2D46-7D9C-4B59-A065-9D247021C1B5}"/>
    <dgm:cxn modelId="{3BBBA116-5065-4378-8F5C-825E08E678F7}" srcId="{FC6C2292-4751-4BCC-8102-10542BB43FD8}" destId="{6F3D3C7B-DED4-49D1-A62F-C906488001D5}" srcOrd="2" destOrd="0" parTransId="{45E4689B-10EF-4BF4-9917-CFD6DE4C3976}" sibTransId="{4C3D7D6D-9DD0-4DD9-A9BA-74FA25E20D02}"/>
    <dgm:cxn modelId="{E1334180-1144-41B1-B8F8-E026435E9A2B}" type="presOf" srcId="{85E9E1FE-0FBC-49D9-BCD2-5F750B655696}" destId="{E6FCF5A5-EFB5-4FB2-8878-C6326D43B400}" srcOrd="0" destOrd="1" presId="urn:microsoft.com/office/officeart/2005/8/layout/hList6"/>
    <dgm:cxn modelId="{5D5EFED8-2671-4E72-BB13-7721B0389C5D}" srcId="{15BFE9C1-D04F-4E5C-998E-5A96A61AD51A}" destId="{F4D28CC1-27FF-4B01-86B3-5E5382F5C9D2}" srcOrd="0" destOrd="0" parTransId="{8729205D-17F9-49B3-8104-0C0FF51FFD45}" sibTransId="{A5DCC5EB-9D8A-44FF-B077-6988D283413C}"/>
    <dgm:cxn modelId="{8FC77EE5-B2CC-431E-87B9-5B04EA8C17AB}" type="presOf" srcId="{9ECE5984-814A-437A-93D9-91D40498A04B}" destId="{0E93A9A3-5295-4AB2-82CB-071197DB5A84}" srcOrd="0" destOrd="9" presId="urn:microsoft.com/office/officeart/2005/8/layout/hList6"/>
    <dgm:cxn modelId="{7AC36DF7-E397-41A3-B5CC-E1A877438D8D}" type="presOf" srcId="{15BFE9C1-D04F-4E5C-998E-5A96A61AD51A}" destId="{D1227667-AC01-44F9-B464-718AE932F2B0}" srcOrd="0" destOrd="0" presId="urn:microsoft.com/office/officeart/2005/8/layout/hList6"/>
    <dgm:cxn modelId="{734DBE5C-6F8E-4592-90A5-1F296AB16D57}" type="presOf" srcId="{B7FAB7BD-6F60-4CFE-B388-B1D6F323E185}" destId="{E6FCF5A5-EFB5-4FB2-8878-C6326D43B400}" srcOrd="0" destOrd="5" presId="urn:microsoft.com/office/officeart/2005/8/layout/hList6"/>
    <dgm:cxn modelId="{3E563097-5BF5-4C11-A843-C796B1BC6294}" type="presOf" srcId="{CB79A8B7-E3B7-462C-9BDE-72DB8A99BFE0}" destId="{D1227667-AC01-44F9-B464-718AE932F2B0}" srcOrd="0" destOrd="3" presId="urn:microsoft.com/office/officeart/2005/8/layout/hList6"/>
    <dgm:cxn modelId="{77D37AF4-6C53-4BA9-BC7E-3AE2E6CC9FE3}" type="presOf" srcId="{5DD097BC-2F79-4A87-BB4A-4713B462C899}" destId="{6DA17A80-2AB6-4EFF-A930-F4191E7A995E}" srcOrd="0" destOrd="4" presId="urn:microsoft.com/office/officeart/2005/8/layout/hList6"/>
    <dgm:cxn modelId="{76A96F21-64BA-4269-9D4C-2A5D2EB1FC5A}" srcId="{FC6C2292-4751-4BCC-8102-10542BB43FD8}" destId="{85C428EC-3EBB-47F3-977F-E8B572D2A976}" srcOrd="9" destOrd="0" parTransId="{0EEE4891-F375-42CF-B704-68BCDCA0C2F7}" sibTransId="{D88FA894-51EC-47AD-85A4-447AA0447C02}"/>
    <dgm:cxn modelId="{88BCBE9D-A93E-4BF8-BBF8-9485338B1D7F}" type="presOf" srcId="{4711FC9F-1363-4F63-8A35-9568007F71F8}" destId="{E6FCF5A5-EFB5-4FB2-8878-C6326D43B400}" srcOrd="0" destOrd="6" presId="urn:microsoft.com/office/officeart/2005/8/layout/hList6"/>
    <dgm:cxn modelId="{083BFE2B-F542-4D3D-B070-7F4BF6521288}" type="presOf" srcId="{3B28F38D-37D3-486A-94F5-092EBD957001}" destId="{D20BB4C0-1AD9-4A7C-AF23-B7F4C15202BE}" srcOrd="0" destOrd="3" presId="urn:microsoft.com/office/officeart/2005/8/layout/hList6"/>
    <dgm:cxn modelId="{A80EA6EB-8B46-4683-AC8C-945D19353021}" srcId="{091542FC-77C4-4234-B137-36ED5F844341}" destId="{452DD774-5A33-4421-8763-4E368B715EC1}" srcOrd="7" destOrd="0" parTransId="{4B359A1A-A480-499B-8549-7B33725D47CA}" sibTransId="{88C309C8-7037-43C4-96EB-4D63F340BF69}"/>
    <dgm:cxn modelId="{C2D27457-F333-4A75-88D6-A0341FB6DECC}" type="presOf" srcId="{0D797494-3AAC-4A9C-B40F-6FA003E44538}" destId="{0E93A9A3-5295-4AB2-82CB-071197DB5A84}" srcOrd="0" destOrd="5" presId="urn:microsoft.com/office/officeart/2005/8/layout/hList6"/>
    <dgm:cxn modelId="{6EF5B608-CFE5-41EC-857B-F3F40E3771DB}" srcId="{FC5426B1-5CB5-4C2F-8BEA-269F997A028F}" destId="{F3772EAF-15CA-4595-AC71-0453610DC121}" srcOrd="3" destOrd="0" parTransId="{303E920C-A3E5-429B-8FC4-6587FEFB40EF}" sibTransId="{76D7C8E5-E23A-481E-AAB2-A55551622B84}"/>
    <dgm:cxn modelId="{8E248FDA-7F39-450C-B700-E8ED8C151109}" srcId="{FC5426B1-5CB5-4C2F-8BEA-269F997A028F}" destId="{1F9B504E-B4CA-4C9F-B85B-3050CED29D44}" srcOrd="1" destOrd="0" parTransId="{982C0BC9-129F-4B32-85BC-70ECFAB9D969}" sibTransId="{22CDB036-B335-4E2E-89BC-6B7EDE633297}"/>
    <dgm:cxn modelId="{4EEC311B-7AC9-45EC-90CB-C4C6BCF92CD9}" type="presOf" srcId="{770E93E2-299F-4A62-9A92-65FCCC751281}" destId="{6DA17A80-2AB6-4EFF-A930-F4191E7A995E}" srcOrd="0" destOrd="2" presId="urn:microsoft.com/office/officeart/2005/8/layout/hList6"/>
    <dgm:cxn modelId="{3474AE02-5CAF-482B-BFD1-A005F67870A8}" srcId="{15E1F518-0D4D-404E-9F47-99626EC5C0D5}" destId="{E4CD00E1-BDD8-4DC4-9998-93952B75407D}" srcOrd="4" destOrd="0" parTransId="{D7223826-D62D-4F40-ACB6-E66AF23CF4E3}" sibTransId="{C1F5DB98-92E3-489E-801C-B3453A465A84}"/>
    <dgm:cxn modelId="{26DB08EB-66F2-41C9-9637-C517C0F1D02E}" type="presOf" srcId="{F83E4D16-8CDE-40CF-AD79-DAB8B5BAA128}" destId="{E6FCF5A5-EFB5-4FB2-8878-C6326D43B400}" srcOrd="0" destOrd="3" presId="urn:microsoft.com/office/officeart/2005/8/layout/hList6"/>
    <dgm:cxn modelId="{9EA2FECF-2B89-4F3F-AD4F-BA4A4CFA5A2B}" srcId="{091542FC-77C4-4234-B137-36ED5F844341}" destId="{FC445833-E8E7-4104-9135-947123C44BAB}" srcOrd="5" destOrd="0" parTransId="{63BEA2EA-7007-4E7B-AFF7-7A10B1F26A75}" sibTransId="{D1C6391F-E481-4994-9108-52A1BF839BDA}"/>
    <dgm:cxn modelId="{53419A4C-5255-4FC6-9604-6A4A1359EB5A}" srcId="{15E1F518-0D4D-404E-9F47-99626EC5C0D5}" destId="{091542FC-77C4-4234-B137-36ED5F844341}" srcOrd="5" destOrd="0" parTransId="{073CD249-AA76-40B7-8828-99AFDEC7DEFE}" sibTransId="{810802F9-27CB-44FA-89C8-E07F6C38F086}"/>
    <dgm:cxn modelId="{B7D4EF3A-746E-4605-992C-F375117601B1}" srcId="{FC6C2292-4751-4BCC-8102-10542BB43FD8}" destId="{E756BBFD-944B-482F-BDAD-EC316B7A504C}" srcOrd="7" destOrd="0" parTransId="{CC15ABE8-47C3-419C-B9FC-45B91DDF2F71}" sibTransId="{C5355A97-C289-4C53-AC07-CED2D10EAFCC}"/>
    <dgm:cxn modelId="{436D2974-7E2F-4D32-8A22-6877D0DDF51B}" srcId="{FC5426B1-5CB5-4C2F-8BEA-269F997A028F}" destId="{E9B9EB72-9426-4FA4-8589-8B819107E6A4}" srcOrd="6" destOrd="0" parTransId="{B16268BE-1D24-4B5D-9DF0-1ADC4FA46688}" sibTransId="{93BAE32A-464B-4C8C-8052-0638DF9F16CC}"/>
    <dgm:cxn modelId="{E7457E13-E432-4516-8B8D-4A5D1765FA31}" type="presOf" srcId="{FC6C2292-4751-4BCC-8102-10542BB43FD8}" destId="{0E93A9A3-5295-4AB2-82CB-071197DB5A84}" srcOrd="0" destOrd="0" presId="urn:microsoft.com/office/officeart/2005/8/layout/hList6"/>
    <dgm:cxn modelId="{D479A3AE-3D10-4781-8E5C-F39104174D56}" type="presOf" srcId="{11E4F217-104F-4317-B136-0FA0463E4B64}" destId="{FBBEE4AA-C9CC-4ED0-A700-B49BA97F6A51}" srcOrd="0" destOrd="10" presId="urn:microsoft.com/office/officeart/2005/8/layout/hList6"/>
    <dgm:cxn modelId="{141EDDA1-CAE4-4C09-BB63-D6B5E0FF57AA}" srcId="{E4CD00E1-BDD8-4DC4-9998-93952B75407D}" destId="{F83E4D16-8CDE-40CF-AD79-DAB8B5BAA128}" srcOrd="2" destOrd="0" parTransId="{C1EBE26D-A4FF-4781-AB5D-FFD878EB2577}" sibTransId="{9AE8F018-CF22-4FA0-BDA0-772C84EF4958}"/>
    <dgm:cxn modelId="{B1DA68F0-CF28-46E5-99F9-57F175BA7EEA}" type="presOf" srcId="{AD4F8265-0F9B-40E8-B3FD-EC74AF2BED07}" destId="{D20BB4C0-1AD9-4A7C-AF23-B7F4C15202BE}" srcOrd="0" destOrd="5" presId="urn:microsoft.com/office/officeart/2005/8/layout/hList6"/>
    <dgm:cxn modelId="{912D5AA9-8371-4A64-AA78-7F559CB390F2}" srcId="{FC6C2292-4751-4BCC-8102-10542BB43FD8}" destId="{0D797494-3AAC-4A9C-B40F-6FA003E44538}" srcOrd="4" destOrd="0" parTransId="{AABFFF8D-9369-49FD-AA40-D74CD225D6F4}" sibTransId="{6E95E4F7-8143-44F2-8AEC-46E87A9B406D}"/>
    <dgm:cxn modelId="{1D9E0E7A-E8B6-4CE3-B59A-ABAC25B09AFB}" type="presOf" srcId="{9D473F5C-4CB6-41E9-92AC-7EC9713F41A5}" destId="{D20BB4C0-1AD9-4A7C-AF23-B7F4C15202BE}" srcOrd="0" destOrd="8" presId="urn:microsoft.com/office/officeart/2005/8/layout/hList6"/>
    <dgm:cxn modelId="{7ED45617-E730-4349-A0CF-0938B44F2710}" srcId="{FC6C2292-4751-4BCC-8102-10542BB43FD8}" destId="{BAB57D81-92BC-4E3D-B216-07658CD862E0}" srcOrd="6" destOrd="0" parTransId="{53237665-2B85-4B24-B802-80778DADA226}" sibTransId="{1F94891A-AF11-4AC5-81AA-82531B144D54}"/>
    <dgm:cxn modelId="{9B3D3133-0F3F-4CD7-9676-535E7475355D}" type="presParOf" srcId="{B8899FA0-760E-4A29-9F77-508F11233DAF}" destId="{D20BB4C0-1AD9-4A7C-AF23-B7F4C15202BE}" srcOrd="0" destOrd="0" presId="urn:microsoft.com/office/officeart/2005/8/layout/hList6"/>
    <dgm:cxn modelId="{982049B7-E7E0-408F-8272-240AC758624C}" type="presParOf" srcId="{B8899FA0-760E-4A29-9F77-508F11233DAF}" destId="{E673E62B-BFE5-4902-A7BC-0903F38679B5}" srcOrd="1" destOrd="0" presId="urn:microsoft.com/office/officeart/2005/8/layout/hList6"/>
    <dgm:cxn modelId="{13450CBB-CDCC-4D39-85E4-12DA75656243}" type="presParOf" srcId="{B8899FA0-760E-4A29-9F77-508F11233DAF}" destId="{0E93A9A3-5295-4AB2-82CB-071197DB5A84}" srcOrd="2" destOrd="0" presId="urn:microsoft.com/office/officeart/2005/8/layout/hList6"/>
    <dgm:cxn modelId="{81609C1E-6BE3-4C09-B57C-BCD01EEBB832}" type="presParOf" srcId="{B8899FA0-760E-4A29-9F77-508F11233DAF}" destId="{9EA8D82D-711D-43C6-8D48-9FC6D618E5C5}" srcOrd="3" destOrd="0" presId="urn:microsoft.com/office/officeart/2005/8/layout/hList6"/>
    <dgm:cxn modelId="{DE5D24A5-C51C-461A-8B00-1090C1F75B9E}" type="presParOf" srcId="{B8899FA0-760E-4A29-9F77-508F11233DAF}" destId="{6DA17A80-2AB6-4EFF-A930-F4191E7A995E}" srcOrd="4" destOrd="0" presId="urn:microsoft.com/office/officeart/2005/8/layout/hList6"/>
    <dgm:cxn modelId="{E03A4F6B-F9FF-49EE-AD88-483CCBC59CCD}" type="presParOf" srcId="{B8899FA0-760E-4A29-9F77-508F11233DAF}" destId="{16486F86-3E6A-4CB2-ACAA-4B09CDEDF43E}" srcOrd="5" destOrd="0" presId="urn:microsoft.com/office/officeart/2005/8/layout/hList6"/>
    <dgm:cxn modelId="{139BA3A9-BA2C-4DD3-BE0F-511944B5E258}" type="presParOf" srcId="{B8899FA0-760E-4A29-9F77-508F11233DAF}" destId="{D1227667-AC01-44F9-B464-718AE932F2B0}" srcOrd="6" destOrd="0" presId="urn:microsoft.com/office/officeart/2005/8/layout/hList6"/>
    <dgm:cxn modelId="{129EF55A-6C19-47C4-B58C-C072CB5483B9}" type="presParOf" srcId="{B8899FA0-760E-4A29-9F77-508F11233DAF}" destId="{ACE54C49-83F9-43CA-B447-76EBE525D3E3}" srcOrd="7" destOrd="0" presId="urn:microsoft.com/office/officeart/2005/8/layout/hList6"/>
    <dgm:cxn modelId="{AE994B5F-15C2-49F9-854F-39AB205BDB9C}" type="presParOf" srcId="{B8899FA0-760E-4A29-9F77-508F11233DAF}" destId="{E6FCF5A5-EFB5-4FB2-8878-C6326D43B400}" srcOrd="8" destOrd="0" presId="urn:microsoft.com/office/officeart/2005/8/layout/hList6"/>
    <dgm:cxn modelId="{42AA3DC7-EB65-4555-A334-FED5D34EF94B}" type="presParOf" srcId="{B8899FA0-760E-4A29-9F77-508F11233DAF}" destId="{EE167C18-5CE5-4801-803D-C6D276EEAEC3}" srcOrd="9" destOrd="0" presId="urn:microsoft.com/office/officeart/2005/8/layout/hList6"/>
    <dgm:cxn modelId="{3D0DC8EE-6278-4C7A-87F8-7FC6A02D9629}" type="presParOf" srcId="{B8899FA0-760E-4A29-9F77-508F11233DAF}" destId="{FBBEE4AA-C9CC-4ED0-A700-B49BA97F6A51}" srcOrd="10" destOrd="0" presId="urn:microsoft.com/office/officeart/2005/8/layout/hList6"/>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EBDE508-ADE3-4AA5-9C18-69692C3641E0}" type="doc">
      <dgm:prSet loTypeId="urn:microsoft.com/office/officeart/2005/8/layout/default" loCatId="list" qsTypeId="urn:microsoft.com/office/officeart/2005/8/quickstyle/simple1" qsCatId="simple" csTypeId="urn:microsoft.com/office/officeart/2005/8/colors/colorful1" csCatId="colorful" phldr="1"/>
      <dgm:spPr/>
      <dgm:t>
        <a:bodyPr/>
        <a:lstStyle/>
        <a:p>
          <a:endParaRPr lang="en-IE"/>
        </a:p>
      </dgm:t>
    </dgm:pt>
    <dgm:pt modelId="{62968F62-EDC1-4F1D-8671-F6E9D0891D4E}">
      <dgm:prSet phldrT="[Text]"/>
      <dgm:spPr/>
      <dgm:t>
        <a:bodyPr/>
        <a:lstStyle/>
        <a:p>
          <a:r>
            <a:rPr lang="fr-FR"/>
            <a:t>Renforcer la résilience des chaînes d’approvisionnement et réduire </a:t>
          </a:r>
          <a:r>
            <a:rPr lang="fr-FR" b="1"/>
            <a:t>les dépendances stratégiques en biens et de services</a:t>
          </a:r>
        </a:p>
      </dgm:t>
    </dgm:pt>
    <dgm:pt modelId="{2F4BD42E-697D-4B60-9CC7-816F333F959A}" type="parTrans" cxnId="{CC7B20AE-7A56-4999-A8A9-C56BB92A1885}">
      <dgm:prSet/>
      <dgm:spPr/>
      <dgm:t>
        <a:bodyPr/>
        <a:lstStyle/>
        <a:p>
          <a:endParaRPr lang="en-IE"/>
        </a:p>
      </dgm:t>
    </dgm:pt>
    <dgm:pt modelId="{B03894FF-314E-4A05-83BF-6AB8FE059755}" type="sibTrans" cxnId="{CC7B20AE-7A56-4999-A8A9-C56BB92A1885}">
      <dgm:prSet/>
      <dgm:spPr/>
      <dgm:t>
        <a:bodyPr/>
        <a:lstStyle/>
        <a:p>
          <a:endParaRPr lang="en-IE"/>
        </a:p>
      </dgm:t>
    </dgm:pt>
    <dgm:pt modelId="{B647D495-3860-44D7-8204-45B3E1412F13}">
      <dgm:prSet/>
      <dgm:spPr/>
      <dgm:t>
        <a:bodyPr/>
        <a:lstStyle/>
        <a:p>
          <a:r>
            <a:rPr lang="fr-FR" dirty="0"/>
            <a:t>Attirer dans l’UE des </a:t>
          </a:r>
          <a:r>
            <a:rPr lang="fr-FR" b="1" dirty="0"/>
            <a:t>investissements à forte valeur ajoutée</a:t>
          </a:r>
          <a:r>
            <a:rPr lang="fr-FR" dirty="0"/>
            <a:t> qui renforcent sa sécurité économique</a:t>
          </a:r>
        </a:p>
      </dgm:t>
    </dgm:pt>
    <dgm:pt modelId="{45C2F43D-1C53-4B24-A417-5C429EC3F329}" type="parTrans" cxnId="{C77216EA-9EA6-442A-9357-B0453C020830}">
      <dgm:prSet/>
      <dgm:spPr/>
      <dgm:t>
        <a:bodyPr/>
        <a:lstStyle/>
        <a:p>
          <a:endParaRPr lang="en-IE"/>
        </a:p>
      </dgm:t>
    </dgm:pt>
    <dgm:pt modelId="{82E661E6-EBEA-46BE-9251-76CE7F3C3C42}" type="sibTrans" cxnId="{C77216EA-9EA6-442A-9357-B0453C020830}">
      <dgm:prSet/>
      <dgm:spPr/>
      <dgm:t>
        <a:bodyPr/>
        <a:lstStyle/>
        <a:p>
          <a:endParaRPr lang="en-IE"/>
        </a:p>
      </dgm:t>
    </dgm:pt>
    <dgm:pt modelId="{C407114E-008D-43D5-8CB3-D411E4A636C7}">
      <dgm:prSet/>
      <dgm:spPr/>
      <dgm:t>
        <a:bodyPr/>
        <a:lstStyle/>
        <a:p>
          <a:r>
            <a:rPr lang="fr-FR"/>
            <a:t>Soutenir le dynamisme de la </a:t>
          </a:r>
          <a:r>
            <a:rPr lang="fr-FR" b="1"/>
            <a:t>base industrielle de la défense et de l’espace, tout comme d’autres secteurs industriels à haut risque</a:t>
          </a:r>
        </a:p>
      </dgm:t>
    </dgm:pt>
    <dgm:pt modelId="{885B6BB4-0EAE-4271-9970-C39F9A12D6B9}" type="parTrans" cxnId="{EB56F207-F45F-43D5-8C8B-542B1FB05A45}">
      <dgm:prSet/>
      <dgm:spPr/>
      <dgm:t>
        <a:bodyPr/>
        <a:lstStyle/>
        <a:p>
          <a:endParaRPr lang="en-IE"/>
        </a:p>
      </dgm:t>
    </dgm:pt>
    <dgm:pt modelId="{6F69FE9A-53F7-4180-A8E5-EC424CBDD00B}" type="sibTrans" cxnId="{EB56F207-F45F-43D5-8C8B-542B1FB05A45}">
      <dgm:prSet/>
      <dgm:spPr/>
      <dgm:t>
        <a:bodyPr/>
        <a:lstStyle/>
        <a:p>
          <a:endParaRPr lang="en-IE"/>
        </a:p>
      </dgm:t>
    </dgm:pt>
    <dgm:pt modelId="{7098D058-3335-456B-8543-BE78E6670B0B}">
      <dgm:prSet/>
      <dgm:spPr/>
      <dgm:t>
        <a:bodyPr/>
        <a:lstStyle/>
        <a:p>
          <a:r>
            <a:rPr lang="fr-FR"/>
            <a:t>Étoffer et conserver un </a:t>
          </a:r>
          <a:r>
            <a:rPr lang="fr-FR" b="1"/>
            <a:t>rôle de premier plan dans le domaine des technologies critiques</a:t>
          </a:r>
        </a:p>
      </dgm:t>
    </dgm:pt>
    <dgm:pt modelId="{C0014C38-4260-402A-8F57-6CACDBB0DEEB}" type="parTrans" cxnId="{73C01FC6-A271-4716-9A30-97E3F2DBDB10}">
      <dgm:prSet/>
      <dgm:spPr/>
      <dgm:t>
        <a:bodyPr/>
        <a:lstStyle/>
        <a:p>
          <a:endParaRPr lang="en-IE"/>
        </a:p>
      </dgm:t>
    </dgm:pt>
    <dgm:pt modelId="{05F868A0-7458-4713-853A-82C809BD9359}" type="sibTrans" cxnId="{73C01FC6-A271-4716-9A30-97E3F2DBDB10}">
      <dgm:prSet/>
      <dgm:spPr/>
      <dgm:t>
        <a:bodyPr/>
        <a:lstStyle/>
        <a:p>
          <a:endParaRPr lang="en-IE"/>
        </a:p>
      </dgm:t>
    </dgm:pt>
    <dgm:pt modelId="{EC1B6391-69FF-455D-91FC-451B47A58A01}">
      <dgm:prSet/>
      <dgm:spPr/>
      <dgm:t>
        <a:bodyPr/>
        <a:lstStyle/>
        <a:p>
          <a:r>
            <a:rPr lang="fr-FR"/>
            <a:t>Empêcher l’accès à des </a:t>
          </a:r>
          <a:r>
            <a:rPr lang="fr-FR" b="1"/>
            <a:t>informations et données sensibles</a:t>
          </a:r>
          <a:r>
            <a:rPr lang="fr-FR"/>
            <a:t> susceptibles de compromettre la sécurité économique de l’UE</a:t>
          </a:r>
        </a:p>
      </dgm:t>
    </dgm:pt>
    <dgm:pt modelId="{A715FE26-6B0F-47FE-BD76-956EBDBEBB3E}" type="parTrans" cxnId="{74D75DFC-23D9-453A-B76D-0D6FC82833E4}">
      <dgm:prSet/>
      <dgm:spPr/>
      <dgm:t>
        <a:bodyPr/>
        <a:lstStyle/>
        <a:p>
          <a:endParaRPr lang="en-IE"/>
        </a:p>
      </dgm:t>
    </dgm:pt>
    <dgm:pt modelId="{FED4B1E3-56E9-4060-AF43-79858730A611}" type="sibTrans" cxnId="{74D75DFC-23D9-453A-B76D-0D6FC82833E4}">
      <dgm:prSet/>
      <dgm:spPr/>
      <dgm:t>
        <a:bodyPr/>
        <a:lstStyle/>
        <a:p>
          <a:endParaRPr lang="en-IE"/>
        </a:p>
      </dgm:t>
    </dgm:pt>
    <dgm:pt modelId="{F907D98C-9BA8-4519-9648-CB90DC0156E1}">
      <dgm:prSet/>
      <dgm:spPr/>
      <dgm:t>
        <a:bodyPr/>
        <a:lstStyle/>
        <a:p>
          <a:r>
            <a:rPr lang="fr-FR"/>
            <a:t>Prévenir et atténuer les </a:t>
          </a:r>
          <a:r>
            <a:rPr lang="fr-FR" b="1"/>
            <a:t>perturbations des infrastructures critiques de l’UE</a:t>
          </a:r>
          <a:r>
            <a:rPr lang="fr-FR"/>
            <a:t> affectant l’économie de l’UE</a:t>
          </a:r>
        </a:p>
      </dgm:t>
    </dgm:pt>
    <dgm:pt modelId="{B7D4C548-EE22-4C65-9C41-47912DB443C1}" type="parTrans" cxnId="{BED471D8-888A-449C-8503-EFD8E665F7B3}">
      <dgm:prSet/>
      <dgm:spPr/>
      <dgm:t>
        <a:bodyPr/>
        <a:lstStyle/>
        <a:p>
          <a:endParaRPr lang="en-IE"/>
        </a:p>
      </dgm:t>
    </dgm:pt>
    <dgm:pt modelId="{C4500BF0-AEB8-4B3E-9653-F7F57F2144AB}" type="sibTrans" cxnId="{BED471D8-888A-449C-8503-EFD8E665F7B3}">
      <dgm:prSet/>
      <dgm:spPr/>
      <dgm:t>
        <a:bodyPr/>
        <a:lstStyle/>
        <a:p>
          <a:endParaRPr lang="en-IE"/>
        </a:p>
      </dgm:t>
    </dgm:pt>
    <dgm:pt modelId="{1D42BF23-83E1-4BE1-BF02-A4D0456A1C53}" type="pres">
      <dgm:prSet presAssocID="{BEBDE508-ADE3-4AA5-9C18-69692C3641E0}" presName="diagram" presStyleCnt="0">
        <dgm:presLayoutVars>
          <dgm:dir/>
          <dgm:resizeHandles val="exact"/>
        </dgm:presLayoutVars>
      </dgm:prSet>
      <dgm:spPr/>
      <dgm:t>
        <a:bodyPr/>
        <a:lstStyle/>
        <a:p>
          <a:endParaRPr lang="en-US"/>
        </a:p>
      </dgm:t>
    </dgm:pt>
    <dgm:pt modelId="{092D76B2-9B7D-433D-9717-9F5B315BADD5}" type="pres">
      <dgm:prSet presAssocID="{62968F62-EDC1-4F1D-8671-F6E9D0891D4E}" presName="node" presStyleLbl="node1" presStyleIdx="0" presStyleCnt="6">
        <dgm:presLayoutVars>
          <dgm:bulletEnabled val="1"/>
        </dgm:presLayoutVars>
      </dgm:prSet>
      <dgm:spPr/>
      <dgm:t>
        <a:bodyPr/>
        <a:lstStyle/>
        <a:p>
          <a:endParaRPr lang="en-US"/>
        </a:p>
      </dgm:t>
    </dgm:pt>
    <dgm:pt modelId="{63D78C27-7034-4766-B717-E899877F7B22}" type="pres">
      <dgm:prSet presAssocID="{B03894FF-314E-4A05-83BF-6AB8FE059755}" presName="sibTrans" presStyleCnt="0"/>
      <dgm:spPr/>
    </dgm:pt>
    <dgm:pt modelId="{D6527388-D63D-4149-AF6E-1C41FDEEE497}" type="pres">
      <dgm:prSet presAssocID="{B647D495-3860-44D7-8204-45B3E1412F13}" presName="node" presStyleLbl="node1" presStyleIdx="1" presStyleCnt="6">
        <dgm:presLayoutVars>
          <dgm:bulletEnabled val="1"/>
        </dgm:presLayoutVars>
      </dgm:prSet>
      <dgm:spPr/>
      <dgm:t>
        <a:bodyPr/>
        <a:lstStyle/>
        <a:p>
          <a:endParaRPr lang="en-US"/>
        </a:p>
      </dgm:t>
    </dgm:pt>
    <dgm:pt modelId="{597CE3F8-31B0-4726-889E-A22F6BBE2373}" type="pres">
      <dgm:prSet presAssocID="{82E661E6-EBEA-46BE-9251-76CE7F3C3C42}" presName="sibTrans" presStyleCnt="0"/>
      <dgm:spPr/>
    </dgm:pt>
    <dgm:pt modelId="{62FC3EDF-8669-4AC1-9EA1-0E6E74AE325C}" type="pres">
      <dgm:prSet presAssocID="{C407114E-008D-43D5-8CB3-D411E4A636C7}" presName="node" presStyleLbl="node1" presStyleIdx="2" presStyleCnt="6" custScaleX="93867" custScaleY="81733">
        <dgm:presLayoutVars>
          <dgm:bulletEnabled val="1"/>
        </dgm:presLayoutVars>
      </dgm:prSet>
      <dgm:spPr/>
      <dgm:t>
        <a:bodyPr/>
        <a:lstStyle/>
        <a:p>
          <a:endParaRPr lang="en-US"/>
        </a:p>
      </dgm:t>
    </dgm:pt>
    <dgm:pt modelId="{CDD98D08-B78D-4299-BA7A-BBE0C1BC6777}" type="pres">
      <dgm:prSet presAssocID="{6F69FE9A-53F7-4180-A8E5-EC424CBDD00B}" presName="sibTrans" presStyleCnt="0"/>
      <dgm:spPr/>
    </dgm:pt>
    <dgm:pt modelId="{87F12916-9E6D-4D79-A2EB-3F96F503998B}" type="pres">
      <dgm:prSet presAssocID="{7098D058-3335-456B-8543-BE78E6670B0B}" presName="node" presStyleLbl="node1" presStyleIdx="3" presStyleCnt="6">
        <dgm:presLayoutVars>
          <dgm:bulletEnabled val="1"/>
        </dgm:presLayoutVars>
      </dgm:prSet>
      <dgm:spPr/>
      <dgm:t>
        <a:bodyPr/>
        <a:lstStyle/>
        <a:p>
          <a:endParaRPr lang="en-US"/>
        </a:p>
      </dgm:t>
    </dgm:pt>
    <dgm:pt modelId="{7A43785D-F5ED-4914-A286-4736D9580ED7}" type="pres">
      <dgm:prSet presAssocID="{05F868A0-7458-4713-853A-82C809BD9359}" presName="sibTrans" presStyleCnt="0"/>
      <dgm:spPr/>
    </dgm:pt>
    <dgm:pt modelId="{38F95370-39C1-44B0-B405-5B28DC80F009}" type="pres">
      <dgm:prSet presAssocID="{EC1B6391-69FF-455D-91FC-451B47A58A01}" presName="node" presStyleLbl="node1" presStyleIdx="4" presStyleCnt="6">
        <dgm:presLayoutVars>
          <dgm:bulletEnabled val="1"/>
        </dgm:presLayoutVars>
      </dgm:prSet>
      <dgm:spPr/>
      <dgm:t>
        <a:bodyPr/>
        <a:lstStyle/>
        <a:p>
          <a:endParaRPr lang="en-US"/>
        </a:p>
      </dgm:t>
    </dgm:pt>
    <dgm:pt modelId="{133977A6-C6AC-4C6E-8EC3-DDFB7250136A}" type="pres">
      <dgm:prSet presAssocID="{FED4B1E3-56E9-4060-AF43-79858730A611}" presName="sibTrans" presStyleCnt="0"/>
      <dgm:spPr/>
    </dgm:pt>
    <dgm:pt modelId="{AD4B6C6F-59EF-475D-8E80-44E6367538E6}" type="pres">
      <dgm:prSet presAssocID="{F907D98C-9BA8-4519-9648-CB90DC0156E1}" presName="node" presStyleLbl="node1" presStyleIdx="5" presStyleCnt="6">
        <dgm:presLayoutVars>
          <dgm:bulletEnabled val="1"/>
        </dgm:presLayoutVars>
      </dgm:prSet>
      <dgm:spPr/>
      <dgm:t>
        <a:bodyPr/>
        <a:lstStyle/>
        <a:p>
          <a:endParaRPr lang="en-US"/>
        </a:p>
      </dgm:t>
    </dgm:pt>
  </dgm:ptLst>
  <dgm:cxnLst>
    <dgm:cxn modelId="{C77216EA-9EA6-442A-9357-B0453C020830}" srcId="{BEBDE508-ADE3-4AA5-9C18-69692C3641E0}" destId="{B647D495-3860-44D7-8204-45B3E1412F13}" srcOrd="1" destOrd="0" parTransId="{45C2F43D-1C53-4B24-A417-5C429EC3F329}" sibTransId="{82E661E6-EBEA-46BE-9251-76CE7F3C3C42}"/>
    <dgm:cxn modelId="{CC7B20AE-7A56-4999-A8A9-C56BB92A1885}" srcId="{BEBDE508-ADE3-4AA5-9C18-69692C3641E0}" destId="{62968F62-EDC1-4F1D-8671-F6E9D0891D4E}" srcOrd="0" destOrd="0" parTransId="{2F4BD42E-697D-4B60-9CC7-816F333F959A}" sibTransId="{B03894FF-314E-4A05-83BF-6AB8FE059755}"/>
    <dgm:cxn modelId="{BED471D8-888A-449C-8503-EFD8E665F7B3}" srcId="{BEBDE508-ADE3-4AA5-9C18-69692C3641E0}" destId="{F907D98C-9BA8-4519-9648-CB90DC0156E1}" srcOrd="5" destOrd="0" parTransId="{B7D4C548-EE22-4C65-9C41-47912DB443C1}" sibTransId="{C4500BF0-AEB8-4B3E-9653-F7F57F2144AB}"/>
    <dgm:cxn modelId="{EB56F207-F45F-43D5-8C8B-542B1FB05A45}" srcId="{BEBDE508-ADE3-4AA5-9C18-69692C3641E0}" destId="{C407114E-008D-43D5-8CB3-D411E4A636C7}" srcOrd="2" destOrd="0" parTransId="{885B6BB4-0EAE-4271-9970-C39F9A12D6B9}" sibTransId="{6F69FE9A-53F7-4180-A8E5-EC424CBDD00B}"/>
    <dgm:cxn modelId="{1967C00B-BB9B-420A-847C-A012F81A9CC6}" type="presOf" srcId="{EC1B6391-69FF-455D-91FC-451B47A58A01}" destId="{38F95370-39C1-44B0-B405-5B28DC80F009}" srcOrd="0" destOrd="0" presId="urn:microsoft.com/office/officeart/2005/8/layout/default"/>
    <dgm:cxn modelId="{8BF3A360-AB46-489E-9A36-1F8ACC5F629A}" type="presOf" srcId="{F907D98C-9BA8-4519-9648-CB90DC0156E1}" destId="{AD4B6C6F-59EF-475D-8E80-44E6367538E6}" srcOrd="0" destOrd="0" presId="urn:microsoft.com/office/officeart/2005/8/layout/default"/>
    <dgm:cxn modelId="{987264FF-1EAE-49C9-BE10-258E0B6939B6}" type="presOf" srcId="{BEBDE508-ADE3-4AA5-9C18-69692C3641E0}" destId="{1D42BF23-83E1-4BE1-BF02-A4D0456A1C53}" srcOrd="0" destOrd="0" presId="urn:microsoft.com/office/officeart/2005/8/layout/default"/>
    <dgm:cxn modelId="{73C01FC6-A271-4716-9A30-97E3F2DBDB10}" srcId="{BEBDE508-ADE3-4AA5-9C18-69692C3641E0}" destId="{7098D058-3335-456B-8543-BE78E6670B0B}" srcOrd="3" destOrd="0" parTransId="{C0014C38-4260-402A-8F57-6CACDBB0DEEB}" sibTransId="{05F868A0-7458-4713-853A-82C809BD9359}"/>
    <dgm:cxn modelId="{11881B94-1220-4E59-9813-7C927EFDD428}" type="presOf" srcId="{B647D495-3860-44D7-8204-45B3E1412F13}" destId="{D6527388-D63D-4149-AF6E-1C41FDEEE497}" srcOrd="0" destOrd="0" presId="urn:microsoft.com/office/officeart/2005/8/layout/default"/>
    <dgm:cxn modelId="{7C3BAB0B-67C2-4DAC-89C0-5271958542A8}" type="presOf" srcId="{62968F62-EDC1-4F1D-8671-F6E9D0891D4E}" destId="{092D76B2-9B7D-433D-9717-9F5B315BADD5}" srcOrd="0" destOrd="0" presId="urn:microsoft.com/office/officeart/2005/8/layout/default"/>
    <dgm:cxn modelId="{21185E30-D277-4782-A34C-9B081016A70A}" type="presOf" srcId="{7098D058-3335-456B-8543-BE78E6670B0B}" destId="{87F12916-9E6D-4D79-A2EB-3F96F503998B}" srcOrd="0" destOrd="0" presId="urn:microsoft.com/office/officeart/2005/8/layout/default"/>
    <dgm:cxn modelId="{524B5DEE-2E7C-434F-BCFB-3C2FED14352E}" type="presOf" srcId="{C407114E-008D-43D5-8CB3-D411E4A636C7}" destId="{62FC3EDF-8669-4AC1-9EA1-0E6E74AE325C}" srcOrd="0" destOrd="0" presId="urn:microsoft.com/office/officeart/2005/8/layout/default"/>
    <dgm:cxn modelId="{74D75DFC-23D9-453A-B76D-0D6FC82833E4}" srcId="{BEBDE508-ADE3-4AA5-9C18-69692C3641E0}" destId="{EC1B6391-69FF-455D-91FC-451B47A58A01}" srcOrd="4" destOrd="0" parTransId="{A715FE26-6B0F-47FE-BD76-956EBDBEBB3E}" sibTransId="{FED4B1E3-56E9-4060-AF43-79858730A611}"/>
    <dgm:cxn modelId="{1A3CE115-8029-406C-9F95-640520E06DD6}" type="presParOf" srcId="{1D42BF23-83E1-4BE1-BF02-A4D0456A1C53}" destId="{092D76B2-9B7D-433D-9717-9F5B315BADD5}" srcOrd="0" destOrd="0" presId="urn:microsoft.com/office/officeart/2005/8/layout/default"/>
    <dgm:cxn modelId="{372B3679-804B-4801-BFFC-5D121AF691AD}" type="presParOf" srcId="{1D42BF23-83E1-4BE1-BF02-A4D0456A1C53}" destId="{63D78C27-7034-4766-B717-E899877F7B22}" srcOrd="1" destOrd="0" presId="urn:microsoft.com/office/officeart/2005/8/layout/default"/>
    <dgm:cxn modelId="{71FFD00D-ADF6-484C-A00B-F286995597A9}" type="presParOf" srcId="{1D42BF23-83E1-4BE1-BF02-A4D0456A1C53}" destId="{D6527388-D63D-4149-AF6E-1C41FDEEE497}" srcOrd="2" destOrd="0" presId="urn:microsoft.com/office/officeart/2005/8/layout/default"/>
    <dgm:cxn modelId="{A4A8821E-3973-49F9-AB54-1400389A97B3}" type="presParOf" srcId="{1D42BF23-83E1-4BE1-BF02-A4D0456A1C53}" destId="{597CE3F8-31B0-4726-889E-A22F6BBE2373}" srcOrd="3" destOrd="0" presId="urn:microsoft.com/office/officeart/2005/8/layout/default"/>
    <dgm:cxn modelId="{770E09ED-2382-49AB-B352-C7CAFFAFEF7E}" type="presParOf" srcId="{1D42BF23-83E1-4BE1-BF02-A4D0456A1C53}" destId="{62FC3EDF-8669-4AC1-9EA1-0E6E74AE325C}" srcOrd="4" destOrd="0" presId="urn:microsoft.com/office/officeart/2005/8/layout/default"/>
    <dgm:cxn modelId="{B003A8B4-4BFB-4B1F-9ADD-1978CC7A78F4}" type="presParOf" srcId="{1D42BF23-83E1-4BE1-BF02-A4D0456A1C53}" destId="{CDD98D08-B78D-4299-BA7A-BBE0C1BC6777}" srcOrd="5" destOrd="0" presId="urn:microsoft.com/office/officeart/2005/8/layout/default"/>
    <dgm:cxn modelId="{5F78EBDC-0C00-47DE-85B0-D338CC6D1536}" type="presParOf" srcId="{1D42BF23-83E1-4BE1-BF02-A4D0456A1C53}" destId="{87F12916-9E6D-4D79-A2EB-3F96F503998B}" srcOrd="6" destOrd="0" presId="urn:microsoft.com/office/officeart/2005/8/layout/default"/>
    <dgm:cxn modelId="{AAFF3749-E4C1-4A14-8A90-2BACBFE161E8}" type="presParOf" srcId="{1D42BF23-83E1-4BE1-BF02-A4D0456A1C53}" destId="{7A43785D-F5ED-4914-A286-4736D9580ED7}" srcOrd="7" destOrd="0" presId="urn:microsoft.com/office/officeart/2005/8/layout/default"/>
    <dgm:cxn modelId="{AE9539D9-43DA-4706-981C-B237391C2699}" type="presParOf" srcId="{1D42BF23-83E1-4BE1-BF02-A4D0456A1C53}" destId="{38F95370-39C1-44B0-B405-5B28DC80F009}" srcOrd="8" destOrd="0" presId="urn:microsoft.com/office/officeart/2005/8/layout/default"/>
    <dgm:cxn modelId="{1CC460C1-F2DC-44D8-BEFF-2C951F254AAE}" type="presParOf" srcId="{1D42BF23-83E1-4BE1-BF02-A4D0456A1C53}" destId="{133977A6-C6AC-4C6E-8EC3-DDFB7250136A}" srcOrd="9" destOrd="0" presId="urn:microsoft.com/office/officeart/2005/8/layout/default"/>
    <dgm:cxn modelId="{039C4336-9459-412C-B4C4-B109C8D56C51}" type="presParOf" srcId="{1D42BF23-83E1-4BE1-BF02-A4D0456A1C53}" destId="{AD4B6C6F-59EF-475D-8E80-44E6367538E6}" srcOrd="10" destOrd="0" presId="urn:microsoft.com/office/officeart/2005/8/layout/defaul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0BB4C0-1AD9-4A7C-AF23-B7F4C15202BE}">
      <dsp:nvSpPr>
        <dsp:cNvPr id="0" name=""/>
        <dsp:cNvSpPr/>
      </dsp:nvSpPr>
      <dsp:spPr>
        <a:xfrm rot="16200000">
          <a:off x="-1609324" y="1611686"/>
          <a:ext cx="4156533" cy="933160"/>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fr-FR" sz="750" kern="1200" dirty="0">
              <a:solidFill>
                <a:srgbClr val="FFFFFF"/>
              </a:solidFill>
              <a:latin typeface="Arial"/>
              <a:ea typeface="+mn-ea"/>
              <a:cs typeface="+mn-cs"/>
            </a:rPr>
            <a:t>Commerce et concurrence</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Mesures antisubventions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Mesures antidumping</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Mesures de sauvegarde</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Règlement «subventions étrangères»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Autres outils de concurrence</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Douane (formalités et contrôles)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Accords commerciaux</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Échanges respectant des normes</a:t>
          </a:r>
        </a:p>
      </dsp:txBody>
      <dsp:txXfrm rot="5400000">
        <a:off x="2362" y="831307"/>
        <a:ext cx="933160" cy="2493919"/>
      </dsp:txXfrm>
    </dsp:sp>
    <dsp:sp modelId="{0E93A9A3-5295-4AB2-82CB-071197DB5A84}">
      <dsp:nvSpPr>
        <dsp:cNvPr id="0" name=""/>
        <dsp:cNvSpPr/>
      </dsp:nvSpPr>
      <dsp:spPr>
        <a:xfrm rot="16200000">
          <a:off x="-606177" y="1611686"/>
          <a:ext cx="4156533" cy="933160"/>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fr-FR" sz="750" kern="1200" dirty="0">
              <a:solidFill>
                <a:srgbClr val="FFFFFF"/>
              </a:solidFill>
              <a:latin typeface="Arial"/>
              <a:ea typeface="+mn-ea"/>
              <a:cs typeface="+mn-cs"/>
            </a:rPr>
            <a:t>Résilience et cybersécurité</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a:solidFill>
                <a:srgbClr val="FFFFFF"/>
              </a:solidFill>
              <a:latin typeface="Arial"/>
              <a:ea typeface="+mn-ea"/>
              <a:cs typeface="+mn-cs"/>
            </a:rPr>
            <a:t>Règlement «situations d’urgence et résilience du marché intérieur»</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Règlement «régime commun applicable aux exportations»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Stratégie de constitution de stocks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Directive «résilience des entités critiques»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Règlement «cyberrésilience»</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Directive SRI 2</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Boîte à outils 5G</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Règlement «cybersécurité» (révision)</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Règlement «cybersolidarité»</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Directive «passation des marchés publics»</a:t>
          </a:r>
        </a:p>
      </dsp:txBody>
      <dsp:txXfrm rot="5400000">
        <a:off x="1005509" y="831307"/>
        <a:ext cx="933160" cy="2493919"/>
      </dsp:txXfrm>
    </dsp:sp>
    <dsp:sp modelId="{6DA17A80-2AB6-4EFF-A930-F4191E7A995E}">
      <dsp:nvSpPr>
        <dsp:cNvPr id="0" name=""/>
        <dsp:cNvSpPr/>
      </dsp:nvSpPr>
      <dsp:spPr>
        <a:xfrm rot="16200000">
          <a:off x="396970" y="1611686"/>
          <a:ext cx="4156533" cy="933160"/>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fr-FR" sz="750" kern="1200" dirty="0">
              <a:solidFill>
                <a:srgbClr val="FFFFFF"/>
              </a:solidFill>
              <a:latin typeface="Arial"/>
              <a:ea typeface="+mn-ea"/>
              <a:cs typeface="+mn-cs"/>
            </a:rPr>
            <a:t>Sécurité et ordre public</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Règlement «filtrage des IDE»</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Règlement «contrôle des exportations de biens à double usage»</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Recommandation «examen des investissements sortants»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Recommandation du Conseil «sécurité de la recherche»</a:t>
          </a:r>
        </a:p>
      </dsp:txBody>
      <dsp:txXfrm rot="5400000">
        <a:off x="2008656" y="831307"/>
        <a:ext cx="933160" cy="2493919"/>
      </dsp:txXfrm>
    </dsp:sp>
    <dsp:sp modelId="{D1227667-AC01-44F9-B464-718AE932F2B0}">
      <dsp:nvSpPr>
        <dsp:cNvPr id="0" name=""/>
        <dsp:cNvSpPr/>
      </dsp:nvSpPr>
      <dsp:spPr>
        <a:xfrm rot="16200000">
          <a:off x="1400117" y="1611686"/>
          <a:ext cx="4156533" cy="933160"/>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fr-FR" sz="750" kern="1200" dirty="0">
              <a:solidFill>
                <a:srgbClr val="FFFFFF"/>
              </a:solidFill>
              <a:latin typeface="Arial"/>
              <a:ea typeface="+mn-ea"/>
              <a:cs typeface="+mn-cs"/>
            </a:rPr>
            <a:t>Mesures anticoercitives et restrictives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Instrument anticoercitif</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Sanctions/mesures restrictives  </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Loi de blocage</a:t>
          </a:r>
        </a:p>
      </dsp:txBody>
      <dsp:txXfrm rot="5400000">
        <a:off x="3011803" y="831307"/>
        <a:ext cx="933160" cy="2493919"/>
      </dsp:txXfrm>
    </dsp:sp>
    <dsp:sp modelId="{E6FCF5A5-EFB5-4FB2-8878-C6326D43B400}">
      <dsp:nvSpPr>
        <dsp:cNvPr id="0" name=""/>
        <dsp:cNvSpPr/>
      </dsp:nvSpPr>
      <dsp:spPr>
        <a:xfrm rot="16200000">
          <a:off x="2403265" y="1611686"/>
          <a:ext cx="4156533" cy="933160"/>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fr-FR" sz="750" kern="1200" dirty="0">
              <a:solidFill>
                <a:srgbClr val="FFFFFF"/>
              </a:solidFill>
              <a:latin typeface="Arial"/>
              <a:ea typeface="+mn-ea"/>
              <a:cs typeface="+mn-cs"/>
            </a:rPr>
            <a:t>Financement et restrictions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Stratégie «Global Gateway»</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Restrictions de financement dans Horizon Europe, le programme pour une Europe numérique et le MIE</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Restrictions liées à la sécurité économique (CFP post-2027)</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Restrictions liées aux fournisseurs à haut risque (CFP post-2027)</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Outil de coordination de la compétitivité</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Article 136 du règlement financier</a:t>
          </a:r>
        </a:p>
      </dsp:txBody>
      <dsp:txXfrm rot="5400000">
        <a:off x="4014951" y="831307"/>
        <a:ext cx="933160" cy="2493919"/>
      </dsp:txXfrm>
    </dsp:sp>
    <dsp:sp modelId="{FBBEE4AA-C9CC-4ED0-A700-B49BA97F6A51}">
      <dsp:nvSpPr>
        <dsp:cNvPr id="0" name=""/>
        <dsp:cNvSpPr/>
      </dsp:nvSpPr>
      <dsp:spPr>
        <a:xfrm rot="16200000">
          <a:off x="3406412" y="1611686"/>
          <a:ext cx="4156533" cy="933160"/>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fr-FR" sz="750" kern="1200" dirty="0">
              <a:solidFill>
                <a:srgbClr val="FFFFFF"/>
              </a:solidFill>
              <a:latin typeface="Arial"/>
              <a:ea typeface="+mn-ea"/>
              <a:cs typeface="+mn-cs"/>
            </a:rPr>
            <a:t>Quelques initiatives sectorielles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ResourceEU</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Règlement sur les puces 2.0</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Stratégie quantique</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Acte «accélération de l’activité industrielle»</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Stratégie pour une union européenne des données</a:t>
          </a:r>
        </a:p>
        <a:p>
          <a:pPr marL="57150" lvl="1" indent="-57150" algn="l" defTabSz="333375">
            <a:lnSpc>
              <a:spcPct val="90000"/>
            </a:lnSpc>
            <a:spcBef>
              <a:spcPct val="0"/>
            </a:spcBef>
            <a:spcAft>
              <a:spcPct val="15000"/>
            </a:spcAft>
            <a:buFont typeface="Calibri" panose="020F0502020204030204" pitchFamily="34" charset="0"/>
            <a:buChar char="••"/>
          </a:pPr>
          <a:r>
            <a:rPr lang="fr-FR" sz="750" kern="1200" dirty="0">
              <a:solidFill>
                <a:srgbClr val="FFFFFF"/>
              </a:solidFill>
              <a:latin typeface="Arial"/>
              <a:ea typeface="+mn-ea"/>
              <a:cs typeface="+mn-cs"/>
            </a:rPr>
            <a:t>Loi «MPC»/Centre «MPC»</a:t>
          </a:r>
        </a:p>
        <a:p>
          <a:pPr marL="57150" lvl="1" indent="-57150" algn="l" defTabSz="333375">
            <a:lnSpc>
              <a:spcPct val="90000"/>
            </a:lnSpc>
            <a:spcBef>
              <a:spcPct val="0"/>
            </a:spcBef>
            <a:spcAft>
              <a:spcPct val="15000"/>
            </a:spcAft>
            <a:buFont typeface="Calibri" panose="020F0502020204030204" pitchFamily="34" charset="0"/>
            <a:buChar char="••"/>
          </a:pPr>
          <a:r>
            <a:rPr lang="fr-FR" sz="750" b="0" kern="1200">
              <a:latin typeface="Arial" panose="020B0604020202020204" pitchFamily="34" charset="0"/>
              <a:cs typeface="Arial" panose="020B0604020202020204" pitchFamily="34" charset="0"/>
            </a:rPr>
            <a:t>Stratégie «start-up et scale-up»</a:t>
          </a:r>
        </a:p>
        <a:p>
          <a:pPr marL="57150" lvl="1" indent="-57150" algn="l" defTabSz="333375">
            <a:lnSpc>
              <a:spcPct val="90000"/>
            </a:lnSpc>
            <a:spcBef>
              <a:spcPct val="0"/>
            </a:spcBef>
            <a:spcAft>
              <a:spcPct val="15000"/>
            </a:spcAft>
            <a:buFont typeface="Calibri" panose="020F0502020204030204" pitchFamily="34" charset="0"/>
            <a:buChar char="••"/>
          </a:pPr>
          <a:r>
            <a:rPr lang="fr-FR" sz="750" b="0" kern="1200">
              <a:latin typeface="Arial" panose="020B0604020202020204" pitchFamily="34" charset="0"/>
              <a:cs typeface="Arial" panose="020B0604020202020204" pitchFamily="34" charset="0"/>
            </a:rPr>
            <a:t>Acte «innovation» </a:t>
          </a:r>
        </a:p>
        <a:p>
          <a:pPr marL="57150" lvl="1" indent="-57150" algn="l" defTabSz="333375">
            <a:lnSpc>
              <a:spcPct val="90000"/>
            </a:lnSpc>
            <a:spcBef>
              <a:spcPct val="0"/>
            </a:spcBef>
            <a:spcAft>
              <a:spcPct val="15000"/>
            </a:spcAft>
            <a:buFont typeface="Calibri" panose="020F0502020204030204" pitchFamily="34" charset="0"/>
            <a:buChar char="••"/>
          </a:pPr>
          <a:r>
            <a:rPr lang="fr-FR" sz="750" b="0" kern="1200" dirty="0">
              <a:solidFill>
                <a:srgbClr val="FFFFFF"/>
              </a:solidFill>
              <a:latin typeface="Arial" panose="020B0604020202020204" pitchFamily="34" charset="0"/>
              <a:ea typeface="+mn-ea"/>
              <a:cs typeface="Arial" panose="020B0604020202020204" pitchFamily="34" charset="0"/>
            </a:rPr>
            <a:t>Stratégie portuaire</a:t>
          </a:r>
        </a:p>
        <a:p>
          <a:pPr marL="57150" lvl="1" indent="-57150" algn="l" defTabSz="333375">
            <a:lnSpc>
              <a:spcPct val="90000"/>
            </a:lnSpc>
            <a:spcBef>
              <a:spcPct val="0"/>
            </a:spcBef>
            <a:spcAft>
              <a:spcPct val="15000"/>
            </a:spcAft>
            <a:buFont typeface="Calibri" panose="020F0502020204030204" pitchFamily="34" charset="0"/>
            <a:buChar char="••"/>
          </a:pPr>
          <a:r>
            <a:rPr lang="fr-FR" sz="750" b="0" kern="1200" dirty="0">
              <a:solidFill>
                <a:srgbClr val="FFFFFF"/>
              </a:solidFill>
              <a:latin typeface="Arial" panose="020B0604020202020204" pitchFamily="34" charset="0"/>
              <a:ea typeface="+mn-ea"/>
              <a:cs typeface="Arial" panose="020B0604020202020204" pitchFamily="34" charset="0"/>
            </a:rPr>
            <a:t>Stratégie Drone 2.0</a:t>
          </a:r>
        </a:p>
      </dsp:txBody>
      <dsp:txXfrm rot="5400000">
        <a:off x="5018098" y="831307"/>
        <a:ext cx="933160" cy="24939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2D76B2-9B7D-433D-9717-9F5B315BADD5}">
      <dsp:nvSpPr>
        <dsp:cNvPr id="0" name=""/>
        <dsp:cNvSpPr/>
      </dsp:nvSpPr>
      <dsp:spPr>
        <a:xfrm>
          <a:off x="202172" y="376"/>
          <a:ext cx="1640651" cy="98439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t>Renforcer la résilience des chaînes d’approvisionnement et réduire </a:t>
          </a:r>
          <a:r>
            <a:rPr lang="fr-FR" sz="1000" b="1" kern="1200"/>
            <a:t>les dépendances stratégiques en biens et de services</a:t>
          </a:r>
        </a:p>
      </dsp:txBody>
      <dsp:txXfrm>
        <a:off x="202172" y="376"/>
        <a:ext cx="1640651" cy="984390"/>
      </dsp:txXfrm>
    </dsp:sp>
    <dsp:sp modelId="{D6527388-D63D-4149-AF6E-1C41FDEEE497}">
      <dsp:nvSpPr>
        <dsp:cNvPr id="0" name=""/>
        <dsp:cNvSpPr/>
      </dsp:nvSpPr>
      <dsp:spPr>
        <a:xfrm>
          <a:off x="2006888" y="376"/>
          <a:ext cx="1640651" cy="98439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dirty="0"/>
            <a:t>Attirer dans l’UE des </a:t>
          </a:r>
          <a:r>
            <a:rPr lang="fr-FR" sz="1000" b="1" kern="1200" dirty="0"/>
            <a:t>investissements à forte valeur ajoutée</a:t>
          </a:r>
          <a:r>
            <a:rPr lang="fr-FR" sz="1000" kern="1200" dirty="0"/>
            <a:t> qui renforcent sa sécurité économique</a:t>
          </a:r>
        </a:p>
      </dsp:txBody>
      <dsp:txXfrm>
        <a:off x="2006888" y="376"/>
        <a:ext cx="1640651" cy="984390"/>
      </dsp:txXfrm>
    </dsp:sp>
    <dsp:sp modelId="{62FC3EDF-8669-4AC1-9EA1-0E6E74AE325C}">
      <dsp:nvSpPr>
        <dsp:cNvPr id="0" name=""/>
        <dsp:cNvSpPr/>
      </dsp:nvSpPr>
      <dsp:spPr>
        <a:xfrm>
          <a:off x="3811605" y="90285"/>
          <a:ext cx="1540030" cy="804572"/>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t>Soutenir le dynamisme de la </a:t>
          </a:r>
          <a:r>
            <a:rPr lang="fr-FR" sz="1000" b="1" kern="1200"/>
            <a:t>base industrielle de la défense et de l’espace, tout comme d’autres secteurs industriels à haut risque</a:t>
          </a:r>
        </a:p>
      </dsp:txBody>
      <dsp:txXfrm>
        <a:off x="3811605" y="90285"/>
        <a:ext cx="1540030" cy="804572"/>
      </dsp:txXfrm>
    </dsp:sp>
    <dsp:sp modelId="{87F12916-9E6D-4D79-A2EB-3F96F503998B}">
      <dsp:nvSpPr>
        <dsp:cNvPr id="0" name=""/>
        <dsp:cNvSpPr/>
      </dsp:nvSpPr>
      <dsp:spPr>
        <a:xfrm>
          <a:off x="151861" y="1148832"/>
          <a:ext cx="1640651" cy="984390"/>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t>Étoffer et conserver un </a:t>
          </a:r>
          <a:r>
            <a:rPr lang="fr-FR" sz="1000" b="1" kern="1200"/>
            <a:t>rôle de premier plan dans le domaine des technologies critiques</a:t>
          </a:r>
        </a:p>
      </dsp:txBody>
      <dsp:txXfrm>
        <a:off x="151861" y="1148832"/>
        <a:ext cx="1640651" cy="984390"/>
      </dsp:txXfrm>
    </dsp:sp>
    <dsp:sp modelId="{38F95370-39C1-44B0-B405-5B28DC80F009}">
      <dsp:nvSpPr>
        <dsp:cNvPr id="0" name=""/>
        <dsp:cNvSpPr/>
      </dsp:nvSpPr>
      <dsp:spPr>
        <a:xfrm>
          <a:off x="1956578" y="1148832"/>
          <a:ext cx="1640651" cy="984390"/>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t>Empêcher l’accès à des </a:t>
          </a:r>
          <a:r>
            <a:rPr lang="fr-FR" sz="1000" b="1" kern="1200"/>
            <a:t>informations et données sensibles</a:t>
          </a:r>
          <a:r>
            <a:rPr lang="fr-FR" sz="1000" kern="1200"/>
            <a:t> susceptibles de compromettre la sécurité économique de l’UE</a:t>
          </a:r>
        </a:p>
      </dsp:txBody>
      <dsp:txXfrm>
        <a:off x="1956578" y="1148832"/>
        <a:ext cx="1640651" cy="984390"/>
      </dsp:txXfrm>
    </dsp:sp>
    <dsp:sp modelId="{AD4B6C6F-59EF-475D-8E80-44E6367538E6}">
      <dsp:nvSpPr>
        <dsp:cNvPr id="0" name=""/>
        <dsp:cNvSpPr/>
      </dsp:nvSpPr>
      <dsp:spPr>
        <a:xfrm>
          <a:off x="3761294" y="1148832"/>
          <a:ext cx="1640651" cy="98439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kern="1200"/>
            <a:t>Prévenir et atténuer les </a:t>
          </a:r>
          <a:r>
            <a:rPr lang="fr-FR" sz="1000" b="1" kern="1200"/>
            <a:t>perturbations des infrastructures critiques de l’UE</a:t>
          </a:r>
          <a:r>
            <a:rPr lang="fr-FR" sz="1000" kern="1200"/>
            <a:t> affectant l’économie de l’UE</a:t>
          </a:r>
        </a:p>
      </dsp:txBody>
      <dsp:txXfrm>
        <a:off x="3761294" y="1148832"/>
        <a:ext cx="1640651" cy="984390"/>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87700D314BF4F9D7F36D32E8BC023" ma:contentTypeVersion="11" ma:contentTypeDescription="Create a new document." ma:contentTypeScope="" ma:versionID="bee54300d2b08e50fd61be2ab6b6b027">
  <xsd:schema xmlns:xsd="http://www.w3.org/2001/XMLSchema" xmlns:xs="http://www.w3.org/2001/XMLSchema" xmlns:p="http://schemas.microsoft.com/office/2006/metadata/properties" xmlns:ns2="0ca110bf-1397-432a-831f-ace30d95bf45" xmlns:ns3="d2fd6057-fd61-491c-ae1d-35cd63c4281a" targetNamespace="http://schemas.microsoft.com/office/2006/metadata/properties" ma:root="true" ma:fieldsID="3d3f2f2860e2e8ea9141c14ccd7437d2" ns2:_="" ns3:_="">
    <xsd:import namespace="0ca110bf-1397-432a-831f-ace30d95bf45"/>
    <xsd:import namespace="d2fd6057-fd61-491c-ae1d-35cd63c428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110bf-1397-432a-831f-ace30d95b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fd6057-fd61-491c-ae1d-35cd63c4281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b4fdb29-c78e-4eb8-9329-36b91783b7d4}" ma:internalName="TaxCatchAll" ma:showField="CatchAllData" ma:web="d2fd6057-fd61-491c-ae1d-35cd63c428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a110bf-1397-432a-831f-ace30d95bf4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d2fd6057-fd61-491c-ae1d-35cd63c428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77DE9-88B7-40AF-8778-6238B347B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a110bf-1397-432a-831f-ace30d95bf45"/>
    <ds:schemaRef ds:uri="d2fd6057-fd61-491c-ae1d-35cd63c428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A817C7-686F-4D4B-B9B0-498F90C7CEB8}">
  <ds:schemaRefs>
    <ds:schemaRef ds:uri="http://schemas.microsoft.com/office/2006/metadata/properties"/>
    <ds:schemaRef ds:uri="http://schemas.microsoft.com/office/infopath/2007/PartnerControls"/>
    <ds:schemaRef ds:uri="0ca110bf-1397-432a-831f-ace30d95bf45"/>
    <ds:schemaRef ds:uri="d2fd6057-fd61-491c-ae1d-35cd63c4281a"/>
  </ds:schemaRefs>
</ds:datastoreItem>
</file>

<file path=customXml/itemProps3.xml><?xml version="1.0" encoding="utf-8"?>
<ds:datastoreItem xmlns:ds="http://schemas.openxmlformats.org/officeDocument/2006/customXml" ds:itemID="{D7E82C9A-BC63-42B2-B247-A589EF0E733B}">
  <ds:schemaRefs>
    <ds:schemaRef ds:uri="http://schemas.microsoft.com/sharepoint/v3/contenttype/forms"/>
  </ds:schemaRefs>
</ds:datastoreItem>
</file>

<file path=customXml/itemProps4.xml><?xml version="1.0" encoding="utf-8"?>
<ds:datastoreItem xmlns:ds="http://schemas.openxmlformats.org/officeDocument/2006/customXml" ds:itemID="{FFDC9D27-C630-424B-83D2-6CB4F0867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7741</Words>
  <Characters>44128</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2025-12-03T09:57:00Z</dcterms:created>
  <dcterms:modified xsi:type="dcterms:W3CDTF">2025-12-19T08:56:00Z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2025-11-25T13:44:16Z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7bc90bcc-31dc-4055-aa4d-66bdeb624c0b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0x01010097087700D314BF4F9D7F36D32E8BC023</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CP-015</vt:lpwstr>
  </property>
  <property fmtid="{D5CDD505-2E9C-101B-9397-08002B2CF9AE}" pid="18" name="EC_TX_All_World_Countries">
    <vt:lpwstr/>
  </property>
  <property fmtid="{D5CDD505-2E9C-101B-9397-08002B2CF9AE}" pid="19" name="EC_TX_Corporate_x0020_Body">
    <vt:lpwstr/>
  </property>
  <property fmtid="{D5CDD505-2E9C-101B-9397-08002B2CF9AE}" pid="20" name="EC_TX_EU_Political_Leader">
    <vt:lpwstr/>
  </property>
  <property fmtid="{D5CDD505-2E9C-101B-9397-08002B2CF9AE}" pid="21" name="p6ffe5294acd41c38db3fcc8ababb05f">
    <vt:lpwstr/>
  </property>
  <property fmtid="{D5CDD505-2E9C-101B-9397-08002B2CF9AE}" pid="22" name="k2c54712f93b47eb83e1835ba301b6c6">
    <vt:lpwstr/>
  </property>
  <property fmtid="{D5CDD505-2E9C-101B-9397-08002B2CF9AE}" pid="23" name="EC_TX_Strategic_Priority">
    <vt:lpwstr/>
  </property>
  <property fmtid="{D5CDD505-2E9C-101B-9397-08002B2CF9AE}" pid="24" name="i8c8ab8b63424c5d9f8c4a8434abf670">
    <vt:lpwstr/>
  </property>
  <property fmtid="{D5CDD505-2E9C-101B-9397-08002B2CF9AE}" pid="25" name="p26229aee9004b9f888149fd0449ec68">
    <vt:lpwstr/>
  </property>
  <property fmtid="{D5CDD505-2E9C-101B-9397-08002B2CF9AE}" pid="26" name="eff2cf69f10b4279bbb27215ca009b37">
    <vt:lpwstr/>
  </property>
  <property fmtid="{D5CDD505-2E9C-101B-9397-08002B2CF9AE}" pid="27" name="EC_TX_Policy_Area">
    <vt:lpwstr/>
  </property>
  <property fmtid="{D5CDD505-2E9C-101B-9397-08002B2CF9AE}" pid="28" name="EC_TX_EU_Member_State">
    <vt:lpwstr/>
  </property>
  <property fmtid="{D5CDD505-2E9C-101B-9397-08002B2CF9AE}" pid="29" name="EC_TX_Resource_Type">
    <vt:lpwstr/>
  </property>
  <property fmtid="{D5CDD505-2E9C-101B-9397-08002B2CF9AE}" pid="30" name="j8309f8bc3e645d1a2f07391f8e5795a">
    <vt:lpwstr/>
  </property>
  <property fmtid="{D5CDD505-2E9C-101B-9397-08002B2CF9AE}" pid="31" name="g81cb4d17be94922847ce418ea81f55a">
    <vt:lpwstr/>
  </property>
  <property fmtid="{D5CDD505-2E9C-101B-9397-08002B2CF9AE}" pid="32" name="TaxCatchAll">
    <vt:lpwstr/>
  </property>
  <property fmtid="{D5CDD505-2E9C-101B-9397-08002B2CF9AE}" pid="33" name="EC_TX_Corporate Body">
    <vt:lpwstr/>
  </property>
</Properties>
</file>