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A4B9C" w14:textId="7D778B2B" w:rsidR="00D60277" w:rsidRPr="00A05836" w:rsidRDefault="00B371A6" w:rsidP="00B371A6">
      <w:pPr>
        <w:pStyle w:val="Pagedecouverture"/>
        <w:rPr>
          <w:noProof/>
        </w:rPr>
      </w:pPr>
      <w:bookmarkStart w:id="0" w:name="LW_BM_COVERPAGE"/>
      <w:r>
        <w:rPr>
          <w:noProof/>
        </w:rPr>
        <w:pict w14:anchorId="577326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AF5555-7E90-4DA2-800C-8087EE9683F5" style="width:455.15pt;height:271.85pt">
            <v:imagedata r:id="rId11" o:title=""/>
          </v:shape>
        </w:pict>
      </w:r>
    </w:p>
    <w:bookmarkEnd w:id="0"/>
    <w:p w14:paraId="306CE29B" w14:textId="7713E62D" w:rsidR="00CA5E3D" w:rsidRPr="00A05836" w:rsidRDefault="00CA5E3D" w:rsidP="00CA5E3D">
      <w:pPr>
        <w:pStyle w:val="Pagedecouverture"/>
        <w:rPr>
          <w:noProof/>
        </w:rPr>
        <w:sectPr w:rsidR="00CA5E3D" w:rsidRPr="00A05836" w:rsidSect="00B371A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1EE0BDE" w14:textId="0B940F3C" w:rsidR="001658E1" w:rsidRPr="00A05836" w:rsidRDefault="001658E1" w:rsidP="001658E1">
      <w:pPr>
        <w:spacing w:after="120"/>
        <w:jc w:val="both"/>
        <w:rPr>
          <w:rFonts w:ascii="Times New Roman" w:hAnsi="Times New Roman" w:cs="Times New Roman"/>
          <w:b/>
          <w:bCs/>
          <w:i/>
          <w:iCs/>
          <w:noProof/>
          <w:sz w:val="24"/>
          <w:szCs w:val="24"/>
          <w:u w:val="single"/>
        </w:rPr>
      </w:pPr>
      <w:bookmarkStart w:id="1" w:name="_Hlk212129809"/>
      <w:bookmarkStart w:id="2" w:name="_GoBack"/>
      <w:bookmarkEnd w:id="2"/>
      <w:r w:rsidRPr="00A05836">
        <w:rPr>
          <w:rFonts w:ascii="Times New Roman" w:hAnsi="Times New Roman"/>
          <w:b/>
          <w:i/>
          <w:noProof/>
          <w:sz w:val="24"/>
          <w:u w:val="single"/>
        </w:rPr>
        <w:lastRenderedPageBreak/>
        <w:t>1. Introducere</w:t>
      </w:r>
    </w:p>
    <w:p w14:paraId="6B8B31BC" w14:textId="3C7F07D0" w:rsidR="0075309B" w:rsidRPr="00A05836" w:rsidRDefault="001658E1" w:rsidP="0075309B">
      <w:pPr>
        <w:spacing w:after="120"/>
        <w:jc w:val="both"/>
        <w:rPr>
          <w:rFonts w:ascii="Times New Roman" w:hAnsi="Times New Roman" w:cs="Times New Roman"/>
          <w:noProof/>
          <w:sz w:val="24"/>
          <w:szCs w:val="24"/>
        </w:rPr>
      </w:pPr>
      <w:r w:rsidRPr="00A05836">
        <w:rPr>
          <w:rFonts w:ascii="Times New Roman" w:hAnsi="Times New Roman"/>
          <w:noProof/>
          <w:sz w:val="24"/>
        </w:rPr>
        <w:t xml:space="preserve">Utilizarea din ce în ce mai frecventă și mai bine direcționată a </w:t>
      </w:r>
      <w:r w:rsidRPr="00A05836">
        <w:rPr>
          <w:rFonts w:ascii="Times New Roman" w:hAnsi="Times New Roman"/>
          <w:b/>
          <w:noProof/>
          <w:sz w:val="24"/>
        </w:rPr>
        <w:t>instrumentelor economice pentru promovarea obiectivelor strategice</w:t>
      </w:r>
      <w:r w:rsidRPr="00A05836">
        <w:rPr>
          <w:rFonts w:ascii="Times New Roman" w:hAnsi="Times New Roman"/>
          <w:noProof/>
          <w:sz w:val="24"/>
        </w:rPr>
        <w:t xml:space="preserve"> a devenit o caracteristică definitorie a peisajului geopolitic actual. </w:t>
      </w:r>
      <w:bookmarkStart w:id="3" w:name="_Hlk215506143"/>
      <w:r w:rsidRPr="00A05836">
        <w:rPr>
          <w:rFonts w:ascii="Times New Roman" w:hAnsi="Times New Roman"/>
          <w:noProof/>
          <w:sz w:val="24"/>
        </w:rPr>
        <w:t xml:space="preserve">De la tarife perturbatoare și folosirea dependențelor drept armă până la aplicarea arbitrară a măsurilor de apărare comercială, actorii importanți utilizează pârghii economice pentru a-și urmări obiectivele strategice și geopolitice, punând în pericol securitatea, ordinea publică, competitivitatea și economia UE. </w:t>
      </w:r>
      <w:bookmarkEnd w:id="3"/>
    </w:p>
    <w:p w14:paraId="3F5F8CF0" w14:textId="657E5C80" w:rsidR="0075309B" w:rsidRPr="00A05836" w:rsidRDefault="0075309B" w:rsidP="0075309B">
      <w:pPr>
        <w:spacing w:after="120"/>
        <w:jc w:val="both"/>
        <w:rPr>
          <w:rFonts w:ascii="Times New Roman" w:hAnsi="Times New Roman" w:cs="Times New Roman"/>
          <w:noProof/>
          <w:sz w:val="24"/>
          <w:szCs w:val="24"/>
        </w:rPr>
      </w:pPr>
      <w:r w:rsidRPr="00A05836">
        <w:rPr>
          <w:rFonts w:ascii="Times New Roman" w:hAnsi="Times New Roman"/>
          <w:noProof/>
          <w:sz w:val="24"/>
        </w:rPr>
        <w:t>Riscurile la adresa securității economice a UE</w:t>
      </w:r>
      <w:r w:rsidRPr="00A05836">
        <w:rPr>
          <w:noProof/>
        </w:rPr>
        <w:t xml:space="preserve"> </w:t>
      </w:r>
      <w:r w:rsidRPr="00A05836">
        <w:rPr>
          <w:rFonts w:ascii="Times New Roman" w:hAnsi="Times New Roman"/>
          <w:noProof/>
          <w:sz w:val="24"/>
        </w:rPr>
        <w:t>nu sunt noi, dar recent s-au intensificat: vulnerabilitățile sunt acum mai vizibile, mai presante și mai dificil de ignorat. Printre aceste riscuri se numără:</w:t>
      </w:r>
    </w:p>
    <w:p w14:paraId="7895D537" w14:textId="77777777" w:rsidR="0075309B" w:rsidRPr="00A05836" w:rsidRDefault="0075309B" w:rsidP="0075309B">
      <w:pPr>
        <w:pStyle w:val="ListParagraph"/>
        <w:numPr>
          <w:ilvl w:val="0"/>
          <w:numId w:val="30"/>
        </w:numPr>
        <w:spacing w:after="120"/>
        <w:jc w:val="both"/>
        <w:rPr>
          <w:rFonts w:ascii="Times New Roman" w:hAnsi="Times New Roman" w:cs="Times New Roman"/>
          <w:noProof/>
          <w:sz w:val="24"/>
          <w:szCs w:val="24"/>
        </w:rPr>
      </w:pPr>
      <w:r w:rsidRPr="00A05836">
        <w:rPr>
          <w:rFonts w:ascii="Times New Roman" w:hAnsi="Times New Roman"/>
          <w:noProof/>
          <w:sz w:val="24"/>
        </w:rPr>
        <w:t>o</w:t>
      </w:r>
      <w:r w:rsidRPr="00A05836">
        <w:rPr>
          <w:rFonts w:ascii="Times New Roman" w:hAnsi="Times New Roman"/>
          <w:b/>
          <w:noProof/>
          <w:sz w:val="24"/>
        </w:rPr>
        <w:t xml:space="preserve"> instabilitate din ce în ce mai mare în mediul comercial și de investiții mondial</w:t>
      </w:r>
      <w:r w:rsidRPr="00A05836">
        <w:rPr>
          <w:rFonts w:ascii="Times New Roman" w:hAnsi="Times New Roman"/>
          <w:noProof/>
          <w:sz w:val="24"/>
        </w:rPr>
        <w:t>, marcată de intensificarea măsurilor comerciale perturbatoare și a restricțiilor la export cu scopul de a folosi dependențele drept armă;</w:t>
      </w:r>
    </w:p>
    <w:p w14:paraId="2B1BA389" w14:textId="71CEFD83" w:rsidR="006F4E28" w:rsidRPr="00A05836" w:rsidRDefault="0075309B" w:rsidP="006F4E28">
      <w:pPr>
        <w:pStyle w:val="ListParagraph"/>
        <w:numPr>
          <w:ilvl w:val="0"/>
          <w:numId w:val="30"/>
        </w:numPr>
        <w:spacing w:after="120"/>
        <w:jc w:val="both"/>
        <w:rPr>
          <w:rFonts w:ascii="Times New Roman" w:hAnsi="Times New Roman" w:cs="Times New Roman"/>
          <w:noProof/>
          <w:sz w:val="24"/>
          <w:szCs w:val="24"/>
        </w:rPr>
      </w:pPr>
      <w:r w:rsidRPr="00A05836">
        <w:rPr>
          <w:rFonts w:ascii="Times New Roman" w:hAnsi="Times New Roman"/>
          <w:noProof/>
          <w:sz w:val="24"/>
        </w:rPr>
        <w:t>proliferarea</w:t>
      </w:r>
      <w:r w:rsidRPr="00A05836">
        <w:rPr>
          <w:rFonts w:ascii="Times New Roman" w:hAnsi="Times New Roman"/>
          <w:b/>
          <w:noProof/>
          <w:sz w:val="24"/>
        </w:rPr>
        <w:t xml:space="preserve"> practicilor agresive</w:t>
      </w:r>
      <w:r w:rsidRPr="00A05836">
        <w:rPr>
          <w:rFonts w:ascii="Times New Roman" w:hAnsi="Times New Roman"/>
          <w:noProof/>
          <w:sz w:val="24"/>
        </w:rPr>
        <w:t xml:space="preserve"> care vizează lanțurile de aprovizionare și tehnologiile critice, subminând baza noastră industrială, dintre care unele (cum ar fi supracapacitățile finanțate de stat) creează noi dependențe; </w:t>
      </w:r>
    </w:p>
    <w:p w14:paraId="7B3E20FC" w14:textId="005333C2" w:rsidR="006F4E28" w:rsidRPr="00A05836" w:rsidRDefault="006F4E28" w:rsidP="006F4E28">
      <w:pPr>
        <w:pStyle w:val="ListParagraph"/>
        <w:numPr>
          <w:ilvl w:val="0"/>
          <w:numId w:val="30"/>
        </w:numPr>
        <w:spacing w:after="120"/>
        <w:jc w:val="both"/>
        <w:rPr>
          <w:rFonts w:ascii="Times New Roman" w:hAnsi="Times New Roman" w:cs="Times New Roman"/>
          <w:noProof/>
          <w:sz w:val="24"/>
          <w:szCs w:val="24"/>
        </w:rPr>
      </w:pPr>
      <w:r w:rsidRPr="00A05836">
        <w:rPr>
          <w:rFonts w:ascii="Times New Roman" w:hAnsi="Times New Roman"/>
          <w:noProof/>
          <w:sz w:val="24"/>
        </w:rPr>
        <w:t xml:space="preserve">deteriorarea continuă a peisajului securității, inclusiv în contextul continuării </w:t>
      </w:r>
      <w:r w:rsidRPr="00A05836">
        <w:rPr>
          <w:rFonts w:ascii="Times New Roman" w:hAnsi="Times New Roman"/>
          <w:b/>
          <w:noProof/>
          <w:sz w:val="24"/>
        </w:rPr>
        <w:t xml:space="preserve">războiului de agresiune al Rusiei împotriva Ucrainei </w:t>
      </w:r>
      <w:r w:rsidRPr="00A05836">
        <w:rPr>
          <w:rFonts w:ascii="Times New Roman" w:hAnsi="Times New Roman"/>
          <w:noProof/>
          <w:sz w:val="24"/>
        </w:rPr>
        <w:t>și al intensificării atacurilor hibride.</w:t>
      </w:r>
    </w:p>
    <w:p w14:paraId="2ADF7AF9" w14:textId="1A1D037D" w:rsidR="001658E1" w:rsidRPr="00A05836" w:rsidRDefault="001658E1" w:rsidP="001658E1">
      <w:pPr>
        <w:spacing w:after="120"/>
        <w:jc w:val="both"/>
        <w:rPr>
          <w:rFonts w:ascii="Times New Roman" w:hAnsi="Times New Roman" w:cs="Times New Roman"/>
          <w:noProof/>
          <w:sz w:val="24"/>
          <w:szCs w:val="24"/>
        </w:rPr>
      </w:pPr>
      <w:r w:rsidRPr="00A05836">
        <w:rPr>
          <w:rFonts w:ascii="Times New Roman" w:hAnsi="Times New Roman"/>
          <w:b/>
          <w:noProof/>
          <w:sz w:val="24"/>
        </w:rPr>
        <w:t xml:space="preserve">Strategia europeană pentru securitate economică </w:t>
      </w:r>
      <w:r w:rsidRPr="00A05836">
        <w:rPr>
          <w:rFonts w:ascii="Times New Roman" w:hAnsi="Times New Roman"/>
          <w:noProof/>
          <w:sz w:val="24"/>
        </w:rPr>
        <w:t>din 2023 a stabilit răspunsul inițial al UE la aceste provocări</w:t>
      </w:r>
      <w:r w:rsidRPr="00A05836">
        <w:rPr>
          <w:rStyle w:val="FootnoteReference"/>
          <w:rFonts w:ascii="Times New Roman" w:hAnsi="Times New Roman" w:cs="Times New Roman"/>
          <w:noProof/>
          <w:sz w:val="24"/>
          <w:szCs w:val="24"/>
        </w:rPr>
        <w:footnoteReference w:id="2"/>
      </w:r>
      <w:r w:rsidRPr="00A05836">
        <w:rPr>
          <w:noProof/>
        </w:rPr>
        <w:t>.</w:t>
      </w:r>
      <w:r w:rsidRPr="00A05836">
        <w:rPr>
          <w:rFonts w:ascii="Times New Roman" w:hAnsi="Times New Roman"/>
          <w:noProof/>
          <w:sz w:val="24"/>
        </w:rPr>
        <w:t xml:space="preserve"> Strategia a prezentat o serie de acțiuni – bazate pe evaluări ale riscurilor – pentru a consolida securitatea economică a UE prin </w:t>
      </w:r>
      <w:r w:rsidRPr="00A05836">
        <w:rPr>
          <w:rFonts w:ascii="Times New Roman" w:hAnsi="Times New Roman"/>
          <w:b/>
          <w:noProof/>
          <w:sz w:val="24"/>
          <w:u w:val="single"/>
        </w:rPr>
        <w:t>promovarea</w:t>
      </w:r>
      <w:r w:rsidRPr="00A05836">
        <w:rPr>
          <w:rFonts w:ascii="Times New Roman" w:hAnsi="Times New Roman"/>
          <w:noProof/>
          <w:sz w:val="24"/>
        </w:rPr>
        <w:t xml:space="preserve"> competitivității, </w:t>
      </w:r>
      <w:r w:rsidRPr="00A05836">
        <w:rPr>
          <w:rFonts w:ascii="Times New Roman" w:hAnsi="Times New Roman"/>
          <w:b/>
          <w:noProof/>
          <w:sz w:val="24"/>
          <w:u w:val="single"/>
        </w:rPr>
        <w:t>protecția</w:t>
      </w:r>
      <w:r w:rsidRPr="00A05836">
        <w:rPr>
          <w:rFonts w:ascii="Times New Roman" w:hAnsi="Times New Roman"/>
          <w:noProof/>
          <w:sz w:val="24"/>
        </w:rPr>
        <w:t xml:space="preserve"> împotriva riscurilor și </w:t>
      </w:r>
      <w:r w:rsidRPr="00A05836">
        <w:rPr>
          <w:rFonts w:ascii="Times New Roman" w:hAnsi="Times New Roman"/>
          <w:b/>
          <w:noProof/>
          <w:sz w:val="24"/>
          <w:u w:val="single"/>
        </w:rPr>
        <w:t>crearea de parteneriate</w:t>
      </w:r>
      <w:r w:rsidRPr="00A05836">
        <w:rPr>
          <w:rFonts w:ascii="Times New Roman" w:hAnsi="Times New Roman"/>
          <w:noProof/>
          <w:sz w:val="24"/>
        </w:rPr>
        <w:t xml:space="preserve"> cu cei care împărtășesc preocupările noastre. Acești trei piloni rămân în centrul abordării noastre în materie de securitate economică, iar Comisia, împreună cu statele membre, depune eforturi pentru a-i integra în toate considerentele și acțiunile de politică.</w:t>
      </w:r>
      <w:r w:rsidRPr="00A05836">
        <w:rPr>
          <w:noProof/>
        </w:rPr>
        <w:t xml:space="preserve"> </w:t>
      </w:r>
      <w:bookmarkStart w:id="4" w:name="_Hlk215507966"/>
      <w:r w:rsidRPr="00A05836">
        <w:rPr>
          <w:rFonts w:ascii="Times New Roman" w:hAnsi="Times New Roman"/>
          <w:noProof/>
          <w:sz w:val="24"/>
        </w:rPr>
        <w:t>În plus, securitatea economică este esențială pentru ca UE să mențină propriile valori, principii și bunăstarea cetățenilor săi, precum și pentru a ne consolida independența economică.</w:t>
      </w:r>
      <w:bookmarkEnd w:id="4"/>
    </w:p>
    <w:p w14:paraId="7E97641F" w14:textId="5ADF14FA" w:rsidR="00523E68" w:rsidRPr="00A05836" w:rsidRDefault="7D568031" w:rsidP="006F4E28">
      <w:pPr>
        <w:spacing w:after="120"/>
        <w:jc w:val="both"/>
        <w:rPr>
          <w:rFonts w:ascii="Times New Roman" w:hAnsi="Times New Roman" w:cs="Times New Roman"/>
          <w:noProof/>
          <w:sz w:val="24"/>
          <w:szCs w:val="24"/>
          <w:u w:val="single"/>
        </w:rPr>
      </w:pPr>
      <w:r w:rsidRPr="00A05836">
        <w:rPr>
          <w:rFonts w:ascii="Times New Roman" w:hAnsi="Times New Roman"/>
          <w:noProof/>
          <w:sz w:val="24"/>
        </w:rPr>
        <w:t xml:space="preserve">Totuși, de la adoptarea strategiei din 2023, necesitatea ca UE să acționeze cu mai multă îndrăzneală, rapiditate și unitate a devenit și mai puternică. Prezenta comunicare prezintă o utilizare mai strategică și mai asertivă a instrumentelor Uniunii – în completarea obiectivelor lor de politică inițiale – pentru a sprijini securitatea economică a Europei, care se referă la capacitatea Uniunii de a asigura securitatea, alături de alte obiective, printr-o economie puternică, dinamică și rezilientă, anticipând, descurajând și răspunzând la amenințările potențiale sau reale, legate de relațiile economice ale UE cu restul lumii. UE poate face acest lucru, în special prin asigurarea faptului că rămâne în avangardă în ceea ce privește tehnologiile, industriile și serviciile critice. Aceasta reflectă o </w:t>
      </w:r>
      <w:r w:rsidRPr="00A05836">
        <w:rPr>
          <w:rFonts w:ascii="Times New Roman" w:hAnsi="Times New Roman"/>
          <w:b/>
          <w:noProof/>
          <w:sz w:val="24"/>
        </w:rPr>
        <w:t>schimbare de paradigmă</w:t>
      </w:r>
      <w:r w:rsidRPr="00A05836">
        <w:rPr>
          <w:rFonts w:ascii="Times New Roman" w:hAnsi="Times New Roman"/>
          <w:noProof/>
          <w:sz w:val="24"/>
        </w:rPr>
        <w:t xml:space="preserve">, prin trecerea de la o poziție reactivă la o utilizare mai proactivă și mai sistematică a setului nostru de instrumente. </w:t>
      </w:r>
      <w:bookmarkStart w:id="5" w:name="_Hlk215506310"/>
      <w:r w:rsidRPr="00A05836">
        <w:rPr>
          <w:rFonts w:ascii="Times New Roman" w:hAnsi="Times New Roman"/>
          <w:noProof/>
          <w:sz w:val="24"/>
        </w:rPr>
        <w:t>Totodată, în anumite cazuri, UE, statele sale membre și industria vor trebui să fie din ce în ce mai pregătite să accepte costuri economice în favoarea reducerii vulnerabilităților și a consolidării securității generale.</w:t>
      </w:r>
      <w:bookmarkEnd w:id="5"/>
    </w:p>
    <w:p w14:paraId="3D799E5B" w14:textId="3CE90DDA" w:rsidR="0071665F" w:rsidRPr="00A05836" w:rsidRDefault="5A4C9F69" w:rsidP="006F4E28">
      <w:pPr>
        <w:spacing w:after="120"/>
        <w:jc w:val="both"/>
        <w:rPr>
          <w:rFonts w:ascii="Times New Roman" w:hAnsi="Times New Roman" w:cs="Times New Roman"/>
          <w:noProof/>
          <w:sz w:val="24"/>
          <w:szCs w:val="24"/>
        </w:rPr>
      </w:pPr>
      <w:r w:rsidRPr="00A05836">
        <w:rPr>
          <w:rFonts w:ascii="Times New Roman" w:hAnsi="Times New Roman"/>
          <w:noProof/>
          <w:sz w:val="24"/>
        </w:rPr>
        <w:t xml:space="preserve">Acest apel la acțiune include </w:t>
      </w:r>
      <w:r w:rsidRPr="00A05836">
        <w:rPr>
          <w:rFonts w:ascii="Times New Roman" w:hAnsi="Times New Roman"/>
          <w:b/>
          <w:noProof/>
          <w:sz w:val="24"/>
          <w:u w:val="single"/>
        </w:rPr>
        <w:t>îmbunătățirea</w:t>
      </w:r>
      <w:r w:rsidRPr="00A05836">
        <w:rPr>
          <w:rFonts w:ascii="Times New Roman" w:hAnsi="Times New Roman"/>
          <w:noProof/>
          <w:sz w:val="24"/>
        </w:rPr>
        <w:t xml:space="preserve"> colectării, monitorizării și analizării informațiilor, precum și a capacității de a anticipa amenințările emergente; </w:t>
      </w:r>
      <w:r w:rsidRPr="00A05836">
        <w:rPr>
          <w:rFonts w:ascii="Times New Roman" w:hAnsi="Times New Roman"/>
          <w:b/>
          <w:noProof/>
          <w:sz w:val="24"/>
          <w:u w:val="single"/>
        </w:rPr>
        <w:t>descurajarea</w:t>
      </w:r>
      <w:r w:rsidRPr="00A05836">
        <w:rPr>
          <w:rFonts w:ascii="Times New Roman" w:hAnsi="Times New Roman"/>
          <w:b/>
          <w:noProof/>
          <w:sz w:val="24"/>
        </w:rPr>
        <w:t xml:space="preserve"> </w:t>
      </w:r>
      <w:r w:rsidRPr="00A05836">
        <w:rPr>
          <w:rFonts w:ascii="Times New Roman" w:hAnsi="Times New Roman"/>
          <w:noProof/>
          <w:sz w:val="24"/>
        </w:rPr>
        <w:t xml:space="preserve">țărilor terțe să folosească dependențele Uniunii drept armă; </w:t>
      </w:r>
      <w:r w:rsidRPr="00A05836">
        <w:rPr>
          <w:rFonts w:ascii="Times New Roman" w:hAnsi="Times New Roman"/>
          <w:b/>
          <w:noProof/>
          <w:sz w:val="24"/>
          <w:u w:val="single"/>
        </w:rPr>
        <w:t>reducerea</w:t>
      </w:r>
      <w:r w:rsidRPr="00A05836">
        <w:rPr>
          <w:rFonts w:ascii="Times New Roman" w:hAnsi="Times New Roman"/>
          <w:noProof/>
          <w:sz w:val="24"/>
        </w:rPr>
        <w:t xml:space="preserve"> expunerii noastre față de țările terțe care ar putea folosi astfel de dependențe drept armă, precum și </w:t>
      </w:r>
      <w:r w:rsidRPr="00A05836">
        <w:rPr>
          <w:rFonts w:ascii="Times New Roman" w:hAnsi="Times New Roman"/>
          <w:b/>
          <w:noProof/>
          <w:sz w:val="24"/>
          <w:u w:val="single"/>
        </w:rPr>
        <w:t>prevenirea</w:t>
      </w:r>
      <w:r w:rsidRPr="00A05836">
        <w:rPr>
          <w:rFonts w:ascii="Times New Roman" w:hAnsi="Times New Roman"/>
          <w:noProof/>
          <w:sz w:val="24"/>
        </w:rPr>
        <w:t xml:space="preserve"> eforturilor de subminare a acțiunilor noastre de reducere a riscurilor. </w:t>
      </w:r>
    </w:p>
    <w:p w14:paraId="5477D633" w14:textId="50BD18BD" w:rsidR="008B7661" w:rsidRPr="00A05836" w:rsidRDefault="4203837A" w:rsidP="0009061B">
      <w:pPr>
        <w:spacing w:after="120"/>
        <w:jc w:val="both"/>
        <w:rPr>
          <w:rFonts w:ascii="Times New Roman" w:hAnsi="Times New Roman" w:cs="Times New Roman"/>
          <w:noProof/>
          <w:sz w:val="24"/>
          <w:szCs w:val="24"/>
        </w:rPr>
      </w:pPr>
      <w:r w:rsidRPr="00A05836">
        <w:rPr>
          <w:rFonts w:ascii="Times New Roman" w:hAnsi="Times New Roman"/>
          <w:noProof/>
          <w:sz w:val="24"/>
        </w:rPr>
        <w:t xml:space="preserve">Este important de remarcat faptul că acest apel la acțiune recunoaște, de asemenea, necesitatea de a </w:t>
      </w:r>
      <w:r w:rsidRPr="00A05836">
        <w:rPr>
          <w:rFonts w:ascii="Times New Roman" w:hAnsi="Times New Roman"/>
          <w:b/>
          <w:noProof/>
          <w:sz w:val="24"/>
        </w:rPr>
        <w:t>valorifica punctele forte ale UE</w:t>
      </w:r>
      <w:r w:rsidRPr="00A05836">
        <w:rPr>
          <w:rFonts w:ascii="Times New Roman" w:hAnsi="Times New Roman"/>
          <w:noProof/>
          <w:sz w:val="24"/>
        </w:rPr>
        <w:t xml:space="preserve"> în ceea ce privește, printre altele, ponderea inegalabilă a pieței unice a UE, capacitățile noastre tehnologice și industriale, precum și accesul la finanțarea și programele UE. Aceasta include identificarea oportunităților economice ale UE, precum și a domeniilor în care alții sunt dependenți de UE. Prin urmare, prezenta comunicare pledează pentru o </w:t>
      </w:r>
      <w:r w:rsidRPr="00A05836">
        <w:rPr>
          <w:rFonts w:ascii="Times New Roman" w:hAnsi="Times New Roman"/>
          <w:b/>
          <w:noProof/>
          <w:sz w:val="24"/>
        </w:rPr>
        <w:t>abordare integrată, la nivelul întregii administrații și al</w:t>
      </w:r>
      <w:r w:rsidRPr="00A05836">
        <w:rPr>
          <w:rFonts w:ascii="Times New Roman" w:hAnsi="Times New Roman"/>
          <w:noProof/>
          <w:sz w:val="24"/>
        </w:rPr>
        <w:t xml:space="preserve"> </w:t>
      </w:r>
      <w:r w:rsidRPr="00A05836">
        <w:rPr>
          <w:rFonts w:ascii="Times New Roman" w:hAnsi="Times New Roman"/>
          <w:b/>
          <w:noProof/>
          <w:sz w:val="24"/>
        </w:rPr>
        <w:t xml:space="preserve">întreprinderilor, pentru o guvernanță îmbunătățită, </w:t>
      </w:r>
      <w:r w:rsidRPr="00A05836">
        <w:rPr>
          <w:rFonts w:ascii="Times New Roman" w:hAnsi="Times New Roman"/>
          <w:noProof/>
          <w:sz w:val="24"/>
        </w:rPr>
        <w:t xml:space="preserve">precum și pentru o </w:t>
      </w:r>
      <w:r w:rsidRPr="00A05836">
        <w:rPr>
          <w:rFonts w:ascii="Times New Roman" w:hAnsi="Times New Roman"/>
          <w:b/>
          <w:noProof/>
          <w:sz w:val="24"/>
        </w:rPr>
        <w:t>cooperare și mai strânsă cu parteneri care împărtășesc aceeași viziune și, după caz, pentru acțiuni comune.</w:t>
      </w:r>
      <w:r w:rsidRPr="00A05836">
        <w:rPr>
          <w:rFonts w:ascii="Times New Roman" w:hAnsi="Times New Roman"/>
          <w:noProof/>
          <w:sz w:val="24"/>
        </w:rPr>
        <w:t xml:space="preserve"> Prezenta comunicare completează strategia cuprinzătoare europeană privind o Uniune a pregătirii pentru situații de criză. Securitatea economică a UE este susținută de cea a statelor sale membre. De asemenea, aceasta este intrinsec legată de relațiile sale mai ample cu lumea și, prin urmare, de politica externă și de securitate comună, care va fi utilizată într-un mod mai sistematic pentru a sprijini obiectivele declarate.</w:t>
      </w:r>
    </w:p>
    <w:p w14:paraId="37D3EA4F" w14:textId="4E19AE5F" w:rsidR="00F67DC6" w:rsidRPr="00A05836" w:rsidRDefault="008B7661" w:rsidP="0009061B">
      <w:pPr>
        <w:spacing w:after="120"/>
        <w:jc w:val="both"/>
        <w:rPr>
          <w:rFonts w:ascii="Times New Roman" w:hAnsi="Times New Roman" w:cs="Times New Roman"/>
          <w:noProof/>
          <w:sz w:val="24"/>
          <w:szCs w:val="24"/>
        </w:rPr>
      </w:pPr>
      <w:r w:rsidRPr="00A05836">
        <w:rPr>
          <w:rFonts w:ascii="Times New Roman" w:hAnsi="Times New Roman"/>
          <w:noProof/>
          <w:sz w:val="24"/>
        </w:rPr>
        <w:t>Pe această bază, ancorată într-o analiză bazată pe riscuri, prezenta comunicare se axează pe șase domenii cu grad ridicat de risc prezentate în secțiunea 3, aplică instrumentele de care dispunem și prezintă modul în care acestea pot fi îmbunătățite în continuare.</w:t>
      </w:r>
    </w:p>
    <w:p w14:paraId="6B7D5C21" w14:textId="374DC0CF" w:rsidR="001658E1" w:rsidRPr="00A05836" w:rsidRDefault="55AC6086" w:rsidP="00FC3577">
      <w:pPr>
        <w:spacing w:after="120"/>
        <w:jc w:val="both"/>
        <w:rPr>
          <w:rFonts w:ascii="Times New Roman" w:hAnsi="Times New Roman" w:cs="Times New Roman"/>
          <w:b/>
          <w:bCs/>
          <w:i/>
          <w:iCs/>
          <w:noProof/>
          <w:sz w:val="24"/>
          <w:szCs w:val="24"/>
          <w:u w:val="single"/>
        </w:rPr>
      </w:pPr>
      <w:r w:rsidRPr="00A05836">
        <w:rPr>
          <w:rFonts w:ascii="Times New Roman" w:hAnsi="Times New Roman"/>
          <w:b/>
          <w:i/>
          <w:noProof/>
          <w:sz w:val="24"/>
          <w:u w:val="single"/>
        </w:rPr>
        <w:t xml:space="preserve">2. O abordare proactivă a securității economice </w:t>
      </w:r>
    </w:p>
    <w:bookmarkEnd w:id="1"/>
    <w:p w14:paraId="620DCD9F" w14:textId="5111EF21" w:rsidR="00856314" w:rsidRPr="00A05836" w:rsidRDefault="00181797" w:rsidP="00472805">
      <w:pPr>
        <w:spacing w:after="120"/>
        <w:jc w:val="both"/>
        <w:rPr>
          <w:rFonts w:ascii="Times New Roman" w:hAnsi="Times New Roman" w:cs="Times New Roman"/>
          <w:noProof/>
          <w:sz w:val="24"/>
          <w:szCs w:val="24"/>
        </w:rPr>
      </w:pPr>
      <w:r w:rsidRPr="00A05836">
        <w:rPr>
          <w:rFonts w:ascii="Times New Roman" w:hAnsi="Times New Roman"/>
          <w:noProof/>
          <w:sz w:val="24"/>
        </w:rPr>
        <w:t>UE dispune de o gamă largă de instrumente care contribuie la securitatea sa economică. În prezent, UE trebuie să le utilizeze</w:t>
      </w:r>
      <w:r w:rsidRPr="00A05836">
        <w:rPr>
          <w:rFonts w:ascii="Times New Roman" w:hAnsi="Times New Roman"/>
          <w:b/>
          <w:noProof/>
          <w:sz w:val="24"/>
        </w:rPr>
        <w:t xml:space="preserve"> într-un mod mai strategic, mai eficient și mai proactiv </w:t>
      </w:r>
      <w:r w:rsidRPr="00A05836">
        <w:rPr>
          <w:rFonts w:ascii="Times New Roman" w:hAnsi="Times New Roman"/>
          <w:noProof/>
          <w:sz w:val="24"/>
        </w:rPr>
        <w:t xml:space="preserve">pentru a-și consolida securitatea economică. Deși majoritatea acestor instrumente nu au fost dezvoltate inițial ținând seama de securitatea economică, ele sunt totuși extrem de relevante pentru promovarea obiectivelor de securitate economică ale Uniunii. </w:t>
      </w:r>
    </w:p>
    <w:p w14:paraId="2325B406" w14:textId="649C3F3D" w:rsidR="00856314" w:rsidRPr="00A05836" w:rsidRDefault="00472805" w:rsidP="00472805">
      <w:pPr>
        <w:spacing w:after="120"/>
        <w:jc w:val="both"/>
        <w:rPr>
          <w:rFonts w:ascii="Times New Roman" w:hAnsi="Times New Roman" w:cs="Times New Roman"/>
          <w:noProof/>
          <w:sz w:val="24"/>
          <w:szCs w:val="24"/>
        </w:rPr>
      </w:pPr>
      <w:r w:rsidRPr="00A05836">
        <w:rPr>
          <w:rFonts w:ascii="Times New Roman" w:hAnsi="Times New Roman"/>
          <w:noProof/>
          <w:sz w:val="24"/>
        </w:rPr>
        <w:t xml:space="preserve">O listă neexhaustivă a principalelor instrumente este prezentată în </w:t>
      </w:r>
      <w:r w:rsidRPr="00A05836">
        <w:rPr>
          <w:rFonts w:ascii="Times New Roman" w:hAnsi="Times New Roman"/>
          <w:i/>
          <w:noProof/>
          <w:sz w:val="24"/>
        </w:rPr>
        <w:t>figura 1</w:t>
      </w:r>
      <w:r w:rsidRPr="00A05836">
        <w:rPr>
          <w:rFonts w:ascii="Times New Roman" w:hAnsi="Times New Roman"/>
          <w:noProof/>
          <w:sz w:val="24"/>
        </w:rPr>
        <w:t xml:space="preserve">, iar aplicarea coordonată a acestora este descrisă în continuare în </w:t>
      </w:r>
      <w:r w:rsidRPr="00A05836">
        <w:rPr>
          <w:rFonts w:ascii="Times New Roman" w:hAnsi="Times New Roman"/>
          <w:i/>
          <w:noProof/>
          <w:sz w:val="24"/>
        </w:rPr>
        <w:t>secțiunea 3</w:t>
      </w:r>
      <w:r w:rsidRPr="00A05836">
        <w:rPr>
          <w:rFonts w:ascii="Times New Roman" w:hAnsi="Times New Roman"/>
          <w:noProof/>
          <w:sz w:val="24"/>
        </w:rPr>
        <w:t>.</w:t>
      </w:r>
    </w:p>
    <w:p w14:paraId="5AD605BE" w14:textId="77777777" w:rsidR="00713CBD" w:rsidRPr="00A05836" w:rsidRDefault="00713CBD">
      <w:pPr>
        <w:rPr>
          <w:rFonts w:ascii="Times New Roman" w:hAnsi="Times New Roman" w:cs="Times New Roman"/>
          <w:i/>
          <w:iCs/>
          <w:noProof/>
          <w:color w:val="1F497D" w:themeColor="text2"/>
          <w:sz w:val="20"/>
          <w:szCs w:val="20"/>
        </w:rPr>
      </w:pPr>
      <w:r w:rsidRPr="00A05836">
        <w:rPr>
          <w:noProof/>
        </w:rPr>
        <w:br w:type="page"/>
      </w:r>
    </w:p>
    <w:p w14:paraId="5D639BDF" w14:textId="10A31129" w:rsidR="00856314" w:rsidRPr="00A05836" w:rsidRDefault="00856314" w:rsidP="00D33B1D">
      <w:pPr>
        <w:pStyle w:val="Caption"/>
        <w:spacing w:after="120" w:line="276" w:lineRule="auto"/>
        <w:jc w:val="center"/>
        <w:rPr>
          <w:rFonts w:ascii="Times New Roman" w:hAnsi="Times New Roman" w:cs="Times New Roman"/>
          <w:noProof/>
          <w:sz w:val="20"/>
          <w:szCs w:val="20"/>
        </w:rPr>
      </w:pPr>
      <w:r w:rsidRPr="00A05836">
        <w:rPr>
          <w:rFonts w:ascii="Times New Roman" w:hAnsi="Times New Roman"/>
          <w:noProof/>
          <w:sz w:val="20"/>
        </w:rPr>
        <w:t>Figura </w:t>
      </w:r>
      <w:r w:rsidRPr="00A05836">
        <w:rPr>
          <w:rFonts w:ascii="Times New Roman" w:hAnsi="Times New Roman" w:cs="Times New Roman"/>
          <w:noProof/>
          <w:sz w:val="20"/>
        </w:rPr>
        <w:fldChar w:fldCharType="begin"/>
      </w:r>
      <w:r w:rsidRPr="00A05836">
        <w:rPr>
          <w:rFonts w:ascii="Times New Roman" w:hAnsi="Times New Roman" w:cs="Times New Roman"/>
          <w:noProof/>
          <w:sz w:val="20"/>
        </w:rPr>
        <w:instrText xml:space="preserve"> SEQ Figure \* ARABIC </w:instrText>
      </w:r>
      <w:r w:rsidRPr="00A05836">
        <w:rPr>
          <w:rFonts w:ascii="Times New Roman" w:hAnsi="Times New Roman" w:cs="Times New Roman"/>
          <w:noProof/>
          <w:sz w:val="20"/>
        </w:rPr>
        <w:fldChar w:fldCharType="separate"/>
      </w:r>
      <w:r w:rsidRPr="00A05836">
        <w:rPr>
          <w:rFonts w:ascii="Times New Roman" w:hAnsi="Times New Roman" w:cs="Times New Roman"/>
          <w:noProof/>
          <w:sz w:val="20"/>
        </w:rPr>
        <w:t>1</w:t>
      </w:r>
      <w:r w:rsidRPr="00A05836">
        <w:rPr>
          <w:rFonts w:ascii="Times New Roman" w:hAnsi="Times New Roman" w:cs="Times New Roman"/>
          <w:noProof/>
          <w:sz w:val="20"/>
        </w:rPr>
        <w:fldChar w:fldCharType="end"/>
      </w:r>
      <w:r w:rsidRPr="00A05836">
        <w:rPr>
          <w:rFonts w:ascii="Times New Roman" w:hAnsi="Times New Roman"/>
          <w:noProof/>
          <w:sz w:val="20"/>
        </w:rPr>
        <w:t>: Lista instrumentelor care sprijină securitatea economică, listă neexhaustivă</w:t>
      </w:r>
    </w:p>
    <w:p w14:paraId="7703F5A6" w14:textId="1CCA0464" w:rsidR="08EB46D4" w:rsidRPr="00A05836" w:rsidRDefault="002335B7" w:rsidP="0ED54427">
      <w:pPr>
        <w:spacing w:after="120"/>
        <w:jc w:val="both"/>
        <w:rPr>
          <w:noProof/>
        </w:rPr>
      </w:pPr>
      <w:r w:rsidRPr="00A05836">
        <w:rPr>
          <w:noProof/>
          <w:sz w:val="24"/>
          <w:lang w:val="en-GB" w:eastAsia="en-GB"/>
        </w:rPr>
        <w:drawing>
          <wp:inline distT="0" distB="0" distL="0" distR="0" wp14:anchorId="0D1720CF" wp14:editId="78C19650">
            <wp:extent cx="6508750" cy="3670300"/>
            <wp:effectExtent l="19050" t="19050" r="25400" b="44450"/>
            <wp:docPr id="765078079" name="Diagram 1">
              <a:extLst xmlns:a="http://schemas.openxmlformats.org/drawingml/2006/main">
                <a:ext uri="{FF2B5EF4-FFF2-40B4-BE49-F238E27FC236}">
                  <a16:creationId xmlns:a16="http://schemas.microsoft.com/office/drawing/2014/main" id="{76C2AD69-210F-80F3-1419-33764F6580D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225FCBE" w14:textId="151244D3" w:rsidR="00ED68CA" w:rsidRPr="00A05836" w:rsidRDefault="0010348D" w:rsidP="00ED68CA">
      <w:pPr>
        <w:spacing w:after="120"/>
        <w:jc w:val="both"/>
        <w:rPr>
          <w:rFonts w:ascii="Times New Roman" w:hAnsi="Times New Roman" w:cs="Times New Roman"/>
          <w:noProof/>
          <w:sz w:val="24"/>
          <w:szCs w:val="24"/>
        </w:rPr>
      </w:pPr>
      <w:r w:rsidRPr="00A05836">
        <w:rPr>
          <w:rFonts w:ascii="Times New Roman" w:hAnsi="Times New Roman"/>
          <w:noProof/>
          <w:sz w:val="24"/>
        </w:rPr>
        <w:t>Pentru a promova securitatea economică a UE, Comisia va utiliza aceste instrumente, în coordonare cu statele membre, după cum urmează:</w:t>
      </w:r>
    </w:p>
    <w:p w14:paraId="763F7F84" w14:textId="3BC9931A" w:rsidR="00197254" w:rsidRPr="00A05836" w:rsidRDefault="00ED68CA" w:rsidP="006C4785">
      <w:pPr>
        <w:pStyle w:val="ListParagraph"/>
        <w:numPr>
          <w:ilvl w:val="0"/>
          <w:numId w:val="44"/>
        </w:numPr>
        <w:spacing w:after="120"/>
        <w:jc w:val="both"/>
        <w:rPr>
          <w:rFonts w:ascii="Times New Roman" w:hAnsi="Times New Roman" w:cs="Times New Roman"/>
          <w:noProof/>
          <w:sz w:val="24"/>
          <w:szCs w:val="24"/>
        </w:rPr>
      </w:pPr>
      <w:r w:rsidRPr="00A05836">
        <w:rPr>
          <w:rFonts w:ascii="Times New Roman" w:hAnsi="Times New Roman"/>
          <w:b/>
          <w:noProof/>
          <w:sz w:val="24"/>
        </w:rPr>
        <w:t xml:space="preserve">Instrumentele referitoare la comerț și concurență </w:t>
      </w:r>
      <w:r w:rsidRPr="00A05836">
        <w:rPr>
          <w:rFonts w:ascii="Times New Roman" w:hAnsi="Times New Roman"/>
          <w:noProof/>
          <w:sz w:val="24"/>
        </w:rPr>
        <w:t xml:space="preserve">vor fi utilizate pentru a reduce treptat expunerea UE la riscuri și pentru a preveni subminarea obiectivelor UE de reducere a riscurilor. Aceasta include extinderea oportunităților de diversificare și, prin urmare, a securității noastre mai extinse în temeiul acordurilor comerciale ale UE, utilizarea strategică a setului de instrumente vamale și abordarea denaturărilor cauzate de subvențiile străine, atât în cadrul pieței unice, cât și prin subvenții sau importuri care fac obiectul unui dumping. </w:t>
      </w:r>
    </w:p>
    <w:p w14:paraId="47A93637" w14:textId="25FC981F" w:rsidR="00E60473" w:rsidRPr="00A05836" w:rsidRDefault="00ED68CA" w:rsidP="006C4785">
      <w:pPr>
        <w:pStyle w:val="ListParagraph"/>
        <w:numPr>
          <w:ilvl w:val="0"/>
          <w:numId w:val="44"/>
        </w:numPr>
        <w:spacing w:after="120"/>
        <w:jc w:val="both"/>
        <w:rPr>
          <w:rFonts w:ascii="Times New Roman" w:hAnsi="Times New Roman" w:cs="Times New Roman"/>
          <w:noProof/>
          <w:sz w:val="24"/>
          <w:szCs w:val="24"/>
        </w:rPr>
      </w:pPr>
      <w:r w:rsidRPr="00A05836">
        <w:rPr>
          <w:rFonts w:ascii="Times New Roman" w:hAnsi="Times New Roman"/>
          <w:b/>
          <w:noProof/>
          <w:sz w:val="24"/>
        </w:rPr>
        <w:t xml:space="preserve">Instrumentele referitoare la reziliență și securitate cibernetică </w:t>
      </w:r>
      <w:r w:rsidRPr="00A05836">
        <w:rPr>
          <w:rFonts w:ascii="Times New Roman" w:hAnsi="Times New Roman"/>
          <w:noProof/>
          <w:sz w:val="24"/>
        </w:rPr>
        <w:t>se vor concentra asupra pregătirii pentru situații de urgență și a gestionării acestora, precum și asupra reducerii expunerii la amenințări externe, cum ar fi amenințările cibernetice.</w:t>
      </w:r>
    </w:p>
    <w:p w14:paraId="690DEBE9" w14:textId="5C576E82" w:rsidR="00E60473" w:rsidRPr="00A05836" w:rsidRDefault="00ED68CA" w:rsidP="006C4785">
      <w:pPr>
        <w:pStyle w:val="ListParagraph"/>
        <w:numPr>
          <w:ilvl w:val="0"/>
          <w:numId w:val="44"/>
        </w:numPr>
        <w:spacing w:after="120"/>
        <w:jc w:val="both"/>
        <w:rPr>
          <w:rFonts w:ascii="Times New Roman" w:hAnsi="Times New Roman" w:cs="Times New Roman"/>
          <w:noProof/>
          <w:sz w:val="24"/>
          <w:szCs w:val="24"/>
        </w:rPr>
      </w:pPr>
      <w:r w:rsidRPr="00A05836">
        <w:rPr>
          <w:rFonts w:ascii="Times New Roman" w:hAnsi="Times New Roman"/>
          <w:b/>
          <w:noProof/>
          <w:sz w:val="24"/>
        </w:rPr>
        <w:t>Instrumentele referitoare la securitate și ordine publică</w:t>
      </w:r>
      <w:r w:rsidRPr="00A05836">
        <w:rPr>
          <w:rFonts w:ascii="Times New Roman" w:hAnsi="Times New Roman"/>
          <w:noProof/>
          <w:sz w:val="24"/>
        </w:rPr>
        <w:t xml:space="preserve"> vor fi utilizate pentru a reduce expunerea excesivă a UE la riscuri, printre altele, pentru a asigura funcționarea normală a societății, sprijinind în același timp acțiunile menite să dezvolte poziția UE în domeniul tehnologiilor și industriilor critice și prevenind subminarea obiectivelor sale de reducere a riscurilor.</w:t>
      </w:r>
    </w:p>
    <w:p w14:paraId="528E824F" w14:textId="5CBF2502" w:rsidR="00E60473" w:rsidRPr="00A05836" w:rsidRDefault="00ED68CA" w:rsidP="006C4785">
      <w:pPr>
        <w:pStyle w:val="ListParagraph"/>
        <w:numPr>
          <w:ilvl w:val="0"/>
          <w:numId w:val="44"/>
        </w:numPr>
        <w:spacing w:after="120"/>
        <w:jc w:val="both"/>
        <w:rPr>
          <w:rFonts w:ascii="Times New Roman" w:hAnsi="Times New Roman" w:cs="Times New Roman"/>
          <w:noProof/>
          <w:sz w:val="24"/>
          <w:szCs w:val="24"/>
        </w:rPr>
      </w:pPr>
      <w:r w:rsidRPr="00A05836">
        <w:rPr>
          <w:rFonts w:ascii="Times New Roman" w:hAnsi="Times New Roman"/>
          <w:b/>
          <w:noProof/>
          <w:sz w:val="24"/>
        </w:rPr>
        <w:t>Măsurile de contracarare a acțiunilor coercitive și măsurile restrictive</w:t>
      </w:r>
      <w:r w:rsidRPr="00A05836">
        <w:rPr>
          <w:rFonts w:ascii="Times New Roman" w:hAnsi="Times New Roman"/>
          <w:noProof/>
          <w:sz w:val="24"/>
        </w:rPr>
        <w:t xml:space="preserve"> vor viza descurajarea și abordarea situațiilor în care țările terțe încearcă să constrângă UE, precum și protejarea întreprinderilor din UE împotriva măsurilor extrateritoriale impuse de țări terțe și, după caz, declanșarea unei schimbări de comportament a țării în cauză.</w:t>
      </w:r>
    </w:p>
    <w:p w14:paraId="7B45168B" w14:textId="798D0201" w:rsidR="00E60473" w:rsidRPr="00A05836" w:rsidRDefault="0174B3A8" w:rsidP="006C4785">
      <w:pPr>
        <w:pStyle w:val="ListParagraph"/>
        <w:numPr>
          <w:ilvl w:val="0"/>
          <w:numId w:val="44"/>
        </w:numPr>
        <w:spacing w:after="120"/>
        <w:jc w:val="both"/>
        <w:rPr>
          <w:rFonts w:ascii="Times New Roman" w:hAnsi="Times New Roman" w:cs="Times New Roman"/>
          <w:noProof/>
          <w:sz w:val="24"/>
          <w:szCs w:val="24"/>
        </w:rPr>
      </w:pPr>
      <w:r w:rsidRPr="00A05836">
        <w:rPr>
          <w:rFonts w:ascii="Times New Roman" w:hAnsi="Times New Roman"/>
          <w:b/>
          <w:noProof/>
          <w:sz w:val="24"/>
        </w:rPr>
        <w:t>Finanțarea și restricțiile</w:t>
      </w:r>
      <w:r w:rsidRPr="00A05836">
        <w:rPr>
          <w:rFonts w:ascii="Times New Roman" w:hAnsi="Times New Roman"/>
          <w:noProof/>
          <w:sz w:val="24"/>
        </w:rPr>
        <w:t xml:space="preserve"> prin intermediul instrumentelor UE, cum ar fi IVCDCI (Global Gateway), Orizont Europa, NextGenerationEU, InvestEU, programul Europa digitală, Mecanismul pentru interconectarea Europei, Instrumentele de asistență pentru preaderare (IPA), planurile de creștere pentru Balcanii de Vest și Moldova, precum și Mecanismul pentru Ucraina, EU4Health și viitorul Fond european pentru competitivitate ar trebui să consolideze securitatea economică a UE sau, cel puțin, să nu o slăbească, în concordanță cu normele programelor. </w:t>
      </w:r>
    </w:p>
    <w:p w14:paraId="45CB00A2" w14:textId="5A23E94B" w:rsidR="00ED68CA" w:rsidRPr="00A05836" w:rsidRDefault="00ED68CA" w:rsidP="006C4785">
      <w:pPr>
        <w:pStyle w:val="ListParagraph"/>
        <w:numPr>
          <w:ilvl w:val="0"/>
          <w:numId w:val="44"/>
        </w:numPr>
        <w:spacing w:after="120"/>
        <w:jc w:val="both"/>
        <w:rPr>
          <w:rFonts w:ascii="Times New Roman" w:hAnsi="Times New Roman" w:cs="Times New Roman"/>
          <w:noProof/>
          <w:sz w:val="24"/>
          <w:szCs w:val="24"/>
        </w:rPr>
      </w:pPr>
      <w:r w:rsidRPr="00A05836">
        <w:rPr>
          <w:rFonts w:ascii="Times New Roman" w:hAnsi="Times New Roman"/>
          <w:b/>
          <w:noProof/>
          <w:sz w:val="24"/>
        </w:rPr>
        <w:t>Inițiativele sectoriale</w:t>
      </w:r>
      <w:r w:rsidRPr="00A05836">
        <w:rPr>
          <w:rFonts w:ascii="Times New Roman" w:hAnsi="Times New Roman"/>
          <w:noProof/>
          <w:sz w:val="24"/>
        </w:rPr>
        <w:t xml:space="preserve"> vor fi utilizate pentru a consolida capacitatea și capabilitățile strategice proprii ale UE în domeniile cu risc ridicat identificate în procesul de evaluare a riscurilor.</w:t>
      </w:r>
    </w:p>
    <w:p w14:paraId="7B13044C" w14:textId="03FCD80B" w:rsidR="000A31B0" w:rsidRPr="00A05836" w:rsidRDefault="007B3A23" w:rsidP="009A00B3">
      <w:pPr>
        <w:spacing w:after="120"/>
        <w:jc w:val="both"/>
        <w:rPr>
          <w:rFonts w:ascii="Times New Roman" w:hAnsi="Times New Roman" w:cs="Times New Roman"/>
          <w:noProof/>
          <w:sz w:val="24"/>
          <w:szCs w:val="24"/>
        </w:rPr>
      </w:pPr>
      <w:r w:rsidRPr="00A05836">
        <w:rPr>
          <w:rFonts w:ascii="Times New Roman" w:hAnsi="Times New Roman"/>
          <w:noProof/>
          <w:sz w:val="24"/>
        </w:rPr>
        <w:t xml:space="preserve">Cooperarea și coordonarea strânsă cu țările care acordă o importanță similară securității economice și unei ordini mondiale bazate pe norme sunt mai importante ca niciodată. UE va depune eforturi pentru a consolida </w:t>
      </w:r>
      <w:r w:rsidRPr="00A05836">
        <w:rPr>
          <w:rFonts w:ascii="Times New Roman" w:hAnsi="Times New Roman"/>
          <w:b/>
          <w:noProof/>
          <w:sz w:val="24"/>
        </w:rPr>
        <w:t>cooperarea internațională în materie de securitate economică</w:t>
      </w:r>
      <w:r w:rsidRPr="00A05836">
        <w:rPr>
          <w:rFonts w:ascii="Times New Roman" w:hAnsi="Times New Roman"/>
          <w:noProof/>
          <w:sz w:val="24"/>
        </w:rPr>
        <w:t xml:space="preserve">, în special cu </w:t>
      </w:r>
      <w:r w:rsidRPr="00A05836">
        <w:rPr>
          <w:rFonts w:ascii="Times New Roman" w:hAnsi="Times New Roman"/>
          <w:b/>
          <w:noProof/>
          <w:sz w:val="24"/>
        </w:rPr>
        <w:t>partenerii de încredere</w:t>
      </w:r>
      <w:r w:rsidRPr="00A05836">
        <w:rPr>
          <w:rFonts w:ascii="Times New Roman" w:hAnsi="Times New Roman"/>
          <w:noProof/>
          <w:sz w:val="24"/>
        </w:rPr>
        <w:t xml:space="preserve">, inclusiv prin </w:t>
      </w:r>
      <w:r w:rsidRPr="00A05836">
        <w:rPr>
          <w:rFonts w:ascii="Times New Roman" w:hAnsi="Times New Roman"/>
          <w:b/>
          <w:noProof/>
          <w:sz w:val="24"/>
        </w:rPr>
        <w:t xml:space="preserve">dialoguri specifice privind securitatea economică desfășurate atât la nivel bilateral, cât și în contexte plurilaterale. </w:t>
      </w:r>
      <w:r w:rsidRPr="00A05836">
        <w:rPr>
          <w:rFonts w:ascii="Times New Roman" w:hAnsi="Times New Roman"/>
          <w:noProof/>
          <w:sz w:val="24"/>
        </w:rPr>
        <w:t xml:space="preserve">O astfel de cooperare va sprijini acțiunile comune privind interesele sau preocupările comune în materie de securitate economică. De asemenea, aceasta va îmbunătăți înțelegerea colectivă a riscurilor, va contribui la anticiparea amenințărilor, va permite conceperea unor măsuri de atenuare care </w:t>
      </w:r>
      <w:r w:rsidRPr="00A05836">
        <w:rPr>
          <w:rFonts w:ascii="Times New Roman" w:hAnsi="Times New Roman"/>
          <w:b/>
          <w:noProof/>
          <w:sz w:val="24"/>
        </w:rPr>
        <w:t>să reducă la minimum externalitățile negative</w:t>
      </w:r>
      <w:r w:rsidRPr="00A05836">
        <w:rPr>
          <w:rFonts w:ascii="Times New Roman" w:hAnsi="Times New Roman"/>
          <w:noProof/>
          <w:sz w:val="24"/>
        </w:rPr>
        <w:t xml:space="preserve"> și va contribui la construirea și menținerea unor lanțuri de aprovizionare fiabile și reziliente în sectoare strategice esențiale, precum și la evitarea efectelor negative asupra partenerilor noștri internaționali care împărtășesc aceeași viziune.</w:t>
      </w:r>
    </w:p>
    <w:p w14:paraId="53FFB540" w14:textId="6438C9E2" w:rsidR="00B077F8" w:rsidRPr="00A05836" w:rsidRDefault="00207131" w:rsidP="009A00B3">
      <w:pPr>
        <w:spacing w:after="120"/>
        <w:jc w:val="both"/>
        <w:rPr>
          <w:rFonts w:ascii="Times New Roman" w:hAnsi="Times New Roman" w:cs="Times New Roman"/>
          <w:noProof/>
          <w:sz w:val="24"/>
          <w:szCs w:val="24"/>
        </w:rPr>
      </w:pPr>
      <w:r w:rsidRPr="00A05836">
        <w:rPr>
          <w:rFonts w:ascii="Times New Roman" w:hAnsi="Times New Roman"/>
          <w:noProof/>
          <w:sz w:val="24"/>
          <w:lang w:val="en-GB" w:eastAsia="en-GB"/>
        </w:rPr>
        <mc:AlternateContent>
          <mc:Choice Requires="wps">
            <w:drawing>
              <wp:anchor distT="45720" distB="45720" distL="114300" distR="114300" simplePos="0" relativeHeight="251658245" behindDoc="0" locked="0" layoutInCell="1" allowOverlap="1" wp14:anchorId="2E736216" wp14:editId="0261AC48">
                <wp:simplePos x="0" y="0"/>
                <wp:positionH relativeFrom="column">
                  <wp:posOffset>2607945</wp:posOffset>
                </wp:positionH>
                <wp:positionV relativeFrom="paragraph">
                  <wp:posOffset>5715</wp:posOffset>
                </wp:positionV>
                <wp:extent cx="3147060" cy="3501390"/>
                <wp:effectExtent l="0" t="0" r="15240" b="22860"/>
                <wp:wrapSquare wrapText="bothSides"/>
                <wp:docPr id="359871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3501390"/>
                        </a:xfrm>
                        <a:prstGeom prst="rect">
                          <a:avLst/>
                        </a:prstGeom>
                        <a:solidFill>
                          <a:srgbClr val="FFFFFF"/>
                        </a:solidFill>
                        <a:ln w="9525">
                          <a:solidFill>
                            <a:srgbClr val="000000"/>
                          </a:solidFill>
                          <a:miter lim="800000"/>
                          <a:headEnd/>
                          <a:tailEnd/>
                        </a:ln>
                      </wps:spPr>
                      <wps:txb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Implementarea standardelor de securitate economică</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Pe baza activităților desfășurate în cadrul G7 cu privire la comerțul bazat pe standarde, Comisia va încuraja dezvoltarea și utilizarea standardelor de securitate economică. Standardele:</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vor fi axate pe acțiuni de diversificare a lanțurilor de aprovizionare critice prin crearea condițiilor pentru intrarea pe piață a unor noi furnizori sau prin limitarea accesului furnizorilor dominanți;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vor fi ghidate de principiile transparenței, interoperabilității și respectării normelor internaționale;</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vor fi specifice și adaptate, ținând seama de riscurile specifice, de impactul economic și de realitățile comerciale ale fiecărui lanț de aprovizionare.</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Această activitate se va axa în mod prioritar pe materiile prime critice și pe lanțurile de aprovizionare cu semiconductori, analizând în același timp continuarea colaborării în alte domenii. </w:t>
                            </w:r>
                          </w:p>
                          <w:p w14:paraId="0C2CC7FA" w14:textId="77777777" w:rsidR="00207131" w:rsidRDefault="00207131" w:rsidP="002071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36216" id="_x0000_t202" coordsize="21600,21600" o:spt="202" path="m,l,21600r21600,l21600,xe">
                <v:stroke joinstyle="miter"/>
                <v:path gradientshapeok="t" o:connecttype="rect"/>
              </v:shapetype>
              <v:shape id="Text Box 2" o:spid="_x0000_s1026" type="#_x0000_t202" style="position:absolute;left:0;text-align:left;margin-left:205.35pt;margin-top:.45pt;width:247.8pt;height:275.7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">
                <v:textbo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Implementarea standardelor de securitate economică</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Pe baza activităților desfășurate în cadrul G7 cu privire la comerțul bazat pe standarde, Comisia va încuraja dezvoltarea și utilizarea standardelor de securitate economică. Standardele:</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vor fi axate pe acțiuni de diversificare a lanțurilor de aprovizionare critice prin crearea condițiilor pentru intrarea pe piață a unor noi furnizori sau prin limitarea accesului furnizorilor dominanți;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vor fi ghidate de principiile transparenței, interoperabilității și respectării normelor internaționale;</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vor fi specifice și adaptate, ținând seama de riscurile specifice, de impactul economic și de realitățile comerciale ale fiecărui lanț de aprovizionare.</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Această activitate se va axa în mod prioritar pe materiile prime critice și pe lanțurile de aprovizionare cu semiconductori, analizând în același timp continuarea colaborării în alte domenii. </w:t>
                      </w:r>
                    </w:p>
                    <w:p w14:paraId="0C2CC7FA" w14:textId="77777777" w:rsidR="00207131" w:rsidRDefault="00207131" w:rsidP="00207131"/>
                  </w:txbxContent>
                </v:textbox>
                <w10:wrap type="square"/>
              </v:shape>
            </w:pict>
          </mc:Fallback>
        </mc:AlternateContent>
      </w:r>
      <w:r w:rsidRPr="00A05836">
        <w:rPr>
          <w:rFonts w:ascii="Times New Roman" w:hAnsi="Times New Roman"/>
          <w:noProof/>
          <w:sz w:val="24"/>
        </w:rPr>
        <w:t xml:space="preserve">Comisia va urmări cooperarea cu țările terțe, la nivel bilateral, prin intermediul G7 și în cadre precum Acordul de parteneriat transpacific cuprinzător și progresiv și alte foruri relevante. Comisia va colabora cu partenerii în ceea ce privește elaborarea și implementarea unor standarde de securitate economică pentru lanțuri de aprovizionare reziliente. O cooperare mai strânsă poate include </w:t>
      </w:r>
      <w:r w:rsidRPr="00A05836">
        <w:rPr>
          <w:rFonts w:ascii="Times New Roman" w:hAnsi="Times New Roman"/>
          <w:b/>
          <w:noProof/>
          <w:sz w:val="24"/>
        </w:rPr>
        <w:t>utilizarea coordonată a instrumentelor</w:t>
      </w:r>
      <w:r w:rsidRPr="00A05836">
        <w:rPr>
          <w:rFonts w:ascii="Times New Roman" w:hAnsi="Times New Roman"/>
          <w:noProof/>
          <w:sz w:val="24"/>
        </w:rPr>
        <w:t xml:space="preserve"> și crearea de coaliții cu parteneri care au obiective de securitate economică similare sau care se confruntă cu provocări similare. </w:t>
      </w:r>
    </w:p>
    <w:p w14:paraId="4550C3BB" w14:textId="54C127CE" w:rsidR="00441A5B" w:rsidRPr="00A05836" w:rsidRDefault="0042082C" w:rsidP="00234F89">
      <w:pPr>
        <w:spacing w:after="120"/>
        <w:jc w:val="both"/>
        <w:rPr>
          <w:rFonts w:ascii="Times New Roman" w:eastAsia="Calibri" w:hAnsi="Times New Roman" w:cs="Times New Roman"/>
          <w:noProof/>
          <w:sz w:val="24"/>
          <w:szCs w:val="24"/>
        </w:rPr>
      </w:pPr>
      <w:r w:rsidRPr="00A05836">
        <w:rPr>
          <w:rFonts w:ascii="Times New Roman" w:hAnsi="Times New Roman"/>
          <w:noProof/>
          <w:sz w:val="24"/>
        </w:rPr>
        <w:t xml:space="preserve">De asemenea, trebuie luate în considerare în mod adecvat relevanța </w:t>
      </w:r>
      <w:r w:rsidRPr="00A05836">
        <w:rPr>
          <w:rFonts w:ascii="Times New Roman" w:hAnsi="Times New Roman"/>
          <w:b/>
          <w:noProof/>
          <w:sz w:val="24"/>
        </w:rPr>
        <w:t>politicii de vecinătate și de extindere</w:t>
      </w:r>
      <w:r w:rsidRPr="00A05836">
        <w:rPr>
          <w:rFonts w:ascii="Times New Roman" w:hAnsi="Times New Roman"/>
          <w:noProof/>
          <w:sz w:val="24"/>
        </w:rPr>
        <w:t xml:space="preserve"> a UE și impactul asupra acesteia. Riscurile și oportunitățile pentru securitatea economică a UE vor fi integrate în punerea în aplicare de către Comisie a politicilor și programelor în aceste regiuni. Țările candidate sunt pe cale să devină viitoare state membre ale UE; alinierea acestora la politica de securitate economică, precum și integrarea lor treptată pe piața unică sunt esențiale pentru a asigura aderarea lor cu succes, consolidând în același timp capacitatea UE de a aborda atât riscurile existente, cât și cele noi. Prin urmare, este important ca țările candidate să reflecte abordarea UE în materie de securitate economică și, după caz, să se alinieze treptat la legislația UE relevantă pentru obiectivele de securitate economică. </w:t>
      </w:r>
    </w:p>
    <w:p w14:paraId="23C787AA" w14:textId="163AECB8" w:rsidR="00347E0E" w:rsidRPr="00A05836" w:rsidRDefault="33164C01" w:rsidP="7C2DE029">
      <w:pPr>
        <w:spacing w:after="120"/>
        <w:jc w:val="both"/>
        <w:rPr>
          <w:rFonts w:ascii="Times New Roman" w:hAnsi="Times New Roman" w:cs="Times New Roman"/>
          <w:b/>
          <w:bCs/>
          <w:i/>
          <w:iCs/>
          <w:noProof/>
          <w:sz w:val="24"/>
          <w:szCs w:val="24"/>
          <w:u w:val="single"/>
        </w:rPr>
      </w:pPr>
      <w:r w:rsidRPr="00A05836">
        <w:rPr>
          <w:rFonts w:ascii="Times New Roman" w:hAnsi="Times New Roman"/>
          <w:b/>
          <w:i/>
          <w:noProof/>
          <w:sz w:val="24"/>
          <w:u w:val="single"/>
        </w:rPr>
        <w:t>3. Promovarea securității economice europene: domenii cu risc ridicat</w:t>
      </w:r>
    </w:p>
    <w:p w14:paraId="3471AA5E" w14:textId="05B5CCBE" w:rsidR="00E7260B" w:rsidRPr="00A05836" w:rsidRDefault="5546744F" w:rsidP="009A00B3">
      <w:pPr>
        <w:spacing w:after="120"/>
        <w:jc w:val="both"/>
        <w:rPr>
          <w:noProof/>
        </w:rPr>
      </w:pPr>
      <w:r w:rsidRPr="00A05836">
        <w:rPr>
          <w:rFonts w:ascii="Times New Roman" w:hAnsi="Times New Roman"/>
          <w:noProof/>
          <w:sz w:val="24"/>
        </w:rPr>
        <w:t xml:space="preserve">Strategia din 2023 a lansat evaluări ale riscurilor care cuprind reziliența lanțului de aprovizionare și securitatea energetică, infrastructura critică, folosirea drept armă a dependențelor economice, precum și securitatea tehnologică și scurgerile de tehnologie. Au fost deja evaluate patru tehnologii critice: IA, tehnologiile cuantice, semiconductorii și biotehnologia. Pe baza acestei activități, Comisia a identificat </w:t>
      </w:r>
      <w:r w:rsidRPr="00A05836">
        <w:rPr>
          <w:rFonts w:ascii="Times New Roman" w:hAnsi="Times New Roman"/>
          <w:b/>
          <w:noProof/>
          <w:sz w:val="24"/>
        </w:rPr>
        <w:t xml:space="preserve">șase domenii cu risc ridicat </w:t>
      </w:r>
      <w:r w:rsidRPr="00A05836">
        <w:rPr>
          <w:rFonts w:ascii="Times New Roman" w:hAnsi="Times New Roman"/>
          <w:noProof/>
          <w:sz w:val="24"/>
        </w:rPr>
        <w:t>în care își va</w:t>
      </w:r>
      <w:r w:rsidRPr="00A05836">
        <w:rPr>
          <w:rFonts w:ascii="Times New Roman" w:hAnsi="Times New Roman"/>
          <w:b/>
          <w:noProof/>
          <w:sz w:val="24"/>
        </w:rPr>
        <w:t xml:space="preserve"> </w:t>
      </w:r>
      <w:r w:rsidRPr="00A05836">
        <w:rPr>
          <w:rFonts w:ascii="Times New Roman" w:hAnsi="Times New Roman"/>
          <w:noProof/>
          <w:sz w:val="24"/>
        </w:rPr>
        <w:t>concentra eforturile imediat sau în scurt timp, în strânsă cooperare cu statele membre, cu industria și cu partenerii de încredere. În același timp, Comisia va continua să monitorizeze evoluțiile și, dacă este necesar, să evalueze și să acționeze în domeniile cu risc ridicat nou apărute.</w:t>
      </w:r>
    </w:p>
    <w:p w14:paraId="6C1CC2E6" w14:textId="2A7C488A" w:rsidR="00ED18CA" w:rsidRPr="00A05836" w:rsidRDefault="71864FD1" w:rsidP="2542A17A">
      <w:pPr>
        <w:spacing w:after="120"/>
        <w:jc w:val="center"/>
        <w:rPr>
          <w:rFonts w:ascii="Times New Roman" w:hAnsi="Times New Roman" w:cs="Times New Roman"/>
          <w:b/>
          <w:bCs/>
          <w:noProof/>
          <w:sz w:val="24"/>
          <w:szCs w:val="24"/>
        </w:rPr>
      </w:pPr>
      <w:r w:rsidRPr="00A05836">
        <w:rPr>
          <w:rFonts w:ascii="Times New Roman" w:hAnsi="Times New Roman"/>
          <w:b/>
          <w:noProof/>
          <w:sz w:val="24"/>
        </w:rPr>
        <w:t>Prezentare generală a șase domenii cu risc ridicat</w:t>
      </w:r>
    </w:p>
    <w:p w14:paraId="07A1B8CF" w14:textId="639976D1" w:rsidR="00E7260B" w:rsidRPr="00A05836" w:rsidRDefault="00E7260B" w:rsidP="009A00B3">
      <w:pPr>
        <w:spacing w:after="120"/>
        <w:jc w:val="both"/>
        <w:rPr>
          <w:b/>
          <w:bCs/>
          <w:i/>
          <w:iCs/>
          <w:noProof/>
          <w:sz w:val="24"/>
          <w:szCs w:val="24"/>
        </w:rPr>
      </w:pPr>
      <w:r w:rsidRPr="00A05836">
        <w:rPr>
          <w:noProof/>
          <w:sz w:val="24"/>
          <w:lang w:val="en-GB" w:eastAsia="en-GB"/>
        </w:rPr>
        <w:drawing>
          <wp:inline distT="0" distB="0" distL="0" distR="0" wp14:anchorId="23FBB992" wp14:editId="0C688D79">
            <wp:extent cx="5553808" cy="2133600"/>
            <wp:effectExtent l="0" t="0" r="0" b="19050"/>
            <wp:docPr id="61726529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B96BC92" w14:textId="124FE709" w:rsidR="00742178" w:rsidRPr="00A05836" w:rsidRDefault="0080038B" w:rsidP="00CE4FA3">
      <w:pPr>
        <w:spacing w:after="120"/>
        <w:jc w:val="both"/>
        <w:rPr>
          <w:rFonts w:ascii="Times New Roman" w:hAnsi="Times New Roman" w:cs="Times New Roman"/>
          <w:i/>
          <w:iCs/>
          <w:noProof/>
          <w:sz w:val="24"/>
          <w:szCs w:val="24"/>
          <w:u w:val="single"/>
        </w:rPr>
      </w:pPr>
      <w:r w:rsidRPr="00A05836">
        <w:rPr>
          <w:rFonts w:ascii="Times New Roman" w:hAnsi="Times New Roman"/>
          <w:noProof/>
          <w:sz w:val="24"/>
          <w:u w:val="single"/>
        </w:rPr>
        <w:t xml:space="preserve">3.1. Consolidarea rezilienței lanțului de aprovizionare și contracararea dependențelor cu grad ridicat de risc de bunuri și servicii critice </w:t>
      </w:r>
    </w:p>
    <w:p w14:paraId="1BCA38EA" w14:textId="6D9809E3" w:rsidR="00DB73C0" w:rsidRPr="00A05836" w:rsidRDefault="00AA1CAD" w:rsidP="009A00B3">
      <w:pPr>
        <w:spacing w:after="120"/>
        <w:jc w:val="both"/>
        <w:rPr>
          <w:rFonts w:ascii="Times New Roman" w:hAnsi="Times New Roman" w:cs="Times New Roman"/>
          <w:noProof/>
          <w:sz w:val="24"/>
          <w:szCs w:val="24"/>
        </w:rPr>
      </w:pPr>
      <w:r w:rsidRPr="00A05836">
        <w:rPr>
          <w:rFonts w:ascii="Times New Roman" w:hAnsi="Times New Roman"/>
          <w:b/>
          <w:noProof/>
          <w:sz w:val="24"/>
          <w:lang w:val="en-GB" w:eastAsia="en-GB"/>
        </w:rPr>
        <mc:AlternateContent>
          <mc:Choice Requires="wps">
            <w:drawing>
              <wp:anchor distT="0" distB="0" distL="114300" distR="114300" simplePos="0" relativeHeight="251654656" behindDoc="1" locked="0" layoutInCell="1" allowOverlap="1" wp14:anchorId="202C7A0C" wp14:editId="0C4091A6">
                <wp:simplePos x="0" y="0"/>
                <wp:positionH relativeFrom="column">
                  <wp:posOffset>5080</wp:posOffset>
                </wp:positionH>
                <wp:positionV relativeFrom="paragraph">
                  <wp:posOffset>71120</wp:posOffset>
                </wp:positionV>
                <wp:extent cx="2662555" cy="2876550"/>
                <wp:effectExtent l="0" t="0" r="23495" b="19050"/>
                <wp:wrapTight wrapText="bothSides">
                  <wp:wrapPolygon edited="0">
                    <wp:start x="0" y="0"/>
                    <wp:lineTo x="0" y="21600"/>
                    <wp:lineTo x="21636" y="21600"/>
                    <wp:lineTo x="2163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2876550"/>
                        </a:xfrm>
                        <a:prstGeom prst="rect">
                          <a:avLst/>
                        </a:prstGeom>
                        <a:solidFill>
                          <a:srgbClr val="FFFFFF"/>
                        </a:solidFill>
                        <a:ln w="9525">
                          <a:solidFill>
                            <a:srgbClr val="000000"/>
                          </a:solidFill>
                          <a:miter lim="800000"/>
                          <a:headEnd/>
                          <a:tailEnd/>
                        </a:ln>
                      </wps:spPr>
                      <wps:txbx>
                        <w:txbxContent>
                          <w:p w14:paraId="2865D1B4" w14:textId="4CBABE47" w:rsidR="00E11329" w:rsidRPr="00815C83" w:rsidRDefault="00290476" w:rsidP="00E11329">
                            <w:pPr>
                              <w:spacing w:after="0" w:line="240" w:lineRule="auto"/>
                              <w:rPr>
                                <w:rFonts w:ascii="Times New Roman" w:hAnsi="Times New Roman" w:cs="Times New Roman"/>
                                <w:b/>
                                <w:bCs/>
                              </w:rPr>
                            </w:pPr>
                            <w:r>
                              <w:rPr>
                                <w:rFonts w:ascii="Times New Roman" w:hAnsi="Times New Roman"/>
                                <w:b/>
                              </w:rPr>
                              <w:t>Indicatori necumulativi ai unei dependențe cu risc ridicat:</w:t>
                            </w:r>
                          </w:p>
                          <w:p w14:paraId="652A9F42" w14:textId="2C528ED1"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rPr>
                              <w:t>- </w:t>
                            </w:r>
                            <w:r>
                              <w:rPr>
                                <w:rFonts w:ascii="Times New Roman" w:hAnsi="Times New Roman"/>
                                <w:i/>
                              </w:rPr>
                              <w:t>cel puțin 60 % din aprovizionarea UE este controlată de o singură țară terță sau de operatori dintr-o singură țară terță;</w:t>
                            </w:r>
                          </w:p>
                          <w:p w14:paraId="2F2CA203" w14:textId="6FD36F73"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factorii de producție/serviciile au o valoare sistemică pentru economia UE datorită rolului lor în mai multe sectoare, de exemplu în ceea ce privește materiile prime critice, semiconductorii;</w:t>
                            </w:r>
                          </w:p>
                          <w:p w14:paraId="5E500A4E" w14:textId="4C4F9AD6"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factorii de producție/serviciile sunt esențiale pentru industria de apărare/capacitățile strategice ale UE sau pentru lanțurile specifice de aprovizionare cu tehnologii critice, cum ar fi tehnologiile energetice curate;</w:t>
                            </w:r>
                          </w:p>
                          <w:p w14:paraId="3FA83B89" w14:textId="24F3DE2F"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țara terță a folosit deja dependențele economice drept armă sau a amenințat că va face acest lucru, de exemplu prin restricții la export;</w:t>
                            </w:r>
                          </w:p>
                          <w:p w14:paraId="3400D182" w14:textId="4C3E7922" w:rsidR="00E11329" w:rsidRDefault="00E11329" w:rsidP="00C60366">
                            <w:pPr>
                              <w:spacing w:after="0" w:line="240" w:lineRule="auto"/>
                              <w:jc w:val="both"/>
                              <w:rPr>
                                <w:rFonts w:ascii="Times New Roman" w:hAnsi="Times New Roman" w:cs="Times New Roman"/>
                                <w:i/>
                                <w:iCs/>
                              </w:rPr>
                            </w:pPr>
                            <w:r>
                              <w:rPr>
                                <w:rFonts w:ascii="Times New Roman" w:hAnsi="Times New Roman"/>
                                <w:i/>
                              </w:rPr>
                              <w:t>- există deja o supracapacitate ca urmare a practicilor neorientate către piață sau aceasta este în curs de creare.</w:t>
                            </w:r>
                          </w:p>
                          <w:p w14:paraId="616D6192" w14:textId="05C7623D" w:rsidR="00930B2A" w:rsidRPr="00815C83" w:rsidRDefault="00930B2A" w:rsidP="00A97F46">
                            <w:pPr>
                              <w:spacing w:after="0" w:line="240" w:lineRule="auto"/>
                              <w:rPr>
                                <w:rFonts w:ascii="Times New Roman" w:hAnsi="Times New Roman" w:cs="Times New Roman"/>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C7A0C" id="_x0000_s1027" type="#_x0000_t202" style="position:absolute;left:0;text-align:left;margin-left:.4pt;margin-top:5.6pt;width:209.65pt;height:22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">
                <v:textbox>
                  <w:txbxContent>
                    <w:p w14:paraId="2865D1B4" w14:textId="4CBABE47" w:rsidR="00E11329" w:rsidRPr="00815C83" w:rsidRDefault="00290476" w:rsidP="00E11329">
                      <w:pPr>
                        <w:spacing w:after="0" w:line="240" w:lineRule="auto"/>
                        <w:rPr>
                          <w:rFonts w:ascii="Times New Roman" w:hAnsi="Times New Roman" w:cs="Times New Roman"/>
                          <w:b/>
                          <w:bCs/>
                        </w:rPr>
                      </w:pPr>
                      <w:r>
                        <w:rPr>
                          <w:rFonts w:ascii="Times New Roman" w:hAnsi="Times New Roman"/>
                          <w:b/>
                        </w:rPr>
                        <w:t>Indicatori necumulativi ai unei dependențe cu risc ridicat:</w:t>
                      </w:r>
                    </w:p>
                    <w:p w14:paraId="652A9F42" w14:textId="2C528ED1"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rPr>
                        <w:t>- </w:t>
                      </w:r>
                      <w:r>
                        <w:rPr>
                          <w:rFonts w:ascii="Times New Roman" w:hAnsi="Times New Roman"/>
                          <w:i/>
                        </w:rPr>
                        <w:t>cel puțin 60 % din aprovizionarea UE este controlată de o singură țară terță sau de operatori dintr-o singură țară terță;</w:t>
                      </w:r>
                    </w:p>
                    <w:p w14:paraId="2F2CA203" w14:textId="6FD36F73"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factorii de producție/serviciile au o valoare sistemică pentru economia UE datorită rolului lor în mai multe sectoare, de exemplu în ceea ce privește materiile prime critice, semiconductorii;</w:t>
                      </w:r>
                    </w:p>
                    <w:p w14:paraId="5E500A4E" w14:textId="4C4F9AD6"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factorii de producție/serviciile sunt esențiale pentru industria de apărare/capacitățile strategice ale UE sau pentru lanțurile specifice de aprovizionare cu tehnologii critice, cum ar fi tehnologiile energetice curate;</w:t>
                      </w:r>
                    </w:p>
                    <w:p w14:paraId="3FA83B89" w14:textId="24F3DE2F"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țara terță a folosit deja dependențele economice drept armă sau a amenințat că va face acest lucru, de exemplu prin restricții la export;</w:t>
                      </w:r>
                    </w:p>
                    <w:p w14:paraId="3400D182" w14:textId="4C3E7922" w:rsidR="00E11329" w:rsidRDefault="00E11329" w:rsidP="00C60366">
                      <w:pPr>
                        <w:spacing w:after="0" w:line="240" w:lineRule="auto"/>
                        <w:jc w:val="both"/>
                        <w:rPr>
                          <w:rFonts w:ascii="Times New Roman" w:hAnsi="Times New Roman" w:cs="Times New Roman"/>
                          <w:i/>
                          <w:iCs/>
                        </w:rPr>
                      </w:pPr>
                      <w:r>
                        <w:rPr>
                          <w:rFonts w:ascii="Times New Roman" w:hAnsi="Times New Roman"/>
                          <w:i/>
                        </w:rPr>
                        <w:t>- există deja o supracapacitate ca urmare a practicilor neorientate către piață sau aceasta este în curs de creare.</w:t>
                      </w:r>
                    </w:p>
                    <w:p w14:paraId="616D6192" w14:textId="05C7623D" w:rsidR="00930B2A" w:rsidRPr="00815C83" w:rsidRDefault="00930B2A" w:rsidP="00A97F46">
                      <w:pPr>
                        <w:spacing w:after="0" w:line="240" w:lineRule="auto"/>
                        <w:rPr>
                          <w:rFonts w:ascii="Times New Roman" w:hAnsi="Times New Roman" w:cs="Times New Roman"/>
                          <w:i/>
                          <w:iCs/>
                        </w:rPr>
                      </w:pPr>
                    </w:p>
                  </w:txbxContent>
                </v:textbox>
                <w10:wrap type="tight"/>
              </v:shape>
            </w:pict>
          </mc:Fallback>
        </mc:AlternateContent>
      </w:r>
      <w:r w:rsidRPr="00A05836">
        <w:rPr>
          <w:rFonts w:ascii="Times New Roman" w:hAnsi="Times New Roman"/>
          <w:b/>
          <w:noProof/>
          <w:sz w:val="24"/>
        </w:rPr>
        <w:t>Riscul.</w:t>
      </w:r>
      <w:r w:rsidRPr="00A05836">
        <w:rPr>
          <w:rFonts w:ascii="Times New Roman" w:hAnsi="Times New Roman"/>
          <w:noProof/>
          <w:sz w:val="24"/>
        </w:rPr>
        <w:t xml:space="preserve"> Economiile moderne sunt profund interconectate și se bazează pe o gamă largă de factori de producție, bunuri intermediare și servicii esențiale furnizate de parteneri din întreaga lume. În unele cazuri, oferta este foarte concentrată – adesea în țări care nu au aceleași interese strategice și care au capacitatea și disponibilitatea de a crește aceste dependențe și de a le folosi drept armă. Aceste riscuri pentru lanțurile de aprovizionare ale UE sunt deosebit de vizibile în dependența noastră de anumite </w:t>
      </w:r>
      <w:r w:rsidRPr="00A05836">
        <w:rPr>
          <w:rFonts w:ascii="Times New Roman" w:hAnsi="Times New Roman"/>
          <w:b/>
          <w:noProof/>
          <w:sz w:val="24"/>
        </w:rPr>
        <w:t>materii prime critice, materiale prelucrate și avansate, componente ale tehnologiilor curate</w:t>
      </w:r>
      <w:r w:rsidRPr="00A05836">
        <w:rPr>
          <w:rFonts w:ascii="Times New Roman" w:hAnsi="Times New Roman"/>
          <w:noProof/>
          <w:sz w:val="24"/>
        </w:rPr>
        <w:t xml:space="preserve"> și </w:t>
      </w:r>
      <w:r w:rsidRPr="00A05836">
        <w:rPr>
          <w:rFonts w:ascii="Times New Roman" w:hAnsi="Times New Roman"/>
          <w:b/>
          <w:noProof/>
          <w:sz w:val="24"/>
        </w:rPr>
        <w:t>semiconductori de bază</w:t>
      </w:r>
      <w:r w:rsidRPr="00A05836">
        <w:rPr>
          <w:rFonts w:ascii="Times New Roman" w:hAnsi="Times New Roman"/>
          <w:noProof/>
          <w:sz w:val="24"/>
        </w:rPr>
        <w:t xml:space="preserve">, precum și în </w:t>
      </w:r>
      <w:r w:rsidRPr="00A05836">
        <w:rPr>
          <w:rFonts w:ascii="Times New Roman" w:hAnsi="Times New Roman"/>
          <w:b/>
          <w:noProof/>
          <w:sz w:val="24"/>
        </w:rPr>
        <w:t>serviciile financiare, produsele farmaceutice, industria aeronautică, tehnologiile digitale și spațiale</w:t>
      </w:r>
      <w:r w:rsidRPr="00A05836">
        <w:rPr>
          <w:rFonts w:ascii="Times New Roman" w:hAnsi="Times New Roman"/>
          <w:noProof/>
          <w:sz w:val="24"/>
        </w:rPr>
        <w:t xml:space="preserve">. Riscurile sunt vizibile și în </w:t>
      </w:r>
      <w:r w:rsidRPr="00A05836">
        <w:rPr>
          <w:rFonts w:ascii="Times New Roman" w:hAnsi="Times New Roman"/>
          <w:b/>
          <w:noProof/>
          <w:sz w:val="24"/>
        </w:rPr>
        <w:t>sectorul agroalimentar</w:t>
      </w:r>
      <w:r w:rsidRPr="00A05836">
        <w:rPr>
          <w:rFonts w:ascii="Times New Roman" w:hAnsi="Times New Roman"/>
          <w:noProof/>
          <w:sz w:val="24"/>
        </w:rPr>
        <w:t>, în care Viziunea pentru agricultură și sectorul alimentar</w:t>
      </w:r>
      <w:r w:rsidRPr="00A05836">
        <w:rPr>
          <w:rStyle w:val="FootnoteReference"/>
          <w:rFonts w:ascii="Times New Roman" w:hAnsi="Times New Roman" w:cs="Times New Roman"/>
          <w:noProof/>
          <w:sz w:val="24"/>
          <w:szCs w:val="24"/>
        </w:rPr>
        <w:footnoteReference w:id="3"/>
      </w:r>
      <w:r w:rsidRPr="00A05836">
        <w:rPr>
          <w:rFonts w:ascii="Times New Roman" w:hAnsi="Times New Roman"/>
          <w:noProof/>
          <w:sz w:val="24"/>
        </w:rPr>
        <w:t xml:space="preserve"> stabilește necesitatea de a reduce dependențele strategice, în special în situația în care UE se bazează doar pe câțiva parteneri pentru importurile de hrană pentru animale și aditivi furajeri, precum și de îngrășăminte.</w:t>
      </w:r>
    </w:p>
    <w:p w14:paraId="096CB783" w14:textId="7CC02865" w:rsidR="00DB73C0" w:rsidRPr="00A05836" w:rsidRDefault="00742178" w:rsidP="009A00B3">
      <w:pPr>
        <w:spacing w:after="120"/>
        <w:jc w:val="both"/>
        <w:rPr>
          <w:rFonts w:ascii="Times New Roman" w:hAnsi="Times New Roman" w:cs="Times New Roman"/>
          <w:noProof/>
          <w:sz w:val="24"/>
          <w:szCs w:val="24"/>
        </w:rPr>
      </w:pPr>
      <w:r w:rsidRPr="00A05836">
        <w:rPr>
          <w:rFonts w:ascii="Times New Roman" w:hAnsi="Times New Roman"/>
          <w:noProof/>
          <w:sz w:val="24"/>
        </w:rPr>
        <w:t xml:space="preserve">Dependențele cu grad ridicat de risc: (i) pot fi </w:t>
      </w:r>
      <w:r w:rsidRPr="00A05836">
        <w:rPr>
          <w:rFonts w:ascii="Times New Roman" w:hAnsi="Times New Roman"/>
          <w:b/>
          <w:noProof/>
          <w:sz w:val="24"/>
        </w:rPr>
        <w:t>folosite drept armă</w:t>
      </w:r>
      <w:r w:rsidRPr="00A05836">
        <w:rPr>
          <w:rFonts w:ascii="Times New Roman" w:hAnsi="Times New Roman"/>
          <w:noProof/>
          <w:sz w:val="24"/>
        </w:rPr>
        <w:t xml:space="preserve"> în scopuri coercitive (de exemplu, materii prime critice, semiconductori de bază, materiale avansate, produse energetice, amenințări cu dezactivarea anumitor servicii); (ii) pot crea o </w:t>
      </w:r>
      <w:r w:rsidRPr="00A05836">
        <w:rPr>
          <w:rFonts w:ascii="Times New Roman" w:hAnsi="Times New Roman"/>
          <w:b/>
          <w:noProof/>
          <w:sz w:val="24"/>
        </w:rPr>
        <w:t>vulnerabilitate economică sistemică</w:t>
      </w:r>
      <w:r w:rsidRPr="00A05836">
        <w:rPr>
          <w:rFonts w:ascii="Times New Roman" w:hAnsi="Times New Roman"/>
          <w:noProof/>
          <w:sz w:val="24"/>
        </w:rPr>
        <w:t xml:space="preserve"> sau un risc sistemic pentru ordinea publică și protecția sănătății publice în situații de criză (de exemplu, echipamente individuale de protecție, aprovizionarea cu medicamente </w:t>
      </w:r>
      <w:r w:rsidRPr="00A05836">
        <w:rPr>
          <w:noProof/>
          <w:lang w:val="en-GB" w:eastAsia="en-GB"/>
        </w:rPr>
        <mc:AlternateContent>
          <mc:Choice Requires="wps">
            <w:drawing>
              <wp:anchor distT="45720" distB="45720" distL="114300" distR="114300" simplePos="0" relativeHeight="251661824" behindDoc="0" locked="0" layoutInCell="1" allowOverlap="1" wp14:anchorId="2EFB9210" wp14:editId="42D0F0BC">
                <wp:simplePos x="0" y="0"/>
                <wp:positionH relativeFrom="column">
                  <wp:posOffset>2872740</wp:posOffset>
                </wp:positionH>
                <wp:positionV relativeFrom="paragraph">
                  <wp:posOffset>465455</wp:posOffset>
                </wp:positionV>
                <wp:extent cx="2872740" cy="1404620"/>
                <wp:effectExtent l="0" t="0" r="22860" b="16510"/>
                <wp:wrapSquare wrapText="bothSides"/>
                <wp:docPr id="213843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04620"/>
                        </a:xfrm>
                        <a:prstGeom prst="rect">
                          <a:avLst/>
                        </a:prstGeom>
                        <a:solidFill>
                          <a:srgbClr val="FFFFFF"/>
                        </a:solidFill>
                        <a:ln w="9525">
                          <a:solidFill>
                            <a:srgbClr val="000000"/>
                          </a:solidFill>
                          <a:miter lim="800000"/>
                          <a:headEnd/>
                          <a:tailEnd/>
                        </a:ln>
                      </wps:spPr>
                      <wps:txbx>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Exemplu de aplicare: semiconductorii de bază</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dependența structurală de un singur furnizor dintr-o țară terță pentru fabricarea de cipuri esențiale cu marjă redusă pune în pericol mai multe industrii europene. Acești semiconductori constituie o parte esențială a mai multor lanțuri de aprovizionare.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Utilizarea instrumentelor</w:t>
                            </w:r>
                            <w:r>
                              <w:rPr>
                                <w:rFonts w:ascii="Times New Roman" w:hAnsi="Times New Roman"/>
                              </w:rPr>
                              <w:t>: Comisia va colabora cu parteneri de încredere pentru a diversifica sursele de aprovizionare și va încerca să încurajeze intensificarea producției în UE. Viitoarea revizuire a Regulamentului privind cipurile va stabili măsuri eficace de atenuare. Securitatea cibernetică a semiconductorilor de bază importați, care sunt utilizați în aplicații legate de securitate, ar trebui evaluată în continuare în temeiul Regulamentului privind reziliența cibernetică.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FB9210" id="_x0000_s1028" type="#_x0000_t202" style="position:absolute;left:0;text-align:left;margin-left:226.2pt;margin-top:36.65pt;width:226.2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">
                <v:textbox style="mso-fit-shape-to-text:t">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Exemplu de aplicare: semiconductorii de bază</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dependența structurală de un singur furnizor dintr-o țară terță pentru fabricarea de cipuri esențiale cu marjă redusă pune în pericol mai multe industrii europene. Acești semiconductori constituie o parte esențială a mai multor lanțuri de aprovizionare.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Utilizarea instrumentelor</w:t>
                      </w:r>
                      <w:r>
                        <w:rPr>
                          <w:rFonts w:ascii="Times New Roman" w:hAnsi="Times New Roman"/>
                        </w:rPr>
                        <w:t>: Comisia va colabora cu parteneri de încredere pentru a diversifica sursele de aprovizionare și va încerca să încurajeze intensificarea producției în UE. Viitoarea revizuire a Regulamentului privind cipurile va stabili măsuri eficace de atenuare. Securitatea cibernetică a semiconductorilor de bază importați, care sunt utilizați în aplicații legate de securitate, ar trebui evaluată în continuare în temeiul Regulamentului privind reziliența cibernetică.</w:t>
                      </w:r>
                    </w:p>
                  </w:txbxContent>
                </v:textbox>
                <w10:wrap type="square"/>
              </v:shape>
            </w:pict>
          </mc:Fallback>
        </mc:AlternateContent>
      </w:r>
      <w:r w:rsidRPr="00A05836">
        <w:rPr>
          <w:rFonts w:ascii="Times New Roman" w:hAnsi="Times New Roman"/>
          <w:noProof/>
          <w:sz w:val="24"/>
        </w:rPr>
        <w:t xml:space="preserve">critice, aprovizionarea cu alimente); (iii) pot genera riscul unor perturbări transsectoriale la scară largă (de exemplu, prin penetrarea rețelelor de telecomunicații, dependența de un singur furnizor de servicii cloud, sistarea serviciilor digitale); (iv) </w:t>
      </w:r>
      <w:r w:rsidRPr="00A05836">
        <w:rPr>
          <w:rFonts w:ascii="Times New Roman" w:hAnsi="Times New Roman"/>
          <w:b/>
          <w:noProof/>
          <w:sz w:val="24"/>
        </w:rPr>
        <w:t>afectează competitivitatea UE, încetinind tranziția verde și cea digitală</w:t>
      </w:r>
      <w:r w:rsidRPr="00A05836">
        <w:rPr>
          <w:rFonts w:ascii="Times New Roman" w:hAnsi="Times New Roman"/>
          <w:noProof/>
          <w:sz w:val="24"/>
        </w:rPr>
        <w:t xml:space="preserve"> în cazul în care aprovizionarea este perturbată (de exemplu, baterii, magneți permanenți, produse și componente ale tehnologiilor curate, materiale avansate); (v) afectează autonomia statelor membre în ceea ce privește dezvoltarea și exploatarea </w:t>
      </w:r>
      <w:r w:rsidRPr="00A05836">
        <w:rPr>
          <w:rFonts w:ascii="Times New Roman" w:hAnsi="Times New Roman"/>
          <w:b/>
          <w:noProof/>
          <w:sz w:val="24"/>
        </w:rPr>
        <w:t>capabilităților militare</w:t>
      </w:r>
      <w:r w:rsidRPr="00A05836">
        <w:rPr>
          <w:rFonts w:ascii="Times New Roman" w:hAnsi="Times New Roman"/>
          <w:noProof/>
          <w:sz w:val="24"/>
        </w:rPr>
        <w:t xml:space="preserve"> sau (vi) amenință suveranitatea alimentară a UE. </w:t>
      </w:r>
    </w:p>
    <w:p w14:paraId="1791F141" w14:textId="5959E20D" w:rsidR="00AD0D16" w:rsidRPr="00A05836" w:rsidRDefault="00742178" w:rsidP="009A00B3">
      <w:pPr>
        <w:spacing w:after="120"/>
        <w:jc w:val="both"/>
        <w:rPr>
          <w:rFonts w:ascii="Times New Roman" w:hAnsi="Times New Roman" w:cs="Times New Roman"/>
          <w:noProof/>
          <w:sz w:val="24"/>
          <w:szCs w:val="24"/>
        </w:rPr>
      </w:pPr>
      <w:r w:rsidRPr="00A05836">
        <w:rPr>
          <w:rFonts w:ascii="Times New Roman" w:hAnsi="Times New Roman"/>
          <w:b/>
          <w:noProof/>
          <w:sz w:val="24"/>
        </w:rPr>
        <w:t>Obiectiv.</w:t>
      </w:r>
      <w:r w:rsidRPr="00A05836">
        <w:rPr>
          <w:rFonts w:ascii="Times New Roman" w:hAnsi="Times New Roman"/>
          <w:noProof/>
          <w:sz w:val="24"/>
        </w:rPr>
        <w:t xml:space="preserve"> Comisia și statele membre vor încerca </w:t>
      </w:r>
      <w:r w:rsidRPr="00A05836">
        <w:rPr>
          <w:rFonts w:ascii="Times New Roman" w:hAnsi="Times New Roman"/>
          <w:b/>
          <w:noProof/>
          <w:sz w:val="24"/>
        </w:rPr>
        <w:t>să reducă la minimum potențialul de perturbare pe termen scurt</w:t>
      </w:r>
      <w:r w:rsidRPr="00A05836">
        <w:rPr>
          <w:rFonts w:ascii="Times New Roman" w:hAnsi="Times New Roman"/>
          <w:noProof/>
          <w:sz w:val="24"/>
        </w:rPr>
        <w:t xml:space="preserve">, în același timp punând în aplicare măsuri de </w:t>
      </w:r>
      <w:r w:rsidRPr="00A05836">
        <w:rPr>
          <w:rFonts w:ascii="Times New Roman" w:hAnsi="Times New Roman"/>
          <w:b/>
          <w:noProof/>
          <w:sz w:val="24"/>
        </w:rPr>
        <w:t>reducere treptată a dependențelor actuale cu grad ridicat de risc de pe piața unică și de contracarare a eforturilor de creare a unora noi</w:t>
      </w:r>
      <w:r w:rsidRPr="00A05836">
        <w:rPr>
          <w:rFonts w:ascii="Times New Roman" w:hAnsi="Times New Roman"/>
          <w:noProof/>
          <w:sz w:val="24"/>
        </w:rPr>
        <w:t>. Comisia își va utiliza instrumentele pentru a monitoriza lanțul de aprovizionare, pentru a crea un cadru de sprijinire a diversificării aprovizionării și pentru a preveni subminarea acțiunilor UE prin abordarea denaturării concurenței pe piața unică. Acțiunile întreprinse în contextul avansării către economia circulară vor juca, de asemenea, un rol important.</w:t>
      </w:r>
    </w:p>
    <w:p w14:paraId="0A1424C9" w14:textId="71FBDD7E" w:rsidR="00371E1D" w:rsidRPr="00A05836" w:rsidRDefault="00507078" w:rsidP="009A00B3">
      <w:pPr>
        <w:spacing w:after="120"/>
        <w:jc w:val="both"/>
        <w:rPr>
          <w:rFonts w:ascii="Times New Roman" w:hAnsi="Times New Roman" w:cs="Times New Roman"/>
          <w:noProof/>
          <w:sz w:val="24"/>
          <w:szCs w:val="24"/>
        </w:rPr>
      </w:pPr>
      <w:r w:rsidRPr="00A05836">
        <w:rPr>
          <w:rFonts w:ascii="Times New Roman" w:hAnsi="Times New Roman"/>
          <w:noProof/>
          <w:sz w:val="24"/>
        </w:rPr>
        <w:t>Comisia va lua măsurile necesare pentru a se asigura că lanțurile sale alternative de aprovizionare nu sunt subminate de dumping și de manipularea prețurilor.</w:t>
      </w:r>
    </w:p>
    <w:p w14:paraId="364CE81C" w14:textId="67028BC6" w:rsidR="00FD7750" w:rsidRPr="00A05836" w:rsidRDefault="00FD7750" w:rsidP="009A00B3">
      <w:pPr>
        <w:spacing w:after="120"/>
        <w:jc w:val="both"/>
        <w:rPr>
          <w:rFonts w:ascii="Times New Roman" w:hAnsi="Times New Roman" w:cs="Times New Roman"/>
          <w:noProof/>
          <w:sz w:val="24"/>
          <w:szCs w:val="24"/>
        </w:rPr>
      </w:pPr>
      <w:r w:rsidRPr="00A05836">
        <w:rPr>
          <w:rFonts w:ascii="Times New Roman" w:hAnsi="Times New Roman"/>
          <w:noProof/>
          <w:sz w:val="24"/>
        </w:rPr>
        <w:t>Comisia va sprijini statele membre la implementarea integrală și eficace a instrumentelor existente, în special a criteriilor de reziliență pe care statele membre vor trebui să le aplice, începând din ianuarie 2026, în cadrul achizițiilor publice, al licitațiilor și al schemelor publice de sprijin în temeiul Regulamentului privind industria „zero net”.</w:t>
      </w:r>
    </w:p>
    <w:p w14:paraId="27A1540D" w14:textId="6D064431" w:rsidR="00742178" w:rsidRPr="00A05836" w:rsidRDefault="2B480A9A" w:rsidP="009A00B3">
      <w:pPr>
        <w:spacing w:after="120"/>
        <w:jc w:val="both"/>
        <w:rPr>
          <w:rFonts w:ascii="Times New Roman" w:hAnsi="Times New Roman" w:cs="Times New Roman"/>
          <w:noProof/>
          <w:sz w:val="24"/>
          <w:szCs w:val="24"/>
        </w:rPr>
      </w:pPr>
      <w:r w:rsidRPr="00A05836">
        <w:rPr>
          <w:rFonts w:ascii="Times New Roman" w:hAnsi="Times New Roman"/>
          <w:noProof/>
          <w:sz w:val="24"/>
        </w:rPr>
        <w:t xml:space="preserve">De asemenea, Comisia va lua măsuri atât pentru a dezvolta </w:t>
      </w:r>
      <w:r w:rsidRPr="00A05836">
        <w:rPr>
          <w:rFonts w:ascii="Times New Roman" w:hAnsi="Times New Roman"/>
          <w:b/>
          <w:noProof/>
          <w:sz w:val="24"/>
        </w:rPr>
        <w:t>capacitatea și capabilitățile interne ale UE</w:t>
      </w:r>
      <w:r w:rsidRPr="00A05836">
        <w:rPr>
          <w:rFonts w:ascii="Times New Roman" w:hAnsi="Times New Roman"/>
          <w:noProof/>
          <w:sz w:val="24"/>
        </w:rPr>
        <w:t xml:space="preserve">, cât și pentru a diversifica aprovizionarea </w:t>
      </w:r>
      <w:r w:rsidRPr="00A05836">
        <w:rPr>
          <w:rFonts w:ascii="Times New Roman" w:hAnsi="Times New Roman"/>
          <w:b/>
          <w:noProof/>
          <w:sz w:val="24"/>
        </w:rPr>
        <w:t>prin cooperarea cu partenerii, inclusiv prin valorificarea rețelei sale extinse de acorduri comerciale și a altor forme de cooperare bilaterală și plurilaterală</w:t>
      </w:r>
      <w:r w:rsidRPr="00A05836">
        <w:rPr>
          <w:rFonts w:ascii="Times New Roman" w:hAnsi="Times New Roman"/>
          <w:noProof/>
          <w:sz w:val="24"/>
        </w:rPr>
        <w:t xml:space="preserve">. Aceasta va include luarea în considerare a producerii anumitor produse critice în țările noastre candidate și în țările noastre partenere în sens mai larg, inclusiv regiuni precum Orientul Mijlociu și Africa de Nord. Acest lucru va consolida reziliența lanțurilor de aprovizionare diversificate ale UE și va deschide noi oportunități pentru întreprinderile din UE. Comisia va continua să identifice și să monitorizeze în permanență vulnerabilitățile lanțului de aprovizionare și </w:t>
      </w:r>
      <w:r w:rsidRPr="00A05836">
        <w:rPr>
          <w:rFonts w:ascii="Times New Roman" w:hAnsi="Times New Roman"/>
          <w:b/>
          <w:noProof/>
          <w:sz w:val="24"/>
        </w:rPr>
        <w:t>dependențele cu grad ridicat de risc</w:t>
      </w:r>
      <w:r w:rsidRPr="00A05836">
        <w:rPr>
          <w:rFonts w:ascii="Times New Roman" w:hAnsi="Times New Roman"/>
          <w:noProof/>
          <w:sz w:val="24"/>
        </w:rPr>
        <w:t xml:space="preserve"> prin intermediul procesului său de evaluare a riscurilor și prin colaborarea cu statele membre și cu industria. </w:t>
      </w:r>
      <w:bookmarkStart w:id="6" w:name="_Hlk215404940"/>
      <w:r w:rsidRPr="00A05836">
        <w:rPr>
          <w:rFonts w:ascii="Times New Roman" w:hAnsi="Times New Roman"/>
          <w:noProof/>
          <w:sz w:val="24"/>
        </w:rPr>
        <w:t xml:space="preserve">. </w:t>
      </w:r>
      <w:bookmarkEnd w:id="6"/>
    </w:p>
    <w:p w14:paraId="75F5BE00" w14:textId="45D00D94" w:rsidR="001834C8" w:rsidRPr="00A05836" w:rsidRDefault="009A5CA9" w:rsidP="009A00B3">
      <w:pPr>
        <w:spacing w:after="120"/>
        <w:jc w:val="both"/>
        <w:rPr>
          <w:rFonts w:ascii="Times New Roman" w:hAnsi="Times New Roman" w:cs="Times New Roman"/>
          <w:noProof/>
          <w:sz w:val="24"/>
          <w:szCs w:val="24"/>
          <w:u w:val="single"/>
        </w:rPr>
      </w:pPr>
      <w:r w:rsidRPr="00A05836">
        <w:rPr>
          <w:rFonts w:ascii="Times New Roman" w:hAnsi="Times New Roman"/>
          <w:noProof/>
          <w:sz w:val="24"/>
          <w:u w:val="single"/>
        </w:rPr>
        <w:t xml:space="preserve">3.2. Atragerea de investiții cu valoare adăugată din exterior care să consolideze securitatea economică a UE </w:t>
      </w:r>
    </w:p>
    <w:p w14:paraId="3B62E8F2" w14:textId="228DF94A" w:rsidR="003A2C2F" w:rsidRPr="00A05836" w:rsidRDefault="0F24274D" w:rsidP="7C2DE029">
      <w:pPr>
        <w:spacing w:after="120"/>
        <w:jc w:val="both"/>
        <w:rPr>
          <w:rFonts w:ascii="Times New Roman" w:hAnsi="Times New Roman" w:cs="Times New Roman"/>
          <w:noProof/>
          <w:sz w:val="24"/>
          <w:szCs w:val="24"/>
        </w:rPr>
      </w:pPr>
      <w:r w:rsidRPr="00A05836">
        <w:rPr>
          <w:rFonts w:ascii="Times New Roman" w:hAnsi="Times New Roman"/>
          <w:b/>
          <w:noProof/>
          <w:sz w:val="24"/>
        </w:rPr>
        <w:t>Riscul.</w:t>
      </w:r>
      <w:r w:rsidRPr="00A05836">
        <w:rPr>
          <w:rFonts w:ascii="Times New Roman" w:hAnsi="Times New Roman"/>
          <w:noProof/>
          <w:sz w:val="24"/>
        </w:rPr>
        <w:t xml:space="preserve"> Investițiile din exterior stimulează reziliența și competitivitatea UE prin crearea de locuri de muncă, dezvoltarea capacităților industriale, valorificarea finanțării și a oportunităților de extindere, sprijinirea inovării și a transferului de tehnologie. Totuși, anumite forme de investiții din exterior pot prezenta riscuri. Printre aceste riscuri se numără: (i) riscurile la adresa </w:t>
      </w:r>
      <w:r w:rsidRPr="00A05836">
        <w:rPr>
          <w:rFonts w:ascii="Times New Roman" w:hAnsi="Times New Roman"/>
          <w:b/>
          <w:noProof/>
          <w:sz w:val="24"/>
        </w:rPr>
        <w:t>securității și a ordinii publice</w:t>
      </w:r>
      <w:r w:rsidRPr="00A05836">
        <w:rPr>
          <w:rFonts w:ascii="Times New Roman" w:hAnsi="Times New Roman"/>
          <w:noProof/>
          <w:sz w:val="24"/>
        </w:rPr>
        <w:t xml:space="preserve">, inclusiv accesul la date sensibile (de exemplu, geolocalizare, date biometrice, secrete comerciale), accesul la infrastructura critică, accesul la tehnologii cu dublă utilizare și la alte tehnologii critice; (ii) </w:t>
      </w:r>
      <w:r w:rsidRPr="00A05836">
        <w:rPr>
          <w:rFonts w:ascii="Times New Roman" w:hAnsi="Times New Roman"/>
          <w:b/>
          <w:noProof/>
          <w:sz w:val="24"/>
        </w:rPr>
        <w:t>riscurile legate de reziliența economică</w:t>
      </w:r>
      <w:r w:rsidRPr="00A05836">
        <w:rPr>
          <w:rFonts w:ascii="Times New Roman" w:hAnsi="Times New Roman"/>
          <w:noProof/>
          <w:sz w:val="24"/>
        </w:rPr>
        <w:t xml:space="preserve">, cum ar fi dependențele mai profunde sau un punct unic de eșec în lanțurile de aprovizionare critice controlate de entități cu risc ridicat sau de țări terțe, care ne subminează interesele în materie de securitate economică (de exemplu, baterii, materii prime critice, software și componente), ceea ce face ca UE să fie vulnerabilă la perturbări economice sau la folosirea drept armă a acestora și (iii) </w:t>
      </w:r>
      <w:r w:rsidRPr="00A05836">
        <w:rPr>
          <w:rFonts w:ascii="Times New Roman" w:hAnsi="Times New Roman"/>
          <w:b/>
          <w:noProof/>
          <w:sz w:val="24"/>
        </w:rPr>
        <w:t xml:space="preserve">provocările legate de nivelul scăzut al competitivității, </w:t>
      </w:r>
      <w:r w:rsidRPr="00A05836">
        <w:rPr>
          <w:rFonts w:ascii="Times New Roman" w:hAnsi="Times New Roman"/>
          <w:noProof/>
          <w:sz w:val="24"/>
        </w:rPr>
        <w:t xml:space="preserve">cum ar fi lipsa transferului de tehnologie, crearea de valoare adăugată limitată (de exemplu, doar linii de asamblare), angajarea de lucrători din țara investitoare, </w:t>
      </w:r>
      <w:r w:rsidRPr="00A05836">
        <w:rPr>
          <w:noProof/>
          <w:lang w:val="en-GB" w:eastAsia="en-GB"/>
        </w:rPr>
        <mc:AlternateContent>
          <mc:Choice Requires="wps">
            <w:drawing>
              <wp:anchor distT="45720" distB="45720" distL="114300" distR="114300" simplePos="0" relativeHeight="251656704" behindDoc="0" locked="0" layoutInCell="1" allowOverlap="1" wp14:anchorId="01FC26BC" wp14:editId="0F32CA24">
                <wp:simplePos x="0" y="0"/>
                <wp:positionH relativeFrom="column">
                  <wp:posOffset>2583815</wp:posOffset>
                </wp:positionH>
                <wp:positionV relativeFrom="paragraph">
                  <wp:posOffset>1879600</wp:posOffset>
                </wp:positionV>
                <wp:extent cx="3314700" cy="1404620"/>
                <wp:effectExtent l="0" t="0" r="19050" b="11430"/>
                <wp:wrapSquare wrapText="bothSides"/>
                <wp:docPr id="171631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4620"/>
                        </a:xfrm>
                        <a:prstGeom prst="rect">
                          <a:avLst/>
                        </a:prstGeom>
                        <a:solidFill>
                          <a:srgbClr val="FFFFFF"/>
                        </a:solidFill>
                        <a:ln w="9525">
                          <a:solidFill>
                            <a:srgbClr val="000000"/>
                          </a:solidFill>
                          <a:miter lim="800000"/>
                          <a:headEnd/>
                          <a:tailEnd/>
                        </a:ln>
                      </wps:spPr>
                      <wps:txbx>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Exemplu: vehiculele electrice cu baterie (BEV)</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Poziția dominantă a anumitor furnizori de BEV și controalele stricte privind tehnologiile necesare pentru producția de BEV riscă să submineze rolul esențial al industriei autovehiculelor în economia UE, profitând în același timp de piața UE. Există, de asemenea, riscuri inerente în materie de securitate cibernetică, asociate vehiculelor conectate.</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Utilizarea instrumentelor</w:t>
                            </w:r>
                            <w:r>
                              <w:rPr>
                                <w:rFonts w:ascii="Times New Roman" w:hAnsi="Times New Roman"/>
                              </w:rPr>
                              <w:t>: Comisia ia în calcul modalități prin care investițiile cu valoare adăugată pot fi încurajate, inclusiv prin utilizarea inițiativelor de politică în domeniul comerțului și concurenței. Comisia va continua să monitorizeze fluxurile comerciale și să își implementeze setul de instrumente de atenuare a riscurilor pentru a reduce riscurile legate de elementele de conectivitate, pentru a sprijini investițiile în următoarea generație de tehnologii BEV cu scopul de a se asigura că Europa rămâne rezilientă și competitivă și, dacă este necesar, pentru a limita expunerea la entități cu grad ridicat de risc în ceea ce privește componentele conectate relevante ale BEV.</w:t>
                            </w:r>
                            <w:r>
                              <w:t xml:space="preserve"> </w:t>
                            </w:r>
                            <w:r>
                              <w:rPr>
                                <w:rFonts w:ascii="Times New Roman" w:hAnsi="Times New Roman"/>
                              </w:rPr>
                              <w:t>Comisia va stimula, de asemenea, schimbul de tehnologie și de know-how aferent care pot consolida obiectivele de securitate economică ale 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C26BC" id="_x0000_s1029" type="#_x0000_t202" style="position:absolute;left:0;text-align:left;margin-left:203.45pt;margin-top:148pt;width:261pt;height:110.6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">
                <v:textbox style="mso-fit-shape-to-text:t">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Exemplu: vehiculele electrice cu baterie (BEV)</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Poziția dominantă a anumitor furnizori de BEV și controalele stricte privind tehnologiile necesare pentru producția de BEV riscă să submineze rolul esențial al industriei autovehiculelor în economia UE, profitând în același timp de piața UE. Există, de asemenea, riscuri inerente în materie de securitate cibernetică, asociate vehiculelor conectate.</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Utilizarea instrumentelor</w:t>
                      </w:r>
                      <w:r>
                        <w:rPr>
                          <w:rFonts w:ascii="Times New Roman" w:hAnsi="Times New Roman"/>
                        </w:rPr>
                        <w:t>: Comisia ia în calcul modalități prin care investițiile cu valoare adăugată pot fi încurajate, inclusiv prin utilizarea inițiativelor de politică în domeniul comerțului și concurenței. Comisia va continua să monitorizeze fluxurile comerciale și să își implementeze setul de instrumente de atenuare a riscurilor pentru a reduce riscurile legate de elementele de conectivitate, pentru a sprijini investițiile în următoarea generație de tehnologii BEV cu scopul de a se asigura că Europa rămâne rezilientă și competitivă și, dacă este necesar, pentru a limita expunerea la entități cu grad ridicat de risc în ceea ce privește componentele conectate relevante ale BEV.</w:t>
                      </w:r>
                      <w:r>
                        <w:t xml:space="preserve"> </w:t>
                      </w:r>
                      <w:r>
                        <w:rPr>
                          <w:rFonts w:ascii="Times New Roman" w:hAnsi="Times New Roman"/>
                        </w:rPr>
                        <w:t>Comisia va stimula, de asemenea, schimbul de tehnologie și de know-how aferent care pot consolida obiectivele de securitate economică ale UE.</w:t>
                      </w:r>
                    </w:p>
                  </w:txbxContent>
                </v:textbox>
                <w10:wrap type="square"/>
              </v:shape>
            </w:pict>
          </mc:Fallback>
        </mc:AlternateContent>
      </w:r>
      <w:r w:rsidRPr="00A05836">
        <w:rPr>
          <w:rFonts w:ascii="Times New Roman" w:hAnsi="Times New Roman"/>
          <w:noProof/>
          <w:sz w:val="24"/>
        </w:rPr>
        <w:t xml:space="preserve">afectând astfel, printre altele, piața locală a forței de muncă. </w:t>
      </w:r>
    </w:p>
    <w:p w14:paraId="16D30663" w14:textId="4BE17CCD" w:rsidR="00207131" w:rsidRPr="00A05836" w:rsidRDefault="32436ABE" w:rsidP="00815C83">
      <w:pPr>
        <w:spacing w:after="120"/>
        <w:jc w:val="both"/>
        <w:rPr>
          <w:rFonts w:ascii="Times New Roman" w:hAnsi="Times New Roman" w:cs="Times New Roman"/>
          <w:noProof/>
          <w:sz w:val="24"/>
          <w:szCs w:val="24"/>
        </w:rPr>
      </w:pPr>
      <w:r w:rsidRPr="00A05836">
        <w:rPr>
          <w:rFonts w:ascii="Times New Roman" w:hAnsi="Times New Roman"/>
          <w:b/>
          <w:noProof/>
          <w:sz w:val="24"/>
        </w:rPr>
        <w:t xml:space="preserve">Obiectiv. </w:t>
      </w:r>
      <w:r w:rsidRPr="00A05836">
        <w:rPr>
          <w:rFonts w:ascii="Times New Roman" w:hAnsi="Times New Roman"/>
          <w:noProof/>
          <w:sz w:val="24"/>
        </w:rPr>
        <w:t>Comisia se va concentra pe asigurarea faptului că UE rămâne deschisă și atractivă pentru investițiile străine. Comisia va încerca să echilibreze această deschidere, acolo unde este necesar pentru securitatea economică a UE, cu necesitatea de a evita adâncirea dependențelor sau crearea unora noi. În plus, este esențial să se mențină capacitatea întreprinderilor din UE de a inova, inclusiv prin achiziția străină a unor drepturi esențiale de proprietate intelectuală de la campionii emergenți, asigurând securitatea aprovizionării și continuitatea serviciului. Comisia își va utiliza instrumentele și inițiativele pentru a</w:t>
      </w:r>
      <w:r w:rsidRPr="00A05836">
        <w:rPr>
          <w:rFonts w:ascii="Times New Roman" w:hAnsi="Times New Roman"/>
          <w:i/>
          <w:noProof/>
          <w:sz w:val="24"/>
        </w:rPr>
        <w:t xml:space="preserve"> </w:t>
      </w:r>
      <w:r w:rsidRPr="00A05836">
        <w:rPr>
          <w:rFonts w:ascii="Times New Roman" w:hAnsi="Times New Roman"/>
          <w:noProof/>
          <w:sz w:val="24"/>
        </w:rPr>
        <w:t xml:space="preserve">stabili și a pune în aplicare măsuri specifice, cum ar fi condiționarea investițiilor din exterior care încurajează transferul de tehnologie pentru entitățile din țările care subminează în mod intenționat securitatea noastră economică. </w:t>
      </w:r>
    </w:p>
    <w:p w14:paraId="0F2FEF87" w14:textId="12F9B0C0" w:rsidR="00D642E2" w:rsidRPr="00A05836" w:rsidRDefault="73DA0FB4" w:rsidP="00D642E2">
      <w:pPr>
        <w:spacing w:after="120"/>
        <w:jc w:val="both"/>
        <w:rPr>
          <w:rFonts w:ascii="Times New Roman" w:hAnsi="Times New Roman" w:cs="Times New Roman"/>
          <w:noProof/>
          <w:sz w:val="24"/>
          <w:szCs w:val="24"/>
          <w:u w:val="single"/>
        </w:rPr>
      </w:pPr>
      <w:r w:rsidRPr="00A05836">
        <w:rPr>
          <w:rFonts w:ascii="Times New Roman" w:hAnsi="Times New Roman"/>
          <w:noProof/>
          <w:sz w:val="24"/>
          <w:u w:val="single"/>
        </w:rPr>
        <w:t xml:space="preserve">3.3. Sprijinirea unei baze industriale dinamice de apărare și spațiale, precum și a altor sectoare industriale cu risc ridicat </w:t>
      </w:r>
    </w:p>
    <w:p w14:paraId="6BC2187F" w14:textId="37898BF3" w:rsidR="00212384" w:rsidRPr="00A05836" w:rsidRDefault="60ADFF23" w:rsidP="009A00B3">
      <w:pPr>
        <w:spacing w:after="120"/>
        <w:jc w:val="both"/>
        <w:rPr>
          <w:rFonts w:ascii="Times New Roman" w:eastAsiaTheme="minorEastAsia" w:hAnsi="Times New Roman" w:cs="Times New Roman"/>
          <w:noProof/>
          <w:sz w:val="24"/>
          <w:szCs w:val="24"/>
        </w:rPr>
      </w:pPr>
      <w:r w:rsidRPr="00A05836">
        <w:rPr>
          <w:rFonts w:ascii="Times New Roman" w:hAnsi="Times New Roman"/>
          <w:b/>
          <w:noProof/>
          <w:sz w:val="24"/>
        </w:rPr>
        <w:t>Riscul.</w:t>
      </w:r>
      <w:r w:rsidRPr="00A05836">
        <w:rPr>
          <w:rFonts w:ascii="Times New Roman" w:hAnsi="Times New Roman"/>
          <w:noProof/>
          <w:sz w:val="24"/>
        </w:rPr>
        <w:t xml:space="preserve"> Războiul de agresiune al Rusiei împotriva Ucrainei, creșterea tensiunilor geopolitice și acțiunile bazate pe politici pentru folosirea drept armă a dependențelor comerciale evidențiază importanța investițiilor într-o bază industrială internă dinamică, în special în industria apărării și în cea spațială, precum și în sectoarele strategice cu dublă utilizare, cum ar fi transporturile (de exemplu, aviația, aeronautica, construcțiile navale și porturile), care alimentează economia UE și sprijină autonomia sa strategică. Printre riscurile din acest domeniu se numără: (i) investiții (interne) insuficiente; (ii) volume scăzute ale producției, combinate cu achiziții insuficiente de tehnologie internă pentru infrastructura instituțională; (iii) politici și practici care nu se bazează pe piață ale țărilor terțe, care conduc la denaturări pe piețele mondiale și regionale; (iv) controale nejustificate sau disproporționate ale exporturilor impuse de țări terțe asupra produselor și tehnologiilor europene (extrateritorialitatea regimurilor de export ale țărilor terțe); (v) pierderea dreptului de proprietate și a controlului ca urmare a achizițiilor străine, inclusiv, în anumite cazuri, prin achiziții de portofoliu; (vi) un cadru de reglementare rigid și piețe de capital fragmentate, care nu facilitează fluxul de fonduri și nici nu promovează demararea și dezvoltarea tehnologiilor cu grad ridicat de risc/cu randament ridicat și având capacități cu dublă utilizare.</w:t>
      </w:r>
    </w:p>
    <w:p w14:paraId="324DA75A" w14:textId="6C0A1D87" w:rsidR="00AE6670" w:rsidRPr="00A05836" w:rsidRDefault="00F922F7" w:rsidP="2542A17A">
      <w:pPr>
        <w:spacing w:after="120"/>
        <w:jc w:val="both"/>
        <w:rPr>
          <w:rFonts w:ascii="Times New Roman" w:eastAsiaTheme="minorEastAsia" w:hAnsi="Times New Roman" w:cs="Times New Roman"/>
          <w:noProof/>
          <w:sz w:val="24"/>
          <w:szCs w:val="24"/>
        </w:rPr>
      </w:pPr>
      <w:r w:rsidRPr="00A05836">
        <w:rPr>
          <w:rFonts w:ascii="Times New Roman" w:hAnsi="Times New Roman"/>
          <w:noProof/>
          <w:sz w:val="24"/>
          <w:lang w:val="en-GB" w:eastAsia="en-GB"/>
        </w:rPr>
        <mc:AlternateContent>
          <mc:Choice Requires="wps">
            <w:drawing>
              <wp:anchor distT="45720" distB="45720" distL="114300" distR="114300" simplePos="0" relativeHeight="251658247" behindDoc="0" locked="0" layoutInCell="1" allowOverlap="1" wp14:anchorId="573D0BA8" wp14:editId="71F564B6">
                <wp:simplePos x="0" y="0"/>
                <wp:positionH relativeFrom="column">
                  <wp:posOffset>27305</wp:posOffset>
                </wp:positionH>
                <wp:positionV relativeFrom="paragraph">
                  <wp:posOffset>60477</wp:posOffset>
                </wp:positionV>
                <wp:extent cx="3114675" cy="4400550"/>
                <wp:effectExtent l="0" t="0" r="28575" b="19050"/>
                <wp:wrapSquare wrapText="bothSides"/>
                <wp:docPr id="1839940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400550"/>
                        </a:xfrm>
                        <a:prstGeom prst="rect">
                          <a:avLst/>
                        </a:prstGeom>
                        <a:solidFill>
                          <a:srgbClr val="FFFFFF"/>
                        </a:solidFill>
                        <a:ln w="9525">
                          <a:solidFill>
                            <a:srgbClr val="000000"/>
                          </a:solidFill>
                          <a:miter lim="800000"/>
                          <a:headEnd/>
                          <a:tailEnd/>
                        </a:ln>
                      </wps:spPr>
                      <wps:txbx>
                        <w:txbxContent>
                          <w:p w14:paraId="7D25132B" w14:textId="77777777" w:rsidR="009B33C5" w:rsidRPr="00815C83" w:rsidRDefault="009B33C5" w:rsidP="009B33C5">
                            <w:pPr>
                              <w:spacing w:after="120"/>
                              <w:jc w:val="center"/>
                              <w:rPr>
                                <w:rFonts w:ascii="Times New Roman" w:hAnsi="Times New Roman" w:cs="Times New Roman"/>
                                <w:b/>
                                <w:bCs/>
                                <w:i/>
                                <w:iCs/>
                              </w:rPr>
                            </w:pPr>
                            <w:r>
                              <w:rPr>
                                <w:rFonts w:ascii="Times New Roman" w:hAnsi="Times New Roman"/>
                                <w:b/>
                                <w:i/>
                              </w:rPr>
                              <w:t xml:space="preserve">Exemplu de aplicare: componente esențiale pentru drone și sisteme antidrone </w:t>
                            </w:r>
                          </w:p>
                          <w:p w14:paraId="125D4EF0" w14:textId="68D15CE4" w:rsidR="009B33C5" w:rsidRPr="0088393C" w:rsidRDefault="009B33C5" w:rsidP="009B33C5">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dependența de furnizori din țări terțe pentru componentele esențiale ale dronelor, bateriilor și sistemelor antidrone; ciclu de inovare extrem de scurt pentru a menține eficacitatea operațională a soluției dronelor, pe baza experienței reale de pe câmpul de luptă (calculat în luni, uneori în săptămâni). </w:t>
                            </w:r>
                          </w:p>
                          <w:p w14:paraId="33D457D9" w14:textId="76E93DEF" w:rsidR="009B33C5" w:rsidRPr="003D125A" w:rsidRDefault="009B33C5" w:rsidP="009B33C5">
                            <w:pPr>
                              <w:jc w:val="both"/>
                              <w:rPr>
                                <w:rFonts w:ascii="Times New Roman" w:hAnsi="Times New Roman" w:cs="Times New Roman"/>
                              </w:rPr>
                            </w:pPr>
                            <w:r>
                              <w:rPr>
                                <w:rFonts w:ascii="Times New Roman" w:hAnsi="Times New Roman"/>
                                <w:b/>
                              </w:rPr>
                              <w:t>Utilizarea instrumentelor</w:t>
                            </w:r>
                            <w:r>
                              <w:rPr>
                                <w:rFonts w:ascii="Times New Roman" w:hAnsi="Times New Roman"/>
                              </w:rPr>
                              <w:t>: Comisia își va utiliza instrumentele din cadrul programelor industriale europene de apărare pentru a asigura capacitatea de producție a UE și scurtarea ciclurilor de inovare pentru tehnologiile dronelor pe baza experienței operaționale reale. Comisia va continua să consolideze cooperarea și schimbul de informații în mod voluntar între organismele relevante (de exemplu, agențiile naționale de achiziții publice, organizațiile internaționale de achiziții publice – OCCAR, AEA, NATO) și în cadrul instrumentelor/acțiunilor programelor industriale europene de apărare. Pentru a asigura reziliența lanțului de aprovizionare, Comisia va stabili o cartografiere specifică a lanțurilor de aprovizionare pentru anumite produse și echipamente, inclusiv produse cu dublă utilizare, și va sprijini producția prin coinvestiții.</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D0BA8" id="_x0000_s1030" type="#_x0000_t202" style="position:absolute;left:0;text-align:left;margin-left:2.15pt;margin-top:4.75pt;width:245.25pt;height:346.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">
                <v:textbox>
                  <w:txbxContent>
                    <w:p w14:paraId="7D25132B" w14:textId="77777777" w:rsidR="009B33C5" w:rsidRPr="00815C83" w:rsidRDefault="009B33C5" w:rsidP="009B33C5">
                      <w:pPr>
                        <w:spacing w:after="120"/>
                        <w:jc w:val="center"/>
                        <w:rPr>
                          <w:rFonts w:ascii="Times New Roman" w:hAnsi="Times New Roman" w:cs="Times New Roman"/>
                          <w:b/>
                          <w:bCs/>
                          <w:i/>
                          <w:iCs/>
                        </w:rPr>
                      </w:pPr>
                      <w:r>
                        <w:rPr>
                          <w:rFonts w:ascii="Times New Roman" w:hAnsi="Times New Roman"/>
                          <w:b/>
                          <w:i/>
                        </w:rPr>
                        <w:t xml:space="preserve">Exemplu de aplicare: componente esențiale pentru drone și sisteme antidrone </w:t>
                      </w:r>
                    </w:p>
                    <w:p w14:paraId="125D4EF0" w14:textId="68D15CE4" w:rsidR="009B33C5" w:rsidRPr="0088393C" w:rsidRDefault="009B33C5" w:rsidP="009B33C5">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dependența de furnizori din țări terțe pentru componentele esențiale ale dronelor, bateriilor și sistemelor antidrone; ciclu de inovare extrem de scurt pentru a menține eficacitatea operațională a soluției dronelor, pe baza experienței reale de pe câmpul de luptă (calculat în luni, uneori în săptămâni). </w:t>
                      </w:r>
                    </w:p>
                    <w:p w14:paraId="33D457D9" w14:textId="76E93DEF" w:rsidR="009B33C5" w:rsidRPr="003D125A" w:rsidRDefault="009B33C5" w:rsidP="009B33C5">
                      <w:pPr>
                        <w:jc w:val="both"/>
                        <w:rPr>
                          <w:rFonts w:ascii="Times New Roman" w:hAnsi="Times New Roman" w:cs="Times New Roman"/>
                        </w:rPr>
                      </w:pPr>
                      <w:r>
                        <w:rPr>
                          <w:rFonts w:ascii="Times New Roman" w:hAnsi="Times New Roman"/>
                          <w:b/>
                        </w:rPr>
                        <w:t>Utilizarea instrumentelor</w:t>
                      </w:r>
                      <w:r>
                        <w:rPr>
                          <w:rFonts w:ascii="Times New Roman" w:hAnsi="Times New Roman"/>
                        </w:rPr>
                        <w:t>: Comisia își va utiliza instrumentele din cadrul programelor industriale europene de apărare pentru a asigura capacitatea de producție a UE și scurtarea ciclurilor de inovare pentru tehnologiile dronelor pe baza experienței operaționale reale. Comisia va continua să consolideze cooperarea și schimbul de informații în mod voluntar între organismele relevante (de exemplu, agențiile naționale de achiziții publice, organizațiile internaționale de achiziții publice – OCCAR, AEA, NATO) și în cadrul instrumentelor/acțiunilor programelor industriale europene de apărare. Pentru a asigura reziliența lanțului de aprovizionare, Comisia va stabili o cartografiere specifică a lanțurilor de aprovizionare pentru anumite produse și echipamente, inclusiv produse cu dublă utilizare, și va sprijini producția prin coinvestiții.</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v:textbox>
                <w10:wrap type="square"/>
              </v:shape>
            </w:pict>
          </mc:Fallback>
        </mc:AlternateContent>
      </w:r>
      <w:r w:rsidRPr="00A05836">
        <w:rPr>
          <w:rFonts w:ascii="Times New Roman" w:hAnsi="Times New Roman"/>
          <w:noProof/>
          <w:sz w:val="24"/>
        </w:rPr>
        <w:t xml:space="preserve">Anumite componente din sectoare critice, cum ar fi apărarea, provin de la entități cu risc ridicat, ceea ce ar putea împiedica accesul la </w:t>
      </w:r>
      <w:r w:rsidRPr="00A05836">
        <w:rPr>
          <w:rFonts w:ascii="Times New Roman" w:hAnsi="Times New Roman"/>
          <w:b/>
          <w:noProof/>
          <w:sz w:val="24"/>
        </w:rPr>
        <w:t>echipamente de apărare, tehnologii cu dublă utilizare și mijloace de mobilitate militară</w:t>
      </w:r>
      <w:r w:rsidRPr="00A05836">
        <w:rPr>
          <w:rFonts w:ascii="Times New Roman" w:hAnsi="Times New Roman"/>
          <w:noProof/>
          <w:sz w:val="24"/>
        </w:rPr>
        <w:t xml:space="preserve"> și utilizarea acestora în cazul în care apare o situație de tensiune geopolitică. Totodată, este esențial ca UE să mențină o forță de muncă înalt calificată și să nu rămână în urma curbei inovării în ceea ce privește tehnologiile care stau la baza sectoarelor strategice. Atenuarea eficace a acestor riscuri prin mobilizarea rapidă a unor instrumente specifice și eficace este esențială pentru capabilitățile militare și de apărare din UE. </w:t>
      </w:r>
    </w:p>
    <w:p w14:paraId="575B7536" w14:textId="32CAB2C8" w:rsidR="00B9085E" w:rsidRPr="00A05836" w:rsidRDefault="00AE6670" w:rsidP="006C4785">
      <w:pPr>
        <w:spacing w:after="120"/>
        <w:jc w:val="both"/>
        <w:rPr>
          <w:rFonts w:ascii="Times New Roman" w:hAnsi="Times New Roman" w:cs="Times New Roman"/>
          <w:noProof/>
          <w:sz w:val="24"/>
          <w:szCs w:val="24"/>
        </w:rPr>
      </w:pPr>
      <w:r w:rsidRPr="00A05836">
        <w:rPr>
          <w:rFonts w:ascii="Times New Roman" w:hAnsi="Times New Roman"/>
          <w:b/>
          <w:noProof/>
          <w:sz w:val="24"/>
        </w:rPr>
        <w:t>Obiectiv.</w:t>
      </w:r>
      <w:r w:rsidRPr="00A05836">
        <w:rPr>
          <w:rFonts w:ascii="Times New Roman" w:hAnsi="Times New Roman"/>
          <w:noProof/>
          <w:sz w:val="24"/>
        </w:rPr>
        <w:t xml:space="preserve"> Comisia își va utiliza instrumentele pentru a menține și a dezvolta capacitatea și capabilitățile strategice de producție în UE, în special prin: (i) promovarea </w:t>
      </w:r>
      <w:r w:rsidRPr="00A05836">
        <w:rPr>
          <w:rFonts w:ascii="Times New Roman" w:hAnsi="Times New Roman"/>
          <w:b/>
          <w:noProof/>
          <w:sz w:val="24"/>
        </w:rPr>
        <w:t>investițiilor</w:t>
      </w:r>
      <w:r w:rsidRPr="00A05836">
        <w:rPr>
          <w:rFonts w:ascii="Times New Roman" w:hAnsi="Times New Roman"/>
          <w:noProof/>
          <w:sz w:val="24"/>
        </w:rPr>
        <w:t xml:space="preserve"> publice și private și, după caz, reducerea riscurilor aferente acestor investiții; (ii) </w:t>
      </w:r>
      <w:r w:rsidRPr="00A05836">
        <w:rPr>
          <w:rFonts w:ascii="Times New Roman" w:hAnsi="Times New Roman"/>
          <w:b/>
          <w:noProof/>
          <w:sz w:val="24"/>
        </w:rPr>
        <w:t>sprijinirea cererii</w:t>
      </w:r>
      <w:r w:rsidRPr="00A05836">
        <w:rPr>
          <w:rFonts w:ascii="Times New Roman" w:hAnsi="Times New Roman"/>
          <w:noProof/>
          <w:sz w:val="24"/>
        </w:rPr>
        <w:t xml:space="preserve"> (stimulente) și prin agregare sau achiziționare în comun;</w:t>
      </w:r>
      <w:r w:rsidRPr="00A05836">
        <w:rPr>
          <w:rFonts w:ascii="Times New Roman" w:hAnsi="Times New Roman"/>
          <w:b/>
          <w:noProof/>
          <w:sz w:val="24"/>
        </w:rPr>
        <w:t xml:space="preserve"> </w:t>
      </w:r>
      <w:r w:rsidRPr="00A05836">
        <w:rPr>
          <w:rFonts w:ascii="Times New Roman" w:hAnsi="Times New Roman"/>
          <w:noProof/>
          <w:sz w:val="24"/>
        </w:rPr>
        <w:t xml:space="preserve">(iii) </w:t>
      </w:r>
      <w:r w:rsidRPr="00A05836">
        <w:rPr>
          <w:rFonts w:ascii="Times New Roman" w:hAnsi="Times New Roman"/>
          <w:b/>
          <w:noProof/>
          <w:sz w:val="24"/>
        </w:rPr>
        <w:t>prevenirea relocării</w:t>
      </w:r>
      <w:r w:rsidRPr="00A05836">
        <w:rPr>
          <w:rFonts w:ascii="Times New Roman" w:hAnsi="Times New Roman"/>
          <w:noProof/>
          <w:sz w:val="24"/>
        </w:rPr>
        <w:t xml:space="preserve"> capacităților și sectoarelor strategice; (iv) </w:t>
      </w:r>
      <w:r w:rsidRPr="00A05836">
        <w:rPr>
          <w:rFonts w:ascii="Times New Roman" w:hAnsi="Times New Roman"/>
          <w:b/>
          <w:noProof/>
          <w:sz w:val="24"/>
        </w:rPr>
        <w:t>eliminarea treptată a</w:t>
      </w:r>
      <w:r w:rsidRPr="00A05836">
        <w:rPr>
          <w:rFonts w:ascii="Times New Roman" w:hAnsi="Times New Roman"/>
          <w:noProof/>
          <w:sz w:val="24"/>
        </w:rPr>
        <w:t xml:space="preserve"> </w:t>
      </w:r>
      <w:r w:rsidRPr="00A05836">
        <w:rPr>
          <w:rFonts w:ascii="Times New Roman" w:hAnsi="Times New Roman"/>
          <w:b/>
          <w:noProof/>
          <w:sz w:val="24"/>
        </w:rPr>
        <w:t>actorilor potențial ostili</w:t>
      </w:r>
      <w:r w:rsidRPr="00A05836">
        <w:rPr>
          <w:rFonts w:ascii="Times New Roman" w:hAnsi="Times New Roman"/>
          <w:noProof/>
          <w:sz w:val="24"/>
        </w:rPr>
        <w:t xml:space="preserve"> din domeniul apărării și din alte lanțuri de aprovizionare critice, inclusiv limitarea achizițiilor publice din afara UE de tehnologii critice restricționate în domeniul apărării și al spațiului; (v) atenuarea </w:t>
      </w:r>
      <w:r w:rsidRPr="00A05836">
        <w:rPr>
          <w:rFonts w:ascii="Times New Roman" w:hAnsi="Times New Roman"/>
          <w:b/>
          <w:noProof/>
          <w:sz w:val="24"/>
        </w:rPr>
        <w:t>amenințărilor reprezentate de investițiile străine directe</w:t>
      </w:r>
      <w:r w:rsidRPr="00A05836">
        <w:rPr>
          <w:rFonts w:ascii="Times New Roman" w:hAnsi="Times New Roman"/>
          <w:noProof/>
          <w:sz w:val="24"/>
        </w:rPr>
        <w:t xml:space="preserve"> în întreprinderi care furnizează produse sau tehnologii critice, (vi) </w:t>
      </w:r>
      <w:r w:rsidRPr="00A05836">
        <w:rPr>
          <w:rFonts w:ascii="Times New Roman" w:hAnsi="Times New Roman"/>
          <w:b/>
          <w:noProof/>
          <w:sz w:val="24"/>
        </w:rPr>
        <w:t>sprijinirea dezvoltării de tehnologii, componente și materiale critice</w:t>
      </w:r>
      <w:r w:rsidRPr="00A05836">
        <w:rPr>
          <w:rFonts w:ascii="Times New Roman" w:hAnsi="Times New Roman"/>
          <w:noProof/>
          <w:sz w:val="24"/>
        </w:rPr>
        <w:t xml:space="preserve"> în UE, urmând obiective pe termen lung, precum și a achizițiilor lor interne pentru infrastructuri instituționale; (vii) asigurarea faptului că </w:t>
      </w:r>
      <w:r w:rsidRPr="00A05836">
        <w:rPr>
          <w:rFonts w:ascii="Times New Roman" w:hAnsi="Times New Roman"/>
          <w:b/>
          <w:noProof/>
          <w:sz w:val="24"/>
        </w:rPr>
        <w:t>start-upurile și întreprinderile</w:t>
      </w:r>
      <w:r w:rsidRPr="00A05836">
        <w:rPr>
          <w:rFonts w:ascii="Times New Roman" w:hAnsi="Times New Roman"/>
          <w:noProof/>
          <w:sz w:val="24"/>
        </w:rPr>
        <w:t xml:space="preserve"> din UE dispun de condițiile necesare pentru a se extinde, de exemplu, printr-o finanțare adecvată și printr-un tratament tarifar favorabil temporar pentru anumiți factori de producție, precum și printr-un ecosistem favorabil al piețelor de capital.</w:t>
      </w:r>
    </w:p>
    <w:p w14:paraId="6819E330" w14:textId="253983C4" w:rsidR="00AE6670" w:rsidRPr="00A05836" w:rsidRDefault="00AE6670" w:rsidP="00B9085E">
      <w:pPr>
        <w:spacing w:after="120"/>
        <w:jc w:val="both"/>
        <w:rPr>
          <w:rFonts w:ascii="Times New Roman" w:hAnsi="Times New Roman" w:cs="Times New Roman"/>
          <w:noProof/>
          <w:sz w:val="24"/>
          <w:szCs w:val="24"/>
        </w:rPr>
      </w:pPr>
      <w:r w:rsidRPr="00A05836">
        <w:rPr>
          <w:rFonts w:ascii="Times New Roman" w:hAnsi="Times New Roman"/>
          <w:noProof/>
          <w:sz w:val="24"/>
        </w:rPr>
        <w:t xml:space="preserve">Prioritatea va fi sprijinirea </w:t>
      </w:r>
      <w:r w:rsidRPr="00A05836">
        <w:rPr>
          <w:rFonts w:ascii="Times New Roman" w:hAnsi="Times New Roman"/>
          <w:b/>
          <w:noProof/>
          <w:sz w:val="24"/>
        </w:rPr>
        <w:t>bazei industriale de apărare și spațiale</w:t>
      </w:r>
      <w:r w:rsidRPr="00A05836">
        <w:rPr>
          <w:rFonts w:ascii="Times New Roman" w:hAnsi="Times New Roman"/>
          <w:noProof/>
          <w:sz w:val="24"/>
        </w:rPr>
        <w:t xml:space="preserve">. Deși, în perioada imediat următoare, se va pune accentul pe situațiile specifice cu grad ridicat de risc identificate în procesul de evaluare a riscurilor, Comisia va monitoriza îndeaproape, din perspectiva securității economice, toate industriile esențiale, cum ar fi tehnologiile curate, industria energetică și industriile energointensive și circulare, industria agroalimentară, industria digitală și electronică, industria aviatică (inclusiv cea aeronautică), industria construcțiilor navale, industria autovehiculelor și industria medicală. </w:t>
      </w:r>
    </w:p>
    <w:p w14:paraId="12A7E678" w14:textId="48964D2F" w:rsidR="009043D0" w:rsidRPr="00A05836" w:rsidRDefault="009A5CA9" w:rsidP="007C42A6">
      <w:pPr>
        <w:spacing w:after="120"/>
        <w:jc w:val="both"/>
        <w:rPr>
          <w:rFonts w:ascii="Times New Roman" w:hAnsi="Times New Roman" w:cs="Times New Roman"/>
          <w:noProof/>
          <w:sz w:val="24"/>
          <w:szCs w:val="24"/>
          <w:u w:val="single"/>
        </w:rPr>
      </w:pPr>
      <w:r w:rsidRPr="00A05836">
        <w:rPr>
          <w:rFonts w:ascii="Times New Roman" w:hAnsi="Times New Roman"/>
          <w:noProof/>
          <w:sz w:val="24"/>
          <w:u w:val="single"/>
        </w:rPr>
        <w:t>3.4. Dezvoltarea și menținerea poziției de lider în domeniul tehnologiilor critice</w:t>
      </w:r>
    </w:p>
    <w:p w14:paraId="4E4144DD" w14:textId="5045A872" w:rsidR="009043D0" w:rsidRPr="00A05836" w:rsidRDefault="009009F5" w:rsidP="009A00B3">
      <w:pPr>
        <w:spacing w:after="120"/>
        <w:jc w:val="both"/>
        <w:rPr>
          <w:rFonts w:ascii="Times New Roman" w:eastAsiaTheme="minorEastAsia" w:hAnsi="Times New Roman" w:cs="Times New Roman"/>
          <w:noProof/>
          <w:sz w:val="24"/>
          <w:szCs w:val="24"/>
        </w:rPr>
      </w:pPr>
      <w:r w:rsidRPr="00A05836">
        <w:rPr>
          <w:noProof/>
          <w:lang w:val="en-GB" w:eastAsia="en-GB"/>
        </w:rPr>
        <mc:AlternateContent>
          <mc:Choice Requires="wps">
            <w:drawing>
              <wp:anchor distT="0" distB="0" distL="114300" distR="114300" simplePos="0" relativeHeight="251658242" behindDoc="0" locked="0" layoutInCell="1" allowOverlap="1" wp14:anchorId="20E4D167" wp14:editId="12F58925">
                <wp:simplePos x="0" y="0"/>
                <wp:positionH relativeFrom="column">
                  <wp:posOffset>-5715</wp:posOffset>
                </wp:positionH>
                <wp:positionV relativeFrom="paragraph">
                  <wp:posOffset>588728</wp:posOffset>
                </wp:positionV>
                <wp:extent cx="3119120" cy="1404620"/>
                <wp:effectExtent l="0" t="0" r="24130" b="24765"/>
                <wp:wrapSquare wrapText="bothSides"/>
                <wp:docPr id="26348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120" cy="1404620"/>
                        </a:xfrm>
                        <a:prstGeom prst="rect">
                          <a:avLst/>
                        </a:prstGeom>
                        <a:solidFill>
                          <a:srgbClr val="FFFFFF"/>
                        </a:solidFill>
                        <a:ln w="9525">
                          <a:solidFill>
                            <a:srgbClr val="000000"/>
                          </a:solidFill>
                          <a:miter lim="800000"/>
                          <a:headEnd/>
                          <a:tailEnd/>
                        </a:ln>
                      </wps:spPr>
                      <wps:txbx>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Exemplu de aplicare: tehnologia cuantică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Entitățile străine sprijinite de stat sau cu risc ridicat urmăresc să obțină acces la informatica cuantică, la comunicațiile cuantice și la know-how-ul și infrastructurile de detectare cuantică ale UE prin investiții, achiziții sau parteneriate în domeniul cercetării și dezvoltării, accelerând utilizările militare/ale informațiilor operative sensibile în străinătate și erodând suveranitatea tehnologică a UE.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Utilizarea instrumentelor</w:t>
                            </w:r>
                            <w:r>
                              <w:rPr>
                                <w:rFonts w:ascii="Times New Roman" w:hAnsi="Times New Roman"/>
                              </w:rPr>
                              <w:t>: Comisia va continua să cartografieze principalii actori/principalele infrastructuri în domeniul tehnologiei cuantice din UE și să urmărească investițiile străine, parteneriatele și fluxurile de proprietate intelectuală pentru a contribui la examinarea ISD, la controlul exporturilor și la evaluările riscurilor în materie de securitate a cercetării.</w:t>
                            </w:r>
                            <w:r>
                              <w:rPr>
                                <w:rFonts w:ascii="Times New Roman" w:hAnsi="Times New Roman"/>
                                <w:b/>
                              </w:rPr>
                              <w:t xml:space="preserve"> </w:t>
                            </w:r>
                            <w:r>
                              <w:rPr>
                                <w:rFonts w:ascii="Times New Roman" w:hAnsi="Times New Roman"/>
                              </w:rPr>
                              <w:t>Comisia își va utiliza instrumentele pentru a investiga investițiile care prezintă riscuri și pentru a colabora cu statele membre în vederea coordonării răspunsurilor rapide la tentativele de preluări ostile sau la cazurile de scurgeri.</w:t>
                            </w:r>
                            <w:r>
                              <w:rPr>
                                <w:rFonts w:ascii="Times New Roman" w:hAnsi="Times New Roman"/>
                                <w:b/>
                              </w:rPr>
                              <w:t xml:space="preserve"> </w:t>
                            </w:r>
                            <w:r>
                              <w:rPr>
                                <w:rFonts w:ascii="Times New Roman" w:hAnsi="Times New Roman"/>
                              </w:rPr>
                              <w:t>Pentru a sprijini obiectivele de securitate economică, Comisia va acorda</w:t>
                            </w:r>
                            <w:r>
                              <w:rPr>
                                <w:rFonts w:ascii="Times New Roman" w:hAnsi="Times New Roman"/>
                                <w:b/>
                              </w:rPr>
                              <w:t xml:space="preserve"> </w:t>
                            </w:r>
                            <w:r>
                              <w:rPr>
                                <w:rFonts w:ascii="Times New Roman" w:hAnsi="Times New Roman"/>
                              </w:rPr>
                              <w:t>prioritate finanțării și furnizorilor din UE/din țările care împărtășesc aceeași viziune pentru componentele și serviciile cuantice critice și va limita dependența de furnizorii de tehnologii cuantice/servicii cloud cu grad ridicat de risc în sectoarele sensibile.</w:t>
                            </w:r>
                            <w:r>
                              <w:rPr>
                                <w:rFonts w:ascii="Times New Roman" w:hAnsi="Times New Roman"/>
                                <w:b/>
                              </w:rPr>
                              <w:t xml:space="preserve"> </w:t>
                            </w:r>
                            <w:r>
                              <w:rPr>
                                <w:rFonts w:ascii="Times New Roman" w:hAnsi="Times New Roman"/>
                              </w:rPr>
                              <w:t>Comisia va urmări, de asemenea, să se asigure că entitățile aflate sub influență străină nejustificată nu au acces la proiecte cuantice sensibile.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0E4D167" id="_x0000_s1031" type="#_x0000_t202" style="position:absolute;left:0;text-align:left;margin-left:-.45pt;margin-top:46.35pt;width:245.6pt;height:11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">
                <v:textbox style="mso-fit-shape-to-text:t">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Exemplu de aplicare: tehnologia cuantică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Risc</w:t>
                      </w:r>
                      <w:r>
                        <w:rPr>
                          <w:rFonts w:ascii="Times New Roman" w:hAnsi="Times New Roman"/>
                        </w:rPr>
                        <w:t xml:space="preserve">: Entitățile străine sprijinite de stat sau cu risc ridicat urmăresc să obțină acces la informatica cuantică, la comunicațiile cuantice și la know-how-ul și infrastructurile de detectare cuantică ale UE prin investiții, achiziții sau parteneriate în domeniul cercetării și dezvoltării, accelerând utilizările militare/ale informațiilor operative sensibile în străinătate și erodând suveranitatea tehnologică a UE.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Utilizarea instrumentelor</w:t>
                      </w:r>
                      <w:r>
                        <w:rPr>
                          <w:rFonts w:ascii="Times New Roman" w:hAnsi="Times New Roman"/>
                        </w:rPr>
                        <w:t>: Comisia va continua să cartografieze principalii actori/principalele infrastructuri în domeniul tehnologiei cuantice din UE și să urmărească investițiile străine, parteneriatele și fluxurile de proprietate intelectuală pentru a contribui la examinarea ISD, la controlul exporturilor și la evaluările riscurilor în materie de securitate a cercetării.</w:t>
                      </w:r>
                      <w:r>
                        <w:rPr>
                          <w:rFonts w:ascii="Times New Roman" w:hAnsi="Times New Roman"/>
                          <w:b/>
                        </w:rPr>
                        <w:t xml:space="preserve"> </w:t>
                      </w:r>
                      <w:r>
                        <w:rPr>
                          <w:rFonts w:ascii="Times New Roman" w:hAnsi="Times New Roman"/>
                        </w:rPr>
                        <w:t>Comisia își va utiliza instrumentele pentru a investiga investițiile care prezintă riscuri și pentru a colabora cu statele membre în vederea coordonării răspunsurilor rapide la tentativele de preluări ostile sau la cazurile de scurgeri.</w:t>
                      </w:r>
                      <w:r>
                        <w:rPr>
                          <w:rFonts w:ascii="Times New Roman" w:hAnsi="Times New Roman"/>
                          <w:b/>
                        </w:rPr>
                        <w:t xml:space="preserve"> </w:t>
                      </w:r>
                      <w:r>
                        <w:rPr>
                          <w:rFonts w:ascii="Times New Roman" w:hAnsi="Times New Roman"/>
                        </w:rPr>
                        <w:t>Pentru a sprijini obiectivele de securitate economică, Comisia va acorda</w:t>
                      </w:r>
                      <w:r>
                        <w:rPr>
                          <w:rFonts w:ascii="Times New Roman" w:hAnsi="Times New Roman"/>
                          <w:b/>
                        </w:rPr>
                        <w:t xml:space="preserve"> </w:t>
                      </w:r>
                      <w:r>
                        <w:rPr>
                          <w:rFonts w:ascii="Times New Roman" w:hAnsi="Times New Roman"/>
                        </w:rPr>
                        <w:t>prioritate finanțării și furnizorilor din UE/din țările care împărtășesc aceeași viziune pentru componentele și serviciile cuantice critice și va limita dependența de furnizorii de tehnologii cuantice/servicii cloud cu grad ridicat de risc în sectoarele sensibile.</w:t>
                      </w:r>
                      <w:r>
                        <w:rPr>
                          <w:rFonts w:ascii="Times New Roman" w:hAnsi="Times New Roman"/>
                          <w:b/>
                        </w:rPr>
                        <w:t xml:space="preserve"> </w:t>
                      </w:r>
                      <w:r>
                        <w:rPr>
                          <w:rFonts w:ascii="Times New Roman" w:hAnsi="Times New Roman"/>
                        </w:rPr>
                        <w:t>Comisia va urmări, de asemenea, să se asigure că entitățile aflate sub influență străină nejustificată nu au acces la proiecte cuantice sensibile.</w:t>
                      </w:r>
                    </w:p>
                  </w:txbxContent>
                </v:textbox>
                <w10:wrap type="square"/>
              </v:shape>
            </w:pict>
          </mc:Fallback>
        </mc:AlternateContent>
      </w:r>
      <w:r w:rsidRPr="00A05836">
        <w:rPr>
          <w:rFonts w:ascii="Times New Roman" w:hAnsi="Times New Roman"/>
          <w:b/>
          <w:noProof/>
          <w:sz w:val="24"/>
        </w:rPr>
        <w:t>Riscul.</w:t>
      </w:r>
      <w:r w:rsidRPr="00A05836">
        <w:rPr>
          <w:rFonts w:ascii="Times New Roman" w:hAnsi="Times New Roman"/>
          <w:noProof/>
          <w:sz w:val="24"/>
        </w:rPr>
        <w:t xml:space="preserve"> Anumite țări terțe și întreprinderi și-au manifestat interesul de a dobândi controlul asupra tehnologiei și know-how-ului emergente sau avansate ale UE. În unele cazuri, astfel de acțiuni au vizat compromiterea capacității Uniunii de a concura în domeniul tehnologiei. Aceste țări terțe și întreprinderi încearcă să își atingă obiectivul, de exemplu, prin achiziții, cooperare în domeniul cercetării și dezvoltării, inginerie inversă sau spionaj industrial. Acest lucru se realizează, de asemenea, prin reducerea artificială a cotei de piață a întreprinderilor mai inovatoare, ceea ce, la rândul său, duce la mai puține venituri disponibile pentru a investi în cercetare și dezvoltare de vârf. Pe termen lung, performanța economică, securitatea și poziția geopolitică a UE vor depinde de menținerea și dezvoltarea capacităților noastre tehnologice.</w:t>
      </w:r>
      <w:r w:rsidRPr="00A05836">
        <w:rPr>
          <w:noProof/>
          <w:sz w:val="24"/>
        </w:rPr>
        <w:t xml:space="preserve"> </w:t>
      </w:r>
      <w:r w:rsidRPr="00A05836">
        <w:rPr>
          <w:rFonts w:ascii="Times New Roman" w:hAnsi="Times New Roman"/>
          <w:noProof/>
          <w:sz w:val="24"/>
        </w:rPr>
        <w:t>Prin urmare, menținerea capacităților UE în ceea ce privește aceste tehnologii, prin consolidarea instrumentelor de finanțare specifice ale UE și prin abordarea securității tehnologice și a scurgerilor de tehnologie, are o importanță strategică. În același timp, trebuie să se acorde o atenție deosebită aplicării și respectării tot mai fragmentate a controalelor exporturilor de produse cu dublă utilizare.</w:t>
      </w:r>
    </w:p>
    <w:p w14:paraId="6E4CF745" w14:textId="19AA2866" w:rsidR="00FC4F56" w:rsidRPr="00A05836" w:rsidRDefault="009043D0" w:rsidP="009A00B3">
      <w:pPr>
        <w:spacing w:after="120"/>
        <w:jc w:val="both"/>
        <w:rPr>
          <w:rFonts w:ascii="Times New Roman" w:eastAsiaTheme="minorEastAsia" w:hAnsi="Times New Roman" w:cs="Times New Roman"/>
          <w:noProof/>
          <w:sz w:val="24"/>
          <w:szCs w:val="24"/>
        </w:rPr>
      </w:pPr>
      <w:r w:rsidRPr="00A05836">
        <w:rPr>
          <w:rFonts w:ascii="Times New Roman" w:hAnsi="Times New Roman"/>
          <w:b/>
          <w:noProof/>
          <w:sz w:val="24"/>
        </w:rPr>
        <w:t>Obiectiv.</w:t>
      </w:r>
      <w:r w:rsidRPr="00A05836">
        <w:rPr>
          <w:rFonts w:ascii="Times New Roman" w:hAnsi="Times New Roman"/>
          <w:noProof/>
          <w:sz w:val="24"/>
        </w:rPr>
        <w:t xml:space="preserve"> Comisia își va utiliza instrumentele pentru a sprijini un cadru pozitiv pentru dezvoltarea tehnologiilor critice în UE și pentru a preveni acțiunile care subminează eforturile UE, prin abordarea denaturărilor. Comisia va monitoriza evoluțiile pieței și va oferi sprijin suplimentar pentru activitățile de cercetare și inovare din UE, care sunt desfășurate de start-upuri și întreprinderi în fază de extindere, de întreprinderi consacrate, de organizații din domeniul cercetării și inovării și de mediul academic. Comisia se va concentra pe asigurarea implementării industriale și a valorificării realizărilor în materie de cercetare, dezvoltare și inovare în baza industrială a pieței unice. </w:t>
      </w:r>
      <w:bookmarkStart w:id="7" w:name="_Hlk215406023"/>
      <w:r w:rsidRPr="00A05836">
        <w:rPr>
          <w:rFonts w:ascii="Times New Roman" w:hAnsi="Times New Roman"/>
          <w:noProof/>
          <w:sz w:val="24"/>
        </w:rPr>
        <w:t>Al 28-lea regim, care oferă întreprinderilor un set unic și armonizat de norme la nivelul UE pentru constituirea, guvernanța, mobilitatea și accesul la finanțare al întreprinderilor, va consolida reziliența economică a UE prin facilitarea unor operațiuni transfrontaliere mai sigure și a unor lanțuri de aprovizionare mai solide și mai diversificate.</w:t>
      </w:r>
      <w:bookmarkEnd w:id="7"/>
    </w:p>
    <w:p w14:paraId="38FB9FC3" w14:textId="487C7309" w:rsidR="009043D0" w:rsidRPr="00A05836" w:rsidRDefault="009043D0" w:rsidP="009A00B3">
      <w:pPr>
        <w:spacing w:after="120"/>
        <w:jc w:val="both"/>
        <w:rPr>
          <w:rFonts w:ascii="Times New Roman" w:eastAsiaTheme="minorEastAsia" w:hAnsi="Times New Roman" w:cs="Times New Roman"/>
          <w:noProof/>
          <w:sz w:val="24"/>
          <w:szCs w:val="24"/>
        </w:rPr>
      </w:pPr>
      <w:r w:rsidRPr="00A05836">
        <w:rPr>
          <w:rFonts w:ascii="Times New Roman" w:hAnsi="Times New Roman"/>
          <w:noProof/>
          <w:sz w:val="24"/>
        </w:rPr>
        <w:t>Comisia va promova securitatea cercetării și inovării și va lua măsurile de sprijin necesare pentru a atenua riscul de scurgere de tehnologie sau know-how, de exemplu prin achiziții agresive, prin cooperare în domeniul cercetării și dezvoltării și prin investiții pe piețele strategice și emergente ale UE în destinații sau sectoare sensibile, continuând, în același timp, să promoveze parteneriate internaționale de încredere în domeniul cercetării și inovării, care sunt esențiale pentru obiectivele de securitate economică ale Uniunii. Comisia va analiza modalitățile de asigurare a faptului că întreprinderile și organizațiile din domeniul cercetării și inovării din UE se pot extinde și pot evita achizițiile/transferurile de proprietate determinate exclusiv de oportunitățile de finanțare insuficiente din surse de încredere. În același timp, Comisia va încerca să prevină accesul entităților cu grad ridicat de risc la acțiunile sprijinite de Uniune în domeniul tehnologiei critice, care ar putea fi folosite drept armă împotriva UE.</w:t>
      </w:r>
    </w:p>
    <w:p w14:paraId="51400B6C" w14:textId="3F43D4E1" w:rsidR="00240B10" w:rsidRPr="00A05836" w:rsidRDefault="00FF21A9" w:rsidP="007C42A6">
      <w:pPr>
        <w:spacing w:after="120"/>
        <w:jc w:val="both"/>
        <w:rPr>
          <w:rFonts w:ascii="Times New Roman" w:hAnsi="Times New Roman" w:cs="Times New Roman"/>
          <w:noProof/>
          <w:sz w:val="24"/>
          <w:szCs w:val="24"/>
          <w:u w:val="single"/>
        </w:rPr>
      </w:pPr>
      <w:r w:rsidRPr="00A05836">
        <w:rPr>
          <w:rFonts w:ascii="Times New Roman" w:hAnsi="Times New Roman"/>
          <w:noProof/>
          <w:sz w:val="24"/>
          <w:lang w:val="en-GB" w:eastAsia="en-GB"/>
        </w:rPr>
        <mc:AlternateContent>
          <mc:Choice Requires="wps">
            <w:drawing>
              <wp:anchor distT="45720" distB="45720" distL="114300" distR="114300" simplePos="0" relativeHeight="251658244" behindDoc="0" locked="0" layoutInCell="1" allowOverlap="1" wp14:anchorId="6B7C965E" wp14:editId="207C4897">
                <wp:simplePos x="0" y="0"/>
                <wp:positionH relativeFrom="column">
                  <wp:posOffset>3089275</wp:posOffset>
                </wp:positionH>
                <wp:positionV relativeFrom="paragraph">
                  <wp:posOffset>461645</wp:posOffset>
                </wp:positionV>
                <wp:extent cx="2727325" cy="1404620"/>
                <wp:effectExtent l="0" t="0" r="15875" b="22225"/>
                <wp:wrapSquare wrapText="bothSides"/>
                <wp:docPr id="30040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404620"/>
                        </a:xfrm>
                        <a:prstGeom prst="rect">
                          <a:avLst/>
                        </a:prstGeom>
                        <a:solidFill>
                          <a:srgbClr val="FFFFFF"/>
                        </a:solidFill>
                        <a:ln w="9525">
                          <a:solidFill>
                            <a:srgbClr val="000000"/>
                          </a:solidFill>
                          <a:miter lim="800000"/>
                          <a:headEnd/>
                          <a:tailEnd/>
                        </a:ln>
                      </wps:spPr>
                      <wps:txbx>
                        <w:txbxContent>
                          <w:p w14:paraId="5B877B5E" w14:textId="4B7DC9B2" w:rsidR="00CD3145" w:rsidRPr="00815C83" w:rsidRDefault="00CB3EA4" w:rsidP="00CD3145">
                            <w:pPr>
                              <w:spacing w:after="0"/>
                              <w:jc w:val="center"/>
                              <w:rPr>
                                <w:rFonts w:ascii="Times New Roman" w:hAnsi="Times New Roman" w:cs="Times New Roman"/>
                                <w:b/>
                                <w:bCs/>
                                <w:i/>
                                <w:iCs/>
                              </w:rPr>
                            </w:pPr>
                            <w:r>
                              <w:rPr>
                                <w:rFonts w:ascii="Times New Roman" w:hAnsi="Times New Roman"/>
                                <w:b/>
                                <w:i/>
                              </w:rPr>
                              <w:t>Exemplu: echipamentele de detectare la frontierele UE (porturi, aeroporturi, frontiere terestre etc.)</w:t>
                            </w:r>
                          </w:p>
                          <w:p w14:paraId="7794BDC8" w14:textId="77777777" w:rsidR="00C52F79" w:rsidRPr="00815C83" w:rsidRDefault="00C52F79" w:rsidP="00CD3145">
                            <w:pPr>
                              <w:spacing w:after="0"/>
                              <w:jc w:val="both"/>
                              <w:rPr>
                                <w:rFonts w:ascii="Times New Roman" w:hAnsi="Times New Roman" w:cs="Times New Roman"/>
                                <w:b/>
                                <w:bCs/>
                              </w:rPr>
                            </w:pPr>
                          </w:p>
                          <w:p w14:paraId="20418C6E" w14:textId="0CFBFB72" w:rsidR="00CD3145" w:rsidRPr="00815C83" w:rsidRDefault="00CD3145" w:rsidP="00CD3145">
                            <w:pPr>
                              <w:spacing w:after="0"/>
                              <w:jc w:val="both"/>
                              <w:rPr>
                                <w:rFonts w:ascii="Times New Roman" w:hAnsi="Times New Roman" w:cs="Times New Roman"/>
                              </w:rPr>
                            </w:pPr>
                            <w:r>
                              <w:rPr>
                                <w:rFonts w:ascii="Times New Roman" w:hAnsi="Times New Roman"/>
                                <w:b/>
                              </w:rPr>
                              <w:t>Risc</w:t>
                            </w:r>
                            <w:r>
                              <w:rPr>
                                <w:rFonts w:ascii="Times New Roman" w:hAnsi="Times New Roman"/>
                              </w:rPr>
                              <w:t>:  lipsa unor practici comune în întreaga UE, dependența de un singur furnizor sau de un număr limitat de furnizori, accesul neautorizat (inclusiv prin canale autorizate, de exemplu serviciile de întreținere) care afectează performanța echipamentelor de detectare și integritatea și/sau confidențialitatea informațiilor sensibile aferente, vulnerabilitatea la programele malware care ar putea compromite sau denatura informațiile/sistemele/rețelele conexe prin intermediul echipamentelor.</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Pr>
                                <w:rFonts w:ascii="Times New Roman" w:hAnsi="Times New Roman"/>
                                <w:b/>
                              </w:rPr>
                              <w:t>Utilizarea instrumentelor</w:t>
                            </w:r>
                            <w:r>
                              <w:rPr>
                                <w:rFonts w:ascii="Times New Roman" w:hAnsi="Times New Roman"/>
                              </w:rPr>
                              <w:t>: pe</w:t>
                            </w:r>
                            <w:r>
                              <w:rPr>
                                <w:rFonts w:ascii="Times New Roman" w:hAnsi="Times New Roman"/>
                                <w:b/>
                              </w:rPr>
                              <w:t xml:space="preserve"> </w:t>
                            </w:r>
                            <w:r>
                              <w:rPr>
                                <w:rFonts w:ascii="Times New Roman" w:hAnsi="Times New Roman"/>
                              </w:rPr>
                              <w:t>baza</w:t>
                            </w:r>
                            <w:r>
                              <w:rPr>
                                <w:rFonts w:ascii="Times New Roman" w:hAnsi="Times New Roman"/>
                                <w:b/>
                              </w:rPr>
                              <w:t xml:space="preserve"> </w:t>
                            </w:r>
                            <w:r>
                              <w:rPr>
                                <w:rFonts w:ascii="Times New Roman" w:hAnsi="Times New Roman"/>
                              </w:rPr>
                              <w:t>evaluării riscurilor în materie de securitate cibernetică în temeiul Directivei NIS 2, Comisia va încerca să atenueze riscurile identificate prin identificarea furnizorilor cu grad ridicat de risc, să utilizeze sisteme de certificare a securității cibernetice, să consolideze standardele de securitate cibernetică și să integreze cerințele de securitate în procedurile de achiziții publice. Comisia va evalua rolul potențial al subvențiilor străine în acordarea unui avantaj competitiv anumitor furnizori.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C965E" id="_x0000_s1032" type="#_x0000_t202" style="position:absolute;left:0;text-align:left;margin-left:243.25pt;margin-top:36.35pt;width:214.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">
                <v:textbox style="mso-fit-shape-to-text:t">
                  <w:txbxContent>
                    <w:p w14:paraId="5B877B5E" w14:textId="4B7DC9B2" w:rsidR="00CD3145" w:rsidRPr="00815C83" w:rsidRDefault="00CB3EA4" w:rsidP="00CD3145">
                      <w:pPr>
                        <w:spacing w:after="0"/>
                        <w:jc w:val="center"/>
                        <w:rPr>
                          <w:rFonts w:ascii="Times New Roman" w:hAnsi="Times New Roman" w:cs="Times New Roman"/>
                          <w:b/>
                          <w:bCs/>
                          <w:i/>
                          <w:iCs/>
                        </w:rPr>
                      </w:pPr>
                      <w:r>
                        <w:rPr>
                          <w:rFonts w:ascii="Times New Roman" w:hAnsi="Times New Roman"/>
                          <w:b/>
                          <w:i/>
                        </w:rPr>
                        <w:t>Exemplu: echipamentele de detectare la frontierele UE (porturi, aeroporturi, frontiere terestre etc.)</w:t>
                      </w:r>
                    </w:p>
                    <w:p w14:paraId="7794BDC8" w14:textId="77777777" w:rsidR="00C52F79" w:rsidRPr="00815C83" w:rsidRDefault="00C52F79" w:rsidP="00CD3145">
                      <w:pPr>
                        <w:spacing w:after="0"/>
                        <w:jc w:val="both"/>
                        <w:rPr>
                          <w:rFonts w:ascii="Times New Roman" w:hAnsi="Times New Roman" w:cs="Times New Roman"/>
                          <w:b/>
                          <w:bCs/>
                        </w:rPr>
                      </w:pPr>
                    </w:p>
                    <w:p w14:paraId="20418C6E" w14:textId="0CFBFB72" w:rsidR="00CD3145" w:rsidRPr="00815C83" w:rsidRDefault="00CD3145" w:rsidP="00CD3145">
                      <w:pPr>
                        <w:spacing w:after="0"/>
                        <w:jc w:val="both"/>
                        <w:rPr>
                          <w:rFonts w:ascii="Times New Roman" w:hAnsi="Times New Roman" w:cs="Times New Roman"/>
                        </w:rPr>
                      </w:pPr>
                      <w:r>
                        <w:rPr>
                          <w:rFonts w:ascii="Times New Roman" w:hAnsi="Times New Roman"/>
                          <w:b/>
                        </w:rPr>
                        <w:t>Risc</w:t>
                      </w:r>
                      <w:r>
                        <w:rPr>
                          <w:rFonts w:ascii="Times New Roman" w:hAnsi="Times New Roman"/>
                        </w:rPr>
                        <w:t>:  lipsa unor practici comune în întreaga UE, dependența de un singur furnizor sau de un număr limitat de furnizori, accesul neautorizat (inclusiv prin canale autorizate, de exemplu serviciile de întreținere) care afectează performanța echipamentelor de detectare și integritatea și/sau confidențialitatea informațiilor sensibile aferente, vulnerabilitatea la programele malware care ar putea compromite sau denatura informațiile/sistemele/rețelele conexe prin intermediul echipamentelor.</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Pr>
                          <w:rFonts w:ascii="Times New Roman" w:hAnsi="Times New Roman"/>
                          <w:b/>
                        </w:rPr>
                        <w:t>Utilizarea instrumentelor</w:t>
                      </w:r>
                      <w:r>
                        <w:rPr>
                          <w:rFonts w:ascii="Times New Roman" w:hAnsi="Times New Roman"/>
                        </w:rPr>
                        <w:t>: pe</w:t>
                      </w:r>
                      <w:r>
                        <w:rPr>
                          <w:rFonts w:ascii="Times New Roman" w:hAnsi="Times New Roman"/>
                          <w:b/>
                        </w:rPr>
                        <w:t xml:space="preserve"> </w:t>
                      </w:r>
                      <w:r>
                        <w:rPr>
                          <w:rFonts w:ascii="Times New Roman" w:hAnsi="Times New Roman"/>
                        </w:rPr>
                        <w:t>baza</w:t>
                      </w:r>
                      <w:r>
                        <w:rPr>
                          <w:rFonts w:ascii="Times New Roman" w:hAnsi="Times New Roman"/>
                          <w:b/>
                        </w:rPr>
                        <w:t xml:space="preserve"> </w:t>
                      </w:r>
                      <w:r>
                        <w:rPr>
                          <w:rFonts w:ascii="Times New Roman" w:hAnsi="Times New Roman"/>
                        </w:rPr>
                        <w:t>evaluării riscurilor în materie de securitate cibernetică în temeiul Directivei NIS 2, Comisia va încerca să atenueze riscurile identificate prin identificarea furnizorilor cu grad ridicat de risc, să utilizeze sisteme de certificare a securității cibernetice, să consolideze standardele de securitate cibernetică și să integreze cerințele de securitate în procedurile de achiziții publice. Comisia va evalua rolul potențial al subvențiilor străine în acordarea unui avantaj competitiv anumitor furnizori.</w:t>
                      </w:r>
                    </w:p>
                  </w:txbxContent>
                </v:textbox>
                <w10:wrap type="square"/>
              </v:shape>
            </w:pict>
          </mc:Fallback>
        </mc:AlternateContent>
      </w:r>
      <w:r w:rsidRPr="00A05836">
        <w:rPr>
          <w:rFonts w:ascii="Times New Roman" w:hAnsi="Times New Roman"/>
          <w:noProof/>
          <w:sz w:val="24"/>
          <w:u w:val="single"/>
        </w:rPr>
        <w:t>3.5. Prevenirea accesului la informații și date sensibile care ar putea submina securitatea economică a UE</w:t>
      </w:r>
    </w:p>
    <w:p w14:paraId="21031BDB" w14:textId="501A1A86" w:rsidR="00240B10" w:rsidRPr="00A05836" w:rsidRDefault="00240B10" w:rsidP="009A00B3">
      <w:pPr>
        <w:spacing w:after="120"/>
        <w:jc w:val="both"/>
        <w:rPr>
          <w:rFonts w:ascii="Times New Roman" w:eastAsiaTheme="minorEastAsia" w:hAnsi="Times New Roman" w:cs="Times New Roman"/>
          <w:noProof/>
          <w:sz w:val="24"/>
          <w:szCs w:val="24"/>
        </w:rPr>
      </w:pPr>
      <w:r w:rsidRPr="00A05836">
        <w:rPr>
          <w:rFonts w:ascii="Times New Roman" w:hAnsi="Times New Roman"/>
          <w:b/>
          <w:noProof/>
          <w:sz w:val="24"/>
        </w:rPr>
        <w:t>Riscul.</w:t>
      </w:r>
      <w:r w:rsidRPr="00A05836">
        <w:rPr>
          <w:rFonts w:ascii="Times New Roman" w:hAnsi="Times New Roman"/>
          <w:noProof/>
          <w:sz w:val="24"/>
        </w:rPr>
        <w:t xml:space="preserve"> Țările terțe obțin acces la informații/date sensibile ale UE sau ale statelor sale membre, fie ca urmare a desfășurării unor activități de spionaj industrial sau a furnizării de hardware sau software utilizat în anumite produse (de exemplu, vehicule conectate, 5G/alte rețele de telecomunicații, infrastructura rețelei de energie electrică, platforme de secvențiere a ADN-ului), fie ca urmare a dreptului lor de proprietate și a controlului asupra anumitor întreprinderi care dețin informații/date sensibile (de exemplu, operatori portuari, aeroportuari și de trafic, rețele financiare, modele de IA, portaluri de date, telecomunicații, date cu caracter personal sau informații sensibile privind piața). Există implicații clare pentru securitatea și ordinea publică, care sunt agravate și mai mult de potențialele efecte economice, de exemplu cele legate de fragmentarea lanțurilor de aprovizionare. În sectorul energetic, de exemplu, acest risc se extinde la achiziționarea de către investitori din afara UE a unor întreprinderi din UE care dețin tehnologii avansate pentru monitorizarea și prelucrarea datelor operaționale provenite de la infrastructura energetică critică. </w:t>
      </w:r>
    </w:p>
    <w:p w14:paraId="0F50706F" w14:textId="4367C250" w:rsidR="00240B10" w:rsidRPr="00A05836" w:rsidRDefault="3AE84B53" w:rsidP="009A00B3">
      <w:pPr>
        <w:spacing w:after="120"/>
        <w:jc w:val="both"/>
        <w:rPr>
          <w:rFonts w:ascii="Times New Roman" w:hAnsi="Times New Roman" w:cs="Times New Roman"/>
          <w:noProof/>
          <w:sz w:val="24"/>
          <w:szCs w:val="24"/>
        </w:rPr>
      </w:pPr>
      <w:r w:rsidRPr="00A05836">
        <w:rPr>
          <w:rFonts w:ascii="Times New Roman" w:hAnsi="Times New Roman"/>
          <w:b/>
          <w:noProof/>
          <w:sz w:val="24"/>
        </w:rPr>
        <w:t>Obiectiv.</w:t>
      </w:r>
      <w:r w:rsidRPr="00A05836">
        <w:rPr>
          <w:rFonts w:ascii="Times New Roman" w:hAnsi="Times New Roman"/>
          <w:noProof/>
          <w:sz w:val="24"/>
        </w:rPr>
        <w:t xml:space="preserve"> Reducerea și, acolo unde este posibil, eliminarea riscului de acces al entităților cu grad ridicat de risc și al entităților afiliate la informații/date sensibile ale UE sau ale statelor sale membre și, prin urmare, limitarea potențialelor efecte negative asupra economiei și securității UE. De asemenea, se va acorda atenție riscului potențial prezentat de lucrătorii străini din sectoarele strategice și de studenții străini din învățământul superior, inclusiv din domeniul științelor, tehnologiei, ingineriei și matematicii (STEM), în conformitate cu procedurile relevante.</w:t>
      </w:r>
    </w:p>
    <w:p w14:paraId="4B8E188C" w14:textId="7D6024B4" w:rsidR="00BE71D4" w:rsidRPr="00A05836" w:rsidRDefault="009A5CA9" w:rsidP="00815C83">
      <w:pPr>
        <w:rPr>
          <w:noProof/>
          <w:sz w:val="24"/>
          <w:szCs w:val="24"/>
          <w:u w:val="single"/>
        </w:rPr>
      </w:pPr>
      <w:r w:rsidRPr="00A05836">
        <w:rPr>
          <w:rFonts w:ascii="Times New Roman" w:hAnsi="Times New Roman"/>
          <w:noProof/>
          <w:sz w:val="24"/>
          <w:u w:val="single"/>
        </w:rPr>
        <w:t>3.6. Prevenirea și atenuarea perturbărilor infrastructurii critice a UE care afectează economia UE</w:t>
      </w:r>
    </w:p>
    <w:p w14:paraId="4CEC5394" w14:textId="63FACDCE" w:rsidR="00281014" w:rsidRPr="00A05836" w:rsidRDefault="71BDDFCF" w:rsidP="00AC628B">
      <w:pPr>
        <w:spacing w:after="120"/>
        <w:jc w:val="both"/>
        <w:rPr>
          <w:rFonts w:ascii="Times New Roman" w:hAnsi="Times New Roman" w:cs="Times New Roman"/>
          <w:noProof/>
          <w:sz w:val="24"/>
          <w:szCs w:val="24"/>
        </w:rPr>
      </w:pPr>
      <w:r w:rsidRPr="00A05836">
        <w:rPr>
          <w:rFonts w:ascii="Times New Roman" w:hAnsi="Times New Roman"/>
          <w:b/>
          <w:noProof/>
          <w:sz w:val="24"/>
        </w:rPr>
        <w:t>Riscul.</w:t>
      </w:r>
      <w:r w:rsidRPr="00A05836">
        <w:rPr>
          <w:rFonts w:ascii="Times New Roman" w:hAnsi="Times New Roman"/>
          <w:noProof/>
          <w:sz w:val="24"/>
        </w:rPr>
        <w:t xml:space="preserve"> Infrastructura critică a UE – inclusiv transporturile, sistemele spațiale, infrastructura energetică și de comunicații, în special cele care sunt identificate ca fiind strategice pentru mobilitatea militară – poate fi perturbată de actori străini, ceea ce ar putea duce la efecte în cascadă asupra economiei europene. Accentul se va pune pe asigurarea stabilității serviciilor furnizate. Perturbările ar putea apărea în urma unor atacuri fizice, cibernetice sau hibride, inclusiv sabotajul unor întregi instalații sau al unor părți/subcomponente ale acestora. Perturbările ar putea fi, de asemenea, legate de lanțurile de aprovizionare cu TIC, care stau la baza componentelor sau serviciilor critice și chiar a infrastructurilor critice. Există, de asemenea, un risc de poziționare prealabilă a operatorilor și țărilor terțe cu grad ridicat de risc în infrastructura critică a UE, în vederea dobândirii capacității de a o perturba (atunci când și dacă este necesar). În plus, există un risc reputațional și de credibilitate în cazul în care anumite infrastructuri sunt amenințate sau afectate efectiv. În cele din urmă, există un risc legat de asumarea de către țările terțe a unui rol de lider în stabilirea standardelor internaționale, ceea ce poate afecta infrastructura critică. </w:t>
      </w:r>
    </w:p>
    <w:p w14:paraId="1FCAAE56" w14:textId="63F5DA1D" w:rsidR="00BE71D4" w:rsidRPr="00A05836" w:rsidRDefault="00FA245D" w:rsidP="00815C83">
      <w:pPr>
        <w:spacing w:after="120"/>
        <w:jc w:val="both"/>
        <w:rPr>
          <w:rFonts w:ascii="Times New Roman" w:hAnsi="Times New Roman" w:cs="Times New Roman"/>
          <w:i/>
          <w:iCs/>
          <w:noProof/>
          <w:sz w:val="24"/>
          <w:szCs w:val="24"/>
        </w:rPr>
      </w:pPr>
      <w:r w:rsidRPr="00A05836">
        <w:rPr>
          <w:noProof/>
          <w:lang w:val="en-GB" w:eastAsia="en-GB"/>
        </w:rPr>
        <mc:AlternateContent>
          <mc:Choice Requires="wps">
            <w:drawing>
              <wp:anchor distT="45720" distB="45720" distL="114300" distR="114300" simplePos="0" relativeHeight="251658243" behindDoc="0" locked="0" layoutInCell="1" allowOverlap="1" wp14:anchorId="461A6176" wp14:editId="5413D862">
                <wp:simplePos x="0" y="0"/>
                <wp:positionH relativeFrom="column">
                  <wp:posOffset>14605</wp:posOffset>
                </wp:positionH>
                <wp:positionV relativeFrom="paragraph">
                  <wp:posOffset>170815</wp:posOffset>
                </wp:positionV>
                <wp:extent cx="3371850" cy="4756150"/>
                <wp:effectExtent l="0" t="0" r="19050" b="25400"/>
                <wp:wrapSquare wrapText="bothSides"/>
                <wp:docPr id="293065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756150"/>
                        </a:xfrm>
                        <a:prstGeom prst="rect">
                          <a:avLst/>
                        </a:prstGeom>
                        <a:solidFill>
                          <a:srgbClr val="FFFFFF"/>
                        </a:solidFill>
                        <a:ln w="9525">
                          <a:solidFill>
                            <a:srgbClr val="000000"/>
                          </a:solidFill>
                          <a:miter lim="800000"/>
                          <a:headEnd/>
                          <a:tailEnd/>
                        </a:ln>
                      </wps:spPr>
                      <wps:txbx>
                        <w:txbxContent>
                          <w:p w14:paraId="706D4AC8" w14:textId="0CBC87B7" w:rsidR="00D431B5" w:rsidRPr="00815C83" w:rsidRDefault="00C52F79" w:rsidP="00D431B5">
                            <w:pPr>
                              <w:spacing w:after="0"/>
                              <w:jc w:val="center"/>
                              <w:rPr>
                                <w:rFonts w:ascii="Times New Roman" w:hAnsi="Times New Roman" w:cs="Times New Roman"/>
                                <w:b/>
                                <w:bCs/>
                                <w:i/>
                                <w:iCs/>
                              </w:rPr>
                            </w:pPr>
                            <w:r>
                              <w:rPr>
                                <w:rFonts w:ascii="Times New Roman" w:hAnsi="Times New Roman"/>
                                <w:b/>
                                <w:i/>
                              </w:rPr>
                              <w:t>Exemplu: invertoarele solare</w:t>
                            </w:r>
                          </w:p>
                          <w:p w14:paraId="2BDACEB9" w14:textId="698974F7" w:rsidR="00D431B5" w:rsidRPr="00815C83" w:rsidRDefault="00D431B5" w:rsidP="0024025E">
                            <w:pPr>
                              <w:spacing w:after="0"/>
                              <w:jc w:val="both"/>
                              <w:rPr>
                                <w:rFonts w:ascii="Times New Roman" w:hAnsi="Times New Roman" w:cs="Times New Roman"/>
                              </w:rPr>
                            </w:pPr>
                            <w:r>
                              <w:rPr>
                                <w:rFonts w:ascii="Times New Roman" w:hAnsi="Times New Roman"/>
                                <w:b/>
                              </w:rPr>
                              <w:t>Risc</w:t>
                            </w:r>
                            <w:r>
                              <w:rPr>
                                <w:rFonts w:ascii="Times New Roman" w:hAnsi="Times New Roman"/>
                              </w:rPr>
                              <w:t>: creșterea dependenței de un singur furnizor; riscuri cibernetice – manipularea parametrilor de producție a energiei electrice, împiedicarea producției de energie electrică, accesul la date operaționale, infiltrarea actorilor din lanțul de aprovizionare.</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Pr>
                                <w:rFonts w:ascii="Times New Roman" w:hAnsi="Times New Roman"/>
                                <w:b/>
                              </w:rPr>
                              <w:t>Utilizarea instrumentelor</w:t>
                            </w:r>
                            <w:r>
                              <w:rPr>
                                <w:rFonts w:ascii="Times New Roman" w:hAnsi="Times New Roman"/>
                              </w:rPr>
                              <w:t>: Comisia va continua să evalueze riscurile cibernetice printr-o evaluare coordonată în cadrul Directivei NIS 2 (care urmează să se încheie în 2026). Pe această bază, Comisia va pune în aplicare măsuri de atenuare axate atât pe consolidarea pregătirii (de exemplu, Regulamentul privind pregătirea pentru riscuri în sectorul energiei electrice, Directiva privind entitățile critice), cât și pe abordarea vulnerabilităților identificate, de exemplu, prin: certificarea și standardizarea în temeiul Regulamentului privind reziliența cibernetică și criteriile nelegate de preț în temeiul Regulamentului privind industria „zero net”.</w:t>
                            </w:r>
                            <w:r>
                              <w:rPr>
                                <w:rFonts w:ascii="Times New Roman" w:hAnsi="Times New Roman"/>
                                <w:b/>
                              </w:rPr>
                              <w:t xml:space="preserve"> </w:t>
                            </w:r>
                            <w:r>
                              <w:rPr>
                                <w:rFonts w:ascii="Times New Roman" w:hAnsi="Times New Roman"/>
                              </w:rPr>
                              <w:t>Comisia va monitoriza evoluțiile pieței și va încerca să</w:t>
                            </w:r>
                            <w:r>
                              <w:rPr>
                                <w:rFonts w:ascii="Times New Roman" w:hAnsi="Times New Roman"/>
                                <w:b/>
                              </w:rPr>
                              <w:t xml:space="preserve"> </w:t>
                            </w:r>
                            <w:r>
                              <w:rPr>
                                <w:rFonts w:ascii="Times New Roman" w:hAnsi="Times New Roman"/>
                              </w:rPr>
                              <w:t>prevină sau să atenueze investițiile cu grad ridicat de risc. Comisia va continua să evalueze rolul subvențiilor străine care pot denatura condițiile de concurență echitabile de pe piețele energiei solare, în special prin importuri care fac obiectul unor subvenții.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A6176" id="_x0000_s1033" type="#_x0000_t202" style="position:absolute;left:0;text-align:left;margin-left:1.15pt;margin-top:13.45pt;width:265.5pt;height:374.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">
                <v:textbox>
                  <w:txbxContent>
                    <w:p w14:paraId="706D4AC8" w14:textId="0CBC87B7" w:rsidR="00D431B5" w:rsidRPr="00815C83" w:rsidRDefault="00C52F79" w:rsidP="00D431B5">
                      <w:pPr>
                        <w:spacing w:after="0"/>
                        <w:jc w:val="center"/>
                        <w:rPr>
                          <w:rFonts w:ascii="Times New Roman" w:hAnsi="Times New Roman" w:cs="Times New Roman"/>
                          <w:b/>
                          <w:bCs/>
                          <w:i/>
                          <w:iCs/>
                        </w:rPr>
                      </w:pPr>
                      <w:r>
                        <w:rPr>
                          <w:rFonts w:ascii="Times New Roman" w:hAnsi="Times New Roman"/>
                          <w:b/>
                          <w:i/>
                        </w:rPr>
                        <w:t>Exemplu: invertoarele solare</w:t>
                      </w:r>
                    </w:p>
                    <w:p w14:paraId="2BDACEB9" w14:textId="698974F7" w:rsidR="00D431B5" w:rsidRPr="00815C83" w:rsidRDefault="00D431B5" w:rsidP="0024025E">
                      <w:pPr>
                        <w:spacing w:after="0"/>
                        <w:jc w:val="both"/>
                        <w:rPr>
                          <w:rFonts w:ascii="Times New Roman" w:hAnsi="Times New Roman" w:cs="Times New Roman"/>
                        </w:rPr>
                      </w:pPr>
                      <w:r>
                        <w:rPr>
                          <w:rFonts w:ascii="Times New Roman" w:hAnsi="Times New Roman"/>
                          <w:b/>
                        </w:rPr>
                        <w:t>Risc</w:t>
                      </w:r>
                      <w:r>
                        <w:rPr>
                          <w:rFonts w:ascii="Times New Roman" w:hAnsi="Times New Roman"/>
                        </w:rPr>
                        <w:t>: creșterea dependenței de un singur furnizor; riscuri cibernetice – manipularea parametrilor de producție a energiei electrice, împiedicarea producției de energie electrică, accesul la date operaționale, infiltrarea actorilor din lanțul de aprovizionare.</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Pr>
                          <w:rFonts w:ascii="Times New Roman" w:hAnsi="Times New Roman"/>
                          <w:b/>
                        </w:rPr>
                        <w:t>Utilizarea instrumentelor</w:t>
                      </w:r>
                      <w:r>
                        <w:rPr>
                          <w:rFonts w:ascii="Times New Roman" w:hAnsi="Times New Roman"/>
                        </w:rPr>
                        <w:t>: Comisia va continua să evalueze riscurile cibernetice printr-o evaluare coordonată în cadrul Directivei NIS 2 (care urmează să se încheie în 2026). Pe această bază, Comisia va pune în aplicare măsuri de atenuare axate atât pe consolidarea pregătirii (de exemplu, Regulamentul privind pregătirea pentru riscuri în sectorul energiei electrice, Directiva privind entitățile critice), cât și pe abordarea vulnerabilităților identificate, de exemplu, prin: certificarea și standardizarea în temeiul Regulamentului privind reziliența cibernetică și criteriile nelegate de preț în temeiul Regulamentului privind industria „zero net”.</w:t>
                      </w:r>
                      <w:r>
                        <w:rPr>
                          <w:rFonts w:ascii="Times New Roman" w:hAnsi="Times New Roman"/>
                          <w:b/>
                        </w:rPr>
                        <w:t xml:space="preserve"> </w:t>
                      </w:r>
                      <w:r>
                        <w:rPr>
                          <w:rFonts w:ascii="Times New Roman" w:hAnsi="Times New Roman"/>
                        </w:rPr>
                        <w:t>Comisia va monitoriza evoluțiile pieței și va încerca să</w:t>
                      </w:r>
                      <w:r>
                        <w:rPr>
                          <w:rFonts w:ascii="Times New Roman" w:hAnsi="Times New Roman"/>
                          <w:b/>
                        </w:rPr>
                        <w:t xml:space="preserve"> </w:t>
                      </w:r>
                      <w:r>
                        <w:rPr>
                          <w:rFonts w:ascii="Times New Roman" w:hAnsi="Times New Roman"/>
                        </w:rPr>
                        <w:t>prevină sau să atenueze investițiile cu grad ridicat de risc. Comisia va continua să evalueze rolul subvențiilor străine care pot denatura condițiile de concurență echitabile de pe piețele energiei solare, în special prin importuri care fac obiectul unor subvenții.</w:t>
                      </w:r>
                    </w:p>
                  </w:txbxContent>
                </v:textbox>
                <w10:wrap type="square"/>
              </v:shape>
            </w:pict>
          </mc:Fallback>
        </mc:AlternateContent>
      </w:r>
      <w:r w:rsidRPr="00A05836">
        <w:rPr>
          <w:rFonts w:ascii="Times New Roman" w:hAnsi="Times New Roman"/>
          <w:b/>
          <w:noProof/>
          <w:sz w:val="24"/>
        </w:rPr>
        <w:t>Obiectiv.</w:t>
      </w:r>
      <w:r w:rsidRPr="00A05836">
        <w:rPr>
          <w:rFonts w:ascii="Times New Roman" w:hAnsi="Times New Roman"/>
          <w:noProof/>
          <w:sz w:val="24"/>
        </w:rPr>
        <w:t xml:space="preserve"> În conformitate cu strategiile relevante ale UE în materie de apărare, securitate internă și pregătire, asigurarea respectării normelor existente pentru a reduce riscul de scurgeri de date/spionaj și de perturbare fizică și cibernetică, în special prin: (i) </w:t>
      </w:r>
      <w:r w:rsidRPr="00A05836">
        <w:rPr>
          <w:rFonts w:ascii="Times New Roman" w:hAnsi="Times New Roman"/>
          <w:b/>
          <w:noProof/>
          <w:sz w:val="24"/>
        </w:rPr>
        <w:t xml:space="preserve">limitarea dreptului de proprietate/control/exploatare al entităților cu grad ridicat de risc </w:t>
      </w:r>
      <w:r w:rsidRPr="00A05836">
        <w:rPr>
          <w:rFonts w:ascii="Times New Roman" w:hAnsi="Times New Roman"/>
          <w:noProof/>
          <w:sz w:val="24"/>
        </w:rPr>
        <w:t xml:space="preserve">asupra infrastructurii critice europene; (ii) sporirea măsurilor de </w:t>
      </w:r>
      <w:r w:rsidRPr="00A05836">
        <w:rPr>
          <w:rFonts w:ascii="Times New Roman" w:hAnsi="Times New Roman"/>
          <w:b/>
          <w:noProof/>
          <w:sz w:val="24"/>
        </w:rPr>
        <w:t>protecție fizică</w:t>
      </w:r>
      <w:r w:rsidRPr="00A05836">
        <w:rPr>
          <w:rFonts w:ascii="Times New Roman" w:hAnsi="Times New Roman"/>
          <w:noProof/>
          <w:sz w:val="24"/>
        </w:rPr>
        <w:t xml:space="preserve">; (iii) </w:t>
      </w:r>
      <w:r w:rsidRPr="00A05836">
        <w:rPr>
          <w:rFonts w:ascii="Times New Roman" w:hAnsi="Times New Roman"/>
          <w:b/>
          <w:noProof/>
          <w:sz w:val="24"/>
        </w:rPr>
        <w:t>limitarea vulnerabilităților cibernetice</w:t>
      </w:r>
      <w:r w:rsidRPr="00A05836">
        <w:rPr>
          <w:rFonts w:ascii="Times New Roman" w:hAnsi="Times New Roman"/>
          <w:noProof/>
          <w:sz w:val="24"/>
        </w:rPr>
        <w:t xml:space="preserve">, precum și (iv) </w:t>
      </w:r>
      <w:r w:rsidRPr="00A05836">
        <w:rPr>
          <w:rFonts w:ascii="Times New Roman" w:hAnsi="Times New Roman"/>
          <w:b/>
          <w:noProof/>
          <w:sz w:val="24"/>
        </w:rPr>
        <w:t>limitarea dependențelor de furnizori unici sau de furnizori cu grad ridicat de risc</w:t>
      </w:r>
      <w:r w:rsidRPr="00A05836">
        <w:rPr>
          <w:rFonts w:ascii="Times New Roman" w:hAnsi="Times New Roman"/>
          <w:noProof/>
          <w:sz w:val="24"/>
        </w:rPr>
        <w:t xml:space="preserve">, precum și a vulnerabilităților ascunse, a ușilor secrete sau a potențialelor perturbări sistemice ale aprovizionării cu TIC, în special în cazurile de blocaj tehnologic sau de dependență de furnizori; (v) </w:t>
      </w:r>
      <w:r w:rsidRPr="00A05836">
        <w:rPr>
          <w:rFonts w:ascii="Times New Roman" w:hAnsi="Times New Roman"/>
          <w:b/>
          <w:noProof/>
          <w:sz w:val="24"/>
        </w:rPr>
        <w:t>rezervarea capacităților critice de producție ale UE</w:t>
      </w:r>
      <w:r w:rsidRPr="00A05836">
        <w:rPr>
          <w:rFonts w:ascii="Times New Roman" w:hAnsi="Times New Roman"/>
          <w:noProof/>
          <w:sz w:val="24"/>
        </w:rPr>
        <w:t xml:space="preserve"> cu potențial de extindere în perioade de perturbări ale lanțului de aprovizionare sau de crize sanitare la nivel mondial; (vi)</w:t>
      </w:r>
      <w:r w:rsidRPr="00A05836">
        <w:rPr>
          <w:rFonts w:ascii="Times New Roman" w:hAnsi="Times New Roman"/>
          <w:i/>
          <w:noProof/>
          <w:sz w:val="24"/>
        </w:rPr>
        <w:t xml:space="preserve"> </w:t>
      </w:r>
      <w:r w:rsidRPr="00A05836">
        <w:rPr>
          <w:rFonts w:ascii="Times New Roman" w:hAnsi="Times New Roman"/>
          <w:noProof/>
          <w:sz w:val="24"/>
        </w:rPr>
        <w:t xml:space="preserve">activitatea Comisiei de a </w:t>
      </w:r>
      <w:r w:rsidRPr="00A05836">
        <w:rPr>
          <w:rFonts w:ascii="Times New Roman" w:hAnsi="Times New Roman"/>
          <w:b/>
          <w:noProof/>
          <w:sz w:val="24"/>
        </w:rPr>
        <w:t>împiedica accesul entităților cu grad ridicat de risc la acțiunile sprijinite de Uniune</w:t>
      </w:r>
      <w:r w:rsidRPr="00A05836">
        <w:rPr>
          <w:rFonts w:ascii="Times New Roman" w:hAnsi="Times New Roman"/>
          <w:noProof/>
          <w:sz w:val="24"/>
        </w:rPr>
        <w:t xml:space="preserve">, inclusiv la acțiunile sprijinite de instituții și instrumente financiare publice; ; (vii) sprijinirea </w:t>
      </w:r>
      <w:r w:rsidRPr="00A05836">
        <w:rPr>
          <w:rFonts w:ascii="Times New Roman" w:hAnsi="Times New Roman"/>
          <w:b/>
          <w:noProof/>
          <w:sz w:val="24"/>
        </w:rPr>
        <w:t>dezvoltării unor furnizori de încredere de subcomponente critice</w:t>
      </w:r>
      <w:r w:rsidRPr="00A05836">
        <w:rPr>
          <w:rFonts w:ascii="Times New Roman" w:hAnsi="Times New Roman"/>
          <w:noProof/>
          <w:sz w:val="24"/>
        </w:rPr>
        <w:t xml:space="preserve"> în UE și în țări terțe de încredere, astfel încât să existe alternative viabile; (viii) sprijinirea </w:t>
      </w:r>
      <w:r w:rsidRPr="00A05836">
        <w:rPr>
          <w:rFonts w:ascii="Times New Roman" w:hAnsi="Times New Roman"/>
          <w:b/>
          <w:noProof/>
          <w:sz w:val="24"/>
        </w:rPr>
        <w:t>inițiativelor emblematice</w:t>
      </w:r>
      <w:r w:rsidRPr="00A05836">
        <w:rPr>
          <w:rFonts w:ascii="Times New Roman" w:hAnsi="Times New Roman"/>
          <w:noProof/>
          <w:sz w:val="24"/>
        </w:rPr>
        <w:t xml:space="preserve"> în domeniul apărării și în domenii conexe (Supravegherea flancului estic, Inițiativa europeană de apărare împotriva dronelor).</w:t>
      </w:r>
    </w:p>
    <w:p w14:paraId="3627F229" w14:textId="2F65C038" w:rsidR="006521E0" w:rsidRPr="00A05836" w:rsidRDefault="009A5CA9" w:rsidP="009A00B3">
      <w:pPr>
        <w:spacing w:after="120"/>
        <w:jc w:val="both"/>
        <w:rPr>
          <w:rFonts w:ascii="Times New Roman" w:hAnsi="Times New Roman" w:cs="Times New Roman"/>
          <w:b/>
          <w:bCs/>
          <w:i/>
          <w:iCs/>
          <w:noProof/>
          <w:sz w:val="24"/>
          <w:szCs w:val="24"/>
          <w:u w:val="single"/>
        </w:rPr>
      </w:pPr>
      <w:r w:rsidRPr="00A05836">
        <w:rPr>
          <w:rFonts w:ascii="Times New Roman" w:hAnsi="Times New Roman"/>
          <w:b/>
          <w:i/>
          <w:noProof/>
          <w:sz w:val="24"/>
          <w:u w:val="single"/>
        </w:rPr>
        <w:t>4. Acțiuni de consolidare a securității economice a UE</w:t>
      </w:r>
    </w:p>
    <w:p w14:paraId="50A90D91" w14:textId="58F8CD6D" w:rsidR="00EA7968" w:rsidRPr="00A05836" w:rsidRDefault="00EA7968" w:rsidP="00EA7968">
      <w:pPr>
        <w:spacing w:after="120"/>
        <w:jc w:val="both"/>
        <w:rPr>
          <w:rFonts w:ascii="Times New Roman" w:hAnsi="Times New Roman" w:cs="Times New Roman"/>
          <w:noProof/>
          <w:sz w:val="24"/>
          <w:szCs w:val="24"/>
        </w:rPr>
      </w:pPr>
      <w:r w:rsidRPr="00A05836">
        <w:rPr>
          <w:rFonts w:ascii="Times New Roman" w:hAnsi="Times New Roman"/>
          <w:noProof/>
          <w:sz w:val="24"/>
        </w:rPr>
        <w:t>Accesul la informații de calitate și analiza aprofundată a acestora reprezintă punctul de plecare pentru o politică și un proces decizional eficace și bine informate în materie de securitate economică la nivelul UE. Sistemul de evaluare a riscurilor lansat de Strategia din 2023 va rămâne în centrul acestor eforturi. Evaluările existente vor fi actualizate, aprofundate și completate de altele noi la nivelul tehnologiilor critice și al lanțurilor de aprovizionare.</w:t>
      </w:r>
    </w:p>
    <w:p w14:paraId="007A4919" w14:textId="15048321" w:rsidR="00EA7968" w:rsidRPr="00A05836" w:rsidRDefault="00EA7968" w:rsidP="00EA7968">
      <w:pPr>
        <w:spacing w:after="120"/>
        <w:jc w:val="both"/>
        <w:rPr>
          <w:rFonts w:ascii="Times New Roman" w:hAnsi="Times New Roman" w:cs="Times New Roman"/>
          <w:noProof/>
          <w:sz w:val="24"/>
          <w:szCs w:val="24"/>
        </w:rPr>
      </w:pPr>
      <w:r w:rsidRPr="00A05836">
        <w:rPr>
          <w:rFonts w:ascii="Times New Roman" w:hAnsi="Times New Roman"/>
          <w:noProof/>
          <w:sz w:val="24"/>
        </w:rPr>
        <w:t xml:space="preserve">Comisia își va dezvolta în continuare capacitatea de colectare a informațiilor privind securitatea economică. Comisia va accelera </w:t>
      </w:r>
      <w:r w:rsidRPr="00A05836">
        <w:rPr>
          <w:rFonts w:ascii="Times New Roman" w:hAnsi="Times New Roman"/>
          <w:b/>
          <w:noProof/>
          <w:sz w:val="24"/>
        </w:rPr>
        <w:t>cartografierea dependențelor strategice de-a lungul lanțurilor valorice</w:t>
      </w:r>
      <w:r w:rsidRPr="00A05836">
        <w:rPr>
          <w:noProof/>
        </w:rPr>
        <w:t xml:space="preserve"> </w:t>
      </w:r>
      <w:r w:rsidRPr="00A05836">
        <w:rPr>
          <w:rFonts w:ascii="Times New Roman" w:hAnsi="Times New Roman"/>
          <w:b/>
          <w:noProof/>
          <w:sz w:val="24"/>
        </w:rPr>
        <w:t xml:space="preserve">care conduc la vulnerabilități pentru economia Uniunii </w:t>
      </w:r>
      <w:r w:rsidRPr="00A05836">
        <w:rPr>
          <w:rFonts w:ascii="Times New Roman" w:hAnsi="Times New Roman"/>
          <w:noProof/>
          <w:sz w:val="24"/>
        </w:rPr>
        <w:t>și</w:t>
      </w:r>
      <w:r w:rsidRPr="00A05836">
        <w:rPr>
          <w:rFonts w:ascii="Times New Roman" w:hAnsi="Times New Roman"/>
          <w:b/>
          <w:noProof/>
          <w:sz w:val="24"/>
        </w:rPr>
        <w:t xml:space="preserve"> </w:t>
      </w:r>
      <w:r w:rsidRPr="00A05836">
        <w:rPr>
          <w:rFonts w:ascii="Times New Roman" w:hAnsi="Times New Roman"/>
          <w:noProof/>
          <w:sz w:val="24"/>
        </w:rPr>
        <w:t xml:space="preserve">va consolida </w:t>
      </w:r>
      <w:r w:rsidRPr="00A05836">
        <w:rPr>
          <w:rFonts w:ascii="Times New Roman" w:hAnsi="Times New Roman"/>
          <w:b/>
          <w:noProof/>
          <w:sz w:val="24"/>
        </w:rPr>
        <w:t>monitorizarea și anticiparea acțiunilor</w:t>
      </w:r>
      <w:r w:rsidRPr="00A05836">
        <w:rPr>
          <w:rFonts w:ascii="Times New Roman" w:hAnsi="Times New Roman"/>
          <w:noProof/>
          <w:sz w:val="24"/>
        </w:rPr>
        <w:t xml:space="preserve"> </w:t>
      </w:r>
      <w:r w:rsidRPr="00A05836">
        <w:rPr>
          <w:rFonts w:ascii="Times New Roman" w:hAnsi="Times New Roman"/>
          <w:b/>
          <w:noProof/>
          <w:sz w:val="24"/>
        </w:rPr>
        <w:t>întreprinse de țările terțe</w:t>
      </w:r>
      <w:r w:rsidRPr="00A05836">
        <w:rPr>
          <w:rFonts w:ascii="Times New Roman" w:hAnsi="Times New Roman"/>
          <w:noProof/>
          <w:sz w:val="24"/>
        </w:rPr>
        <w:t xml:space="preserve"> pentru a crea noi dependențe sau pentru a le menține pe cele existente. </w:t>
      </w:r>
    </w:p>
    <w:p w14:paraId="6E52FA41" w14:textId="66A96447" w:rsidR="00EA7968" w:rsidRPr="00A05836" w:rsidRDefault="00EA7968" w:rsidP="00EA7968">
      <w:pPr>
        <w:spacing w:after="120"/>
        <w:jc w:val="both"/>
        <w:rPr>
          <w:rFonts w:ascii="Times New Roman" w:hAnsi="Times New Roman" w:cs="Times New Roman"/>
          <w:noProof/>
          <w:sz w:val="24"/>
          <w:szCs w:val="24"/>
        </w:rPr>
      </w:pPr>
      <w:r w:rsidRPr="00A05836">
        <w:rPr>
          <w:rFonts w:ascii="Times New Roman" w:hAnsi="Times New Roman"/>
          <w:noProof/>
          <w:sz w:val="24"/>
        </w:rPr>
        <w:t xml:space="preserve">Totodată, succesul politicii de securitate economică a UE va depinde de o </w:t>
      </w:r>
      <w:r w:rsidRPr="00A05836">
        <w:rPr>
          <w:rFonts w:ascii="Times New Roman" w:hAnsi="Times New Roman"/>
          <w:b/>
          <w:noProof/>
          <w:sz w:val="24"/>
        </w:rPr>
        <w:t>mai bună coordonare atât la nivelul UE, cât și cu statele membre</w:t>
      </w:r>
      <w:r w:rsidRPr="00A05836">
        <w:rPr>
          <w:rFonts w:ascii="Times New Roman" w:hAnsi="Times New Roman"/>
          <w:noProof/>
          <w:sz w:val="24"/>
        </w:rPr>
        <w:t>. Aceasta include construirea unei înțelegeri comune a amenințărilor la adresa securității economice, identificarea riscurilor concrete și elaborarea unor măsuri de atenuare. Acest lucru ar trebui să se bazeze pe fluxuri de informații mai bune, pe o înțelegere deplină a costurilor și beneficiilor acțiunilor UE și pe disponibilitatea de a acționa în comun atunci când este necesar, plasând UE într-o poziție de forță. Comisia a luat măsurile organizatorice interne necesare. Însă acest lucru necesită, de asemenea, un nou mod de lucru cu statele membre și, din ce în ce mai mult, între statele membre și în interiorul acestora, în special în ceea ce privește domeniile de politică care sunt din ce în ce mai strategice, dar care au fost în mod tradițional descentralizate, cum ar fi cercetarea și inovarea.</w:t>
      </w:r>
    </w:p>
    <w:p w14:paraId="005775F9" w14:textId="1A5DAE7E" w:rsidR="00EA7968" w:rsidRPr="00A05836" w:rsidRDefault="677A7A27" w:rsidP="00EA7968">
      <w:pPr>
        <w:spacing w:after="120"/>
        <w:jc w:val="both"/>
        <w:rPr>
          <w:rFonts w:ascii="Times New Roman" w:hAnsi="Times New Roman" w:cs="Times New Roman"/>
          <w:noProof/>
          <w:sz w:val="24"/>
          <w:szCs w:val="24"/>
        </w:rPr>
      </w:pPr>
      <w:r w:rsidRPr="00A05836">
        <w:rPr>
          <w:rFonts w:ascii="Times New Roman" w:hAnsi="Times New Roman"/>
          <w:noProof/>
          <w:sz w:val="24"/>
        </w:rPr>
        <w:t xml:space="preserve">UE va continua să colaboreze îndeaproape cu </w:t>
      </w:r>
      <w:r w:rsidRPr="00A05836">
        <w:rPr>
          <w:rFonts w:ascii="Times New Roman" w:hAnsi="Times New Roman"/>
          <w:b/>
          <w:noProof/>
          <w:sz w:val="24"/>
        </w:rPr>
        <w:t>industria,</w:t>
      </w:r>
      <w:r w:rsidRPr="00A05836">
        <w:rPr>
          <w:rFonts w:ascii="Times New Roman" w:hAnsi="Times New Roman"/>
          <w:noProof/>
          <w:sz w:val="24"/>
        </w:rPr>
        <w:t xml:space="preserve"> prin asigurarea unui schimb securizat de informații și a unei implicări mai structurate. Industria se află în prima linie a securității economice a UE. Întreprinderile trebuie să devină mai reziliente și să își diversifice lanțurile de aprovizionare critice, în special prin eliminarea dependenței totale de un singur furnizor cu grad ridicat de risc. De asemenea, este esențial să integreze în modelele lor de afaceri costurile care decurg dintr-o mai mare diversificare, recunoscând beneficiile pe care le aduce reziliența la riscurile geopolitice. Acesta trebuie să constituie un </w:t>
      </w:r>
      <w:r w:rsidRPr="00A05836">
        <w:rPr>
          <w:rFonts w:ascii="Times New Roman" w:hAnsi="Times New Roman"/>
          <w:b/>
          <w:noProof/>
          <w:sz w:val="24"/>
        </w:rPr>
        <w:t xml:space="preserve">proces bidirecțional </w:t>
      </w:r>
      <w:r w:rsidRPr="00A05836">
        <w:rPr>
          <w:rFonts w:ascii="Times New Roman" w:hAnsi="Times New Roman"/>
          <w:noProof/>
          <w:sz w:val="24"/>
        </w:rPr>
        <w:t xml:space="preserve">și </w:t>
      </w:r>
      <w:r w:rsidRPr="00A05836">
        <w:rPr>
          <w:rFonts w:ascii="Times New Roman" w:hAnsi="Times New Roman"/>
          <w:b/>
          <w:noProof/>
          <w:sz w:val="24"/>
        </w:rPr>
        <w:t>o responsabilitate care trebuie împărțită între sectorul public și cel privat,</w:t>
      </w:r>
      <w:r w:rsidRPr="00A05836">
        <w:rPr>
          <w:rFonts w:ascii="Times New Roman" w:hAnsi="Times New Roman"/>
          <w:noProof/>
          <w:sz w:val="24"/>
        </w:rPr>
        <w:t xml:space="preserve"> permițând factorilor de decizie să îmbunătățească capacitatea UE de evaluare a amenințărilor și de colectare a informațiilor operative comerciale și să o pregătească pentru acțiune, ajutând în același timp industria să aplice măsuri de atenuare la nivel de întreprindere.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EA7968" w:rsidRPr="00A05836" w14:paraId="195FABEA" w14:textId="77777777" w:rsidTr="2542A17A">
        <w:tc>
          <w:tcPr>
            <w:tcW w:w="9288" w:type="dxa"/>
          </w:tcPr>
          <w:p w14:paraId="36556EC1" w14:textId="17C70771" w:rsidR="00EA7968" w:rsidRPr="00A05836" w:rsidRDefault="00EA7968" w:rsidP="00F922F7">
            <w:pPr>
              <w:spacing w:after="120" w:line="276" w:lineRule="auto"/>
              <w:rPr>
                <w:rFonts w:ascii="Times New Roman" w:hAnsi="Times New Roman" w:cs="Times New Roman"/>
                <w:noProof/>
                <w:sz w:val="24"/>
                <w:szCs w:val="24"/>
              </w:rPr>
            </w:pPr>
            <w:r w:rsidRPr="00A05836">
              <w:rPr>
                <w:rFonts w:ascii="Times New Roman" w:hAnsi="Times New Roman"/>
                <w:noProof/>
                <w:sz w:val="24"/>
              </w:rPr>
              <w:t>Comisia, sprijinită de Înaltul Reprezentant:</w:t>
            </w:r>
          </w:p>
          <w:p w14:paraId="0686BCC8" w14:textId="169F75D6" w:rsidR="00EA7968" w:rsidRPr="00A05836"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își va îmbunătăți </w:t>
            </w:r>
            <w:r w:rsidRPr="00A05836">
              <w:rPr>
                <w:rFonts w:ascii="Times New Roman" w:hAnsi="Times New Roman"/>
                <w:b/>
                <w:noProof/>
                <w:sz w:val="24"/>
              </w:rPr>
              <w:t>capacitatea de colectare și analiză</w:t>
            </w:r>
            <w:r w:rsidRPr="00A05836">
              <w:rPr>
                <w:rFonts w:ascii="Times New Roman" w:hAnsi="Times New Roman"/>
                <w:noProof/>
                <w:sz w:val="24"/>
              </w:rPr>
              <w:t xml:space="preserve"> a informațiilor prin promovarea mai rapidă a evaluărilor riscurilor cu privire la anumite lanțuri de aprovizionare critice, infrastructuri critice și tehnologii critice și prin lansarea de </w:t>
            </w:r>
            <w:r w:rsidRPr="00A05836">
              <w:rPr>
                <w:rFonts w:ascii="Times New Roman" w:hAnsi="Times New Roman"/>
                <w:b/>
                <w:noProof/>
                <w:sz w:val="24"/>
              </w:rPr>
              <w:t>cereri periodice de contribuții</w:t>
            </w:r>
            <w:r w:rsidRPr="00A05836">
              <w:rPr>
                <w:rFonts w:ascii="Times New Roman" w:hAnsi="Times New Roman"/>
                <w:noProof/>
                <w:sz w:val="24"/>
              </w:rPr>
              <w:t xml:space="preserve"> pentru a obține contribuții din partea industriei și a părților interesate în ceea ce privește vulnerabilitățile lanțului de aprovizionare și expunerea la presiuni externe.</w:t>
            </w:r>
            <w:r w:rsidRPr="00A05836">
              <w:rPr>
                <w:noProof/>
              </w:rPr>
              <w:t xml:space="preserve"> </w:t>
            </w:r>
          </w:p>
          <w:p w14:paraId="7A04FE46" w14:textId="49533366" w:rsidR="00EA7968" w:rsidRPr="00A05836"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promova o mai bună </w:t>
            </w:r>
            <w:r w:rsidRPr="00A05836">
              <w:rPr>
                <w:rFonts w:ascii="Times New Roman" w:hAnsi="Times New Roman"/>
                <w:b/>
                <w:noProof/>
                <w:sz w:val="24"/>
              </w:rPr>
              <w:t>coordonare și un schimb mai intens de informații cu statele membre prin intermediul rețelei sale de securitate economică.</w:t>
            </w:r>
            <w:r w:rsidRPr="00A05836">
              <w:rPr>
                <w:rFonts w:ascii="Times New Roman" w:hAnsi="Times New Roman"/>
                <w:noProof/>
                <w:sz w:val="24"/>
              </w:rPr>
              <w:t xml:space="preserve"> Comisia va utiliza rețeaua pentru a promova elaborarea de scenarii, pentru a alinia înțelegerea amenințărilor, a riscurilor și a posibilităților de atenuare, pentru a facilita schimbul de informații și pentru a sprijini punerea în aplicare, în special în ceea ce privește utilizarea instrumentelor care intră în sfera responsabilităților statelor membre. În acest context, Comisia se va asigura că sunt disponibile sisteme de informații adecvate pentru a sprijini </w:t>
            </w:r>
            <w:r w:rsidRPr="00A05836">
              <w:rPr>
                <w:rFonts w:ascii="Times New Roman" w:hAnsi="Times New Roman"/>
                <w:b/>
                <w:noProof/>
                <w:sz w:val="24"/>
              </w:rPr>
              <w:t>schimbul rapid și securizat de informații clasificate între statele membre și cu acestea</w:t>
            </w:r>
            <w:r w:rsidRPr="00A05836">
              <w:rPr>
                <w:rFonts w:ascii="Times New Roman" w:hAnsi="Times New Roman"/>
                <w:noProof/>
                <w:sz w:val="24"/>
              </w:rPr>
              <w:t xml:space="preserve"> cu privire la aspecte legate de securitatea economică – inclusiv cu privire la evaluările riscurilor, la entitățile critice și cele cu grad ridicat de risc și la tranzacțiile care pot prezenta motive de îngrijorare.  Acest lucru va completa activitatea rețelei de constituire de stocuri a UE, care se axează pe asigurarea aprovizionării cu bunuri esențiale în situații de criză.</w:t>
            </w:r>
          </w:p>
          <w:p w14:paraId="2C9BB76C" w14:textId="3B5C157E" w:rsidR="00EA7968" w:rsidRPr="00A05836" w:rsidRDefault="16C7976A" w:rsidP="00F922F7">
            <w:pPr>
              <w:numPr>
                <w:ilvl w:val="0"/>
                <w:numId w:val="23"/>
              </w:numPr>
              <w:spacing w:after="200" w:line="276" w:lineRule="auto"/>
              <w:jc w:val="both"/>
              <w:rPr>
                <w:rFonts w:ascii="Times New Roman" w:eastAsia="Times New Roman" w:hAnsi="Times New Roman" w:cs="Times New Roman"/>
                <w:noProof/>
                <w:sz w:val="24"/>
                <w:szCs w:val="24"/>
              </w:rPr>
            </w:pPr>
            <w:r w:rsidRPr="00A05836">
              <w:rPr>
                <w:rFonts w:ascii="Times New Roman" w:hAnsi="Times New Roman"/>
                <w:noProof/>
                <w:sz w:val="24"/>
              </w:rPr>
              <w:t xml:space="preserve">Va crea o </w:t>
            </w:r>
            <w:r w:rsidRPr="00A05836">
              <w:rPr>
                <w:rFonts w:ascii="Times New Roman" w:hAnsi="Times New Roman"/>
                <w:b/>
                <w:noProof/>
                <w:sz w:val="24"/>
              </w:rPr>
              <w:t>platformă de informare cu privire la securitatea economică</w:t>
            </w:r>
            <w:r w:rsidRPr="00A05836">
              <w:rPr>
                <w:rFonts w:ascii="Times New Roman" w:hAnsi="Times New Roman"/>
                <w:noProof/>
                <w:sz w:val="24"/>
              </w:rPr>
              <w:t>, în cadrul căreia, cu sprijinul SEAE, al INTCEN/SIAC</w:t>
            </w:r>
            <w:r w:rsidRPr="00A05836">
              <w:rPr>
                <w:rStyle w:val="FootnoteReference"/>
                <w:rFonts w:ascii="Times New Roman" w:hAnsi="Times New Roman" w:cs="Times New Roman"/>
                <w:noProof/>
                <w:sz w:val="24"/>
                <w:szCs w:val="24"/>
              </w:rPr>
              <w:footnoteReference w:id="4"/>
            </w:r>
            <w:r w:rsidRPr="00A05836">
              <w:rPr>
                <w:rFonts w:ascii="Times New Roman" w:hAnsi="Times New Roman"/>
                <w:noProof/>
                <w:sz w:val="24"/>
              </w:rPr>
              <w:t>, al rețelei delegațiilor UE și al statelor membre,</w:t>
            </w:r>
            <w:r w:rsidRPr="00A05836">
              <w:rPr>
                <w:i/>
                <w:noProof/>
              </w:rPr>
              <w:t xml:space="preserve"> </w:t>
            </w:r>
            <w:r w:rsidRPr="00A05836">
              <w:rPr>
                <w:rFonts w:ascii="Times New Roman" w:hAnsi="Times New Roman"/>
                <w:noProof/>
                <w:sz w:val="24"/>
              </w:rPr>
              <w:t xml:space="preserve">precum și al instrumentelor existente de monitorizare economică a pieței unice, cum ar fi notificarea de alertă privind lanțul de aprovizionare (SCAN), va cartografia și va consolida informațiile disponibile în cadrul mecanismelor publice și private existente și va coordona colectarea de informații suplimentare relevante pentru securitatea economică. Aceasta va include un </w:t>
            </w:r>
            <w:r w:rsidRPr="00A05836">
              <w:rPr>
                <w:rFonts w:ascii="Times New Roman" w:hAnsi="Times New Roman"/>
                <w:b/>
                <w:noProof/>
                <w:sz w:val="24"/>
              </w:rPr>
              <w:t>mecanism de monitorizare a pieței</w:t>
            </w:r>
            <w:r w:rsidRPr="00A05836">
              <w:rPr>
                <w:rFonts w:ascii="Times New Roman" w:hAnsi="Times New Roman"/>
                <w:noProof/>
                <w:sz w:val="24"/>
              </w:rPr>
              <w:t xml:space="preserve"> destinat colectării de informații cu privire la evoluțiile din domeniile cu risc ridicat, inclusiv informații rapide privind fluxurile comerciale din sectoarele care fac obiectul diversificării, pentru a se asigura că acțiunile UE nu sunt subminate. De asemenea, Comisia va consolida informațiile </w:t>
            </w:r>
            <w:r w:rsidRPr="00A05836">
              <w:rPr>
                <w:rFonts w:ascii="Times New Roman" w:hAnsi="Times New Roman"/>
                <w:b/>
                <w:noProof/>
                <w:sz w:val="24"/>
              </w:rPr>
              <w:t>privind entitățile cu grad ridicat de risc</w:t>
            </w:r>
            <w:r w:rsidRPr="00A05836">
              <w:rPr>
                <w:rFonts w:ascii="Times New Roman" w:hAnsi="Times New Roman"/>
                <w:noProof/>
                <w:sz w:val="24"/>
              </w:rPr>
              <w:t xml:space="preserve"> pentru a sprijini procesul de evaluare a eligibilității pentru finanțare din partea UE și participarea la un proces de investiții sau de achiziții publice al UE. În plus, Autoritatea vamală a UE și Platforma de date vamale a UE ar permite </w:t>
            </w:r>
            <w:r w:rsidRPr="00A05836">
              <w:rPr>
                <w:rFonts w:ascii="Times New Roman" w:hAnsi="Times New Roman"/>
                <w:b/>
                <w:noProof/>
                <w:sz w:val="24"/>
              </w:rPr>
              <w:t xml:space="preserve">sprijinirea și asigurarea în mod eficient a punerii în aplicare a inițiativelor conexe ale UE în materie de securitate economică, </w:t>
            </w:r>
            <w:r w:rsidRPr="00A05836">
              <w:rPr>
                <w:rFonts w:ascii="Times New Roman" w:hAnsi="Times New Roman"/>
                <w:noProof/>
                <w:sz w:val="24"/>
              </w:rPr>
              <w:t>facilitând, de asemenea, schimbul de informații relevante.</w:t>
            </w:r>
          </w:p>
          <w:p w14:paraId="563A9DCE" w14:textId="29908DD7" w:rsidR="008B7661" w:rsidRPr="00A05836" w:rsidRDefault="1028C3D1"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bookmarkStart w:id="8" w:name="_Hlk215406861"/>
            <w:r w:rsidRPr="00A05836">
              <w:rPr>
                <w:rFonts w:ascii="Times New Roman" w:hAnsi="Times New Roman"/>
                <w:noProof/>
                <w:sz w:val="24"/>
              </w:rPr>
              <w:t xml:space="preserve">Va intensifica </w:t>
            </w:r>
            <w:r w:rsidRPr="00A05836">
              <w:rPr>
                <w:rFonts w:ascii="Times New Roman" w:hAnsi="Times New Roman"/>
                <w:b/>
                <w:noProof/>
                <w:sz w:val="24"/>
              </w:rPr>
              <w:t>implicarea structurată a delegațiilor UE</w:t>
            </w:r>
            <w:r w:rsidRPr="00A05836">
              <w:rPr>
                <w:rFonts w:ascii="Times New Roman" w:hAnsi="Times New Roman"/>
                <w:noProof/>
                <w:sz w:val="24"/>
              </w:rPr>
              <w:t>, asigurând legătura cu misiunile statelor membre, cu alte organisme ale UE și cu comunitatea de afaceri a UE prezentă în țările terțe, pentru a asigura contribuții eficace la evaluarea, monitorizarea și atenuarea riscurilor în ceea ce privește securitatea economică, inclusiv prin facilitarea schimburilor între întreprinderi și între întreprinderi și administrațiile publice</w:t>
            </w:r>
            <w:bookmarkEnd w:id="8"/>
            <w:r w:rsidRPr="00A05836">
              <w:rPr>
                <w:rFonts w:ascii="Times New Roman" w:hAnsi="Times New Roman"/>
                <w:noProof/>
                <w:sz w:val="24"/>
              </w:rPr>
              <w:t>.</w:t>
            </w:r>
          </w:p>
          <w:p w14:paraId="6CD8649A" w14:textId="08523EA9" w:rsidR="00EA7968" w:rsidRPr="00A05836" w:rsidRDefault="00EA7968"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evalua, până în T3 2026, măsura în care Regulamentul privind situațiile de urgență și reziliența pieței interne (IMERA) permite colectarea de informații privind lanțul de aprovizionare la nivel de întreprindere, de la întreprinderile din sectoarele cu risc ridicat. Ținând cont de această analiză, Comisia va evalua necesitatea unor măsuri suplimentare. </w:t>
            </w:r>
          </w:p>
          <w:p w14:paraId="449854E4" w14:textId="7FB4ECFC" w:rsidR="00EA7968" w:rsidRPr="00A05836" w:rsidRDefault="00EA7968" w:rsidP="00F922F7">
            <w:pPr>
              <w:numPr>
                <w:ilvl w:val="0"/>
                <w:numId w:val="23"/>
              </w:numPr>
              <w:spacing w:after="120" w:line="276" w:lineRule="auto"/>
              <w:jc w:val="both"/>
              <w:rPr>
                <w:rFonts w:ascii="Times New Roman" w:hAnsi="Times New Roman" w:cs="Times New Roman"/>
                <w:noProof/>
                <w:sz w:val="24"/>
                <w:szCs w:val="24"/>
              </w:rPr>
            </w:pPr>
            <w:r w:rsidRPr="00A05836">
              <w:rPr>
                <w:rFonts w:ascii="Times New Roman" w:hAnsi="Times New Roman"/>
                <w:noProof/>
                <w:sz w:val="24"/>
              </w:rPr>
              <w:t xml:space="preserve">Va recomanda statelor membre să numească </w:t>
            </w:r>
            <w:r w:rsidRPr="00A05836">
              <w:rPr>
                <w:rFonts w:ascii="Times New Roman" w:hAnsi="Times New Roman"/>
                <w:b/>
                <w:noProof/>
                <w:sz w:val="24"/>
              </w:rPr>
              <w:t>consilieri naționali de securitate economică</w:t>
            </w:r>
            <w:r w:rsidRPr="00A05836">
              <w:rPr>
                <w:rFonts w:ascii="Times New Roman" w:hAnsi="Times New Roman"/>
                <w:noProof/>
                <w:sz w:val="24"/>
              </w:rPr>
              <w:t xml:space="preserve"> de nivel înalt, care să fie responsabili cu coordonarea interguvernamentală a evaluării și atenuării riscurilor în materie de securitate economică. Comisia va promova o mai bună coordonare a politicilor și acțiuni comune prin </w:t>
            </w:r>
            <w:r w:rsidRPr="00A05836">
              <w:rPr>
                <w:rFonts w:ascii="Times New Roman" w:hAnsi="Times New Roman"/>
                <w:b/>
                <w:noProof/>
                <w:sz w:val="24"/>
              </w:rPr>
              <w:t>reunirea periodică a acestor consilieri</w:t>
            </w:r>
            <w:r w:rsidRPr="00A05836">
              <w:rPr>
                <w:rFonts w:ascii="Times New Roman" w:hAnsi="Times New Roman"/>
                <w:noProof/>
                <w:sz w:val="24"/>
              </w:rPr>
              <w:t>. De asemenea, Comisia invită Consiliul UE să ia în considerare convocarea periodică a formațiunilor relevante ale Consiliului pentru discuții la nivel politic.</w:t>
            </w:r>
          </w:p>
          <w:p w14:paraId="22FD8CDD" w14:textId="33884618" w:rsidR="00EA7968" w:rsidRPr="00A05836"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crea un </w:t>
            </w:r>
            <w:r w:rsidRPr="00A05836">
              <w:rPr>
                <w:rFonts w:ascii="Times New Roman" w:hAnsi="Times New Roman"/>
                <w:b/>
                <w:noProof/>
                <w:sz w:val="24"/>
              </w:rPr>
              <w:t xml:space="preserve">grup de consilieri de încredere, format din reprezentanți ai întreprinderilor din UE, </w:t>
            </w:r>
            <w:r w:rsidRPr="00A05836">
              <w:rPr>
                <w:rFonts w:ascii="Times New Roman" w:hAnsi="Times New Roman"/>
                <w:noProof/>
                <w:sz w:val="24"/>
              </w:rPr>
              <w:t xml:space="preserve">care să ofere, printre altele, consiliere cu privire la riscurile specifice și la răspunsurile potențiale, precum și să discute despre strategiile de reducere a riscurilor. Comisia va invita periodic reprezentanți ai industriei să participe la discuțiile sectoriale ale Rețelei pentru securitate economică și, după caz, va informa comisarii europeni. </w:t>
            </w:r>
          </w:p>
          <w:p w14:paraId="7411D28C" w14:textId="77777777" w:rsidR="00EA7968" w:rsidRPr="00A05836"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crea un </w:t>
            </w:r>
            <w:r w:rsidRPr="00A05836">
              <w:rPr>
                <w:rFonts w:ascii="Times New Roman" w:hAnsi="Times New Roman"/>
                <w:b/>
                <w:noProof/>
                <w:sz w:val="24"/>
              </w:rPr>
              <w:t xml:space="preserve">portal de informare cu privire la reziliența comercială, </w:t>
            </w:r>
            <w:r w:rsidRPr="00A05836">
              <w:rPr>
                <w:rFonts w:ascii="Times New Roman" w:hAnsi="Times New Roman"/>
                <w:noProof/>
                <w:sz w:val="24"/>
              </w:rPr>
              <w:t xml:space="preserve">ca parte a portalului privind accesul la piețe (A2M), pentru a oferi întreprinderilor din UE informații actualizate cu privire la restricțiile la export și la alte măsuri restrictive impuse de țări terțe, precum și cu privire la riscurile potențiale legate de necesitatea de a consolida reziliența UE. </w:t>
            </w:r>
          </w:p>
          <w:p w14:paraId="6AC74403" w14:textId="0DF5DBEA" w:rsidR="00EA7968" w:rsidRPr="00A05836"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extinde </w:t>
            </w:r>
            <w:r w:rsidRPr="00A05836">
              <w:rPr>
                <w:rFonts w:ascii="Times New Roman" w:hAnsi="Times New Roman"/>
                <w:b/>
                <w:noProof/>
                <w:sz w:val="24"/>
              </w:rPr>
              <w:t xml:space="preserve">Observatorul pentru tehnologii critice </w:t>
            </w:r>
            <w:r w:rsidRPr="00A05836">
              <w:rPr>
                <w:rFonts w:ascii="Times New Roman" w:hAnsi="Times New Roman"/>
                <w:noProof/>
                <w:sz w:val="24"/>
              </w:rPr>
              <w:t>cu scopul de a identifica, monitoriza și analiza industria de apărare și spațială și lanțurile de aprovizionare aferente, precum și de a acoperi tehnologiile emergente și a sprijini punerea în aplicare, la nivelul UE și la nivel național, a foilor de parcurs tehnologice ale UE rezultate.</w:t>
            </w:r>
          </w:p>
          <w:p w14:paraId="4983AE82" w14:textId="77777777" w:rsidR="00EA7968" w:rsidRPr="00A05836"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utiliza viitorul </w:t>
            </w:r>
            <w:r w:rsidRPr="00A05836">
              <w:rPr>
                <w:rFonts w:ascii="Times New Roman" w:hAnsi="Times New Roman"/>
                <w:b/>
                <w:noProof/>
                <w:sz w:val="24"/>
              </w:rPr>
              <w:t>Centru de expertiză în domeniul securității cercetării</w:t>
            </w:r>
            <w:r w:rsidRPr="00A05836">
              <w:rPr>
                <w:rFonts w:ascii="Times New Roman" w:hAnsi="Times New Roman"/>
                <w:noProof/>
                <w:sz w:val="24"/>
              </w:rPr>
              <w:t xml:space="preserve"> pentru a promova securitatea cercetării și a spori reziliența comunității de cercetare, inclusiv prin dezvoltarea unei platforme de diligență necesară care să sprijine universitățile în alegerea partenerilor lor internaționali.</w:t>
            </w:r>
          </w:p>
          <w:p w14:paraId="79890A5E" w14:textId="69A8ADD5" w:rsidR="008B7661" w:rsidRPr="00A05836" w:rsidRDefault="00CC51A5" w:rsidP="0037463F">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analiza modalități de aliniere și </w:t>
            </w:r>
            <w:r w:rsidRPr="00A05836">
              <w:rPr>
                <w:rFonts w:ascii="Times New Roman" w:hAnsi="Times New Roman"/>
                <w:b/>
                <w:noProof/>
                <w:sz w:val="24"/>
              </w:rPr>
              <w:t>integrare a țărilor candidate în abordarea noastră în materie de securitate economică</w:t>
            </w:r>
            <w:r w:rsidRPr="00A05836">
              <w:rPr>
                <w:rFonts w:ascii="Times New Roman" w:hAnsi="Times New Roman"/>
                <w:noProof/>
                <w:sz w:val="24"/>
              </w:rPr>
              <w:t>, în special în domeniile în care vulnerabilitățile lor în materie de securitate economică pot prezenta un risc de securitate pentru UE.</w:t>
            </w:r>
          </w:p>
        </w:tc>
      </w:tr>
    </w:tbl>
    <w:p w14:paraId="46617235" w14:textId="77777777" w:rsidR="00EA7968" w:rsidRPr="00A05836" w:rsidRDefault="00EA7968" w:rsidP="009A00B3">
      <w:pPr>
        <w:spacing w:after="120"/>
        <w:jc w:val="both"/>
        <w:rPr>
          <w:rFonts w:ascii="Times New Roman" w:hAnsi="Times New Roman" w:cs="Times New Roman"/>
          <w:noProof/>
          <w:sz w:val="24"/>
          <w:szCs w:val="24"/>
        </w:rPr>
      </w:pPr>
    </w:p>
    <w:p w14:paraId="69430129" w14:textId="309A1230" w:rsidR="00EA7968" w:rsidRPr="00A05836" w:rsidRDefault="00EA7968" w:rsidP="00EA7968">
      <w:pPr>
        <w:spacing w:after="120"/>
        <w:jc w:val="both"/>
        <w:rPr>
          <w:rFonts w:ascii="Times New Roman" w:hAnsi="Times New Roman" w:cs="Times New Roman"/>
          <w:noProof/>
          <w:sz w:val="24"/>
          <w:szCs w:val="24"/>
        </w:rPr>
      </w:pPr>
      <w:r w:rsidRPr="00A05836">
        <w:rPr>
          <w:rFonts w:ascii="Times New Roman" w:hAnsi="Times New Roman"/>
          <w:noProof/>
          <w:sz w:val="24"/>
        </w:rPr>
        <w:t>Pe baza unei analize și a unei guvernanțe consolidate, UE își poate urmări mai bine obiectivele de securitate economică prin (i) clarificarea și îmbunătățirea implementării instrumentelor existente și (ii) dezvoltarea de noi instrumente acolo unde este necesar.</w:t>
      </w:r>
    </w:p>
    <w:p w14:paraId="0D609189" w14:textId="6A977DFD" w:rsidR="000C009F" w:rsidRPr="00A05836" w:rsidRDefault="00766A11" w:rsidP="009A00B3">
      <w:pPr>
        <w:spacing w:after="120"/>
        <w:jc w:val="both"/>
        <w:rPr>
          <w:rFonts w:ascii="Times New Roman" w:hAnsi="Times New Roman" w:cs="Times New Roman"/>
          <w:noProof/>
          <w:sz w:val="24"/>
          <w:szCs w:val="24"/>
        </w:rPr>
      </w:pPr>
      <w:r w:rsidRPr="00A05836">
        <w:rPr>
          <w:rFonts w:ascii="Times New Roman" w:hAnsi="Times New Roman"/>
          <w:noProof/>
          <w:sz w:val="24"/>
        </w:rPr>
        <w:t xml:space="preserve">În primul rând, </w:t>
      </w:r>
      <w:r w:rsidRPr="00A05836">
        <w:rPr>
          <w:rFonts w:ascii="Times New Roman" w:hAnsi="Times New Roman"/>
          <w:b/>
          <w:noProof/>
          <w:sz w:val="24"/>
        </w:rPr>
        <w:t>Comisia va adapta modul în care utilizează unele dintre instrumentele sale</w:t>
      </w:r>
      <w:r w:rsidRPr="00A05836">
        <w:rPr>
          <w:rFonts w:ascii="Times New Roman" w:hAnsi="Times New Roman"/>
          <w:noProof/>
          <w:sz w:val="24"/>
        </w:rPr>
        <w:t xml:space="preserve"> pentru a le face mai eficace în ceea ce privește gestionarea riscurilor la adresa securității economice și va încerca să îmbunătățească coordonarea dintre aceste instrumente.</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BD7A68" w:rsidRPr="00A05836" w14:paraId="7817C78C" w14:textId="77777777" w:rsidTr="2542A17A">
        <w:tc>
          <w:tcPr>
            <w:tcW w:w="9288" w:type="dxa"/>
          </w:tcPr>
          <w:p w14:paraId="4F8B42E7" w14:textId="3EAD7CF1" w:rsidR="00BD7A68" w:rsidRPr="00A05836" w:rsidRDefault="00BD7A68" w:rsidP="009A00B3">
            <w:pPr>
              <w:spacing w:after="120" w:line="276" w:lineRule="auto"/>
              <w:jc w:val="both"/>
              <w:rPr>
                <w:rFonts w:ascii="Times New Roman" w:hAnsi="Times New Roman" w:cs="Times New Roman"/>
                <w:noProof/>
                <w:sz w:val="24"/>
                <w:szCs w:val="24"/>
              </w:rPr>
            </w:pPr>
            <w:r w:rsidRPr="00A05836">
              <w:rPr>
                <w:rFonts w:ascii="Times New Roman" w:hAnsi="Times New Roman"/>
                <w:b/>
                <w:noProof/>
                <w:sz w:val="24"/>
              </w:rPr>
              <w:t>Comisia va lua următoarele măsuri pentru a îmbunătăți utilizarea instrumentelor:</w:t>
            </w:r>
          </w:p>
          <w:p w14:paraId="61C0AD99" w14:textId="77777777" w:rsidR="00683BA4" w:rsidRPr="00A05836" w:rsidRDefault="00683BA4" w:rsidP="00683BA4">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sidRPr="00A05836">
              <w:rPr>
                <w:rFonts w:ascii="Times New Roman" w:hAnsi="Times New Roman"/>
                <w:noProof/>
                <w:sz w:val="24"/>
              </w:rPr>
              <w:t>Finanțarea din partea UE:</w:t>
            </w:r>
          </w:p>
          <w:p w14:paraId="1520BF15" w14:textId="77777777" w:rsidR="00BB59A8" w:rsidRPr="00A05836" w:rsidRDefault="00BB59A8" w:rsidP="00BB59A8">
            <w:pPr>
              <w:pStyle w:val="ListParagraph"/>
              <w:numPr>
                <w:ilvl w:val="1"/>
                <w:numId w:val="24"/>
              </w:numPr>
              <w:spacing w:after="120" w:line="276" w:lineRule="auto"/>
              <w:ind w:hanging="357"/>
              <w:jc w:val="both"/>
              <w:rPr>
                <w:rFonts w:ascii="Times New Roman" w:hAnsi="Times New Roman" w:cs="Times New Roman"/>
                <w:noProof/>
                <w:sz w:val="24"/>
                <w:szCs w:val="24"/>
              </w:rPr>
            </w:pPr>
            <w:r w:rsidRPr="00A05836">
              <w:rPr>
                <w:rFonts w:ascii="Times New Roman" w:hAnsi="Times New Roman"/>
                <w:noProof/>
                <w:sz w:val="24"/>
              </w:rPr>
              <w:t xml:space="preserve">În viitor, în cadrul activităților sale de finanțare, Comisia va </w:t>
            </w:r>
            <w:r w:rsidRPr="00A05836">
              <w:rPr>
                <w:rFonts w:ascii="Times New Roman" w:hAnsi="Times New Roman"/>
                <w:b/>
                <w:noProof/>
                <w:sz w:val="24"/>
              </w:rPr>
              <w:t xml:space="preserve">stimula proiecte care sprijină securitatea economică a UE. </w:t>
            </w:r>
            <w:r w:rsidRPr="00A05836">
              <w:rPr>
                <w:rFonts w:ascii="Times New Roman" w:hAnsi="Times New Roman"/>
                <w:noProof/>
                <w:sz w:val="24"/>
              </w:rPr>
              <w:t xml:space="preserve"> </w:t>
            </w:r>
          </w:p>
          <w:p w14:paraId="37D0B1BB" w14:textId="4677E2D6" w:rsidR="00683BA4" w:rsidRPr="00A05836" w:rsidRDefault="0507A3E8" w:rsidP="0037463F">
            <w:pPr>
              <w:pStyle w:val="ListParagraph"/>
              <w:numPr>
                <w:ilvl w:val="1"/>
                <w:numId w:val="24"/>
              </w:numPr>
              <w:spacing w:after="120" w:line="276" w:lineRule="auto"/>
              <w:ind w:hanging="357"/>
              <w:contextualSpacing w:val="0"/>
              <w:jc w:val="both"/>
              <w:rPr>
                <w:noProof/>
              </w:rPr>
            </w:pPr>
            <w:r w:rsidRPr="00A05836">
              <w:rPr>
                <w:rFonts w:ascii="Times New Roman" w:hAnsi="Times New Roman"/>
                <w:noProof/>
                <w:sz w:val="24"/>
              </w:rPr>
              <w:t>În special, Comisia ar trebui să mobilizeze un nivel suficient de finanțare pentru reducerea dependențelor de tehnologiile, componentele și materialele critice, în special în sectoare strategice precum spațiul și apărarea, inclusiv pentru a pune pe deplin în aplicare foile de parcurs tehnologice ale Observatorului pentru tehnologii critice (OCT).</w:t>
            </w:r>
          </w:p>
          <w:p w14:paraId="6DACDA90" w14:textId="3BD20A0C" w:rsidR="00464BD0" w:rsidRPr="00A05836" w:rsidRDefault="4C078CE8"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Comisia, statele membre și partenerii de implementare ar trebui să încerce să împiedice accesul entităților cu grad ridicat de risc la acțiuni sensibile sprijinite de Uniune.  Articolul 136 din Regulamentul financiar prevede un temei juridic orizontal pentru protejarea securității și a ordinii publice a UE atunci când Comisia și partenerii de implementare execută bugetul UE. Acesta permite împiedicarea entităților cu grad ridicat de risc să beneficieze de fonduri din partea UE, precum și restricționarea accesului la fondurile UE în sectoarele și domeniile strategice ale tehnologiei și infrastructurii critice pentru entitățile provenind din țări terțe care subminează interesele de securitate economică ale UE. Pentru evitarea oricărei ambiguități, partenerii de implementare ar trebui să se abțină de la sprijinirea proiectelor care contravin celor de mai sus, inclusiv în cadrul operațiunilor pe risc propriu. În acest scop și pentru a asigura o mai bună aliniere a politicilor între programele UE și obiectivele de securitate economică, în T1 2026 vor fi puse la dispoziție orientări, sprijinind astfel dezvoltarea unei abordări mai coerente și mai eficace. Totodată, Comisia va încuraja statele membre, </w:t>
            </w:r>
            <w:r w:rsidRPr="00A05836">
              <w:rPr>
                <w:rFonts w:ascii="Times New Roman" w:hAnsi="Times New Roman"/>
                <w:b/>
                <w:noProof/>
                <w:sz w:val="24"/>
              </w:rPr>
              <w:t xml:space="preserve">grupul BEI și alte instituții financiare internaționale/bănci și instituții naționale de promovare care execută bugete naționale sau ale UE </w:t>
            </w:r>
            <w:r w:rsidRPr="00A05836">
              <w:rPr>
                <w:rFonts w:ascii="Times New Roman" w:hAnsi="Times New Roman"/>
                <w:noProof/>
                <w:sz w:val="24"/>
              </w:rPr>
              <w:t>să acorde prioritate sprijinului pentru întreprinderile din UE care reduc dependențele străine în sectoarele critice, în special pentru proiecte specifice, tehnologii critice și infrastructuri critice identificate ca prezentând un grad ridicat de risc. În mod similar, furnizorii din țări terțe cu grad ridicat de risc ar trebui împiedicați să acceseze finanțare din partea UE și finanțare națională în cazul în care țările terțe respective, pe baza unor criterii specifice, sunt identificate ca subminând interesele de securitate economică ale UE.</w:t>
            </w:r>
          </w:p>
          <w:p w14:paraId="073D2702" w14:textId="02CDFD5A" w:rsidR="00BD7A68" w:rsidRPr="00A05836" w:rsidRDefault="00BD7A68" w:rsidP="009A00B3">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sidRPr="00A05836">
              <w:rPr>
                <w:rFonts w:ascii="Times New Roman" w:hAnsi="Times New Roman"/>
                <w:noProof/>
                <w:sz w:val="24"/>
              </w:rPr>
              <w:t>Examinarea investițiilor străine directe:</w:t>
            </w:r>
          </w:p>
          <w:p w14:paraId="634D7BAB" w14:textId="21B88E89" w:rsidR="000F105B" w:rsidRPr="00A05836" w:rsidRDefault="00841152" w:rsidP="009A00B3">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Comisia va elabora </w:t>
            </w:r>
            <w:r w:rsidRPr="00A05836">
              <w:rPr>
                <w:rFonts w:ascii="Times New Roman" w:hAnsi="Times New Roman"/>
                <w:b/>
                <w:noProof/>
                <w:sz w:val="24"/>
              </w:rPr>
              <w:t>orientări</w:t>
            </w:r>
            <w:r w:rsidRPr="00A05836">
              <w:rPr>
                <w:rFonts w:ascii="Times New Roman" w:hAnsi="Times New Roman"/>
                <w:noProof/>
                <w:sz w:val="24"/>
              </w:rPr>
              <w:t xml:space="preserve"> pe baza experienței dobândite cu ocazia punerii în aplicare a actualului Regulament privind examinarea investițiilor străine directe pentru a se asigura că autoritățile naționale de examinare abordează examinarea în mod consecvent, inclusiv în sectoarele strategice. Orientările ar stabili, de asemenea, modul în care se poate ține seama de potențialul risc cumulativ al investițiilor multiple.</w:t>
            </w:r>
            <w:r w:rsidRPr="00A05836">
              <w:rPr>
                <w:noProof/>
              </w:rPr>
              <w:t xml:space="preserve"> </w:t>
            </w:r>
            <w:r w:rsidRPr="00A05836">
              <w:rPr>
                <w:rFonts w:ascii="Times New Roman" w:hAnsi="Times New Roman"/>
                <w:noProof/>
                <w:sz w:val="24"/>
              </w:rPr>
              <w:t>Acestea vor fi completate de orientări privind interacțiunea dintre cerințele la nivelul UE și aplicarea mecanismelor naționale de examinare în sectorul financiar.</w:t>
            </w:r>
          </w:p>
          <w:p w14:paraId="79957D5D" w14:textId="01642961" w:rsidR="007F058F" w:rsidRPr="00A05836" w:rsidRDefault="007F058F" w:rsidP="007F058F">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Controlul exporturilor de produse cu dublă utilizare:</w:t>
            </w:r>
          </w:p>
          <w:p w14:paraId="5070950E" w14:textId="100D16AF" w:rsidR="00C61626" w:rsidRPr="00A05836" w:rsidRDefault="007F058F" w:rsidP="00EA2B6F">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sidRPr="00A05836">
              <w:rPr>
                <w:rFonts w:ascii="Times New Roman" w:hAnsi="Times New Roman"/>
                <w:noProof/>
                <w:sz w:val="24"/>
              </w:rPr>
              <w:t xml:space="preserve">Comisia va efectua o </w:t>
            </w:r>
            <w:r w:rsidRPr="00A05836">
              <w:rPr>
                <w:rFonts w:ascii="Times New Roman" w:hAnsi="Times New Roman"/>
                <w:b/>
                <w:noProof/>
                <w:sz w:val="24"/>
              </w:rPr>
              <w:t xml:space="preserve">evaluare globală </w:t>
            </w:r>
            <w:r w:rsidRPr="00A05836">
              <w:rPr>
                <w:rFonts w:ascii="Times New Roman" w:hAnsi="Times New Roman"/>
                <w:noProof/>
                <w:sz w:val="24"/>
              </w:rPr>
              <w:t xml:space="preserve">a Regulamentului privind controlul exporturilor de produse cu dublă utilizare. În cadrul acestei evaluări, Comisia va analiza dacă regulamentul își atinge obiectivele în contextul noilor realități geopolitice și geoeconomice, inclusiv impactul recurgerii tot mai frecvente la controale unilaterale care pot avea, de asemenea, un impact asupra pieței unice. Comisia va continua să analizeze, împreună cu statele membre, modalitățile de adoptare eficientă a controalelor europene în domeniile tehnologice emergente în acest nou context. În cursul procesului de evaluare, Comisia va asigura informarea activă a părților interesate din statele membre, din industrie, din institutele de cercetare și din mediul academic. </w:t>
            </w:r>
          </w:p>
          <w:p w14:paraId="4B6E121F" w14:textId="6F2ADA3E" w:rsidR="00BD7A68" w:rsidRPr="00A05836" w:rsidRDefault="00BD7A68"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Instrumentele de apărare comercială:</w:t>
            </w:r>
          </w:p>
          <w:p w14:paraId="0AA3AEBC" w14:textId="6443A524" w:rsidR="00AF67E7" w:rsidRPr="00A05836" w:rsidDel="00756F96" w:rsidRDefault="00B25B71"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Atunci când se inițiază un caz relevant pentru securitatea economică a UE, </w:t>
            </w:r>
            <w:r w:rsidRPr="00A05836">
              <w:rPr>
                <w:rFonts w:ascii="Times New Roman" w:hAnsi="Times New Roman"/>
                <w:b/>
                <w:noProof/>
                <w:sz w:val="24"/>
              </w:rPr>
              <w:t>securitatea economică a UE se va reflecta în desfășurarea investigației și în conceperea unor posibile măsuri</w:t>
            </w:r>
            <w:r w:rsidRPr="00A05836">
              <w:rPr>
                <w:rFonts w:ascii="Times New Roman" w:hAnsi="Times New Roman"/>
                <w:noProof/>
                <w:sz w:val="24"/>
              </w:rPr>
              <w:t>.</w:t>
            </w:r>
          </w:p>
          <w:p w14:paraId="7B3E4BAC" w14:textId="785844B4" w:rsidR="00BD7A68" w:rsidRPr="00A05836" w:rsidRDefault="00B0250B" w:rsidP="000D0989">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Instrumentele pentru piața internă, vamă și concurență:</w:t>
            </w:r>
          </w:p>
          <w:p w14:paraId="1C5A315F" w14:textId="0BEA0775" w:rsidR="00EF573D" w:rsidRPr="00A05836" w:rsidRDefault="00C60366"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Comisia va utiliza pe deplin </w:t>
            </w:r>
            <w:r w:rsidRPr="00A05836">
              <w:rPr>
                <w:rFonts w:ascii="Times New Roman" w:hAnsi="Times New Roman"/>
                <w:b/>
                <w:noProof/>
                <w:sz w:val="24"/>
              </w:rPr>
              <w:t>Regulamentul privind subvențiile străine</w:t>
            </w:r>
            <w:r w:rsidRPr="00A05836">
              <w:rPr>
                <w:rFonts w:ascii="Times New Roman" w:hAnsi="Times New Roman"/>
                <w:noProof/>
                <w:sz w:val="24"/>
              </w:rPr>
              <w:t xml:space="preserve"> pentru a menține o concurență loială în domeniile în care subvențiile străine conduc la denaturări care prezintă riscuri pentru securitatea economică. </w:t>
            </w:r>
          </w:p>
          <w:p w14:paraId="6BD9C919" w14:textId="0FDC9C3A" w:rsidR="002E5935" w:rsidRPr="00A05836" w:rsidRDefault="008D7BE0"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Comisia va încuraja statele membre să utilizeze pe deplin posibilitățile existente în materie de ajutoare de stat, cum ar fi Cadrul privind ajutoarele de stat în contextul Pactului pentru o industrie curată, Orientările privind ajutoarele de stat regionale, Cadrul pentru cercetare, dezvoltare și inovare, Regulamentul general de exceptare pe categorii de ajutoare, precum și proiectele importante de interes european comun, ca instrumente de consolidare a rezilienței.</w:t>
            </w:r>
          </w:p>
          <w:p w14:paraId="74BFAB33" w14:textId="4CCDBDE0" w:rsidR="001773A8" w:rsidRPr="00A05836" w:rsidRDefault="001773A8" w:rsidP="00641CC8">
            <w:pPr>
              <w:pStyle w:val="ListParagraph"/>
              <w:numPr>
                <w:ilvl w:val="1"/>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b/>
                <w:noProof/>
                <w:sz w:val="24"/>
              </w:rPr>
              <w:t>Comisia va revizui utilizarea instrumentelor vamale strategice (suspendări tarifare, contingente autonome) pentru factorii de producție esențiali</w:t>
            </w:r>
            <w:r w:rsidRPr="00A05836">
              <w:rPr>
                <w:rFonts w:ascii="Times New Roman" w:hAnsi="Times New Roman"/>
                <w:noProof/>
                <w:sz w:val="24"/>
              </w:rPr>
              <w:t xml:space="preserve">, în vederea sprijinirii competitivității întreprinderilor din Uniune. </w:t>
            </w:r>
          </w:p>
        </w:tc>
      </w:tr>
    </w:tbl>
    <w:p w14:paraId="750136C1" w14:textId="7B1B57EB" w:rsidR="00F753E1" w:rsidRPr="00A05836" w:rsidRDefault="00885AC2" w:rsidP="00E5163B">
      <w:pPr>
        <w:spacing w:before="120" w:after="120"/>
        <w:jc w:val="both"/>
        <w:rPr>
          <w:rFonts w:ascii="Times New Roman" w:hAnsi="Times New Roman" w:cs="Times New Roman"/>
          <w:noProof/>
          <w:sz w:val="24"/>
          <w:szCs w:val="24"/>
        </w:rPr>
      </w:pPr>
      <w:r w:rsidRPr="00A05836">
        <w:rPr>
          <w:rFonts w:ascii="Times New Roman" w:hAnsi="Times New Roman"/>
          <w:noProof/>
          <w:sz w:val="24"/>
        </w:rPr>
        <w:t xml:space="preserve">În al doilea rând, Comisia va </w:t>
      </w:r>
      <w:r w:rsidRPr="00A05836">
        <w:rPr>
          <w:rFonts w:ascii="Times New Roman" w:hAnsi="Times New Roman"/>
          <w:b/>
          <w:noProof/>
          <w:sz w:val="24"/>
        </w:rPr>
        <w:t>elabora noi măsuri</w:t>
      </w:r>
      <w:r w:rsidRPr="00A05836">
        <w:rPr>
          <w:rFonts w:ascii="Times New Roman" w:hAnsi="Times New Roman"/>
          <w:noProof/>
          <w:sz w:val="24"/>
        </w:rPr>
        <w:t xml:space="preserve"> pentru a promova securitatea economică a UE.</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D3590A" w:rsidRPr="00A05836" w14:paraId="12BA1861" w14:textId="77777777" w:rsidTr="2542A17A">
        <w:tc>
          <w:tcPr>
            <w:tcW w:w="9288" w:type="dxa"/>
          </w:tcPr>
          <w:p w14:paraId="3D661CA7" w14:textId="77777777" w:rsidR="00D3590A" w:rsidRPr="00A05836" w:rsidRDefault="00D3590A" w:rsidP="009A00B3">
            <w:pPr>
              <w:spacing w:after="120" w:line="276" w:lineRule="auto"/>
              <w:jc w:val="both"/>
              <w:rPr>
                <w:rFonts w:ascii="Times New Roman" w:hAnsi="Times New Roman" w:cs="Times New Roman"/>
                <w:noProof/>
                <w:sz w:val="24"/>
                <w:szCs w:val="24"/>
              </w:rPr>
            </w:pPr>
            <w:r w:rsidRPr="00A05836">
              <w:rPr>
                <w:rFonts w:ascii="Times New Roman" w:hAnsi="Times New Roman"/>
                <w:b/>
                <w:noProof/>
                <w:sz w:val="24"/>
              </w:rPr>
              <w:t>Comisia va întreprinde următoarele acțiuni:</w:t>
            </w:r>
          </w:p>
          <w:p w14:paraId="1CF02D39" w14:textId="2C2CC628" w:rsidR="00593B00" w:rsidRPr="00A05836" w:rsidRDefault="5EDA5214" w:rsidP="00593B00">
            <w:pPr>
              <w:pStyle w:val="ListParagraph"/>
              <w:numPr>
                <w:ilvl w:val="0"/>
                <w:numId w:val="24"/>
              </w:numPr>
              <w:spacing w:after="120" w:line="276" w:lineRule="auto"/>
              <w:contextualSpacing w:val="0"/>
              <w:jc w:val="both"/>
              <w:rPr>
                <w:rFonts w:ascii="Times New Roman" w:hAnsi="Times New Roman" w:cs="Times New Roman"/>
                <w:noProof/>
                <w:sz w:val="24"/>
                <w:szCs w:val="24"/>
              </w:rPr>
            </w:pPr>
            <w:bookmarkStart w:id="9" w:name="_Hlk215397474"/>
            <w:r w:rsidRPr="00A05836">
              <w:rPr>
                <w:rFonts w:ascii="Times New Roman" w:hAnsi="Times New Roman"/>
                <w:noProof/>
                <w:sz w:val="24"/>
              </w:rPr>
              <w:t xml:space="preserve">Va analiza posibilitatea de a institui, în cadrul unui proiect pilot, un </w:t>
            </w:r>
            <w:r w:rsidRPr="00A05836">
              <w:rPr>
                <w:rFonts w:ascii="Times New Roman" w:hAnsi="Times New Roman"/>
                <w:b/>
                <w:noProof/>
                <w:sz w:val="24"/>
              </w:rPr>
              <w:t>mecanism de monitorizare a start-upurilor la nivelul UE, menit să identifice start-upurile din domeniile tehnologice critice care sunt vulnerabile în fața riscului de achiziții străine ostile</w:t>
            </w:r>
            <w:r w:rsidRPr="00A05836">
              <w:rPr>
                <w:rFonts w:ascii="Times New Roman" w:hAnsi="Times New Roman"/>
                <w:noProof/>
                <w:sz w:val="24"/>
              </w:rPr>
              <w:t>, redirecționându-le către alternative de investiții ale UE și către alte forme de sprijin (de exemplu, consiliere, consolidarea capacităților, stabilirea de contacte cu investitorii). Mecanismul ar urma să funcționeze în strânsă legătură cu inițiativele existente, cum ar fi Strategia UE privind start-upurile și întreprinderile în fază de extindere.</w:t>
            </w:r>
          </w:p>
          <w:bookmarkEnd w:id="9"/>
          <w:p w14:paraId="1A6FD6CA" w14:textId="3BCBFE25" w:rsidR="007C19C2" w:rsidRPr="00A05836" w:rsidRDefault="00CC18E7"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colabora cu autoritățile de supraveghere pentru a monitoriza </w:t>
            </w:r>
            <w:r w:rsidRPr="00A05836">
              <w:rPr>
                <w:rFonts w:ascii="Times New Roman" w:hAnsi="Times New Roman"/>
                <w:b/>
                <w:noProof/>
                <w:sz w:val="24"/>
              </w:rPr>
              <w:t xml:space="preserve">investițiile de portofoliu </w:t>
            </w:r>
            <w:r w:rsidRPr="00A05836">
              <w:rPr>
                <w:rFonts w:ascii="Times New Roman" w:hAnsi="Times New Roman"/>
                <w:noProof/>
                <w:sz w:val="24"/>
              </w:rPr>
              <w:t>(care nu intră în domeniul de aplicare al mecanismului de coordonare a ISD) în domeniile identificate ca prezentând un risc ridicat în sensul securității economice.</w:t>
            </w:r>
          </w:p>
          <w:p w14:paraId="1C942B71" w14:textId="43AA3F1F" w:rsidR="00EF20E6" w:rsidRPr="00A05836" w:rsidRDefault="00EF20E6"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include o componentă de securitate economică pentru principalele sectoare strategice în viitorul </w:t>
            </w:r>
            <w:r w:rsidRPr="00A05836">
              <w:rPr>
                <w:rFonts w:ascii="Times New Roman" w:hAnsi="Times New Roman"/>
                <w:b/>
                <w:noProof/>
                <w:sz w:val="24"/>
              </w:rPr>
              <w:t>instrument de coordonare a competitivității.</w:t>
            </w:r>
          </w:p>
          <w:p w14:paraId="25347DCE" w14:textId="1C9DCE5A" w:rsidR="008B319D" w:rsidRPr="00A05836" w:rsidRDefault="003241F9" w:rsidP="008B319D">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consolida baza industrială și reziliența lanțurilor de aprovizionare ale UE prin intermediul </w:t>
            </w:r>
            <w:r w:rsidRPr="00A05836">
              <w:rPr>
                <w:rFonts w:ascii="Times New Roman" w:hAnsi="Times New Roman"/>
                <w:b/>
                <w:noProof/>
                <w:sz w:val="24"/>
              </w:rPr>
              <w:t>Actului legislativ privind accelerarea activității industriale</w:t>
            </w:r>
            <w:r w:rsidRPr="00A05836">
              <w:rPr>
                <w:rFonts w:ascii="Times New Roman" w:hAnsi="Times New Roman"/>
                <w:noProof/>
                <w:sz w:val="24"/>
              </w:rPr>
              <w:t xml:space="preserve">. </w:t>
            </w:r>
          </w:p>
          <w:p w14:paraId="756AAD0A" w14:textId="305F09AE" w:rsidR="002C21F2" w:rsidRPr="00A05836" w:rsidRDefault="0092081D" w:rsidP="0092081D">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Astfel cum s-a subliniat în ResourceEU, Comisia va dezvolta în continuare </w:t>
            </w:r>
            <w:r w:rsidRPr="00A05836">
              <w:rPr>
                <w:rFonts w:ascii="Times New Roman" w:hAnsi="Times New Roman"/>
                <w:b/>
                <w:noProof/>
                <w:sz w:val="24"/>
              </w:rPr>
              <w:t>piețele secundare</w:t>
            </w:r>
            <w:r w:rsidRPr="00A05836">
              <w:rPr>
                <w:rFonts w:ascii="Times New Roman" w:hAnsi="Times New Roman"/>
                <w:noProof/>
                <w:sz w:val="24"/>
              </w:rPr>
              <w:t xml:space="preserve"> pentru materiile prime critice, inclusiv prin intermediul Actului legislativ privind economia circulară, pentru a facilita finanțarea proiectelor strategice privind materiile prime critice în domenii identificate ca prezentând un risc ridicat în sensul securității economice.</w:t>
            </w:r>
          </w:p>
          <w:p w14:paraId="21A6246F" w14:textId="42B99770" w:rsidR="00F55F1A" w:rsidRPr="00A05836" w:rsidRDefault="00F55F1A"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analiza, până în T3 2026, modalitățile de </w:t>
            </w:r>
            <w:r w:rsidRPr="00A05836">
              <w:rPr>
                <w:rFonts w:ascii="Times New Roman" w:hAnsi="Times New Roman"/>
                <w:b/>
                <w:noProof/>
                <w:sz w:val="24"/>
              </w:rPr>
              <w:t>consolidare a protecției industriei împotriva politicilor comerciale neloiale și a evoluțiilor negative ale pieței mondiale, cum ar fi supracapacitatea</w:t>
            </w:r>
            <w:r w:rsidRPr="00A05836">
              <w:rPr>
                <w:rFonts w:ascii="Times New Roman" w:hAnsi="Times New Roman"/>
                <w:noProof/>
                <w:sz w:val="24"/>
              </w:rPr>
              <w:t>. În acest caz, Comisia va evalua eficacitatea și caracterul adecvat al instrumentelor existente și va lua în considerare necesitatea adoptării unor măsuri noi.</w:t>
            </w:r>
          </w:p>
          <w:p w14:paraId="0382189A" w14:textId="29A1076A" w:rsidR="00877D64" w:rsidRPr="00A05836" w:rsidRDefault="00877D64"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revizui </w:t>
            </w:r>
            <w:r w:rsidRPr="00A05836">
              <w:rPr>
                <w:rFonts w:ascii="Times New Roman" w:hAnsi="Times New Roman"/>
                <w:b/>
                <w:noProof/>
                <w:sz w:val="24"/>
              </w:rPr>
              <w:t>„legea de blocaj”</w:t>
            </w:r>
            <w:r w:rsidRPr="00A05836">
              <w:rPr>
                <w:rFonts w:ascii="Times New Roman" w:hAnsi="Times New Roman"/>
                <w:noProof/>
                <w:sz w:val="24"/>
              </w:rPr>
              <w:t xml:space="preserve"> pentru a simplifica aplicarea acesteia și a reduce costurile de asigurare a conformității pentru persoanele fizice și întreprinderile din UE, precum și pentru a crea un factor de descurajare credibil împotriva aplicării extrateritoriale a sancțiunilor țărilor terțe. Acest lucru va consolida securitatea economică europeană printr-o mai bună protecție a operatorilor din UE împotriva măsurilor contradictorii din țări terțe și prin asigurarea unui cadru mai previzibil, mai eficace și mai asertiv.</w:t>
            </w:r>
          </w:p>
          <w:p w14:paraId="37D15023" w14:textId="3F0D107C" w:rsidR="00D83F6B" w:rsidRPr="00A05836" w:rsidRDefault="00A85CD5"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analiza modalitățile de încurajare a întreprinderilor din anumite sectoare cu risc ridicat să se asigure că </w:t>
            </w:r>
            <w:r w:rsidRPr="00A05836">
              <w:rPr>
                <w:rFonts w:ascii="Times New Roman" w:hAnsi="Times New Roman"/>
                <w:b/>
                <w:noProof/>
                <w:sz w:val="24"/>
              </w:rPr>
              <w:t>aprovizionarea provine de la cel puțin doi furnizori diferiți</w:t>
            </w:r>
            <w:r w:rsidRPr="00A05836">
              <w:rPr>
                <w:rFonts w:ascii="Times New Roman" w:hAnsi="Times New Roman"/>
                <w:noProof/>
                <w:sz w:val="24"/>
              </w:rPr>
              <w:t xml:space="preserve"> și să limiteze expunerea la un singur furnizor dominant.</w:t>
            </w:r>
          </w:p>
          <w:p w14:paraId="07107891" w14:textId="5C42B88A" w:rsidR="00DD190F" w:rsidRPr="00A05836" w:rsidRDefault="00C47E08" w:rsidP="00847B9B">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analiza posibilitatea de a oferi </w:t>
            </w:r>
            <w:r w:rsidRPr="00A05836">
              <w:rPr>
                <w:rFonts w:ascii="Times New Roman" w:hAnsi="Times New Roman"/>
                <w:b/>
                <w:noProof/>
                <w:sz w:val="24"/>
              </w:rPr>
              <w:t>sprijin financiar întreprinderilor care fac obiectul deciziilor de examinare a ISD</w:t>
            </w:r>
            <w:r w:rsidRPr="00A05836">
              <w:rPr>
                <w:rFonts w:ascii="Times New Roman" w:hAnsi="Times New Roman"/>
                <w:noProof/>
                <w:sz w:val="24"/>
              </w:rPr>
              <w:t xml:space="preserve"> în situațiile în care viabilitatea lor financiară poate fi pusă în pericol în absența unei investiții, fără a aduce atingere normelor privind ajutoarele de stat.</w:t>
            </w:r>
          </w:p>
          <w:p w14:paraId="7BD82EB9" w14:textId="7110420D" w:rsidR="00BA498C" w:rsidRPr="00A05836" w:rsidRDefault="00BA498C"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În cadrul revizuirii directivelor privind achizițiile publice, Comisia </w:t>
            </w:r>
            <w:r w:rsidRPr="00A05836">
              <w:rPr>
                <w:rFonts w:ascii="Times New Roman" w:hAnsi="Times New Roman"/>
                <w:b/>
                <w:noProof/>
                <w:sz w:val="24"/>
              </w:rPr>
              <w:t>va propune criterii europene de preferință în anumite sectoare strategice</w:t>
            </w:r>
            <w:r w:rsidRPr="00A05836">
              <w:rPr>
                <w:rFonts w:ascii="Times New Roman" w:hAnsi="Times New Roman"/>
                <w:noProof/>
                <w:sz w:val="24"/>
              </w:rPr>
              <w:t xml:space="preserve"> în care achizițiile noastre publice stimulează cererea pentru poziția de lider industrial a Europei, ne sporesc reziliența și atenuează riscurile la adresa securității.</w:t>
            </w:r>
          </w:p>
          <w:p w14:paraId="5EC4522D" w14:textId="339FF34C" w:rsidR="00A31435" w:rsidRPr="00A05836" w:rsidRDefault="00DA49E3" w:rsidP="00A31435">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stimula întreprinderile să </w:t>
            </w:r>
            <w:r w:rsidRPr="00A05836">
              <w:rPr>
                <w:rFonts w:ascii="Times New Roman" w:hAnsi="Times New Roman"/>
                <w:b/>
                <w:noProof/>
                <w:sz w:val="24"/>
              </w:rPr>
              <w:t>reducă dependențele în domeniile tehnologiilor emergente,</w:t>
            </w:r>
            <w:r w:rsidRPr="00A05836">
              <w:rPr>
                <w:rFonts w:ascii="Times New Roman" w:hAnsi="Times New Roman"/>
                <w:noProof/>
                <w:sz w:val="24"/>
              </w:rPr>
              <w:t xml:space="preserve"> în cadrul viitorului Regulament privind cipurile 2.0, al Regulamentului privind tehnologiile cuantice, al Regulamentului privind dezvoltarea tehnologiei de tip cloud și a IA, precum și al Strategiei Comisiei privind sursele deschise.</w:t>
            </w:r>
          </w:p>
          <w:p w14:paraId="613D9641" w14:textId="151DC2AB" w:rsidR="00A31435" w:rsidRPr="00A05836" w:rsidRDefault="00C47E08"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sidRPr="00A05836">
              <w:rPr>
                <w:rFonts w:ascii="Times New Roman" w:hAnsi="Times New Roman"/>
                <w:noProof/>
                <w:sz w:val="24"/>
              </w:rPr>
              <w:t xml:space="preserve">Va utiliza viitoarea revizuire a </w:t>
            </w:r>
            <w:r w:rsidRPr="00A05836">
              <w:rPr>
                <w:rFonts w:ascii="Times New Roman" w:hAnsi="Times New Roman"/>
                <w:b/>
                <w:noProof/>
                <w:sz w:val="24"/>
              </w:rPr>
              <w:t>Regulamentului privind securitatea cibernetică</w:t>
            </w:r>
            <w:r w:rsidRPr="00A05836">
              <w:rPr>
                <w:rFonts w:ascii="Times New Roman" w:hAnsi="Times New Roman"/>
                <w:noProof/>
                <w:sz w:val="24"/>
              </w:rPr>
              <w:t xml:space="preserve"> pentru a adopta la nivelul UE restricții privind accesul furnizorilor cu grad ridicat de risc la infrastructura critică.</w:t>
            </w:r>
          </w:p>
        </w:tc>
      </w:tr>
    </w:tbl>
    <w:p w14:paraId="656BBB50" w14:textId="77777777" w:rsidR="00E5163B" w:rsidRPr="00A05836" w:rsidRDefault="00E5163B" w:rsidP="00E5163B">
      <w:pPr>
        <w:spacing w:before="120" w:after="120"/>
        <w:jc w:val="both"/>
        <w:rPr>
          <w:rFonts w:ascii="Times New Roman" w:hAnsi="Times New Roman" w:cs="Times New Roman"/>
          <w:b/>
          <w:bCs/>
          <w:i/>
          <w:iCs/>
          <w:noProof/>
          <w:sz w:val="24"/>
          <w:szCs w:val="24"/>
        </w:rPr>
      </w:pPr>
    </w:p>
    <w:p w14:paraId="36263F0A" w14:textId="47D67BE6" w:rsidR="00D946CA" w:rsidRPr="00A05836" w:rsidRDefault="00CA5E3D" w:rsidP="00E5163B">
      <w:pPr>
        <w:spacing w:before="120" w:after="120"/>
        <w:jc w:val="both"/>
        <w:rPr>
          <w:rFonts w:ascii="Times New Roman" w:hAnsi="Times New Roman" w:cs="Times New Roman"/>
          <w:b/>
          <w:bCs/>
          <w:i/>
          <w:iCs/>
          <w:noProof/>
          <w:sz w:val="24"/>
          <w:szCs w:val="24"/>
          <w:u w:val="single"/>
        </w:rPr>
      </w:pPr>
      <w:r w:rsidRPr="00A05836">
        <w:rPr>
          <w:rFonts w:ascii="Times New Roman" w:hAnsi="Times New Roman"/>
          <w:b/>
          <w:i/>
          <w:noProof/>
          <w:sz w:val="24"/>
          <w:u w:val="single"/>
        </w:rPr>
        <w:t>5. Concluzie</w:t>
      </w:r>
    </w:p>
    <w:p w14:paraId="553D36AC" w14:textId="2BCC56A9" w:rsidR="0013499F" w:rsidRPr="00A05836" w:rsidRDefault="00936080" w:rsidP="2DC673DD">
      <w:pPr>
        <w:spacing w:after="120"/>
        <w:jc w:val="both"/>
        <w:rPr>
          <w:rFonts w:ascii="Times New Roman" w:hAnsi="Times New Roman" w:cs="Times New Roman"/>
          <w:noProof/>
          <w:sz w:val="24"/>
          <w:szCs w:val="24"/>
        </w:rPr>
      </w:pPr>
      <w:r w:rsidRPr="00A05836">
        <w:rPr>
          <w:rFonts w:ascii="Times New Roman" w:hAnsi="Times New Roman"/>
          <w:noProof/>
          <w:sz w:val="24"/>
        </w:rPr>
        <w:t>UE își menține angajamentul ferm față de comerțul deschis și bazat pe norme, față de relațiile de investiții și față de cooperarea internațională. Prin urmare, UE va continua să sprijine investițiile și comerțul deschis cu parteneri din întreaga lume și să beneficieze de pe urma acestora. În același timp, în mediul geopolitic actual, protejarea securității economice a UE este imperativă. Abordarea riscurilor care decurg din deschidere este esențială pentru menținerea acesteia, precum și pentru securitatea noastră mai amplă și pentru competitivitatea industriei noastre.</w:t>
      </w:r>
    </w:p>
    <w:p w14:paraId="14B88999" w14:textId="74BB26B1" w:rsidR="0013499F" w:rsidRPr="00A05836" w:rsidRDefault="007B2220" w:rsidP="2DC673DD">
      <w:pPr>
        <w:spacing w:after="120"/>
        <w:jc w:val="both"/>
        <w:rPr>
          <w:rFonts w:ascii="Times New Roman" w:hAnsi="Times New Roman" w:cs="Times New Roman"/>
          <w:noProof/>
          <w:sz w:val="24"/>
          <w:szCs w:val="24"/>
        </w:rPr>
      </w:pPr>
      <w:r w:rsidRPr="00A05836">
        <w:rPr>
          <w:rFonts w:ascii="Times New Roman" w:hAnsi="Times New Roman"/>
          <w:noProof/>
          <w:sz w:val="24"/>
        </w:rPr>
        <w:t>UE dispune deja de numeroase instrumente pentru a urmări acest obiectiv. Aceste instrumente trebuie utilizate acum în mod strategic și, acolo unde este necesar, trebuie îmbunătățite în continuare, atât pentru a descuraja în mod credibil amenințările la adresa securității economice a UE înainte ca acestea să apară, cât și pentru a răspunde în mod eficace atunci când apar. Pentru a realiza acest lucru, Comisia, Parlamentul European și statele membre trebuie să acționeze în strânsă legătură și să coopereze îndeaproape cu industria, în vederea unui proces decizional eficient și în cunoștință de cauză.</w:t>
      </w:r>
    </w:p>
    <w:p w14:paraId="17441472" w14:textId="2483F47C" w:rsidR="00103385" w:rsidRPr="00A05836" w:rsidRDefault="0013499F" w:rsidP="00CA5E3D">
      <w:pPr>
        <w:spacing w:after="120"/>
        <w:jc w:val="both"/>
        <w:rPr>
          <w:rFonts w:ascii="Times New Roman" w:hAnsi="Times New Roman" w:cs="Times New Roman"/>
          <w:noProof/>
          <w:sz w:val="24"/>
          <w:szCs w:val="24"/>
        </w:rPr>
      </w:pPr>
      <w:r w:rsidRPr="00A05836">
        <w:rPr>
          <w:rFonts w:ascii="Times New Roman" w:hAnsi="Times New Roman"/>
          <w:noProof/>
          <w:sz w:val="24"/>
        </w:rPr>
        <w:t>UE este hotărâtă să utilizeze mai proactiv, mai strategic și mai coordonat toate instrumentele disponibile pentru a construi o economie puternică, sigură și rezilientă pe termen lung și pentru a funcționa în mod eficace în noile condiții geopolitice și geoeconomice care modelează comerțul mondial.</w:t>
      </w:r>
    </w:p>
    <w:p w14:paraId="561BBF27" w14:textId="77777777" w:rsidR="006E194F" w:rsidRPr="00A05836" w:rsidRDefault="006E194F" w:rsidP="009A00B3">
      <w:pPr>
        <w:pStyle w:val="ListParagraph"/>
        <w:spacing w:after="120"/>
        <w:contextualSpacing w:val="0"/>
        <w:jc w:val="both"/>
        <w:rPr>
          <w:noProof/>
          <w:sz w:val="24"/>
          <w:szCs w:val="24"/>
        </w:rPr>
      </w:pPr>
    </w:p>
    <w:sectPr w:rsidR="006E194F" w:rsidRPr="00A05836" w:rsidSect="00D60277">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24CF0" w14:textId="77777777" w:rsidR="005A67D2" w:rsidRPr="00E737DA" w:rsidRDefault="005A67D2" w:rsidP="00F41244">
      <w:pPr>
        <w:spacing w:after="0" w:line="240" w:lineRule="auto"/>
      </w:pPr>
      <w:r>
        <w:separator/>
      </w:r>
    </w:p>
  </w:endnote>
  <w:endnote w:type="continuationSeparator" w:id="0">
    <w:p w14:paraId="339EAA19" w14:textId="77777777" w:rsidR="005A67D2" w:rsidRPr="00E737DA" w:rsidRDefault="005A67D2" w:rsidP="00F41244">
      <w:pPr>
        <w:spacing w:after="0" w:line="240" w:lineRule="auto"/>
      </w:pPr>
      <w:r>
        <w:continuationSeparator/>
      </w:r>
    </w:p>
  </w:endnote>
  <w:endnote w:type="continuationNotice" w:id="1">
    <w:p w14:paraId="6916334F" w14:textId="77777777" w:rsidR="005A67D2" w:rsidRPr="00E737DA" w:rsidRDefault="005A6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855C3" w14:textId="7A517F50" w:rsidR="00B371A6" w:rsidRPr="00B371A6" w:rsidRDefault="00B371A6" w:rsidP="00B371A6">
    <w:pPr>
      <w:pStyle w:val="FooterCoverPage"/>
      <w:rPr>
        <w:rFonts w:ascii="Arial" w:hAnsi="Arial" w:cs="Arial"/>
        <w:b/>
        <w:sz w:val="48"/>
      </w:rPr>
    </w:pPr>
    <w:r w:rsidRPr="00B371A6">
      <w:rPr>
        <w:rFonts w:ascii="Arial" w:hAnsi="Arial" w:cs="Arial"/>
        <w:b/>
        <w:sz w:val="48"/>
      </w:rPr>
      <w:t>RO</w:t>
    </w:r>
    <w:r w:rsidRPr="00B371A6">
      <w:rPr>
        <w:rFonts w:ascii="Arial" w:hAnsi="Arial" w:cs="Arial"/>
        <w:b/>
        <w:sz w:val="48"/>
      </w:rPr>
      <w:tab/>
    </w:r>
    <w:r w:rsidRPr="00B371A6">
      <w:rPr>
        <w:rFonts w:ascii="Arial" w:hAnsi="Arial" w:cs="Arial"/>
        <w:b/>
        <w:sz w:val="48"/>
      </w:rPr>
      <w:tab/>
    </w:r>
    <w:r w:rsidRPr="00B371A6">
      <w:tab/>
    </w:r>
    <w:r w:rsidRPr="00B371A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A2D29" w14:textId="63903B17" w:rsidR="00B371A6" w:rsidRPr="00B371A6" w:rsidRDefault="00B371A6" w:rsidP="00B371A6">
    <w:pPr>
      <w:pStyle w:val="FooterCoverPage"/>
      <w:rPr>
        <w:rFonts w:ascii="Arial" w:hAnsi="Arial" w:cs="Arial"/>
        <w:b/>
        <w:sz w:val="48"/>
      </w:rPr>
    </w:pPr>
    <w:r w:rsidRPr="00B371A6">
      <w:rPr>
        <w:rFonts w:ascii="Arial" w:hAnsi="Arial" w:cs="Arial"/>
        <w:b/>
        <w:sz w:val="48"/>
      </w:rPr>
      <w:t>RO</w:t>
    </w:r>
    <w:r w:rsidRPr="00B371A6">
      <w:rPr>
        <w:rFonts w:ascii="Arial" w:hAnsi="Arial" w:cs="Arial"/>
        <w:b/>
        <w:sz w:val="48"/>
      </w:rPr>
      <w:tab/>
    </w:r>
    <w:r w:rsidRPr="00B371A6">
      <w:rPr>
        <w:rFonts w:ascii="Arial" w:hAnsi="Arial" w:cs="Arial"/>
        <w:b/>
        <w:sz w:val="48"/>
      </w:rPr>
      <w:tab/>
    </w:r>
    <w:r w:rsidRPr="00B371A6">
      <w:tab/>
    </w:r>
    <w:r w:rsidRPr="00B371A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983A7" w14:textId="77777777" w:rsidR="00B371A6" w:rsidRPr="00B371A6" w:rsidRDefault="00B371A6" w:rsidP="00B371A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A7D8" w14:textId="77777777" w:rsidR="00D60277" w:rsidRPr="00E737DA" w:rsidRDefault="00D602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01487866"/>
      <w:docPartObj>
        <w:docPartGallery w:val="Page Numbers (Bottom of Page)"/>
        <w:docPartUnique/>
      </w:docPartObj>
    </w:sdtPr>
    <w:sdtEndPr/>
    <w:sdtContent>
      <w:p w14:paraId="39AB2226" w14:textId="4108C72E" w:rsidR="0011705E" w:rsidRPr="00E737DA" w:rsidRDefault="0011705E">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371A6">
          <w:rPr>
            <w:rFonts w:ascii="Times New Roman" w:hAnsi="Times New Roman" w:cs="Times New Roman"/>
            <w:noProof/>
          </w:rPr>
          <w:t>1</w:t>
        </w:r>
        <w:r>
          <w:rPr>
            <w:rFonts w:ascii="Times New Roman" w:hAnsi="Times New Roman" w:cs="Times New Roman"/>
          </w:rPr>
          <w:fldChar w:fldCharType="end"/>
        </w:r>
      </w:p>
    </w:sdtContent>
  </w:sdt>
  <w:p w14:paraId="6DBA1B5C" w14:textId="6E25C2B2" w:rsidR="00D60277" w:rsidRPr="00E737DA" w:rsidRDefault="00D60277">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725D" w14:textId="77777777" w:rsidR="00D60277" w:rsidRPr="00E737DA" w:rsidRDefault="00D6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245B5" w14:textId="77777777" w:rsidR="005A67D2" w:rsidRPr="00E737DA" w:rsidRDefault="005A67D2" w:rsidP="00F41244">
      <w:pPr>
        <w:spacing w:after="0" w:line="240" w:lineRule="auto"/>
      </w:pPr>
      <w:r>
        <w:separator/>
      </w:r>
    </w:p>
  </w:footnote>
  <w:footnote w:type="continuationSeparator" w:id="0">
    <w:p w14:paraId="3F4752B0" w14:textId="77777777" w:rsidR="005A67D2" w:rsidRPr="00E737DA" w:rsidRDefault="005A67D2" w:rsidP="00F41244">
      <w:pPr>
        <w:spacing w:after="0" w:line="240" w:lineRule="auto"/>
      </w:pPr>
      <w:r>
        <w:continuationSeparator/>
      </w:r>
    </w:p>
  </w:footnote>
  <w:footnote w:type="continuationNotice" w:id="1">
    <w:p w14:paraId="4DFF8B42" w14:textId="77777777" w:rsidR="005A67D2" w:rsidRPr="00E737DA" w:rsidRDefault="005A67D2">
      <w:pPr>
        <w:spacing w:after="0" w:line="240" w:lineRule="auto"/>
      </w:pPr>
    </w:p>
  </w:footnote>
  <w:footnote w:id="2">
    <w:p w14:paraId="394D413F" w14:textId="0B895E6E" w:rsidR="008F0376" w:rsidRPr="00CA5E3D" w:rsidRDefault="008F03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JOIN(2023) 20 final.</w:t>
      </w:r>
    </w:p>
  </w:footnote>
  <w:footnote w:id="3">
    <w:p w14:paraId="036C166A" w14:textId="6F85E060" w:rsidR="000E155F" w:rsidRPr="00A6446F" w:rsidRDefault="000E155F" w:rsidP="000E155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COM/2024/75 din 19 februarie 2025.</w:t>
      </w:r>
    </w:p>
  </w:footnote>
  <w:footnote w:id="4">
    <w:p w14:paraId="21158FF4" w14:textId="4C425323" w:rsidR="00334D94" w:rsidRPr="0037463F" w:rsidRDefault="00334D94">
      <w:pPr>
        <w:pStyle w:val="FootnoteText"/>
      </w:pPr>
      <w:r>
        <w:rPr>
          <w:rStyle w:val="FootnoteReference"/>
        </w:rPr>
        <w:footnoteRef/>
      </w:r>
      <w:r>
        <w:t> Centrul de situații și de analiză a informațiilor al UE (INTCEN UE) din cadrul Serviciului European de Acțiune Externă face parte din Capacitatea unică de analiză a informațiilor a UE (SIAC) și este centrul civil de informații al UE, oferind o analiză aprofundată factorilor de decizie din toate instituțiile UE.</w:t>
      </w:r>
    </w:p>
    <w:p w14:paraId="534173A8" w14:textId="6A2B8F00" w:rsidR="00334D94" w:rsidRPr="0037463F" w:rsidRDefault="00334D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4338A" w14:textId="77777777" w:rsidR="00B371A6" w:rsidRPr="00B371A6" w:rsidRDefault="00B371A6" w:rsidP="00B371A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4B379" w14:textId="77777777" w:rsidR="00B371A6" w:rsidRPr="00B371A6" w:rsidRDefault="00B371A6" w:rsidP="00B371A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78C80" w14:textId="77777777" w:rsidR="00B371A6" w:rsidRPr="00B371A6" w:rsidRDefault="00B371A6" w:rsidP="00B371A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1E7D" w14:textId="77777777" w:rsidR="00D60277" w:rsidRPr="00E737DA" w:rsidRDefault="00D602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C114" w14:textId="57CE0B5C" w:rsidR="00D60277" w:rsidRPr="00E737DA" w:rsidRDefault="00D60277" w:rsidP="00D6027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B22F" w14:textId="77777777" w:rsidR="00D60277" w:rsidRPr="00E737DA" w:rsidRDefault="00D60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07A"/>
    <w:multiLevelType w:val="hybridMultilevel"/>
    <w:tmpl w:val="1A26AE58"/>
    <w:lvl w:ilvl="0" w:tplc="0A1AD6D6">
      <w:start w:val="1"/>
      <w:numFmt w:val="decimal"/>
      <w:lvlText w:val="%1."/>
      <w:lvlJc w:val="left"/>
      <w:pPr>
        <w:ind w:left="720" w:hanging="360"/>
      </w:pPr>
    </w:lvl>
    <w:lvl w:ilvl="1" w:tplc="58D20266">
      <w:start w:val="1"/>
      <w:numFmt w:val="bullet"/>
      <w:lvlText w:val="o"/>
      <w:lvlJc w:val="left"/>
      <w:pPr>
        <w:ind w:left="1440" w:hanging="360"/>
      </w:pPr>
      <w:rPr>
        <w:rFonts w:ascii="Courier New" w:hAnsi="Courier New" w:hint="default"/>
      </w:rPr>
    </w:lvl>
    <w:lvl w:ilvl="2" w:tplc="7C1492B8">
      <w:start w:val="1"/>
      <w:numFmt w:val="bullet"/>
      <w:lvlText w:val=""/>
      <w:lvlJc w:val="left"/>
      <w:pPr>
        <w:ind w:left="2160" w:hanging="360"/>
      </w:pPr>
      <w:rPr>
        <w:rFonts w:ascii="Wingdings" w:hAnsi="Wingdings" w:hint="default"/>
      </w:rPr>
    </w:lvl>
    <w:lvl w:ilvl="3" w:tplc="487657C0">
      <w:start w:val="1"/>
      <w:numFmt w:val="bullet"/>
      <w:lvlText w:val=""/>
      <w:lvlJc w:val="left"/>
      <w:pPr>
        <w:ind w:left="2880" w:hanging="360"/>
      </w:pPr>
      <w:rPr>
        <w:rFonts w:ascii="Symbol" w:hAnsi="Symbol" w:hint="default"/>
      </w:rPr>
    </w:lvl>
    <w:lvl w:ilvl="4" w:tplc="D1146B4E">
      <w:start w:val="1"/>
      <w:numFmt w:val="bullet"/>
      <w:lvlText w:val="o"/>
      <w:lvlJc w:val="left"/>
      <w:pPr>
        <w:ind w:left="3600" w:hanging="360"/>
      </w:pPr>
      <w:rPr>
        <w:rFonts w:ascii="Courier New" w:hAnsi="Courier New" w:hint="default"/>
      </w:rPr>
    </w:lvl>
    <w:lvl w:ilvl="5" w:tplc="1C0C4CEE">
      <w:start w:val="1"/>
      <w:numFmt w:val="bullet"/>
      <w:lvlText w:val=""/>
      <w:lvlJc w:val="left"/>
      <w:pPr>
        <w:ind w:left="4320" w:hanging="360"/>
      </w:pPr>
      <w:rPr>
        <w:rFonts w:ascii="Wingdings" w:hAnsi="Wingdings" w:hint="default"/>
      </w:rPr>
    </w:lvl>
    <w:lvl w:ilvl="6" w:tplc="DFC64E76">
      <w:start w:val="1"/>
      <w:numFmt w:val="bullet"/>
      <w:lvlText w:val=""/>
      <w:lvlJc w:val="left"/>
      <w:pPr>
        <w:ind w:left="5040" w:hanging="360"/>
      </w:pPr>
      <w:rPr>
        <w:rFonts w:ascii="Symbol" w:hAnsi="Symbol" w:hint="default"/>
      </w:rPr>
    </w:lvl>
    <w:lvl w:ilvl="7" w:tplc="5406E2DC">
      <w:start w:val="1"/>
      <w:numFmt w:val="bullet"/>
      <w:lvlText w:val="o"/>
      <w:lvlJc w:val="left"/>
      <w:pPr>
        <w:ind w:left="5760" w:hanging="360"/>
      </w:pPr>
      <w:rPr>
        <w:rFonts w:ascii="Courier New" w:hAnsi="Courier New" w:hint="default"/>
      </w:rPr>
    </w:lvl>
    <w:lvl w:ilvl="8" w:tplc="D5CC7EDC">
      <w:start w:val="1"/>
      <w:numFmt w:val="bullet"/>
      <w:lvlText w:val=""/>
      <w:lvlJc w:val="left"/>
      <w:pPr>
        <w:ind w:left="6480" w:hanging="360"/>
      </w:pPr>
      <w:rPr>
        <w:rFonts w:ascii="Wingdings" w:hAnsi="Wingdings" w:hint="default"/>
      </w:rPr>
    </w:lvl>
  </w:abstractNum>
  <w:abstractNum w:abstractNumId="1" w15:restartNumberingAfterBreak="0">
    <w:nsid w:val="080C5255"/>
    <w:multiLevelType w:val="hybridMultilevel"/>
    <w:tmpl w:val="8E60902C"/>
    <w:lvl w:ilvl="0" w:tplc="882EE232">
      <w:start w:val="1"/>
      <w:numFmt w:val="bullet"/>
      <w:lvlText w:val=""/>
      <w:lvlJc w:val="left"/>
      <w:pPr>
        <w:ind w:left="720" w:hanging="360"/>
      </w:pPr>
      <w:rPr>
        <w:rFonts w:ascii="Symbol" w:hAnsi="Symbol"/>
      </w:rPr>
    </w:lvl>
    <w:lvl w:ilvl="1" w:tplc="50BCB59A">
      <w:start w:val="1"/>
      <w:numFmt w:val="bullet"/>
      <w:lvlText w:val=""/>
      <w:lvlJc w:val="left"/>
      <w:pPr>
        <w:ind w:left="720" w:hanging="360"/>
      </w:pPr>
      <w:rPr>
        <w:rFonts w:ascii="Symbol" w:hAnsi="Symbol"/>
      </w:rPr>
    </w:lvl>
    <w:lvl w:ilvl="2" w:tplc="563211C4">
      <w:start w:val="1"/>
      <w:numFmt w:val="bullet"/>
      <w:lvlText w:val=""/>
      <w:lvlJc w:val="left"/>
      <w:pPr>
        <w:ind w:left="720" w:hanging="360"/>
      </w:pPr>
      <w:rPr>
        <w:rFonts w:ascii="Symbol" w:hAnsi="Symbol"/>
      </w:rPr>
    </w:lvl>
    <w:lvl w:ilvl="3" w:tplc="F67C9A5E">
      <w:start w:val="1"/>
      <w:numFmt w:val="bullet"/>
      <w:lvlText w:val=""/>
      <w:lvlJc w:val="left"/>
      <w:pPr>
        <w:ind w:left="720" w:hanging="360"/>
      </w:pPr>
      <w:rPr>
        <w:rFonts w:ascii="Symbol" w:hAnsi="Symbol"/>
      </w:rPr>
    </w:lvl>
    <w:lvl w:ilvl="4" w:tplc="8C5C13AC">
      <w:start w:val="1"/>
      <w:numFmt w:val="bullet"/>
      <w:lvlText w:val=""/>
      <w:lvlJc w:val="left"/>
      <w:pPr>
        <w:ind w:left="720" w:hanging="360"/>
      </w:pPr>
      <w:rPr>
        <w:rFonts w:ascii="Symbol" w:hAnsi="Symbol"/>
      </w:rPr>
    </w:lvl>
    <w:lvl w:ilvl="5" w:tplc="FE5231E8">
      <w:start w:val="1"/>
      <w:numFmt w:val="bullet"/>
      <w:lvlText w:val=""/>
      <w:lvlJc w:val="left"/>
      <w:pPr>
        <w:ind w:left="720" w:hanging="360"/>
      </w:pPr>
      <w:rPr>
        <w:rFonts w:ascii="Symbol" w:hAnsi="Symbol"/>
      </w:rPr>
    </w:lvl>
    <w:lvl w:ilvl="6" w:tplc="1A00F632">
      <w:start w:val="1"/>
      <w:numFmt w:val="bullet"/>
      <w:lvlText w:val=""/>
      <w:lvlJc w:val="left"/>
      <w:pPr>
        <w:ind w:left="720" w:hanging="360"/>
      </w:pPr>
      <w:rPr>
        <w:rFonts w:ascii="Symbol" w:hAnsi="Symbol"/>
      </w:rPr>
    </w:lvl>
    <w:lvl w:ilvl="7" w:tplc="81EEF178">
      <w:start w:val="1"/>
      <w:numFmt w:val="bullet"/>
      <w:lvlText w:val=""/>
      <w:lvlJc w:val="left"/>
      <w:pPr>
        <w:ind w:left="720" w:hanging="360"/>
      </w:pPr>
      <w:rPr>
        <w:rFonts w:ascii="Symbol" w:hAnsi="Symbol"/>
      </w:rPr>
    </w:lvl>
    <w:lvl w:ilvl="8" w:tplc="352C439E">
      <w:start w:val="1"/>
      <w:numFmt w:val="bullet"/>
      <w:lvlText w:val=""/>
      <w:lvlJc w:val="left"/>
      <w:pPr>
        <w:ind w:left="720" w:hanging="360"/>
      </w:pPr>
      <w:rPr>
        <w:rFonts w:ascii="Symbol" w:hAnsi="Symbol"/>
      </w:rPr>
    </w:lvl>
  </w:abstractNum>
  <w:abstractNum w:abstractNumId="2" w15:restartNumberingAfterBreak="0">
    <w:nsid w:val="0B6528F4"/>
    <w:multiLevelType w:val="hybridMultilevel"/>
    <w:tmpl w:val="792E3D4C"/>
    <w:lvl w:ilvl="0" w:tplc="E4F04BF2">
      <w:start w:val="1"/>
      <w:numFmt w:val="bullet"/>
      <w:lvlText w:val=""/>
      <w:lvlJc w:val="left"/>
      <w:pPr>
        <w:ind w:left="720" w:hanging="360"/>
      </w:pPr>
      <w:rPr>
        <w:rFonts w:ascii="Symbol" w:hAnsi="Symbol" w:hint="default"/>
      </w:rPr>
    </w:lvl>
    <w:lvl w:ilvl="1" w:tplc="D3B42544">
      <w:start w:val="1"/>
      <w:numFmt w:val="bullet"/>
      <w:lvlText w:val="o"/>
      <w:lvlJc w:val="left"/>
      <w:pPr>
        <w:ind w:left="1440" w:hanging="360"/>
      </w:pPr>
      <w:rPr>
        <w:rFonts w:ascii="Courier New" w:hAnsi="Courier New" w:hint="default"/>
      </w:rPr>
    </w:lvl>
    <w:lvl w:ilvl="2" w:tplc="F1F04F0C">
      <w:start w:val="1"/>
      <w:numFmt w:val="bullet"/>
      <w:lvlText w:val=""/>
      <w:lvlJc w:val="left"/>
      <w:pPr>
        <w:ind w:left="2160" w:hanging="360"/>
      </w:pPr>
      <w:rPr>
        <w:rFonts w:ascii="Wingdings" w:hAnsi="Wingdings" w:hint="default"/>
      </w:rPr>
    </w:lvl>
    <w:lvl w:ilvl="3" w:tplc="06F0A652">
      <w:start w:val="1"/>
      <w:numFmt w:val="bullet"/>
      <w:lvlText w:val=""/>
      <w:lvlJc w:val="left"/>
      <w:pPr>
        <w:ind w:left="2880" w:hanging="360"/>
      </w:pPr>
      <w:rPr>
        <w:rFonts w:ascii="Symbol" w:hAnsi="Symbol" w:hint="default"/>
      </w:rPr>
    </w:lvl>
    <w:lvl w:ilvl="4" w:tplc="427AD11C">
      <w:start w:val="1"/>
      <w:numFmt w:val="bullet"/>
      <w:lvlText w:val="o"/>
      <w:lvlJc w:val="left"/>
      <w:pPr>
        <w:ind w:left="3600" w:hanging="360"/>
      </w:pPr>
      <w:rPr>
        <w:rFonts w:ascii="Courier New" w:hAnsi="Courier New" w:hint="default"/>
      </w:rPr>
    </w:lvl>
    <w:lvl w:ilvl="5" w:tplc="BC0A5C0A">
      <w:start w:val="1"/>
      <w:numFmt w:val="bullet"/>
      <w:lvlText w:val=""/>
      <w:lvlJc w:val="left"/>
      <w:pPr>
        <w:ind w:left="4320" w:hanging="360"/>
      </w:pPr>
      <w:rPr>
        <w:rFonts w:ascii="Wingdings" w:hAnsi="Wingdings" w:hint="default"/>
      </w:rPr>
    </w:lvl>
    <w:lvl w:ilvl="6" w:tplc="887431E6">
      <w:start w:val="1"/>
      <w:numFmt w:val="bullet"/>
      <w:lvlText w:val=""/>
      <w:lvlJc w:val="left"/>
      <w:pPr>
        <w:ind w:left="5040" w:hanging="360"/>
      </w:pPr>
      <w:rPr>
        <w:rFonts w:ascii="Symbol" w:hAnsi="Symbol" w:hint="default"/>
      </w:rPr>
    </w:lvl>
    <w:lvl w:ilvl="7" w:tplc="96388708">
      <w:start w:val="1"/>
      <w:numFmt w:val="bullet"/>
      <w:lvlText w:val="o"/>
      <w:lvlJc w:val="left"/>
      <w:pPr>
        <w:ind w:left="5760" w:hanging="360"/>
      </w:pPr>
      <w:rPr>
        <w:rFonts w:ascii="Courier New" w:hAnsi="Courier New" w:hint="default"/>
      </w:rPr>
    </w:lvl>
    <w:lvl w:ilvl="8" w:tplc="B26C7870">
      <w:start w:val="1"/>
      <w:numFmt w:val="bullet"/>
      <w:lvlText w:val=""/>
      <w:lvlJc w:val="left"/>
      <w:pPr>
        <w:ind w:left="6480" w:hanging="360"/>
      </w:pPr>
      <w:rPr>
        <w:rFonts w:ascii="Wingdings" w:hAnsi="Wingdings" w:hint="default"/>
      </w:rPr>
    </w:lvl>
  </w:abstractNum>
  <w:abstractNum w:abstractNumId="3" w15:restartNumberingAfterBreak="0">
    <w:nsid w:val="127B234B"/>
    <w:multiLevelType w:val="hybridMultilevel"/>
    <w:tmpl w:val="FF16A04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8102B4"/>
    <w:multiLevelType w:val="hybridMultilevel"/>
    <w:tmpl w:val="F8D6ECA0"/>
    <w:lvl w:ilvl="0" w:tplc="5ACCBE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D3415"/>
    <w:multiLevelType w:val="hybridMultilevel"/>
    <w:tmpl w:val="AC3874F0"/>
    <w:lvl w:ilvl="0" w:tplc="2F0421C0">
      <w:start w:val="1"/>
      <w:numFmt w:val="bullet"/>
      <w:lvlText w:val=""/>
      <w:lvlJc w:val="left"/>
      <w:pPr>
        <w:ind w:left="1080" w:hanging="360"/>
      </w:pPr>
      <w:rPr>
        <w:rFonts w:ascii="Symbol" w:hAnsi="Symbol" w:hint="default"/>
      </w:rPr>
    </w:lvl>
    <w:lvl w:ilvl="1" w:tplc="46C2FC52">
      <w:start w:val="1"/>
      <w:numFmt w:val="bullet"/>
      <w:lvlText w:val="o"/>
      <w:lvlJc w:val="left"/>
      <w:pPr>
        <w:ind w:left="1800" w:hanging="360"/>
      </w:pPr>
      <w:rPr>
        <w:rFonts w:ascii="Courier New" w:hAnsi="Courier New" w:hint="default"/>
      </w:rPr>
    </w:lvl>
    <w:lvl w:ilvl="2" w:tplc="658AE2C8" w:tentative="1">
      <w:start w:val="1"/>
      <w:numFmt w:val="bullet"/>
      <w:lvlText w:val=""/>
      <w:lvlJc w:val="left"/>
      <w:pPr>
        <w:ind w:left="2520" w:hanging="360"/>
      </w:pPr>
      <w:rPr>
        <w:rFonts w:ascii="Wingdings" w:hAnsi="Wingdings" w:hint="default"/>
      </w:rPr>
    </w:lvl>
    <w:lvl w:ilvl="3" w:tplc="C1603616" w:tentative="1">
      <w:start w:val="1"/>
      <w:numFmt w:val="bullet"/>
      <w:lvlText w:val=""/>
      <w:lvlJc w:val="left"/>
      <w:pPr>
        <w:ind w:left="3240" w:hanging="360"/>
      </w:pPr>
      <w:rPr>
        <w:rFonts w:ascii="Symbol" w:hAnsi="Symbol" w:hint="default"/>
      </w:rPr>
    </w:lvl>
    <w:lvl w:ilvl="4" w:tplc="56EE6BE4" w:tentative="1">
      <w:start w:val="1"/>
      <w:numFmt w:val="bullet"/>
      <w:lvlText w:val="o"/>
      <w:lvlJc w:val="left"/>
      <w:pPr>
        <w:ind w:left="3960" w:hanging="360"/>
      </w:pPr>
      <w:rPr>
        <w:rFonts w:ascii="Courier New" w:hAnsi="Courier New" w:hint="default"/>
      </w:rPr>
    </w:lvl>
    <w:lvl w:ilvl="5" w:tplc="9ED6ED38" w:tentative="1">
      <w:start w:val="1"/>
      <w:numFmt w:val="bullet"/>
      <w:lvlText w:val=""/>
      <w:lvlJc w:val="left"/>
      <w:pPr>
        <w:ind w:left="4680" w:hanging="360"/>
      </w:pPr>
      <w:rPr>
        <w:rFonts w:ascii="Wingdings" w:hAnsi="Wingdings" w:hint="default"/>
      </w:rPr>
    </w:lvl>
    <w:lvl w:ilvl="6" w:tplc="33A47396" w:tentative="1">
      <w:start w:val="1"/>
      <w:numFmt w:val="bullet"/>
      <w:lvlText w:val=""/>
      <w:lvlJc w:val="left"/>
      <w:pPr>
        <w:ind w:left="5400" w:hanging="360"/>
      </w:pPr>
      <w:rPr>
        <w:rFonts w:ascii="Symbol" w:hAnsi="Symbol" w:hint="default"/>
      </w:rPr>
    </w:lvl>
    <w:lvl w:ilvl="7" w:tplc="A5508AC0" w:tentative="1">
      <w:start w:val="1"/>
      <w:numFmt w:val="bullet"/>
      <w:lvlText w:val="o"/>
      <w:lvlJc w:val="left"/>
      <w:pPr>
        <w:ind w:left="6120" w:hanging="360"/>
      </w:pPr>
      <w:rPr>
        <w:rFonts w:ascii="Courier New" w:hAnsi="Courier New" w:hint="default"/>
      </w:rPr>
    </w:lvl>
    <w:lvl w:ilvl="8" w:tplc="63508A7E" w:tentative="1">
      <w:start w:val="1"/>
      <w:numFmt w:val="bullet"/>
      <w:lvlText w:val=""/>
      <w:lvlJc w:val="left"/>
      <w:pPr>
        <w:ind w:left="6840" w:hanging="360"/>
      </w:pPr>
      <w:rPr>
        <w:rFonts w:ascii="Wingdings" w:hAnsi="Wingdings" w:hint="default"/>
      </w:rPr>
    </w:lvl>
  </w:abstractNum>
  <w:abstractNum w:abstractNumId="6" w15:restartNumberingAfterBreak="0">
    <w:nsid w:val="1BEE20C7"/>
    <w:multiLevelType w:val="hybridMultilevel"/>
    <w:tmpl w:val="3514CE1C"/>
    <w:lvl w:ilvl="0" w:tplc="FE3AA900">
      <w:start w:val="1"/>
      <w:numFmt w:val="bullet"/>
      <w:lvlText w:val=""/>
      <w:lvlJc w:val="left"/>
      <w:pPr>
        <w:ind w:left="360" w:hanging="360"/>
      </w:pPr>
      <w:rPr>
        <w:rFonts w:ascii="Symbol" w:hAnsi="Symbol" w:hint="default"/>
      </w:rPr>
    </w:lvl>
    <w:lvl w:ilvl="1" w:tplc="DFF8D930" w:tentative="1">
      <w:start w:val="1"/>
      <w:numFmt w:val="bullet"/>
      <w:lvlText w:val="o"/>
      <w:lvlJc w:val="left"/>
      <w:pPr>
        <w:ind w:left="1080" w:hanging="360"/>
      </w:pPr>
      <w:rPr>
        <w:rFonts w:ascii="Courier New" w:hAnsi="Courier New" w:hint="default"/>
      </w:rPr>
    </w:lvl>
    <w:lvl w:ilvl="2" w:tplc="A104AE0C" w:tentative="1">
      <w:start w:val="1"/>
      <w:numFmt w:val="bullet"/>
      <w:lvlText w:val=""/>
      <w:lvlJc w:val="left"/>
      <w:pPr>
        <w:ind w:left="1800" w:hanging="360"/>
      </w:pPr>
      <w:rPr>
        <w:rFonts w:ascii="Wingdings" w:hAnsi="Wingdings" w:hint="default"/>
      </w:rPr>
    </w:lvl>
    <w:lvl w:ilvl="3" w:tplc="7D0E219C" w:tentative="1">
      <w:start w:val="1"/>
      <w:numFmt w:val="bullet"/>
      <w:lvlText w:val=""/>
      <w:lvlJc w:val="left"/>
      <w:pPr>
        <w:ind w:left="2520" w:hanging="360"/>
      </w:pPr>
      <w:rPr>
        <w:rFonts w:ascii="Symbol" w:hAnsi="Symbol" w:hint="default"/>
      </w:rPr>
    </w:lvl>
    <w:lvl w:ilvl="4" w:tplc="C3E60706" w:tentative="1">
      <w:start w:val="1"/>
      <w:numFmt w:val="bullet"/>
      <w:lvlText w:val="o"/>
      <w:lvlJc w:val="left"/>
      <w:pPr>
        <w:ind w:left="3240" w:hanging="360"/>
      </w:pPr>
      <w:rPr>
        <w:rFonts w:ascii="Courier New" w:hAnsi="Courier New" w:hint="default"/>
      </w:rPr>
    </w:lvl>
    <w:lvl w:ilvl="5" w:tplc="EE283760" w:tentative="1">
      <w:start w:val="1"/>
      <w:numFmt w:val="bullet"/>
      <w:lvlText w:val=""/>
      <w:lvlJc w:val="left"/>
      <w:pPr>
        <w:ind w:left="3960" w:hanging="360"/>
      </w:pPr>
      <w:rPr>
        <w:rFonts w:ascii="Wingdings" w:hAnsi="Wingdings" w:hint="default"/>
      </w:rPr>
    </w:lvl>
    <w:lvl w:ilvl="6" w:tplc="AE3A8DB4" w:tentative="1">
      <w:start w:val="1"/>
      <w:numFmt w:val="bullet"/>
      <w:lvlText w:val=""/>
      <w:lvlJc w:val="left"/>
      <w:pPr>
        <w:ind w:left="4680" w:hanging="360"/>
      </w:pPr>
      <w:rPr>
        <w:rFonts w:ascii="Symbol" w:hAnsi="Symbol" w:hint="default"/>
      </w:rPr>
    </w:lvl>
    <w:lvl w:ilvl="7" w:tplc="DA92A40C" w:tentative="1">
      <w:start w:val="1"/>
      <w:numFmt w:val="bullet"/>
      <w:lvlText w:val="o"/>
      <w:lvlJc w:val="left"/>
      <w:pPr>
        <w:ind w:left="5400" w:hanging="360"/>
      </w:pPr>
      <w:rPr>
        <w:rFonts w:ascii="Courier New" w:hAnsi="Courier New" w:hint="default"/>
      </w:rPr>
    </w:lvl>
    <w:lvl w:ilvl="8" w:tplc="E9A27CEE" w:tentative="1">
      <w:start w:val="1"/>
      <w:numFmt w:val="bullet"/>
      <w:lvlText w:val=""/>
      <w:lvlJc w:val="left"/>
      <w:pPr>
        <w:ind w:left="6120" w:hanging="360"/>
      </w:pPr>
      <w:rPr>
        <w:rFonts w:ascii="Wingdings" w:hAnsi="Wingdings" w:hint="default"/>
      </w:rPr>
    </w:lvl>
  </w:abstractNum>
  <w:abstractNum w:abstractNumId="7" w15:restartNumberingAfterBreak="0">
    <w:nsid w:val="1C231FD5"/>
    <w:multiLevelType w:val="hybridMultilevel"/>
    <w:tmpl w:val="D66C9C0E"/>
    <w:lvl w:ilvl="0" w:tplc="CF6263C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6C258E"/>
    <w:multiLevelType w:val="hybridMultilevel"/>
    <w:tmpl w:val="79F63D76"/>
    <w:lvl w:ilvl="0" w:tplc="24F88DC8">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5742E5C6" w:tentative="1">
      <w:start w:val="1"/>
      <w:numFmt w:val="bullet"/>
      <w:lvlText w:val=""/>
      <w:lvlJc w:val="left"/>
      <w:pPr>
        <w:ind w:left="1800" w:hanging="360"/>
      </w:pPr>
      <w:rPr>
        <w:rFonts w:ascii="Wingdings" w:hAnsi="Wingdings" w:hint="default"/>
      </w:rPr>
    </w:lvl>
    <w:lvl w:ilvl="3" w:tplc="65FA83C0" w:tentative="1">
      <w:start w:val="1"/>
      <w:numFmt w:val="bullet"/>
      <w:lvlText w:val=""/>
      <w:lvlJc w:val="left"/>
      <w:pPr>
        <w:ind w:left="2520" w:hanging="360"/>
      </w:pPr>
      <w:rPr>
        <w:rFonts w:ascii="Symbol" w:hAnsi="Symbol" w:hint="default"/>
      </w:rPr>
    </w:lvl>
    <w:lvl w:ilvl="4" w:tplc="D5942BDA" w:tentative="1">
      <w:start w:val="1"/>
      <w:numFmt w:val="bullet"/>
      <w:lvlText w:val="o"/>
      <w:lvlJc w:val="left"/>
      <w:pPr>
        <w:ind w:left="3240" w:hanging="360"/>
      </w:pPr>
      <w:rPr>
        <w:rFonts w:ascii="Courier New" w:hAnsi="Courier New" w:hint="default"/>
      </w:rPr>
    </w:lvl>
    <w:lvl w:ilvl="5" w:tplc="B59E1EBC" w:tentative="1">
      <w:start w:val="1"/>
      <w:numFmt w:val="bullet"/>
      <w:lvlText w:val=""/>
      <w:lvlJc w:val="left"/>
      <w:pPr>
        <w:ind w:left="3960" w:hanging="360"/>
      </w:pPr>
      <w:rPr>
        <w:rFonts w:ascii="Wingdings" w:hAnsi="Wingdings" w:hint="default"/>
      </w:rPr>
    </w:lvl>
    <w:lvl w:ilvl="6" w:tplc="7DB8745A" w:tentative="1">
      <w:start w:val="1"/>
      <w:numFmt w:val="bullet"/>
      <w:lvlText w:val=""/>
      <w:lvlJc w:val="left"/>
      <w:pPr>
        <w:ind w:left="4680" w:hanging="360"/>
      </w:pPr>
      <w:rPr>
        <w:rFonts w:ascii="Symbol" w:hAnsi="Symbol" w:hint="default"/>
      </w:rPr>
    </w:lvl>
    <w:lvl w:ilvl="7" w:tplc="0C929EB6" w:tentative="1">
      <w:start w:val="1"/>
      <w:numFmt w:val="bullet"/>
      <w:lvlText w:val="o"/>
      <w:lvlJc w:val="left"/>
      <w:pPr>
        <w:ind w:left="5400" w:hanging="360"/>
      </w:pPr>
      <w:rPr>
        <w:rFonts w:ascii="Courier New" w:hAnsi="Courier New" w:hint="default"/>
      </w:rPr>
    </w:lvl>
    <w:lvl w:ilvl="8" w:tplc="23F4D4AC" w:tentative="1">
      <w:start w:val="1"/>
      <w:numFmt w:val="bullet"/>
      <w:lvlText w:val=""/>
      <w:lvlJc w:val="left"/>
      <w:pPr>
        <w:ind w:left="6120" w:hanging="360"/>
      </w:pPr>
      <w:rPr>
        <w:rFonts w:ascii="Wingdings" w:hAnsi="Wingdings" w:hint="default"/>
      </w:rPr>
    </w:lvl>
  </w:abstractNum>
  <w:abstractNum w:abstractNumId="9" w15:restartNumberingAfterBreak="0">
    <w:nsid w:val="24255BC5"/>
    <w:multiLevelType w:val="hybridMultilevel"/>
    <w:tmpl w:val="526C9128"/>
    <w:lvl w:ilvl="0" w:tplc="F3942428">
      <w:start w:val="1"/>
      <w:numFmt w:val="lowerRoman"/>
      <w:lvlText w:val="(%1)"/>
      <w:lvlJc w:val="left"/>
      <w:pPr>
        <w:ind w:left="1080" w:hanging="720"/>
      </w:pPr>
      <w:rPr>
        <w:b/>
      </w:rPr>
    </w:lvl>
    <w:lvl w:ilvl="1" w:tplc="5AFABEB2" w:tentative="1">
      <w:start w:val="1"/>
      <w:numFmt w:val="lowerLetter"/>
      <w:lvlText w:val="%2."/>
      <w:lvlJc w:val="left"/>
      <w:pPr>
        <w:ind w:left="1440" w:hanging="360"/>
      </w:pPr>
    </w:lvl>
    <w:lvl w:ilvl="2" w:tplc="27C64DC4" w:tentative="1">
      <w:start w:val="1"/>
      <w:numFmt w:val="lowerRoman"/>
      <w:lvlText w:val="%3."/>
      <w:lvlJc w:val="right"/>
      <w:pPr>
        <w:ind w:left="2160" w:hanging="180"/>
      </w:pPr>
    </w:lvl>
    <w:lvl w:ilvl="3" w:tplc="C82CC99C" w:tentative="1">
      <w:start w:val="1"/>
      <w:numFmt w:val="decimal"/>
      <w:lvlText w:val="%4."/>
      <w:lvlJc w:val="left"/>
      <w:pPr>
        <w:ind w:left="2880" w:hanging="360"/>
      </w:pPr>
    </w:lvl>
    <w:lvl w:ilvl="4" w:tplc="24D45ECE" w:tentative="1">
      <w:start w:val="1"/>
      <w:numFmt w:val="lowerLetter"/>
      <w:lvlText w:val="%5."/>
      <w:lvlJc w:val="left"/>
      <w:pPr>
        <w:ind w:left="3600" w:hanging="360"/>
      </w:pPr>
    </w:lvl>
    <w:lvl w:ilvl="5" w:tplc="829E54FA" w:tentative="1">
      <w:start w:val="1"/>
      <w:numFmt w:val="lowerRoman"/>
      <w:lvlText w:val="%6."/>
      <w:lvlJc w:val="right"/>
      <w:pPr>
        <w:ind w:left="4320" w:hanging="180"/>
      </w:pPr>
    </w:lvl>
    <w:lvl w:ilvl="6" w:tplc="4C604E1A" w:tentative="1">
      <w:start w:val="1"/>
      <w:numFmt w:val="decimal"/>
      <w:lvlText w:val="%7."/>
      <w:lvlJc w:val="left"/>
      <w:pPr>
        <w:ind w:left="5040" w:hanging="360"/>
      </w:pPr>
    </w:lvl>
    <w:lvl w:ilvl="7" w:tplc="A36AA150" w:tentative="1">
      <w:start w:val="1"/>
      <w:numFmt w:val="lowerLetter"/>
      <w:lvlText w:val="%8."/>
      <w:lvlJc w:val="left"/>
      <w:pPr>
        <w:ind w:left="5760" w:hanging="360"/>
      </w:pPr>
    </w:lvl>
    <w:lvl w:ilvl="8" w:tplc="0FD0DE6A" w:tentative="1">
      <w:start w:val="1"/>
      <w:numFmt w:val="lowerRoman"/>
      <w:lvlText w:val="%9."/>
      <w:lvlJc w:val="right"/>
      <w:pPr>
        <w:ind w:left="6480" w:hanging="180"/>
      </w:pPr>
    </w:lvl>
  </w:abstractNum>
  <w:abstractNum w:abstractNumId="10" w15:restartNumberingAfterBreak="0">
    <w:nsid w:val="24E21D67"/>
    <w:multiLevelType w:val="hybridMultilevel"/>
    <w:tmpl w:val="41EEB656"/>
    <w:lvl w:ilvl="0" w:tplc="7C206FF6">
      <w:start w:val="1"/>
      <w:numFmt w:val="bullet"/>
      <w:lvlText w:val=""/>
      <w:lvlJc w:val="left"/>
      <w:pPr>
        <w:ind w:left="720" w:hanging="360"/>
      </w:pPr>
      <w:rPr>
        <w:rFonts w:ascii="Symbol" w:hAnsi="Symbol" w:hint="default"/>
      </w:rPr>
    </w:lvl>
    <w:lvl w:ilvl="1" w:tplc="97F4F4F0" w:tentative="1">
      <w:start w:val="1"/>
      <w:numFmt w:val="bullet"/>
      <w:lvlText w:val="o"/>
      <w:lvlJc w:val="left"/>
      <w:pPr>
        <w:ind w:left="1440" w:hanging="360"/>
      </w:pPr>
      <w:rPr>
        <w:rFonts w:ascii="Courier New" w:hAnsi="Courier New" w:hint="default"/>
      </w:rPr>
    </w:lvl>
    <w:lvl w:ilvl="2" w:tplc="2A6E1926" w:tentative="1">
      <w:start w:val="1"/>
      <w:numFmt w:val="bullet"/>
      <w:lvlText w:val=""/>
      <w:lvlJc w:val="left"/>
      <w:pPr>
        <w:ind w:left="2160" w:hanging="360"/>
      </w:pPr>
      <w:rPr>
        <w:rFonts w:ascii="Wingdings" w:hAnsi="Wingdings" w:hint="default"/>
      </w:rPr>
    </w:lvl>
    <w:lvl w:ilvl="3" w:tplc="3A180250" w:tentative="1">
      <w:start w:val="1"/>
      <w:numFmt w:val="bullet"/>
      <w:lvlText w:val=""/>
      <w:lvlJc w:val="left"/>
      <w:pPr>
        <w:ind w:left="2880" w:hanging="360"/>
      </w:pPr>
      <w:rPr>
        <w:rFonts w:ascii="Symbol" w:hAnsi="Symbol" w:hint="default"/>
      </w:rPr>
    </w:lvl>
    <w:lvl w:ilvl="4" w:tplc="390AA92E" w:tentative="1">
      <w:start w:val="1"/>
      <w:numFmt w:val="bullet"/>
      <w:lvlText w:val="o"/>
      <w:lvlJc w:val="left"/>
      <w:pPr>
        <w:ind w:left="3600" w:hanging="360"/>
      </w:pPr>
      <w:rPr>
        <w:rFonts w:ascii="Courier New" w:hAnsi="Courier New" w:hint="default"/>
      </w:rPr>
    </w:lvl>
    <w:lvl w:ilvl="5" w:tplc="DD22182C" w:tentative="1">
      <w:start w:val="1"/>
      <w:numFmt w:val="bullet"/>
      <w:lvlText w:val=""/>
      <w:lvlJc w:val="left"/>
      <w:pPr>
        <w:ind w:left="4320" w:hanging="360"/>
      </w:pPr>
      <w:rPr>
        <w:rFonts w:ascii="Wingdings" w:hAnsi="Wingdings" w:hint="default"/>
      </w:rPr>
    </w:lvl>
    <w:lvl w:ilvl="6" w:tplc="B7387F98" w:tentative="1">
      <w:start w:val="1"/>
      <w:numFmt w:val="bullet"/>
      <w:lvlText w:val=""/>
      <w:lvlJc w:val="left"/>
      <w:pPr>
        <w:ind w:left="5040" w:hanging="360"/>
      </w:pPr>
      <w:rPr>
        <w:rFonts w:ascii="Symbol" w:hAnsi="Symbol" w:hint="default"/>
      </w:rPr>
    </w:lvl>
    <w:lvl w:ilvl="7" w:tplc="6876FAF4" w:tentative="1">
      <w:start w:val="1"/>
      <w:numFmt w:val="bullet"/>
      <w:lvlText w:val="o"/>
      <w:lvlJc w:val="left"/>
      <w:pPr>
        <w:ind w:left="5760" w:hanging="360"/>
      </w:pPr>
      <w:rPr>
        <w:rFonts w:ascii="Courier New" w:hAnsi="Courier New" w:hint="default"/>
      </w:rPr>
    </w:lvl>
    <w:lvl w:ilvl="8" w:tplc="F9FE27EA" w:tentative="1">
      <w:start w:val="1"/>
      <w:numFmt w:val="bullet"/>
      <w:lvlText w:val=""/>
      <w:lvlJc w:val="left"/>
      <w:pPr>
        <w:ind w:left="6480" w:hanging="360"/>
      </w:pPr>
      <w:rPr>
        <w:rFonts w:ascii="Wingdings" w:hAnsi="Wingdings" w:hint="default"/>
      </w:rPr>
    </w:lvl>
  </w:abstractNum>
  <w:abstractNum w:abstractNumId="11" w15:restartNumberingAfterBreak="0">
    <w:nsid w:val="27342A5E"/>
    <w:multiLevelType w:val="hybridMultilevel"/>
    <w:tmpl w:val="29DA107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AEBF2CC"/>
    <w:multiLevelType w:val="hybridMultilevel"/>
    <w:tmpl w:val="2E1656D2"/>
    <w:lvl w:ilvl="0" w:tplc="1DB641BA">
      <w:start w:val="3"/>
      <w:numFmt w:val="decimal"/>
      <w:lvlText w:val="%1."/>
      <w:lvlJc w:val="left"/>
      <w:pPr>
        <w:ind w:left="720" w:hanging="360"/>
      </w:pPr>
    </w:lvl>
    <w:lvl w:ilvl="1" w:tplc="EF845A04">
      <w:start w:val="1"/>
      <w:numFmt w:val="lowerLetter"/>
      <w:lvlText w:val="%2."/>
      <w:lvlJc w:val="left"/>
      <w:pPr>
        <w:ind w:left="1440" w:hanging="360"/>
      </w:pPr>
    </w:lvl>
    <w:lvl w:ilvl="2" w:tplc="CCC0945A">
      <w:start w:val="1"/>
      <w:numFmt w:val="lowerRoman"/>
      <w:lvlText w:val="%3."/>
      <w:lvlJc w:val="right"/>
      <w:pPr>
        <w:ind w:left="2160" w:hanging="180"/>
      </w:pPr>
    </w:lvl>
    <w:lvl w:ilvl="3" w:tplc="CBBC63D0">
      <w:start w:val="1"/>
      <w:numFmt w:val="decimal"/>
      <w:lvlText w:val="%4."/>
      <w:lvlJc w:val="left"/>
      <w:pPr>
        <w:ind w:left="2880" w:hanging="360"/>
      </w:pPr>
    </w:lvl>
    <w:lvl w:ilvl="4" w:tplc="99B2B81A">
      <w:start w:val="1"/>
      <w:numFmt w:val="lowerLetter"/>
      <w:lvlText w:val="%5."/>
      <w:lvlJc w:val="left"/>
      <w:pPr>
        <w:ind w:left="3600" w:hanging="360"/>
      </w:pPr>
    </w:lvl>
    <w:lvl w:ilvl="5" w:tplc="6520E1A0">
      <w:start w:val="1"/>
      <w:numFmt w:val="lowerRoman"/>
      <w:lvlText w:val="%6."/>
      <w:lvlJc w:val="right"/>
      <w:pPr>
        <w:ind w:left="4320" w:hanging="180"/>
      </w:pPr>
    </w:lvl>
    <w:lvl w:ilvl="6" w:tplc="500681DA">
      <w:start w:val="1"/>
      <w:numFmt w:val="decimal"/>
      <w:lvlText w:val="%7."/>
      <w:lvlJc w:val="left"/>
      <w:pPr>
        <w:ind w:left="5040" w:hanging="360"/>
      </w:pPr>
    </w:lvl>
    <w:lvl w:ilvl="7" w:tplc="F7F03432">
      <w:start w:val="1"/>
      <w:numFmt w:val="lowerLetter"/>
      <w:lvlText w:val="%8."/>
      <w:lvlJc w:val="left"/>
      <w:pPr>
        <w:ind w:left="5760" w:hanging="360"/>
      </w:pPr>
    </w:lvl>
    <w:lvl w:ilvl="8" w:tplc="C91E063A">
      <w:start w:val="1"/>
      <w:numFmt w:val="lowerRoman"/>
      <w:lvlText w:val="%9."/>
      <w:lvlJc w:val="right"/>
      <w:pPr>
        <w:ind w:left="6480" w:hanging="180"/>
      </w:pPr>
    </w:lvl>
  </w:abstractNum>
  <w:abstractNum w:abstractNumId="13" w15:restartNumberingAfterBreak="0">
    <w:nsid w:val="2D19485D"/>
    <w:multiLevelType w:val="hybridMultilevel"/>
    <w:tmpl w:val="6F4075D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B0CBB"/>
    <w:multiLevelType w:val="hybridMultilevel"/>
    <w:tmpl w:val="63507F12"/>
    <w:lvl w:ilvl="0" w:tplc="55E835E8">
      <w:start w:val="1"/>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7438E9"/>
    <w:multiLevelType w:val="hybridMultilevel"/>
    <w:tmpl w:val="52AAA36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433BB7"/>
    <w:multiLevelType w:val="hybridMultilevel"/>
    <w:tmpl w:val="5204D14E"/>
    <w:lvl w:ilvl="0" w:tplc="41943846">
      <w:start w:val="1"/>
      <w:numFmt w:val="bullet"/>
      <w:lvlText w:val=""/>
      <w:lvlJc w:val="left"/>
      <w:pPr>
        <w:ind w:left="1440" w:hanging="360"/>
      </w:pPr>
      <w:rPr>
        <w:rFonts w:ascii="Symbol" w:hAnsi="Symbol" w:hint="default"/>
      </w:rPr>
    </w:lvl>
    <w:lvl w:ilvl="1" w:tplc="32DEF8AE" w:tentative="1">
      <w:start w:val="1"/>
      <w:numFmt w:val="bullet"/>
      <w:lvlText w:val="o"/>
      <w:lvlJc w:val="left"/>
      <w:pPr>
        <w:ind w:left="2160" w:hanging="360"/>
      </w:pPr>
      <w:rPr>
        <w:rFonts w:ascii="Courier New" w:hAnsi="Courier New" w:hint="default"/>
      </w:rPr>
    </w:lvl>
    <w:lvl w:ilvl="2" w:tplc="DB282D70" w:tentative="1">
      <w:start w:val="1"/>
      <w:numFmt w:val="bullet"/>
      <w:lvlText w:val=""/>
      <w:lvlJc w:val="left"/>
      <w:pPr>
        <w:ind w:left="2880" w:hanging="360"/>
      </w:pPr>
      <w:rPr>
        <w:rFonts w:ascii="Wingdings" w:hAnsi="Wingdings" w:hint="default"/>
      </w:rPr>
    </w:lvl>
    <w:lvl w:ilvl="3" w:tplc="8696A414" w:tentative="1">
      <w:start w:val="1"/>
      <w:numFmt w:val="bullet"/>
      <w:lvlText w:val=""/>
      <w:lvlJc w:val="left"/>
      <w:pPr>
        <w:ind w:left="3600" w:hanging="360"/>
      </w:pPr>
      <w:rPr>
        <w:rFonts w:ascii="Symbol" w:hAnsi="Symbol" w:hint="default"/>
      </w:rPr>
    </w:lvl>
    <w:lvl w:ilvl="4" w:tplc="2FFEA07A" w:tentative="1">
      <w:start w:val="1"/>
      <w:numFmt w:val="bullet"/>
      <w:lvlText w:val="o"/>
      <w:lvlJc w:val="left"/>
      <w:pPr>
        <w:ind w:left="4320" w:hanging="360"/>
      </w:pPr>
      <w:rPr>
        <w:rFonts w:ascii="Courier New" w:hAnsi="Courier New" w:hint="default"/>
      </w:rPr>
    </w:lvl>
    <w:lvl w:ilvl="5" w:tplc="F1F2930E" w:tentative="1">
      <w:start w:val="1"/>
      <w:numFmt w:val="bullet"/>
      <w:lvlText w:val=""/>
      <w:lvlJc w:val="left"/>
      <w:pPr>
        <w:ind w:left="5040" w:hanging="360"/>
      </w:pPr>
      <w:rPr>
        <w:rFonts w:ascii="Wingdings" w:hAnsi="Wingdings" w:hint="default"/>
      </w:rPr>
    </w:lvl>
    <w:lvl w:ilvl="6" w:tplc="1D7EE9A2" w:tentative="1">
      <w:start w:val="1"/>
      <w:numFmt w:val="bullet"/>
      <w:lvlText w:val=""/>
      <w:lvlJc w:val="left"/>
      <w:pPr>
        <w:ind w:left="5760" w:hanging="360"/>
      </w:pPr>
      <w:rPr>
        <w:rFonts w:ascii="Symbol" w:hAnsi="Symbol" w:hint="default"/>
      </w:rPr>
    </w:lvl>
    <w:lvl w:ilvl="7" w:tplc="79681370" w:tentative="1">
      <w:start w:val="1"/>
      <w:numFmt w:val="bullet"/>
      <w:lvlText w:val="o"/>
      <w:lvlJc w:val="left"/>
      <w:pPr>
        <w:ind w:left="6480" w:hanging="360"/>
      </w:pPr>
      <w:rPr>
        <w:rFonts w:ascii="Courier New" w:hAnsi="Courier New" w:hint="default"/>
      </w:rPr>
    </w:lvl>
    <w:lvl w:ilvl="8" w:tplc="1C9878E8" w:tentative="1">
      <w:start w:val="1"/>
      <w:numFmt w:val="bullet"/>
      <w:lvlText w:val=""/>
      <w:lvlJc w:val="left"/>
      <w:pPr>
        <w:ind w:left="7200" w:hanging="360"/>
      </w:pPr>
      <w:rPr>
        <w:rFonts w:ascii="Wingdings" w:hAnsi="Wingdings" w:hint="default"/>
      </w:rPr>
    </w:lvl>
  </w:abstractNum>
  <w:abstractNum w:abstractNumId="17" w15:restartNumberingAfterBreak="0">
    <w:nsid w:val="357207CD"/>
    <w:multiLevelType w:val="hybridMultilevel"/>
    <w:tmpl w:val="8BFEFA7A"/>
    <w:lvl w:ilvl="0" w:tplc="C5AA8E5C">
      <w:start w:val="1"/>
      <w:numFmt w:val="decimal"/>
      <w:lvlText w:val="%1."/>
      <w:lvlJc w:val="left"/>
      <w:pPr>
        <w:ind w:left="720" w:hanging="360"/>
      </w:pPr>
    </w:lvl>
    <w:lvl w:ilvl="1" w:tplc="C42AFD78">
      <w:start w:val="1"/>
      <w:numFmt w:val="lowerLetter"/>
      <w:lvlText w:val="%2."/>
      <w:lvlJc w:val="left"/>
      <w:pPr>
        <w:ind w:left="1440" w:hanging="360"/>
      </w:pPr>
    </w:lvl>
    <w:lvl w:ilvl="2" w:tplc="9B160D88">
      <w:start w:val="1"/>
      <w:numFmt w:val="lowerRoman"/>
      <w:lvlText w:val="%3."/>
      <w:lvlJc w:val="right"/>
      <w:pPr>
        <w:ind w:left="2160" w:hanging="180"/>
      </w:pPr>
    </w:lvl>
    <w:lvl w:ilvl="3" w:tplc="9362B118">
      <w:start w:val="1"/>
      <w:numFmt w:val="decimal"/>
      <w:lvlText w:val="%4."/>
      <w:lvlJc w:val="left"/>
      <w:pPr>
        <w:ind w:left="2880" w:hanging="360"/>
      </w:pPr>
    </w:lvl>
    <w:lvl w:ilvl="4" w:tplc="656EBC98">
      <w:start w:val="1"/>
      <w:numFmt w:val="lowerLetter"/>
      <w:lvlText w:val="%5."/>
      <w:lvlJc w:val="left"/>
      <w:pPr>
        <w:ind w:left="3600" w:hanging="360"/>
      </w:pPr>
    </w:lvl>
    <w:lvl w:ilvl="5" w:tplc="A13A9C18">
      <w:start w:val="1"/>
      <w:numFmt w:val="lowerRoman"/>
      <w:lvlText w:val="%6."/>
      <w:lvlJc w:val="right"/>
      <w:pPr>
        <w:ind w:left="4320" w:hanging="180"/>
      </w:pPr>
    </w:lvl>
    <w:lvl w:ilvl="6" w:tplc="CDB63468">
      <w:start w:val="1"/>
      <w:numFmt w:val="decimal"/>
      <w:lvlText w:val="%7."/>
      <w:lvlJc w:val="left"/>
      <w:pPr>
        <w:ind w:left="5040" w:hanging="360"/>
      </w:pPr>
    </w:lvl>
    <w:lvl w:ilvl="7" w:tplc="E9E202B2">
      <w:start w:val="1"/>
      <w:numFmt w:val="lowerLetter"/>
      <w:lvlText w:val="%8."/>
      <w:lvlJc w:val="left"/>
      <w:pPr>
        <w:ind w:left="5760" w:hanging="360"/>
      </w:pPr>
    </w:lvl>
    <w:lvl w:ilvl="8" w:tplc="B36CB290">
      <w:start w:val="1"/>
      <w:numFmt w:val="lowerRoman"/>
      <w:lvlText w:val="%9."/>
      <w:lvlJc w:val="right"/>
      <w:pPr>
        <w:ind w:left="6480" w:hanging="180"/>
      </w:pPr>
    </w:lvl>
  </w:abstractNum>
  <w:abstractNum w:abstractNumId="18" w15:restartNumberingAfterBreak="0">
    <w:nsid w:val="37AE46AF"/>
    <w:multiLevelType w:val="hybridMultilevel"/>
    <w:tmpl w:val="D26050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6546D9"/>
    <w:multiLevelType w:val="hybridMultilevel"/>
    <w:tmpl w:val="816A5C48"/>
    <w:lvl w:ilvl="0" w:tplc="2AF41C7E">
      <w:start w:val="5"/>
      <w:numFmt w:val="bullet"/>
      <w:lvlText w:val="-"/>
      <w:lvlJc w:val="left"/>
      <w:pPr>
        <w:ind w:left="1080" w:hanging="720"/>
      </w:pPr>
      <w:rPr>
        <w:rFonts w:ascii="Calibri" w:hAnsi="Calibri" w:hint="default"/>
      </w:rPr>
    </w:lvl>
    <w:lvl w:ilvl="1" w:tplc="694864F2">
      <w:start w:val="1"/>
      <w:numFmt w:val="lowerLetter"/>
      <w:lvlText w:val="%2."/>
      <w:lvlJc w:val="left"/>
      <w:pPr>
        <w:ind w:left="1440" w:hanging="360"/>
      </w:pPr>
    </w:lvl>
    <w:lvl w:ilvl="2" w:tplc="FD28863C" w:tentative="1">
      <w:start w:val="1"/>
      <w:numFmt w:val="lowerRoman"/>
      <w:lvlText w:val="%3."/>
      <w:lvlJc w:val="right"/>
      <w:pPr>
        <w:ind w:left="2160" w:hanging="180"/>
      </w:pPr>
    </w:lvl>
    <w:lvl w:ilvl="3" w:tplc="236A0274" w:tentative="1">
      <w:start w:val="1"/>
      <w:numFmt w:val="decimal"/>
      <w:lvlText w:val="%4."/>
      <w:lvlJc w:val="left"/>
      <w:pPr>
        <w:ind w:left="2880" w:hanging="360"/>
      </w:pPr>
    </w:lvl>
    <w:lvl w:ilvl="4" w:tplc="6722056E" w:tentative="1">
      <w:start w:val="1"/>
      <w:numFmt w:val="lowerLetter"/>
      <w:lvlText w:val="%5."/>
      <w:lvlJc w:val="left"/>
      <w:pPr>
        <w:ind w:left="3600" w:hanging="360"/>
      </w:pPr>
    </w:lvl>
    <w:lvl w:ilvl="5" w:tplc="9D509372" w:tentative="1">
      <w:start w:val="1"/>
      <w:numFmt w:val="lowerRoman"/>
      <w:lvlText w:val="%6."/>
      <w:lvlJc w:val="right"/>
      <w:pPr>
        <w:ind w:left="4320" w:hanging="180"/>
      </w:pPr>
    </w:lvl>
    <w:lvl w:ilvl="6" w:tplc="08420CF0" w:tentative="1">
      <w:start w:val="1"/>
      <w:numFmt w:val="decimal"/>
      <w:lvlText w:val="%7."/>
      <w:lvlJc w:val="left"/>
      <w:pPr>
        <w:ind w:left="5040" w:hanging="360"/>
      </w:pPr>
    </w:lvl>
    <w:lvl w:ilvl="7" w:tplc="C830579A" w:tentative="1">
      <w:start w:val="1"/>
      <w:numFmt w:val="lowerLetter"/>
      <w:lvlText w:val="%8."/>
      <w:lvlJc w:val="left"/>
      <w:pPr>
        <w:ind w:left="5760" w:hanging="360"/>
      </w:pPr>
    </w:lvl>
    <w:lvl w:ilvl="8" w:tplc="32068D44" w:tentative="1">
      <w:start w:val="1"/>
      <w:numFmt w:val="lowerRoman"/>
      <w:lvlText w:val="%9."/>
      <w:lvlJc w:val="right"/>
      <w:pPr>
        <w:ind w:left="6480" w:hanging="180"/>
      </w:pPr>
    </w:lvl>
  </w:abstractNum>
  <w:abstractNum w:abstractNumId="20" w15:restartNumberingAfterBreak="0">
    <w:nsid w:val="39C03A52"/>
    <w:multiLevelType w:val="hybridMultilevel"/>
    <w:tmpl w:val="E4D66B58"/>
    <w:lvl w:ilvl="0" w:tplc="76AE7BA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A301FC"/>
    <w:multiLevelType w:val="hybridMultilevel"/>
    <w:tmpl w:val="5E6022B4"/>
    <w:lvl w:ilvl="0" w:tplc="AE4E9428">
      <w:start w:val="1"/>
      <w:numFmt w:val="bullet"/>
      <w:lvlText w:val=""/>
      <w:lvlJc w:val="left"/>
      <w:pPr>
        <w:ind w:left="770" w:hanging="360"/>
      </w:pPr>
      <w:rPr>
        <w:rFonts w:ascii="Symbol" w:hAnsi="Symbol" w:hint="default"/>
      </w:rPr>
    </w:lvl>
    <w:lvl w:ilvl="1" w:tplc="428EAEBA" w:tentative="1">
      <w:start w:val="1"/>
      <w:numFmt w:val="bullet"/>
      <w:lvlText w:val="o"/>
      <w:lvlJc w:val="left"/>
      <w:pPr>
        <w:ind w:left="1490" w:hanging="360"/>
      </w:pPr>
      <w:rPr>
        <w:rFonts w:ascii="Courier New" w:hAnsi="Courier New" w:hint="default"/>
      </w:rPr>
    </w:lvl>
    <w:lvl w:ilvl="2" w:tplc="8F542F26" w:tentative="1">
      <w:start w:val="1"/>
      <w:numFmt w:val="bullet"/>
      <w:lvlText w:val=""/>
      <w:lvlJc w:val="left"/>
      <w:pPr>
        <w:ind w:left="2210" w:hanging="360"/>
      </w:pPr>
      <w:rPr>
        <w:rFonts w:ascii="Wingdings" w:hAnsi="Wingdings" w:hint="default"/>
      </w:rPr>
    </w:lvl>
    <w:lvl w:ilvl="3" w:tplc="29A89500" w:tentative="1">
      <w:start w:val="1"/>
      <w:numFmt w:val="bullet"/>
      <w:lvlText w:val=""/>
      <w:lvlJc w:val="left"/>
      <w:pPr>
        <w:ind w:left="2930" w:hanging="360"/>
      </w:pPr>
      <w:rPr>
        <w:rFonts w:ascii="Symbol" w:hAnsi="Symbol" w:hint="default"/>
      </w:rPr>
    </w:lvl>
    <w:lvl w:ilvl="4" w:tplc="9C58842A" w:tentative="1">
      <w:start w:val="1"/>
      <w:numFmt w:val="bullet"/>
      <w:lvlText w:val="o"/>
      <w:lvlJc w:val="left"/>
      <w:pPr>
        <w:ind w:left="3650" w:hanging="360"/>
      </w:pPr>
      <w:rPr>
        <w:rFonts w:ascii="Courier New" w:hAnsi="Courier New" w:hint="default"/>
      </w:rPr>
    </w:lvl>
    <w:lvl w:ilvl="5" w:tplc="A91E7AE2" w:tentative="1">
      <w:start w:val="1"/>
      <w:numFmt w:val="bullet"/>
      <w:lvlText w:val=""/>
      <w:lvlJc w:val="left"/>
      <w:pPr>
        <w:ind w:left="4370" w:hanging="360"/>
      </w:pPr>
      <w:rPr>
        <w:rFonts w:ascii="Wingdings" w:hAnsi="Wingdings" w:hint="default"/>
      </w:rPr>
    </w:lvl>
    <w:lvl w:ilvl="6" w:tplc="936AF4D0" w:tentative="1">
      <w:start w:val="1"/>
      <w:numFmt w:val="bullet"/>
      <w:lvlText w:val=""/>
      <w:lvlJc w:val="left"/>
      <w:pPr>
        <w:ind w:left="5090" w:hanging="360"/>
      </w:pPr>
      <w:rPr>
        <w:rFonts w:ascii="Symbol" w:hAnsi="Symbol" w:hint="default"/>
      </w:rPr>
    </w:lvl>
    <w:lvl w:ilvl="7" w:tplc="66D0ACB4" w:tentative="1">
      <w:start w:val="1"/>
      <w:numFmt w:val="bullet"/>
      <w:lvlText w:val="o"/>
      <w:lvlJc w:val="left"/>
      <w:pPr>
        <w:ind w:left="5810" w:hanging="360"/>
      </w:pPr>
      <w:rPr>
        <w:rFonts w:ascii="Courier New" w:hAnsi="Courier New" w:hint="default"/>
      </w:rPr>
    </w:lvl>
    <w:lvl w:ilvl="8" w:tplc="EDB01C26" w:tentative="1">
      <w:start w:val="1"/>
      <w:numFmt w:val="bullet"/>
      <w:lvlText w:val=""/>
      <w:lvlJc w:val="left"/>
      <w:pPr>
        <w:ind w:left="6530" w:hanging="360"/>
      </w:pPr>
      <w:rPr>
        <w:rFonts w:ascii="Wingdings" w:hAnsi="Wingdings" w:hint="default"/>
      </w:rPr>
    </w:lvl>
  </w:abstractNum>
  <w:abstractNum w:abstractNumId="22" w15:restartNumberingAfterBreak="0">
    <w:nsid w:val="3D534C2E"/>
    <w:multiLevelType w:val="hybridMultilevel"/>
    <w:tmpl w:val="A8C2B2DE"/>
    <w:lvl w:ilvl="0" w:tplc="EC6802BE">
      <w:start w:val="1"/>
      <w:numFmt w:val="bullet"/>
      <w:lvlText w:val=""/>
      <w:lvlJc w:val="left"/>
      <w:pPr>
        <w:ind w:left="360" w:hanging="360"/>
      </w:pPr>
      <w:rPr>
        <w:rFonts w:ascii="Symbol" w:hAnsi="Symbol" w:hint="default"/>
      </w:rPr>
    </w:lvl>
    <w:lvl w:ilvl="1" w:tplc="710AED8A" w:tentative="1">
      <w:start w:val="1"/>
      <w:numFmt w:val="bullet"/>
      <w:lvlText w:val="o"/>
      <w:lvlJc w:val="left"/>
      <w:pPr>
        <w:ind w:left="1080" w:hanging="360"/>
      </w:pPr>
      <w:rPr>
        <w:rFonts w:ascii="Courier New" w:hAnsi="Courier New" w:hint="default"/>
      </w:rPr>
    </w:lvl>
    <w:lvl w:ilvl="2" w:tplc="5A92EC04" w:tentative="1">
      <w:start w:val="1"/>
      <w:numFmt w:val="bullet"/>
      <w:lvlText w:val=""/>
      <w:lvlJc w:val="left"/>
      <w:pPr>
        <w:ind w:left="1800" w:hanging="360"/>
      </w:pPr>
      <w:rPr>
        <w:rFonts w:ascii="Wingdings" w:hAnsi="Wingdings" w:hint="default"/>
      </w:rPr>
    </w:lvl>
    <w:lvl w:ilvl="3" w:tplc="D7545FB0" w:tentative="1">
      <w:start w:val="1"/>
      <w:numFmt w:val="bullet"/>
      <w:lvlText w:val=""/>
      <w:lvlJc w:val="left"/>
      <w:pPr>
        <w:ind w:left="2520" w:hanging="360"/>
      </w:pPr>
      <w:rPr>
        <w:rFonts w:ascii="Symbol" w:hAnsi="Symbol" w:hint="default"/>
      </w:rPr>
    </w:lvl>
    <w:lvl w:ilvl="4" w:tplc="47BEB2EE" w:tentative="1">
      <w:start w:val="1"/>
      <w:numFmt w:val="bullet"/>
      <w:lvlText w:val="o"/>
      <w:lvlJc w:val="left"/>
      <w:pPr>
        <w:ind w:left="3240" w:hanging="360"/>
      </w:pPr>
      <w:rPr>
        <w:rFonts w:ascii="Courier New" w:hAnsi="Courier New" w:hint="default"/>
      </w:rPr>
    </w:lvl>
    <w:lvl w:ilvl="5" w:tplc="CA9C725E" w:tentative="1">
      <w:start w:val="1"/>
      <w:numFmt w:val="bullet"/>
      <w:lvlText w:val=""/>
      <w:lvlJc w:val="left"/>
      <w:pPr>
        <w:ind w:left="3960" w:hanging="360"/>
      </w:pPr>
      <w:rPr>
        <w:rFonts w:ascii="Wingdings" w:hAnsi="Wingdings" w:hint="default"/>
      </w:rPr>
    </w:lvl>
    <w:lvl w:ilvl="6" w:tplc="23060522" w:tentative="1">
      <w:start w:val="1"/>
      <w:numFmt w:val="bullet"/>
      <w:lvlText w:val=""/>
      <w:lvlJc w:val="left"/>
      <w:pPr>
        <w:ind w:left="4680" w:hanging="360"/>
      </w:pPr>
      <w:rPr>
        <w:rFonts w:ascii="Symbol" w:hAnsi="Symbol" w:hint="default"/>
      </w:rPr>
    </w:lvl>
    <w:lvl w:ilvl="7" w:tplc="42A2B9B6" w:tentative="1">
      <w:start w:val="1"/>
      <w:numFmt w:val="bullet"/>
      <w:lvlText w:val="o"/>
      <w:lvlJc w:val="left"/>
      <w:pPr>
        <w:ind w:left="5400" w:hanging="360"/>
      </w:pPr>
      <w:rPr>
        <w:rFonts w:ascii="Courier New" w:hAnsi="Courier New" w:hint="default"/>
      </w:rPr>
    </w:lvl>
    <w:lvl w:ilvl="8" w:tplc="33F4749E" w:tentative="1">
      <w:start w:val="1"/>
      <w:numFmt w:val="bullet"/>
      <w:lvlText w:val=""/>
      <w:lvlJc w:val="left"/>
      <w:pPr>
        <w:ind w:left="6120" w:hanging="360"/>
      </w:pPr>
      <w:rPr>
        <w:rFonts w:ascii="Wingdings" w:hAnsi="Wingdings" w:hint="default"/>
      </w:rPr>
    </w:lvl>
  </w:abstractNum>
  <w:abstractNum w:abstractNumId="23" w15:restartNumberingAfterBreak="0">
    <w:nsid w:val="3F0F6FB8"/>
    <w:multiLevelType w:val="hybridMultilevel"/>
    <w:tmpl w:val="92928CE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2A56D2"/>
    <w:multiLevelType w:val="hybridMultilevel"/>
    <w:tmpl w:val="E6B65F24"/>
    <w:lvl w:ilvl="0" w:tplc="790C5EF2">
      <w:start w:val="1"/>
      <w:numFmt w:val="bullet"/>
      <w:lvlText w:val=""/>
      <w:lvlJc w:val="left"/>
      <w:pPr>
        <w:ind w:left="765" w:hanging="360"/>
      </w:pPr>
      <w:rPr>
        <w:rFonts w:ascii="Symbol" w:hAnsi="Symbol" w:hint="default"/>
      </w:rPr>
    </w:lvl>
    <w:lvl w:ilvl="1" w:tplc="C2D4B228" w:tentative="1">
      <w:start w:val="1"/>
      <w:numFmt w:val="bullet"/>
      <w:lvlText w:val="o"/>
      <w:lvlJc w:val="left"/>
      <w:pPr>
        <w:ind w:left="1485" w:hanging="360"/>
      </w:pPr>
      <w:rPr>
        <w:rFonts w:ascii="Courier New" w:hAnsi="Courier New" w:hint="default"/>
      </w:rPr>
    </w:lvl>
    <w:lvl w:ilvl="2" w:tplc="44A24D18" w:tentative="1">
      <w:start w:val="1"/>
      <w:numFmt w:val="bullet"/>
      <w:lvlText w:val=""/>
      <w:lvlJc w:val="left"/>
      <w:pPr>
        <w:ind w:left="2205" w:hanging="360"/>
      </w:pPr>
      <w:rPr>
        <w:rFonts w:ascii="Wingdings" w:hAnsi="Wingdings" w:hint="default"/>
      </w:rPr>
    </w:lvl>
    <w:lvl w:ilvl="3" w:tplc="287A255E" w:tentative="1">
      <w:start w:val="1"/>
      <w:numFmt w:val="bullet"/>
      <w:lvlText w:val=""/>
      <w:lvlJc w:val="left"/>
      <w:pPr>
        <w:ind w:left="2925" w:hanging="360"/>
      </w:pPr>
      <w:rPr>
        <w:rFonts w:ascii="Symbol" w:hAnsi="Symbol" w:hint="default"/>
      </w:rPr>
    </w:lvl>
    <w:lvl w:ilvl="4" w:tplc="E5B882E0" w:tentative="1">
      <w:start w:val="1"/>
      <w:numFmt w:val="bullet"/>
      <w:lvlText w:val="o"/>
      <w:lvlJc w:val="left"/>
      <w:pPr>
        <w:ind w:left="3645" w:hanging="360"/>
      </w:pPr>
      <w:rPr>
        <w:rFonts w:ascii="Courier New" w:hAnsi="Courier New" w:hint="default"/>
      </w:rPr>
    </w:lvl>
    <w:lvl w:ilvl="5" w:tplc="61820F8A" w:tentative="1">
      <w:start w:val="1"/>
      <w:numFmt w:val="bullet"/>
      <w:lvlText w:val=""/>
      <w:lvlJc w:val="left"/>
      <w:pPr>
        <w:ind w:left="4365" w:hanging="360"/>
      </w:pPr>
      <w:rPr>
        <w:rFonts w:ascii="Wingdings" w:hAnsi="Wingdings" w:hint="default"/>
      </w:rPr>
    </w:lvl>
    <w:lvl w:ilvl="6" w:tplc="9EACCFE0" w:tentative="1">
      <w:start w:val="1"/>
      <w:numFmt w:val="bullet"/>
      <w:lvlText w:val=""/>
      <w:lvlJc w:val="left"/>
      <w:pPr>
        <w:ind w:left="5085" w:hanging="360"/>
      </w:pPr>
      <w:rPr>
        <w:rFonts w:ascii="Symbol" w:hAnsi="Symbol" w:hint="default"/>
      </w:rPr>
    </w:lvl>
    <w:lvl w:ilvl="7" w:tplc="661EF266" w:tentative="1">
      <w:start w:val="1"/>
      <w:numFmt w:val="bullet"/>
      <w:lvlText w:val="o"/>
      <w:lvlJc w:val="left"/>
      <w:pPr>
        <w:ind w:left="5805" w:hanging="360"/>
      </w:pPr>
      <w:rPr>
        <w:rFonts w:ascii="Courier New" w:hAnsi="Courier New" w:hint="default"/>
      </w:rPr>
    </w:lvl>
    <w:lvl w:ilvl="8" w:tplc="CB96B566" w:tentative="1">
      <w:start w:val="1"/>
      <w:numFmt w:val="bullet"/>
      <w:lvlText w:val=""/>
      <w:lvlJc w:val="left"/>
      <w:pPr>
        <w:ind w:left="6525" w:hanging="360"/>
      </w:pPr>
      <w:rPr>
        <w:rFonts w:ascii="Wingdings" w:hAnsi="Wingdings" w:hint="default"/>
      </w:rPr>
    </w:lvl>
  </w:abstractNum>
  <w:abstractNum w:abstractNumId="25" w15:restartNumberingAfterBreak="0">
    <w:nsid w:val="49951932"/>
    <w:multiLevelType w:val="hybridMultilevel"/>
    <w:tmpl w:val="0D388F8C"/>
    <w:lvl w:ilvl="0" w:tplc="040ED540">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F33FE2"/>
    <w:multiLevelType w:val="hybridMultilevel"/>
    <w:tmpl w:val="07BADE74"/>
    <w:lvl w:ilvl="0" w:tplc="3620ED1C">
      <w:start w:val="1"/>
      <w:numFmt w:val="bullet"/>
      <w:lvlText w:val=""/>
      <w:lvlJc w:val="left"/>
      <w:pPr>
        <w:ind w:left="720" w:hanging="360"/>
      </w:pPr>
      <w:rPr>
        <w:rFonts w:ascii="Symbol" w:hAnsi="Symbol" w:hint="default"/>
      </w:rPr>
    </w:lvl>
    <w:lvl w:ilvl="1" w:tplc="0284D2A8" w:tentative="1">
      <w:start w:val="1"/>
      <w:numFmt w:val="bullet"/>
      <w:lvlText w:val="o"/>
      <w:lvlJc w:val="left"/>
      <w:pPr>
        <w:ind w:left="1440" w:hanging="360"/>
      </w:pPr>
      <w:rPr>
        <w:rFonts w:ascii="Courier New" w:hAnsi="Courier New" w:hint="default"/>
      </w:rPr>
    </w:lvl>
    <w:lvl w:ilvl="2" w:tplc="29BA4AEA" w:tentative="1">
      <w:start w:val="1"/>
      <w:numFmt w:val="bullet"/>
      <w:lvlText w:val=""/>
      <w:lvlJc w:val="left"/>
      <w:pPr>
        <w:ind w:left="2160" w:hanging="360"/>
      </w:pPr>
      <w:rPr>
        <w:rFonts w:ascii="Wingdings" w:hAnsi="Wingdings" w:hint="default"/>
      </w:rPr>
    </w:lvl>
    <w:lvl w:ilvl="3" w:tplc="53A0972A" w:tentative="1">
      <w:start w:val="1"/>
      <w:numFmt w:val="bullet"/>
      <w:lvlText w:val=""/>
      <w:lvlJc w:val="left"/>
      <w:pPr>
        <w:ind w:left="2880" w:hanging="360"/>
      </w:pPr>
      <w:rPr>
        <w:rFonts w:ascii="Symbol" w:hAnsi="Symbol" w:hint="default"/>
      </w:rPr>
    </w:lvl>
    <w:lvl w:ilvl="4" w:tplc="C0B210DA" w:tentative="1">
      <w:start w:val="1"/>
      <w:numFmt w:val="bullet"/>
      <w:lvlText w:val="o"/>
      <w:lvlJc w:val="left"/>
      <w:pPr>
        <w:ind w:left="3600" w:hanging="360"/>
      </w:pPr>
      <w:rPr>
        <w:rFonts w:ascii="Courier New" w:hAnsi="Courier New" w:hint="default"/>
      </w:rPr>
    </w:lvl>
    <w:lvl w:ilvl="5" w:tplc="F886CD12" w:tentative="1">
      <w:start w:val="1"/>
      <w:numFmt w:val="bullet"/>
      <w:lvlText w:val=""/>
      <w:lvlJc w:val="left"/>
      <w:pPr>
        <w:ind w:left="4320" w:hanging="360"/>
      </w:pPr>
      <w:rPr>
        <w:rFonts w:ascii="Wingdings" w:hAnsi="Wingdings" w:hint="default"/>
      </w:rPr>
    </w:lvl>
    <w:lvl w:ilvl="6" w:tplc="A0BCDAD4" w:tentative="1">
      <w:start w:val="1"/>
      <w:numFmt w:val="bullet"/>
      <w:lvlText w:val=""/>
      <w:lvlJc w:val="left"/>
      <w:pPr>
        <w:ind w:left="5040" w:hanging="360"/>
      </w:pPr>
      <w:rPr>
        <w:rFonts w:ascii="Symbol" w:hAnsi="Symbol" w:hint="default"/>
      </w:rPr>
    </w:lvl>
    <w:lvl w:ilvl="7" w:tplc="9F10B5E0" w:tentative="1">
      <w:start w:val="1"/>
      <w:numFmt w:val="bullet"/>
      <w:lvlText w:val="o"/>
      <w:lvlJc w:val="left"/>
      <w:pPr>
        <w:ind w:left="5760" w:hanging="360"/>
      </w:pPr>
      <w:rPr>
        <w:rFonts w:ascii="Courier New" w:hAnsi="Courier New" w:hint="default"/>
      </w:rPr>
    </w:lvl>
    <w:lvl w:ilvl="8" w:tplc="C32C1748" w:tentative="1">
      <w:start w:val="1"/>
      <w:numFmt w:val="bullet"/>
      <w:lvlText w:val=""/>
      <w:lvlJc w:val="left"/>
      <w:pPr>
        <w:ind w:left="6480" w:hanging="360"/>
      </w:pPr>
      <w:rPr>
        <w:rFonts w:ascii="Wingdings" w:hAnsi="Wingdings" w:hint="default"/>
      </w:rPr>
    </w:lvl>
  </w:abstractNum>
  <w:abstractNum w:abstractNumId="27" w15:restartNumberingAfterBreak="0">
    <w:nsid w:val="4B536D46"/>
    <w:multiLevelType w:val="hybridMultilevel"/>
    <w:tmpl w:val="15E42A12"/>
    <w:lvl w:ilvl="0" w:tplc="49220DFC">
      <w:start w:val="2"/>
      <w:numFmt w:val="decimal"/>
      <w:lvlText w:val="%1."/>
      <w:lvlJc w:val="left"/>
      <w:pPr>
        <w:ind w:left="720" w:hanging="360"/>
      </w:pPr>
    </w:lvl>
    <w:lvl w:ilvl="1" w:tplc="CE5E9BA2">
      <w:start w:val="1"/>
      <w:numFmt w:val="lowerLetter"/>
      <w:lvlText w:val="%2."/>
      <w:lvlJc w:val="left"/>
      <w:pPr>
        <w:ind w:left="1440" w:hanging="360"/>
      </w:pPr>
    </w:lvl>
    <w:lvl w:ilvl="2" w:tplc="3956108C">
      <w:start w:val="1"/>
      <w:numFmt w:val="lowerRoman"/>
      <w:lvlText w:val="%3."/>
      <w:lvlJc w:val="right"/>
      <w:pPr>
        <w:ind w:left="2160" w:hanging="180"/>
      </w:pPr>
    </w:lvl>
    <w:lvl w:ilvl="3" w:tplc="2E1425F2">
      <w:start w:val="1"/>
      <w:numFmt w:val="decimal"/>
      <w:lvlText w:val="%4."/>
      <w:lvlJc w:val="left"/>
      <w:pPr>
        <w:ind w:left="2880" w:hanging="360"/>
      </w:pPr>
    </w:lvl>
    <w:lvl w:ilvl="4" w:tplc="14FE9650">
      <w:start w:val="1"/>
      <w:numFmt w:val="lowerLetter"/>
      <w:lvlText w:val="%5."/>
      <w:lvlJc w:val="left"/>
      <w:pPr>
        <w:ind w:left="3600" w:hanging="360"/>
      </w:pPr>
    </w:lvl>
    <w:lvl w:ilvl="5" w:tplc="0CF220FE">
      <w:start w:val="1"/>
      <w:numFmt w:val="lowerRoman"/>
      <w:lvlText w:val="%6."/>
      <w:lvlJc w:val="right"/>
      <w:pPr>
        <w:ind w:left="4320" w:hanging="180"/>
      </w:pPr>
    </w:lvl>
    <w:lvl w:ilvl="6" w:tplc="FE0471EA">
      <w:start w:val="1"/>
      <w:numFmt w:val="decimal"/>
      <w:lvlText w:val="%7."/>
      <w:lvlJc w:val="left"/>
      <w:pPr>
        <w:ind w:left="5040" w:hanging="360"/>
      </w:pPr>
    </w:lvl>
    <w:lvl w:ilvl="7" w:tplc="915A9AC6">
      <w:start w:val="1"/>
      <w:numFmt w:val="lowerLetter"/>
      <w:lvlText w:val="%8."/>
      <w:lvlJc w:val="left"/>
      <w:pPr>
        <w:ind w:left="5760" w:hanging="360"/>
      </w:pPr>
    </w:lvl>
    <w:lvl w:ilvl="8" w:tplc="1D96768C">
      <w:start w:val="1"/>
      <w:numFmt w:val="lowerRoman"/>
      <w:lvlText w:val="%9."/>
      <w:lvlJc w:val="right"/>
      <w:pPr>
        <w:ind w:left="6480" w:hanging="180"/>
      </w:pPr>
    </w:lvl>
  </w:abstractNum>
  <w:abstractNum w:abstractNumId="28" w15:restartNumberingAfterBreak="0">
    <w:nsid w:val="57B87303"/>
    <w:multiLevelType w:val="hybridMultilevel"/>
    <w:tmpl w:val="F0C2D63C"/>
    <w:lvl w:ilvl="0" w:tplc="55D2BFFC">
      <w:start w:val="1"/>
      <w:numFmt w:val="decimal"/>
      <w:lvlText w:val="%1)"/>
      <w:lvlJc w:val="left"/>
      <w:pPr>
        <w:ind w:left="1020" w:hanging="360"/>
      </w:pPr>
    </w:lvl>
    <w:lvl w:ilvl="1" w:tplc="AC6A1178">
      <w:start w:val="1"/>
      <w:numFmt w:val="decimal"/>
      <w:lvlText w:val="%2)"/>
      <w:lvlJc w:val="left"/>
      <w:pPr>
        <w:ind w:left="1020" w:hanging="360"/>
      </w:pPr>
    </w:lvl>
    <w:lvl w:ilvl="2" w:tplc="86586982">
      <w:start w:val="1"/>
      <w:numFmt w:val="decimal"/>
      <w:lvlText w:val="%3)"/>
      <w:lvlJc w:val="left"/>
      <w:pPr>
        <w:ind w:left="1020" w:hanging="360"/>
      </w:pPr>
    </w:lvl>
    <w:lvl w:ilvl="3" w:tplc="2DC0ADF2">
      <w:start w:val="1"/>
      <w:numFmt w:val="decimal"/>
      <w:lvlText w:val="%4)"/>
      <w:lvlJc w:val="left"/>
      <w:pPr>
        <w:ind w:left="1020" w:hanging="360"/>
      </w:pPr>
    </w:lvl>
    <w:lvl w:ilvl="4" w:tplc="BA468216">
      <w:start w:val="1"/>
      <w:numFmt w:val="decimal"/>
      <w:lvlText w:val="%5)"/>
      <w:lvlJc w:val="left"/>
      <w:pPr>
        <w:ind w:left="1020" w:hanging="360"/>
      </w:pPr>
    </w:lvl>
    <w:lvl w:ilvl="5" w:tplc="13F88FCA">
      <w:start w:val="1"/>
      <w:numFmt w:val="decimal"/>
      <w:lvlText w:val="%6)"/>
      <w:lvlJc w:val="left"/>
      <w:pPr>
        <w:ind w:left="1020" w:hanging="360"/>
      </w:pPr>
    </w:lvl>
    <w:lvl w:ilvl="6" w:tplc="C3982104">
      <w:start w:val="1"/>
      <w:numFmt w:val="decimal"/>
      <w:lvlText w:val="%7)"/>
      <w:lvlJc w:val="left"/>
      <w:pPr>
        <w:ind w:left="1020" w:hanging="360"/>
      </w:pPr>
    </w:lvl>
    <w:lvl w:ilvl="7" w:tplc="079896CA">
      <w:start w:val="1"/>
      <w:numFmt w:val="decimal"/>
      <w:lvlText w:val="%8)"/>
      <w:lvlJc w:val="left"/>
      <w:pPr>
        <w:ind w:left="1020" w:hanging="360"/>
      </w:pPr>
    </w:lvl>
    <w:lvl w:ilvl="8" w:tplc="7198600E">
      <w:start w:val="1"/>
      <w:numFmt w:val="decimal"/>
      <w:lvlText w:val="%9)"/>
      <w:lvlJc w:val="left"/>
      <w:pPr>
        <w:ind w:left="1020" w:hanging="360"/>
      </w:pPr>
    </w:lvl>
  </w:abstractNum>
  <w:abstractNum w:abstractNumId="29" w15:restartNumberingAfterBreak="0">
    <w:nsid w:val="58946138"/>
    <w:multiLevelType w:val="hybridMultilevel"/>
    <w:tmpl w:val="CE2E4230"/>
    <w:lvl w:ilvl="0" w:tplc="F41424F0">
      <w:start w:val="1"/>
      <w:numFmt w:val="bullet"/>
      <w:lvlText w:val=""/>
      <w:lvlJc w:val="left"/>
      <w:pPr>
        <w:ind w:left="1080" w:hanging="360"/>
      </w:pPr>
      <w:rPr>
        <w:rFonts w:ascii="Symbol" w:hAnsi="Symbol" w:hint="default"/>
      </w:rPr>
    </w:lvl>
    <w:lvl w:ilvl="1" w:tplc="50F8B018" w:tentative="1">
      <w:start w:val="1"/>
      <w:numFmt w:val="bullet"/>
      <w:lvlText w:val="o"/>
      <w:lvlJc w:val="left"/>
      <w:pPr>
        <w:ind w:left="1800" w:hanging="360"/>
      </w:pPr>
      <w:rPr>
        <w:rFonts w:ascii="Courier New" w:hAnsi="Courier New" w:hint="default"/>
      </w:rPr>
    </w:lvl>
    <w:lvl w:ilvl="2" w:tplc="136C6C7A" w:tentative="1">
      <w:start w:val="1"/>
      <w:numFmt w:val="bullet"/>
      <w:lvlText w:val=""/>
      <w:lvlJc w:val="left"/>
      <w:pPr>
        <w:ind w:left="2520" w:hanging="360"/>
      </w:pPr>
      <w:rPr>
        <w:rFonts w:ascii="Wingdings" w:hAnsi="Wingdings" w:hint="default"/>
      </w:rPr>
    </w:lvl>
    <w:lvl w:ilvl="3" w:tplc="FA960CA8" w:tentative="1">
      <w:start w:val="1"/>
      <w:numFmt w:val="bullet"/>
      <w:lvlText w:val=""/>
      <w:lvlJc w:val="left"/>
      <w:pPr>
        <w:ind w:left="3240" w:hanging="360"/>
      </w:pPr>
      <w:rPr>
        <w:rFonts w:ascii="Symbol" w:hAnsi="Symbol" w:hint="default"/>
      </w:rPr>
    </w:lvl>
    <w:lvl w:ilvl="4" w:tplc="DE643804" w:tentative="1">
      <w:start w:val="1"/>
      <w:numFmt w:val="bullet"/>
      <w:lvlText w:val="o"/>
      <w:lvlJc w:val="left"/>
      <w:pPr>
        <w:ind w:left="3960" w:hanging="360"/>
      </w:pPr>
      <w:rPr>
        <w:rFonts w:ascii="Courier New" w:hAnsi="Courier New" w:hint="default"/>
      </w:rPr>
    </w:lvl>
    <w:lvl w:ilvl="5" w:tplc="6180BEEC" w:tentative="1">
      <w:start w:val="1"/>
      <w:numFmt w:val="bullet"/>
      <w:lvlText w:val=""/>
      <w:lvlJc w:val="left"/>
      <w:pPr>
        <w:ind w:left="4680" w:hanging="360"/>
      </w:pPr>
      <w:rPr>
        <w:rFonts w:ascii="Wingdings" w:hAnsi="Wingdings" w:hint="default"/>
      </w:rPr>
    </w:lvl>
    <w:lvl w:ilvl="6" w:tplc="D30E7F86" w:tentative="1">
      <w:start w:val="1"/>
      <w:numFmt w:val="bullet"/>
      <w:lvlText w:val=""/>
      <w:lvlJc w:val="left"/>
      <w:pPr>
        <w:ind w:left="5400" w:hanging="360"/>
      </w:pPr>
      <w:rPr>
        <w:rFonts w:ascii="Symbol" w:hAnsi="Symbol" w:hint="default"/>
      </w:rPr>
    </w:lvl>
    <w:lvl w:ilvl="7" w:tplc="9A8ECC6E" w:tentative="1">
      <w:start w:val="1"/>
      <w:numFmt w:val="bullet"/>
      <w:lvlText w:val="o"/>
      <w:lvlJc w:val="left"/>
      <w:pPr>
        <w:ind w:left="6120" w:hanging="360"/>
      </w:pPr>
      <w:rPr>
        <w:rFonts w:ascii="Courier New" w:hAnsi="Courier New" w:hint="default"/>
      </w:rPr>
    </w:lvl>
    <w:lvl w:ilvl="8" w:tplc="0F1280DA" w:tentative="1">
      <w:start w:val="1"/>
      <w:numFmt w:val="bullet"/>
      <w:lvlText w:val=""/>
      <w:lvlJc w:val="left"/>
      <w:pPr>
        <w:ind w:left="6840" w:hanging="360"/>
      </w:pPr>
      <w:rPr>
        <w:rFonts w:ascii="Wingdings" w:hAnsi="Wingdings" w:hint="default"/>
      </w:rPr>
    </w:lvl>
  </w:abstractNum>
  <w:abstractNum w:abstractNumId="30" w15:restartNumberingAfterBreak="0">
    <w:nsid w:val="5BA4BAEC"/>
    <w:multiLevelType w:val="hybridMultilevel"/>
    <w:tmpl w:val="FFFFFFFF"/>
    <w:lvl w:ilvl="0" w:tplc="A7E44CAE">
      <w:start w:val="1"/>
      <w:numFmt w:val="bullet"/>
      <w:lvlText w:val="-"/>
      <w:lvlJc w:val="left"/>
      <w:pPr>
        <w:ind w:left="720" w:hanging="360"/>
      </w:pPr>
      <w:rPr>
        <w:rFonts w:ascii="&quot;Times New Roman&quot;,serif" w:hAnsi="&quot;Times New Roman&quot;,serif" w:hint="default"/>
      </w:rPr>
    </w:lvl>
    <w:lvl w:ilvl="1" w:tplc="36A0F364">
      <w:start w:val="1"/>
      <w:numFmt w:val="bullet"/>
      <w:lvlText w:val="o"/>
      <w:lvlJc w:val="left"/>
      <w:pPr>
        <w:ind w:left="1440" w:hanging="360"/>
      </w:pPr>
      <w:rPr>
        <w:rFonts w:ascii="Courier New" w:hAnsi="Courier New" w:hint="default"/>
      </w:rPr>
    </w:lvl>
    <w:lvl w:ilvl="2" w:tplc="C592E898">
      <w:start w:val="1"/>
      <w:numFmt w:val="bullet"/>
      <w:lvlText w:val=""/>
      <w:lvlJc w:val="left"/>
      <w:pPr>
        <w:ind w:left="2160" w:hanging="360"/>
      </w:pPr>
      <w:rPr>
        <w:rFonts w:ascii="Wingdings" w:hAnsi="Wingdings" w:hint="default"/>
      </w:rPr>
    </w:lvl>
    <w:lvl w:ilvl="3" w:tplc="CAA81D82">
      <w:start w:val="1"/>
      <w:numFmt w:val="bullet"/>
      <w:lvlText w:val=""/>
      <w:lvlJc w:val="left"/>
      <w:pPr>
        <w:ind w:left="2880" w:hanging="360"/>
      </w:pPr>
      <w:rPr>
        <w:rFonts w:ascii="Symbol" w:hAnsi="Symbol" w:hint="default"/>
      </w:rPr>
    </w:lvl>
    <w:lvl w:ilvl="4" w:tplc="6F22C532">
      <w:start w:val="1"/>
      <w:numFmt w:val="bullet"/>
      <w:lvlText w:val="o"/>
      <w:lvlJc w:val="left"/>
      <w:pPr>
        <w:ind w:left="3600" w:hanging="360"/>
      </w:pPr>
      <w:rPr>
        <w:rFonts w:ascii="Courier New" w:hAnsi="Courier New" w:hint="default"/>
      </w:rPr>
    </w:lvl>
    <w:lvl w:ilvl="5" w:tplc="8CB8E460">
      <w:start w:val="1"/>
      <w:numFmt w:val="bullet"/>
      <w:lvlText w:val=""/>
      <w:lvlJc w:val="left"/>
      <w:pPr>
        <w:ind w:left="4320" w:hanging="360"/>
      </w:pPr>
      <w:rPr>
        <w:rFonts w:ascii="Wingdings" w:hAnsi="Wingdings" w:hint="default"/>
      </w:rPr>
    </w:lvl>
    <w:lvl w:ilvl="6" w:tplc="C1F44AF0">
      <w:start w:val="1"/>
      <w:numFmt w:val="bullet"/>
      <w:lvlText w:val=""/>
      <w:lvlJc w:val="left"/>
      <w:pPr>
        <w:ind w:left="5040" w:hanging="360"/>
      </w:pPr>
      <w:rPr>
        <w:rFonts w:ascii="Symbol" w:hAnsi="Symbol" w:hint="default"/>
      </w:rPr>
    </w:lvl>
    <w:lvl w:ilvl="7" w:tplc="70668F84">
      <w:start w:val="1"/>
      <w:numFmt w:val="bullet"/>
      <w:lvlText w:val="o"/>
      <w:lvlJc w:val="left"/>
      <w:pPr>
        <w:ind w:left="5760" w:hanging="360"/>
      </w:pPr>
      <w:rPr>
        <w:rFonts w:ascii="Courier New" w:hAnsi="Courier New" w:hint="default"/>
      </w:rPr>
    </w:lvl>
    <w:lvl w:ilvl="8" w:tplc="602AA940">
      <w:start w:val="1"/>
      <w:numFmt w:val="bullet"/>
      <w:lvlText w:val=""/>
      <w:lvlJc w:val="left"/>
      <w:pPr>
        <w:ind w:left="6480" w:hanging="360"/>
      </w:pPr>
      <w:rPr>
        <w:rFonts w:ascii="Wingdings" w:hAnsi="Wingdings" w:hint="default"/>
      </w:rPr>
    </w:lvl>
  </w:abstractNum>
  <w:abstractNum w:abstractNumId="31" w15:restartNumberingAfterBreak="0">
    <w:nsid w:val="60474DF0"/>
    <w:multiLevelType w:val="hybridMultilevel"/>
    <w:tmpl w:val="7444F676"/>
    <w:lvl w:ilvl="0" w:tplc="DC7C374A">
      <w:start w:val="1"/>
      <w:numFmt w:val="bullet"/>
      <w:lvlText w:val=""/>
      <w:lvlJc w:val="left"/>
      <w:pPr>
        <w:ind w:left="720" w:hanging="360"/>
      </w:pPr>
      <w:rPr>
        <w:rFonts w:ascii="Symbol" w:hAnsi="Symbol" w:hint="default"/>
      </w:rPr>
    </w:lvl>
    <w:lvl w:ilvl="1" w:tplc="A1604BD0" w:tentative="1">
      <w:start w:val="1"/>
      <w:numFmt w:val="bullet"/>
      <w:lvlText w:val="o"/>
      <w:lvlJc w:val="left"/>
      <w:pPr>
        <w:ind w:left="1440" w:hanging="360"/>
      </w:pPr>
      <w:rPr>
        <w:rFonts w:ascii="Courier New" w:hAnsi="Courier New" w:hint="default"/>
      </w:rPr>
    </w:lvl>
    <w:lvl w:ilvl="2" w:tplc="CBE0F454" w:tentative="1">
      <w:start w:val="1"/>
      <w:numFmt w:val="bullet"/>
      <w:lvlText w:val=""/>
      <w:lvlJc w:val="left"/>
      <w:pPr>
        <w:ind w:left="2160" w:hanging="360"/>
      </w:pPr>
      <w:rPr>
        <w:rFonts w:ascii="Wingdings" w:hAnsi="Wingdings" w:hint="default"/>
      </w:rPr>
    </w:lvl>
    <w:lvl w:ilvl="3" w:tplc="DCE6FFD2" w:tentative="1">
      <w:start w:val="1"/>
      <w:numFmt w:val="bullet"/>
      <w:lvlText w:val=""/>
      <w:lvlJc w:val="left"/>
      <w:pPr>
        <w:ind w:left="2880" w:hanging="360"/>
      </w:pPr>
      <w:rPr>
        <w:rFonts w:ascii="Symbol" w:hAnsi="Symbol" w:hint="default"/>
      </w:rPr>
    </w:lvl>
    <w:lvl w:ilvl="4" w:tplc="C5FA961E" w:tentative="1">
      <w:start w:val="1"/>
      <w:numFmt w:val="bullet"/>
      <w:lvlText w:val="o"/>
      <w:lvlJc w:val="left"/>
      <w:pPr>
        <w:ind w:left="3600" w:hanging="360"/>
      </w:pPr>
      <w:rPr>
        <w:rFonts w:ascii="Courier New" w:hAnsi="Courier New" w:hint="default"/>
      </w:rPr>
    </w:lvl>
    <w:lvl w:ilvl="5" w:tplc="877638FA" w:tentative="1">
      <w:start w:val="1"/>
      <w:numFmt w:val="bullet"/>
      <w:lvlText w:val=""/>
      <w:lvlJc w:val="left"/>
      <w:pPr>
        <w:ind w:left="4320" w:hanging="360"/>
      </w:pPr>
      <w:rPr>
        <w:rFonts w:ascii="Wingdings" w:hAnsi="Wingdings" w:hint="default"/>
      </w:rPr>
    </w:lvl>
    <w:lvl w:ilvl="6" w:tplc="46E88B12" w:tentative="1">
      <w:start w:val="1"/>
      <w:numFmt w:val="bullet"/>
      <w:lvlText w:val=""/>
      <w:lvlJc w:val="left"/>
      <w:pPr>
        <w:ind w:left="5040" w:hanging="360"/>
      </w:pPr>
      <w:rPr>
        <w:rFonts w:ascii="Symbol" w:hAnsi="Symbol" w:hint="default"/>
      </w:rPr>
    </w:lvl>
    <w:lvl w:ilvl="7" w:tplc="D6F4DFFE" w:tentative="1">
      <w:start w:val="1"/>
      <w:numFmt w:val="bullet"/>
      <w:lvlText w:val="o"/>
      <w:lvlJc w:val="left"/>
      <w:pPr>
        <w:ind w:left="5760" w:hanging="360"/>
      </w:pPr>
      <w:rPr>
        <w:rFonts w:ascii="Courier New" w:hAnsi="Courier New" w:hint="default"/>
      </w:rPr>
    </w:lvl>
    <w:lvl w:ilvl="8" w:tplc="CC14B4E8" w:tentative="1">
      <w:start w:val="1"/>
      <w:numFmt w:val="bullet"/>
      <w:lvlText w:val=""/>
      <w:lvlJc w:val="left"/>
      <w:pPr>
        <w:ind w:left="6480" w:hanging="360"/>
      </w:pPr>
      <w:rPr>
        <w:rFonts w:ascii="Wingdings" w:hAnsi="Wingdings" w:hint="default"/>
      </w:rPr>
    </w:lvl>
  </w:abstractNum>
  <w:abstractNum w:abstractNumId="32" w15:restartNumberingAfterBreak="0">
    <w:nsid w:val="6808409E"/>
    <w:multiLevelType w:val="hybridMultilevel"/>
    <w:tmpl w:val="475CEA92"/>
    <w:lvl w:ilvl="0" w:tplc="01FCA11A">
      <w:start w:val="1"/>
      <w:numFmt w:val="bullet"/>
      <w:lvlText w:val=""/>
      <w:lvlJc w:val="left"/>
      <w:pPr>
        <w:ind w:left="720" w:hanging="360"/>
      </w:pPr>
      <w:rPr>
        <w:rFonts w:ascii="Symbol" w:hAnsi="Symbol" w:hint="default"/>
      </w:rPr>
    </w:lvl>
    <w:lvl w:ilvl="1" w:tplc="0FE8B5AC" w:tentative="1">
      <w:start w:val="1"/>
      <w:numFmt w:val="bullet"/>
      <w:lvlText w:val="o"/>
      <w:lvlJc w:val="left"/>
      <w:pPr>
        <w:ind w:left="1440" w:hanging="360"/>
      </w:pPr>
      <w:rPr>
        <w:rFonts w:ascii="Courier New" w:hAnsi="Courier New" w:hint="default"/>
      </w:rPr>
    </w:lvl>
    <w:lvl w:ilvl="2" w:tplc="3C2A7428" w:tentative="1">
      <w:start w:val="1"/>
      <w:numFmt w:val="bullet"/>
      <w:lvlText w:val=""/>
      <w:lvlJc w:val="left"/>
      <w:pPr>
        <w:ind w:left="2160" w:hanging="360"/>
      </w:pPr>
      <w:rPr>
        <w:rFonts w:ascii="Wingdings" w:hAnsi="Wingdings" w:hint="default"/>
      </w:rPr>
    </w:lvl>
    <w:lvl w:ilvl="3" w:tplc="8B90AD18" w:tentative="1">
      <w:start w:val="1"/>
      <w:numFmt w:val="bullet"/>
      <w:lvlText w:val=""/>
      <w:lvlJc w:val="left"/>
      <w:pPr>
        <w:ind w:left="2880" w:hanging="360"/>
      </w:pPr>
      <w:rPr>
        <w:rFonts w:ascii="Symbol" w:hAnsi="Symbol" w:hint="default"/>
      </w:rPr>
    </w:lvl>
    <w:lvl w:ilvl="4" w:tplc="E990BEC8" w:tentative="1">
      <w:start w:val="1"/>
      <w:numFmt w:val="bullet"/>
      <w:lvlText w:val="o"/>
      <w:lvlJc w:val="left"/>
      <w:pPr>
        <w:ind w:left="3600" w:hanging="360"/>
      </w:pPr>
      <w:rPr>
        <w:rFonts w:ascii="Courier New" w:hAnsi="Courier New" w:hint="default"/>
      </w:rPr>
    </w:lvl>
    <w:lvl w:ilvl="5" w:tplc="ADB8F8B2" w:tentative="1">
      <w:start w:val="1"/>
      <w:numFmt w:val="bullet"/>
      <w:lvlText w:val=""/>
      <w:lvlJc w:val="left"/>
      <w:pPr>
        <w:ind w:left="4320" w:hanging="360"/>
      </w:pPr>
      <w:rPr>
        <w:rFonts w:ascii="Wingdings" w:hAnsi="Wingdings" w:hint="default"/>
      </w:rPr>
    </w:lvl>
    <w:lvl w:ilvl="6" w:tplc="73A85594" w:tentative="1">
      <w:start w:val="1"/>
      <w:numFmt w:val="bullet"/>
      <w:lvlText w:val=""/>
      <w:lvlJc w:val="left"/>
      <w:pPr>
        <w:ind w:left="5040" w:hanging="360"/>
      </w:pPr>
      <w:rPr>
        <w:rFonts w:ascii="Symbol" w:hAnsi="Symbol" w:hint="default"/>
      </w:rPr>
    </w:lvl>
    <w:lvl w:ilvl="7" w:tplc="84DEA19E" w:tentative="1">
      <w:start w:val="1"/>
      <w:numFmt w:val="bullet"/>
      <w:lvlText w:val="o"/>
      <w:lvlJc w:val="left"/>
      <w:pPr>
        <w:ind w:left="5760" w:hanging="360"/>
      </w:pPr>
      <w:rPr>
        <w:rFonts w:ascii="Courier New" w:hAnsi="Courier New" w:hint="default"/>
      </w:rPr>
    </w:lvl>
    <w:lvl w:ilvl="8" w:tplc="D2CA3F2E" w:tentative="1">
      <w:start w:val="1"/>
      <w:numFmt w:val="bullet"/>
      <w:lvlText w:val=""/>
      <w:lvlJc w:val="left"/>
      <w:pPr>
        <w:ind w:left="6480" w:hanging="360"/>
      </w:pPr>
      <w:rPr>
        <w:rFonts w:ascii="Wingdings" w:hAnsi="Wingdings" w:hint="default"/>
      </w:rPr>
    </w:lvl>
  </w:abstractNum>
  <w:abstractNum w:abstractNumId="33" w15:restartNumberingAfterBreak="0">
    <w:nsid w:val="6AC25B19"/>
    <w:multiLevelType w:val="hybridMultilevel"/>
    <w:tmpl w:val="21FE6E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C0F49A9"/>
    <w:multiLevelType w:val="hybridMultilevel"/>
    <w:tmpl w:val="F37A43B6"/>
    <w:lvl w:ilvl="0" w:tplc="95BAA1F4">
      <w:numFmt w:val="bullet"/>
      <w:lvlText w:val="-"/>
      <w:lvlJc w:val="left"/>
      <w:pPr>
        <w:ind w:left="720" w:hanging="360"/>
      </w:pPr>
      <w:rPr>
        <w:rFonts w:ascii="Calibri" w:hAnsi="Calibri" w:hint="default"/>
      </w:rPr>
    </w:lvl>
    <w:lvl w:ilvl="1" w:tplc="9B3E1E64" w:tentative="1">
      <w:start w:val="1"/>
      <w:numFmt w:val="bullet"/>
      <w:lvlText w:val="o"/>
      <w:lvlJc w:val="left"/>
      <w:pPr>
        <w:ind w:left="1440" w:hanging="360"/>
      </w:pPr>
      <w:rPr>
        <w:rFonts w:ascii="Courier New" w:hAnsi="Courier New" w:hint="default"/>
      </w:rPr>
    </w:lvl>
    <w:lvl w:ilvl="2" w:tplc="6A64F098" w:tentative="1">
      <w:start w:val="1"/>
      <w:numFmt w:val="bullet"/>
      <w:lvlText w:val=""/>
      <w:lvlJc w:val="left"/>
      <w:pPr>
        <w:ind w:left="2160" w:hanging="360"/>
      </w:pPr>
      <w:rPr>
        <w:rFonts w:ascii="Wingdings" w:hAnsi="Wingdings" w:hint="default"/>
      </w:rPr>
    </w:lvl>
    <w:lvl w:ilvl="3" w:tplc="778A8336" w:tentative="1">
      <w:start w:val="1"/>
      <w:numFmt w:val="bullet"/>
      <w:lvlText w:val=""/>
      <w:lvlJc w:val="left"/>
      <w:pPr>
        <w:ind w:left="2880" w:hanging="360"/>
      </w:pPr>
      <w:rPr>
        <w:rFonts w:ascii="Symbol" w:hAnsi="Symbol" w:hint="default"/>
      </w:rPr>
    </w:lvl>
    <w:lvl w:ilvl="4" w:tplc="472A8C80" w:tentative="1">
      <w:start w:val="1"/>
      <w:numFmt w:val="bullet"/>
      <w:lvlText w:val="o"/>
      <w:lvlJc w:val="left"/>
      <w:pPr>
        <w:ind w:left="3600" w:hanging="360"/>
      </w:pPr>
      <w:rPr>
        <w:rFonts w:ascii="Courier New" w:hAnsi="Courier New" w:hint="default"/>
      </w:rPr>
    </w:lvl>
    <w:lvl w:ilvl="5" w:tplc="B5D086BE" w:tentative="1">
      <w:start w:val="1"/>
      <w:numFmt w:val="bullet"/>
      <w:lvlText w:val=""/>
      <w:lvlJc w:val="left"/>
      <w:pPr>
        <w:ind w:left="4320" w:hanging="360"/>
      </w:pPr>
      <w:rPr>
        <w:rFonts w:ascii="Wingdings" w:hAnsi="Wingdings" w:hint="default"/>
      </w:rPr>
    </w:lvl>
    <w:lvl w:ilvl="6" w:tplc="8D5C875E" w:tentative="1">
      <w:start w:val="1"/>
      <w:numFmt w:val="bullet"/>
      <w:lvlText w:val=""/>
      <w:lvlJc w:val="left"/>
      <w:pPr>
        <w:ind w:left="5040" w:hanging="360"/>
      </w:pPr>
      <w:rPr>
        <w:rFonts w:ascii="Symbol" w:hAnsi="Symbol" w:hint="default"/>
      </w:rPr>
    </w:lvl>
    <w:lvl w:ilvl="7" w:tplc="8A94CFC6" w:tentative="1">
      <w:start w:val="1"/>
      <w:numFmt w:val="bullet"/>
      <w:lvlText w:val="o"/>
      <w:lvlJc w:val="left"/>
      <w:pPr>
        <w:ind w:left="5760" w:hanging="360"/>
      </w:pPr>
      <w:rPr>
        <w:rFonts w:ascii="Courier New" w:hAnsi="Courier New" w:hint="default"/>
      </w:rPr>
    </w:lvl>
    <w:lvl w:ilvl="8" w:tplc="64824B14" w:tentative="1">
      <w:start w:val="1"/>
      <w:numFmt w:val="bullet"/>
      <w:lvlText w:val=""/>
      <w:lvlJc w:val="left"/>
      <w:pPr>
        <w:ind w:left="6480" w:hanging="360"/>
      </w:pPr>
      <w:rPr>
        <w:rFonts w:ascii="Wingdings" w:hAnsi="Wingdings" w:hint="default"/>
      </w:rPr>
    </w:lvl>
  </w:abstractNum>
  <w:abstractNum w:abstractNumId="35" w15:restartNumberingAfterBreak="0">
    <w:nsid w:val="6F1131A4"/>
    <w:multiLevelType w:val="hybridMultilevel"/>
    <w:tmpl w:val="454ABEDC"/>
    <w:lvl w:ilvl="0" w:tplc="B5D8C6C2">
      <w:start w:val="1"/>
      <w:numFmt w:val="bullet"/>
      <w:lvlText w:val=""/>
      <w:lvlJc w:val="left"/>
      <w:pPr>
        <w:ind w:left="720" w:hanging="360"/>
      </w:pPr>
      <w:rPr>
        <w:rFonts w:ascii="Symbol" w:hAnsi="Symbol"/>
      </w:rPr>
    </w:lvl>
    <w:lvl w:ilvl="1" w:tplc="A600BE7E">
      <w:start w:val="1"/>
      <w:numFmt w:val="bullet"/>
      <w:lvlText w:val=""/>
      <w:lvlJc w:val="left"/>
      <w:pPr>
        <w:ind w:left="720" w:hanging="360"/>
      </w:pPr>
      <w:rPr>
        <w:rFonts w:ascii="Symbol" w:hAnsi="Symbol"/>
      </w:rPr>
    </w:lvl>
    <w:lvl w:ilvl="2" w:tplc="766802AA">
      <w:start w:val="1"/>
      <w:numFmt w:val="bullet"/>
      <w:lvlText w:val=""/>
      <w:lvlJc w:val="left"/>
      <w:pPr>
        <w:ind w:left="720" w:hanging="360"/>
      </w:pPr>
      <w:rPr>
        <w:rFonts w:ascii="Symbol" w:hAnsi="Symbol"/>
      </w:rPr>
    </w:lvl>
    <w:lvl w:ilvl="3" w:tplc="8786AAE8">
      <w:start w:val="1"/>
      <w:numFmt w:val="bullet"/>
      <w:lvlText w:val=""/>
      <w:lvlJc w:val="left"/>
      <w:pPr>
        <w:ind w:left="720" w:hanging="360"/>
      </w:pPr>
      <w:rPr>
        <w:rFonts w:ascii="Symbol" w:hAnsi="Symbol"/>
      </w:rPr>
    </w:lvl>
    <w:lvl w:ilvl="4" w:tplc="36A494BE">
      <w:start w:val="1"/>
      <w:numFmt w:val="bullet"/>
      <w:lvlText w:val=""/>
      <w:lvlJc w:val="left"/>
      <w:pPr>
        <w:ind w:left="720" w:hanging="360"/>
      </w:pPr>
      <w:rPr>
        <w:rFonts w:ascii="Symbol" w:hAnsi="Symbol"/>
      </w:rPr>
    </w:lvl>
    <w:lvl w:ilvl="5" w:tplc="A2F2B39A">
      <w:start w:val="1"/>
      <w:numFmt w:val="bullet"/>
      <w:lvlText w:val=""/>
      <w:lvlJc w:val="left"/>
      <w:pPr>
        <w:ind w:left="720" w:hanging="360"/>
      </w:pPr>
      <w:rPr>
        <w:rFonts w:ascii="Symbol" w:hAnsi="Symbol"/>
      </w:rPr>
    </w:lvl>
    <w:lvl w:ilvl="6" w:tplc="C5AAAF14">
      <w:start w:val="1"/>
      <w:numFmt w:val="bullet"/>
      <w:lvlText w:val=""/>
      <w:lvlJc w:val="left"/>
      <w:pPr>
        <w:ind w:left="720" w:hanging="360"/>
      </w:pPr>
      <w:rPr>
        <w:rFonts w:ascii="Symbol" w:hAnsi="Symbol"/>
      </w:rPr>
    </w:lvl>
    <w:lvl w:ilvl="7" w:tplc="07C20138">
      <w:start w:val="1"/>
      <w:numFmt w:val="bullet"/>
      <w:lvlText w:val=""/>
      <w:lvlJc w:val="left"/>
      <w:pPr>
        <w:ind w:left="720" w:hanging="360"/>
      </w:pPr>
      <w:rPr>
        <w:rFonts w:ascii="Symbol" w:hAnsi="Symbol"/>
      </w:rPr>
    </w:lvl>
    <w:lvl w:ilvl="8" w:tplc="097C3216">
      <w:start w:val="1"/>
      <w:numFmt w:val="bullet"/>
      <w:lvlText w:val=""/>
      <w:lvlJc w:val="left"/>
      <w:pPr>
        <w:ind w:left="720" w:hanging="360"/>
      </w:pPr>
      <w:rPr>
        <w:rFonts w:ascii="Symbol" w:hAnsi="Symbol"/>
      </w:rPr>
    </w:lvl>
  </w:abstractNum>
  <w:abstractNum w:abstractNumId="36" w15:restartNumberingAfterBreak="0">
    <w:nsid w:val="734B5CAE"/>
    <w:multiLevelType w:val="hybridMultilevel"/>
    <w:tmpl w:val="ECAE783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7AF40CF"/>
    <w:multiLevelType w:val="hybridMultilevel"/>
    <w:tmpl w:val="2D962872"/>
    <w:lvl w:ilvl="0" w:tplc="E7C4EDDC">
      <w:start w:val="1"/>
      <w:numFmt w:val="bullet"/>
      <w:lvlText w:val=""/>
      <w:lvlJc w:val="left"/>
      <w:pPr>
        <w:ind w:left="720" w:hanging="360"/>
      </w:pPr>
      <w:rPr>
        <w:rFonts w:ascii="Symbol" w:hAnsi="Symbol" w:hint="default"/>
      </w:rPr>
    </w:lvl>
    <w:lvl w:ilvl="1" w:tplc="A886A25E" w:tentative="1">
      <w:start w:val="1"/>
      <w:numFmt w:val="bullet"/>
      <w:lvlText w:val="o"/>
      <w:lvlJc w:val="left"/>
      <w:pPr>
        <w:ind w:left="1440" w:hanging="360"/>
      </w:pPr>
      <w:rPr>
        <w:rFonts w:ascii="Courier New" w:hAnsi="Courier New" w:hint="default"/>
      </w:rPr>
    </w:lvl>
    <w:lvl w:ilvl="2" w:tplc="7E90E98A" w:tentative="1">
      <w:start w:val="1"/>
      <w:numFmt w:val="bullet"/>
      <w:lvlText w:val=""/>
      <w:lvlJc w:val="left"/>
      <w:pPr>
        <w:ind w:left="2160" w:hanging="360"/>
      </w:pPr>
      <w:rPr>
        <w:rFonts w:ascii="Wingdings" w:hAnsi="Wingdings" w:hint="default"/>
      </w:rPr>
    </w:lvl>
    <w:lvl w:ilvl="3" w:tplc="15C44D16" w:tentative="1">
      <w:start w:val="1"/>
      <w:numFmt w:val="bullet"/>
      <w:lvlText w:val=""/>
      <w:lvlJc w:val="left"/>
      <w:pPr>
        <w:ind w:left="2880" w:hanging="360"/>
      </w:pPr>
      <w:rPr>
        <w:rFonts w:ascii="Symbol" w:hAnsi="Symbol" w:hint="default"/>
      </w:rPr>
    </w:lvl>
    <w:lvl w:ilvl="4" w:tplc="A3267BAE" w:tentative="1">
      <w:start w:val="1"/>
      <w:numFmt w:val="bullet"/>
      <w:lvlText w:val="o"/>
      <w:lvlJc w:val="left"/>
      <w:pPr>
        <w:ind w:left="3600" w:hanging="360"/>
      </w:pPr>
      <w:rPr>
        <w:rFonts w:ascii="Courier New" w:hAnsi="Courier New" w:hint="default"/>
      </w:rPr>
    </w:lvl>
    <w:lvl w:ilvl="5" w:tplc="694C1528" w:tentative="1">
      <w:start w:val="1"/>
      <w:numFmt w:val="bullet"/>
      <w:lvlText w:val=""/>
      <w:lvlJc w:val="left"/>
      <w:pPr>
        <w:ind w:left="4320" w:hanging="360"/>
      </w:pPr>
      <w:rPr>
        <w:rFonts w:ascii="Wingdings" w:hAnsi="Wingdings" w:hint="default"/>
      </w:rPr>
    </w:lvl>
    <w:lvl w:ilvl="6" w:tplc="E4E48BB8" w:tentative="1">
      <w:start w:val="1"/>
      <w:numFmt w:val="bullet"/>
      <w:lvlText w:val=""/>
      <w:lvlJc w:val="left"/>
      <w:pPr>
        <w:ind w:left="5040" w:hanging="360"/>
      </w:pPr>
      <w:rPr>
        <w:rFonts w:ascii="Symbol" w:hAnsi="Symbol" w:hint="default"/>
      </w:rPr>
    </w:lvl>
    <w:lvl w:ilvl="7" w:tplc="B49E87AC" w:tentative="1">
      <w:start w:val="1"/>
      <w:numFmt w:val="bullet"/>
      <w:lvlText w:val="o"/>
      <w:lvlJc w:val="left"/>
      <w:pPr>
        <w:ind w:left="5760" w:hanging="360"/>
      </w:pPr>
      <w:rPr>
        <w:rFonts w:ascii="Courier New" w:hAnsi="Courier New" w:hint="default"/>
      </w:rPr>
    </w:lvl>
    <w:lvl w:ilvl="8" w:tplc="46D4A1DA" w:tentative="1">
      <w:start w:val="1"/>
      <w:numFmt w:val="bullet"/>
      <w:lvlText w:val=""/>
      <w:lvlJc w:val="left"/>
      <w:pPr>
        <w:ind w:left="6480" w:hanging="360"/>
      </w:pPr>
      <w:rPr>
        <w:rFonts w:ascii="Wingdings" w:hAnsi="Wingdings" w:hint="default"/>
      </w:rPr>
    </w:lvl>
  </w:abstractNum>
  <w:abstractNum w:abstractNumId="38" w15:restartNumberingAfterBreak="0">
    <w:nsid w:val="78536720"/>
    <w:multiLevelType w:val="hybridMultilevel"/>
    <w:tmpl w:val="FB487F84"/>
    <w:lvl w:ilvl="0" w:tplc="D97A98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5D5809"/>
    <w:multiLevelType w:val="hybridMultilevel"/>
    <w:tmpl w:val="26FE659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1E2C7A"/>
    <w:multiLevelType w:val="hybridMultilevel"/>
    <w:tmpl w:val="DF929274"/>
    <w:lvl w:ilvl="0" w:tplc="111CC22E">
      <w:start w:val="1"/>
      <w:numFmt w:val="bullet"/>
      <w:lvlText w:val=""/>
      <w:lvlJc w:val="left"/>
      <w:pPr>
        <w:ind w:left="1440" w:hanging="360"/>
      </w:pPr>
      <w:rPr>
        <w:rFonts w:ascii="Symbol" w:hAnsi="Symbol" w:hint="default"/>
      </w:rPr>
    </w:lvl>
    <w:lvl w:ilvl="1" w:tplc="E7C65AFC" w:tentative="1">
      <w:start w:val="1"/>
      <w:numFmt w:val="bullet"/>
      <w:lvlText w:val="o"/>
      <w:lvlJc w:val="left"/>
      <w:pPr>
        <w:ind w:left="2160" w:hanging="360"/>
      </w:pPr>
      <w:rPr>
        <w:rFonts w:ascii="Courier New" w:hAnsi="Courier New" w:hint="default"/>
      </w:rPr>
    </w:lvl>
    <w:lvl w:ilvl="2" w:tplc="1150A298" w:tentative="1">
      <w:start w:val="1"/>
      <w:numFmt w:val="bullet"/>
      <w:lvlText w:val=""/>
      <w:lvlJc w:val="left"/>
      <w:pPr>
        <w:ind w:left="2880" w:hanging="360"/>
      </w:pPr>
      <w:rPr>
        <w:rFonts w:ascii="Wingdings" w:hAnsi="Wingdings" w:hint="default"/>
      </w:rPr>
    </w:lvl>
    <w:lvl w:ilvl="3" w:tplc="1032C32E" w:tentative="1">
      <w:start w:val="1"/>
      <w:numFmt w:val="bullet"/>
      <w:lvlText w:val=""/>
      <w:lvlJc w:val="left"/>
      <w:pPr>
        <w:ind w:left="3600" w:hanging="360"/>
      </w:pPr>
      <w:rPr>
        <w:rFonts w:ascii="Symbol" w:hAnsi="Symbol" w:hint="default"/>
      </w:rPr>
    </w:lvl>
    <w:lvl w:ilvl="4" w:tplc="745A05AC" w:tentative="1">
      <w:start w:val="1"/>
      <w:numFmt w:val="bullet"/>
      <w:lvlText w:val="o"/>
      <w:lvlJc w:val="left"/>
      <w:pPr>
        <w:ind w:left="4320" w:hanging="360"/>
      </w:pPr>
      <w:rPr>
        <w:rFonts w:ascii="Courier New" w:hAnsi="Courier New" w:hint="default"/>
      </w:rPr>
    </w:lvl>
    <w:lvl w:ilvl="5" w:tplc="EC783FDE" w:tentative="1">
      <w:start w:val="1"/>
      <w:numFmt w:val="bullet"/>
      <w:lvlText w:val=""/>
      <w:lvlJc w:val="left"/>
      <w:pPr>
        <w:ind w:left="5040" w:hanging="360"/>
      </w:pPr>
      <w:rPr>
        <w:rFonts w:ascii="Wingdings" w:hAnsi="Wingdings" w:hint="default"/>
      </w:rPr>
    </w:lvl>
    <w:lvl w:ilvl="6" w:tplc="B656AF82" w:tentative="1">
      <w:start w:val="1"/>
      <w:numFmt w:val="bullet"/>
      <w:lvlText w:val=""/>
      <w:lvlJc w:val="left"/>
      <w:pPr>
        <w:ind w:left="5760" w:hanging="360"/>
      </w:pPr>
      <w:rPr>
        <w:rFonts w:ascii="Symbol" w:hAnsi="Symbol" w:hint="default"/>
      </w:rPr>
    </w:lvl>
    <w:lvl w:ilvl="7" w:tplc="ABCC2A70" w:tentative="1">
      <w:start w:val="1"/>
      <w:numFmt w:val="bullet"/>
      <w:lvlText w:val="o"/>
      <w:lvlJc w:val="left"/>
      <w:pPr>
        <w:ind w:left="6480" w:hanging="360"/>
      </w:pPr>
      <w:rPr>
        <w:rFonts w:ascii="Courier New" w:hAnsi="Courier New" w:hint="default"/>
      </w:rPr>
    </w:lvl>
    <w:lvl w:ilvl="8" w:tplc="55645376" w:tentative="1">
      <w:start w:val="1"/>
      <w:numFmt w:val="bullet"/>
      <w:lvlText w:val=""/>
      <w:lvlJc w:val="left"/>
      <w:pPr>
        <w:ind w:left="7200" w:hanging="360"/>
      </w:pPr>
      <w:rPr>
        <w:rFonts w:ascii="Wingdings" w:hAnsi="Wingdings" w:hint="default"/>
      </w:rPr>
    </w:lvl>
  </w:abstractNum>
  <w:abstractNum w:abstractNumId="41" w15:restartNumberingAfterBreak="0">
    <w:nsid w:val="7DCB2F3B"/>
    <w:multiLevelType w:val="hybridMultilevel"/>
    <w:tmpl w:val="5D6A3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F535DB"/>
    <w:multiLevelType w:val="hybridMultilevel"/>
    <w:tmpl w:val="A8AC7E22"/>
    <w:lvl w:ilvl="0" w:tplc="2940EDDA">
      <w:start w:val="1"/>
      <w:numFmt w:val="bullet"/>
      <w:lvlText w:val=""/>
      <w:lvlJc w:val="left"/>
      <w:pPr>
        <w:ind w:left="360" w:hanging="360"/>
      </w:pPr>
      <w:rPr>
        <w:rFonts w:ascii="Symbol" w:hAnsi="Symbol" w:hint="default"/>
      </w:rPr>
    </w:lvl>
    <w:lvl w:ilvl="1" w:tplc="42A2BE50">
      <w:start w:val="1"/>
      <w:numFmt w:val="bullet"/>
      <w:lvlText w:val="o"/>
      <w:lvlJc w:val="left"/>
      <w:pPr>
        <w:ind w:left="1080" w:hanging="360"/>
      </w:pPr>
      <w:rPr>
        <w:rFonts w:ascii="Courier New" w:hAnsi="Courier New" w:hint="default"/>
      </w:rPr>
    </w:lvl>
    <w:lvl w:ilvl="2" w:tplc="9A60D2AE" w:tentative="1">
      <w:start w:val="1"/>
      <w:numFmt w:val="bullet"/>
      <w:lvlText w:val=""/>
      <w:lvlJc w:val="left"/>
      <w:pPr>
        <w:ind w:left="1800" w:hanging="360"/>
      </w:pPr>
      <w:rPr>
        <w:rFonts w:ascii="Wingdings" w:hAnsi="Wingdings" w:hint="default"/>
      </w:rPr>
    </w:lvl>
    <w:lvl w:ilvl="3" w:tplc="1E8EA0B6" w:tentative="1">
      <w:start w:val="1"/>
      <w:numFmt w:val="bullet"/>
      <w:lvlText w:val=""/>
      <w:lvlJc w:val="left"/>
      <w:pPr>
        <w:ind w:left="2520" w:hanging="360"/>
      </w:pPr>
      <w:rPr>
        <w:rFonts w:ascii="Symbol" w:hAnsi="Symbol" w:hint="default"/>
      </w:rPr>
    </w:lvl>
    <w:lvl w:ilvl="4" w:tplc="E522F076" w:tentative="1">
      <w:start w:val="1"/>
      <w:numFmt w:val="bullet"/>
      <w:lvlText w:val="o"/>
      <w:lvlJc w:val="left"/>
      <w:pPr>
        <w:ind w:left="3240" w:hanging="360"/>
      </w:pPr>
      <w:rPr>
        <w:rFonts w:ascii="Courier New" w:hAnsi="Courier New" w:hint="default"/>
      </w:rPr>
    </w:lvl>
    <w:lvl w:ilvl="5" w:tplc="736EC328" w:tentative="1">
      <w:start w:val="1"/>
      <w:numFmt w:val="bullet"/>
      <w:lvlText w:val=""/>
      <w:lvlJc w:val="left"/>
      <w:pPr>
        <w:ind w:left="3960" w:hanging="360"/>
      </w:pPr>
      <w:rPr>
        <w:rFonts w:ascii="Wingdings" w:hAnsi="Wingdings" w:hint="default"/>
      </w:rPr>
    </w:lvl>
    <w:lvl w:ilvl="6" w:tplc="79DEAC9E" w:tentative="1">
      <w:start w:val="1"/>
      <w:numFmt w:val="bullet"/>
      <w:lvlText w:val=""/>
      <w:lvlJc w:val="left"/>
      <w:pPr>
        <w:ind w:left="4680" w:hanging="360"/>
      </w:pPr>
      <w:rPr>
        <w:rFonts w:ascii="Symbol" w:hAnsi="Symbol" w:hint="default"/>
      </w:rPr>
    </w:lvl>
    <w:lvl w:ilvl="7" w:tplc="B1F0DC64" w:tentative="1">
      <w:start w:val="1"/>
      <w:numFmt w:val="bullet"/>
      <w:lvlText w:val="o"/>
      <w:lvlJc w:val="left"/>
      <w:pPr>
        <w:ind w:left="5400" w:hanging="360"/>
      </w:pPr>
      <w:rPr>
        <w:rFonts w:ascii="Courier New" w:hAnsi="Courier New" w:hint="default"/>
      </w:rPr>
    </w:lvl>
    <w:lvl w:ilvl="8" w:tplc="712888E0" w:tentative="1">
      <w:start w:val="1"/>
      <w:numFmt w:val="bullet"/>
      <w:lvlText w:val=""/>
      <w:lvlJc w:val="left"/>
      <w:pPr>
        <w:ind w:left="6120" w:hanging="360"/>
      </w:pPr>
      <w:rPr>
        <w:rFonts w:ascii="Wingdings" w:hAnsi="Wingdings" w:hint="default"/>
      </w:rPr>
    </w:lvl>
  </w:abstractNum>
  <w:num w:numId="1">
    <w:abstractNumId w:val="2"/>
  </w:num>
  <w:num w:numId="2">
    <w:abstractNumId w:val="16"/>
  </w:num>
  <w:num w:numId="3">
    <w:abstractNumId w:val="40"/>
  </w:num>
  <w:num w:numId="4">
    <w:abstractNumId w:val="37"/>
  </w:num>
  <w:num w:numId="5">
    <w:abstractNumId w:val="34"/>
  </w:num>
  <w:num w:numId="6">
    <w:abstractNumId w:val="19"/>
  </w:num>
  <w:num w:numId="7">
    <w:abstractNumId w:val="9"/>
  </w:num>
  <w:num w:numId="8">
    <w:abstractNumId w:val="5"/>
  </w:num>
  <w:num w:numId="9">
    <w:abstractNumId w:val="25"/>
  </w:num>
  <w:num w:numId="10">
    <w:abstractNumId w:val="18"/>
  </w:num>
  <w:num w:numId="11">
    <w:abstractNumId w:val="7"/>
  </w:num>
  <w:num w:numId="12">
    <w:abstractNumId w:val="32"/>
  </w:num>
  <w:num w:numId="13">
    <w:abstractNumId w:val="3"/>
  </w:num>
  <w:num w:numId="14">
    <w:abstractNumId w:val="21"/>
  </w:num>
  <w:num w:numId="15">
    <w:abstractNumId w:val="12"/>
  </w:num>
  <w:num w:numId="16">
    <w:abstractNumId w:val="27"/>
  </w:num>
  <w:num w:numId="17">
    <w:abstractNumId w:val="17"/>
  </w:num>
  <w:num w:numId="18">
    <w:abstractNumId w:val="31"/>
  </w:num>
  <w:num w:numId="19">
    <w:abstractNumId w:val="24"/>
  </w:num>
  <w:num w:numId="20">
    <w:abstractNumId w:val="26"/>
  </w:num>
  <w:num w:numId="21">
    <w:abstractNumId w:val="10"/>
  </w:num>
  <w:num w:numId="22">
    <w:abstractNumId w:val="6"/>
  </w:num>
  <w:num w:numId="23">
    <w:abstractNumId w:val="42"/>
  </w:num>
  <w:num w:numId="24">
    <w:abstractNumId w:val="8"/>
  </w:num>
  <w:num w:numId="25">
    <w:abstractNumId w:val="0"/>
    <w:lvlOverride w:ilvl="0">
      <w:startOverride w:val="1"/>
    </w:lvlOverride>
    <w:lvlOverride w:ilvl="1"/>
    <w:lvlOverride w:ilvl="2"/>
    <w:lvlOverride w:ilvl="3"/>
    <w:lvlOverride w:ilvl="4"/>
    <w:lvlOverride w:ilvl="5"/>
    <w:lvlOverride w:ilvl="6"/>
    <w:lvlOverride w:ilvl="7"/>
    <w:lvlOverride w:ilvl="8"/>
  </w:num>
  <w:num w:numId="26">
    <w:abstractNumId w:val="29"/>
  </w:num>
  <w:num w:numId="27">
    <w:abstractNumId w:val="0"/>
  </w:num>
  <w:num w:numId="28">
    <w:abstractNumId w:val="22"/>
  </w:num>
  <w:num w:numId="29">
    <w:abstractNumId w:val="30"/>
  </w:num>
  <w:num w:numId="30">
    <w:abstractNumId w:val="14"/>
  </w:num>
  <w:num w:numId="31">
    <w:abstractNumId w:val="28"/>
  </w:num>
  <w:num w:numId="32">
    <w:abstractNumId w:val="33"/>
  </w:num>
  <w:num w:numId="33">
    <w:abstractNumId w:val="38"/>
  </w:num>
  <w:num w:numId="34">
    <w:abstractNumId w:val="23"/>
  </w:num>
  <w:num w:numId="35">
    <w:abstractNumId w:val="41"/>
  </w:num>
  <w:num w:numId="36">
    <w:abstractNumId w:val="36"/>
  </w:num>
  <w:num w:numId="37">
    <w:abstractNumId w:val="13"/>
  </w:num>
  <w:num w:numId="38">
    <w:abstractNumId w:val="39"/>
  </w:num>
  <w:num w:numId="39">
    <w:abstractNumId w:val="15"/>
  </w:num>
  <w:num w:numId="40">
    <w:abstractNumId w:val="4"/>
  </w:num>
  <w:num w:numId="41">
    <w:abstractNumId w:val="1"/>
  </w:num>
  <w:num w:numId="42">
    <w:abstractNumId w:val="35"/>
  </w:num>
  <w:num w:numId="43">
    <w:abstractNumId w:val="2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BAF5555-7E90-4DA2-800C-8087EE9683F5"/>
    <w:docVar w:name="LW_COVERPAGE_TYPE" w:val="1"/>
    <w:docVar w:name="LW_CROSSREFERENCE" w:val="&lt;UNUSED&gt;"/>
    <w:docVar w:name="LW_DocType" w:val="NORMAL"/>
    <w:docVar w:name="LW_EMISSION" w:val="3.12.2025"/>
    <w:docVar w:name="LW_EMISSION_ISODATE" w:val="2025-12-03"/>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5) 9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solidarea securit\u259?\u539?ii economice a UE"/>
    <w:docVar w:name="LW_TYPE.DOC.CP" w:val="COMUNICARE COMUN\u258? C\u258?TRE PARLAMENTUL EUROPEAN \u350?I CONSILIU"/>
    <w:docVar w:name="LW_TYPE.DOC.CP.USERTEXT" w:val="&lt;EMPTY&gt;"/>
    <w:docVar w:name="LwApiVersions" w:val="LW4CoDe 1.24.5.0; LW 9.2, Build 20251112"/>
    <w:docVar w:name="Stamp" w:val="\\net1.cec.eu.int\offline\006\kilbyrn\Desktop\Desktop\231125 - draft Doctrine Communication - edited.docx"/>
  </w:docVars>
  <w:rsids>
    <w:rsidRoot w:val="00F3633C"/>
    <w:rsid w:val="000000CC"/>
    <w:rsid w:val="0000018D"/>
    <w:rsid w:val="000001B6"/>
    <w:rsid w:val="000003A6"/>
    <w:rsid w:val="0000062E"/>
    <w:rsid w:val="000007C1"/>
    <w:rsid w:val="000008DA"/>
    <w:rsid w:val="00000A32"/>
    <w:rsid w:val="00000B73"/>
    <w:rsid w:val="00000BDD"/>
    <w:rsid w:val="0000170B"/>
    <w:rsid w:val="00001855"/>
    <w:rsid w:val="0000193D"/>
    <w:rsid w:val="00001AE7"/>
    <w:rsid w:val="00001D18"/>
    <w:rsid w:val="00001ED9"/>
    <w:rsid w:val="0000202D"/>
    <w:rsid w:val="00002039"/>
    <w:rsid w:val="0000215F"/>
    <w:rsid w:val="00002ED4"/>
    <w:rsid w:val="000030C6"/>
    <w:rsid w:val="000033AD"/>
    <w:rsid w:val="0000364F"/>
    <w:rsid w:val="000036B6"/>
    <w:rsid w:val="000038EF"/>
    <w:rsid w:val="00003B68"/>
    <w:rsid w:val="00003BAB"/>
    <w:rsid w:val="00003D09"/>
    <w:rsid w:val="00004477"/>
    <w:rsid w:val="00004681"/>
    <w:rsid w:val="00004932"/>
    <w:rsid w:val="00004940"/>
    <w:rsid w:val="00004C3E"/>
    <w:rsid w:val="00004F0D"/>
    <w:rsid w:val="00004F91"/>
    <w:rsid w:val="00004FE4"/>
    <w:rsid w:val="0000500C"/>
    <w:rsid w:val="00005065"/>
    <w:rsid w:val="000051D9"/>
    <w:rsid w:val="00005275"/>
    <w:rsid w:val="000052B4"/>
    <w:rsid w:val="00005517"/>
    <w:rsid w:val="000055DC"/>
    <w:rsid w:val="000057C7"/>
    <w:rsid w:val="000057DD"/>
    <w:rsid w:val="0000603C"/>
    <w:rsid w:val="000066B4"/>
    <w:rsid w:val="00006C85"/>
    <w:rsid w:val="00006D2C"/>
    <w:rsid w:val="00006F73"/>
    <w:rsid w:val="0000703F"/>
    <w:rsid w:val="0000779A"/>
    <w:rsid w:val="000077F6"/>
    <w:rsid w:val="00007859"/>
    <w:rsid w:val="00007A6E"/>
    <w:rsid w:val="00007DC7"/>
    <w:rsid w:val="0001047E"/>
    <w:rsid w:val="00011237"/>
    <w:rsid w:val="00011524"/>
    <w:rsid w:val="000115B0"/>
    <w:rsid w:val="00011A36"/>
    <w:rsid w:val="00011A78"/>
    <w:rsid w:val="00011B39"/>
    <w:rsid w:val="00011E15"/>
    <w:rsid w:val="000122E6"/>
    <w:rsid w:val="00012434"/>
    <w:rsid w:val="00012730"/>
    <w:rsid w:val="00012B76"/>
    <w:rsid w:val="00012DC7"/>
    <w:rsid w:val="00012DE0"/>
    <w:rsid w:val="000131A4"/>
    <w:rsid w:val="0001345E"/>
    <w:rsid w:val="00013608"/>
    <w:rsid w:val="000138E5"/>
    <w:rsid w:val="00013B55"/>
    <w:rsid w:val="0001439E"/>
    <w:rsid w:val="00014AA7"/>
    <w:rsid w:val="00014DF9"/>
    <w:rsid w:val="000152D7"/>
    <w:rsid w:val="00015984"/>
    <w:rsid w:val="00015AD7"/>
    <w:rsid w:val="00016120"/>
    <w:rsid w:val="000166DF"/>
    <w:rsid w:val="00016AA3"/>
    <w:rsid w:val="00016B1F"/>
    <w:rsid w:val="00016C1D"/>
    <w:rsid w:val="00016CA3"/>
    <w:rsid w:val="00016DD2"/>
    <w:rsid w:val="00016E66"/>
    <w:rsid w:val="00016E6D"/>
    <w:rsid w:val="000171C2"/>
    <w:rsid w:val="0001734D"/>
    <w:rsid w:val="00017B24"/>
    <w:rsid w:val="00017E58"/>
    <w:rsid w:val="000201A1"/>
    <w:rsid w:val="0002039F"/>
    <w:rsid w:val="0002064B"/>
    <w:rsid w:val="00020A35"/>
    <w:rsid w:val="00020B00"/>
    <w:rsid w:val="00020B03"/>
    <w:rsid w:val="00020BED"/>
    <w:rsid w:val="000212D1"/>
    <w:rsid w:val="00021CBC"/>
    <w:rsid w:val="00021F06"/>
    <w:rsid w:val="00021FD9"/>
    <w:rsid w:val="000220DC"/>
    <w:rsid w:val="000228AF"/>
    <w:rsid w:val="000231DE"/>
    <w:rsid w:val="00023242"/>
    <w:rsid w:val="0002324F"/>
    <w:rsid w:val="000235AE"/>
    <w:rsid w:val="00023755"/>
    <w:rsid w:val="000240F1"/>
    <w:rsid w:val="00024573"/>
    <w:rsid w:val="0002491E"/>
    <w:rsid w:val="00024B23"/>
    <w:rsid w:val="00024D6C"/>
    <w:rsid w:val="00024DB4"/>
    <w:rsid w:val="00024EA1"/>
    <w:rsid w:val="00024EF1"/>
    <w:rsid w:val="000250F2"/>
    <w:rsid w:val="00025C27"/>
    <w:rsid w:val="00025EB3"/>
    <w:rsid w:val="00025F93"/>
    <w:rsid w:val="00026042"/>
    <w:rsid w:val="00026148"/>
    <w:rsid w:val="000261C0"/>
    <w:rsid w:val="0002625D"/>
    <w:rsid w:val="000262BB"/>
    <w:rsid w:val="00026687"/>
    <w:rsid w:val="00026C21"/>
    <w:rsid w:val="00027229"/>
    <w:rsid w:val="000275B7"/>
    <w:rsid w:val="0002799C"/>
    <w:rsid w:val="00027AD8"/>
    <w:rsid w:val="00027B69"/>
    <w:rsid w:val="00027E38"/>
    <w:rsid w:val="00027E6A"/>
    <w:rsid w:val="00027ED7"/>
    <w:rsid w:val="000302DD"/>
    <w:rsid w:val="00030306"/>
    <w:rsid w:val="0003035B"/>
    <w:rsid w:val="00030596"/>
    <w:rsid w:val="000306E3"/>
    <w:rsid w:val="000307F1"/>
    <w:rsid w:val="000310D2"/>
    <w:rsid w:val="000313F6"/>
    <w:rsid w:val="00031666"/>
    <w:rsid w:val="000318F5"/>
    <w:rsid w:val="00031975"/>
    <w:rsid w:val="00031C86"/>
    <w:rsid w:val="00031CBB"/>
    <w:rsid w:val="00031D84"/>
    <w:rsid w:val="00031EC6"/>
    <w:rsid w:val="000323E1"/>
    <w:rsid w:val="00032777"/>
    <w:rsid w:val="000328AC"/>
    <w:rsid w:val="00032C3C"/>
    <w:rsid w:val="00032DE4"/>
    <w:rsid w:val="00033172"/>
    <w:rsid w:val="000334A0"/>
    <w:rsid w:val="00033757"/>
    <w:rsid w:val="0003397C"/>
    <w:rsid w:val="00033A0F"/>
    <w:rsid w:val="00033ADE"/>
    <w:rsid w:val="00033C35"/>
    <w:rsid w:val="00033DD8"/>
    <w:rsid w:val="000343BA"/>
    <w:rsid w:val="000344C6"/>
    <w:rsid w:val="000344E0"/>
    <w:rsid w:val="00034744"/>
    <w:rsid w:val="00034754"/>
    <w:rsid w:val="000347C7"/>
    <w:rsid w:val="00034BBC"/>
    <w:rsid w:val="00034BE1"/>
    <w:rsid w:val="00034F51"/>
    <w:rsid w:val="0003518F"/>
    <w:rsid w:val="00035418"/>
    <w:rsid w:val="00035537"/>
    <w:rsid w:val="0003559E"/>
    <w:rsid w:val="0003581F"/>
    <w:rsid w:val="00035EB3"/>
    <w:rsid w:val="00035FD4"/>
    <w:rsid w:val="00035FEA"/>
    <w:rsid w:val="00036344"/>
    <w:rsid w:val="00036534"/>
    <w:rsid w:val="00036E47"/>
    <w:rsid w:val="00036EA8"/>
    <w:rsid w:val="00036EFE"/>
    <w:rsid w:val="000371E7"/>
    <w:rsid w:val="000372CA"/>
    <w:rsid w:val="000374F4"/>
    <w:rsid w:val="00037DF1"/>
    <w:rsid w:val="00037F38"/>
    <w:rsid w:val="00037F61"/>
    <w:rsid w:val="0004026B"/>
    <w:rsid w:val="00040367"/>
    <w:rsid w:val="000403CC"/>
    <w:rsid w:val="0004075F"/>
    <w:rsid w:val="000407AB"/>
    <w:rsid w:val="00040A6B"/>
    <w:rsid w:val="00040A77"/>
    <w:rsid w:val="00040D2D"/>
    <w:rsid w:val="00040DE9"/>
    <w:rsid w:val="000415B9"/>
    <w:rsid w:val="0004186A"/>
    <w:rsid w:val="00041A9A"/>
    <w:rsid w:val="00042567"/>
    <w:rsid w:val="00042731"/>
    <w:rsid w:val="0004289B"/>
    <w:rsid w:val="00042C8D"/>
    <w:rsid w:val="00042F66"/>
    <w:rsid w:val="0004361C"/>
    <w:rsid w:val="00043847"/>
    <w:rsid w:val="00043A6C"/>
    <w:rsid w:val="00043DEB"/>
    <w:rsid w:val="000445B1"/>
    <w:rsid w:val="00044644"/>
    <w:rsid w:val="00044E3D"/>
    <w:rsid w:val="0004541C"/>
    <w:rsid w:val="00045ABE"/>
    <w:rsid w:val="00045E80"/>
    <w:rsid w:val="00046554"/>
    <w:rsid w:val="0004690C"/>
    <w:rsid w:val="00046A66"/>
    <w:rsid w:val="00046CAB"/>
    <w:rsid w:val="00046D70"/>
    <w:rsid w:val="0004701D"/>
    <w:rsid w:val="00047087"/>
    <w:rsid w:val="000472E2"/>
    <w:rsid w:val="000473B8"/>
    <w:rsid w:val="00047AC0"/>
    <w:rsid w:val="00047F40"/>
    <w:rsid w:val="00047FA5"/>
    <w:rsid w:val="000502B1"/>
    <w:rsid w:val="000507E3"/>
    <w:rsid w:val="0005091A"/>
    <w:rsid w:val="00050DB6"/>
    <w:rsid w:val="00050E9F"/>
    <w:rsid w:val="000511F9"/>
    <w:rsid w:val="000512B9"/>
    <w:rsid w:val="00051349"/>
    <w:rsid w:val="000515BC"/>
    <w:rsid w:val="00051602"/>
    <w:rsid w:val="000516D5"/>
    <w:rsid w:val="00051702"/>
    <w:rsid w:val="000519A7"/>
    <w:rsid w:val="00051A41"/>
    <w:rsid w:val="00051C5F"/>
    <w:rsid w:val="00051EA3"/>
    <w:rsid w:val="00052041"/>
    <w:rsid w:val="000520A9"/>
    <w:rsid w:val="000520F8"/>
    <w:rsid w:val="00052596"/>
    <w:rsid w:val="0005295B"/>
    <w:rsid w:val="00052C95"/>
    <w:rsid w:val="00053600"/>
    <w:rsid w:val="000536BF"/>
    <w:rsid w:val="000536FA"/>
    <w:rsid w:val="00053A8B"/>
    <w:rsid w:val="00053C75"/>
    <w:rsid w:val="00054029"/>
    <w:rsid w:val="0005428B"/>
    <w:rsid w:val="000545E0"/>
    <w:rsid w:val="000546AF"/>
    <w:rsid w:val="00054938"/>
    <w:rsid w:val="00054982"/>
    <w:rsid w:val="00054CB6"/>
    <w:rsid w:val="00054F95"/>
    <w:rsid w:val="00054FC7"/>
    <w:rsid w:val="00055177"/>
    <w:rsid w:val="00055303"/>
    <w:rsid w:val="00055668"/>
    <w:rsid w:val="0005567E"/>
    <w:rsid w:val="00055796"/>
    <w:rsid w:val="00055D84"/>
    <w:rsid w:val="0005641A"/>
    <w:rsid w:val="00056554"/>
    <w:rsid w:val="0005658D"/>
    <w:rsid w:val="00056710"/>
    <w:rsid w:val="00056872"/>
    <w:rsid w:val="00056C4A"/>
    <w:rsid w:val="00057A1C"/>
    <w:rsid w:val="00057FE0"/>
    <w:rsid w:val="0006002A"/>
    <w:rsid w:val="000607BD"/>
    <w:rsid w:val="00060886"/>
    <w:rsid w:val="00060BAE"/>
    <w:rsid w:val="00060EDD"/>
    <w:rsid w:val="00061135"/>
    <w:rsid w:val="0006129D"/>
    <w:rsid w:val="000612D3"/>
    <w:rsid w:val="00061586"/>
    <w:rsid w:val="00061940"/>
    <w:rsid w:val="00061AB4"/>
    <w:rsid w:val="00061F18"/>
    <w:rsid w:val="000622D4"/>
    <w:rsid w:val="00062759"/>
    <w:rsid w:val="00062977"/>
    <w:rsid w:val="00062C41"/>
    <w:rsid w:val="00062C74"/>
    <w:rsid w:val="00062CA6"/>
    <w:rsid w:val="00062DCF"/>
    <w:rsid w:val="00062E83"/>
    <w:rsid w:val="00062F2F"/>
    <w:rsid w:val="00063268"/>
    <w:rsid w:val="000632E9"/>
    <w:rsid w:val="00063511"/>
    <w:rsid w:val="00063960"/>
    <w:rsid w:val="000640D7"/>
    <w:rsid w:val="00064156"/>
    <w:rsid w:val="00064382"/>
    <w:rsid w:val="00064492"/>
    <w:rsid w:val="00064C69"/>
    <w:rsid w:val="00064D07"/>
    <w:rsid w:val="000651DB"/>
    <w:rsid w:val="00065564"/>
    <w:rsid w:val="000655CF"/>
    <w:rsid w:val="00066003"/>
    <w:rsid w:val="0006609C"/>
    <w:rsid w:val="00066104"/>
    <w:rsid w:val="00066126"/>
    <w:rsid w:val="00066774"/>
    <w:rsid w:val="00067561"/>
    <w:rsid w:val="000675B4"/>
    <w:rsid w:val="000675D4"/>
    <w:rsid w:val="00067665"/>
    <w:rsid w:val="000678A3"/>
    <w:rsid w:val="00067DE2"/>
    <w:rsid w:val="00067DFF"/>
    <w:rsid w:val="00067FC0"/>
    <w:rsid w:val="0007005B"/>
    <w:rsid w:val="000706BD"/>
    <w:rsid w:val="00070A23"/>
    <w:rsid w:val="0007102A"/>
    <w:rsid w:val="00071174"/>
    <w:rsid w:val="0007136D"/>
    <w:rsid w:val="00071478"/>
    <w:rsid w:val="000714D3"/>
    <w:rsid w:val="000715F6"/>
    <w:rsid w:val="00071AB9"/>
    <w:rsid w:val="00071B8C"/>
    <w:rsid w:val="00071C68"/>
    <w:rsid w:val="00072282"/>
    <w:rsid w:val="000724E6"/>
    <w:rsid w:val="00072529"/>
    <w:rsid w:val="0007279A"/>
    <w:rsid w:val="00072807"/>
    <w:rsid w:val="00072DD2"/>
    <w:rsid w:val="00072F70"/>
    <w:rsid w:val="00073103"/>
    <w:rsid w:val="000732B8"/>
    <w:rsid w:val="000738A8"/>
    <w:rsid w:val="000739AC"/>
    <w:rsid w:val="00073BD6"/>
    <w:rsid w:val="000741F3"/>
    <w:rsid w:val="00074566"/>
    <w:rsid w:val="00074588"/>
    <w:rsid w:val="000748F3"/>
    <w:rsid w:val="00074FD8"/>
    <w:rsid w:val="000752DF"/>
    <w:rsid w:val="00075508"/>
    <w:rsid w:val="00075E1F"/>
    <w:rsid w:val="000761A0"/>
    <w:rsid w:val="000764D5"/>
    <w:rsid w:val="00076920"/>
    <w:rsid w:val="0007694B"/>
    <w:rsid w:val="00076AA6"/>
    <w:rsid w:val="00076D09"/>
    <w:rsid w:val="00076D53"/>
    <w:rsid w:val="00076DF8"/>
    <w:rsid w:val="00076F6E"/>
    <w:rsid w:val="0007714D"/>
    <w:rsid w:val="00077795"/>
    <w:rsid w:val="000777B1"/>
    <w:rsid w:val="0007795A"/>
    <w:rsid w:val="00077C1D"/>
    <w:rsid w:val="00077D1B"/>
    <w:rsid w:val="00080285"/>
    <w:rsid w:val="00080320"/>
    <w:rsid w:val="00080388"/>
    <w:rsid w:val="000804F9"/>
    <w:rsid w:val="00080A7A"/>
    <w:rsid w:val="00080D2D"/>
    <w:rsid w:val="00080F84"/>
    <w:rsid w:val="0008135D"/>
    <w:rsid w:val="0008143F"/>
    <w:rsid w:val="00081477"/>
    <w:rsid w:val="00081C7B"/>
    <w:rsid w:val="00081E08"/>
    <w:rsid w:val="00081F8C"/>
    <w:rsid w:val="0008205F"/>
    <w:rsid w:val="000820C9"/>
    <w:rsid w:val="000827EF"/>
    <w:rsid w:val="00082916"/>
    <w:rsid w:val="000829EB"/>
    <w:rsid w:val="00082ABD"/>
    <w:rsid w:val="00083358"/>
    <w:rsid w:val="00083B5C"/>
    <w:rsid w:val="00084062"/>
    <w:rsid w:val="000841CA"/>
    <w:rsid w:val="00084231"/>
    <w:rsid w:val="0008453E"/>
    <w:rsid w:val="0008461F"/>
    <w:rsid w:val="00084992"/>
    <w:rsid w:val="00084D3B"/>
    <w:rsid w:val="0008518F"/>
    <w:rsid w:val="00085237"/>
    <w:rsid w:val="000854A9"/>
    <w:rsid w:val="000854BA"/>
    <w:rsid w:val="000854F0"/>
    <w:rsid w:val="0008584C"/>
    <w:rsid w:val="0008595C"/>
    <w:rsid w:val="00085A45"/>
    <w:rsid w:val="00085C4D"/>
    <w:rsid w:val="00085E9A"/>
    <w:rsid w:val="00086072"/>
    <w:rsid w:val="000865EA"/>
    <w:rsid w:val="000867F1"/>
    <w:rsid w:val="00086D45"/>
    <w:rsid w:val="00086D8A"/>
    <w:rsid w:val="00086EA4"/>
    <w:rsid w:val="00086FEA"/>
    <w:rsid w:val="000870A7"/>
    <w:rsid w:val="000872A4"/>
    <w:rsid w:val="000873B3"/>
    <w:rsid w:val="000873D5"/>
    <w:rsid w:val="00087442"/>
    <w:rsid w:val="000874B2"/>
    <w:rsid w:val="00087562"/>
    <w:rsid w:val="0008757D"/>
    <w:rsid w:val="000876C2"/>
    <w:rsid w:val="00087813"/>
    <w:rsid w:val="00087B77"/>
    <w:rsid w:val="00090388"/>
    <w:rsid w:val="00090610"/>
    <w:rsid w:val="0009061B"/>
    <w:rsid w:val="00090649"/>
    <w:rsid w:val="000906B8"/>
    <w:rsid w:val="00090A93"/>
    <w:rsid w:val="00090DBD"/>
    <w:rsid w:val="00091090"/>
    <w:rsid w:val="000911A5"/>
    <w:rsid w:val="00091380"/>
    <w:rsid w:val="000916C0"/>
    <w:rsid w:val="00092010"/>
    <w:rsid w:val="00092737"/>
    <w:rsid w:val="00092B12"/>
    <w:rsid w:val="00093570"/>
    <w:rsid w:val="0009394E"/>
    <w:rsid w:val="00093A62"/>
    <w:rsid w:val="00093B61"/>
    <w:rsid w:val="00093BBF"/>
    <w:rsid w:val="0009444A"/>
    <w:rsid w:val="000946AB"/>
    <w:rsid w:val="000947A2"/>
    <w:rsid w:val="00094A41"/>
    <w:rsid w:val="00094D9E"/>
    <w:rsid w:val="00094E2D"/>
    <w:rsid w:val="00095589"/>
    <w:rsid w:val="00095E8E"/>
    <w:rsid w:val="0009608C"/>
    <w:rsid w:val="00096114"/>
    <w:rsid w:val="00096174"/>
    <w:rsid w:val="000964C6"/>
    <w:rsid w:val="00096651"/>
    <w:rsid w:val="00097352"/>
    <w:rsid w:val="000975D9"/>
    <w:rsid w:val="000978B7"/>
    <w:rsid w:val="00097B68"/>
    <w:rsid w:val="00097BEF"/>
    <w:rsid w:val="000A00E1"/>
    <w:rsid w:val="000A00F5"/>
    <w:rsid w:val="000A0359"/>
    <w:rsid w:val="000A0B8D"/>
    <w:rsid w:val="000A0CC0"/>
    <w:rsid w:val="000A0D87"/>
    <w:rsid w:val="000A0F5C"/>
    <w:rsid w:val="000A1064"/>
    <w:rsid w:val="000A11B6"/>
    <w:rsid w:val="000A1376"/>
    <w:rsid w:val="000A1436"/>
    <w:rsid w:val="000A14F7"/>
    <w:rsid w:val="000A1911"/>
    <w:rsid w:val="000A1C5B"/>
    <w:rsid w:val="000A20F6"/>
    <w:rsid w:val="000A22B8"/>
    <w:rsid w:val="000A2408"/>
    <w:rsid w:val="000A24C0"/>
    <w:rsid w:val="000A2EB7"/>
    <w:rsid w:val="000A31B0"/>
    <w:rsid w:val="000A326B"/>
    <w:rsid w:val="000A332B"/>
    <w:rsid w:val="000A3621"/>
    <w:rsid w:val="000A3844"/>
    <w:rsid w:val="000A3B84"/>
    <w:rsid w:val="000A3D65"/>
    <w:rsid w:val="000A3D71"/>
    <w:rsid w:val="000A3FBE"/>
    <w:rsid w:val="000A48BB"/>
    <w:rsid w:val="000A49A6"/>
    <w:rsid w:val="000A52A0"/>
    <w:rsid w:val="000A542B"/>
    <w:rsid w:val="000A564B"/>
    <w:rsid w:val="000A597B"/>
    <w:rsid w:val="000A5DF4"/>
    <w:rsid w:val="000A5F47"/>
    <w:rsid w:val="000A5F59"/>
    <w:rsid w:val="000A61F9"/>
    <w:rsid w:val="000A62FA"/>
    <w:rsid w:val="000A635F"/>
    <w:rsid w:val="000A636A"/>
    <w:rsid w:val="000A6D99"/>
    <w:rsid w:val="000A72AE"/>
    <w:rsid w:val="000A75DD"/>
    <w:rsid w:val="000A7710"/>
    <w:rsid w:val="000A7F0C"/>
    <w:rsid w:val="000B00E5"/>
    <w:rsid w:val="000B01F4"/>
    <w:rsid w:val="000B02B9"/>
    <w:rsid w:val="000B02FE"/>
    <w:rsid w:val="000B079B"/>
    <w:rsid w:val="000B0821"/>
    <w:rsid w:val="000B0A01"/>
    <w:rsid w:val="000B0AE3"/>
    <w:rsid w:val="000B0D33"/>
    <w:rsid w:val="000B0EE4"/>
    <w:rsid w:val="000B116D"/>
    <w:rsid w:val="000B1295"/>
    <w:rsid w:val="000B18CD"/>
    <w:rsid w:val="000B1D84"/>
    <w:rsid w:val="000B1DF6"/>
    <w:rsid w:val="000B1E30"/>
    <w:rsid w:val="000B26D0"/>
    <w:rsid w:val="000B275D"/>
    <w:rsid w:val="000B28B9"/>
    <w:rsid w:val="000B2AA6"/>
    <w:rsid w:val="000B2CEB"/>
    <w:rsid w:val="000B2EC7"/>
    <w:rsid w:val="000B33B9"/>
    <w:rsid w:val="000B36F0"/>
    <w:rsid w:val="000B39E6"/>
    <w:rsid w:val="000B3A58"/>
    <w:rsid w:val="000B442D"/>
    <w:rsid w:val="000B4709"/>
    <w:rsid w:val="000B4B3E"/>
    <w:rsid w:val="000B4F33"/>
    <w:rsid w:val="000B519B"/>
    <w:rsid w:val="000B51AA"/>
    <w:rsid w:val="000B5388"/>
    <w:rsid w:val="000B57F9"/>
    <w:rsid w:val="000B59A4"/>
    <w:rsid w:val="000B5B4F"/>
    <w:rsid w:val="000B5F9E"/>
    <w:rsid w:val="000B609D"/>
    <w:rsid w:val="000B610D"/>
    <w:rsid w:val="000B65BD"/>
    <w:rsid w:val="000B6652"/>
    <w:rsid w:val="000B6A05"/>
    <w:rsid w:val="000B6B15"/>
    <w:rsid w:val="000B6DC5"/>
    <w:rsid w:val="000B6FCF"/>
    <w:rsid w:val="000B70E5"/>
    <w:rsid w:val="000B7159"/>
    <w:rsid w:val="000B718A"/>
    <w:rsid w:val="000B7544"/>
    <w:rsid w:val="000B7F56"/>
    <w:rsid w:val="000C009F"/>
    <w:rsid w:val="000C00D2"/>
    <w:rsid w:val="000C05E3"/>
    <w:rsid w:val="000C0B89"/>
    <w:rsid w:val="000C0C8C"/>
    <w:rsid w:val="000C1040"/>
    <w:rsid w:val="000C142E"/>
    <w:rsid w:val="000C152B"/>
    <w:rsid w:val="000C1605"/>
    <w:rsid w:val="000C168F"/>
    <w:rsid w:val="000C16A1"/>
    <w:rsid w:val="000C1891"/>
    <w:rsid w:val="000C1D19"/>
    <w:rsid w:val="000C1DB8"/>
    <w:rsid w:val="000C1E4D"/>
    <w:rsid w:val="000C1F1A"/>
    <w:rsid w:val="000C207F"/>
    <w:rsid w:val="000C235A"/>
    <w:rsid w:val="000C24CA"/>
    <w:rsid w:val="000C2581"/>
    <w:rsid w:val="000C2BCA"/>
    <w:rsid w:val="000C309A"/>
    <w:rsid w:val="000C3374"/>
    <w:rsid w:val="000C345C"/>
    <w:rsid w:val="000C37B0"/>
    <w:rsid w:val="000C3867"/>
    <w:rsid w:val="000C39AD"/>
    <w:rsid w:val="000C39DD"/>
    <w:rsid w:val="000C3DDD"/>
    <w:rsid w:val="000C4226"/>
    <w:rsid w:val="000C4650"/>
    <w:rsid w:val="000C466A"/>
    <w:rsid w:val="000C48FA"/>
    <w:rsid w:val="000C4996"/>
    <w:rsid w:val="000C4A0C"/>
    <w:rsid w:val="000C4AD3"/>
    <w:rsid w:val="000C4C1A"/>
    <w:rsid w:val="000C4CF5"/>
    <w:rsid w:val="000C5007"/>
    <w:rsid w:val="000C5833"/>
    <w:rsid w:val="000C5A60"/>
    <w:rsid w:val="000C5F0A"/>
    <w:rsid w:val="000C6547"/>
    <w:rsid w:val="000C66B6"/>
    <w:rsid w:val="000C6761"/>
    <w:rsid w:val="000C680A"/>
    <w:rsid w:val="000C683E"/>
    <w:rsid w:val="000C6876"/>
    <w:rsid w:val="000C6A03"/>
    <w:rsid w:val="000C6BB8"/>
    <w:rsid w:val="000C6D4C"/>
    <w:rsid w:val="000C7321"/>
    <w:rsid w:val="000C7397"/>
    <w:rsid w:val="000C77AF"/>
    <w:rsid w:val="000C795A"/>
    <w:rsid w:val="000C795C"/>
    <w:rsid w:val="000C7C2C"/>
    <w:rsid w:val="000C7F7A"/>
    <w:rsid w:val="000C7FE6"/>
    <w:rsid w:val="000D04B0"/>
    <w:rsid w:val="000D06E3"/>
    <w:rsid w:val="000D079F"/>
    <w:rsid w:val="000D0989"/>
    <w:rsid w:val="000D098B"/>
    <w:rsid w:val="000D09A4"/>
    <w:rsid w:val="000D09F5"/>
    <w:rsid w:val="000D0B6E"/>
    <w:rsid w:val="000D1133"/>
    <w:rsid w:val="000D11EE"/>
    <w:rsid w:val="000D11EF"/>
    <w:rsid w:val="000D143E"/>
    <w:rsid w:val="000D157E"/>
    <w:rsid w:val="000D198C"/>
    <w:rsid w:val="000D1A62"/>
    <w:rsid w:val="000D1B98"/>
    <w:rsid w:val="000D1D4D"/>
    <w:rsid w:val="000D209D"/>
    <w:rsid w:val="000D22F4"/>
    <w:rsid w:val="000D240B"/>
    <w:rsid w:val="000D2591"/>
    <w:rsid w:val="000D2BEE"/>
    <w:rsid w:val="000D2EB5"/>
    <w:rsid w:val="000D332B"/>
    <w:rsid w:val="000D3A21"/>
    <w:rsid w:val="000D3B03"/>
    <w:rsid w:val="000D3B6A"/>
    <w:rsid w:val="000D3F31"/>
    <w:rsid w:val="000D428C"/>
    <w:rsid w:val="000D42FD"/>
    <w:rsid w:val="000D4600"/>
    <w:rsid w:val="000D4612"/>
    <w:rsid w:val="000D487F"/>
    <w:rsid w:val="000D4A58"/>
    <w:rsid w:val="000D4A8A"/>
    <w:rsid w:val="000D4A9B"/>
    <w:rsid w:val="000D4CBE"/>
    <w:rsid w:val="000D521C"/>
    <w:rsid w:val="000D5512"/>
    <w:rsid w:val="000D5685"/>
    <w:rsid w:val="000D5EAF"/>
    <w:rsid w:val="000D60FB"/>
    <w:rsid w:val="000D612A"/>
    <w:rsid w:val="000D62BF"/>
    <w:rsid w:val="000D63ED"/>
    <w:rsid w:val="000D6A27"/>
    <w:rsid w:val="000D6EEF"/>
    <w:rsid w:val="000D6F1C"/>
    <w:rsid w:val="000D70C4"/>
    <w:rsid w:val="000D7747"/>
    <w:rsid w:val="000D7A03"/>
    <w:rsid w:val="000D7F09"/>
    <w:rsid w:val="000E00FE"/>
    <w:rsid w:val="000E049A"/>
    <w:rsid w:val="000E093F"/>
    <w:rsid w:val="000E0A50"/>
    <w:rsid w:val="000E0B05"/>
    <w:rsid w:val="000E0C1C"/>
    <w:rsid w:val="000E0F07"/>
    <w:rsid w:val="000E12EA"/>
    <w:rsid w:val="000E1448"/>
    <w:rsid w:val="000E155F"/>
    <w:rsid w:val="000E1677"/>
    <w:rsid w:val="000E188E"/>
    <w:rsid w:val="000E1920"/>
    <w:rsid w:val="000E1A7D"/>
    <w:rsid w:val="000E1D27"/>
    <w:rsid w:val="000E200F"/>
    <w:rsid w:val="000E2147"/>
    <w:rsid w:val="000E25E9"/>
    <w:rsid w:val="000E2609"/>
    <w:rsid w:val="000E26D7"/>
    <w:rsid w:val="000E2D90"/>
    <w:rsid w:val="000E3306"/>
    <w:rsid w:val="000E33EB"/>
    <w:rsid w:val="000E359A"/>
    <w:rsid w:val="000E3727"/>
    <w:rsid w:val="000E375F"/>
    <w:rsid w:val="000E3887"/>
    <w:rsid w:val="000E3FEF"/>
    <w:rsid w:val="000E4161"/>
    <w:rsid w:val="000E4169"/>
    <w:rsid w:val="000E438F"/>
    <w:rsid w:val="000E4451"/>
    <w:rsid w:val="000E44DA"/>
    <w:rsid w:val="000E4676"/>
    <w:rsid w:val="000E48B1"/>
    <w:rsid w:val="000E4C5F"/>
    <w:rsid w:val="000E522B"/>
    <w:rsid w:val="000E562F"/>
    <w:rsid w:val="000E5662"/>
    <w:rsid w:val="000E5665"/>
    <w:rsid w:val="000E5E0C"/>
    <w:rsid w:val="000E5F07"/>
    <w:rsid w:val="000E6089"/>
    <w:rsid w:val="000E6298"/>
    <w:rsid w:val="000E62AB"/>
    <w:rsid w:val="000E65B0"/>
    <w:rsid w:val="000E68E8"/>
    <w:rsid w:val="000E6951"/>
    <w:rsid w:val="000E6C1B"/>
    <w:rsid w:val="000E6D3B"/>
    <w:rsid w:val="000E7001"/>
    <w:rsid w:val="000E743C"/>
    <w:rsid w:val="000E773A"/>
    <w:rsid w:val="000E778F"/>
    <w:rsid w:val="000E7A0E"/>
    <w:rsid w:val="000E7DCD"/>
    <w:rsid w:val="000E7E90"/>
    <w:rsid w:val="000F01A5"/>
    <w:rsid w:val="000F01E7"/>
    <w:rsid w:val="000F0551"/>
    <w:rsid w:val="000F062C"/>
    <w:rsid w:val="000F0E1D"/>
    <w:rsid w:val="000F105B"/>
    <w:rsid w:val="000F12EB"/>
    <w:rsid w:val="000F17E7"/>
    <w:rsid w:val="000F194B"/>
    <w:rsid w:val="000F1AEE"/>
    <w:rsid w:val="000F20E4"/>
    <w:rsid w:val="000F2A23"/>
    <w:rsid w:val="000F2B1F"/>
    <w:rsid w:val="000F2BFE"/>
    <w:rsid w:val="000F2CFC"/>
    <w:rsid w:val="000F2D53"/>
    <w:rsid w:val="000F3005"/>
    <w:rsid w:val="000F31D8"/>
    <w:rsid w:val="000F31F2"/>
    <w:rsid w:val="000F3312"/>
    <w:rsid w:val="000F342F"/>
    <w:rsid w:val="000F38DA"/>
    <w:rsid w:val="000F3BEA"/>
    <w:rsid w:val="000F3BF9"/>
    <w:rsid w:val="000F430D"/>
    <w:rsid w:val="000F4BA5"/>
    <w:rsid w:val="000F54D0"/>
    <w:rsid w:val="000F5650"/>
    <w:rsid w:val="000F56C5"/>
    <w:rsid w:val="000F5CD0"/>
    <w:rsid w:val="000F5F46"/>
    <w:rsid w:val="000F6114"/>
    <w:rsid w:val="000F614C"/>
    <w:rsid w:val="000F62D9"/>
    <w:rsid w:val="000F6707"/>
    <w:rsid w:val="000F6A72"/>
    <w:rsid w:val="000F6A73"/>
    <w:rsid w:val="000F708E"/>
    <w:rsid w:val="000F7098"/>
    <w:rsid w:val="000F746D"/>
    <w:rsid w:val="000F7676"/>
    <w:rsid w:val="000F7A6E"/>
    <w:rsid w:val="000F7E8A"/>
    <w:rsid w:val="0010026C"/>
    <w:rsid w:val="001008DF"/>
    <w:rsid w:val="001008EF"/>
    <w:rsid w:val="00100ABC"/>
    <w:rsid w:val="00100C87"/>
    <w:rsid w:val="00100E93"/>
    <w:rsid w:val="00101202"/>
    <w:rsid w:val="00101452"/>
    <w:rsid w:val="0010163E"/>
    <w:rsid w:val="00101873"/>
    <w:rsid w:val="001018B7"/>
    <w:rsid w:val="00101A41"/>
    <w:rsid w:val="00101A91"/>
    <w:rsid w:val="00101E0C"/>
    <w:rsid w:val="00101EF4"/>
    <w:rsid w:val="00101EF7"/>
    <w:rsid w:val="001024A0"/>
    <w:rsid w:val="0010251A"/>
    <w:rsid w:val="00102527"/>
    <w:rsid w:val="00102573"/>
    <w:rsid w:val="00102674"/>
    <w:rsid w:val="00102883"/>
    <w:rsid w:val="00102DDA"/>
    <w:rsid w:val="00102E0E"/>
    <w:rsid w:val="00102F77"/>
    <w:rsid w:val="00102F7C"/>
    <w:rsid w:val="00103385"/>
    <w:rsid w:val="0010348B"/>
    <w:rsid w:val="0010348D"/>
    <w:rsid w:val="001034F0"/>
    <w:rsid w:val="00103694"/>
    <w:rsid w:val="001037C5"/>
    <w:rsid w:val="0010394C"/>
    <w:rsid w:val="00103A21"/>
    <w:rsid w:val="00103A94"/>
    <w:rsid w:val="00103CF9"/>
    <w:rsid w:val="00103D15"/>
    <w:rsid w:val="00103EEF"/>
    <w:rsid w:val="00104275"/>
    <w:rsid w:val="001049E2"/>
    <w:rsid w:val="00104BB7"/>
    <w:rsid w:val="00104C99"/>
    <w:rsid w:val="001054C5"/>
    <w:rsid w:val="0010583D"/>
    <w:rsid w:val="001061C2"/>
    <w:rsid w:val="001061EF"/>
    <w:rsid w:val="001062D4"/>
    <w:rsid w:val="001065F5"/>
    <w:rsid w:val="001068BF"/>
    <w:rsid w:val="00106C45"/>
    <w:rsid w:val="00106EE9"/>
    <w:rsid w:val="00106F72"/>
    <w:rsid w:val="0010730B"/>
    <w:rsid w:val="00107546"/>
    <w:rsid w:val="001075F5"/>
    <w:rsid w:val="0010778F"/>
    <w:rsid w:val="0010784B"/>
    <w:rsid w:val="001078CF"/>
    <w:rsid w:val="00107C06"/>
    <w:rsid w:val="00107CD4"/>
    <w:rsid w:val="00107D54"/>
    <w:rsid w:val="00107DB1"/>
    <w:rsid w:val="001100AD"/>
    <w:rsid w:val="001100D6"/>
    <w:rsid w:val="00110200"/>
    <w:rsid w:val="001102CB"/>
    <w:rsid w:val="00110C87"/>
    <w:rsid w:val="00110D7B"/>
    <w:rsid w:val="00110FE0"/>
    <w:rsid w:val="00111A25"/>
    <w:rsid w:val="00111AB6"/>
    <w:rsid w:val="001122E3"/>
    <w:rsid w:val="0011233E"/>
    <w:rsid w:val="001126EE"/>
    <w:rsid w:val="00112AA8"/>
    <w:rsid w:val="00112BDD"/>
    <w:rsid w:val="00112BFF"/>
    <w:rsid w:val="00112DCD"/>
    <w:rsid w:val="00112DEA"/>
    <w:rsid w:val="00112FC0"/>
    <w:rsid w:val="00113581"/>
    <w:rsid w:val="0011458C"/>
    <w:rsid w:val="001149C0"/>
    <w:rsid w:val="00114FA6"/>
    <w:rsid w:val="00115834"/>
    <w:rsid w:val="00115ECC"/>
    <w:rsid w:val="00116EDA"/>
    <w:rsid w:val="0011705E"/>
    <w:rsid w:val="001170EA"/>
    <w:rsid w:val="001178FF"/>
    <w:rsid w:val="00117AD8"/>
    <w:rsid w:val="00117DA3"/>
    <w:rsid w:val="00117F06"/>
    <w:rsid w:val="001205B0"/>
    <w:rsid w:val="00120637"/>
    <w:rsid w:val="0012084A"/>
    <w:rsid w:val="00120860"/>
    <w:rsid w:val="00120A86"/>
    <w:rsid w:val="0012164F"/>
    <w:rsid w:val="001218C3"/>
    <w:rsid w:val="00121A20"/>
    <w:rsid w:val="00121C60"/>
    <w:rsid w:val="00121DE9"/>
    <w:rsid w:val="0012256D"/>
    <w:rsid w:val="0012283C"/>
    <w:rsid w:val="001228B6"/>
    <w:rsid w:val="00122B14"/>
    <w:rsid w:val="00122D51"/>
    <w:rsid w:val="00122E1E"/>
    <w:rsid w:val="00122E78"/>
    <w:rsid w:val="00122F12"/>
    <w:rsid w:val="00123133"/>
    <w:rsid w:val="0012389B"/>
    <w:rsid w:val="001239C4"/>
    <w:rsid w:val="00123AA3"/>
    <w:rsid w:val="00123B67"/>
    <w:rsid w:val="00123FD0"/>
    <w:rsid w:val="0012423D"/>
    <w:rsid w:val="0012439D"/>
    <w:rsid w:val="00124CB8"/>
    <w:rsid w:val="00125D5F"/>
    <w:rsid w:val="00125F39"/>
    <w:rsid w:val="001263A7"/>
    <w:rsid w:val="00126877"/>
    <w:rsid w:val="001268A0"/>
    <w:rsid w:val="00126D2C"/>
    <w:rsid w:val="00126F52"/>
    <w:rsid w:val="00127506"/>
    <w:rsid w:val="00127681"/>
    <w:rsid w:val="001277A8"/>
    <w:rsid w:val="00127AC9"/>
    <w:rsid w:val="001300A0"/>
    <w:rsid w:val="00130264"/>
    <w:rsid w:val="001302B6"/>
    <w:rsid w:val="00130403"/>
    <w:rsid w:val="001307A7"/>
    <w:rsid w:val="001307DF"/>
    <w:rsid w:val="0013087A"/>
    <w:rsid w:val="00130895"/>
    <w:rsid w:val="00130AC6"/>
    <w:rsid w:val="00130B05"/>
    <w:rsid w:val="00130B1D"/>
    <w:rsid w:val="0013162B"/>
    <w:rsid w:val="00131885"/>
    <w:rsid w:val="00131DDF"/>
    <w:rsid w:val="00131E49"/>
    <w:rsid w:val="00131E87"/>
    <w:rsid w:val="00132326"/>
    <w:rsid w:val="0013233D"/>
    <w:rsid w:val="00132624"/>
    <w:rsid w:val="00132813"/>
    <w:rsid w:val="00132D47"/>
    <w:rsid w:val="00132F8B"/>
    <w:rsid w:val="0013354B"/>
    <w:rsid w:val="00133573"/>
    <w:rsid w:val="001337F4"/>
    <w:rsid w:val="001341F2"/>
    <w:rsid w:val="0013420D"/>
    <w:rsid w:val="00134500"/>
    <w:rsid w:val="00134507"/>
    <w:rsid w:val="0013460B"/>
    <w:rsid w:val="0013499F"/>
    <w:rsid w:val="001349E1"/>
    <w:rsid w:val="00134C66"/>
    <w:rsid w:val="00134C95"/>
    <w:rsid w:val="00134C98"/>
    <w:rsid w:val="001351EC"/>
    <w:rsid w:val="0013523D"/>
    <w:rsid w:val="00135305"/>
    <w:rsid w:val="001358E9"/>
    <w:rsid w:val="00135973"/>
    <w:rsid w:val="00135D78"/>
    <w:rsid w:val="001366AE"/>
    <w:rsid w:val="00136DDC"/>
    <w:rsid w:val="00136F82"/>
    <w:rsid w:val="001370F0"/>
    <w:rsid w:val="0013733B"/>
    <w:rsid w:val="0013752E"/>
    <w:rsid w:val="0013762D"/>
    <w:rsid w:val="001376D8"/>
    <w:rsid w:val="0013791B"/>
    <w:rsid w:val="00137B03"/>
    <w:rsid w:val="00137EF0"/>
    <w:rsid w:val="00140222"/>
    <w:rsid w:val="0014063B"/>
    <w:rsid w:val="00140EEF"/>
    <w:rsid w:val="0014107C"/>
    <w:rsid w:val="00141196"/>
    <w:rsid w:val="001417D5"/>
    <w:rsid w:val="00141AEB"/>
    <w:rsid w:val="00142648"/>
    <w:rsid w:val="0014270B"/>
    <w:rsid w:val="001427E5"/>
    <w:rsid w:val="00142B49"/>
    <w:rsid w:val="00142B55"/>
    <w:rsid w:val="00142B81"/>
    <w:rsid w:val="00142C1B"/>
    <w:rsid w:val="00142D04"/>
    <w:rsid w:val="00143119"/>
    <w:rsid w:val="00143257"/>
    <w:rsid w:val="001432EF"/>
    <w:rsid w:val="001435E7"/>
    <w:rsid w:val="00143ABA"/>
    <w:rsid w:val="00143C36"/>
    <w:rsid w:val="00143FCB"/>
    <w:rsid w:val="00144022"/>
    <w:rsid w:val="00144075"/>
    <w:rsid w:val="00144143"/>
    <w:rsid w:val="00144268"/>
    <w:rsid w:val="00144705"/>
    <w:rsid w:val="00144886"/>
    <w:rsid w:val="001449D3"/>
    <w:rsid w:val="00144B64"/>
    <w:rsid w:val="0014501E"/>
    <w:rsid w:val="00145112"/>
    <w:rsid w:val="001455BA"/>
    <w:rsid w:val="001457E9"/>
    <w:rsid w:val="001457F7"/>
    <w:rsid w:val="00145AE4"/>
    <w:rsid w:val="00145C4D"/>
    <w:rsid w:val="00145C57"/>
    <w:rsid w:val="00145E3D"/>
    <w:rsid w:val="00146494"/>
    <w:rsid w:val="00146B1E"/>
    <w:rsid w:val="00146C94"/>
    <w:rsid w:val="00146DEC"/>
    <w:rsid w:val="00146F72"/>
    <w:rsid w:val="00147737"/>
    <w:rsid w:val="00147933"/>
    <w:rsid w:val="00147EA0"/>
    <w:rsid w:val="00150179"/>
    <w:rsid w:val="001502C1"/>
    <w:rsid w:val="0015032C"/>
    <w:rsid w:val="00150375"/>
    <w:rsid w:val="00150525"/>
    <w:rsid w:val="00150566"/>
    <w:rsid w:val="001507CC"/>
    <w:rsid w:val="00150B06"/>
    <w:rsid w:val="00150B68"/>
    <w:rsid w:val="00150FA9"/>
    <w:rsid w:val="00151280"/>
    <w:rsid w:val="001514D1"/>
    <w:rsid w:val="0015159B"/>
    <w:rsid w:val="0015163A"/>
    <w:rsid w:val="0015172E"/>
    <w:rsid w:val="00151FC5"/>
    <w:rsid w:val="001522AD"/>
    <w:rsid w:val="001524E5"/>
    <w:rsid w:val="0015288D"/>
    <w:rsid w:val="00152A47"/>
    <w:rsid w:val="00152EFA"/>
    <w:rsid w:val="00153255"/>
    <w:rsid w:val="00153259"/>
    <w:rsid w:val="001532F4"/>
    <w:rsid w:val="00153424"/>
    <w:rsid w:val="00153872"/>
    <w:rsid w:val="00153B28"/>
    <w:rsid w:val="00153C38"/>
    <w:rsid w:val="001543A6"/>
    <w:rsid w:val="001543D2"/>
    <w:rsid w:val="001547DD"/>
    <w:rsid w:val="00154BB8"/>
    <w:rsid w:val="00154C05"/>
    <w:rsid w:val="00154F34"/>
    <w:rsid w:val="00155029"/>
    <w:rsid w:val="0015537F"/>
    <w:rsid w:val="001556E8"/>
    <w:rsid w:val="001558E8"/>
    <w:rsid w:val="00155AEA"/>
    <w:rsid w:val="00156088"/>
    <w:rsid w:val="00156439"/>
    <w:rsid w:val="00156450"/>
    <w:rsid w:val="001568BB"/>
    <w:rsid w:val="00156925"/>
    <w:rsid w:val="00156970"/>
    <w:rsid w:val="00156A42"/>
    <w:rsid w:val="00156AC1"/>
    <w:rsid w:val="0015705F"/>
    <w:rsid w:val="001571C0"/>
    <w:rsid w:val="0015728B"/>
    <w:rsid w:val="001572C1"/>
    <w:rsid w:val="00157926"/>
    <w:rsid w:val="00157B6A"/>
    <w:rsid w:val="00157B94"/>
    <w:rsid w:val="00157D05"/>
    <w:rsid w:val="00160041"/>
    <w:rsid w:val="001600CD"/>
    <w:rsid w:val="001600FD"/>
    <w:rsid w:val="001603F2"/>
    <w:rsid w:val="00160505"/>
    <w:rsid w:val="0016054D"/>
    <w:rsid w:val="001605A0"/>
    <w:rsid w:val="00160879"/>
    <w:rsid w:val="00160906"/>
    <w:rsid w:val="00160A45"/>
    <w:rsid w:val="00161D52"/>
    <w:rsid w:val="00161F1F"/>
    <w:rsid w:val="00162436"/>
    <w:rsid w:val="001626FE"/>
    <w:rsid w:val="00162BC2"/>
    <w:rsid w:val="00162F1E"/>
    <w:rsid w:val="00162FB0"/>
    <w:rsid w:val="00162FD1"/>
    <w:rsid w:val="00163064"/>
    <w:rsid w:val="00163478"/>
    <w:rsid w:val="001636DB"/>
    <w:rsid w:val="001638E2"/>
    <w:rsid w:val="0016396A"/>
    <w:rsid w:val="00163E95"/>
    <w:rsid w:val="00163F70"/>
    <w:rsid w:val="00164013"/>
    <w:rsid w:val="001643DA"/>
    <w:rsid w:val="001648AE"/>
    <w:rsid w:val="00164948"/>
    <w:rsid w:val="00164C29"/>
    <w:rsid w:val="00165197"/>
    <w:rsid w:val="001653B0"/>
    <w:rsid w:val="0016569B"/>
    <w:rsid w:val="001657BB"/>
    <w:rsid w:val="001657D2"/>
    <w:rsid w:val="001658E1"/>
    <w:rsid w:val="001659D9"/>
    <w:rsid w:val="00165BC2"/>
    <w:rsid w:val="00165EE5"/>
    <w:rsid w:val="00165EE9"/>
    <w:rsid w:val="0016605A"/>
    <w:rsid w:val="001664BF"/>
    <w:rsid w:val="0016655A"/>
    <w:rsid w:val="001666D5"/>
    <w:rsid w:val="00166721"/>
    <w:rsid w:val="00166EFD"/>
    <w:rsid w:val="00167474"/>
    <w:rsid w:val="0016757C"/>
    <w:rsid w:val="00167729"/>
    <w:rsid w:val="00167A53"/>
    <w:rsid w:val="00167CA5"/>
    <w:rsid w:val="00167DD4"/>
    <w:rsid w:val="001703EC"/>
    <w:rsid w:val="0017052E"/>
    <w:rsid w:val="00170610"/>
    <w:rsid w:val="001706D7"/>
    <w:rsid w:val="00170995"/>
    <w:rsid w:val="001709A0"/>
    <w:rsid w:val="00170DA1"/>
    <w:rsid w:val="00171077"/>
    <w:rsid w:val="00171425"/>
    <w:rsid w:val="00171556"/>
    <w:rsid w:val="00171589"/>
    <w:rsid w:val="001718E8"/>
    <w:rsid w:val="00172162"/>
    <w:rsid w:val="00172408"/>
    <w:rsid w:val="00172454"/>
    <w:rsid w:val="00172BF1"/>
    <w:rsid w:val="00173141"/>
    <w:rsid w:val="001732D1"/>
    <w:rsid w:val="00173451"/>
    <w:rsid w:val="0017350B"/>
    <w:rsid w:val="0017358E"/>
    <w:rsid w:val="00173ADB"/>
    <w:rsid w:val="00173D38"/>
    <w:rsid w:val="00173D8A"/>
    <w:rsid w:val="00173EB1"/>
    <w:rsid w:val="00174432"/>
    <w:rsid w:val="001746CE"/>
    <w:rsid w:val="00174883"/>
    <w:rsid w:val="00174A50"/>
    <w:rsid w:val="00174F19"/>
    <w:rsid w:val="001751CD"/>
    <w:rsid w:val="00175256"/>
    <w:rsid w:val="0017536A"/>
    <w:rsid w:val="0017540C"/>
    <w:rsid w:val="001755CC"/>
    <w:rsid w:val="0017584B"/>
    <w:rsid w:val="00175E40"/>
    <w:rsid w:val="00176582"/>
    <w:rsid w:val="00176A77"/>
    <w:rsid w:val="00176BFB"/>
    <w:rsid w:val="00176C92"/>
    <w:rsid w:val="001773A8"/>
    <w:rsid w:val="001775F9"/>
    <w:rsid w:val="00177647"/>
    <w:rsid w:val="00177BB9"/>
    <w:rsid w:val="00177E59"/>
    <w:rsid w:val="00177F58"/>
    <w:rsid w:val="0018006B"/>
    <w:rsid w:val="00180701"/>
    <w:rsid w:val="00180B8D"/>
    <w:rsid w:val="00181128"/>
    <w:rsid w:val="00181394"/>
    <w:rsid w:val="001814F7"/>
    <w:rsid w:val="0018158B"/>
    <w:rsid w:val="00181797"/>
    <w:rsid w:val="00181FC5"/>
    <w:rsid w:val="00182213"/>
    <w:rsid w:val="00182254"/>
    <w:rsid w:val="00182A12"/>
    <w:rsid w:val="00182A52"/>
    <w:rsid w:val="00182FB4"/>
    <w:rsid w:val="001831EF"/>
    <w:rsid w:val="00183486"/>
    <w:rsid w:val="001834C8"/>
    <w:rsid w:val="00183555"/>
    <w:rsid w:val="00183951"/>
    <w:rsid w:val="00183A48"/>
    <w:rsid w:val="00183B75"/>
    <w:rsid w:val="00183C96"/>
    <w:rsid w:val="00183FC2"/>
    <w:rsid w:val="00184442"/>
    <w:rsid w:val="00184B9F"/>
    <w:rsid w:val="00184DBF"/>
    <w:rsid w:val="00184E22"/>
    <w:rsid w:val="00185177"/>
    <w:rsid w:val="00185344"/>
    <w:rsid w:val="00185351"/>
    <w:rsid w:val="0018535D"/>
    <w:rsid w:val="00185400"/>
    <w:rsid w:val="00185446"/>
    <w:rsid w:val="00185791"/>
    <w:rsid w:val="00185D85"/>
    <w:rsid w:val="00186105"/>
    <w:rsid w:val="00186716"/>
    <w:rsid w:val="00186C47"/>
    <w:rsid w:val="00186F08"/>
    <w:rsid w:val="00187139"/>
    <w:rsid w:val="001874BE"/>
    <w:rsid w:val="0018750B"/>
    <w:rsid w:val="001875AC"/>
    <w:rsid w:val="00187EE5"/>
    <w:rsid w:val="0019027A"/>
    <w:rsid w:val="00190417"/>
    <w:rsid w:val="001907F1"/>
    <w:rsid w:val="00190AF1"/>
    <w:rsid w:val="00190E6B"/>
    <w:rsid w:val="00191084"/>
    <w:rsid w:val="001910DD"/>
    <w:rsid w:val="00191253"/>
    <w:rsid w:val="001913B1"/>
    <w:rsid w:val="00191769"/>
    <w:rsid w:val="00191B40"/>
    <w:rsid w:val="00191B41"/>
    <w:rsid w:val="00191D10"/>
    <w:rsid w:val="0019278D"/>
    <w:rsid w:val="0019298D"/>
    <w:rsid w:val="00192DE2"/>
    <w:rsid w:val="00192FB8"/>
    <w:rsid w:val="001933B6"/>
    <w:rsid w:val="001933DF"/>
    <w:rsid w:val="0019345A"/>
    <w:rsid w:val="00193580"/>
    <w:rsid w:val="00193690"/>
    <w:rsid w:val="00193807"/>
    <w:rsid w:val="00193A0B"/>
    <w:rsid w:val="00193C2C"/>
    <w:rsid w:val="00193CA1"/>
    <w:rsid w:val="00193DF1"/>
    <w:rsid w:val="0019411E"/>
    <w:rsid w:val="00194303"/>
    <w:rsid w:val="001943B9"/>
    <w:rsid w:val="001944BB"/>
    <w:rsid w:val="00194620"/>
    <w:rsid w:val="00194C74"/>
    <w:rsid w:val="00194E17"/>
    <w:rsid w:val="001950A9"/>
    <w:rsid w:val="00195676"/>
    <w:rsid w:val="001956A5"/>
    <w:rsid w:val="00195A72"/>
    <w:rsid w:val="00195AD2"/>
    <w:rsid w:val="00195C4E"/>
    <w:rsid w:val="00195F69"/>
    <w:rsid w:val="00196063"/>
    <w:rsid w:val="001961A0"/>
    <w:rsid w:val="001963F8"/>
    <w:rsid w:val="001964DC"/>
    <w:rsid w:val="001965B7"/>
    <w:rsid w:val="00196899"/>
    <w:rsid w:val="001968DA"/>
    <w:rsid w:val="00196D7A"/>
    <w:rsid w:val="0019706A"/>
    <w:rsid w:val="00197254"/>
    <w:rsid w:val="00197995"/>
    <w:rsid w:val="001A0150"/>
    <w:rsid w:val="001A0371"/>
    <w:rsid w:val="001A078C"/>
    <w:rsid w:val="001A0DA6"/>
    <w:rsid w:val="001A0F88"/>
    <w:rsid w:val="001A0FE0"/>
    <w:rsid w:val="001A1049"/>
    <w:rsid w:val="001A1103"/>
    <w:rsid w:val="001A145A"/>
    <w:rsid w:val="001A145C"/>
    <w:rsid w:val="001A1569"/>
    <w:rsid w:val="001A1AD0"/>
    <w:rsid w:val="001A1B6A"/>
    <w:rsid w:val="001A1B6F"/>
    <w:rsid w:val="001A2063"/>
    <w:rsid w:val="001A241A"/>
    <w:rsid w:val="001A2A8B"/>
    <w:rsid w:val="001A2BCB"/>
    <w:rsid w:val="001A34C3"/>
    <w:rsid w:val="001A35A9"/>
    <w:rsid w:val="001A3844"/>
    <w:rsid w:val="001A38A7"/>
    <w:rsid w:val="001A397C"/>
    <w:rsid w:val="001A3CC8"/>
    <w:rsid w:val="001A3E5D"/>
    <w:rsid w:val="001A4084"/>
    <w:rsid w:val="001A464D"/>
    <w:rsid w:val="001A49D0"/>
    <w:rsid w:val="001A4C2E"/>
    <w:rsid w:val="001A4F1A"/>
    <w:rsid w:val="001A54A1"/>
    <w:rsid w:val="001A55CD"/>
    <w:rsid w:val="001A5669"/>
    <w:rsid w:val="001A56B9"/>
    <w:rsid w:val="001A5A0B"/>
    <w:rsid w:val="001A6095"/>
    <w:rsid w:val="001A6384"/>
    <w:rsid w:val="001A6417"/>
    <w:rsid w:val="001A6564"/>
    <w:rsid w:val="001A66D0"/>
    <w:rsid w:val="001A6B00"/>
    <w:rsid w:val="001A6B95"/>
    <w:rsid w:val="001A6C5B"/>
    <w:rsid w:val="001A6E4F"/>
    <w:rsid w:val="001A764A"/>
    <w:rsid w:val="001A78DC"/>
    <w:rsid w:val="001A7F0A"/>
    <w:rsid w:val="001B0408"/>
    <w:rsid w:val="001B06FB"/>
    <w:rsid w:val="001B0812"/>
    <w:rsid w:val="001B0CF6"/>
    <w:rsid w:val="001B10AD"/>
    <w:rsid w:val="001B1354"/>
    <w:rsid w:val="001B155F"/>
    <w:rsid w:val="001B158D"/>
    <w:rsid w:val="001B1654"/>
    <w:rsid w:val="001B1945"/>
    <w:rsid w:val="001B1BEA"/>
    <w:rsid w:val="001B1C65"/>
    <w:rsid w:val="001B1CAC"/>
    <w:rsid w:val="001B1EA3"/>
    <w:rsid w:val="001B2C06"/>
    <w:rsid w:val="001B2CA1"/>
    <w:rsid w:val="001B2DC6"/>
    <w:rsid w:val="001B315E"/>
    <w:rsid w:val="001B3865"/>
    <w:rsid w:val="001B3877"/>
    <w:rsid w:val="001B3A04"/>
    <w:rsid w:val="001B3C78"/>
    <w:rsid w:val="001B429F"/>
    <w:rsid w:val="001B42E5"/>
    <w:rsid w:val="001B43F1"/>
    <w:rsid w:val="001B467D"/>
    <w:rsid w:val="001B4780"/>
    <w:rsid w:val="001B4959"/>
    <w:rsid w:val="001B4BB6"/>
    <w:rsid w:val="001B4E57"/>
    <w:rsid w:val="001B5025"/>
    <w:rsid w:val="001B509B"/>
    <w:rsid w:val="001B50BD"/>
    <w:rsid w:val="001B5245"/>
    <w:rsid w:val="001B59FD"/>
    <w:rsid w:val="001B5BED"/>
    <w:rsid w:val="001B6060"/>
    <w:rsid w:val="001B62D9"/>
    <w:rsid w:val="001B6C72"/>
    <w:rsid w:val="001B6FB0"/>
    <w:rsid w:val="001B70C0"/>
    <w:rsid w:val="001B7200"/>
    <w:rsid w:val="001B7459"/>
    <w:rsid w:val="001B76D8"/>
    <w:rsid w:val="001B7763"/>
    <w:rsid w:val="001B7887"/>
    <w:rsid w:val="001B79A5"/>
    <w:rsid w:val="001B7D81"/>
    <w:rsid w:val="001B7EA1"/>
    <w:rsid w:val="001C00AE"/>
    <w:rsid w:val="001C01B7"/>
    <w:rsid w:val="001C01E2"/>
    <w:rsid w:val="001C0540"/>
    <w:rsid w:val="001C09DD"/>
    <w:rsid w:val="001C0C5F"/>
    <w:rsid w:val="001C0CD6"/>
    <w:rsid w:val="001C1141"/>
    <w:rsid w:val="001C1835"/>
    <w:rsid w:val="001C1F0E"/>
    <w:rsid w:val="001C2142"/>
    <w:rsid w:val="001C242F"/>
    <w:rsid w:val="001C26DB"/>
    <w:rsid w:val="001C2BFE"/>
    <w:rsid w:val="001C2D51"/>
    <w:rsid w:val="001C2FB6"/>
    <w:rsid w:val="001C33A3"/>
    <w:rsid w:val="001C368C"/>
    <w:rsid w:val="001C37BB"/>
    <w:rsid w:val="001C3827"/>
    <w:rsid w:val="001C3851"/>
    <w:rsid w:val="001C3AAF"/>
    <w:rsid w:val="001C3D1B"/>
    <w:rsid w:val="001C3D38"/>
    <w:rsid w:val="001C4016"/>
    <w:rsid w:val="001C4213"/>
    <w:rsid w:val="001C4295"/>
    <w:rsid w:val="001C4532"/>
    <w:rsid w:val="001C4D44"/>
    <w:rsid w:val="001C4FB3"/>
    <w:rsid w:val="001C542F"/>
    <w:rsid w:val="001C5530"/>
    <w:rsid w:val="001C5B30"/>
    <w:rsid w:val="001C5D4D"/>
    <w:rsid w:val="001C5DD4"/>
    <w:rsid w:val="001C5EC8"/>
    <w:rsid w:val="001C5EF3"/>
    <w:rsid w:val="001C5FBE"/>
    <w:rsid w:val="001C642F"/>
    <w:rsid w:val="001C6447"/>
    <w:rsid w:val="001C668D"/>
    <w:rsid w:val="001C6E31"/>
    <w:rsid w:val="001C6EA6"/>
    <w:rsid w:val="001C752A"/>
    <w:rsid w:val="001C767F"/>
    <w:rsid w:val="001C77E2"/>
    <w:rsid w:val="001C7800"/>
    <w:rsid w:val="001C792A"/>
    <w:rsid w:val="001D0189"/>
    <w:rsid w:val="001D0335"/>
    <w:rsid w:val="001D0C10"/>
    <w:rsid w:val="001D0DEE"/>
    <w:rsid w:val="001D142E"/>
    <w:rsid w:val="001D1455"/>
    <w:rsid w:val="001D15D0"/>
    <w:rsid w:val="001D1626"/>
    <w:rsid w:val="001D17FC"/>
    <w:rsid w:val="001D1CAC"/>
    <w:rsid w:val="001D1D3F"/>
    <w:rsid w:val="001D20FF"/>
    <w:rsid w:val="001D211E"/>
    <w:rsid w:val="001D2177"/>
    <w:rsid w:val="001D24B7"/>
    <w:rsid w:val="001D2C29"/>
    <w:rsid w:val="001D2CEF"/>
    <w:rsid w:val="001D2D91"/>
    <w:rsid w:val="001D3314"/>
    <w:rsid w:val="001D3334"/>
    <w:rsid w:val="001D38CB"/>
    <w:rsid w:val="001D3C52"/>
    <w:rsid w:val="001D3DB5"/>
    <w:rsid w:val="001D3DF0"/>
    <w:rsid w:val="001D40DE"/>
    <w:rsid w:val="001D4632"/>
    <w:rsid w:val="001D4D60"/>
    <w:rsid w:val="001D4FC8"/>
    <w:rsid w:val="001D5706"/>
    <w:rsid w:val="001D5DF5"/>
    <w:rsid w:val="001D622E"/>
    <w:rsid w:val="001D6D0B"/>
    <w:rsid w:val="001D6D67"/>
    <w:rsid w:val="001D6E3B"/>
    <w:rsid w:val="001D6F53"/>
    <w:rsid w:val="001D7096"/>
    <w:rsid w:val="001D7170"/>
    <w:rsid w:val="001D772B"/>
    <w:rsid w:val="001D790B"/>
    <w:rsid w:val="001D7974"/>
    <w:rsid w:val="001D7C42"/>
    <w:rsid w:val="001D7FF0"/>
    <w:rsid w:val="001E013C"/>
    <w:rsid w:val="001E077D"/>
    <w:rsid w:val="001E083E"/>
    <w:rsid w:val="001E0966"/>
    <w:rsid w:val="001E0A68"/>
    <w:rsid w:val="001E0B65"/>
    <w:rsid w:val="001E0BD0"/>
    <w:rsid w:val="001E1AB7"/>
    <w:rsid w:val="001E1E1C"/>
    <w:rsid w:val="001E1E7E"/>
    <w:rsid w:val="001E26B9"/>
    <w:rsid w:val="001E27A7"/>
    <w:rsid w:val="001E2E8F"/>
    <w:rsid w:val="001E2FDC"/>
    <w:rsid w:val="001E3164"/>
    <w:rsid w:val="001E37CE"/>
    <w:rsid w:val="001E3D77"/>
    <w:rsid w:val="001E3E0B"/>
    <w:rsid w:val="001E3ECB"/>
    <w:rsid w:val="001E413F"/>
    <w:rsid w:val="001E41A2"/>
    <w:rsid w:val="001E41D1"/>
    <w:rsid w:val="001E4750"/>
    <w:rsid w:val="001E4BEB"/>
    <w:rsid w:val="001E4CF6"/>
    <w:rsid w:val="001E4EB2"/>
    <w:rsid w:val="001E561E"/>
    <w:rsid w:val="001E58EA"/>
    <w:rsid w:val="001E5C88"/>
    <w:rsid w:val="001E601F"/>
    <w:rsid w:val="001E62E5"/>
    <w:rsid w:val="001E6703"/>
    <w:rsid w:val="001E6FEC"/>
    <w:rsid w:val="001E7074"/>
    <w:rsid w:val="001E71CA"/>
    <w:rsid w:val="001E7A69"/>
    <w:rsid w:val="001E7B2C"/>
    <w:rsid w:val="001E7BA7"/>
    <w:rsid w:val="001E7CA9"/>
    <w:rsid w:val="001E7CE6"/>
    <w:rsid w:val="001E7F36"/>
    <w:rsid w:val="001F030C"/>
    <w:rsid w:val="001F038B"/>
    <w:rsid w:val="001F0407"/>
    <w:rsid w:val="001F04D8"/>
    <w:rsid w:val="001F09B7"/>
    <w:rsid w:val="001F0A80"/>
    <w:rsid w:val="001F0B86"/>
    <w:rsid w:val="001F0CB9"/>
    <w:rsid w:val="001F0FB7"/>
    <w:rsid w:val="001F10A3"/>
    <w:rsid w:val="001F1143"/>
    <w:rsid w:val="001F1F51"/>
    <w:rsid w:val="001F222D"/>
    <w:rsid w:val="001F25B1"/>
    <w:rsid w:val="001F2614"/>
    <w:rsid w:val="001F267C"/>
    <w:rsid w:val="001F269D"/>
    <w:rsid w:val="001F26E5"/>
    <w:rsid w:val="001F2BDC"/>
    <w:rsid w:val="001F2D46"/>
    <w:rsid w:val="001F304F"/>
    <w:rsid w:val="001F33A6"/>
    <w:rsid w:val="001F33B3"/>
    <w:rsid w:val="001F3422"/>
    <w:rsid w:val="001F3646"/>
    <w:rsid w:val="001F366D"/>
    <w:rsid w:val="001F37E2"/>
    <w:rsid w:val="001F3C4C"/>
    <w:rsid w:val="001F3EDA"/>
    <w:rsid w:val="001F40FB"/>
    <w:rsid w:val="001F41DC"/>
    <w:rsid w:val="001F436D"/>
    <w:rsid w:val="001F44F2"/>
    <w:rsid w:val="001F461C"/>
    <w:rsid w:val="001F496A"/>
    <w:rsid w:val="001F4D54"/>
    <w:rsid w:val="001F51EA"/>
    <w:rsid w:val="001F5322"/>
    <w:rsid w:val="001F534A"/>
    <w:rsid w:val="001F543A"/>
    <w:rsid w:val="001F5741"/>
    <w:rsid w:val="001F5BB2"/>
    <w:rsid w:val="001F6021"/>
    <w:rsid w:val="001F615A"/>
    <w:rsid w:val="001F6889"/>
    <w:rsid w:val="001F689E"/>
    <w:rsid w:val="001F721D"/>
    <w:rsid w:val="001F7758"/>
    <w:rsid w:val="001F78D2"/>
    <w:rsid w:val="001F79A7"/>
    <w:rsid w:val="001F7A7F"/>
    <w:rsid w:val="001F7BA2"/>
    <w:rsid w:val="001F7F13"/>
    <w:rsid w:val="0020001C"/>
    <w:rsid w:val="00200A7B"/>
    <w:rsid w:val="00200B4B"/>
    <w:rsid w:val="00200F6E"/>
    <w:rsid w:val="00201006"/>
    <w:rsid w:val="0020122B"/>
    <w:rsid w:val="002012EE"/>
    <w:rsid w:val="00201661"/>
    <w:rsid w:val="002017DE"/>
    <w:rsid w:val="00201808"/>
    <w:rsid w:val="00201E11"/>
    <w:rsid w:val="002021F3"/>
    <w:rsid w:val="002022F9"/>
    <w:rsid w:val="002025C6"/>
    <w:rsid w:val="00202989"/>
    <w:rsid w:val="00202C3F"/>
    <w:rsid w:val="00202DDE"/>
    <w:rsid w:val="00203144"/>
    <w:rsid w:val="0020318C"/>
    <w:rsid w:val="002031C6"/>
    <w:rsid w:val="00203211"/>
    <w:rsid w:val="00203B42"/>
    <w:rsid w:val="00203CD9"/>
    <w:rsid w:val="0020426C"/>
    <w:rsid w:val="002044BC"/>
    <w:rsid w:val="00204585"/>
    <w:rsid w:val="00204ADE"/>
    <w:rsid w:val="00204CEB"/>
    <w:rsid w:val="00204ECC"/>
    <w:rsid w:val="0020534B"/>
    <w:rsid w:val="00205424"/>
    <w:rsid w:val="0020545D"/>
    <w:rsid w:val="00205916"/>
    <w:rsid w:val="00205AD4"/>
    <w:rsid w:val="00205BE8"/>
    <w:rsid w:val="00205C96"/>
    <w:rsid w:val="0020627A"/>
    <w:rsid w:val="00206943"/>
    <w:rsid w:val="00206A10"/>
    <w:rsid w:val="00206D90"/>
    <w:rsid w:val="00206E27"/>
    <w:rsid w:val="00206EA3"/>
    <w:rsid w:val="00207049"/>
    <w:rsid w:val="002070B1"/>
    <w:rsid w:val="00207131"/>
    <w:rsid w:val="002071C0"/>
    <w:rsid w:val="00207781"/>
    <w:rsid w:val="00207817"/>
    <w:rsid w:val="00207B69"/>
    <w:rsid w:val="00207F8D"/>
    <w:rsid w:val="00207FD8"/>
    <w:rsid w:val="00210764"/>
    <w:rsid w:val="00210935"/>
    <w:rsid w:val="00210FA1"/>
    <w:rsid w:val="0021104D"/>
    <w:rsid w:val="00211177"/>
    <w:rsid w:val="00211502"/>
    <w:rsid w:val="002119B3"/>
    <w:rsid w:val="00211ACE"/>
    <w:rsid w:val="00211B7E"/>
    <w:rsid w:val="00211BCA"/>
    <w:rsid w:val="00211DB2"/>
    <w:rsid w:val="00211ED9"/>
    <w:rsid w:val="00212384"/>
    <w:rsid w:val="00212421"/>
    <w:rsid w:val="002124F3"/>
    <w:rsid w:val="0021261A"/>
    <w:rsid w:val="002126B3"/>
    <w:rsid w:val="002126FE"/>
    <w:rsid w:val="0021289E"/>
    <w:rsid w:val="00212A0B"/>
    <w:rsid w:val="00212C90"/>
    <w:rsid w:val="00213178"/>
    <w:rsid w:val="00213391"/>
    <w:rsid w:val="002135FA"/>
    <w:rsid w:val="0021383B"/>
    <w:rsid w:val="00213A3A"/>
    <w:rsid w:val="00213F81"/>
    <w:rsid w:val="002144B8"/>
    <w:rsid w:val="00214505"/>
    <w:rsid w:val="0021488A"/>
    <w:rsid w:val="002149B2"/>
    <w:rsid w:val="00214BD5"/>
    <w:rsid w:val="00214CA8"/>
    <w:rsid w:val="002152C6"/>
    <w:rsid w:val="00215393"/>
    <w:rsid w:val="0021592A"/>
    <w:rsid w:val="0021596D"/>
    <w:rsid w:val="00215A87"/>
    <w:rsid w:val="00215B4C"/>
    <w:rsid w:val="00215EC3"/>
    <w:rsid w:val="0021609E"/>
    <w:rsid w:val="002163DC"/>
    <w:rsid w:val="00216868"/>
    <w:rsid w:val="002169C2"/>
    <w:rsid w:val="0021724D"/>
    <w:rsid w:val="002172D1"/>
    <w:rsid w:val="002172E7"/>
    <w:rsid w:val="002174BB"/>
    <w:rsid w:val="00217601"/>
    <w:rsid w:val="002178F8"/>
    <w:rsid w:val="0021798C"/>
    <w:rsid w:val="00217A86"/>
    <w:rsid w:val="00217AA8"/>
    <w:rsid w:val="00220036"/>
    <w:rsid w:val="0022003D"/>
    <w:rsid w:val="0022058E"/>
    <w:rsid w:val="00220644"/>
    <w:rsid w:val="002208FF"/>
    <w:rsid w:val="00220F00"/>
    <w:rsid w:val="00221407"/>
    <w:rsid w:val="00221415"/>
    <w:rsid w:val="00221C0B"/>
    <w:rsid w:val="00221E8B"/>
    <w:rsid w:val="00221F12"/>
    <w:rsid w:val="00221FCD"/>
    <w:rsid w:val="0022205E"/>
    <w:rsid w:val="0022206C"/>
    <w:rsid w:val="00222620"/>
    <w:rsid w:val="002226FF"/>
    <w:rsid w:val="002228E1"/>
    <w:rsid w:val="002229A2"/>
    <w:rsid w:val="00223036"/>
    <w:rsid w:val="002233A9"/>
    <w:rsid w:val="00223701"/>
    <w:rsid w:val="00223B90"/>
    <w:rsid w:val="00223C18"/>
    <w:rsid w:val="00223CA9"/>
    <w:rsid w:val="00223ED9"/>
    <w:rsid w:val="00224256"/>
    <w:rsid w:val="00224307"/>
    <w:rsid w:val="00224476"/>
    <w:rsid w:val="00224526"/>
    <w:rsid w:val="00224B51"/>
    <w:rsid w:val="002253EC"/>
    <w:rsid w:val="002257BA"/>
    <w:rsid w:val="00225847"/>
    <w:rsid w:val="00225AE3"/>
    <w:rsid w:val="00225D11"/>
    <w:rsid w:val="00226693"/>
    <w:rsid w:val="0022697E"/>
    <w:rsid w:val="00226FB7"/>
    <w:rsid w:val="00227118"/>
    <w:rsid w:val="0022712A"/>
    <w:rsid w:val="002271E2"/>
    <w:rsid w:val="00227250"/>
    <w:rsid w:val="0022734E"/>
    <w:rsid w:val="0022734F"/>
    <w:rsid w:val="00227466"/>
    <w:rsid w:val="0022776B"/>
    <w:rsid w:val="00227CFA"/>
    <w:rsid w:val="00227D1B"/>
    <w:rsid w:val="00227D3F"/>
    <w:rsid w:val="00230B57"/>
    <w:rsid w:val="002311D1"/>
    <w:rsid w:val="00231480"/>
    <w:rsid w:val="00231932"/>
    <w:rsid w:val="002319D4"/>
    <w:rsid w:val="00231A53"/>
    <w:rsid w:val="00231AA5"/>
    <w:rsid w:val="00231B1A"/>
    <w:rsid w:val="00231F5C"/>
    <w:rsid w:val="00231F66"/>
    <w:rsid w:val="002320B3"/>
    <w:rsid w:val="002321FA"/>
    <w:rsid w:val="00232438"/>
    <w:rsid w:val="002326F2"/>
    <w:rsid w:val="002327DC"/>
    <w:rsid w:val="00232994"/>
    <w:rsid w:val="00232B93"/>
    <w:rsid w:val="00232EC9"/>
    <w:rsid w:val="00233387"/>
    <w:rsid w:val="002335B7"/>
    <w:rsid w:val="00233678"/>
    <w:rsid w:val="002337DD"/>
    <w:rsid w:val="00233C37"/>
    <w:rsid w:val="00233EDF"/>
    <w:rsid w:val="00233FB0"/>
    <w:rsid w:val="0023407D"/>
    <w:rsid w:val="00234146"/>
    <w:rsid w:val="00234B41"/>
    <w:rsid w:val="00234C50"/>
    <w:rsid w:val="00234CEB"/>
    <w:rsid w:val="00234F3B"/>
    <w:rsid w:val="00234F89"/>
    <w:rsid w:val="00235910"/>
    <w:rsid w:val="00235CF8"/>
    <w:rsid w:val="00235EB1"/>
    <w:rsid w:val="00235F98"/>
    <w:rsid w:val="00236134"/>
    <w:rsid w:val="002361DD"/>
    <w:rsid w:val="002366D1"/>
    <w:rsid w:val="00236BB3"/>
    <w:rsid w:val="00236D15"/>
    <w:rsid w:val="0023779F"/>
    <w:rsid w:val="00237891"/>
    <w:rsid w:val="00237A71"/>
    <w:rsid w:val="0024025E"/>
    <w:rsid w:val="00240322"/>
    <w:rsid w:val="0024099D"/>
    <w:rsid w:val="00240B10"/>
    <w:rsid w:val="00240DB7"/>
    <w:rsid w:val="00240FED"/>
    <w:rsid w:val="002418E0"/>
    <w:rsid w:val="00241CCA"/>
    <w:rsid w:val="00242011"/>
    <w:rsid w:val="00242027"/>
    <w:rsid w:val="0024242C"/>
    <w:rsid w:val="002427DE"/>
    <w:rsid w:val="00242A87"/>
    <w:rsid w:val="00242BEC"/>
    <w:rsid w:val="00242C4C"/>
    <w:rsid w:val="002430D2"/>
    <w:rsid w:val="002434DF"/>
    <w:rsid w:val="002435DE"/>
    <w:rsid w:val="0024366F"/>
    <w:rsid w:val="0024383C"/>
    <w:rsid w:val="00243A06"/>
    <w:rsid w:val="00243AC4"/>
    <w:rsid w:val="00243BA9"/>
    <w:rsid w:val="00243C6A"/>
    <w:rsid w:val="00243F08"/>
    <w:rsid w:val="002441AC"/>
    <w:rsid w:val="00244474"/>
    <w:rsid w:val="002444AD"/>
    <w:rsid w:val="002447C7"/>
    <w:rsid w:val="002448FC"/>
    <w:rsid w:val="002451F6"/>
    <w:rsid w:val="00245790"/>
    <w:rsid w:val="002457E0"/>
    <w:rsid w:val="002459B8"/>
    <w:rsid w:val="00245A16"/>
    <w:rsid w:val="002466F2"/>
    <w:rsid w:val="00246718"/>
    <w:rsid w:val="00246CC8"/>
    <w:rsid w:val="00246EB3"/>
    <w:rsid w:val="0024741A"/>
    <w:rsid w:val="0024779B"/>
    <w:rsid w:val="002477B6"/>
    <w:rsid w:val="00247867"/>
    <w:rsid w:val="00247BC4"/>
    <w:rsid w:val="00247D2E"/>
    <w:rsid w:val="00247D6F"/>
    <w:rsid w:val="00250029"/>
    <w:rsid w:val="00250196"/>
    <w:rsid w:val="00250341"/>
    <w:rsid w:val="0025035E"/>
    <w:rsid w:val="0025054D"/>
    <w:rsid w:val="0025062B"/>
    <w:rsid w:val="002506B0"/>
    <w:rsid w:val="00250738"/>
    <w:rsid w:val="00251222"/>
    <w:rsid w:val="002512B8"/>
    <w:rsid w:val="0025152D"/>
    <w:rsid w:val="00251CAF"/>
    <w:rsid w:val="0025205F"/>
    <w:rsid w:val="002521A3"/>
    <w:rsid w:val="00252387"/>
    <w:rsid w:val="002523D3"/>
    <w:rsid w:val="0025269B"/>
    <w:rsid w:val="00252792"/>
    <w:rsid w:val="002528C3"/>
    <w:rsid w:val="00252BE4"/>
    <w:rsid w:val="00252C69"/>
    <w:rsid w:val="00252E2C"/>
    <w:rsid w:val="00253346"/>
    <w:rsid w:val="00253541"/>
    <w:rsid w:val="00253B17"/>
    <w:rsid w:val="00253BFC"/>
    <w:rsid w:val="0025407B"/>
    <w:rsid w:val="002542F4"/>
    <w:rsid w:val="00254A48"/>
    <w:rsid w:val="00254A4E"/>
    <w:rsid w:val="00254ABF"/>
    <w:rsid w:val="00254B35"/>
    <w:rsid w:val="00254CD5"/>
    <w:rsid w:val="00255A59"/>
    <w:rsid w:val="00255F28"/>
    <w:rsid w:val="00256346"/>
    <w:rsid w:val="002567F6"/>
    <w:rsid w:val="00256906"/>
    <w:rsid w:val="002569D0"/>
    <w:rsid w:val="00256BA4"/>
    <w:rsid w:val="00256D90"/>
    <w:rsid w:val="00256FBF"/>
    <w:rsid w:val="002570D2"/>
    <w:rsid w:val="0025731F"/>
    <w:rsid w:val="002573B8"/>
    <w:rsid w:val="0025768D"/>
    <w:rsid w:val="00257A9C"/>
    <w:rsid w:val="00257BB0"/>
    <w:rsid w:val="00257E75"/>
    <w:rsid w:val="00260267"/>
    <w:rsid w:val="0026066E"/>
    <w:rsid w:val="002611DB"/>
    <w:rsid w:val="00261378"/>
    <w:rsid w:val="00261717"/>
    <w:rsid w:val="002619F5"/>
    <w:rsid w:val="00261CA0"/>
    <w:rsid w:val="00261CE4"/>
    <w:rsid w:val="00261EB7"/>
    <w:rsid w:val="002621B9"/>
    <w:rsid w:val="00262245"/>
    <w:rsid w:val="00262354"/>
    <w:rsid w:val="002624F7"/>
    <w:rsid w:val="002629C9"/>
    <w:rsid w:val="00262A20"/>
    <w:rsid w:val="00262B51"/>
    <w:rsid w:val="00262DD6"/>
    <w:rsid w:val="00262ED0"/>
    <w:rsid w:val="002630B2"/>
    <w:rsid w:val="00263168"/>
    <w:rsid w:val="002635E7"/>
    <w:rsid w:val="00263779"/>
    <w:rsid w:val="002638D7"/>
    <w:rsid w:val="00263A32"/>
    <w:rsid w:val="00263E48"/>
    <w:rsid w:val="00264008"/>
    <w:rsid w:val="00264165"/>
    <w:rsid w:val="0026449E"/>
    <w:rsid w:val="002644B5"/>
    <w:rsid w:val="002644C2"/>
    <w:rsid w:val="002647B4"/>
    <w:rsid w:val="002648B6"/>
    <w:rsid w:val="00264ACF"/>
    <w:rsid w:val="00264BDB"/>
    <w:rsid w:val="00264E65"/>
    <w:rsid w:val="002651BA"/>
    <w:rsid w:val="00265337"/>
    <w:rsid w:val="00266174"/>
    <w:rsid w:val="00266789"/>
    <w:rsid w:val="002669D4"/>
    <w:rsid w:val="00266C27"/>
    <w:rsid w:val="00266D48"/>
    <w:rsid w:val="00267840"/>
    <w:rsid w:val="002704BE"/>
    <w:rsid w:val="002704C6"/>
    <w:rsid w:val="00270574"/>
    <w:rsid w:val="0027059F"/>
    <w:rsid w:val="002705ED"/>
    <w:rsid w:val="002707C7"/>
    <w:rsid w:val="002708D6"/>
    <w:rsid w:val="00270A16"/>
    <w:rsid w:val="002714B6"/>
    <w:rsid w:val="00271933"/>
    <w:rsid w:val="002728CC"/>
    <w:rsid w:val="00272AE4"/>
    <w:rsid w:val="00272CC5"/>
    <w:rsid w:val="00272D86"/>
    <w:rsid w:val="00272E46"/>
    <w:rsid w:val="00272E51"/>
    <w:rsid w:val="00273033"/>
    <w:rsid w:val="00273736"/>
    <w:rsid w:val="002739C8"/>
    <w:rsid w:val="00273B2C"/>
    <w:rsid w:val="00273BCB"/>
    <w:rsid w:val="00273C22"/>
    <w:rsid w:val="00273CF9"/>
    <w:rsid w:val="00273DE7"/>
    <w:rsid w:val="0027410D"/>
    <w:rsid w:val="0027429B"/>
    <w:rsid w:val="00274404"/>
    <w:rsid w:val="002744FB"/>
    <w:rsid w:val="0027463D"/>
    <w:rsid w:val="002749E1"/>
    <w:rsid w:val="00274C6E"/>
    <w:rsid w:val="0027539F"/>
    <w:rsid w:val="002755CC"/>
    <w:rsid w:val="002755F7"/>
    <w:rsid w:val="002756B6"/>
    <w:rsid w:val="0027584C"/>
    <w:rsid w:val="00275D99"/>
    <w:rsid w:val="00275E1E"/>
    <w:rsid w:val="00275F47"/>
    <w:rsid w:val="0027616D"/>
    <w:rsid w:val="00277093"/>
    <w:rsid w:val="0027726A"/>
    <w:rsid w:val="002772AF"/>
    <w:rsid w:val="00277767"/>
    <w:rsid w:val="0027780D"/>
    <w:rsid w:val="0027792D"/>
    <w:rsid w:val="00277B39"/>
    <w:rsid w:val="00277E2B"/>
    <w:rsid w:val="0028002E"/>
    <w:rsid w:val="00280129"/>
    <w:rsid w:val="002804A4"/>
    <w:rsid w:val="00280610"/>
    <w:rsid w:val="0028071C"/>
    <w:rsid w:val="00280989"/>
    <w:rsid w:val="00280DEE"/>
    <w:rsid w:val="00280DF9"/>
    <w:rsid w:val="00281014"/>
    <w:rsid w:val="00281234"/>
    <w:rsid w:val="0028124B"/>
    <w:rsid w:val="00281561"/>
    <w:rsid w:val="0028178E"/>
    <w:rsid w:val="0028197C"/>
    <w:rsid w:val="002824C2"/>
    <w:rsid w:val="002826C8"/>
    <w:rsid w:val="00282962"/>
    <w:rsid w:val="00282978"/>
    <w:rsid w:val="00282B7F"/>
    <w:rsid w:val="002830A6"/>
    <w:rsid w:val="0028318D"/>
    <w:rsid w:val="002837EB"/>
    <w:rsid w:val="00283E9B"/>
    <w:rsid w:val="00284132"/>
    <w:rsid w:val="00284AD8"/>
    <w:rsid w:val="00284AE1"/>
    <w:rsid w:val="00284B09"/>
    <w:rsid w:val="00284B7A"/>
    <w:rsid w:val="00284BD4"/>
    <w:rsid w:val="00284C2D"/>
    <w:rsid w:val="00284DE6"/>
    <w:rsid w:val="002850E7"/>
    <w:rsid w:val="00285287"/>
    <w:rsid w:val="00285376"/>
    <w:rsid w:val="00285AE3"/>
    <w:rsid w:val="00285C25"/>
    <w:rsid w:val="0028619F"/>
    <w:rsid w:val="002861E2"/>
    <w:rsid w:val="0028626B"/>
    <w:rsid w:val="00286281"/>
    <w:rsid w:val="0028654E"/>
    <w:rsid w:val="0028670A"/>
    <w:rsid w:val="00286AB0"/>
    <w:rsid w:val="00286CA5"/>
    <w:rsid w:val="00286DFB"/>
    <w:rsid w:val="00286EDC"/>
    <w:rsid w:val="00286FB1"/>
    <w:rsid w:val="002870CB"/>
    <w:rsid w:val="0028773B"/>
    <w:rsid w:val="002879B4"/>
    <w:rsid w:val="00287B26"/>
    <w:rsid w:val="00287CFD"/>
    <w:rsid w:val="00290476"/>
    <w:rsid w:val="0029056E"/>
    <w:rsid w:val="00290657"/>
    <w:rsid w:val="00290B8C"/>
    <w:rsid w:val="00290D56"/>
    <w:rsid w:val="00290EA8"/>
    <w:rsid w:val="002910FF"/>
    <w:rsid w:val="002915FA"/>
    <w:rsid w:val="002916CF"/>
    <w:rsid w:val="002916FD"/>
    <w:rsid w:val="00291A07"/>
    <w:rsid w:val="00291DA0"/>
    <w:rsid w:val="00291DA9"/>
    <w:rsid w:val="00291EFA"/>
    <w:rsid w:val="00291F26"/>
    <w:rsid w:val="002920CE"/>
    <w:rsid w:val="00292186"/>
    <w:rsid w:val="002922C8"/>
    <w:rsid w:val="00292731"/>
    <w:rsid w:val="00292797"/>
    <w:rsid w:val="002929BD"/>
    <w:rsid w:val="00292B0A"/>
    <w:rsid w:val="00292B3B"/>
    <w:rsid w:val="00292BAA"/>
    <w:rsid w:val="0029330C"/>
    <w:rsid w:val="00293B95"/>
    <w:rsid w:val="00293DB3"/>
    <w:rsid w:val="00294383"/>
    <w:rsid w:val="00294470"/>
    <w:rsid w:val="00294665"/>
    <w:rsid w:val="002946C1"/>
    <w:rsid w:val="0029472F"/>
    <w:rsid w:val="00294806"/>
    <w:rsid w:val="002949AD"/>
    <w:rsid w:val="00294E26"/>
    <w:rsid w:val="002952D3"/>
    <w:rsid w:val="002954E1"/>
    <w:rsid w:val="0029553D"/>
    <w:rsid w:val="00295A15"/>
    <w:rsid w:val="00295B5E"/>
    <w:rsid w:val="00295BD7"/>
    <w:rsid w:val="00295FB6"/>
    <w:rsid w:val="002962A9"/>
    <w:rsid w:val="00296547"/>
    <w:rsid w:val="00297099"/>
    <w:rsid w:val="002970F2"/>
    <w:rsid w:val="00297141"/>
    <w:rsid w:val="002978FD"/>
    <w:rsid w:val="00297B5B"/>
    <w:rsid w:val="00297D33"/>
    <w:rsid w:val="002A00C5"/>
    <w:rsid w:val="002A0355"/>
    <w:rsid w:val="002A07FD"/>
    <w:rsid w:val="002A0BE1"/>
    <w:rsid w:val="002A0CB8"/>
    <w:rsid w:val="002A11C8"/>
    <w:rsid w:val="002A1723"/>
    <w:rsid w:val="002A1848"/>
    <w:rsid w:val="002A1981"/>
    <w:rsid w:val="002A1A57"/>
    <w:rsid w:val="002A1D5A"/>
    <w:rsid w:val="002A1EB5"/>
    <w:rsid w:val="002A2141"/>
    <w:rsid w:val="002A259F"/>
    <w:rsid w:val="002A2718"/>
    <w:rsid w:val="002A29E2"/>
    <w:rsid w:val="002A2AC6"/>
    <w:rsid w:val="002A2B5B"/>
    <w:rsid w:val="002A30E0"/>
    <w:rsid w:val="002A3273"/>
    <w:rsid w:val="002A376F"/>
    <w:rsid w:val="002A37AB"/>
    <w:rsid w:val="002A380F"/>
    <w:rsid w:val="002A396A"/>
    <w:rsid w:val="002A3C0B"/>
    <w:rsid w:val="002A3FF6"/>
    <w:rsid w:val="002A4199"/>
    <w:rsid w:val="002A41CA"/>
    <w:rsid w:val="002A44AD"/>
    <w:rsid w:val="002A4B89"/>
    <w:rsid w:val="002A4BEF"/>
    <w:rsid w:val="002A4C4F"/>
    <w:rsid w:val="002A4D29"/>
    <w:rsid w:val="002A4E11"/>
    <w:rsid w:val="002A4E83"/>
    <w:rsid w:val="002A5120"/>
    <w:rsid w:val="002A5160"/>
    <w:rsid w:val="002A5314"/>
    <w:rsid w:val="002A547A"/>
    <w:rsid w:val="002A5AEA"/>
    <w:rsid w:val="002A5D60"/>
    <w:rsid w:val="002A5EC5"/>
    <w:rsid w:val="002A6077"/>
    <w:rsid w:val="002A65EF"/>
    <w:rsid w:val="002A696A"/>
    <w:rsid w:val="002A6A98"/>
    <w:rsid w:val="002A6C55"/>
    <w:rsid w:val="002A71C6"/>
    <w:rsid w:val="002A7540"/>
    <w:rsid w:val="002A7A86"/>
    <w:rsid w:val="002B00D0"/>
    <w:rsid w:val="002B0204"/>
    <w:rsid w:val="002B06B7"/>
    <w:rsid w:val="002B148D"/>
    <w:rsid w:val="002B1611"/>
    <w:rsid w:val="002B170A"/>
    <w:rsid w:val="002B18FB"/>
    <w:rsid w:val="002B1A92"/>
    <w:rsid w:val="002B1AC3"/>
    <w:rsid w:val="002B1FDB"/>
    <w:rsid w:val="002B1FE7"/>
    <w:rsid w:val="002B208F"/>
    <w:rsid w:val="002B22CC"/>
    <w:rsid w:val="002B2AD0"/>
    <w:rsid w:val="002B2D4E"/>
    <w:rsid w:val="002B2F3B"/>
    <w:rsid w:val="002B3060"/>
    <w:rsid w:val="002B31AC"/>
    <w:rsid w:val="002B3522"/>
    <w:rsid w:val="002B3660"/>
    <w:rsid w:val="002B378E"/>
    <w:rsid w:val="002B3CE2"/>
    <w:rsid w:val="002B3D9D"/>
    <w:rsid w:val="002B3FB5"/>
    <w:rsid w:val="002B40C8"/>
    <w:rsid w:val="002B4176"/>
    <w:rsid w:val="002B4399"/>
    <w:rsid w:val="002B450E"/>
    <w:rsid w:val="002B46B4"/>
    <w:rsid w:val="002B472A"/>
    <w:rsid w:val="002B4D08"/>
    <w:rsid w:val="002B4FC8"/>
    <w:rsid w:val="002B5041"/>
    <w:rsid w:val="002B51CF"/>
    <w:rsid w:val="002B542C"/>
    <w:rsid w:val="002B5895"/>
    <w:rsid w:val="002B58C7"/>
    <w:rsid w:val="002B5CBB"/>
    <w:rsid w:val="002B604B"/>
    <w:rsid w:val="002B61FE"/>
    <w:rsid w:val="002B6490"/>
    <w:rsid w:val="002B69A9"/>
    <w:rsid w:val="002B7402"/>
    <w:rsid w:val="002B779D"/>
    <w:rsid w:val="002B7848"/>
    <w:rsid w:val="002B7BBD"/>
    <w:rsid w:val="002C002D"/>
    <w:rsid w:val="002C0329"/>
    <w:rsid w:val="002C03C4"/>
    <w:rsid w:val="002C0544"/>
    <w:rsid w:val="002C071A"/>
    <w:rsid w:val="002C07BF"/>
    <w:rsid w:val="002C11C3"/>
    <w:rsid w:val="002C20E2"/>
    <w:rsid w:val="002C21F2"/>
    <w:rsid w:val="002C24DD"/>
    <w:rsid w:val="002C24DE"/>
    <w:rsid w:val="002C28D8"/>
    <w:rsid w:val="002C2A15"/>
    <w:rsid w:val="002C2A4F"/>
    <w:rsid w:val="002C2D2D"/>
    <w:rsid w:val="002C2EE8"/>
    <w:rsid w:val="002C2FC4"/>
    <w:rsid w:val="002C32E6"/>
    <w:rsid w:val="002C3304"/>
    <w:rsid w:val="002C34DA"/>
    <w:rsid w:val="002C3B6C"/>
    <w:rsid w:val="002C4172"/>
    <w:rsid w:val="002C4238"/>
    <w:rsid w:val="002C46EA"/>
    <w:rsid w:val="002C4858"/>
    <w:rsid w:val="002C4939"/>
    <w:rsid w:val="002C497F"/>
    <w:rsid w:val="002C4D6F"/>
    <w:rsid w:val="002C4DC7"/>
    <w:rsid w:val="002C500A"/>
    <w:rsid w:val="002C545C"/>
    <w:rsid w:val="002C56C7"/>
    <w:rsid w:val="002C5727"/>
    <w:rsid w:val="002C630D"/>
    <w:rsid w:val="002C63EA"/>
    <w:rsid w:val="002C644D"/>
    <w:rsid w:val="002C690E"/>
    <w:rsid w:val="002C69CD"/>
    <w:rsid w:val="002C70F7"/>
    <w:rsid w:val="002C71CA"/>
    <w:rsid w:val="002C7268"/>
    <w:rsid w:val="002C77A4"/>
    <w:rsid w:val="002C77D0"/>
    <w:rsid w:val="002C7BF2"/>
    <w:rsid w:val="002C7E34"/>
    <w:rsid w:val="002C7EE3"/>
    <w:rsid w:val="002D00E8"/>
    <w:rsid w:val="002D0285"/>
    <w:rsid w:val="002D0325"/>
    <w:rsid w:val="002D044F"/>
    <w:rsid w:val="002D091A"/>
    <w:rsid w:val="002D0CF7"/>
    <w:rsid w:val="002D106E"/>
    <w:rsid w:val="002D110C"/>
    <w:rsid w:val="002D11FF"/>
    <w:rsid w:val="002D15DE"/>
    <w:rsid w:val="002D1DEB"/>
    <w:rsid w:val="002D1EE6"/>
    <w:rsid w:val="002D208E"/>
    <w:rsid w:val="002D22CF"/>
    <w:rsid w:val="002D26D4"/>
    <w:rsid w:val="002D28AC"/>
    <w:rsid w:val="002D307D"/>
    <w:rsid w:val="002D3136"/>
    <w:rsid w:val="002D360F"/>
    <w:rsid w:val="002D3D55"/>
    <w:rsid w:val="002D3E44"/>
    <w:rsid w:val="002D40F5"/>
    <w:rsid w:val="002D4140"/>
    <w:rsid w:val="002D4500"/>
    <w:rsid w:val="002D45C4"/>
    <w:rsid w:val="002D47FB"/>
    <w:rsid w:val="002D4821"/>
    <w:rsid w:val="002D490A"/>
    <w:rsid w:val="002D4DD0"/>
    <w:rsid w:val="002D4ED6"/>
    <w:rsid w:val="002D4FD4"/>
    <w:rsid w:val="002D516E"/>
    <w:rsid w:val="002D53F6"/>
    <w:rsid w:val="002D56A1"/>
    <w:rsid w:val="002D5737"/>
    <w:rsid w:val="002D5CE5"/>
    <w:rsid w:val="002D6038"/>
    <w:rsid w:val="002D60A1"/>
    <w:rsid w:val="002D646F"/>
    <w:rsid w:val="002D65DC"/>
    <w:rsid w:val="002D675D"/>
    <w:rsid w:val="002D69EC"/>
    <w:rsid w:val="002D6E4A"/>
    <w:rsid w:val="002D6F6D"/>
    <w:rsid w:val="002D71A8"/>
    <w:rsid w:val="002D7271"/>
    <w:rsid w:val="002D75D1"/>
    <w:rsid w:val="002D78D3"/>
    <w:rsid w:val="002D78DC"/>
    <w:rsid w:val="002D7AD9"/>
    <w:rsid w:val="002D7C1F"/>
    <w:rsid w:val="002D7CAC"/>
    <w:rsid w:val="002D7D62"/>
    <w:rsid w:val="002E0470"/>
    <w:rsid w:val="002E08A0"/>
    <w:rsid w:val="002E09A1"/>
    <w:rsid w:val="002E0C6C"/>
    <w:rsid w:val="002E0C9B"/>
    <w:rsid w:val="002E1536"/>
    <w:rsid w:val="002E15E4"/>
    <w:rsid w:val="002E1C32"/>
    <w:rsid w:val="002E1F3F"/>
    <w:rsid w:val="002E26C4"/>
    <w:rsid w:val="002E2883"/>
    <w:rsid w:val="002E2CBA"/>
    <w:rsid w:val="002E2E62"/>
    <w:rsid w:val="002E2EC3"/>
    <w:rsid w:val="002E3590"/>
    <w:rsid w:val="002E3C01"/>
    <w:rsid w:val="002E400F"/>
    <w:rsid w:val="002E418C"/>
    <w:rsid w:val="002E41CD"/>
    <w:rsid w:val="002E43F1"/>
    <w:rsid w:val="002E468A"/>
    <w:rsid w:val="002E4A5B"/>
    <w:rsid w:val="002E52DE"/>
    <w:rsid w:val="002E55A8"/>
    <w:rsid w:val="002E5935"/>
    <w:rsid w:val="002E5D24"/>
    <w:rsid w:val="002E5D68"/>
    <w:rsid w:val="002E619E"/>
    <w:rsid w:val="002E623A"/>
    <w:rsid w:val="002E6727"/>
    <w:rsid w:val="002E676E"/>
    <w:rsid w:val="002E67CC"/>
    <w:rsid w:val="002E6A9D"/>
    <w:rsid w:val="002E750D"/>
    <w:rsid w:val="002E771B"/>
    <w:rsid w:val="002E7786"/>
    <w:rsid w:val="002E7A38"/>
    <w:rsid w:val="002E7A6E"/>
    <w:rsid w:val="002E7AE3"/>
    <w:rsid w:val="002E7EBC"/>
    <w:rsid w:val="002F06C7"/>
    <w:rsid w:val="002F0A71"/>
    <w:rsid w:val="002F0B46"/>
    <w:rsid w:val="002F0F98"/>
    <w:rsid w:val="002F102F"/>
    <w:rsid w:val="002F15CE"/>
    <w:rsid w:val="002F1739"/>
    <w:rsid w:val="002F1882"/>
    <w:rsid w:val="002F1CCF"/>
    <w:rsid w:val="002F1E1F"/>
    <w:rsid w:val="002F2190"/>
    <w:rsid w:val="002F2247"/>
    <w:rsid w:val="002F2338"/>
    <w:rsid w:val="002F24C8"/>
    <w:rsid w:val="002F255B"/>
    <w:rsid w:val="002F2865"/>
    <w:rsid w:val="002F2973"/>
    <w:rsid w:val="002F31E3"/>
    <w:rsid w:val="002F356A"/>
    <w:rsid w:val="002F3928"/>
    <w:rsid w:val="002F3F29"/>
    <w:rsid w:val="002F3F50"/>
    <w:rsid w:val="002F40B4"/>
    <w:rsid w:val="002F471A"/>
    <w:rsid w:val="002F498B"/>
    <w:rsid w:val="002F4CA7"/>
    <w:rsid w:val="002F50AA"/>
    <w:rsid w:val="002F51A5"/>
    <w:rsid w:val="002F5575"/>
    <w:rsid w:val="002F55CC"/>
    <w:rsid w:val="002F567F"/>
    <w:rsid w:val="002F5774"/>
    <w:rsid w:val="002F579A"/>
    <w:rsid w:val="002F57E3"/>
    <w:rsid w:val="002F5AE7"/>
    <w:rsid w:val="002F5F38"/>
    <w:rsid w:val="002F6B87"/>
    <w:rsid w:val="002F6DD8"/>
    <w:rsid w:val="002F7456"/>
    <w:rsid w:val="002F747E"/>
    <w:rsid w:val="002F753B"/>
    <w:rsid w:val="002F7752"/>
    <w:rsid w:val="002F77C9"/>
    <w:rsid w:val="002F77F1"/>
    <w:rsid w:val="002F79BC"/>
    <w:rsid w:val="002F79DA"/>
    <w:rsid w:val="002F7D10"/>
    <w:rsid w:val="002F7F78"/>
    <w:rsid w:val="002F7F7D"/>
    <w:rsid w:val="00300059"/>
    <w:rsid w:val="00300549"/>
    <w:rsid w:val="0030056C"/>
    <w:rsid w:val="003005E5"/>
    <w:rsid w:val="003006EA"/>
    <w:rsid w:val="00300BE6"/>
    <w:rsid w:val="00300BF7"/>
    <w:rsid w:val="00300C3E"/>
    <w:rsid w:val="00300F5B"/>
    <w:rsid w:val="00301242"/>
    <w:rsid w:val="003012F8"/>
    <w:rsid w:val="003019FA"/>
    <w:rsid w:val="0030318F"/>
    <w:rsid w:val="003032FA"/>
    <w:rsid w:val="0030354A"/>
    <w:rsid w:val="0030380D"/>
    <w:rsid w:val="00303998"/>
    <w:rsid w:val="00303A12"/>
    <w:rsid w:val="003041CD"/>
    <w:rsid w:val="003042CC"/>
    <w:rsid w:val="003044F6"/>
    <w:rsid w:val="0030472F"/>
    <w:rsid w:val="00304A38"/>
    <w:rsid w:val="00304BC1"/>
    <w:rsid w:val="00304E92"/>
    <w:rsid w:val="00304F1C"/>
    <w:rsid w:val="0030506C"/>
    <w:rsid w:val="003055DC"/>
    <w:rsid w:val="00305D0E"/>
    <w:rsid w:val="00305F51"/>
    <w:rsid w:val="0030611F"/>
    <w:rsid w:val="003061ED"/>
    <w:rsid w:val="003064CA"/>
    <w:rsid w:val="00306740"/>
    <w:rsid w:val="00306DB5"/>
    <w:rsid w:val="00306EA3"/>
    <w:rsid w:val="00307AD2"/>
    <w:rsid w:val="00307BE1"/>
    <w:rsid w:val="00307C64"/>
    <w:rsid w:val="00307CAB"/>
    <w:rsid w:val="00307D57"/>
    <w:rsid w:val="00307E24"/>
    <w:rsid w:val="00307FCB"/>
    <w:rsid w:val="003100CB"/>
    <w:rsid w:val="00310223"/>
    <w:rsid w:val="00310537"/>
    <w:rsid w:val="003106F7"/>
    <w:rsid w:val="00310769"/>
    <w:rsid w:val="00310B9C"/>
    <w:rsid w:val="00310F4D"/>
    <w:rsid w:val="00311359"/>
    <w:rsid w:val="00311B24"/>
    <w:rsid w:val="00311C30"/>
    <w:rsid w:val="00311D1A"/>
    <w:rsid w:val="00311E68"/>
    <w:rsid w:val="00312062"/>
    <w:rsid w:val="003122AE"/>
    <w:rsid w:val="0031238E"/>
    <w:rsid w:val="00312612"/>
    <w:rsid w:val="00312849"/>
    <w:rsid w:val="0031318A"/>
    <w:rsid w:val="003136B8"/>
    <w:rsid w:val="00313CC0"/>
    <w:rsid w:val="0031410F"/>
    <w:rsid w:val="00314209"/>
    <w:rsid w:val="00314503"/>
    <w:rsid w:val="00314506"/>
    <w:rsid w:val="003145F2"/>
    <w:rsid w:val="0031472A"/>
    <w:rsid w:val="0031496C"/>
    <w:rsid w:val="00314AE2"/>
    <w:rsid w:val="00314C2D"/>
    <w:rsid w:val="00315348"/>
    <w:rsid w:val="003155A6"/>
    <w:rsid w:val="0031563F"/>
    <w:rsid w:val="003157B7"/>
    <w:rsid w:val="00315B0A"/>
    <w:rsid w:val="00315D3B"/>
    <w:rsid w:val="00315DD4"/>
    <w:rsid w:val="00316154"/>
    <w:rsid w:val="003161A9"/>
    <w:rsid w:val="003163DA"/>
    <w:rsid w:val="00316406"/>
    <w:rsid w:val="0031670D"/>
    <w:rsid w:val="00316716"/>
    <w:rsid w:val="00316A44"/>
    <w:rsid w:val="00316B57"/>
    <w:rsid w:val="00316EA3"/>
    <w:rsid w:val="00317566"/>
    <w:rsid w:val="00317C1E"/>
    <w:rsid w:val="00317DAA"/>
    <w:rsid w:val="00317DD8"/>
    <w:rsid w:val="00317E55"/>
    <w:rsid w:val="00320211"/>
    <w:rsid w:val="003207CE"/>
    <w:rsid w:val="003207EA"/>
    <w:rsid w:val="00320ACA"/>
    <w:rsid w:val="0032103E"/>
    <w:rsid w:val="003212C9"/>
    <w:rsid w:val="00321497"/>
    <w:rsid w:val="0032188D"/>
    <w:rsid w:val="00321D22"/>
    <w:rsid w:val="00321DEF"/>
    <w:rsid w:val="0032204B"/>
    <w:rsid w:val="003222FF"/>
    <w:rsid w:val="003226E0"/>
    <w:rsid w:val="00322793"/>
    <w:rsid w:val="00322D93"/>
    <w:rsid w:val="00322EC5"/>
    <w:rsid w:val="00323277"/>
    <w:rsid w:val="00323377"/>
    <w:rsid w:val="0032339A"/>
    <w:rsid w:val="003233AA"/>
    <w:rsid w:val="0032368B"/>
    <w:rsid w:val="00323719"/>
    <w:rsid w:val="00323C0B"/>
    <w:rsid w:val="003240A6"/>
    <w:rsid w:val="003241F9"/>
    <w:rsid w:val="0032450E"/>
    <w:rsid w:val="0032464A"/>
    <w:rsid w:val="003248C4"/>
    <w:rsid w:val="00324CBC"/>
    <w:rsid w:val="00324F64"/>
    <w:rsid w:val="003253B2"/>
    <w:rsid w:val="003254DB"/>
    <w:rsid w:val="003255DC"/>
    <w:rsid w:val="00325B66"/>
    <w:rsid w:val="00325EF6"/>
    <w:rsid w:val="00326025"/>
    <w:rsid w:val="00326164"/>
    <w:rsid w:val="00326398"/>
    <w:rsid w:val="003263E5"/>
    <w:rsid w:val="003265BB"/>
    <w:rsid w:val="003266AD"/>
    <w:rsid w:val="003269FD"/>
    <w:rsid w:val="00326B78"/>
    <w:rsid w:val="00326BE3"/>
    <w:rsid w:val="00326D43"/>
    <w:rsid w:val="00326DD7"/>
    <w:rsid w:val="00326F0C"/>
    <w:rsid w:val="00327381"/>
    <w:rsid w:val="003274FC"/>
    <w:rsid w:val="0032761B"/>
    <w:rsid w:val="0032765A"/>
    <w:rsid w:val="00327949"/>
    <w:rsid w:val="00327B26"/>
    <w:rsid w:val="0033011D"/>
    <w:rsid w:val="003308BB"/>
    <w:rsid w:val="0033094C"/>
    <w:rsid w:val="00330D62"/>
    <w:rsid w:val="00330E68"/>
    <w:rsid w:val="0033112A"/>
    <w:rsid w:val="003318E3"/>
    <w:rsid w:val="00331BE1"/>
    <w:rsid w:val="00332260"/>
    <w:rsid w:val="003329FC"/>
    <w:rsid w:val="00332B94"/>
    <w:rsid w:val="003332B6"/>
    <w:rsid w:val="003333ED"/>
    <w:rsid w:val="003334F4"/>
    <w:rsid w:val="00333547"/>
    <w:rsid w:val="003335AB"/>
    <w:rsid w:val="0033394D"/>
    <w:rsid w:val="003339BF"/>
    <w:rsid w:val="00333F08"/>
    <w:rsid w:val="0033415C"/>
    <w:rsid w:val="00334214"/>
    <w:rsid w:val="003343A3"/>
    <w:rsid w:val="0033458C"/>
    <w:rsid w:val="003345ED"/>
    <w:rsid w:val="00334612"/>
    <w:rsid w:val="00334AEF"/>
    <w:rsid w:val="00334CA3"/>
    <w:rsid w:val="00334CC6"/>
    <w:rsid w:val="00334D94"/>
    <w:rsid w:val="00334E9C"/>
    <w:rsid w:val="00335019"/>
    <w:rsid w:val="00335A12"/>
    <w:rsid w:val="00335EB0"/>
    <w:rsid w:val="0033614E"/>
    <w:rsid w:val="00336264"/>
    <w:rsid w:val="00336288"/>
    <w:rsid w:val="0033668F"/>
    <w:rsid w:val="003366C2"/>
    <w:rsid w:val="003368F8"/>
    <w:rsid w:val="00336C93"/>
    <w:rsid w:val="00337504"/>
    <w:rsid w:val="0033753A"/>
    <w:rsid w:val="00337589"/>
    <w:rsid w:val="003376A8"/>
    <w:rsid w:val="0033781E"/>
    <w:rsid w:val="003378AB"/>
    <w:rsid w:val="003379D0"/>
    <w:rsid w:val="003379FB"/>
    <w:rsid w:val="00337D3E"/>
    <w:rsid w:val="00340093"/>
    <w:rsid w:val="00340770"/>
    <w:rsid w:val="003409E4"/>
    <w:rsid w:val="00340B13"/>
    <w:rsid w:val="00340C73"/>
    <w:rsid w:val="00341468"/>
    <w:rsid w:val="003414A9"/>
    <w:rsid w:val="003417A7"/>
    <w:rsid w:val="00341991"/>
    <w:rsid w:val="003419C0"/>
    <w:rsid w:val="00342294"/>
    <w:rsid w:val="003422DC"/>
    <w:rsid w:val="00342532"/>
    <w:rsid w:val="0034292B"/>
    <w:rsid w:val="00342DC2"/>
    <w:rsid w:val="00342E3B"/>
    <w:rsid w:val="00342FE7"/>
    <w:rsid w:val="00343083"/>
    <w:rsid w:val="00343193"/>
    <w:rsid w:val="00343758"/>
    <w:rsid w:val="00343B09"/>
    <w:rsid w:val="00343C73"/>
    <w:rsid w:val="00343D1C"/>
    <w:rsid w:val="0034486A"/>
    <w:rsid w:val="00344992"/>
    <w:rsid w:val="00344A51"/>
    <w:rsid w:val="00344CDC"/>
    <w:rsid w:val="00344DEA"/>
    <w:rsid w:val="0034521F"/>
    <w:rsid w:val="003452C4"/>
    <w:rsid w:val="003452D0"/>
    <w:rsid w:val="00345481"/>
    <w:rsid w:val="00345590"/>
    <w:rsid w:val="00345658"/>
    <w:rsid w:val="00345A30"/>
    <w:rsid w:val="00345B23"/>
    <w:rsid w:val="00345B9B"/>
    <w:rsid w:val="00346020"/>
    <w:rsid w:val="003461E5"/>
    <w:rsid w:val="00346438"/>
    <w:rsid w:val="00346484"/>
    <w:rsid w:val="0034665B"/>
    <w:rsid w:val="003467E0"/>
    <w:rsid w:val="00346C15"/>
    <w:rsid w:val="00346DF7"/>
    <w:rsid w:val="00347230"/>
    <w:rsid w:val="00347373"/>
    <w:rsid w:val="003476AE"/>
    <w:rsid w:val="0034777C"/>
    <w:rsid w:val="00347896"/>
    <w:rsid w:val="00347B24"/>
    <w:rsid w:val="00347E0E"/>
    <w:rsid w:val="00347FD8"/>
    <w:rsid w:val="00350041"/>
    <w:rsid w:val="00350182"/>
    <w:rsid w:val="00350402"/>
    <w:rsid w:val="00350710"/>
    <w:rsid w:val="003507BB"/>
    <w:rsid w:val="003509D6"/>
    <w:rsid w:val="00350B8B"/>
    <w:rsid w:val="00350CE6"/>
    <w:rsid w:val="00351134"/>
    <w:rsid w:val="00351487"/>
    <w:rsid w:val="00351965"/>
    <w:rsid w:val="00351BAC"/>
    <w:rsid w:val="00352035"/>
    <w:rsid w:val="003523AC"/>
    <w:rsid w:val="0035312B"/>
    <w:rsid w:val="00353640"/>
    <w:rsid w:val="0035364D"/>
    <w:rsid w:val="00353704"/>
    <w:rsid w:val="00353878"/>
    <w:rsid w:val="00353957"/>
    <w:rsid w:val="0035426E"/>
    <w:rsid w:val="00354776"/>
    <w:rsid w:val="00354DC2"/>
    <w:rsid w:val="003551DE"/>
    <w:rsid w:val="003556AF"/>
    <w:rsid w:val="003557C8"/>
    <w:rsid w:val="00355E04"/>
    <w:rsid w:val="00356222"/>
    <w:rsid w:val="00356228"/>
    <w:rsid w:val="003564B1"/>
    <w:rsid w:val="00356665"/>
    <w:rsid w:val="003566B5"/>
    <w:rsid w:val="00356788"/>
    <w:rsid w:val="00356AF6"/>
    <w:rsid w:val="00356D23"/>
    <w:rsid w:val="00356F6D"/>
    <w:rsid w:val="00356F7E"/>
    <w:rsid w:val="00357244"/>
    <w:rsid w:val="00357387"/>
    <w:rsid w:val="00357A09"/>
    <w:rsid w:val="00360050"/>
    <w:rsid w:val="00360301"/>
    <w:rsid w:val="00360551"/>
    <w:rsid w:val="00360674"/>
    <w:rsid w:val="00360761"/>
    <w:rsid w:val="003608B9"/>
    <w:rsid w:val="00360CA4"/>
    <w:rsid w:val="00360EB9"/>
    <w:rsid w:val="00360F2E"/>
    <w:rsid w:val="00361083"/>
    <w:rsid w:val="0036120F"/>
    <w:rsid w:val="00361660"/>
    <w:rsid w:val="00361883"/>
    <w:rsid w:val="00361D26"/>
    <w:rsid w:val="00361E4A"/>
    <w:rsid w:val="00361F37"/>
    <w:rsid w:val="00362981"/>
    <w:rsid w:val="00362FF5"/>
    <w:rsid w:val="003631AA"/>
    <w:rsid w:val="00363690"/>
    <w:rsid w:val="003639FC"/>
    <w:rsid w:val="00363A2A"/>
    <w:rsid w:val="00363BEB"/>
    <w:rsid w:val="0036421F"/>
    <w:rsid w:val="00364302"/>
    <w:rsid w:val="00364362"/>
    <w:rsid w:val="00364A5B"/>
    <w:rsid w:val="00364C3E"/>
    <w:rsid w:val="00365116"/>
    <w:rsid w:val="003651BA"/>
    <w:rsid w:val="00365375"/>
    <w:rsid w:val="0036546F"/>
    <w:rsid w:val="00365608"/>
    <w:rsid w:val="00365812"/>
    <w:rsid w:val="00365885"/>
    <w:rsid w:val="003659D5"/>
    <w:rsid w:val="00365FAF"/>
    <w:rsid w:val="003660E8"/>
    <w:rsid w:val="0036628F"/>
    <w:rsid w:val="003663F2"/>
    <w:rsid w:val="003667A9"/>
    <w:rsid w:val="00366B33"/>
    <w:rsid w:val="00366E75"/>
    <w:rsid w:val="0036768D"/>
    <w:rsid w:val="003678B4"/>
    <w:rsid w:val="00367ABE"/>
    <w:rsid w:val="00367B82"/>
    <w:rsid w:val="003708A3"/>
    <w:rsid w:val="00370F33"/>
    <w:rsid w:val="00371011"/>
    <w:rsid w:val="00371286"/>
    <w:rsid w:val="00371E1D"/>
    <w:rsid w:val="0037252E"/>
    <w:rsid w:val="00372690"/>
    <w:rsid w:val="003727F6"/>
    <w:rsid w:val="00372DF1"/>
    <w:rsid w:val="00372DF9"/>
    <w:rsid w:val="00372FC3"/>
    <w:rsid w:val="00373024"/>
    <w:rsid w:val="00373350"/>
    <w:rsid w:val="00373463"/>
    <w:rsid w:val="00373526"/>
    <w:rsid w:val="003738BF"/>
    <w:rsid w:val="00373B3B"/>
    <w:rsid w:val="00373BCC"/>
    <w:rsid w:val="00373C43"/>
    <w:rsid w:val="00373C54"/>
    <w:rsid w:val="00373D24"/>
    <w:rsid w:val="0037401B"/>
    <w:rsid w:val="003740F3"/>
    <w:rsid w:val="0037415D"/>
    <w:rsid w:val="0037463F"/>
    <w:rsid w:val="003746A6"/>
    <w:rsid w:val="003746E5"/>
    <w:rsid w:val="003747B7"/>
    <w:rsid w:val="003747C5"/>
    <w:rsid w:val="00374973"/>
    <w:rsid w:val="00374D5F"/>
    <w:rsid w:val="003757CD"/>
    <w:rsid w:val="00375887"/>
    <w:rsid w:val="00375C96"/>
    <w:rsid w:val="003763A5"/>
    <w:rsid w:val="003765AE"/>
    <w:rsid w:val="003766EA"/>
    <w:rsid w:val="003768CF"/>
    <w:rsid w:val="00376998"/>
    <w:rsid w:val="003771AC"/>
    <w:rsid w:val="003779F2"/>
    <w:rsid w:val="00377AE4"/>
    <w:rsid w:val="00377D52"/>
    <w:rsid w:val="00377F3B"/>
    <w:rsid w:val="00377FD6"/>
    <w:rsid w:val="00380268"/>
    <w:rsid w:val="0038065D"/>
    <w:rsid w:val="0038067B"/>
    <w:rsid w:val="00380AB4"/>
    <w:rsid w:val="00380ADF"/>
    <w:rsid w:val="00380B3B"/>
    <w:rsid w:val="00380D9D"/>
    <w:rsid w:val="003816E8"/>
    <w:rsid w:val="00381AD3"/>
    <w:rsid w:val="00381CB8"/>
    <w:rsid w:val="00381F83"/>
    <w:rsid w:val="00382913"/>
    <w:rsid w:val="00382986"/>
    <w:rsid w:val="0038336B"/>
    <w:rsid w:val="003833B0"/>
    <w:rsid w:val="003834B5"/>
    <w:rsid w:val="003834DA"/>
    <w:rsid w:val="0038351C"/>
    <w:rsid w:val="003837D7"/>
    <w:rsid w:val="00383926"/>
    <w:rsid w:val="003839F9"/>
    <w:rsid w:val="00383D84"/>
    <w:rsid w:val="00383DB4"/>
    <w:rsid w:val="00383FB7"/>
    <w:rsid w:val="00384309"/>
    <w:rsid w:val="00384405"/>
    <w:rsid w:val="0038449B"/>
    <w:rsid w:val="0038482C"/>
    <w:rsid w:val="00384B43"/>
    <w:rsid w:val="00384BE4"/>
    <w:rsid w:val="00384D1F"/>
    <w:rsid w:val="00385706"/>
    <w:rsid w:val="00385902"/>
    <w:rsid w:val="0038652E"/>
    <w:rsid w:val="00386532"/>
    <w:rsid w:val="0038657B"/>
    <w:rsid w:val="003869C0"/>
    <w:rsid w:val="0038711F"/>
    <w:rsid w:val="00387163"/>
    <w:rsid w:val="003871C5"/>
    <w:rsid w:val="00387290"/>
    <w:rsid w:val="0038733E"/>
    <w:rsid w:val="00387406"/>
    <w:rsid w:val="00387504"/>
    <w:rsid w:val="00387B1F"/>
    <w:rsid w:val="0039020E"/>
    <w:rsid w:val="003903C0"/>
    <w:rsid w:val="003905AB"/>
    <w:rsid w:val="00390D41"/>
    <w:rsid w:val="00391032"/>
    <w:rsid w:val="003910FC"/>
    <w:rsid w:val="00391334"/>
    <w:rsid w:val="00391614"/>
    <w:rsid w:val="00391639"/>
    <w:rsid w:val="00391A40"/>
    <w:rsid w:val="00391AED"/>
    <w:rsid w:val="00391BA4"/>
    <w:rsid w:val="0039227C"/>
    <w:rsid w:val="00392CC3"/>
    <w:rsid w:val="003933ED"/>
    <w:rsid w:val="00393405"/>
    <w:rsid w:val="003935A5"/>
    <w:rsid w:val="00393609"/>
    <w:rsid w:val="00393729"/>
    <w:rsid w:val="0039384F"/>
    <w:rsid w:val="00393873"/>
    <w:rsid w:val="00393B66"/>
    <w:rsid w:val="00393E74"/>
    <w:rsid w:val="00394191"/>
    <w:rsid w:val="00394539"/>
    <w:rsid w:val="00394CE1"/>
    <w:rsid w:val="00394F05"/>
    <w:rsid w:val="00395092"/>
    <w:rsid w:val="003950D2"/>
    <w:rsid w:val="003952EE"/>
    <w:rsid w:val="00395606"/>
    <w:rsid w:val="00395635"/>
    <w:rsid w:val="003956A1"/>
    <w:rsid w:val="0039575A"/>
    <w:rsid w:val="00395AB2"/>
    <w:rsid w:val="00395B29"/>
    <w:rsid w:val="00396AEF"/>
    <w:rsid w:val="0039707B"/>
    <w:rsid w:val="00397280"/>
    <w:rsid w:val="0039757F"/>
    <w:rsid w:val="00397CFB"/>
    <w:rsid w:val="00397CFE"/>
    <w:rsid w:val="00397F05"/>
    <w:rsid w:val="003A0168"/>
    <w:rsid w:val="003A0192"/>
    <w:rsid w:val="003A0206"/>
    <w:rsid w:val="003A0517"/>
    <w:rsid w:val="003A107B"/>
    <w:rsid w:val="003A136A"/>
    <w:rsid w:val="003A1AA8"/>
    <w:rsid w:val="003A1E49"/>
    <w:rsid w:val="003A24B1"/>
    <w:rsid w:val="003A27D9"/>
    <w:rsid w:val="003A2C2F"/>
    <w:rsid w:val="003A2C78"/>
    <w:rsid w:val="003A2DAE"/>
    <w:rsid w:val="003A2DC7"/>
    <w:rsid w:val="003A2E72"/>
    <w:rsid w:val="003A308B"/>
    <w:rsid w:val="003A341E"/>
    <w:rsid w:val="003A34BC"/>
    <w:rsid w:val="003A34EE"/>
    <w:rsid w:val="003A3714"/>
    <w:rsid w:val="003A39A7"/>
    <w:rsid w:val="003A4512"/>
    <w:rsid w:val="003A48D5"/>
    <w:rsid w:val="003A4C3E"/>
    <w:rsid w:val="003A4EF2"/>
    <w:rsid w:val="003A50CF"/>
    <w:rsid w:val="003A5357"/>
    <w:rsid w:val="003A5406"/>
    <w:rsid w:val="003A5D56"/>
    <w:rsid w:val="003A5E7F"/>
    <w:rsid w:val="003A5FFA"/>
    <w:rsid w:val="003A626E"/>
    <w:rsid w:val="003A6356"/>
    <w:rsid w:val="003A651D"/>
    <w:rsid w:val="003A68CB"/>
    <w:rsid w:val="003A68E5"/>
    <w:rsid w:val="003A6FCA"/>
    <w:rsid w:val="003A790D"/>
    <w:rsid w:val="003B0031"/>
    <w:rsid w:val="003B028D"/>
    <w:rsid w:val="003B0A7C"/>
    <w:rsid w:val="003B0DDB"/>
    <w:rsid w:val="003B0FC8"/>
    <w:rsid w:val="003B1122"/>
    <w:rsid w:val="003B1904"/>
    <w:rsid w:val="003B1D6B"/>
    <w:rsid w:val="003B1E08"/>
    <w:rsid w:val="003B2131"/>
    <w:rsid w:val="003B2219"/>
    <w:rsid w:val="003B2461"/>
    <w:rsid w:val="003B269B"/>
    <w:rsid w:val="003B2855"/>
    <w:rsid w:val="003B2CC2"/>
    <w:rsid w:val="003B2E71"/>
    <w:rsid w:val="003B302D"/>
    <w:rsid w:val="003B31B7"/>
    <w:rsid w:val="003B33E9"/>
    <w:rsid w:val="003B3554"/>
    <w:rsid w:val="003B370F"/>
    <w:rsid w:val="003B3781"/>
    <w:rsid w:val="003B38E3"/>
    <w:rsid w:val="003B3AF7"/>
    <w:rsid w:val="003B3BF9"/>
    <w:rsid w:val="003B3FC3"/>
    <w:rsid w:val="003B40C3"/>
    <w:rsid w:val="003B419D"/>
    <w:rsid w:val="003B4409"/>
    <w:rsid w:val="003B45D4"/>
    <w:rsid w:val="003B45EC"/>
    <w:rsid w:val="003B4656"/>
    <w:rsid w:val="003B4949"/>
    <w:rsid w:val="003B4B30"/>
    <w:rsid w:val="003B4CD1"/>
    <w:rsid w:val="003B4F96"/>
    <w:rsid w:val="003B5B44"/>
    <w:rsid w:val="003B647E"/>
    <w:rsid w:val="003B64AF"/>
    <w:rsid w:val="003B65A0"/>
    <w:rsid w:val="003B6CFC"/>
    <w:rsid w:val="003B6D42"/>
    <w:rsid w:val="003B6DE3"/>
    <w:rsid w:val="003B6EE3"/>
    <w:rsid w:val="003B7516"/>
    <w:rsid w:val="003B75CC"/>
    <w:rsid w:val="003B7FE2"/>
    <w:rsid w:val="003C055F"/>
    <w:rsid w:val="003C05B1"/>
    <w:rsid w:val="003C062C"/>
    <w:rsid w:val="003C08B8"/>
    <w:rsid w:val="003C0907"/>
    <w:rsid w:val="003C096A"/>
    <w:rsid w:val="003C0B1B"/>
    <w:rsid w:val="003C0C20"/>
    <w:rsid w:val="003C0C82"/>
    <w:rsid w:val="003C10C5"/>
    <w:rsid w:val="003C1642"/>
    <w:rsid w:val="003C165A"/>
    <w:rsid w:val="003C1926"/>
    <w:rsid w:val="003C1A94"/>
    <w:rsid w:val="003C1B10"/>
    <w:rsid w:val="003C1C46"/>
    <w:rsid w:val="003C1DEC"/>
    <w:rsid w:val="003C2338"/>
    <w:rsid w:val="003C259D"/>
    <w:rsid w:val="003C2870"/>
    <w:rsid w:val="003C291E"/>
    <w:rsid w:val="003C2DBF"/>
    <w:rsid w:val="003C2F92"/>
    <w:rsid w:val="003C2FC0"/>
    <w:rsid w:val="003C3103"/>
    <w:rsid w:val="003C3859"/>
    <w:rsid w:val="003C3B14"/>
    <w:rsid w:val="003C3B8B"/>
    <w:rsid w:val="003C3BB0"/>
    <w:rsid w:val="003C3D83"/>
    <w:rsid w:val="003C4027"/>
    <w:rsid w:val="003C4157"/>
    <w:rsid w:val="003C43ED"/>
    <w:rsid w:val="003C4413"/>
    <w:rsid w:val="003C4C65"/>
    <w:rsid w:val="003C4E35"/>
    <w:rsid w:val="003C4EA0"/>
    <w:rsid w:val="003C4FF0"/>
    <w:rsid w:val="003C505B"/>
    <w:rsid w:val="003C5068"/>
    <w:rsid w:val="003C5196"/>
    <w:rsid w:val="003C55B7"/>
    <w:rsid w:val="003C5A6A"/>
    <w:rsid w:val="003C5FA7"/>
    <w:rsid w:val="003C617F"/>
    <w:rsid w:val="003C665E"/>
    <w:rsid w:val="003C66BF"/>
    <w:rsid w:val="003C66EC"/>
    <w:rsid w:val="003C672C"/>
    <w:rsid w:val="003C6807"/>
    <w:rsid w:val="003C6A97"/>
    <w:rsid w:val="003C6DA7"/>
    <w:rsid w:val="003C6FF3"/>
    <w:rsid w:val="003C7020"/>
    <w:rsid w:val="003C7128"/>
    <w:rsid w:val="003C723F"/>
    <w:rsid w:val="003C7283"/>
    <w:rsid w:val="003C7C83"/>
    <w:rsid w:val="003C7D29"/>
    <w:rsid w:val="003C7F9E"/>
    <w:rsid w:val="003D030A"/>
    <w:rsid w:val="003D0504"/>
    <w:rsid w:val="003D06AE"/>
    <w:rsid w:val="003D077F"/>
    <w:rsid w:val="003D0FAF"/>
    <w:rsid w:val="003D10A2"/>
    <w:rsid w:val="003D1894"/>
    <w:rsid w:val="003D19A0"/>
    <w:rsid w:val="003D2217"/>
    <w:rsid w:val="003D281F"/>
    <w:rsid w:val="003D28BB"/>
    <w:rsid w:val="003D2B49"/>
    <w:rsid w:val="003D2B8E"/>
    <w:rsid w:val="003D2B92"/>
    <w:rsid w:val="003D2CF5"/>
    <w:rsid w:val="003D2E0B"/>
    <w:rsid w:val="003D317E"/>
    <w:rsid w:val="003D31FC"/>
    <w:rsid w:val="003D3BC9"/>
    <w:rsid w:val="003D3D8E"/>
    <w:rsid w:val="003D41CD"/>
    <w:rsid w:val="003D49C8"/>
    <w:rsid w:val="003D49DA"/>
    <w:rsid w:val="003D4A43"/>
    <w:rsid w:val="003D4D3E"/>
    <w:rsid w:val="003D4F1F"/>
    <w:rsid w:val="003D4F70"/>
    <w:rsid w:val="003D51F9"/>
    <w:rsid w:val="003D570A"/>
    <w:rsid w:val="003D5862"/>
    <w:rsid w:val="003D5AD6"/>
    <w:rsid w:val="003D5F50"/>
    <w:rsid w:val="003D6125"/>
    <w:rsid w:val="003D634D"/>
    <w:rsid w:val="003D6439"/>
    <w:rsid w:val="003D650E"/>
    <w:rsid w:val="003D6A62"/>
    <w:rsid w:val="003D6EAE"/>
    <w:rsid w:val="003D72C2"/>
    <w:rsid w:val="003D7362"/>
    <w:rsid w:val="003D7A85"/>
    <w:rsid w:val="003D7C57"/>
    <w:rsid w:val="003D7F88"/>
    <w:rsid w:val="003E0747"/>
    <w:rsid w:val="003E09E1"/>
    <w:rsid w:val="003E0EB8"/>
    <w:rsid w:val="003E17F4"/>
    <w:rsid w:val="003E1D37"/>
    <w:rsid w:val="003E1DD6"/>
    <w:rsid w:val="003E2129"/>
    <w:rsid w:val="003E21F4"/>
    <w:rsid w:val="003E2409"/>
    <w:rsid w:val="003E2B27"/>
    <w:rsid w:val="003E2E3B"/>
    <w:rsid w:val="003E3443"/>
    <w:rsid w:val="003E34B5"/>
    <w:rsid w:val="003E35A2"/>
    <w:rsid w:val="003E362F"/>
    <w:rsid w:val="003E394B"/>
    <w:rsid w:val="003E3A42"/>
    <w:rsid w:val="003E3D78"/>
    <w:rsid w:val="003E4034"/>
    <w:rsid w:val="003E404D"/>
    <w:rsid w:val="003E40BB"/>
    <w:rsid w:val="003E4222"/>
    <w:rsid w:val="003E434E"/>
    <w:rsid w:val="003E4431"/>
    <w:rsid w:val="003E4F40"/>
    <w:rsid w:val="003E4F9A"/>
    <w:rsid w:val="003E51EF"/>
    <w:rsid w:val="003E5236"/>
    <w:rsid w:val="003E5277"/>
    <w:rsid w:val="003E530C"/>
    <w:rsid w:val="003E60B7"/>
    <w:rsid w:val="003E6136"/>
    <w:rsid w:val="003E6276"/>
    <w:rsid w:val="003E646F"/>
    <w:rsid w:val="003E64AF"/>
    <w:rsid w:val="003E66F1"/>
    <w:rsid w:val="003E69C3"/>
    <w:rsid w:val="003E6B44"/>
    <w:rsid w:val="003E6BA4"/>
    <w:rsid w:val="003E6C3C"/>
    <w:rsid w:val="003E6D83"/>
    <w:rsid w:val="003E7205"/>
    <w:rsid w:val="003E757D"/>
    <w:rsid w:val="003E7730"/>
    <w:rsid w:val="003E788A"/>
    <w:rsid w:val="003E7D8B"/>
    <w:rsid w:val="003E7E00"/>
    <w:rsid w:val="003E7E2F"/>
    <w:rsid w:val="003F0021"/>
    <w:rsid w:val="003F047A"/>
    <w:rsid w:val="003F050A"/>
    <w:rsid w:val="003F0518"/>
    <w:rsid w:val="003F0733"/>
    <w:rsid w:val="003F07C1"/>
    <w:rsid w:val="003F0868"/>
    <w:rsid w:val="003F0B96"/>
    <w:rsid w:val="003F0DED"/>
    <w:rsid w:val="003F0E35"/>
    <w:rsid w:val="003F0E8D"/>
    <w:rsid w:val="003F0E97"/>
    <w:rsid w:val="003F0F42"/>
    <w:rsid w:val="003F129B"/>
    <w:rsid w:val="003F19A0"/>
    <w:rsid w:val="003F1B02"/>
    <w:rsid w:val="003F1CFE"/>
    <w:rsid w:val="003F1E85"/>
    <w:rsid w:val="003F1F35"/>
    <w:rsid w:val="003F2099"/>
    <w:rsid w:val="003F23FC"/>
    <w:rsid w:val="003F269A"/>
    <w:rsid w:val="003F2754"/>
    <w:rsid w:val="003F2944"/>
    <w:rsid w:val="003F2B5A"/>
    <w:rsid w:val="003F308C"/>
    <w:rsid w:val="003F34D0"/>
    <w:rsid w:val="003F36E4"/>
    <w:rsid w:val="003F3B90"/>
    <w:rsid w:val="003F3BC6"/>
    <w:rsid w:val="003F3C4F"/>
    <w:rsid w:val="003F4176"/>
    <w:rsid w:val="003F4B61"/>
    <w:rsid w:val="003F51FD"/>
    <w:rsid w:val="003F5FD2"/>
    <w:rsid w:val="003F6182"/>
    <w:rsid w:val="003F61C6"/>
    <w:rsid w:val="003F622E"/>
    <w:rsid w:val="003F62EF"/>
    <w:rsid w:val="003F6885"/>
    <w:rsid w:val="003F6CC4"/>
    <w:rsid w:val="003F6FBD"/>
    <w:rsid w:val="003F6FD7"/>
    <w:rsid w:val="003F70C8"/>
    <w:rsid w:val="003F7369"/>
    <w:rsid w:val="003F77FC"/>
    <w:rsid w:val="003F7A00"/>
    <w:rsid w:val="003F7EF0"/>
    <w:rsid w:val="0040007C"/>
    <w:rsid w:val="004000EC"/>
    <w:rsid w:val="00400756"/>
    <w:rsid w:val="00400E98"/>
    <w:rsid w:val="00400FEA"/>
    <w:rsid w:val="004010AA"/>
    <w:rsid w:val="0040114F"/>
    <w:rsid w:val="00401402"/>
    <w:rsid w:val="004017EF"/>
    <w:rsid w:val="00401921"/>
    <w:rsid w:val="004019BD"/>
    <w:rsid w:val="00401AE1"/>
    <w:rsid w:val="00401C60"/>
    <w:rsid w:val="00401F87"/>
    <w:rsid w:val="00402529"/>
    <w:rsid w:val="0040255B"/>
    <w:rsid w:val="004026C1"/>
    <w:rsid w:val="00402BDC"/>
    <w:rsid w:val="00402C3C"/>
    <w:rsid w:val="00403220"/>
    <w:rsid w:val="004035FB"/>
    <w:rsid w:val="004047F2"/>
    <w:rsid w:val="0040482A"/>
    <w:rsid w:val="00404B83"/>
    <w:rsid w:val="00404C70"/>
    <w:rsid w:val="004050DF"/>
    <w:rsid w:val="004051FE"/>
    <w:rsid w:val="0040527A"/>
    <w:rsid w:val="0040560D"/>
    <w:rsid w:val="0040560F"/>
    <w:rsid w:val="004056A3"/>
    <w:rsid w:val="00405B12"/>
    <w:rsid w:val="00405F98"/>
    <w:rsid w:val="004062D8"/>
    <w:rsid w:val="00406556"/>
    <w:rsid w:val="00406953"/>
    <w:rsid w:val="00406A30"/>
    <w:rsid w:val="00406CE4"/>
    <w:rsid w:val="004072B6"/>
    <w:rsid w:val="00407418"/>
    <w:rsid w:val="00407571"/>
    <w:rsid w:val="0040780A"/>
    <w:rsid w:val="00407871"/>
    <w:rsid w:val="0040795D"/>
    <w:rsid w:val="00407DF0"/>
    <w:rsid w:val="00410501"/>
    <w:rsid w:val="00410A73"/>
    <w:rsid w:val="00410D79"/>
    <w:rsid w:val="00410F1E"/>
    <w:rsid w:val="00410FEA"/>
    <w:rsid w:val="0041120C"/>
    <w:rsid w:val="00411893"/>
    <w:rsid w:val="004118BF"/>
    <w:rsid w:val="00411CB6"/>
    <w:rsid w:val="00411DDC"/>
    <w:rsid w:val="00411E0A"/>
    <w:rsid w:val="00411FFC"/>
    <w:rsid w:val="00412820"/>
    <w:rsid w:val="004133DD"/>
    <w:rsid w:val="00413448"/>
    <w:rsid w:val="004135DA"/>
    <w:rsid w:val="00413AAF"/>
    <w:rsid w:val="00413B54"/>
    <w:rsid w:val="00413D0C"/>
    <w:rsid w:val="00413DA1"/>
    <w:rsid w:val="00413F38"/>
    <w:rsid w:val="0041411C"/>
    <w:rsid w:val="00414225"/>
    <w:rsid w:val="00414351"/>
    <w:rsid w:val="004144F7"/>
    <w:rsid w:val="00414640"/>
    <w:rsid w:val="004146DF"/>
    <w:rsid w:val="0041491D"/>
    <w:rsid w:val="004149F7"/>
    <w:rsid w:val="00414A9D"/>
    <w:rsid w:val="00414BB6"/>
    <w:rsid w:val="004152F8"/>
    <w:rsid w:val="00415BBF"/>
    <w:rsid w:val="00416226"/>
    <w:rsid w:val="00416271"/>
    <w:rsid w:val="004162E9"/>
    <w:rsid w:val="004163A9"/>
    <w:rsid w:val="004176B7"/>
    <w:rsid w:val="00417A24"/>
    <w:rsid w:val="00417A3D"/>
    <w:rsid w:val="00417BC0"/>
    <w:rsid w:val="00417D65"/>
    <w:rsid w:val="00420261"/>
    <w:rsid w:val="004204CB"/>
    <w:rsid w:val="0042082C"/>
    <w:rsid w:val="00420843"/>
    <w:rsid w:val="00420970"/>
    <w:rsid w:val="00420A1C"/>
    <w:rsid w:val="00420A6C"/>
    <w:rsid w:val="00420ABB"/>
    <w:rsid w:val="00420B79"/>
    <w:rsid w:val="00420E70"/>
    <w:rsid w:val="00420E99"/>
    <w:rsid w:val="00421211"/>
    <w:rsid w:val="004216BF"/>
    <w:rsid w:val="004216C6"/>
    <w:rsid w:val="00421870"/>
    <w:rsid w:val="00421B9D"/>
    <w:rsid w:val="00421ED3"/>
    <w:rsid w:val="00421F67"/>
    <w:rsid w:val="00422137"/>
    <w:rsid w:val="00422546"/>
    <w:rsid w:val="00422588"/>
    <w:rsid w:val="004225E6"/>
    <w:rsid w:val="00422679"/>
    <w:rsid w:val="004228BD"/>
    <w:rsid w:val="00422D8C"/>
    <w:rsid w:val="00422F34"/>
    <w:rsid w:val="00422FFC"/>
    <w:rsid w:val="004233E9"/>
    <w:rsid w:val="00423EBB"/>
    <w:rsid w:val="0042449C"/>
    <w:rsid w:val="004244B4"/>
    <w:rsid w:val="004246D9"/>
    <w:rsid w:val="0042576B"/>
    <w:rsid w:val="00425D58"/>
    <w:rsid w:val="00425E09"/>
    <w:rsid w:val="004261A2"/>
    <w:rsid w:val="004261D1"/>
    <w:rsid w:val="004265A3"/>
    <w:rsid w:val="00426871"/>
    <w:rsid w:val="0042695E"/>
    <w:rsid w:val="004269FA"/>
    <w:rsid w:val="00426EE2"/>
    <w:rsid w:val="00426FAE"/>
    <w:rsid w:val="00427157"/>
    <w:rsid w:val="00427231"/>
    <w:rsid w:val="004278FC"/>
    <w:rsid w:val="00427912"/>
    <w:rsid w:val="00427A6A"/>
    <w:rsid w:val="00427A7C"/>
    <w:rsid w:val="0043009C"/>
    <w:rsid w:val="00430343"/>
    <w:rsid w:val="004306B3"/>
    <w:rsid w:val="00430AC2"/>
    <w:rsid w:val="00430AC9"/>
    <w:rsid w:val="00430BA1"/>
    <w:rsid w:val="00430D90"/>
    <w:rsid w:val="00430DB8"/>
    <w:rsid w:val="00431007"/>
    <w:rsid w:val="00431282"/>
    <w:rsid w:val="00431336"/>
    <w:rsid w:val="004313CB"/>
    <w:rsid w:val="004313E7"/>
    <w:rsid w:val="00431AC3"/>
    <w:rsid w:val="00431F55"/>
    <w:rsid w:val="00431F71"/>
    <w:rsid w:val="00432480"/>
    <w:rsid w:val="00432513"/>
    <w:rsid w:val="0043267B"/>
    <w:rsid w:val="0043268C"/>
    <w:rsid w:val="0043299E"/>
    <w:rsid w:val="00432E1C"/>
    <w:rsid w:val="0043316F"/>
    <w:rsid w:val="004334D3"/>
    <w:rsid w:val="004334E1"/>
    <w:rsid w:val="0043350F"/>
    <w:rsid w:val="004335EF"/>
    <w:rsid w:val="00433722"/>
    <w:rsid w:val="00433884"/>
    <w:rsid w:val="00433E15"/>
    <w:rsid w:val="00433FCC"/>
    <w:rsid w:val="00433FF4"/>
    <w:rsid w:val="00434098"/>
    <w:rsid w:val="00434D32"/>
    <w:rsid w:val="00434EA1"/>
    <w:rsid w:val="00435338"/>
    <w:rsid w:val="0043543B"/>
    <w:rsid w:val="00435654"/>
    <w:rsid w:val="00435675"/>
    <w:rsid w:val="00435842"/>
    <w:rsid w:val="00435AA8"/>
    <w:rsid w:val="00435C10"/>
    <w:rsid w:val="004364D1"/>
    <w:rsid w:val="00436A38"/>
    <w:rsid w:val="00436DB2"/>
    <w:rsid w:val="004370C8"/>
    <w:rsid w:val="004370E7"/>
    <w:rsid w:val="0043747E"/>
    <w:rsid w:val="00437483"/>
    <w:rsid w:val="00437D6E"/>
    <w:rsid w:val="0043A70B"/>
    <w:rsid w:val="00440462"/>
    <w:rsid w:val="00440554"/>
    <w:rsid w:val="004405D5"/>
    <w:rsid w:val="004409F2"/>
    <w:rsid w:val="00440B5D"/>
    <w:rsid w:val="00440D3F"/>
    <w:rsid w:val="00440E00"/>
    <w:rsid w:val="00440FC6"/>
    <w:rsid w:val="00441061"/>
    <w:rsid w:val="004410BE"/>
    <w:rsid w:val="0044147D"/>
    <w:rsid w:val="00441A5B"/>
    <w:rsid w:val="00441ADE"/>
    <w:rsid w:val="00442754"/>
    <w:rsid w:val="00442782"/>
    <w:rsid w:val="00442859"/>
    <w:rsid w:val="00442908"/>
    <w:rsid w:val="00442ABD"/>
    <w:rsid w:val="00442B1E"/>
    <w:rsid w:val="00442B41"/>
    <w:rsid w:val="00442C43"/>
    <w:rsid w:val="00442D4D"/>
    <w:rsid w:val="00442E33"/>
    <w:rsid w:val="0044318E"/>
    <w:rsid w:val="004432CA"/>
    <w:rsid w:val="004432F8"/>
    <w:rsid w:val="004433F1"/>
    <w:rsid w:val="00443741"/>
    <w:rsid w:val="00443A87"/>
    <w:rsid w:val="00443ACE"/>
    <w:rsid w:val="00443AD1"/>
    <w:rsid w:val="00443BE6"/>
    <w:rsid w:val="00443F91"/>
    <w:rsid w:val="00444114"/>
    <w:rsid w:val="004444ED"/>
    <w:rsid w:val="00444602"/>
    <w:rsid w:val="00444885"/>
    <w:rsid w:val="00444D32"/>
    <w:rsid w:val="00444D80"/>
    <w:rsid w:val="004450D9"/>
    <w:rsid w:val="004451C4"/>
    <w:rsid w:val="0044572B"/>
    <w:rsid w:val="004459EF"/>
    <w:rsid w:val="00445D88"/>
    <w:rsid w:val="00445DD1"/>
    <w:rsid w:val="00445E7F"/>
    <w:rsid w:val="00446051"/>
    <w:rsid w:val="00446130"/>
    <w:rsid w:val="00446BCD"/>
    <w:rsid w:val="00446D9A"/>
    <w:rsid w:val="00446DC3"/>
    <w:rsid w:val="004471D4"/>
    <w:rsid w:val="004471F5"/>
    <w:rsid w:val="00447345"/>
    <w:rsid w:val="004474BE"/>
    <w:rsid w:val="004476BE"/>
    <w:rsid w:val="004477AA"/>
    <w:rsid w:val="00447846"/>
    <w:rsid w:val="00447AA6"/>
    <w:rsid w:val="00447C16"/>
    <w:rsid w:val="00447EAB"/>
    <w:rsid w:val="00447F5E"/>
    <w:rsid w:val="00450717"/>
    <w:rsid w:val="00450860"/>
    <w:rsid w:val="00450869"/>
    <w:rsid w:val="00450999"/>
    <w:rsid w:val="00450ACC"/>
    <w:rsid w:val="00451055"/>
    <w:rsid w:val="004510BC"/>
    <w:rsid w:val="00451331"/>
    <w:rsid w:val="004514A1"/>
    <w:rsid w:val="004515CF"/>
    <w:rsid w:val="00451766"/>
    <w:rsid w:val="004518B6"/>
    <w:rsid w:val="00451919"/>
    <w:rsid w:val="00451938"/>
    <w:rsid w:val="0045198F"/>
    <w:rsid w:val="00451E3D"/>
    <w:rsid w:val="00451F3B"/>
    <w:rsid w:val="00451FE2"/>
    <w:rsid w:val="0045206F"/>
    <w:rsid w:val="004520DC"/>
    <w:rsid w:val="004521DE"/>
    <w:rsid w:val="004521E7"/>
    <w:rsid w:val="00452649"/>
    <w:rsid w:val="00452828"/>
    <w:rsid w:val="00452A30"/>
    <w:rsid w:val="00452A83"/>
    <w:rsid w:val="00452A91"/>
    <w:rsid w:val="00452ACE"/>
    <w:rsid w:val="00452C46"/>
    <w:rsid w:val="00452E82"/>
    <w:rsid w:val="0045313C"/>
    <w:rsid w:val="004534B2"/>
    <w:rsid w:val="00453574"/>
    <w:rsid w:val="00453599"/>
    <w:rsid w:val="0045361F"/>
    <w:rsid w:val="0045380C"/>
    <w:rsid w:val="00453A32"/>
    <w:rsid w:val="00454237"/>
    <w:rsid w:val="0045488C"/>
    <w:rsid w:val="00454D97"/>
    <w:rsid w:val="00454EFE"/>
    <w:rsid w:val="00455116"/>
    <w:rsid w:val="004559A2"/>
    <w:rsid w:val="00455B4E"/>
    <w:rsid w:val="00455C1C"/>
    <w:rsid w:val="00455E59"/>
    <w:rsid w:val="004564C8"/>
    <w:rsid w:val="004565A1"/>
    <w:rsid w:val="00456A73"/>
    <w:rsid w:val="00456A98"/>
    <w:rsid w:val="00456B9F"/>
    <w:rsid w:val="00456C1D"/>
    <w:rsid w:val="00456C68"/>
    <w:rsid w:val="004570AD"/>
    <w:rsid w:val="00457141"/>
    <w:rsid w:val="00457265"/>
    <w:rsid w:val="00457465"/>
    <w:rsid w:val="004576BB"/>
    <w:rsid w:val="004576DC"/>
    <w:rsid w:val="00457A07"/>
    <w:rsid w:val="0046014F"/>
    <w:rsid w:val="004606C4"/>
    <w:rsid w:val="004606DD"/>
    <w:rsid w:val="0046088E"/>
    <w:rsid w:val="00460965"/>
    <w:rsid w:val="00460A02"/>
    <w:rsid w:val="00460A07"/>
    <w:rsid w:val="00460A76"/>
    <w:rsid w:val="00460BBC"/>
    <w:rsid w:val="00460E8A"/>
    <w:rsid w:val="00460F71"/>
    <w:rsid w:val="004610E7"/>
    <w:rsid w:val="0046117C"/>
    <w:rsid w:val="004616BF"/>
    <w:rsid w:val="004617FB"/>
    <w:rsid w:val="004619C3"/>
    <w:rsid w:val="00461E67"/>
    <w:rsid w:val="00462682"/>
    <w:rsid w:val="00462927"/>
    <w:rsid w:val="00462BFD"/>
    <w:rsid w:val="004632DC"/>
    <w:rsid w:val="00463734"/>
    <w:rsid w:val="00463799"/>
    <w:rsid w:val="004639B0"/>
    <w:rsid w:val="00463E18"/>
    <w:rsid w:val="00463F40"/>
    <w:rsid w:val="00464066"/>
    <w:rsid w:val="00464348"/>
    <w:rsid w:val="00464362"/>
    <w:rsid w:val="004648B0"/>
    <w:rsid w:val="00464BD0"/>
    <w:rsid w:val="00464C99"/>
    <w:rsid w:val="00464FC7"/>
    <w:rsid w:val="00465007"/>
    <w:rsid w:val="004650DD"/>
    <w:rsid w:val="004654E7"/>
    <w:rsid w:val="004658C3"/>
    <w:rsid w:val="00465FED"/>
    <w:rsid w:val="0046610C"/>
    <w:rsid w:val="0046687E"/>
    <w:rsid w:val="00466FFF"/>
    <w:rsid w:val="0046734C"/>
    <w:rsid w:val="004677E6"/>
    <w:rsid w:val="00467A4C"/>
    <w:rsid w:val="00467B2A"/>
    <w:rsid w:val="00467CEF"/>
    <w:rsid w:val="00470195"/>
    <w:rsid w:val="00470847"/>
    <w:rsid w:val="00470954"/>
    <w:rsid w:val="00470D05"/>
    <w:rsid w:val="00470E00"/>
    <w:rsid w:val="00471201"/>
    <w:rsid w:val="004715B7"/>
    <w:rsid w:val="004716A3"/>
    <w:rsid w:val="004716D8"/>
    <w:rsid w:val="00471715"/>
    <w:rsid w:val="00471980"/>
    <w:rsid w:val="004719F5"/>
    <w:rsid w:val="00471BD2"/>
    <w:rsid w:val="00471D19"/>
    <w:rsid w:val="004720F7"/>
    <w:rsid w:val="0047213A"/>
    <w:rsid w:val="004723B7"/>
    <w:rsid w:val="00472634"/>
    <w:rsid w:val="00472650"/>
    <w:rsid w:val="0047266C"/>
    <w:rsid w:val="004727F7"/>
    <w:rsid w:val="00472805"/>
    <w:rsid w:val="00472839"/>
    <w:rsid w:val="0047285C"/>
    <w:rsid w:val="00472952"/>
    <w:rsid w:val="00472DB0"/>
    <w:rsid w:val="00472FCD"/>
    <w:rsid w:val="00473324"/>
    <w:rsid w:val="00473343"/>
    <w:rsid w:val="00473789"/>
    <w:rsid w:val="00473861"/>
    <w:rsid w:val="00473BF7"/>
    <w:rsid w:val="00473D3D"/>
    <w:rsid w:val="00473EF8"/>
    <w:rsid w:val="00473F2E"/>
    <w:rsid w:val="00474221"/>
    <w:rsid w:val="004744B8"/>
    <w:rsid w:val="00474651"/>
    <w:rsid w:val="00474716"/>
    <w:rsid w:val="00475026"/>
    <w:rsid w:val="00475321"/>
    <w:rsid w:val="00475B11"/>
    <w:rsid w:val="00475D67"/>
    <w:rsid w:val="0047602E"/>
    <w:rsid w:val="004763AB"/>
    <w:rsid w:val="004764BD"/>
    <w:rsid w:val="004766FA"/>
    <w:rsid w:val="00476C7C"/>
    <w:rsid w:val="00476D1C"/>
    <w:rsid w:val="00476EED"/>
    <w:rsid w:val="004770DD"/>
    <w:rsid w:val="0047722F"/>
    <w:rsid w:val="00477BC3"/>
    <w:rsid w:val="00477FE2"/>
    <w:rsid w:val="0048012E"/>
    <w:rsid w:val="0048038A"/>
    <w:rsid w:val="00480430"/>
    <w:rsid w:val="00480788"/>
    <w:rsid w:val="00480B51"/>
    <w:rsid w:val="00480BC2"/>
    <w:rsid w:val="00481322"/>
    <w:rsid w:val="00481972"/>
    <w:rsid w:val="00481ABB"/>
    <w:rsid w:val="00481C5D"/>
    <w:rsid w:val="00481CCA"/>
    <w:rsid w:val="00481CEB"/>
    <w:rsid w:val="004820B0"/>
    <w:rsid w:val="00482395"/>
    <w:rsid w:val="004825E6"/>
    <w:rsid w:val="0048283B"/>
    <w:rsid w:val="004829C5"/>
    <w:rsid w:val="00482A54"/>
    <w:rsid w:val="00482CE2"/>
    <w:rsid w:val="00483043"/>
    <w:rsid w:val="0048309D"/>
    <w:rsid w:val="0048351D"/>
    <w:rsid w:val="00483825"/>
    <w:rsid w:val="00483832"/>
    <w:rsid w:val="004838FC"/>
    <w:rsid w:val="00483A17"/>
    <w:rsid w:val="00483A8D"/>
    <w:rsid w:val="00484049"/>
    <w:rsid w:val="0048414B"/>
    <w:rsid w:val="00484504"/>
    <w:rsid w:val="0048456C"/>
    <w:rsid w:val="00484697"/>
    <w:rsid w:val="0048494F"/>
    <w:rsid w:val="00484A5F"/>
    <w:rsid w:val="00485020"/>
    <w:rsid w:val="00485086"/>
    <w:rsid w:val="004854FC"/>
    <w:rsid w:val="0048570A"/>
    <w:rsid w:val="004857D1"/>
    <w:rsid w:val="00485903"/>
    <w:rsid w:val="004859D3"/>
    <w:rsid w:val="00485A26"/>
    <w:rsid w:val="00485C45"/>
    <w:rsid w:val="00485DC3"/>
    <w:rsid w:val="00485E92"/>
    <w:rsid w:val="00485EB5"/>
    <w:rsid w:val="00486408"/>
    <w:rsid w:val="00486477"/>
    <w:rsid w:val="004868E1"/>
    <w:rsid w:val="00486B7D"/>
    <w:rsid w:val="00486FFD"/>
    <w:rsid w:val="004870BB"/>
    <w:rsid w:val="00487462"/>
    <w:rsid w:val="00487494"/>
    <w:rsid w:val="004876EF"/>
    <w:rsid w:val="004877D4"/>
    <w:rsid w:val="004878EC"/>
    <w:rsid w:val="00487A4F"/>
    <w:rsid w:val="00487DEB"/>
    <w:rsid w:val="00487F1E"/>
    <w:rsid w:val="00490350"/>
    <w:rsid w:val="004903C4"/>
    <w:rsid w:val="004903E4"/>
    <w:rsid w:val="004904B8"/>
    <w:rsid w:val="004906F0"/>
    <w:rsid w:val="0049073B"/>
    <w:rsid w:val="0049096F"/>
    <w:rsid w:val="004909E4"/>
    <w:rsid w:val="00490B16"/>
    <w:rsid w:val="00490C06"/>
    <w:rsid w:val="00490DC3"/>
    <w:rsid w:val="0049117E"/>
    <w:rsid w:val="004914DE"/>
    <w:rsid w:val="00491CF4"/>
    <w:rsid w:val="00491F10"/>
    <w:rsid w:val="00491F90"/>
    <w:rsid w:val="00492370"/>
    <w:rsid w:val="0049237D"/>
    <w:rsid w:val="00492490"/>
    <w:rsid w:val="00492582"/>
    <w:rsid w:val="00492645"/>
    <w:rsid w:val="004926FB"/>
    <w:rsid w:val="00492F4D"/>
    <w:rsid w:val="00492F53"/>
    <w:rsid w:val="00493262"/>
    <w:rsid w:val="00493350"/>
    <w:rsid w:val="004933D0"/>
    <w:rsid w:val="004935AB"/>
    <w:rsid w:val="00493604"/>
    <w:rsid w:val="00493627"/>
    <w:rsid w:val="00493673"/>
    <w:rsid w:val="00493F5B"/>
    <w:rsid w:val="004940A7"/>
    <w:rsid w:val="004945A7"/>
    <w:rsid w:val="0049462A"/>
    <w:rsid w:val="00494A06"/>
    <w:rsid w:val="00494D12"/>
    <w:rsid w:val="00494F0E"/>
    <w:rsid w:val="00495050"/>
    <w:rsid w:val="004951F0"/>
    <w:rsid w:val="00495291"/>
    <w:rsid w:val="004955B1"/>
    <w:rsid w:val="004959E8"/>
    <w:rsid w:val="00495ADD"/>
    <w:rsid w:val="00495B01"/>
    <w:rsid w:val="00495DA6"/>
    <w:rsid w:val="00495E42"/>
    <w:rsid w:val="00496396"/>
    <w:rsid w:val="0049645C"/>
    <w:rsid w:val="004967FF"/>
    <w:rsid w:val="00496932"/>
    <w:rsid w:val="00496983"/>
    <w:rsid w:val="00496C8D"/>
    <w:rsid w:val="00496CD2"/>
    <w:rsid w:val="00497551"/>
    <w:rsid w:val="00497856"/>
    <w:rsid w:val="0049793F"/>
    <w:rsid w:val="00497BC8"/>
    <w:rsid w:val="004A0714"/>
    <w:rsid w:val="004A08BA"/>
    <w:rsid w:val="004A0B88"/>
    <w:rsid w:val="004A0BBF"/>
    <w:rsid w:val="004A0DA5"/>
    <w:rsid w:val="004A0F2B"/>
    <w:rsid w:val="004A1148"/>
    <w:rsid w:val="004A11EF"/>
    <w:rsid w:val="004A1444"/>
    <w:rsid w:val="004A164B"/>
    <w:rsid w:val="004A1D68"/>
    <w:rsid w:val="004A1EAB"/>
    <w:rsid w:val="004A2026"/>
    <w:rsid w:val="004A212C"/>
    <w:rsid w:val="004A258E"/>
    <w:rsid w:val="004A25AC"/>
    <w:rsid w:val="004A265E"/>
    <w:rsid w:val="004A2797"/>
    <w:rsid w:val="004A280E"/>
    <w:rsid w:val="004A2A80"/>
    <w:rsid w:val="004A2B87"/>
    <w:rsid w:val="004A2C3D"/>
    <w:rsid w:val="004A2EF1"/>
    <w:rsid w:val="004A3185"/>
    <w:rsid w:val="004A330E"/>
    <w:rsid w:val="004A353F"/>
    <w:rsid w:val="004A358B"/>
    <w:rsid w:val="004A362E"/>
    <w:rsid w:val="004A391E"/>
    <w:rsid w:val="004A3A5A"/>
    <w:rsid w:val="004A3EE8"/>
    <w:rsid w:val="004A404B"/>
    <w:rsid w:val="004A4230"/>
    <w:rsid w:val="004A44D2"/>
    <w:rsid w:val="004A4B89"/>
    <w:rsid w:val="004A4BD7"/>
    <w:rsid w:val="004A4E98"/>
    <w:rsid w:val="004A4EB9"/>
    <w:rsid w:val="004A5566"/>
    <w:rsid w:val="004A5708"/>
    <w:rsid w:val="004A60A6"/>
    <w:rsid w:val="004A657A"/>
    <w:rsid w:val="004A65AE"/>
    <w:rsid w:val="004A6794"/>
    <w:rsid w:val="004A693B"/>
    <w:rsid w:val="004A6ADD"/>
    <w:rsid w:val="004A6D0A"/>
    <w:rsid w:val="004A701C"/>
    <w:rsid w:val="004A72AE"/>
    <w:rsid w:val="004A7838"/>
    <w:rsid w:val="004A7854"/>
    <w:rsid w:val="004B00F4"/>
    <w:rsid w:val="004B0230"/>
    <w:rsid w:val="004B03B8"/>
    <w:rsid w:val="004B05E5"/>
    <w:rsid w:val="004B067F"/>
    <w:rsid w:val="004B0778"/>
    <w:rsid w:val="004B085B"/>
    <w:rsid w:val="004B0A76"/>
    <w:rsid w:val="004B10F9"/>
    <w:rsid w:val="004B1325"/>
    <w:rsid w:val="004B15EC"/>
    <w:rsid w:val="004B173D"/>
    <w:rsid w:val="004B1ACE"/>
    <w:rsid w:val="004B1D49"/>
    <w:rsid w:val="004B1F5F"/>
    <w:rsid w:val="004B1F7A"/>
    <w:rsid w:val="004B1FC8"/>
    <w:rsid w:val="004B2090"/>
    <w:rsid w:val="004B28A7"/>
    <w:rsid w:val="004B2E41"/>
    <w:rsid w:val="004B2F0B"/>
    <w:rsid w:val="004B330D"/>
    <w:rsid w:val="004B33BB"/>
    <w:rsid w:val="004B357F"/>
    <w:rsid w:val="004B3A85"/>
    <w:rsid w:val="004B4018"/>
    <w:rsid w:val="004B4576"/>
    <w:rsid w:val="004B4662"/>
    <w:rsid w:val="004B47CB"/>
    <w:rsid w:val="004B4908"/>
    <w:rsid w:val="004B4B02"/>
    <w:rsid w:val="004B4D3A"/>
    <w:rsid w:val="004B534F"/>
    <w:rsid w:val="004B54EF"/>
    <w:rsid w:val="004B5792"/>
    <w:rsid w:val="004B632A"/>
    <w:rsid w:val="004B643E"/>
    <w:rsid w:val="004B6445"/>
    <w:rsid w:val="004B6582"/>
    <w:rsid w:val="004B688D"/>
    <w:rsid w:val="004B68D1"/>
    <w:rsid w:val="004B6D8B"/>
    <w:rsid w:val="004B7032"/>
    <w:rsid w:val="004B7625"/>
    <w:rsid w:val="004B7646"/>
    <w:rsid w:val="004B77C6"/>
    <w:rsid w:val="004B7F10"/>
    <w:rsid w:val="004C0095"/>
    <w:rsid w:val="004C00AA"/>
    <w:rsid w:val="004C0EC4"/>
    <w:rsid w:val="004C1059"/>
    <w:rsid w:val="004C117D"/>
    <w:rsid w:val="004C124B"/>
    <w:rsid w:val="004C127D"/>
    <w:rsid w:val="004C13E5"/>
    <w:rsid w:val="004C1490"/>
    <w:rsid w:val="004C14C3"/>
    <w:rsid w:val="004C1807"/>
    <w:rsid w:val="004C18B8"/>
    <w:rsid w:val="004C1C91"/>
    <w:rsid w:val="004C1D23"/>
    <w:rsid w:val="004C1DEB"/>
    <w:rsid w:val="004C2680"/>
    <w:rsid w:val="004C28CA"/>
    <w:rsid w:val="004C3451"/>
    <w:rsid w:val="004C36BD"/>
    <w:rsid w:val="004C36FE"/>
    <w:rsid w:val="004C37C6"/>
    <w:rsid w:val="004C3AD2"/>
    <w:rsid w:val="004C3B39"/>
    <w:rsid w:val="004C3D8A"/>
    <w:rsid w:val="004C3DF5"/>
    <w:rsid w:val="004C3EBE"/>
    <w:rsid w:val="004C4229"/>
    <w:rsid w:val="004C44E3"/>
    <w:rsid w:val="004C513D"/>
    <w:rsid w:val="004C5309"/>
    <w:rsid w:val="004C551B"/>
    <w:rsid w:val="004C572A"/>
    <w:rsid w:val="004C5797"/>
    <w:rsid w:val="004C5A52"/>
    <w:rsid w:val="004C6113"/>
    <w:rsid w:val="004C6291"/>
    <w:rsid w:val="004C681D"/>
    <w:rsid w:val="004C696A"/>
    <w:rsid w:val="004C6AAF"/>
    <w:rsid w:val="004C6AEA"/>
    <w:rsid w:val="004C6AFD"/>
    <w:rsid w:val="004C7463"/>
    <w:rsid w:val="004C781E"/>
    <w:rsid w:val="004C7C4D"/>
    <w:rsid w:val="004C7E08"/>
    <w:rsid w:val="004C7E61"/>
    <w:rsid w:val="004C7EC1"/>
    <w:rsid w:val="004D0025"/>
    <w:rsid w:val="004D0074"/>
    <w:rsid w:val="004D01E1"/>
    <w:rsid w:val="004D05CB"/>
    <w:rsid w:val="004D11A9"/>
    <w:rsid w:val="004D145C"/>
    <w:rsid w:val="004D165F"/>
    <w:rsid w:val="004D1CE7"/>
    <w:rsid w:val="004D1D1D"/>
    <w:rsid w:val="004D1FAE"/>
    <w:rsid w:val="004D2126"/>
    <w:rsid w:val="004D21D8"/>
    <w:rsid w:val="004D2B49"/>
    <w:rsid w:val="004D2D03"/>
    <w:rsid w:val="004D2E6A"/>
    <w:rsid w:val="004D326E"/>
    <w:rsid w:val="004D3324"/>
    <w:rsid w:val="004D33F3"/>
    <w:rsid w:val="004D3A77"/>
    <w:rsid w:val="004D3F6E"/>
    <w:rsid w:val="004D449B"/>
    <w:rsid w:val="004D4516"/>
    <w:rsid w:val="004D477C"/>
    <w:rsid w:val="004D4853"/>
    <w:rsid w:val="004D4FC8"/>
    <w:rsid w:val="004D55CD"/>
    <w:rsid w:val="004D5916"/>
    <w:rsid w:val="004D591C"/>
    <w:rsid w:val="004D5DB3"/>
    <w:rsid w:val="004D611E"/>
    <w:rsid w:val="004D61D1"/>
    <w:rsid w:val="004D6216"/>
    <w:rsid w:val="004D62D1"/>
    <w:rsid w:val="004D6326"/>
    <w:rsid w:val="004D643D"/>
    <w:rsid w:val="004D6459"/>
    <w:rsid w:val="004D6725"/>
    <w:rsid w:val="004D6A5E"/>
    <w:rsid w:val="004D6A81"/>
    <w:rsid w:val="004D763D"/>
    <w:rsid w:val="004D7C1E"/>
    <w:rsid w:val="004D7DDE"/>
    <w:rsid w:val="004D7FDF"/>
    <w:rsid w:val="004E025A"/>
    <w:rsid w:val="004E0423"/>
    <w:rsid w:val="004E0830"/>
    <w:rsid w:val="004E0DBA"/>
    <w:rsid w:val="004E1504"/>
    <w:rsid w:val="004E18AC"/>
    <w:rsid w:val="004E18C4"/>
    <w:rsid w:val="004E1CFE"/>
    <w:rsid w:val="004E1D23"/>
    <w:rsid w:val="004E1D5A"/>
    <w:rsid w:val="004E1EC1"/>
    <w:rsid w:val="004E22DB"/>
    <w:rsid w:val="004E2486"/>
    <w:rsid w:val="004E2692"/>
    <w:rsid w:val="004E27B5"/>
    <w:rsid w:val="004E2807"/>
    <w:rsid w:val="004E320F"/>
    <w:rsid w:val="004E3233"/>
    <w:rsid w:val="004E32BE"/>
    <w:rsid w:val="004E3337"/>
    <w:rsid w:val="004E33CE"/>
    <w:rsid w:val="004E388B"/>
    <w:rsid w:val="004E3CED"/>
    <w:rsid w:val="004E3E64"/>
    <w:rsid w:val="004E3F19"/>
    <w:rsid w:val="004E47CA"/>
    <w:rsid w:val="004E4962"/>
    <w:rsid w:val="004E4C37"/>
    <w:rsid w:val="004E51A8"/>
    <w:rsid w:val="004E526F"/>
    <w:rsid w:val="004E58C2"/>
    <w:rsid w:val="004E58F9"/>
    <w:rsid w:val="004E59F8"/>
    <w:rsid w:val="004E5A41"/>
    <w:rsid w:val="004E5B40"/>
    <w:rsid w:val="004E5C12"/>
    <w:rsid w:val="004E5F2A"/>
    <w:rsid w:val="004E6181"/>
    <w:rsid w:val="004E6479"/>
    <w:rsid w:val="004E6916"/>
    <w:rsid w:val="004E6962"/>
    <w:rsid w:val="004E6BFC"/>
    <w:rsid w:val="004E7057"/>
    <w:rsid w:val="004E72BA"/>
    <w:rsid w:val="004E7545"/>
    <w:rsid w:val="004E7E52"/>
    <w:rsid w:val="004F008B"/>
    <w:rsid w:val="004F0164"/>
    <w:rsid w:val="004F05E5"/>
    <w:rsid w:val="004F05EC"/>
    <w:rsid w:val="004F0B21"/>
    <w:rsid w:val="004F0B52"/>
    <w:rsid w:val="004F0BB7"/>
    <w:rsid w:val="004F0CB0"/>
    <w:rsid w:val="004F0EFA"/>
    <w:rsid w:val="004F1833"/>
    <w:rsid w:val="004F190D"/>
    <w:rsid w:val="004F1B2E"/>
    <w:rsid w:val="004F1C2E"/>
    <w:rsid w:val="004F1D48"/>
    <w:rsid w:val="004F217A"/>
    <w:rsid w:val="004F221B"/>
    <w:rsid w:val="004F25A4"/>
    <w:rsid w:val="004F284B"/>
    <w:rsid w:val="004F292A"/>
    <w:rsid w:val="004F34E7"/>
    <w:rsid w:val="004F353C"/>
    <w:rsid w:val="004F390E"/>
    <w:rsid w:val="004F3BD3"/>
    <w:rsid w:val="004F3E06"/>
    <w:rsid w:val="004F4119"/>
    <w:rsid w:val="004F4131"/>
    <w:rsid w:val="004F4526"/>
    <w:rsid w:val="004F4770"/>
    <w:rsid w:val="004F491E"/>
    <w:rsid w:val="004F494F"/>
    <w:rsid w:val="004F4AAF"/>
    <w:rsid w:val="004F4D8D"/>
    <w:rsid w:val="004F4EF7"/>
    <w:rsid w:val="004F54D6"/>
    <w:rsid w:val="004F5681"/>
    <w:rsid w:val="004F5AA1"/>
    <w:rsid w:val="004F5B3D"/>
    <w:rsid w:val="004F5BC8"/>
    <w:rsid w:val="004F671E"/>
    <w:rsid w:val="004F6D01"/>
    <w:rsid w:val="004F6D27"/>
    <w:rsid w:val="004F7166"/>
    <w:rsid w:val="004F73E8"/>
    <w:rsid w:val="004F750E"/>
    <w:rsid w:val="004F7566"/>
    <w:rsid w:val="004F7661"/>
    <w:rsid w:val="004F7C9B"/>
    <w:rsid w:val="004F7EF4"/>
    <w:rsid w:val="004F7FD7"/>
    <w:rsid w:val="005001D4"/>
    <w:rsid w:val="00500DB8"/>
    <w:rsid w:val="00501560"/>
    <w:rsid w:val="00501E03"/>
    <w:rsid w:val="00501F77"/>
    <w:rsid w:val="00502088"/>
    <w:rsid w:val="005022FB"/>
    <w:rsid w:val="005029CB"/>
    <w:rsid w:val="00502CE4"/>
    <w:rsid w:val="00502D35"/>
    <w:rsid w:val="00502E67"/>
    <w:rsid w:val="0050309F"/>
    <w:rsid w:val="00503175"/>
    <w:rsid w:val="00503206"/>
    <w:rsid w:val="005039B5"/>
    <w:rsid w:val="00504096"/>
    <w:rsid w:val="005041FD"/>
    <w:rsid w:val="00504620"/>
    <w:rsid w:val="005047F1"/>
    <w:rsid w:val="0050489A"/>
    <w:rsid w:val="005048D0"/>
    <w:rsid w:val="00504A5F"/>
    <w:rsid w:val="00504BC1"/>
    <w:rsid w:val="00504CF6"/>
    <w:rsid w:val="00504E13"/>
    <w:rsid w:val="00505474"/>
    <w:rsid w:val="00505C2F"/>
    <w:rsid w:val="00505E38"/>
    <w:rsid w:val="0050626D"/>
    <w:rsid w:val="00506521"/>
    <w:rsid w:val="00506813"/>
    <w:rsid w:val="00506E54"/>
    <w:rsid w:val="00506E58"/>
    <w:rsid w:val="00506F46"/>
    <w:rsid w:val="00506F53"/>
    <w:rsid w:val="0050706A"/>
    <w:rsid w:val="00507078"/>
    <w:rsid w:val="005071AE"/>
    <w:rsid w:val="005075DD"/>
    <w:rsid w:val="005075FC"/>
    <w:rsid w:val="0050772F"/>
    <w:rsid w:val="00507BD1"/>
    <w:rsid w:val="00507BF7"/>
    <w:rsid w:val="00507E4D"/>
    <w:rsid w:val="00507F3F"/>
    <w:rsid w:val="00507F8D"/>
    <w:rsid w:val="00510168"/>
    <w:rsid w:val="0051017D"/>
    <w:rsid w:val="005103FA"/>
    <w:rsid w:val="0051050C"/>
    <w:rsid w:val="0051083A"/>
    <w:rsid w:val="00510F1C"/>
    <w:rsid w:val="0051100B"/>
    <w:rsid w:val="00511216"/>
    <w:rsid w:val="005113A6"/>
    <w:rsid w:val="005113E0"/>
    <w:rsid w:val="005115CF"/>
    <w:rsid w:val="00511605"/>
    <w:rsid w:val="00511C30"/>
    <w:rsid w:val="00511E17"/>
    <w:rsid w:val="00512365"/>
    <w:rsid w:val="005123A0"/>
    <w:rsid w:val="005123F1"/>
    <w:rsid w:val="005124F6"/>
    <w:rsid w:val="00512624"/>
    <w:rsid w:val="00512893"/>
    <w:rsid w:val="0051292E"/>
    <w:rsid w:val="005129BC"/>
    <w:rsid w:val="00512A6D"/>
    <w:rsid w:val="00512DE6"/>
    <w:rsid w:val="0051310A"/>
    <w:rsid w:val="00513746"/>
    <w:rsid w:val="005137A4"/>
    <w:rsid w:val="00513897"/>
    <w:rsid w:val="00513924"/>
    <w:rsid w:val="0051395F"/>
    <w:rsid w:val="00513E1B"/>
    <w:rsid w:val="00514076"/>
    <w:rsid w:val="00514077"/>
    <w:rsid w:val="00514079"/>
    <w:rsid w:val="0051443A"/>
    <w:rsid w:val="00514508"/>
    <w:rsid w:val="00514C9F"/>
    <w:rsid w:val="00514CEB"/>
    <w:rsid w:val="00514E3D"/>
    <w:rsid w:val="0051517E"/>
    <w:rsid w:val="005152EC"/>
    <w:rsid w:val="005154C3"/>
    <w:rsid w:val="0051569A"/>
    <w:rsid w:val="00515842"/>
    <w:rsid w:val="0051586D"/>
    <w:rsid w:val="00515956"/>
    <w:rsid w:val="00515AFC"/>
    <w:rsid w:val="00515DC5"/>
    <w:rsid w:val="0051604C"/>
    <w:rsid w:val="005160C5"/>
    <w:rsid w:val="00516248"/>
    <w:rsid w:val="005162F5"/>
    <w:rsid w:val="005164C8"/>
    <w:rsid w:val="0051684A"/>
    <w:rsid w:val="0051760F"/>
    <w:rsid w:val="00517A7A"/>
    <w:rsid w:val="00517AED"/>
    <w:rsid w:val="00517D62"/>
    <w:rsid w:val="00517D67"/>
    <w:rsid w:val="005208A1"/>
    <w:rsid w:val="00520A3A"/>
    <w:rsid w:val="00520CB9"/>
    <w:rsid w:val="00520F29"/>
    <w:rsid w:val="005212C3"/>
    <w:rsid w:val="00521390"/>
    <w:rsid w:val="005216B5"/>
    <w:rsid w:val="00521740"/>
    <w:rsid w:val="00521920"/>
    <w:rsid w:val="00521B00"/>
    <w:rsid w:val="005220E2"/>
    <w:rsid w:val="005220F8"/>
    <w:rsid w:val="005221FF"/>
    <w:rsid w:val="00522204"/>
    <w:rsid w:val="0052220E"/>
    <w:rsid w:val="005223BE"/>
    <w:rsid w:val="0052246E"/>
    <w:rsid w:val="00522A87"/>
    <w:rsid w:val="00522E95"/>
    <w:rsid w:val="00522EF0"/>
    <w:rsid w:val="005231A9"/>
    <w:rsid w:val="00523531"/>
    <w:rsid w:val="0052382A"/>
    <w:rsid w:val="00523A85"/>
    <w:rsid w:val="00523D31"/>
    <w:rsid w:val="00523E68"/>
    <w:rsid w:val="005241AE"/>
    <w:rsid w:val="00524503"/>
    <w:rsid w:val="00524867"/>
    <w:rsid w:val="005248CF"/>
    <w:rsid w:val="00524F25"/>
    <w:rsid w:val="00524F8A"/>
    <w:rsid w:val="0052507E"/>
    <w:rsid w:val="005258B6"/>
    <w:rsid w:val="0052594B"/>
    <w:rsid w:val="005259FC"/>
    <w:rsid w:val="00525E58"/>
    <w:rsid w:val="00526236"/>
    <w:rsid w:val="005263E3"/>
    <w:rsid w:val="005264CB"/>
    <w:rsid w:val="00526998"/>
    <w:rsid w:val="00526D97"/>
    <w:rsid w:val="00526D9F"/>
    <w:rsid w:val="00526E50"/>
    <w:rsid w:val="00526EAB"/>
    <w:rsid w:val="0052701F"/>
    <w:rsid w:val="005270BA"/>
    <w:rsid w:val="00527140"/>
    <w:rsid w:val="00527255"/>
    <w:rsid w:val="0052743D"/>
    <w:rsid w:val="005276C6"/>
    <w:rsid w:val="0052773A"/>
    <w:rsid w:val="005277A8"/>
    <w:rsid w:val="00527970"/>
    <w:rsid w:val="00527CD1"/>
    <w:rsid w:val="00527FCE"/>
    <w:rsid w:val="0052BC7E"/>
    <w:rsid w:val="00530052"/>
    <w:rsid w:val="00530233"/>
    <w:rsid w:val="00530462"/>
    <w:rsid w:val="00530531"/>
    <w:rsid w:val="00530CFB"/>
    <w:rsid w:val="00530D29"/>
    <w:rsid w:val="00530D8F"/>
    <w:rsid w:val="00530EF7"/>
    <w:rsid w:val="00530FF3"/>
    <w:rsid w:val="005313F6"/>
    <w:rsid w:val="00531792"/>
    <w:rsid w:val="00531FB9"/>
    <w:rsid w:val="005321FC"/>
    <w:rsid w:val="00532250"/>
    <w:rsid w:val="005322AB"/>
    <w:rsid w:val="005322E1"/>
    <w:rsid w:val="005325AD"/>
    <w:rsid w:val="00532681"/>
    <w:rsid w:val="0053276A"/>
    <w:rsid w:val="0053289D"/>
    <w:rsid w:val="00532BD9"/>
    <w:rsid w:val="00532E53"/>
    <w:rsid w:val="005339EA"/>
    <w:rsid w:val="00533DF3"/>
    <w:rsid w:val="005340E9"/>
    <w:rsid w:val="005343C1"/>
    <w:rsid w:val="00534861"/>
    <w:rsid w:val="00534EEA"/>
    <w:rsid w:val="00535124"/>
    <w:rsid w:val="00535394"/>
    <w:rsid w:val="005356D4"/>
    <w:rsid w:val="0053583C"/>
    <w:rsid w:val="00535881"/>
    <w:rsid w:val="00535999"/>
    <w:rsid w:val="00535A91"/>
    <w:rsid w:val="00535C18"/>
    <w:rsid w:val="00535E27"/>
    <w:rsid w:val="00535F61"/>
    <w:rsid w:val="00535FB7"/>
    <w:rsid w:val="00535FBA"/>
    <w:rsid w:val="0053605F"/>
    <w:rsid w:val="0053624C"/>
    <w:rsid w:val="0053635D"/>
    <w:rsid w:val="005366A6"/>
    <w:rsid w:val="00536916"/>
    <w:rsid w:val="00536BDF"/>
    <w:rsid w:val="00536C18"/>
    <w:rsid w:val="00536C7E"/>
    <w:rsid w:val="00536DFF"/>
    <w:rsid w:val="0053718B"/>
    <w:rsid w:val="00537390"/>
    <w:rsid w:val="0053755B"/>
    <w:rsid w:val="00537916"/>
    <w:rsid w:val="00537EA5"/>
    <w:rsid w:val="00540080"/>
    <w:rsid w:val="00540093"/>
    <w:rsid w:val="005401D1"/>
    <w:rsid w:val="00540205"/>
    <w:rsid w:val="00540250"/>
    <w:rsid w:val="00540301"/>
    <w:rsid w:val="0054035E"/>
    <w:rsid w:val="00540669"/>
    <w:rsid w:val="005407DC"/>
    <w:rsid w:val="005408BF"/>
    <w:rsid w:val="00540A41"/>
    <w:rsid w:val="0054109A"/>
    <w:rsid w:val="0054132C"/>
    <w:rsid w:val="005413EE"/>
    <w:rsid w:val="005418AA"/>
    <w:rsid w:val="0054197D"/>
    <w:rsid w:val="00541AF6"/>
    <w:rsid w:val="00541B22"/>
    <w:rsid w:val="00541E39"/>
    <w:rsid w:val="00541F69"/>
    <w:rsid w:val="005420C7"/>
    <w:rsid w:val="00542175"/>
    <w:rsid w:val="00542B85"/>
    <w:rsid w:val="00543012"/>
    <w:rsid w:val="0054307D"/>
    <w:rsid w:val="00543545"/>
    <w:rsid w:val="005438F0"/>
    <w:rsid w:val="0054398F"/>
    <w:rsid w:val="005440CB"/>
    <w:rsid w:val="005443F0"/>
    <w:rsid w:val="00544429"/>
    <w:rsid w:val="0054447F"/>
    <w:rsid w:val="005444EA"/>
    <w:rsid w:val="00544577"/>
    <w:rsid w:val="00544ABF"/>
    <w:rsid w:val="00544E3F"/>
    <w:rsid w:val="00544F01"/>
    <w:rsid w:val="00545003"/>
    <w:rsid w:val="00545224"/>
    <w:rsid w:val="00545363"/>
    <w:rsid w:val="00545527"/>
    <w:rsid w:val="00545575"/>
    <w:rsid w:val="00545752"/>
    <w:rsid w:val="00545D48"/>
    <w:rsid w:val="005464DD"/>
    <w:rsid w:val="005466E7"/>
    <w:rsid w:val="00546B33"/>
    <w:rsid w:val="00546D83"/>
    <w:rsid w:val="00546DA6"/>
    <w:rsid w:val="00547207"/>
    <w:rsid w:val="0054785D"/>
    <w:rsid w:val="00547DA7"/>
    <w:rsid w:val="00550492"/>
    <w:rsid w:val="00550AAC"/>
    <w:rsid w:val="00550BAD"/>
    <w:rsid w:val="00550DDE"/>
    <w:rsid w:val="00550F2E"/>
    <w:rsid w:val="005516C0"/>
    <w:rsid w:val="0055185A"/>
    <w:rsid w:val="00551888"/>
    <w:rsid w:val="00551B03"/>
    <w:rsid w:val="00551B86"/>
    <w:rsid w:val="00551D98"/>
    <w:rsid w:val="00551F99"/>
    <w:rsid w:val="0055272B"/>
    <w:rsid w:val="00552836"/>
    <w:rsid w:val="005528FF"/>
    <w:rsid w:val="00552ADB"/>
    <w:rsid w:val="00552F4A"/>
    <w:rsid w:val="00552F96"/>
    <w:rsid w:val="0055393E"/>
    <w:rsid w:val="00553BC4"/>
    <w:rsid w:val="00553E53"/>
    <w:rsid w:val="00554318"/>
    <w:rsid w:val="00554901"/>
    <w:rsid w:val="00554BC2"/>
    <w:rsid w:val="00554BDE"/>
    <w:rsid w:val="00554E1E"/>
    <w:rsid w:val="00555030"/>
    <w:rsid w:val="005552CD"/>
    <w:rsid w:val="00555406"/>
    <w:rsid w:val="00555825"/>
    <w:rsid w:val="0055582E"/>
    <w:rsid w:val="0055589F"/>
    <w:rsid w:val="00555A9B"/>
    <w:rsid w:val="00555F15"/>
    <w:rsid w:val="00555F5B"/>
    <w:rsid w:val="005561BF"/>
    <w:rsid w:val="005562E5"/>
    <w:rsid w:val="0055668C"/>
    <w:rsid w:val="005568E5"/>
    <w:rsid w:val="00556E8F"/>
    <w:rsid w:val="005570AC"/>
    <w:rsid w:val="005570C2"/>
    <w:rsid w:val="00557415"/>
    <w:rsid w:val="005575BF"/>
    <w:rsid w:val="00557758"/>
    <w:rsid w:val="00557998"/>
    <w:rsid w:val="00557E9F"/>
    <w:rsid w:val="00560042"/>
    <w:rsid w:val="00560455"/>
    <w:rsid w:val="005607E4"/>
    <w:rsid w:val="00560B12"/>
    <w:rsid w:val="00560B58"/>
    <w:rsid w:val="00560E59"/>
    <w:rsid w:val="005611C9"/>
    <w:rsid w:val="00561485"/>
    <w:rsid w:val="00561EE6"/>
    <w:rsid w:val="00561F1A"/>
    <w:rsid w:val="00561FD3"/>
    <w:rsid w:val="005621BE"/>
    <w:rsid w:val="005621CB"/>
    <w:rsid w:val="005626B6"/>
    <w:rsid w:val="00562A90"/>
    <w:rsid w:val="00562D72"/>
    <w:rsid w:val="00562F6E"/>
    <w:rsid w:val="00562FEB"/>
    <w:rsid w:val="00563012"/>
    <w:rsid w:val="00563629"/>
    <w:rsid w:val="00563AA7"/>
    <w:rsid w:val="00563CCB"/>
    <w:rsid w:val="00563F49"/>
    <w:rsid w:val="00563FAC"/>
    <w:rsid w:val="005645DE"/>
    <w:rsid w:val="00564820"/>
    <w:rsid w:val="00564C9E"/>
    <w:rsid w:val="00564D1D"/>
    <w:rsid w:val="00564F1A"/>
    <w:rsid w:val="005651CB"/>
    <w:rsid w:val="005652CE"/>
    <w:rsid w:val="00565480"/>
    <w:rsid w:val="0056589E"/>
    <w:rsid w:val="00565D68"/>
    <w:rsid w:val="00565DF1"/>
    <w:rsid w:val="00565FD6"/>
    <w:rsid w:val="00566060"/>
    <w:rsid w:val="005661BD"/>
    <w:rsid w:val="005666DC"/>
    <w:rsid w:val="005667CB"/>
    <w:rsid w:val="005668AC"/>
    <w:rsid w:val="00566B9F"/>
    <w:rsid w:val="005673C9"/>
    <w:rsid w:val="00567446"/>
    <w:rsid w:val="005679CB"/>
    <w:rsid w:val="0057002E"/>
    <w:rsid w:val="005701E8"/>
    <w:rsid w:val="005709C8"/>
    <w:rsid w:val="005709DF"/>
    <w:rsid w:val="00570C80"/>
    <w:rsid w:val="005711BF"/>
    <w:rsid w:val="0057172A"/>
    <w:rsid w:val="00571C47"/>
    <w:rsid w:val="00571E34"/>
    <w:rsid w:val="00571FEE"/>
    <w:rsid w:val="005720B1"/>
    <w:rsid w:val="00572170"/>
    <w:rsid w:val="005724E4"/>
    <w:rsid w:val="00572548"/>
    <w:rsid w:val="00572EA7"/>
    <w:rsid w:val="005736A2"/>
    <w:rsid w:val="00573CAC"/>
    <w:rsid w:val="00573CE5"/>
    <w:rsid w:val="00573D80"/>
    <w:rsid w:val="00574190"/>
    <w:rsid w:val="005741AD"/>
    <w:rsid w:val="00574257"/>
    <w:rsid w:val="005744EC"/>
    <w:rsid w:val="00574A17"/>
    <w:rsid w:val="00574DDB"/>
    <w:rsid w:val="0057535A"/>
    <w:rsid w:val="00575A45"/>
    <w:rsid w:val="00575D4F"/>
    <w:rsid w:val="00576436"/>
    <w:rsid w:val="005766F4"/>
    <w:rsid w:val="005769CA"/>
    <w:rsid w:val="00576AA6"/>
    <w:rsid w:val="00576C80"/>
    <w:rsid w:val="00576EFD"/>
    <w:rsid w:val="00577222"/>
    <w:rsid w:val="005773F5"/>
    <w:rsid w:val="0057771D"/>
    <w:rsid w:val="005779ED"/>
    <w:rsid w:val="00577A44"/>
    <w:rsid w:val="00577AB5"/>
    <w:rsid w:val="00580A23"/>
    <w:rsid w:val="00580A63"/>
    <w:rsid w:val="00580B31"/>
    <w:rsid w:val="00580C31"/>
    <w:rsid w:val="00580EF5"/>
    <w:rsid w:val="0058111E"/>
    <w:rsid w:val="00581364"/>
    <w:rsid w:val="00581579"/>
    <w:rsid w:val="00581897"/>
    <w:rsid w:val="005819E2"/>
    <w:rsid w:val="00581B11"/>
    <w:rsid w:val="00581E34"/>
    <w:rsid w:val="0058241F"/>
    <w:rsid w:val="00582A15"/>
    <w:rsid w:val="0058312F"/>
    <w:rsid w:val="005836B4"/>
    <w:rsid w:val="00583788"/>
    <w:rsid w:val="00583B5C"/>
    <w:rsid w:val="00583FC3"/>
    <w:rsid w:val="005846C7"/>
    <w:rsid w:val="0058478B"/>
    <w:rsid w:val="005849CD"/>
    <w:rsid w:val="005849D4"/>
    <w:rsid w:val="00585180"/>
    <w:rsid w:val="00585A45"/>
    <w:rsid w:val="0058613C"/>
    <w:rsid w:val="005861B6"/>
    <w:rsid w:val="0058631E"/>
    <w:rsid w:val="0058636A"/>
    <w:rsid w:val="005869F2"/>
    <w:rsid w:val="00586ECF"/>
    <w:rsid w:val="00586EEE"/>
    <w:rsid w:val="005870E5"/>
    <w:rsid w:val="0058741D"/>
    <w:rsid w:val="005877D3"/>
    <w:rsid w:val="005878E1"/>
    <w:rsid w:val="00587DD9"/>
    <w:rsid w:val="005903C7"/>
    <w:rsid w:val="005903F1"/>
    <w:rsid w:val="005908AC"/>
    <w:rsid w:val="0059099D"/>
    <w:rsid w:val="00590C60"/>
    <w:rsid w:val="00590CA8"/>
    <w:rsid w:val="005918AD"/>
    <w:rsid w:val="00591C2D"/>
    <w:rsid w:val="00591CA0"/>
    <w:rsid w:val="00591E7F"/>
    <w:rsid w:val="00592128"/>
    <w:rsid w:val="0059259C"/>
    <w:rsid w:val="005927C0"/>
    <w:rsid w:val="0059294F"/>
    <w:rsid w:val="00592AA8"/>
    <w:rsid w:val="00592AB7"/>
    <w:rsid w:val="00592B0A"/>
    <w:rsid w:val="00592BF3"/>
    <w:rsid w:val="00592C87"/>
    <w:rsid w:val="00592CA0"/>
    <w:rsid w:val="005932CA"/>
    <w:rsid w:val="00593474"/>
    <w:rsid w:val="0059371A"/>
    <w:rsid w:val="005938F2"/>
    <w:rsid w:val="00593939"/>
    <w:rsid w:val="00593ACA"/>
    <w:rsid w:val="00593B00"/>
    <w:rsid w:val="00593D28"/>
    <w:rsid w:val="00593F28"/>
    <w:rsid w:val="0059434D"/>
    <w:rsid w:val="005948A4"/>
    <w:rsid w:val="00594B4E"/>
    <w:rsid w:val="00594FFE"/>
    <w:rsid w:val="00595080"/>
    <w:rsid w:val="005950B1"/>
    <w:rsid w:val="00595205"/>
    <w:rsid w:val="00595278"/>
    <w:rsid w:val="005952C9"/>
    <w:rsid w:val="0059557C"/>
    <w:rsid w:val="005958F9"/>
    <w:rsid w:val="0059597D"/>
    <w:rsid w:val="00595CF0"/>
    <w:rsid w:val="0059605A"/>
    <w:rsid w:val="005962CB"/>
    <w:rsid w:val="0059661A"/>
    <w:rsid w:val="00596625"/>
    <w:rsid w:val="005968C2"/>
    <w:rsid w:val="00596956"/>
    <w:rsid w:val="00596B46"/>
    <w:rsid w:val="00596C64"/>
    <w:rsid w:val="00596FD7"/>
    <w:rsid w:val="0059701F"/>
    <w:rsid w:val="0059736B"/>
    <w:rsid w:val="00597481"/>
    <w:rsid w:val="00597A88"/>
    <w:rsid w:val="00597B04"/>
    <w:rsid w:val="005A0449"/>
    <w:rsid w:val="005A062F"/>
    <w:rsid w:val="005A0664"/>
    <w:rsid w:val="005A0723"/>
    <w:rsid w:val="005A07E1"/>
    <w:rsid w:val="005A0871"/>
    <w:rsid w:val="005A0CB8"/>
    <w:rsid w:val="005A1335"/>
    <w:rsid w:val="005A1541"/>
    <w:rsid w:val="005A157F"/>
    <w:rsid w:val="005A170C"/>
    <w:rsid w:val="005A1A13"/>
    <w:rsid w:val="005A1D63"/>
    <w:rsid w:val="005A1E18"/>
    <w:rsid w:val="005A1FBE"/>
    <w:rsid w:val="005A2025"/>
    <w:rsid w:val="005A22D0"/>
    <w:rsid w:val="005A2466"/>
    <w:rsid w:val="005A253C"/>
    <w:rsid w:val="005A2B00"/>
    <w:rsid w:val="005A2FE7"/>
    <w:rsid w:val="005A33C6"/>
    <w:rsid w:val="005A3467"/>
    <w:rsid w:val="005A3812"/>
    <w:rsid w:val="005A38E0"/>
    <w:rsid w:val="005A3D30"/>
    <w:rsid w:val="005A3DCC"/>
    <w:rsid w:val="005A41E5"/>
    <w:rsid w:val="005A42CE"/>
    <w:rsid w:val="005A445A"/>
    <w:rsid w:val="005A45A1"/>
    <w:rsid w:val="005A473B"/>
    <w:rsid w:val="005A47D5"/>
    <w:rsid w:val="005A4910"/>
    <w:rsid w:val="005A4D17"/>
    <w:rsid w:val="005A4DFC"/>
    <w:rsid w:val="005A56AE"/>
    <w:rsid w:val="005A5E11"/>
    <w:rsid w:val="005A60D5"/>
    <w:rsid w:val="005A67D2"/>
    <w:rsid w:val="005A6943"/>
    <w:rsid w:val="005A6D2F"/>
    <w:rsid w:val="005A710F"/>
    <w:rsid w:val="005A79B3"/>
    <w:rsid w:val="005A7B7F"/>
    <w:rsid w:val="005A7EB3"/>
    <w:rsid w:val="005B0288"/>
    <w:rsid w:val="005B07DB"/>
    <w:rsid w:val="005B09A6"/>
    <w:rsid w:val="005B0C7E"/>
    <w:rsid w:val="005B0E26"/>
    <w:rsid w:val="005B0E6E"/>
    <w:rsid w:val="005B101D"/>
    <w:rsid w:val="005B10B5"/>
    <w:rsid w:val="005B115E"/>
    <w:rsid w:val="005B173D"/>
    <w:rsid w:val="005B1DEA"/>
    <w:rsid w:val="005B2339"/>
    <w:rsid w:val="005B2556"/>
    <w:rsid w:val="005B281A"/>
    <w:rsid w:val="005B2A27"/>
    <w:rsid w:val="005B2AF0"/>
    <w:rsid w:val="005B2E58"/>
    <w:rsid w:val="005B3068"/>
    <w:rsid w:val="005B3568"/>
    <w:rsid w:val="005B3E8F"/>
    <w:rsid w:val="005B4160"/>
    <w:rsid w:val="005B452F"/>
    <w:rsid w:val="005B4679"/>
    <w:rsid w:val="005B489D"/>
    <w:rsid w:val="005B4A63"/>
    <w:rsid w:val="005B4FE4"/>
    <w:rsid w:val="005B4FE5"/>
    <w:rsid w:val="005B5156"/>
    <w:rsid w:val="005B51A7"/>
    <w:rsid w:val="005B51F1"/>
    <w:rsid w:val="005B5327"/>
    <w:rsid w:val="005B53C7"/>
    <w:rsid w:val="005B596A"/>
    <w:rsid w:val="005B5AD9"/>
    <w:rsid w:val="005B627F"/>
    <w:rsid w:val="005B64AA"/>
    <w:rsid w:val="005B67A3"/>
    <w:rsid w:val="005B6A34"/>
    <w:rsid w:val="005B71CB"/>
    <w:rsid w:val="005B726C"/>
    <w:rsid w:val="005B7507"/>
    <w:rsid w:val="005B77D4"/>
    <w:rsid w:val="005B7D81"/>
    <w:rsid w:val="005B7E09"/>
    <w:rsid w:val="005B7ECE"/>
    <w:rsid w:val="005C03F8"/>
    <w:rsid w:val="005C0902"/>
    <w:rsid w:val="005C09FB"/>
    <w:rsid w:val="005C0A24"/>
    <w:rsid w:val="005C0B4A"/>
    <w:rsid w:val="005C0D4C"/>
    <w:rsid w:val="005C0ED2"/>
    <w:rsid w:val="005C1206"/>
    <w:rsid w:val="005C149A"/>
    <w:rsid w:val="005C156B"/>
    <w:rsid w:val="005C16E1"/>
    <w:rsid w:val="005C1846"/>
    <w:rsid w:val="005C1861"/>
    <w:rsid w:val="005C1875"/>
    <w:rsid w:val="005C1B5F"/>
    <w:rsid w:val="005C1CD1"/>
    <w:rsid w:val="005C2242"/>
    <w:rsid w:val="005C2394"/>
    <w:rsid w:val="005C241B"/>
    <w:rsid w:val="005C2B32"/>
    <w:rsid w:val="005C2BDB"/>
    <w:rsid w:val="005C2C35"/>
    <w:rsid w:val="005C2CBE"/>
    <w:rsid w:val="005C2DD0"/>
    <w:rsid w:val="005C2DE7"/>
    <w:rsid w:val="005C306C"/>
    <w:rsid w:val="005C30C8"/>
    <w:rsid w:val="005C30FC"/>
    <w:rsid w:val="005C3656"/>
    <w:rsid w:val="005C391B"/>
    <w:rsid w:val="005C3A67"/>
    <w:rsid w:val="005C3D7A"/>
    <w:rsid w:val="005C3EC1"/>
    <w:rsid w:val="005C47B6"/>
    <w:rsid w:val="005C47D3"/>
    <w:rsid w:val="005C4850"/>
    <w:rsid w:val="005C49E2"/>
    <w:rsid w:val="005C4B29"/>
    <w:rsid w:val="005C4EBC"/>
    <w:rsid w:val="005C59BA"/>
    <w:rsid w:val="005C5DA1"/>
    <w:rsid w:val="005C5F96"/>
    <w:rsid w:val="005C656F"/>
    <w:rsid w:val="005C657E"/>
    <w:rsid w:val="005C6C2E"/>
    <w:rsid w:val="005C6C3C"/>
    <w:rsid w:val="005C7906"/>
    <w:rsid w:val="005C7A1B"/>
    <w:rsid w:val="005C7FD1"/>
    <w:rsid w:val="005D053D"/>
    <w:rsid w:val="005D0A5D"/>
    <w:rsid w:val="005D1072"/>
    <w:rsid w:val="005D11DB"/>
    <w:rsid w:val="005D120A"/>
    <w:rsid w:val="005D1550"/>
    <w:rsid w:val="005D18BF"/>
    <w:rsid w:val="005D1D4D"/>
    <w:rsid w:val="005D1FCB"/>
    <w:rsid w:val="005D21E2"/>
    <w:rsid w:val="005D29DD"/>
    <w:rsid w:val="005D2C17"/>
    <w:rsid w:val="005D2CAC"/>
    <w:rsid w:val="005D2F55"/>
    <w:rsid w:val="005D3282"/>
    <w:rsid w:val="005D3391"/>
    <w:rsid w:val="005D3707"/>
    <w:rsid w:val="005D3E8E"/>
    <w:rsid w:val="005D3FC1"/>
    <w:rsid w:val="005D40FD"/>
    <w:rsid w:val="005D4171"/>
    <w:rsid w:val="005D4439"/>
    <w:rsid w:val="005D4AFD"/>
    <w:rsid w:val="005D4BF4"/>
    <w:rsid w:val="005D4CC6"/>
    <w:rsid w:val="005D4D4E"/>
    <w:rsid w:val="005D4D55"/>
    <w:rsid w:val="005D599A"/>
    <w:rsid w:val="005D5D5F"/>
    <w:rsid w:val="005D6142"/>
    <w:rsid w:val="005D617D"/>
    <w:rsid w:val="005D61A1"/>
    <w:rsid w:val="005D6322"/>
    <w:rsid w:val="005D63E4"/>
    <w:rsid w:val="005D646B"/>
    <w:rsid w:val="005D6544"/>
    <w:rsid w:val="005D65C4"/>
    <w:rsid w:val="005D6768"/>
    <w:rsid w:val="005D680A"/>
    <w:rsid w:val="005D6A72"/>
    <w:rsid w:val="005D6D25"/>
    <w:rsid w:val="005D7150"/>
    <w:rsid w:val="005D7283"/>
    <w:rsid w:val="005D742E"/>
    <w:rsid w:val="005D7729"/>
    <w:rsid w:val="005D779C"/>
    <w:rsid w:val="005D79FF"/>
    <w:rsid w:val="005D7D79"/>
    <w:rsid w:val="005D7D84"/>
    <w:rsid w:val="005D7D8C"/>
    <w:rsid w:val="005D7EE1"/>
    <w:rsid w:val="005D7F84"/>
    <w:rsid w:val="005E0623"/>
    <w:rsid w:val="005E0A8F"/>
    <w:rsid w:val="005E0E26"/>
    <w:rsid w:val="005E0E7A"/>
    <w:rsid w:val="005E0FA8"/>
    <w:rsid w:val="005E10AF"/>
    <w:rsid w:val="005E128E"/>
    <w:rsid w:val="005E1383"/>
    <w:rsid w:val="005E1498"/>
    <w:rsid w:val="005E1588"/>
    <w:rsid w:val="005E1649"/>
    <w:rsid w:val="005E1682"/>
    <w:rsid w:val="005E1867"/>
    <w:rsid w:val="005E1886"/>
    <w:rsid w:val="005E1F98"/>
    <w:rsid w:val="005E2300"/>
    <w:rsid w:val="005E26D1"/>
    <w:rsid w:val="005E284A"/>
    <w:rsid w:val="005E2C86"/>
    <w:rsid w:val="005E2E98"/>
    <w:rsid w:val="005E343C"/>
    <w:rsid w:val="005E3873"/>
    <w:rsid w:val="005E3BBE"/>
    <w:rsid w:val="005E4010"/>
    <w:rsid w:val="005E4350"/>
    <w:rsid w:val="005E521D"/>
    <w:rsid w:val="005E5503"/>
    <w:rsid w:val="005E560F"/>
    <w:rsid w:val="005E5708"/>
    <w:rsid w:val="005E5B48"/>
    <w:rsid w:val="005E5B65"/>
    <w:rsid w:val="005E5C25"/>
    <w:rsid w:val="005E5C5C"/>
    <w:rsid w:val="005E5CDC"/>
    <w:rsid w:val="005E6122"/>
    <w:rsid w:val="005E6365"/>
    <w:rsid w:val="005E65F6"/>
    <w:rsid w:val="005E6959"/>
    <w:rsid w:val="005E69E6"/>
    <w:rsid w:val="005E6AF9"/>
    <w:rsid w:val="005E6F1E"/>
    <w:rsid w:val="005E731B"/>
    <w:rsid w:val="005E7424"/>
    <w:rsid w:val="005E75F9"/>
    <w:rsid w:val="005F00DC"/>
    <w:rsid w:val="005F0227"/>
    <w:rsid w:val="005F0380"/>
    <w:rsid w:val="005F05AB"/>
    <w:rsid w:val="005F075A"/>
    <w:rsid w:val="005F0AF9"/>
    <w:rsid w:val="005F0B68"/>
    <w:rsid w:val="005F235A"/>
    <w:rsid w:val="005F2661"/>
    <w:rsid w:val="005F27CB"/>
    <w:rsid w:val="005F2808"/>
    <w:rsid w:val="005F2992"/>
    <w:rsid w:val="005F2AB7"/>
    <w:rsid w:val="005F2CD7"/>
    <w:rsid w:val="005F2CED"/>
    <w:rsid w:val="005F2D4F"/>
    <w:rsid w:val="005F317F"/>
    <w:rsid w:val="005F363D"/>
    <w:rsid w:val="005F3E05"/>
    <w:rsid w:val="005F3E27"/>
    <w:rsid w:val="005F3F71"/>
    <w:rsid w:val="005F3FF9"/>
    <w:rsid w:val="005F46BE"/>
    <w:rsid w:val="005F4D12"/>
    <w:rsid w:val="005F4D28"/>
    <w:rsid w:val="005F516D"/>
    <w:rsid w:val="005F51A6"/>
    <w:rsid w:val="005F533E"/>
    <w:rsid w:val="005F53F5"/>
    <w:rsid w:val="005F55EB"/>
    <w:rsid w:val="005F56A1"/>
    <w:rsid w:val="005F59DE"/>
    <w:rsid w:val="005F5A22"/>
    <w:rsid w:val="005F5AC9"/>
    <w:rsid w:val="005F5F76"/>
    <w:rsid w:val="005F5FED"/>
    <w:rsid w:val="005F63BA"/>
    <w:rsid w:val="005F667D"/>
    <w:rsid w:val="005F6811"/>
    <w:rsid w:val="005F69A9"/>
    <w:rsid w:val="005F6A36"/>
    <w:rsid w:val="005F6BF6"/>
    <w:rsid w:val="005F6CB8"/>
    <w:rsid w:val="005F6F16"/>
    <w:rsid w:val="005F6FF5"/>
    <w:rsid w:val="005F727F"/>
    <w:rsid w:val="005F72F5"/>
    <w:rsid w:val="005F74B9"/>
    <w:rsid w:val="005F74E9"/>
    <w:rsid w:val="005F765C"/>
    <w:rsid w:val="005F78AB"/>
    <w:rsid w:val="005F79F3"/>
    <w:rsid w:val="005F7B34"/>
    <w:rsid w:val="005F7B94"/>
    <w:rsid w:val="00600650"/>
    <w:rsid w:val="00600728"/>
    <w:rsid w:val="00600829"/>
    <w:rsid w:val="00600867"/>
    <w:rsid w:val="00600FC7"/>
    <w:rsid w:val="006010C9"/>
    <w:rsid w:val="0060132C"/>
    <w:rsid w:val="00601797"/>
    <w:rsid w:val="00601B13"/>
    <w:rsid w:val="00601B14"/>
    <w:rsid w:val="00601F15"/>
    <w:rsid w:val="00602000"/>
    <w:rsid w:val="0060271F"/>
    <w:rsid w:val="00602A37"/>
    <w:rsid w:val="00602A5C"/>
    <w:rsid w:val="006030DF"/>
    <w:rsid w:val="00603119"/>
    <w:rsid w:val="006034C0"/>
    <w:rsid w:val="006036DE"/>
    <w:rsid w:val="00603791"/>
    <w:rsid w:val="00603998"/>
    <w:rsid w:val="00603A82"/>
    <w:rsid w:val="00603BE8"/>
    <w:rsid w:val="006041FB"/>
    <w:rsid w:val="006043A0"/>
    <w:rsid w:val="006043CB"/>
    <w:rsid w:val="006046B5"/>
    <w:rsid w:val="00604986"/>
    <w:rsid w:val="00604FA1"/>
    <w:rsid w:val="006052A8"/>
    <w:rsid w:val="006054AB"/>
    <w:rsid w:val="006059C0"/>
    <w:rsid w:val="00605BC0"/>
    <w:rsid w:val="00605C72"/>
    <w:rsid w:val="00605E78"/>
    <w:rsid w:val="00605F4D"/>
    <w:rsid w:val="00605FF5"/>
    <w:rsid w:val="00606124"/>
    <w:rsid w:val="0060648D"/>
    <w:rsid w:val="0060680E"/>
    <w:rsid w:val="00606815"/>
    <w:rsid w:val="00606F5C"/>
    <w:rsid w:val="006070FB"/>
    <w:rsid w:val="006073CB"/>
    <w:rsid w:val="00607773"/>
    <w:rsid w:val="006077F4"/>
    <w:rsid w:val="00607AA5"/>
    <w:rsid w:val="0061031A"/>
    <w:rsid w:val="00610385"/>
    <w:rsid w:val="00610701"/>
    <w:rsid w:val="00610D81"/>
    <w:rsid w:val="00610FF6"/>
    <w:rsid w:val="006110F9"/>
    <w:rsid w:val="006113F2"/>
    <w:rsid w:val="00611702"/>
    <w:rsid w:val="0061188F"/>
    <w:rsid w:val="00611B9E"/>
    <w:rsid w:val="00612512"/>
    <w:rsid w:val="006127FC"/>
    <w:rsid w:val="00612814"/>
    <w:rsid w:val="006128F0"/>
    <w:rsid w:val="00612CD2"/>
    <w:rsid w:val="0061312E"/>
    <w:rsid w:val="0061328A"/>
    <w:rsid w:val="00613330"/>
    <w:rsid w:val="006133BE"/>
    <w:rsid w:val="0061350C"/>
    <w:rsid w:val="00613B2D"/>
    <w:rsid w:val="00613C93"/>
    <w:rsid w:val="00613E82"/>
    <w:rsid w:val="006140EC"/>
    <w:rsid w:val="0061441D"/>
    <w:rsid w:val="006144FB"/>
    <w:rsid w:val="006146F0"/>
    <w:rsid w:val="00614865"/>
    <w:rsid w:val="00614919"/>
    <w:rsid w:val="00614A81"/>
    <w:rsid w:val="00614D15"/>
    <w:rsid w:val="00615333"/>
    <w:rsid w:val="0061543B"/>
    <w:rsid w:val="006154B8"/>
    <w:rsid w:val="006158D3"/>
    <w:rsid w:val="006159C3"/>
    <w:rsid w:val="006159D4"/>
    <w:rsid w:val="006159E0"/>
    <w:rsid w:val="00615A7A"/>
    <w:rsid w:val="00615D9C"/>
    <w:rsid w:val="00615DD3"/>
    <w:rsid w:val="0061651F"/>
    <w:rsid w:val="00616591"/>
    <w:rsid w:val="00616FFB"/>
    <w:rsid w:val="0061770D"/>
    <w:rsid w:val="00617711"/>
    <w:rsid w:val="0062018F"/>
    <w:rsid w:val="006201F2"/>
    <w:rsid w:val="00620461"/>
    <w:rsid w:val="006207D5"/>
    <w:rsid w:val="0062095D"/>
    <w:rsid w:val="00620A5C"/>
    <w:rsid w:val="00620B87"/>
    <w:rsid w:val="00620D6B"/>
    <w:rsid w:val="00620E63"/>
    <w:rsid w:val="00620FEA"/>
    <w:rsid w:val="0062139E"/>
    <w:rsid w:val="00621461"/>
    <w:rsid w:val="0062165E"/>
    <w:rsid w:val="00621AC9"/>
    <w:rsid w:val="00621B6C"/>
    <w:rsid w:val="00621BB3"/>
    <w:rsid w:val="00621C04"/>
    <w:rsid w:val="00621D47"/>
    <w:rsid w:val="00622269"/>
    <w:rsid w:val="00622BA1"/>
    <w:rsid w:val="00622D6D"/>
    <w:rsid w:val="00622D72"/>
    <w:rsid w:val="00622F9F"/>
    <w:rsid w:val="006230F6"/>
    <w:rsid w:val="00623570"/>
    <w:rsid w:val="00623C04"/>
    <w:rsid w:val="00623F57"/>
    <w:rsid w:val="006240A8"/>
    <w:rsid w:val="006242A6"/>
    <w:rsid w:val="0062448F"/>
    <w:rsid w:val="0062457B"/>
    <w:rsid w:val="006253E8"/>
    <w:rsid w:val="00625708"/>
    <w:rsid w:val="006258FF"/>
    <w:rsid w:val="00625E7D"/>
    <w:rsid w:val="00625F37"/>
    <w:rsid w:val="006261A5"/>
    <w:rsid w:val="006261E1"/>
    <w:rsid w:val="0062628B"/>
    <w:rsid w:val="006262C4"/>
    <w:rsid w:val="0062650C"/>
    <w:rsid w:val="006268D4"/>
    <w:rsid w:val="00626C1F"/>
    <w:rsid w:val="00626D5D"/>
    <w:rsid w:val="00626D9F"/>
    <w:rsid w:val="00627597"/>
    <w:rsid w:val="00627A6D"/>
    <w:rsid w:val="00627C53"/>
    <w:rsid w:val="00627CBC"/>
    <w:rsid w:val="00627EF3"/>
    <w:rsid w:val="00630229"/>
    <w:rsid w:val="006302B0"/>
    <w:rsid w:val="0063083D"/>
    <w:rsid w:val="006308A2"/>
    <w:rsid w:val="00630999"/>
    <w:rsid w:val="00630DDC"/>
    <w:rsid w:val="00630F00"/>
    <w:rsid w:val="00630F09"/>
    <w:rsid w:val="006313C7"/>
    <w:rsid w:val="006315AF"/>
    <w:rsid w:val="006323E1"/>
    <w:rsid w:val="006324B2"/>
    <w:rsid w:val="0063258C"/>
    <w:rsid w:val="00632B8F"/>
    <w:rsid w:val="00632E0B"/>
    <w:rsid w:val="00632EF0"/>
    <w:rsid w:val="006331BA"/>
    <w:rsid w:val="006334A3"/>
    <w:rsid w:val="006334D7"/>
    <w:rsid w:val="006339C3"/>
    <w:rsid w:val="006339F8"/>
    <w:rsid w:val="00633D35"/>
    <w:rsid w:val="00633D61"/>
    <w:rsid w:val="00633E25"/>
    <w:rsid w:val="0063416A"/>
    <w:rsid w:val="0063416D"/>
    <w:rsid w:val="00634405"/>
    <w:rsid w:val="00634D22"/>
    <w:rsid w:val="00634E5B"/>
    <w:rsid w:val="00634E71"/>
    <w:rsid w:val="00634F1E"/>
    <w:rsid w:val="006350AE"/>
    <w:rsid w:val="006350FC"/>
    <w:rsid w:val="006351B8"/>
    <w:rsid w:val="006359B9"/>
    <w:rsid w:val="006359D1"/>
    <w:rsid w:val="00635C18"/>
    <w:rsid w:val="00635DD4"/>
    <w:rsid w:val="00635E25"/>
    <w:rsid w:val="0063601A"/>
    <w:rsid w:val="00636090"/>
    <w:rsid w:val="006360C4"/>
    <w:rsid w:val="00636336"/>
    <w:rsid w:val="00636431"/>
    <w:rsid w:val="00636D84"/>
    <w:rsid w:val="00636E3C"/>
    <w:rsid w:val="00636F29"/>
    <w:rsid w:val="00637369"/>
    <w:rsid w:val="00637848"/>
    <w:rsid w:val="0063792D"/>
    <w:rsid w:val="00637CB6"/>
    <w:rsid w:val="00637E9B"/>
    <w:rsid w:val="00637F12"/>
    <w:rsid w:val="0063D915"/>
    <w:rsid w:val="00640E18"/>
    <w:rsid w:val="00640F52"/>
    <w:rsid w:val="00641040"/>
    <w:rsid w:val="0064111E"/>
    <w:rsid w:val="0064158B"/>
    <w:rsid w:val="006416C5"/>
    <w:rsid w:val="00641CC8"/>
    <w:rsid w:val="00641F2A"/>
    <w:rsid w:val="00641F5F"/>
    <w:rsid w:val="00642C37"/>
    <w:rsid w:val="006435CA"/>
    <w:rsid w:val="0064371C"/>
    <w:rsid w:val="006438D8"/>
    <w:rsid w:val="006439C9"/>
    <w:rsid w:val="00643B75"/>
    <w:rsid w:val="00643DC0"/>
    <w:rsid w:val="00643F99"/>
    <w:rsid w:val="006441D4"/>
    <w:rsid w:val="00644218"/>
    <w:rsid w:val="00644262"/>
    <w:rsid w:val="00644458"/>
    <w:rsid w:val="0064453F"/>
    <w:rsid w:val="00644590"/>
    <w:rsid w:val="006447EF"/>
    <w:rsid w:val="00644A39"/>
    <w:rsid w:val="00644AAB"/>
    <w:rsid w:val="00644B5C"/>
    <w:rsid w:val="00644B76"/>
    <w:rsid w:val="00644D37"/>
    <w:rsid w:val="00644F40"/>
    <w:rsid w:val="00644F63"/>
    <w:rsid w:val="00645458"/>
    <w:rsid w:val="00645F9A"/>
    <w:rsid w:val="006460A2"/>
    <w:rsid w:val="00646445"/>
    <w:rsid w:val="006464B8"/>
    <w:rsid w:val="00646647"/>
    <w:rsid w:val="00646F48"/>
    <w:rsid w:val="006471AD"/>
    <w:rsid w:val="006472F8"/>
    <w:rsid w:val="00647853"/>
    <w:rsid w:val="006479D4"/>
    <w:rsid w:val="00647B1B"/>
    <w:rsid w:val="006500C8"/>
    <w:rsid w:val="0065063E"/>
    <w:rsid w:val="006507D6"/>
    <w:rsid w:val="00650918"/>
    <w:rsid w:val="00650BD0"/>
    <w:rsid w:val="00650DC4"/>
    <w:rsid w:val="00650FC0"/>
    <w:rsid w:val="006512B1"/>
    <w:rsid w:val="00651366"/>
    <w:rsid w:val="00651498"/>
    <w:rsid w:val="00651633"/>
    <w:rsid w:val="00651E83"/>
    <w:rsid w:val="006521E0"/>
    <w:rsid w:val="006523B7"/>
    <w:rsid w:val="0065251E"/>
    <w:rsid w:val="00652734"/>
    <w:rsid w:val="00652769"/>
    <w:rsid w:val="00652A4D"/>
    <w:rsid w:val="0065307A"/>
    <w:rsid w:val="00653307"/>
    <w:rsid w:val="0065333A"/>
    <w:rsid w:val="006533A9"/>
    <w:rsid w:val="006533AC"/>
    <w:rsid w:val="006536F0"/>
    <w:rsid w:val="006537E0"/>
    <w:rsid w:val="00654828"/>
    <w:rsid w:val="00654AB6"/>
    <w:rsid w:val="00654DD5"/>
    <w:rsid w:val="00655281"/>
    <w:rsid w:val="00655967"/>
    <w:rsid w:val="0065597E"/>
    <w:rsid w:val="00655C41"/>
    <w:rsid w:val="00655CCD"/>
    <w:rsid w:val="00655DC1"/>
    <w:rsid w:val="00655DC9"/>
    <w:rsid w:val="00655F3F"/>
    <w:rsid w:val="00656009"/>
    <w:rsid w:val="00656012"/>
    <w:rsid w:val="006568EC"/>
    <w:rsid w:val="00657252"/>
    <w:rsid w:val="006573C8"/>
    <w:rsid w:val="00657524"/>
    <w:rsid w:val="00657A1B"/>
    <w:rsid w:val="00657C3B"/>
    <w:rsid w:val="00657DDA"/>
    <w:rsid w:val="00657F22"/>
    <w:rsid w:val="0066003E"/>
    <w:rsid w:val="0066011B"/>
    <w:rsid w:val="00660330"/>
    <w:rsid w:val="0066080F"/>
    <w:rsid w:val="0066090C"/>
    <w:rsid w:val="00661330"/>
    <w:rsid w:val="00661557"/>
    <w:rsid w:val="006615F9"/>
    <w:rsid w:val="00661A70"/>
    <w:rsid w:val="00661E42"/>
    <w:rsid w:val="006620BF"/>
    <w:rsid w:val="00662227"/>
    <w:rsid w:val="00662393"/>
    <w:rsid w:val="006623BE"/>
    <w:rsid w:val="006625E8"/>
    <w:rsid w:val="006626BA"/>
    <w:rsid w:val="006626DF"/>
    <w:rsid w:val="00662D24"/>
    <w:rsid w:val="00662D4E"/>
    <w:rsid w:val="00662DBC"/>
    <w:rsid w:val="0066318A"/>
    <w:rsid w:val="00663268"/>
    <w:rsid w:val="00663CC6"/>
    <w:rsid w:val="0066415B"/>
    <w:rsid w:val="00664220"/>
    <w:rsid w:val="006642A7"/>
    <w:rsid w:val="006644A1"/>
    <w:rsid w:val="00664923"/>
    <w:rsid w:val="0066495D"/>
    <w:rsid w:val="00664E46"/>
    <w:rsid w:val="00665423"/>
    <w:rsid w:val="006658C6"/>
    <w:rsid w:val="00665A51"/>
    <w:rsid w:val="00665C39"/>
    <w:rsid w:val="00665F24"/>
    <w:rsid w:val="00666045"/>
    <w:rsid w:val="006664F0"/>
    <w:rsid w:val="006668B4"/>
    <w:rsid w:val="006668DA"/>
    <w:rsid w:val="00666A34"/>
    <w:rsid w:val="00666C2D"/>
    <w:rsid w:val="00667772"/>
    <w:rsid w:val="00667872"/>
    <w:rsid w:val="006679B3"/>
    <w:rsid w:val="00667AF5"/>
    <w:rsid w:val="006700A1"/>
    <w:rsid w:val="00670115"/>
    <w:rsid w:val="00670868"/>
    <w:rsid w:val="0067091E"/>
    <w:rsid w:val="006709A8"/>
    <w:rsid w:val="006709E9"/>
    <w:rsid w:val="00670D50"/>
    <w:rsid w:val="00670DAB"/>
    <w:rsid w:val="00670DE6"/>
    <w:rsid w:val="00670E31"/>
    <w:rsid w:val="0067115A"/>
    <w:rsid w:val="0067125F"/>
    <w:rsid w:val="006714AA"/>
    <w:rsid w:val="0067174E"/>
    <w:rsid w:val="0067187B"/>
    <w:rsid w:val="006718D6"/>
    <w:rsid w:val="006719B5"/>
    <w:rsid w:val="00672699"/>
    <w:rsid w:val="00672740"/>
    <w:rsid w:val="00672E46"/>
    <w:rsid w:val="00673288"/>
    <w:rsid w:val="00673A55"/>
    <w:rsid w:val="0067444E"/>
    <w:rsid w:val="006748BF"/>
    <w:rsid w:val="00674C06"/>
    <w:rsid w:val="00674C10"/>
    <w:rsid w:val="00674E5A"/>
    <w:rsid w:val="0067555F"/>
    <w:rsid w:val="006757C3"/>
    <w:rsid w:val="0067580A"/>
    <w:rsid w:val="00675938"/>
    <w:rsid w:val="0067594D"/>
    <w:rsid w:val="00675C5A"/>
    <w:rsid w:val="00675DBB"/>
    <w:rsid w:val="00676011"/>
    <w:rsid w:val="006760BC"/>
    <w:rsid w:val="0067615C"/>
    <w:rsid w:val="006763C2"/>
    <w:rsid w:val="0067681C"/>
    <w:rsid w:val="00676871"/>
    <w:rsid w:val="00676A2D"/>
    <w:rsid w:val="00676AC6"/>
    <w:rsid w:val="00676C3E"/>
    <w:rsid w:val="0067774A"/>
    <w:rsid w:val="006777B3"/>
    <w:rsid w:val="00677817"/>
    <w:rsid w:val="00680228"/>
    <w:rsid w:val="00680262"/>
    <w:rsid w:val="006803DF"/>
    <w:rsid w:val="00680C50"/>
    <w:rsid w:val="00680CAA"/>
    <w:rsid w:val="00680CBB"/>
    <w:rsid w:val="00680CC6"/>
    <w:rsid w:val="00680CED"/>
    <w:rsid w:val="00680D20"/>
    <w:rsid w:val="00680D77"/>
    <w:rsid w:val="0068105E"/>
    <w:rsid w:val="00681311"/>
    <w:rsid w:val="006816E1"/>
    <w:rsid w:val="00681B89"/>
    <w:rsid w:val="00681DF1"/>
    <w:rsid w:val="006820DE"/>
    <w:rsid w:val="00682135"/>
    <w:rsid w:val="0068264B"/>
    <w:rsid w:val="006827D2"/>
    <w:rsid w:val="00682D89"/>
    <w:rsid w:val="00683163"/>
    <w:rsid w:val="006838C5"/>
    <w:rsid w:val="00683BA4"/>
    <w:rsid w:val="00683E6F"/>
    <w:rsid w:val="0068439E"/>
    <w:rsid w:val="00684835"/>
    <w:rsid w:val="006848D0"/>
    <w:rsid w:val="00684B22"/>
    <w:rsid w:val="006852A5"/>
    <w:rsid w:val="006852F3"/>
    <w:rsid w:val="006854EA"/>
    <w:rsid w:val="00685BC4"/>
    <w:rsid w:val="00685D92"/>
    <w:rsid w:val="00686D93"/>
    <w:rsid w:val="00686DC0"/>
    <w:rsid w:val="00686EBB"/>
    <w:rsid w:val="00687233"/>
    <w:rsid w:val="00687329"/>
    <w:rsid w:val="0068778C"/>
    <w:rsid w:val="006878CE"/>
    <w:rsid w:val="00687DB6"/>
    <w:rsid w:val="006902D7"/>
    <w:rsid w:val="00690534"/>
    <w:rsid w:val="006905A3"/>
    <w:rsid w:val="00690686"/>
    <w:rsid w:val="0069088D"/>
    <w:rsid w:val="00690E88"/>
    <w:rsid w:val="00690F87"/>
    <w:rsid w:val="00691578"/>
    <w:rsid w:val="00691EFC"/>
    <w:rsid w:val="0069245A"/>
    <w:rsid w:val="00692536"/>
    <w:rsid w:val="00692AEC"/>
    <w:rsid w:val="00692B04"/>
    <w:rsid w:val="00692B3E"/>
    <w:rsid w:val="00692B6E"/>
    <w:rsid w:val="00692D2C"/>
    <w:rsid w:val="00692D78"/>
    <w:rsid w:val="0069357B"/>
    <w:rsid w:val="00693633"/>
    <w:rsid w:val="00693759"/>
    <w:rsid w:val="00693885"/>
    <w:rsid w:val="00694129"/>
    <w:rsid w:val="00694236"/>
    <w:rsid w:val="0069491F"/>
    <w:rsid w:val="00694B13"/>
    <w:rsid w:val="0069500E"/>
    <w:rsid w:val="006950A9"/>
    <w:rsid w:val="006950F7"/>
    <w:rsid w:val="006956E9"/>
    <w:rsid w:val="00695808"/>
    <w:rsid w:val="00696340"/>
    <w:rsid w:val="00696438"/>
    <w:rsid w:val="0069676B"/>
    <w:rsid w:val="006967DC"/>
    <w:rsid w:val="006968FE"/>
    <w:rsid w:val="00696BC0"/>
    <w:rsid w:val="00696C30"/>
    <w:rsid w:val="006971C9"/>
    <w:rsid w:val="006972A7"/>
    <w:rsid w:val="0069761E"/>
    <w:rsid w:val="006976AF"/>
    <w:rsid w:val="006977ED"/>
    <w:rsid w:val="006978DD"/>
    <w:rsid w:val="0069793E"/>
    <w:rsid w:val="00697D7C"/>
    <w:rsid w:val="00697E42"/>
    <w:rsid w:val="006A0005"/>
    <w:rsid w:val="006A0577"/>
    <w:rsid w:val="006A062D"/>
    <w:rsid w:val="006A06E7"/>
    <w:rsid w:val="006A076E"/>
    <w:rsid w:val="006A1463"/>
    <w:rsid w:val="006A1501"/>
    <w:rsid w:val="006A195B"/>
    <w:rsid w:val="006A1E99"/>
    <w:rsid w:val="006A1EA9"/>
    <w:rsid w:val="006A1EE2"/>
    <w:rsid w:val="006A2573"/>
    <w:rsid w:val="006A2A57"/>
    <w:rsid w:val="006A2C41"/>
    <w:rsid w:val="006A2EB7"/>
    <w:rsid w:val="006A2EF9"/>
    <w:rsid w:val="006A3086"/>
    <w:rsid w:val="006A318B"/>
    <w:rsid w:val="006A3943"/>
    <w:rsid w:val="006A3AC4"/>
    <w:rsid w:val="006A405A"/>
    <w:rsid w:val="006A40E9"/>
    <w:rsid w:val="006A476B"/>
    <w:rsid w:val="006A4972"/>
    <w:rsid w:val="006A49F9"/>
    <w:rsid w:val="006A4C52"/>
    <w:rsid w:val="006A4DD8"/>
    <w:rsid w:val="006A5553"/>
    <w:rsid w:val="006A5790"/>
    <w:rsid w:val="006A5836"/>
    <w:rsid w:val="006A58E6"/>
    <w:rsid w:val="006A58FD"/>
    <w:rsid w:val="006A5B3F"/>
    <w:rsid w:val="006A5C27"/>
    <w:rsid w:val="006A5E7A"/>
    <w:rsid w:val="006A630B"/>
    <w:rsid w:val="006A66A0"/>
    <w:rsid w:val="006A6814"/>
    <w:rsid w:val="006A691B"/>
    <w:rsid w:val="006A6975"/>
    <w:rsid w:val="006A6996"/>
    <w:rsid w:val="006A6A72"/>
    <w:rsid w:val="006A6AAD"/>
    <w:rsid w:val="006A6B2D"/>
    <w:rsid w:val="006A6C26"/>
    <w:rsid w:val="006A7CE4"/>
    <w:rsid w:val="006A7DC6"/>
    <w:rsid w:val="006B0094"/>
    <w:rsid w:val="006B02E7"/>
    <w:rsid w:val="006B0793"/>
    <w:rsid w:val="006B0A77"/>
    <w:rsid w:val="006B129C"/>
    <w:rsid w:val="006B15AA"/>
    <w:rsid w:val="006B1618"/>
    <w:rsid w:val="006B168F"/>
    <w:rsid w:val="006B1892"/>
    <w:rsid w:val="006B1A76"/>
    <w:rsid w:val="006B1B50"/>
    <w:rsid w:val="006B1D34"/>
    <w:rsid w:val="006B1FDD"/>
    <w:rsid w:val="006B24E2"/>
    <w:rsid w:val="006B257D"/>
    <w:rsid w:val="006B26C6"/>
    <w:rsid w:val="006B2B72"/>
    <w:rsid w:val="006B2BDE"/>
    <w:rsid w:val="006B357C"/>
    <w:rsid w:val="006B36AB"/>
    <w:rsid w:val="006B36DE"/>
    <w:rsid w:val="006B3759"/>
    <w:rsid w:val="006B409E"/>
    <w:rsid w:val="006B40A6"/>
    <w:rsid w:val="006B4184"/>
    <w:rsid w:val="006B4954"/>
    <w:rsid w:val="006B4D63"/>
    <w:rsid w:val="006B5317"/>
    <w:rsid w:val="006B5580"/>
    <w:rsid w:val="006B5681"/>
    <w:rsid w:val="006B5896"/>
    <w:rsid w:val="006B5DCC"/>
    <w:rsid w:val="006B5F4E"/>
    <w:rsid w:val="006B5F78"/>
    <w:rsid w:val="006B656B"/>
    <w:rsid w:val="006B66A4"/>
    <w:rsid w:val="006B66D4"/>
    <w:rsid w:val="006B758F"/>
    <w:rsid w:val="006B7ED8"/>
    <w:rsid w:val="006C01DD"/>
    <w:rsid w:val="006C0200"/>
    <w:rsid w:val="006C0826"/>
    <w:rsid w:val="006C0C21"/>
    <w:rsid w:val="006C0F3B"/>
    <w:rsid w:val="006C11DD"/>
    <w:rsid w:val="006C14DA"/>
    <w:rsid w:val="006C1645"/>
    <w:rsid w:val="006C1A74"/>
    <w:rsid w:val="006C2682"/>
    <w:rsid w:val="006C2759"/>
    <w:rsid w:val="006C2A1C"/>
    <w:rsid w:val="006C2A3D"/>
    <w:rsid w:val="006C2FD4"/>
    <w:rsid w:val="006C31DC"/>
    <w:rsid w:val="006C3A30"/>
    <w:rsid w:val="006C3B04"/>
    <w:rsid w:val="006C41AD"/>
    <w:rsid w:val="006C4662"/>
    <w:rsid w:val="006C467F"/>
    <w:rsid w:val="006C4785"/>
    <w:rsid w:val="006C48E4"/>
    <w:rsid w:val="006C4AD1"/>
    <w:rsid w:val="006C4C3D"/>
    <w:rsid w:val="006C4D3C"/>
    <w:rsid w:val="006C527D"/>
    <w:rsid w:val="006C5327"/>
    <w:rsid w:val="006C552F"/>
    <w:rsid w:val="006C58EF"/>
    <w:rsid w:val="006C6331"/>
    <w:rsid w:val="006C63EC"/>
    <w:rsid w:val="006C6A45"/>
    <w:rsid w:val="006C6E8D"/>
    <w:rsid w:val="006C7138"/>
    <w:rsid w:val="006C72D1"/>
    <w:rsid w:val="006C77CB"/>
    <w:rsid w:val="006C78A7"/>
    <w:rsid w:val="006C7969"/>
    <w:rsid w:val="006C797D"/>
    <w:rsid w:val="006C7BC3"/>
    <w:rsid w:val="006C7BDF"/>
    <w:rsid w:val="006C7D3A"/>
    <w:rsid w:val="006C7D94"/>
    <w:rsid w:val="006C7DB8"/>
    <w:rsid w:val="006C7E90"/>
    <w:rsid w:val="006D03C5"/>
    <w:rsid w:val="006D0483"/>
    <w:rsid w:val="006D0B26"/>
    <w:rsid w:val="006D0B3F"/>
    <w:rsid w:val="006D0BE1"/>
    <w:rsid w:val="006D0E97"/>
    <w:rsid w:val="006D0F40"/>
    <w:rsid w:val="006D15BA"/>
    <w:rsid w:val="006D1CA0"/>
    <w:rsid w:val="006D2152"/>
    <w:rsid w:val="006D22BF"/>
    <w:rsid w:val="006D293A"/>
    <w:rsid w:val="006D2A96"/>
    <w:rsid w:val="006D31E1"/>
    <w:rsid w:val="006D32C4"/>
    <w:rsid w:val="006D3BE4"/>
    <w:rsid w:val="006D3DC4"/>
    <w:rsid w:val="006D4063"/>
    <w:rsid w:val="006D436F"/>
    <w:rsid w:val="006D45F6"/>
    <w:rsid w:val="006D463F"/>
    <w:rsid w:val="006D47F9"/>
    <w:rsid w:val="006D5638"/>
    <w:rsid w:val="006D57A7"/>
    <w:rsid w:val="006D5B56"/>
    <w:rsid w:val="006D5BAE"/>
    <w:rsid w:val="006D5D14"/>
    <w:rsid w:val="006D5D79"/>
    <w:rsid w:val="006D6002"/>
    <w:rsid w:val="006D603F"/>
    <w:rsid w:val="006D6043"/>
    <w:rsid w:val="006D66C1"/>
    <w:rsid w:val="006D6AC9"/>
    <w:rsid w:val="006D730B"/>
    <w:rsid w:val="006D73AC"/>
    <w:rsid w:val="006D74ED"/>
    <w:rsid w:val="006D7587"/>
    <w:rsid w:val="006D78FF"/>
    <w:rsid w:val="006D7B26"/>
    <w:rsid w:val="006D7B51"/>
    <w:rsid w:val="006D7B8A"/>
    <w:rsid w:val="006E0282"/>
    <w:rsid w:val="006E0A09"/>
    <w:rsid w:val="006E0AA1"/>
    <w:rsid w:val="006E0D18"/>
    <w:rsid w:val="006E0DB1"/>
    <w:rsid w:val="006E0DC3"/>
    <w:rsid w:val="006E1116"/>
    <w:rsid w:val="006E129D"/>
    <w:rsid w:val="006E150C"/>
    <w:rsid w:val="006E1667"/>
    <w:rsid w:val="006E1705"/>
    <w:rsid w:val="006E194F"/>
    <w:rsid w:val="006E1B42"/>
    <w:rsid w:val="006E1F43"/>
    <w:rsid w:val="006E21AE"/>
    <w:rsid w:val="006E294F"/>
    <w:rsid w:val="006E2EF7"/>
    <w:rsid w:val="006E3080"/>
    <w:rsid w:val="006E320B"/>
    <w:rsid w:val="006E324A"/>
    <w:rsid w:val="006E324D"/>
    <w:rsid w:val="006E34EA"/>
    <w:rsid w:val="006E38F5"/>
    <w:rsid w:val="006E3A12"/>
    <w:rsid w:val="006E3A4F"/>
    <w:rsid w:val="006E40B4"/>
    <w:rsid w:val="006E46EE"/>
    <w:rsid w:val="006E49BC"/>
    <w:rsid w:val="006E4B93"/>
    <w:rsid w:val="006E4C62"/>
    <w:rsid w:val="006E4F7B"/>
    <w:rsid w:val="006E5270"/>
    <w:rsid w:val="006E52E7"/>
    <w:rsid w:val="006E54E7"/>
    <w:rsid w:val="006E5637"/>
    <w:rsid w:val="006E564B"/>
    <w:rsid w:val="006E569E"/>
    <w:rsid w:val="006E56A7"/>
    <w:rsid w:val="006E5B18"/>
    <w:rsid w:val="006E5E8B"/>
    <w:rsid w:val="006E5FAB"/>
    <w:rsid w:val="006E61FE"/>
    <w:rsid w:val="006E6AD5"/>
    <w:rsid w:val="006E6B9B"/>
    <w:rsid w:val="006E705B"/>
    <w:rsid w:val="006E7099"/>
    <w:rsid w:val="006E70CA"/>
    <w:rsid w:val="006E718C"/>
    <w:rsid w:val="006E755A"/>
    <w:rsid w:val="006E768A"/>
    <w:rsid w:val="006E7703"/>
    <w:rsid w:val="006E78A7"/>
    <w:rsid w:val="006E7EBE"/>
    <w:rsid w:val="006F001F"/>
    <w:rsid w:val="006F0159"/>
    <w:rsid w:val="006F01B7"/>
    <w:rsid w:val="006F0232"/>
    <w:rsid w:val="006F0665"/>
    <w:rsid w:val="006F0967"/>
    <w:rsid w:val="006F09B2"/>
    <w:rsid w:val="006F1476"/>
    <w:rsid w:val="006F169E"/>
    <w:rsid w:val="006F16D6"/>
    <w:rsid w:val="006F1A7C"/>
    <w:rsid w:val="006F1E4B"/>
    <w:rsid w:val="006F1EA4"/>
    <w:rsid w:val="006F22A4"/>
    <w:rsid w:val="006F2418"/>
    <w:rsid w:val="006F2735"/>
    <w:rsid w:val="006F293B"/>
    <w:rsid w:val="006F2B4B"/>
    <w:rsid w:val="006F2C75"/>
    <w:rsid w:val="006F2D9A"/>
    <w:rsid w:val="006F34AD"/>
    <w:rsid w:val="006F35E0"/>
    <w:rsid w:val="006F39AA"/>
    <w:rsid w:val="006F43EF"/>
    <w:rsid w:val="006F45FA"/>
    <w:rsid w:val="006F4820"/>
    <w:rsid w:val="006F4AAB"/>
    <w:rsid w:val="006F4CD0"/>
    <w:rsid w:val="006F4E28"/>
    <w:rsid w:val="006F50D1"/>
    <w:rsid w:val="006F551C"/>
    <w:rsid w:val="006F55C1"/>
    <w:rsid w:val="006F575A"/>
    <w:rsid w:val="006F586D"/>
    <w:rsid w:val="006F599B"/>
    <w:rsid w:val="006F5A17"/>
    <w:rsid w:val="006F5B1D"/>
    <w:rsid w:val="006F63A8"/>
    <w:rsid w:val="006F6754"/>
    <w:rsid w:val="006F6820"/>
    <w:rsid w:val="006F7B11"/>
    <w:rsid w:val="007003BA"/>
    <w:rsid w:val="007009ED"/>
    <w:rsid w:val="007009FD"/>
    <w:rsid w:val="00700A06"/>
    <w:rsid w:val="00700BD3"/>
    <w:rsid w:val="00700DD7"/>
    <w:rsid w:val="00701115"/>
    <w:rsid w:val="007013FF"/>
    <w:rsid w:val="00701632"/>
    <w:rsid w:val="007018F5"/>
    <w:rsid w:val="00701A21"/>
    <w:rsid w:val="007020F1"/>
    <w:rsid w:val="0070238E"/>
    <w:rsid w:val="007028F6"/>
    <w:rsid w:val="00702BB3"/>
    <w:rsid w:val="00702DF7"/>
    <w:rsid w:val="00703335"/>
    <w:rsid w:val="0070392B"/>
    <w:rsid w:val="00703D7C"/>
    <w:rsid w:val="00703DC2"/>
    <w:rsid w:val="0070435A"/>
    <w:rsid w:val="007043CC"/>
    <w:rsid w:val="00704762"/>
    <w:rsid w:val="00704AB3"/>
    <w:rsid w:val="00704BA7"/>
    <w:rsid w:val="00704CE0"/>
    <w:rsid w:val="00705059"/>
    <w:rsid w:val="007053F0"/>
    <w:rsid w:val="00705607"/>
    <w:rsid w:val="007057E2"/>
    <w:rsid w:val="00705A17"/>
    <w:rsid w:val="00705C5D"/>
    <w:rsid w:val="00705C66"/>
    <w:rsid w:val="00705C74"/>
    <w:rsid w:val="00705CF3"/>
    <w:rsid w:val="00706279"/>
    <w:rsid w:val="007065B7"/>
    <w:rsid w:val="00706C2A"/>
    <w:rsid w:val="00706C4B"/>
    <w:rsid w:val="00706D36"/>
    <w:rsid w:val="00707076"/>
    <w:rsid w:val="00707502"/>
    <w:rsid w:val="00707589"/>
    <w:rsid w:val="007076F4"/>
    <w:rsid w:val="00707703"/>
    <w:rsid w:val="00707775"/>
    <w:rsid w:val="00707A3A"/>
    <w:rsid w:val="00707ABB"/>
    <w:rsid w:val="00707BEE"/>
    <w:rsid w:val="00707CA4"/>
    <w:rsid w:val="00707CEE"/>
    <w:rsid w:val="00707DBD"/>
    <w:rsid w:val="00707E20"/>
    <w:rsid w:val="00707E70"/>
    <w:rsid w:val="007104EF"/>
    <w:rsid w:val="007105C5"/>
    <w:rsid w:val="00710614"/>
    <w:rsid w:val="007108BB"/>
    <w:rsid w:val="00710CC1"/>
    <w:rsid w:val="00710E93"/>
    <w:rsid w:val="00710EAE"/>
    <w:rsid w:val="0071178F"/>
    <w:rsid w:val="007117EE"/>
    <w:rsid w:val="0071191F"/>
    <w:rsid w:val="007123AE"/>
    <w:rsid w:val="0071250D"/>
    <w:rsid w:val="00712768"/>
    <w:rsid w:val="0071283F"/>
    <w:rsid w:val="0071294C"/>
    <w:rsid w:val="00712965"/>
    <w:rsid w:val="0071301B"/>
    <w:rsid w:val="0071330A"/>
    <w:rsid w:val="00713491"/>
    <w:rsid w:val="007135C1"/>
    <w:rsid w:val="0071391B"/>
    <w:rsid w:val="00713CBD"/>
    <w:rsid w:val="00714056"/>
    <w:rsid w:val="007140C4"/>
    <w:rsid w:val="00714505"/>
    <w:rsid w:val="0071454B"/>
    <w:rsid w:val="00714597"/>
    <w:rsid w:val="00714939"/>
    <w:rsid w:val="00714AF4"/>
    <w:rsid w:val="00714DDD"/>
    <w:rsid w:val="00715086"/>
    <w:rsid w:val="007151DA"/>
    <w:rsid w:val="00715393"/>
    <w:rsid w:val="0071562E"/>
    <w:rsid w:val="00715F29"/>
    <w:rsid w:val="00716028"/>
    <w:rsid w:val="007164EB"/>
    <w:rsid w:val="0071660C"/>
    <w:rsid w:val="0071665F"/>
    <w:rsid w:val="00716816"/>
    <w:rsid w:val="00716B61"/>
    <w:rsid w:val="00716C2F"/>
    <w:rsid w:val="00716D76"/>
    <w:rsid w:val="007172E7"/>
    <w:rsid w:val="0071741B"/>
    <w:rsid w:val="007174D4"/>
    <w:rsid w:val="007177F6"/>
    <w:rsid w:val="007178AA"/>
    <w:rsid w:val="00717B8F"/>
    <w:rsid w:val="00717E2F"/>
    <w:rsid w:val="00720071"/>
    <w:rsid w:val="00720264"/>
    <w:rsid w:val="007202AD"/>
    <w:rsid w:val="00720670"/>
    <w:rsid w:val="007206CA"/>
    <w:rsid w:val="0072092D"/>
    <w:rsid w:val="0072093C"/>
    <w:rsid w:val="00720A7C"/>
    <w:rsid w:val="00720B82"/>
    <w:rsid w:val="0072130F"/>
    <w:rsid w:val="00721570"/>
    <w:rsid w:val="00721731"/>
    <w:rsid w:val="0072190C"/>
    <w:rsid w:val="00721B59"/>
    <w:rsid w:val="00721C45"/>
    <w:rsid w:val="00721D8C"/>
    <w:rsid w:val="00721E80"/>
    <w:rsid w:val="00721E9E"/>
    <w:rsid w:val="007223A8"/>
    <w:rsid w:val="007223DC"/>
    <w:rsid w:val="00722AEF"/>
    <w:rsid w:val="00722F0D"/>
    <w:rsid w:val="007231B5"/>
    <w:rsid w:val="007233DA"/>
    <w:rsid w:val="007236D9"/>
    <w:rsid w:val="00723761"/>
    <w:rsid w:val="00723CC2"/>
    <w:rsid w:val="00723CE2"/>
    <w:rsid w:val="0072454B"/>
    <w:rsid w:val="00724D7C"/>
    <w:rsid w:val="00724E91"/>
    <w:rsid w:val="00724F4D"/>
    <w:rsid w:val="00724FD5"/>
    <w:rsid w:val="00725221"/>
    <w:rsid w:val="007254A6"/>
    <w:rsid w:val="0072596C"/>
    <w:rsid w:val="00725C25"/>
    <w:rsid w:val="007260CB"/>
    <w:rsid w:val="00726583"/>
    <w:rsid w:val="00726753"/>
    <w:rsid w:val="00726837"/>
    <w:rsid w:val="0072702A"/>
    <w:rsid w:val="007274AC"/>
    <w:rsid w:val="0072762A"/>
    <w:rsid w:val="00727853"/>
    <w:rsid w:val="00727C55"/>
    <w:rsid w:val="00727C93"/>
    <w:rsid w:val="00730183"/>
    <w:rsid w:val="007306DC"/>
    <w:rsid w:val="0073084A"/>
    <w:rsid w:val="00730B5C"/>
    <w:rsid w:val="00730CB6"/>
    <w:rsid w:val="00730DA5"/>
    <w:rsid w:val="00730F18"/>
    <w:rsid w:val="00731713"/>
    <w:rsid w:val="0073179B"/>
    <w:rsid w:val="00731B54"/>
    <w:rsid w:val="00731D66"/>
    <w:rsid w:val="00732616"/>
    <w:rsid w:val="0073268F"/>
    <w:rsid w:val="00732908"/>
    <w:rsid w:val="007329E6"/>
    <w:rsid w:val="00732B70"/>
    <w:rsid w:val="00732BCF"/>
    <w:rsid w:val="00732CF1"/>
    <w:rsid w:val="00732D2F"/>
    <w:rsid w:val="007333A0"/>
    <w:rsid w:val="00733428"/>
    <w:rsid w:val="00733575"/>
    <w:rsid w:val="00734675"/>
    <w:rsid w:val="00734737"/>
    <w:rsid w:val="0073492E"/>
    <w:rsid w:val="00734CF1"/>
    <w:rsid w:val="00734D22"/>
    <w:rsid w:val="00734DA3"/>
    <w:rsid w:val="00735049"/>
    <w:rsid w:val="00735352"/>
    <w:rsid w:val="0073576D"/>
    <w:rsid w:val="00735891"/>
    <w:rsid w:val="00735FF9"/>
    <w:rsid w:val="007361B3"/>
    <w:rsid w:val="0073680D"/>
    <w:rsid w:val="0073689E"/>
    <w:rsid w:val="007368AD"/>
    <w:rsid w:val="00736E92"/>
    <w:rsid w:val="00736FA6"/>
    <w:rsid w:val="00737744"/>
    <w:rsid w:val="00737C05"/>
    <w:rsid w:val="00737CE8"/>
    <w:rsid w:val="00737D09"/>
    <w:rsid w:val="00740066"/>
    <w:rsid w:val="007407E5"/>
    <w:rsid w:val="007412EC"/>
    <w:rsid w:val="00741693"/>
    <w:rsid w:val="007419AC"/>
    <w:rsid w:val="00741A59"/>
    <w:rsid w:val="00741AB4"/>
    <w:rsid w:val="00741C39"/>
    <w:rsid w:val="0074211E"/>
    <w:rsid w:val="00742178"/>
    <w:rsid w:val="0074239F"/>
    <w:rsid w:val="00742ADB"/>
    <w:rsid w:val="00742F08"/>
    <w:rsid w:val="007430E3"/>
    <w:rsid w:val="00743323"/>
    <w:rsid w:val="007436E8"/>
    <w:rsid w:val="00743DEF"/>
    <w:rsid w:val="00743DF5"/>
    <w:rsid w:val="00744520"/>
    <w:rsid w:val="00744638"/>
    <w:rsid w:val="007449C0"/>
    <w:rsid w:val="00744AD3"/>
    <w:rsid w:val="00744C29"/>
    <w:rsid w:val="00745178"/>
    <w:rsid w:val="007452D1"/>
    <w:rsid w:val="00745319"/>
    <w:rsid w:val="007455A3"/>
    <w:rsid w:val="00745617"/>
    <w:rsid w:val="00745696"/>
    <w:rsid w:val="007458F5"/>
    <w:rsid w:val="00745938"/>
    <w:rsid w:val="007459D1"/>
    <w:rsid w:val="00745B13"/>
    <w:rsid w:val="00745DCC"/>
    <w:rsid w:val="0074629B"/>
    <w:rsid w:val="007468AF"/>
    <w:rsid w:val="00746C16"/>
    <w:rsid w:val="00746DD4"/>
    <w:rsid w:val="00747330"/>
    <w:rsid w:val="007473DD"/>
    <w:rsid w:val="007476B9"/>
    <w:rsid w:val="007476DE"/>
    <w:rsid w:val="00747AAC"/>
    <w:rsid w:val="007505AF"/>
    <w:rsid w:val="007506A2"/>
    <w:rsid w:val="007509B4"/>
    <w:rsid w:val="0075100B"/>
    <w:rsid w:val="00751013"/>
    <w:rsid w:val="00751537"/>
    <w:rsid w:val="00751F21"/>
    <w:rsid w:val="00752094"/>
    <w:rsid w:val="007529B3"/>
    <w:rsid w:val="007529FB"/>
    <w:rsid w:val="00752A28"/>
    <w:rsid w:val="00752B8D"/>
    <w:rsid w:val="00752C8B"/>
    <w:rsid w:val="0075309B"/>
    <w:rsid w:val="007530A4"/>
    <w:rsid w:val="007531B8"/>
    <w:rsid w:val="00753301"/>
    <w:rsid w:val="0075340E"/>
    <w:rsid w:val="00753511"/>
    <w:rsid w:val="00753741"/>
    <w:rsid w:val="0075379F"/>
    <w:rsid w:val="0075383B"/>
    <w:rsid w:val="00753889"/>
    <w:rsid w:val="00753BB4"/>
    <w:rsid w:val="00753C15"/>
    <w:rsid w:val="00753E07"/>
    <w:rsid w:val="007540C0"/>
    <w:rsid w:val="00754555"/>
    <w:rsid w:val="0075472E"/>
    <w:rsid w:val="00754777"/>
    <w:rsid w:val="007547B2"/>
    <w:rsid w:val="007548F4"/>
    <w:rsid w:val="00754FCE"/>
    <w:rsid w:val="0075557C"/>
    <w:rsid w:val="0075561A"/>
    <w:rsid w:val="00755716"/>
    <w:rsid w:val="00755C31"/>
    <w:rsid w:val="00755DE9"/>
    <w:rsid w:val="00755FA6"/>
    <w:rsid w:val="00755FDE"/>
    <w:rsid w:val="00756873"/>
    <w:rsid w:val="00756B6D"/>
    <w:rsid w:val="00756DA1"/>
    <w:rsid w:val="00756E47"/>
    <w:rsid w:val="00756F96"/>
    <w:rsid w:val="00757424"/>
    <w:rsid w:val="00757A1C"/>
    <w:rsid w:val="00757B7D"/>
    <w:rsid w:val="00757BC9"/>
    <w:rsid w:val="00760944"/>
    <w:rsid w:val="00760E2A"/>
    <w:rsid w:val="00760F99"/>
    <w:rsid w:val="007610B7"/>
    <w:rsid w:val="007615A6"/>
    <w:rsid w:val="007618B9"/>
    <w:rsid w:val="00761BE9"/>
    <w:rsid w:val="00761F47"/>
    <w:rsid w:val="00762490"/>
    <w:rsid w:val="00762654"/>
    <w:rsid w:val="007626C3"/>
    <w:rsid w:val="007629A3"/>
    <w:rsid w:val="00762ABE"/>
    <w:rsid w:val="00762CFA"/>
    <w:rsid w:val="00762E0E"/>
    <w:rsid w:val="00762F2F"/>
    <w:rsid w:val="00763075"/>
    <w:rsid w:val="0076328A"/>
    <w:rsid w:val="00763488"/>
    <w:rsid w:val="00763865"/>
    <w:rsid w:val="00764933"/>
    <w:rsid w:val="00764A91"/>
    <w:rsid w:val="00764BC4"/>
    <w:rsid w:val="00764FE9"/>
    <w:rsid w:val="0076509C"/>
    <w:rsid w:val="00765110"/>
    <w:rsid w:val="00765175"/>
    <w:rsid w:val="00765487"/>
    <w:rsid w:val="007655D6"/>
    <w:rsid w:val="00765A57"/>
    <w:rsid w:val="00765C75"/>
    <w:rsid w:val="00766313"/>
    <w:rsid w:val="00766347"/>
    <w:rsid w:val="007665B6"/>
    <w:rsid w:val="007669BB"/>
    <w:rsid w:val="00766A11"/>
    <w:rsid w:val="00766A77"/>
    <w:rsid w:val="00766B77"/>
    <w:rsid w:val="00766FED"/>
    <w:rsid w:val="0076706E"/>
    <w:rsid w:val="007675FD"/>
    <w:rsid w:val="00767C38"/>
    <w:rsid w:val="00770045"/>
    <w:rsid w:val="007702B2"/>
    <w:rsid w:val="007707F5"/>
    <w:rsid w:val="007708C1"/>
    <w:rsid w:val="00770CB3"/>
    <w:rsid w:val="00771D02"/>
    <w:rsid w:val="00771D7B"/>
    <w:rsid w:val="00772150"/>
    <w:rsid w:val="00772689"/>
    <w:rsid w:val="007726F7"/>
    <w:rsid w:val="00772730"/>
    <w:rsid w:val="00772894"/>
    <w:rsid w:val="007728D8"/>
    <w:rsid w:val="00772A1A"/>
    <w:rsid w:val="00772AC2"/>
    <w:rsid w:val="00772ACF"/>
    <w:rsid w:val="00772B91"/>
    <w:rsid w:val="00772C1D"/>
    <w:rsid w:val="00772D95"/>
    <w:rsid w:val="00772DA4"/>
    <w:rsid w:val="007732FD"/>
    <w:rsid w:val="00773543"/>
    <w:rsid w:val="0077384A"/>
    <w:rsid w:val="00774147"/>
    <w:rsid w:val="007741EB"/>
    <w:rsid w:val="007743C7"/>
    <w:rsid w:val="007747C3"/>
    <w:rsid w:val="007748B7"/>
    <w:rsid w:val="00774909"/>
    <w:rsid w:val="007749E7"/>
    <w:rsid w:val="00774BA1"/>
    <w:rsid w:val="00774E6E"/>
    <w:rsid w:val="0077547B"/>
    <w:rsid w:val="00775690"/>
    <w:rsid w:val="00775692"/>
    <w:rsid w:val="007758B1"/>
    <w:rsid w:val="007758F4"/>
    <w:rsid w:val="00775A1A"/>
    <w:rsid w:val="00775FED"/>
    <w:rsid w:val="0077608F"/>
    <w:rsid w:val="007763E2"/>
    <w:rsid w:val="007768A4"/>
    <w:rsid w:val="00776ABE"/>
    <w:rsid w:val="00776B7D"/>
    <w:rsid w:val="00776BA3"/>
    <w:rsid w:val="00776BCA"/>
    <w:rsid w:val="00776D7A"/>
    <w:rsid w:val="00777173"/>
    <w:rsid w:val="00777652"/>
    <w:rsid w:val="007778AD"/>
    <w:rsid w:val="00777921"/>
    <w:rsid w:val="00777AD0"/>
    <w:rsid w:val="00777C41"/>
    <w:rsid w:val="00777E51"/>
    <w:rsid w:val="00777ECE"/>
    <w:rsid w:val="007803E5"/>
    <w:rsid w:val="00780774"/>
    <w:rsid w:val="00780AF4"/>
    <w:rsid w:val="00780EC3"/>
    <w:rsid w:val="007818C7"/>
    <w:rsid w:val="00781948"/>
    <w:rsid w:val="0078221A"/>
    <w:rsid w:val="0078224B"/>
    <w:rsid w:val="007823CF"/>
    <w:rsid w:val="007825EE"/>
    <w:rsid w:val="00782942"/>
    <w:rsid w:val="00782A7E"/>
    <w:rsid w:val="00782FA4"/>
    <w:rsid w:val="0078304A"/>
    <w:rsid w:val="007833E0"/>
    <w:rsid w:val="007834BE"/>
    <w:rsid w:val="0078407C"/>
    <w:rsid w:val="007841DE"/>
    <w:rsid w:val="007842FE"/>
    <w:rsid w:val="00784762"/>
    <w:rsid w:val="00784C70"/>
    <w:rsid w:val="0078570F"/>
    <w:rsid w:val="0078584F"/>
    <w:rsid w:val="00785946"/>
    <w:rsid w:val="00785D32"/>
    <w:rsid w:val="00785F28"/>
    <w:rsid w:val="00786175"/>
    <w:rsid w:val="00786566"/>
    <w:rsid w:val="0078672B"/>
    <w:rsid w:val="00786B2A"/>
    <w:rsid w:val="00787071"/>
    <w:rsid w:val="00787523"/>
    <w:rsid w:val="007876DA"/>
    <w:rsid w:val="0078779D"/>
    <w:rsid w:val="00787A41"/>
    <w:rsid w:val="00787BFC"/>
    <w:rsid w:val="00787DA3"/>
    <w:rsid w:val="00787F91"/>
    <w:rsid w:val="007894F6"/>
    <w:rsid w:val="0079009B"/>
    <w:rsid w:val="007900CA"/>
    <w:rsid w:val="007900F1"/>
    <w:rsid w:val="00790629"/>
    <w:rsid w:val="007908B6"/>
    <w:rsid w:val="00790B39"/>
    <w:rsid w:val="00790C02"/>
    <w:rsid w:val="00790C13"/>
    <w:rsid w:val="00790E77"/>
    <w:rsid w:val="00790FDA"/>
    <w:rsid w:val="00791200"/>
    <w:rsid w:val="007912C8"/>
    <w:rsid w:val="0079142C"/>
    <w:rsid w:val="00791B5F"/>
    <w:rsid w:val="00791E54"/>
    <w:rsid w:val="007929D4"/>
    <w:rsid w:val="00792B29"/>
    <w:rsid w:val="00792ECA"/>
    <w:rsid w:val="00792F35"/>
    <w:rsid w:val="0079395A"/>
    <w:rsid w:val="0079395C"/>
    <w:rsid w:val="00793B62"/>
    <w:rsid w:val="00793BB1"/>
    <w:rsid w:val="00793CEB"/>
    <w:rsid w:val="00793F2D"/>
    <w:rsid w:val="00794106"/>
    <w:rsid w:val="0079419E"/>
    <w:rsid w:val="007942D9"/>
    <w:rsid w:val="007943BC"/>
    <w:rsid w:val="00794445"/>
    <w:rsid w:val="007945B6"/>
    <w:rsid w:val="007945E5"/>
    <w:rsid w:val="00794904"/>
    <w:rsid w:val="0079516D"/>
    <w:rsid w:val="0079530A"/>
    <w:rsid w:val="00795318"/>
    <w:rsid w:val="0079540D"/>
    <w:rsid w:val="0079540F"/>
    <w:rsid w:val="007956B2"/>
    <w:rsid w:val="0079588B"/>
    <w:rsid w:val="00795B1A"/>
    <w:rsid w:val="0079635C"/>
    <w:rsid w:val="00796509"/>
    <w:rsid w:val="00796674"/>
    <w:rsid w:val="00796F93"/>
    <w:rsid w:val="00797028"/>
    <w:rsid w:val="0079713C"/>
    <w:rsid w:val="0079715A"/>
    <w:rsid w:val="0079752B"/>
    <w:rsid w:val="00797555"/>
    <w:rsid w:val="00797643"/>
    <w:rsid w:val="007978B7"/>
    <w:rsid w:val="00797AE4"/>
    <w:rsid w:val="00797B84"/>
    <w:rsid w:val="00797B97"/>
    <w:rsid w:val="00797D05"/>
    <w:rsid w:val="00797E55"/>
    <w:rsid w:val="007A01BF"/>
    <w:rsid w:val="007A055E"/>
    <w:rsid w:val="007A084D"/>
    <w:rsid w:val="007A0C50"/>
    <w:rsid w:val="007A1093"/>
    <w:rsid w:val="007A18B7"/>
    <w:rsid w:val="007A1B85"/>
    <w:rsid w:val="007A1D00"/>
    <w:rsid w:val="007A27D0"/>
    <w:rsid w:val="007A2802"/>
    <w:rsid w:val="007A284E"/>
    <w:rsid w:val="007A2930"/>
    <w:rsid w:val="007A2BA4"/>
    <w:rsid w:val="007A2CAC"/>
    <w:rsid w:val="007A2E70"/>
    <w:rsid w:val="007A328A"/>
    <w:rsid w:val="007A3322"/>
    <w:rsid w:val="007A3370"/>
    <w:rsid w:val="007A338C"/>
    <w:rsid w:val="007A35F5"/>
    <w:rsid w:val="007A3662"/>
    <w:rsid w:val="007A3713"/>
    <w:rsid w:val="007A3755"/>
    <w:rsid w:val="007A376F"/>
    <w:rsid w:val="007A42C5"/>
    <w:rsid w:val="007A45FA"/>
    <w:rsid w:val="007A476B"/>
    <w:rsid w:val="007A4791"/>
    <w:rsid w:val="007A48B2"/>
    <w:rsid w:val="007A4DD5"/>
    <w:rsid w:val="007A4E85"/>
    <w:rsid w:val="007A4EE2"/>
    <w:rsid w:val="007A5395"/>
    <w:rsid w:val="007A545E"/>
    <w:rsid w:val="007A5691"/>
    <w:rsid w:val="007A57CA"/>
    <w:rsid w:val="007A5BB8"/>
    <w:rsid w:val="007A5BE0"/>
    <w:rsid w:val="007A5C12"/>
    <w:rsid w:val="007A5C6C"/>
    <w:rsid w:val="007A5F01"/>
    <w:rsid w:val="007A64B0"/>
    <w:rsid w:val="007A6651"/>
    <w:rsid w:val="007A66FD"/>
    <w:rsid w:val="007A6AD2"/>
    <w:rsid w:val="007A7395"/>
    <w:rsid w:val="007A741A"/>
    <w:rsid w:val="007A7537"/>
    <w:rsid w:val="007A7D14"/>
    <w:rsid w:val="007A7E51"/>
    <w:rsid w:val="007B0077"/>
    <w:rsid w:val="007B0952"/>
    <w:rsid w:val="007B0C4A"/>
    <w:rsid w:val="007B0D84"/>
    <w:rsid w:val="007B0F7D"/>
    <w:rsid w:val="007B10C5"/>
    <w:rsid w:val="007B11A1"/>
    <w:rsid w:val="007B1314"/>
    <w:rsid w:val="007B1804"/>
    <w:rsid w:val="007B19A1"/>
    <w:rsid w:val="007B1AB7"/>
    <w:rsid w:val="007B1CE9"/>
    <w:rsid w:val="007B1D67"/>
    <w:rsid w:val="007B2079"/>
    <w:rsid w:val="007B21BB"/>
    <w:rsid w:val="007B2220"/>
    <w:rsid w:val="007B23FA"/>
    <w:rsid w:val="007B2665"/>
    <w:rsid w:val="007B282D"/>
    <w:rsid w:val="007B2906"/>
    <w:rsid w:val="007B2F79"/>
    <w:rsid w:val="007B3206"/>
    <w:rsid w:val="007B3208"/>
    <w:rsid w:val="007B33E5"/>
    <w:rsid w:val="007B33E6"/>
    <w:rsid w:val="007B3A12"/>
    <w:rsid w:val="007B3A23"/>
    <w:rsid w:val="007B3B7C"/>
    <w:rsid w:val="007B3BD7"/>
    <w:rsid w:val="007B3D07"/>
    <w:rsid w:val="007B3F76"/>
    <w:rsid w:val="007B405D"/>
    <w:rsid w:val="007B40AF"/>
    <w:rsid w:val="007B4651"/>
    <w:rsid w:val="007B4E17"/>
    <w:rsid w:val="007B4F9A"/>
    <w:rsid w:val="007B52BE"/>
    <w:rsid w:val="007B52E1"/>
    <w:rsid w:val="007B59CE"/>
    <w:rsid w:val="007B5B31"/>
    <w:rsid w:val="007B5C63"/>
    <w:rsid w:val="007B5D61"/>
    <w:rsid w:val="007B6340"/>
    <w:rsid w:val="007B68F6"/>
    <w:rsid w:val="007B6C95"/>
    <w:rsid w:val="007B6CD1"/>
    <w:rsid w:val="007B72AC"/>
    <w:rsid w:val="007B7546"/>
    <w:rsid w:val="007B7592"/>
    <w:rsid w:val="007B7753"/>
    <w:rsid w:val="007B7C6E"/>
    <w:rsid w:val="007B7CCF"/>
    <w:rsid w:val="007B7E0E"/>
    <w:rsid w:val="007C0184"/>
    <w:rsid w:val="007C0202"/>
    <w:rsid w:val="007C08F2"/>
    <w:rsid w:val="007C0F07"/>
    <w:rsid w:val="007C12C4"/>
    <w:rsid w:val="007C13ED"/>
    <w:rsid w:val="007C17CD"/>
    <w:rsid w:val="007C193E"/>
    <w:rsid w:val="007C19C2"/>
    <w:rsid w:val="007C223C"/>
    <w:rsid w:val="007C2277"/>
    <w:rsid w:val="007C28EC"/>
    <w:rsid w:val="007C29D2"/>
    <w:rsid w:val="007C2D18"/>
    <w:rsid w:val="007C2DF3"/>
    <w:rsid w:val="007C2E25"/>
    <w:rsid w:val="007C2F3C"/>
    <w:rsid w:val="007C3019"/>
    <w:rsid w:val="007C350E"/>
    <w:rsid w:val="007C3AD6"/>
    <w:rsid w:val="007C3AE1"/>
    <w:rsid w:val="007C4078"/>
    <w:rsid w:val="007C424A"/>
    <w:rsid w:val="007C42A6"/>
    <w:rsid w:val="007C49A3"/>
    <w:rsid w:val="007C49DA"/>
    <w:rsid w:val="007C49FF"/>
    <w:rsid w:val="007C4A0A"/>
    <w:rsid w:val="007C4D18"/>
    <w:rsid w:val="007C518C"/>
    <w:rsid w:val="007C543C"/>
    <w:rsid w:val="007C54E6"/>
    <w:rsid w:val="007C583C"/>
    <w:rsid w:val="007C58F3"/>
    <w:rsid w:val="007C5AF9"/>
    <w:rsid w:val="007C5DB4"/>
    <w:rsid w:val="007C5F52"/>
    <w:rsid w:val="007C6138"/>
    <w:rsid w:val="007C632F"/>
    <w:rsid w:val="007C6350"/>
    <w:rsid w:val="007C66A2"/>
    <w:rsid w:val="007C7192"/>
    <w:rsid w:val="007C7324"/>
    <w:rsid w:val="007C7427"/>
    <w:rsid w:val="007C742C"/>
    <w:rsid w:val="007C7594"/>
    <w:rsid w:val="007C7A72"/>
    <w:rsid w:val="007C7ECA"/>
    <w:rsid w:val="007D02AA"/>
    <w:rsid w:val="007D0742"/>
    <w:rsid w:val="007D0B89"/>
    <w:rsid w:val="007D0CA0"/>
    <w:rsid w:val="007D0F74"/>
    <w:rsid w:val="007D0FD1"/>
    <w:rsid w:val="007D117D"/>
    <w:rsid w:val="007D161B"/>
    <w:rsid w:val="007D1658"/>
    <w:rsid w:val="007D1659"/>
    <w:rsid w:val="007D1904"/>
    <w:rsid w:val="007D1BE8"/>
    <w:rsid w:val="007D21FB"/>
    <w:rsid w:val="007D24CD"/>
    <w:rsid w:val="007D269A"/>
    <w:rsid w:val="007D271C"/>
    <w:rsid w:val="007D2AB9"/>
    <w:rsid w:val="007D2E2E"/>
    <w:rsid w:val="007D2EB9"/>
    <w:rsid w:val="007D3299"/>
    <w:rsid w:val="007D3482"/>
    <w:rsid w:val="007D34BE"/>
    <w:rsid w:val="007D3D6D"/>
    <w:rsid w:val="007D3EEB"/>
    <w:rsid w:val="007D424B"/>
    <w:rsid w:val="007D484A"/>
    <w:rsid w:val="007D4D19"/>
    <w:rsid w:val="007D5023"/>
    <w:rsid w:val="007D5096"/>
    <w:rsid w:val="007D51A7"/>
    <w:rsid w:val="007D53EE"/>
    <w:rsid w:val="007D5543"/>
    <w:rsid w:val="007D5698"/>
    <w:rsid w:val="007D56C6"/>
    <w:rsid w:val="007D57E3"/>
    <w:rsid w:val="007D5CA8"/>
    <w:rsid w:val="007D5E6F"/>
    <w:rsid w:val="007D600C"/>
    <w:rsid w:val="007D6084"/>
    <w:rsid w:val="007D61D8"/>
    <w:rsid w:val="007D6494"/>
    <w:rsid w:val="007D65B7"/>
    <w:rsid w:val="007D68F3"/>
    <w:rsid w:val="007D6921"/>
    <w:rsid w:val="007D6AD0"/>
    <w:rsid w:val="007D7821"/>
    <w:rsid w:val="007D7BED"/>
    <w:rsid w:val="007D7DA5"/>
    <w:rsid w:val="007E020C"/>
    <w:rsid w:val="007E05AE"/>
    <w:rsid w:val="007E073E"/>
    <w:rsid w:val="007E08E0"/>
    <w:rsid w:val="007E0BF6"/>
    <w:rsid w:val="007E0D1F"/>
    <w:rsid w:val="007E0E67"/>
    <w:rsid w:val="007E127C"/>
    <w:rsid w:val="007E1775"/>
    <w:rsid w:val="007E18DC"/>
    <w:rsid w:val="007E197D"/>
    <w:rsid w:val="007E1CDE"/>
    <w:rsid w:val="007E1E18"/>
    <w:rsid w:val="007E1ECE"/>
    <w:rsid w:val="007E1F93"/>
    <w:rsid w:val="007E21C9"/>
    <w:rsid w:val="007E2254"/>
    <w:rsid w:val="007E2A70"/>
    <w:rsid w:val="007E2D96"/>
    <w:rsid w:val="007E300C"/>
    <w:rsid w:val="007E355E"/>
    <w:rsid w:val="007E366F"/>
    <w:rsid w:val="007E4047"/>
    <w:rsid w:val="007E4261"/>
    <w:rsid w:val="007E42F6"/>
    <w:rsid w:val="007E43BC"/>
    <w:rsid w:val="007E4EBA"/>
    <w:rsid w:val="007E52F3"/>
    <w:rsid w:val="007E569E"/>
    <w:rsid w:val="007E5727"/>
    <w:rsid w:val="007E5A03"/>
    <w:rsid w:val="007E6EA6"/>
    <w:rsid w:val="007E74A7"/>
    <w:rsid w:val="007E7552"/>
    <w:rsid w:val="007E76F1"/>
    <w:rsid w:val="007E7848"/>
    <w:rsid w:val="007E78E4"/>
    <w:rsid w:val="007E7EC9"/>
    <w:rsid w:val="007F0117"/>
    <w:rsid w:val="007F03D5"/>
    <w:rsid w:val="007F04C5"/>
    <w:rsid w:val="007F058F"/>
    <w:rsid w:val="007F0E26"/>
    <w:rsid w:val="007F116E"/>
    <w:rsid w:val="007F11A0"/>
    <w:rsid w:val="007F1589"/>
    <w:rsid w:val="007F17B3"/>
    <w:rsid w:val="007F1BAF"/>
    <w:rsid w:val="007F1C74"/>
    <w:rsid w:val="007F1D24"/>
    <w:rsid w:val="007F1F7B"/>
    <w:rsid w:val="007F2034"/>
    <w:rsid w:val="007F24F6"/>
    <w:rsid w:val="007F26C7"/>
    <w:rsid w:val="007F2761"/>
    <w:rsid w:val="007F2854"/>
    <w:rsid w:val="007F28AF"/>
    <w:rsid w:val="007F28D8"/>
    <w:rsid w:val="007F2AE5"/>
    <w:rsid w:val="007F2B76"/>
    <w:rsid w:val="007F2BCA"/>
    <w:rsid w:val="007F31C0"/>
    <w:rsid w:val="007F3914"/>
    <w:rsid w:val="007F3B26"/>
    <w:rsid w:val="007F3FF6"/>
    <w:rsid w:val="007F42B7"/>
    <w:rsid w:val="007F4532"/>
    <w:rsid w:val="007F5000"/>
    <w:rsid w:val="007F5098"/>
    <w:rsid w:val="007F5102"/>
    <w:rsid w:val="007F52B8"/>
    <w:rsid w:val="007F55E9"/>
    <w:rsid w:val="007F5624"/>
    <w:rsid w:val="007F5980"/>
    <w:rsid w:val="007F59AF"/>
    <w:rsid w:val="007F5AA7"/>
    <w:rsid w:val="007F5ADD"/>
    <w:rsid w:val="007F5CDC"/>
    <w:rsid w:val="007F5D7A"/>
    <w:rsid w:val="007F5E0A"/>
    <w:rsid w:val="007F600B"/>
    <w:rsid w:val="007F6EE6"/>
    <w:rsid w:val="007F7019"/>
    <w:rsid w:val="007F73FA"/>
    <w:rsid w:val="007F7699"/>
    <w:rsid w:val="007F7A39"/>
    <w:rsid w:val="007F7C05"/>
    <w:rsid w:val="007F7C56"/>
    <w:rsid w:val="007F7FD1"/>
    <w:rsid w:val="0080038B"/>
    <w:rsid w:val="0080040D"/>
    <w:rsid w:val="00800493"/>
    <w:rsid w:val="00800C44"/>
    <w:rsid w:val="00800D1D"/>
    <w:rsid w:val="00800D69"/>
    <w:rsid w:val="00801361"/>
    <w:rsid w:val="00801508"/>
    <w:rsid w:val="00801660"/>
    <w:rsid w:val="00801950"/>
    <w:rsid w:val="00801D08"/>
    <w:rsid w:val="0080268E"/>
    <w:rsid w:val="00802953"/>
    <w:rsid w:val="00802B0C"/>
    <w:rsid w:val="00802D46"/>
    <w:rsid w:val="00803133"/>
    <w:rsid w:val="00803247"/>
    <w:rsid w:val="0080338A"/>
    <w:rsid w:val="008033C0"/>
    <w:rsid w:val="008035CA"/>
    <w:rsid w:val="00803610"/>
    <w:rsid w:val="00803646"/>
    <w:rsid w:val="00803C84"/>
    <w:rsid w:val="00804041"/>
    <w:rsid w:val="00804423"/>
    <w:rsid w:val="00804772"/>
    <w:rsid w:val="0080495B"/>
    <w:rsid w:val="00804AF2"/>
    <w:rsid w:val="00804B54"/>
    <w:rsid w:val="00804C2B"/>
    <w:rsid w:val="00804CAB"/>
    <w:rsid w:val="00804CD7"/>
    <w:rsid w:val="00804D10"/>
    <w:rsid w:val="00804E18"/>
    <w:rsid w:val="0080551B"/>
    <w:rsid w:val="00805880"/>
    <w:rsid w:val="00805B0A"/>
    <w:rsid w:val="00805D09"/>
    <w:rsid w:val="00805FAB"/>
    <w:rsid w:val="008062FF"/>
    <w:rsid w:val="00806644"/>
    <w:rsid w:val="00806D68"/>
    <w:rsid w:val="00806FE1"/>
    <w:rsid w:val="00807298"/>
    <w:rsid w:val="00807390"/>
    <w:rsid w:val="0080746E"/>
    <w:rsid w:val="008076AA"/>
    <w:rsid w:val="0080781D"/>
    <w:rsid w:val="00807929"/>
    <w:rsid w:val="00807BF9"/>
    <w:rsid w:val="00807C6F"/>
    <w:rsid w:val="00807D06"/>
    <w:rsid w:val="00810045"/>
    <w:rsid w:val="008102E8"/>
    <w:rsid w:val="00810325"/>
    <w:rsid w:val="0081037A"/>
    <w:rsid w:val="00810387"/>
    <w:rsid w:val="00810CAA"/>
    <w:rsid w:val="00810CD2"/>
    <w:rsid w:val="00810F20"/>
    <w:rsid w:val="00810F67"/>
    <w:rsid w:val="00810FAD"/>
    <w:rsid w:val="00810FD5"/>
    <w:rsid w:val="008112A9"/>
    <w:rsid w:val="008113BC"/>
    <w:rsid w:val="008114DE"/>
    <w:rsid w:val="00811CAA"/>
    <w:rsid w:val="00811DD3"/>
    <w:rsid w:val="00811FB2"/>
    <w:rsid w:val="008123E2"/>
    <w:rsid w:val="0081256E"/>
    <w:rsid w:val="0081263E"/>
    <w:rsid w:val="00812986"/>
    <w:rsid w:val="00812B62"/>
    <w:rsid w:val="008133E1"/>
    <w:rsid w:val="008133E4"/>
    <w:rsid w:val="00813917"/>
    <w:rsid w:val="00813AD9"/>
    <w:rsid w:val="00813D68"/>
    <w:rsid w:val="00813E75"/>
    <w:rsid w:val="00813F68"/>
    <w:rsid w:val="0081404D"/>
    <w:rsid w:val="00814272"/>
    <w:rsid w:val="0081466A"/>
    <w:rsid w:val="00814A22"/>
    <w:rsid w:val="00814AC5"/>
    <w:rsid w:val="008151AF"/>
    <w:rsid w:val="00815657"/>
    <w:rsid w:val="008158DA"/>
    <w:rsid w:val="0081599C"/>
    <w:rsid w:val="00815AA3"/>
    <w:rsid w:val="00815C83"/>
    <w:rsid w:val="00815FEA"/>
    <w:rsid w:val="00816AD7"/>
    <w:rsid w:val="00816C97"/>
    <w:rsid w:val="00816F5B"/>
    <w:rsid w:val="00817053"/>
    <w:rsid w:val="0081711B"/>
    <w:rsid w:val="00817394"/>
    <w:rsid w:val="0081762D"/>
    <w:rsid w:val="00817D55"/>
    <w:rsid w:val="00817DCC"/>
    <w:rsid w:val="00817E9C"/>
    <w:rsid w:val="00820406"/>
    <w:rsid w:val="0082085C"/>
    <w:rsid w:val="00820C20"/>
    <w:rsid w:val="00820D29"/>
    <w:rsid w:val="00820D89"/>
    <w:rsid w:val="00820ED0"/>
    <w:rsid w:val="00821255"/>
    <w:rsid w:val="0082127F"/>
    <w:rsid w:val="008215E6"/>
    <w:rsid w:val="00821722"/>
    <w:rsid w:val="0082192A"/>
    <w:rsid w:val="00821A50"/>
    <w:rsid w:val="00821AEE"/>
    <w:rsid w:val="00821CE9"/>
    <w:rsid w:val="00822033"/>
    <w:rsid w:val="008222EC"/>
    <w:rsid w:val="008223F5"/>
    <w:rsid w:val="00822AF7"/>
    <w:rsid w:val="00823090"/>
    <w:rsid w:val="00823174"/>
    <w:rsid w:val="008232EC"/>
    <w:rsid w:val="00823640"/>
    <w:rsid w:val="00823CC6"/>
    <w:rsid w:val="00823DBE"/>
    <w:rsid w:val="00824B79"/>
    <w:rsid w:val="00824BFE"/>
    <w:rsid w:val="008253A1"/>
    <w:rsid w:val="008253EA"/>
    <w:rsid w:val="00825547"/>
    <w:rsid w:val="00825722"/>
    <w:rsid w:val="008259E2"/>
    <w:rsid w:val="00825D77"/>
    <w:rsid w:val="00825E77"/>
    <w:rsid w:val="00826D20"/>
    <w:rsid w:val="00826DD0"/>
    <w:rsid w:val="00826DEF"/>
    <w:rsid w:val="0082741D"/>
    <w:rsid w:val="008274A6"/>
    <w:rsid w:val="00827B08"/>
    <w:rsid w:val="00827D67"/>
    <w:rsid w:val="0082EDCE"/>
    <w:rsid w:val="008305BC"/>
    <w:rsid w:val="00830619"/>
    <w:rsid w:val="008306CB"/>
    <w:rsid w:val="008308AA"/>
    <w:rsid w:val="008309EE"/>
    <w:rsid w:val="00830C4B"/>
    <w:rsid w:val="00830F96"/>
    <w:rsid w:val="00830F9D"/>
    <w:rsid w:val="00831249"/>
    <w:rsid w:val="008314C3"/>
    <w:rsid w:val="008315C6"/>
    <w:rsid w:val="00831A28"/>
    <w:rsid w:val="00831DE7"/>
    <w:rsid w:val="0083225A"/>
    <w:rsid w:val="0083314C"/>
    <w:rsid w:val="00833183"/>
    <w:rsid w:val="008335CE"/>
    <w:rsid w:val="008336AB"/>
    <w:rsid w:val="00833B3F"/>
    <w:rsid w:val="00833FB1"/>
    <w:rsid w:val="00833FE6"/>
    <w:rsid w:val="00834184"/>
    <w:rsid w:val="00834288"/>
    <w:rsid w:val="00834294"/>
    <w:rsid w:val="008342D2"/>
    <w:rsid w:val="0083433C"/>
    <w:rsid w:val="00834348"/>
    <w:rsid w:val="008347C3"/>
    <w:rsid w:val="00834B24"/>
    <w:rsid w:val="00834B31"/>
    <w:rsid w:val="00834C11"/>
    <w:rsid w:val="00834DA1"/>
    <w:rsid w:val="0083505E"/>
    <w:rsid w:val="008352AE"/>
    <w:rsid w:val="008353D6"/>
    <w:rsid w:val="00835A2E"/>
    <w:rsid w:val="00835ACF"/>
    <w:rsid w:val="00835E4F"/>
    <w:rsid w:val="008360DB"/>
    <w:rsid w:val="0083610C"/>
    <w:rsid w:val="008369A6"/>
    <w:rsid w:val="00836BCD"/>
    <w:rsid w:val="00836CC4"/>
    <w:rsid w:val="00837922"/>
    <w:rsid w:val="00837ABE"/>
    <w:rsid w:val="00837B10"/>
    <w:rsid w:val="00837F10"/>
    <w:rsid w:val="00837FC2"/>
    <w:rsid w:val="00837FC8"/>
    <w:rsid w:val="0084010D"/>
    <w:rsid w:val="00840256"/>
    <w:rsid w:val="00840690"/>
    <w:rsid w:val="00840727"/>
    <w:rsid w:val="00841152"/>
    <w:rsid w:val="008411E1"/>
    <w:rsid w:val="00841579"/>
    <w:rsid w:val="00841767"/>
    <w:rsid w:val="008419EA"/>
    <w:rsid w:val="00841EE4"/>
    <w:rsid w:val="00841F7B"/>
    <w:rsid w:val="00842333"/>
    <w:rsid w:val="00842640"/>
    <w:rsid w:val="00842832"/>
    <w:rsid w:val="00842A28"/>
    <w:rsid w:val="00842A9B"/>
    <w:rsid w:val="00842ADB"/>
    <w:rsid w:val="00842F11"/>
    <w:rsid w:val="00842F1F"/>
    <w:rsid w:val="00843A77"/>
    <w:rsid w:val="00843EFB"/>
    <w:rsid w:val="008441B4"/>
    <w:rsid w:val="008448C4"/>
    <w:rsid w:val="00844B6F"/>
    <w:rsid w:val="00844F24"/>
    <w:rsid w:val="008451AA"/>
    <w:rsid w:val="008454F6"/>
    <w:rsid w:val="0084559B"/>
    <w:rsid w:val="00845871"/>
    <w:rsid w:val="008465AD"/>
    <w:rsid w:val="00846844"/>
    <w:rsid w:val="008468D4"/>
    <w:rsid w:val="00846C07"/>
    <w:rsid w:val="00846D80"/>
    <w:rsid w:val="0084758E"/>
    <w:rsid w:val="00847B9B"/>
    <w:rsid w:val="00847CB6"/>
    <w:rsid w:val="00847D2C"/>
    <w:rsid w:val="00847D9B"/>
    <w:rsid w:val="00847FE1"/>
    <w:rsid w:val="00850429"/>
    <w:rsid w:val="00850486"/>
    <w:rsid w:val="008504A2"/>
    <w:rsid w:val="00850FFF"/>
    <w:rsid w:val="00851337"/>
    <w:rsid w:val="008513F6"/>
    <w:rsid w:val="00851415"/>
    <w:rsid w:val="00851694"/>
    <w:rsid w:val="00851816"/>
    <w:rsid w:val="008518B8"/>
    <w:rsid w:val="00851B8F"/>
    <w:rsid w:val="00851EA3"/>
    <w:rsid w:val="00851FFD"/>
    <w:rsid w:val="0085215C"/>
    <w:rsid w:val="0085218A"/>
    <w:rsid w:val="0085219E"/>
    <w:rsid w:val="0085250C"/>
    <w:rsid w:val="00852A6C"/>
    <w:rsid w:val="00852AF3"/>
    <w:rsid w:val="00852C40"/>
    <w:rsid w:val="00852C67"/>
    <w:rsid w:val="00852E20"/>
    <w:rsid w:val="00853025"/>
    <w:rsid w:val="00853173"/>
    <w:rsid w:val="0085345A"/>
    <w:rsid w:val="0085365F"/>
    <w:rsid w:val="00853DFC"/>
    <w:rsid w:val="00853F36"/>
    <w:rsid w:val="00853F39"/>
    <w:rsid w:val="00853F90"/>
    <w:rsid w:val="0085413A"/>
    <w:rsid w:val="008547C0"/>
    <w:rsid w:val="00854B27"/>
    <w:rsid w:val="00854D38"/>
    <w:rsid w:val="00854F2A"/>
    <w:rsid w:val="0085577B"/>
    <w:rsid w:val="0085585E"/>
    <w:rsid w:val="00855B98"/>
    <w:rsid w:val="00855DD8"/>
    <w:rsid w:val="00855E71"/>
    <w:rsid w:val="00855E85"/>
    <w:rsid w:val="00855FAD"/>
    <w:rsid w:val="008560E1"/>
    <w:rsid w:val="00856314"/>
    <w:rsid w:val="008566D0"/>
    <w:rsid w:val="00856741"/>
    <w:rsid w:val="00856927"/>
    <w:rsid w:val="0085697A"/>
    <w:rsid w:val="00856A7D"/>
    <w:rsid w:val="00856D10"/>
    <w:rsid w:val="00856E70"/>
    <w:rsid w:val="008570C8"/>
    <w:rsid w:val="008573DA"/>
    <w:rsid w:val="008575F5"/>
    <w:rsid w:val="0085794E"/>
    <w:rsid w:val="008579ED"/>
    <w:rsid w:val="00857AA4"/>
    <w:rsid w:val="00857C21"/>
    <w:rsid w:val="00857DB8"/>
    <w:rsid w:val="00857F6F"/>
    <w:rsid w:val="008601A0"/>
    <w:rsid w:val="008603CA"/>
    <w:rsid w:val="00860753"/>
    <w:rsid w:val="00860912"/>
    <w:rsid w:val="00860B7F"/>
    <w:rsid w:val="00861297"/>
    <w:rsid w:val="008612B2"/>
    <w:rsid w:val="008617DC"/>
    <w:rsid w:val="00861B17"/>
    <w:rsid w:val="00861CCF"/>
    <w:rsid w:val="00861D1B"/>
    <w:rsid w:val="00861DE4"/>
    <w:rsid w:val="00861DF9"/>
    <w:rsid w:val="00861FD2"/>
    <w:rsid w:val="0086215F"/>
    <w:rsid w:val="008622C4"/>
    <w:rsid w:val="008628E7"/>
    <w:rsid w:val="0086297A"/>
    <w:rsid w:val="00862C03"/>
    <w:rsid w:val="0086300D"/>
    <w:rsid w:val="008631FF"/>
    <w:rsid w:val="008632BA"/>
    <w:rsid w:val="00863525"/>
    <w:rsid w:val="00863A35"/>
    <w:rsid w:val="00863F9F"/>
    <w:rsid w:val="00864831"/>
    <w:rsid w:val="00864A2F"/>
    <w:rsid w:val="00864E12"/>
    <w:rsid w:val="00864E60"/>
    <w:rsid w:val="0086535A"/>
    <w:rsid w:val="0086543C"/>
    <w:rsid w:val="00865767"/>
    <w:rsid w:val="008657E3"/>
    <w:rsid w:val="00865814"/>
    <w:rsid w:val="00865AAC"/>
    <w:rsid w:val="00866117"/>
    <w:rsid w:val="00866181"/>
    <w:rsid w:val="008661A3"/>
    <w:rsid w:val="00866464"/>
    <w:rsid w:val="00866A7D"/>
    <w:rsid w:val="00866AE5"/>
    <w:rsid w:val="00866B34"/>
    <w:rsid w:val="00866C33"/>
    <w:rsid w:val="00866D20"/>
    <w:rsid w:val="00866F8F"/>
    <w:rsid w:val="00867387"/>
    <w:rsid w:val="0086743B"/>
    <w:rsid w:val="00867781"/>
    <w:rsid w:val="00867A67"/>
    <w:rsid w:val="00870168"/>
    <w:rsid w:val="00870239"/>
    <w:rsid w:val="008705B6"/>
    <w:rsid w:val="008705D4"/>
    <w:rsid w:val="0087092E"/>
    <w:rsid w:val="00870A13"/>
    <w:rsid w:val="00870B63"/>
    <w:rsid w:val="0087120D"/>
    <w:rsid w:val="0087154C"/>
    <w:rsid w:val="00871599"/>
    <w:rsid w:val="0087169C"/>
    <w:rsid w:val="00871EB8"/>
    <w:rsid w:val="00871FBC"/>
    <w:rsid w:val="00871FCE"/>
    <w:rsid w:val="008723B4"/>
    <w:rsid w:val="008723D9"/>
    <w:rsid w:val="00872417"/>
    <w:rsid w:val="00872857"/>
    <w:rsid w:val="008729E1"/>
    <w:rsid w:val="00872DC4"/>
    <w:rsid w:val="00872EA1"/>
    <w:rsid w:val="00873016"/>
    <w:rsid w:val="008730AF"/>
    <w:rsid w:val="0087346F"/>
    <w:rsid w:val="008736BD"/>
    <w:rsid w:val="0087390A"/>
    <w:rsid w:val="00873989"/>
    <w:rsid w:val="008741D8"/>
    <w:rsid w:val="00874AA3"/>
    <w:rsid w:val="00874FA9"/>
    <w:rsid w:val="008751CB"/>
    <w:rsid w:val="0087522D"/>
    <w:rsid w:val="00875356"/>
    <w:rsid w:val="008753F4"/>
    <w:rsid w:val="008754E8"/>
    <w:rsid w:val="00875531"/>
    <w:rsid w:val="00875626"/>
    <w:rsid w:val="00875669"/>
    <w:rsid w:val="00875DC2"/>
    <w:rsid w:val="00875E05"/>
    <w:rsid w:val="00876641"/>
    <w:rsid w:val="00876672"/>
    <w:rsid w:val="00876AF7"/>
    <w:rsid w:val="00876E80"/>
    <w:rsid w:val="008770EA"/>
    <w:rsid w:val="0087743D"/>
    <w:rsid w:val="008776FC"/>
    <w:rsid w:val="00877D64"/>
    <w:rsid w:val="00880257"/>
    <w:rsid w:val="00880CD9"/>
    <w:rsid w:val="0088103C"/>
    <w:rsid w:val="008814B1"/>
    <w:rsid w:val="00881676"/>
    <w:rsid w:val="008818F7"/>
    <w:rsid w:val="00881A1A"/>
    <w:rsid w:val="00882134"/>
    <w:rsid w:val="00882B0B"/>
    <w:rsid w:val="00882E9D"/>
    <w:rsid w:val="008830EE"/>
    <w:rsid w:val="008830F7"/>
    <w:rsid w:val="008832C7"/>
    <w:rsid w:val="00883555"/>
    <w:rsid w:val="0088393C"/>
    <w:rsid w:val="00883B92"/>
    <w:rsid w:val="00883E70"/>
    <w:rsid w:val="008841DE"/>
    <w:rsid w:val="00884327"/>
    <w:rsid w:val="00884EBD"/>
    <w:rsid w:val="0088512D"/>
    <w:rsid w:val="00885314"/>
    <w:rsid w:val="008855A0"/>
    <w:rsid w:val="008857D6"/>
    <w:rsid w:val="00885864"/>
    <w:rsid w:val="00885965"/>
    <w:rsid w:val="00885AC2"/>
    <w:rsid w:val="00885B64"/>
    <w:rsid w:val="00885B76"/>
    <w:rsid w:val="00885B91"/>
    <w:rsid w:val="00885E8C"/>
    <w:rsid w:val="0088626D"/>
    <w:rsid w:val="0088639B"/>
    <w:rsid w:val="0088664D"/>
    <w:rsid w:val="00886CB7"/>
    <w:rsid w:val="00886D0D"/>
    <w:rsid w:val="008871BA"/>
    <w:rsid w:val="008874DF"/>
    <w:rsid w:val="008875DF"/>
    <w:rsid w:val="00887AAA"/>
    <w:rsid w:val="00887AD9"/>
    <w:rsid w:val="00887F50"/>
    <w:rsid w:val="00890349"/>
    <w:rsid w:val="008904F9"/>
    <w:rsid w:val="00890A57"/>
    <w:rsid w:val="00891104"/>
    <w:rsid w:val="0089119A"/>
    <w:rsid w:val="0089159D"/>
    <w:rsid w:val="008916B2"/>
    <w:rsid w:val="00891787"/>
    <w:rsid w:val="008918D9"/>
    <w:rsid w:val="008918FF"/>
    <w:rsid w:val="00891947"/>
    <w:rsid w:val="00891D13"/>
    <w:rsid w:val="00891E56"/>
    <w:rsid w:val="00891F08"/>
    <w:rsid w:val="00892011"/>
    <w:rsid w:val="008922D8"/>
    <w:rsid w:val="008924B7"/>
    <w:rsid w:val="008926CD"/>
    <w:rsid w:val="00892A5B"/>
    <w:rsid w:val="00892ABD"/>
    <w:rsid w:val="00893559"/>
    <w:rsid w:val="00893E35"/>
    <w:rsid w:val="00893FE3"/>
    <w:rsid w:val="008940F6"/>
    <w:rsid w:val="00894511"/>
    <w:rsid w:val="00894857"/>
    <w:rsid w:val="00894B5F"/>
    <w:rsid w:val="00894D0B"/>
    <w:rsid w:val="00895222"/>
    <w:rsid w:val="008955E5"/>
    <w:rsid w:val="0089565E"/>
    <w:rsid w:val="0089574F"/>
    <w:rsid w:val="00895B45"/>
    <w:rsid w:val="00896412"/>
    <w:rsid w:val="0089659B"/>
    <w:rsid w:val="008968F4"/>
    <w:rsid w:val="0089690A"/>
    <w:rsid w:val="00896A9E"/>
    <w:rsid w:val="00896EFC"/>
    <w:rsid w:val="0089737D"/>
    <w:rsid w:val="008973AE"/>
    <w:rsid w:val="008975C0"/>
    <w:rsid w:val="00897B9B"/>
    <w:rsid w:val="00897E29"/>
    <w:rsid w:val="00897E46"/>
    <w:rsid w:val="008A052B"/>
    <w:rsid w:val="008A0538"/>
    <w:rsid w:val="008A0899"/>
    <w:rsid w:val="008A08EF"/>
    <w:rsid w:val="008A0979"/>
    <w:rsid w:val="008A0D2C"/>
    <w:rsid w:val="008A0F7C"/>
    <w:rsid w:val="008A1022"/>
    <w:rsid w:val="008A1047"/>
    <w:rsid w:val="008A12FF"/>
    <w:rsid w:val="008A15B5"/>
    <w:rsid w:val="008A1B4E"/>
    <w:rsid w:val="008A1C5B"/>
    <w:rsid w:val="008A1CA0"/>
    <w:rsid w:val="008A1E25"/>
    <w:rsid w:val="008A1F53"/>
    <w:rsid w:val="008A1FA2"/>
    <w:rsid w:val="008A23FE"/>
    <w:rsid w:val="008A241F"/>
    <w:rsid w:val="008A2739"/>
    <w:rsid w:val="008A28B0"/>
    <w:rsid w:val="008A292F"/>
    <w:rsid w:val="008A2DAC"/>
    <w:rsid w:val="008A3164"/>
    <w:rsid w:val="008A3237"/>
    <w:rsid w:val="008A32B2"/>
    <w:rsid w:val="008A3302"/>
    <w:rsid w:val="008A3489"/>
    <w:rsid w:val="008A3566"/>
    <w:rsid w:val="008A364B"/>
    <w:rsid w:val="008A3BC5"/>
    <w:rsid w:val="008A3C18"/>
    <w:rsid w:val="008A45A5"/>
    <w:rsid w:val="008A46B3"/>
    <w:rsid w:val="008A5280"/>
    <w:rsid w:val="008A561B"/>
    <w:rsid w:val="008A5747"/>
    <w:rsid w:val="008A57E3"/>
    <w:rsid w:val="008A58BD"/>
    <w:rsid w:val="008A5AFC"/>
    <w:rsid w:val="008A5C72"/>
    <w:rsid w:val="008A6356"/>
    <w:rsid w:val="008A63CC"/>
    <w:rsid w:val="008A659A"/>
    <w:rsid w:val="008A65C9"/>
    <w:rsid w:val="008A663A"/>
    <w:rsid w:val="008A6667"/>
    <w:rsid w:val="008A67F7"/>
    <w:rsid w:val="008A6B11"/>
    <w:rsid w:val="008A6DF3"/>
    <w:rsid w:val="008A6E4E"/>
    <w:rsid w:val="008A77D9"/>
    <w:rsid w:val="008A78F4"/>
    <w:rsid w:val="008A79AD"/>
    <w:rsid w:val="008A7BA0"/>
    <w:rsid w:val="008B000B"/>
    <w:rsid w:val="008B0034"/>
    <w:rsid w:val="008B01D1"/>
    <w:rsid w:val="008B022E"/>
    <w:rsid w:val="008B0281"/>
    <w:rsid w:val="008B0309"/>
    <w:rsid w:val="008B05E4"/>
    <w:rsid w:val="008B05F2"/>
    <w:rsid w:val="008B0609"/>
    <w:rsid w:val="008B06A3"/>
    <w:rsid w:val="008B0985"/>
    <w:rsid w:val="008B0BCA"/>
    <w:rsid w:val="008B102C"/>
    <w:rsid w:val="008B11EC"/>
    <w:rsid w:val="008B15F7"/>
    <w:rsid w:val="008B1850"/>
    <w:rsid w:val="008B1B43"/>
    <w:rsid w:val="008B1D59"/>
    <w:rsid w:val="008B1EC2"/>
    <w:rsid w:val="008B1EE1"/>
    <w:rsid w:val="008B207C"/>
    <w:rsid w:val="008B211C"/>
    <w:rsid w:val="008B2243"/>
    <w:rsid w:val="008B23FC"/>
    <w:rsid w:val="008B2410"/>
    <w:rsid w:val="008B24EB"/>
    <w:rsid w:val="008B280A"/>
    <w:rsid w:val="008B2A02"/>
    <w:rsid w:val="008B2A7F"/>
    <w:rsid w:val="008B2B6F"/>
    <w:rsid w:val="008B319D"/>
    <w:rsid w:val="008B3220"/>
    <w:rsid w:val="008B3914"/>
    <w:rsid w:val="008B4002"/>
    <w:rsid w:val="008B423D"/>
    <w:rsid w:val="008B4832"/>
    <w:rsid w:val="008B4D04"/>
    <w:rsid w:val="008B4EDE"/>
    <w:rsid w:val="008B52F4"/>
    <w:rsid w:val="008B5323"/>
    <w:rsid w:val="008B53A7"/>
    <w:rsid w:val="008B549F"/>
    <w:rsid w:val="008B55FC"/>
    <w:rsid w:val="008B56F7"/>
    <w:rsid w:val="008B59AE"/>
    <w:rsid w:val="008B5EDB"/>
    <w:rsid w:val="008B6201"/>
    <w:rsid w:val="008B63A4"/>
    <w:rsid w:val="008B67BB"/>
    <w:rsid w:val="008B6949"/>
    <w:rsid w:val="008B6A1C"/>
    <w:rsid w:val="008B6AC5"/>
    <w:rsid w:val="008B6B9C"/>
    <w:rsid w:val="008B70F7"/>
    <w:rsid w:val="008B7115"/>
    <w:rsid w:val="008B71B4"/>
    <w:rsid w:val="008B7492"/>
    <w:rsid w:val="008B7661"/>
    <w:rsid w:val="008B7725"/>
    <w:rsid w:val="008B7BF2"/>
    <w:rsid w:val="008B7D64"/>
    <w:rsid w:val="008C00DF"/>
    <w:rsid w:val="008C046E"/>
    <w:rsid w:val="008C0711"/>
    <w:rsid w:val="008C0A57"/>
    <w:rsid w:val="008C0BCB"/>
    <w:rsid w:val="008C0C0B"/>
    <w:rsid w:val="008C0D5F"/>
    <w:rsid w:val="008C0E51"/>
    <w:rsid w:val="008C0FAC"/>
    <w:rsid w:val="008C12D5"/>
    <w:rsid w:val="008C2574"/>
    <w:rsid w:val="008C2658"/>
    <w:rsid w:val="008C26B5"/>
    <w:rsid w:val="008C2965"/>
    <w:rsid w:val="008C29CF"/>
    <w:rsid w:val="008C2B0B"/>
    <w:rsid w:val="008C2E2F"/>
    <w:rsid w:val="008C2F41"/>
    <w:rsid w:val="008C30AF"/>
    <w:rsid w:val="008C3271"/>
    <w:rsid w:val="008C32EB"/>
    <w:rsid w:val="008C3493"/>
    <w:rsid w:val="008C35B3"/>
    <w:rsid w:val="008C38B6"/>
    <w:rsid w:val="008C3A20"/>
    <w:rsid w:val="008C3C63"/>
    <w:rsid w:val="008C3D91"/>
    <w:rsid w:val="008C3E8B"/>
    <w:rsid w:val="008C3F3A"/>
    <w:rsid w:val="008C4027"/>
    <w:rsid w:val="008C40D9"/>
    <w:rsid w:val="008C4326"/>
    <w:rsid w:val="008C45A7"/>
    <w:rsid w:val="008C4EB1"/>
    <w:rsid w:val="008C5117"/>
    <w:rsid w:val="008C54E1"/>
    <w:rsid w:val="008C5F58"/>
    <w:rsid w:val="008C60CF"/>
    <w:rsid w:val="008C6135"/>
    <w:rsid w:val="008C613E"/>
    <w:rsid w:val="008C65A5"/>
    <w:rsid w:val="008C670F"/>
    <w:rsid w:val="008C67C0"/>
    <w:rsid w:val="008C6964"/>
    <w:rsid w:val="008C6969"/>
    <w:rsid w:val="008C6A62"/>
    <w:rsid w:val="008C6D42"/>
    <w:rsid w:val="008C6D5C"/>
    <w:rsid w:val="008C6EBE"/>
    <w:rsid w:val="008C73F9"/>
    <w:rsid w:val="008C78BB"/>
    <w:rsid w:val="008C7A2A"/>
    <w:rsid w:val="008C7B9E"/>
    <w:rsid w:val="008C7ED0"/>
    <w:rsid w:val="008D00FB"/>
    <w:rsid w:val="008D059F"/>
    <w:rsid w:val="008D05E6"/>
    <w:rsid w:val="008D076D"/>
    <w:rsid w:val="008D0D9C"/>
    <w:rsid w:val="008D106D"/>
    <w:rsid w:val="008D169A"/>
    <w:rsid w:val="008D175D"/>
    <w:rsid w:val="008D18EF"/>
    <w:rsid w:val="008D1B14"/>
    <w:rsid w:val="008D1B88"/>
    <w:rsid w:val="008D1BCB"/>
    <w:rsid w:val="008D20BF"/>
    <w:rsid w:val="008D20E7"/>
    <w:rsid w:val="008D24B7"/>
    <w:rsid w:val="008D2514"/>
    <w:rsid w:val="008D256D"/>
    <w:rsid w:val="008D2849"/>
    <w:rsid w:val="008D2955"/>
    <w:rsid w:val="008D2985"/>
    <w:rsid w:val="008D2AB3"/>
    <w:rsid w:val="008D3069"/>
    <w:rsid w:val="008D31D5"/>
    <w:rsid w:val="008D332E"/>
    <w:rsid w:val="008D3955"/>
    <w:rsid w:val="008D3B75"/>
    <w:rsid w:val="008D407B"/>
    <w:rsid w:val="008D417E"/>
    <w:rsid w:val="008D46D7"/>
    <w:rsid w:val="008D49DD"/>
    <w:rsid w:val="008D4DAC"/>
    <w:rsid w:val="008D518F"/>
    <w:rsid w:val="008D51A9"/>
    <w:rsid w:val="008D5418"/>
    <w:rsid w:val="008D5615"/>
    <w:rsid w:val="008D5974"/>
    <w:rsid w:val="008D59DB"/>
    <w:rsid w:val="008D5AEA"/>
    <w:rsid w:val="008D5C2F"/>
    <w:rsid w:val="008D617C"/>
    <w:rsid w:val="008D6B7E"/>
    <w:rsid w:val="008D6BB5"/>
    <w:rsid w:val="008D6C1F"/>
    <w:rsid w:val="008D712A"/>
    <w:rsid w:val="008D78C4"/>
    <w:rsid w:val="008D7954"/>
    <w:rsid w:val="008D7B76"/>
    <w:rsid w:val="008D7BE0"/>
    <w:rsid w:val="008D7BE2"/>
    <w:rsid w:val="008D7E52"/>
    <w:rsid w:val="008E0138"/>
    <w:rsid w:val="008E0C58"/>
    <w:rsid w:val="008E0C5B"/>
    <w:rsid w:val="008E0D3D"/>
    <w:rsid w:val="008E1553"/>
    <w:rsid w:val="008E1B4A"/>
    <w:rsid w:val="008E1D3A"/>
    <w:rsid w:val="008E1D85"/>
    <w:rsid w:val="008E1E9B"/>
    <w:rsid w:val="008E24B4"/>
    <w:rsid w:val="008E2555"/>
    <w:rsid w:val="008E2806"/>
    <w:rsid w:val="008E29D7"/>
    <w:rsid w:val="008E2AD1"/>
    <w:rsid w:val="008E3364"/>
    <w:rsid w:val="008E38D6"/>
    <w:rsid w:val="008E3FEE"/>
    <w:rsid w:val="008E41D3"/>
    <w:rsid w:val="008E428F"/>
    <w:rsid w:val="008E4590"/>
    <w:rsid w:val="008E45C9"/>
    <w:rsid w:val="008E4832"/>
    <w:rsid w:val="008E485A"/>
    <w:rsid w:val="008E499D"/>
    <w:rsid w:val="008E4BED"/>
    <w:rsid w:val="008E5202"/>
    <w:rsid w:val="008E5604"/>
    <w:rsid w:val="008E59A9"/>
    <w:rsid w:val="008E5F56"/>
    <w:rsid w:val="008E6080"/>
    <w:rsid w:val="008E60B6"/>
    <w:rsid w:val="008E6552"/>
    <w:rsid w:val="008E6837"/>
    <w:rsid w:val="008E70B5"/>
    <w:rsid w:val="008E731A"/>
    <w:rsid w:val="008E7AC9"/>
    <w:rsid w:val="008E7FCA"/>
    <w:rsid w:val="008F0376"/>
    <w:rsid w:val="008F0CC8"/>
    <w:rsid w:val="008F0D2A"/>
    <w:rsid w:val="008F0D47"/>
    <w:rsid w:val="008F11C0"/>
    <w:rsid w:val="008F1243"/>
    <w:rsid w:val="008F1534"/>
    <w:rsid w:val="008F1AE2"/>
    <w:rsid w:val="008F1F84"/>
    <w:rsid w:val="008F20BB"/>
    <w:rsid w:val="008F237B"/>
    <w:rsid w:val="008F23E1"/>
    <w:rsid w:val="008F25E3"/>
    <w:rsid w:val="008F279A"/>
    <w:rsid w:val="008F28F0"/>
    <w:rsid w:val="008F320C"/>
    <w:rsid w:val="008F33C7"/>
    <w:rsid w:val="008F3CD7"/>
    <w:rsid w:val="008F3D06"/>
    <w:rsid w:val="008F3EAB"/>
    <w:rsid w:val="008F3F6D"/>
    <w:rsid w:val="008F40EA"/>
    <w:rsid w:val="008F40F9"/>
    <w:rsid w:val="008F4545"/>
    <w:rsid w:val="008F458E"/>
    <w:rsid w:val="008F473B"/>
    <w:rsid w:val="008F4C7D"/>
    <w:rsid w:val="008F51E0"/>
    <w:rsid w:val="008F52C3"/>
    <w:rsid w:val="008F5330"/>
    <w:rsid w:val="008F6400"/>
    <w:rsid w:val="008F6532"/>
    <w:rsid w:val="008F65B2"/>
    <w:rsid w:val="008F676F"/>
    <w:rsid w:val="008F694A"/>
    <w:rsid w:val="008F6A3C"/>
    <w:rsid w:val="008F6AA8"/>
    <w:rsid w:val="008F6BB7"/>
    <w:rsid w:val="008F6BDC"/>
    <w:rsid w:val="008F7026"/>
    <w:rsid w:val="008F7042"/>
    <w:rsid w:val="008F72EE"/>
    <w:rsid w:val="008F7694"/>
    <w:rsid w:val="008F7840"/>
    <w:rsid w:val="008F7FE7"/>
    <w:rsid w:val="009001B6"/>
    <w:rsid w:val="009001C7"/>
    <w:rsid w:val="0090075A"/>
    <w:rsid w:val="009007D6"/>
    <w:rsid w:val="009009F5"/>
    <w:rsid w:val="00900B09"/>
    <w:rsid w:val="00900D45"/>
    <w:rsid w:val="00900D51"/>
    <w:rsid w:val="00900F7B"/>
    <w:rsid w:val="009012BC"/>
    <w:rsid w:val="0090132F"/>
    <w:rsid w:val="0090136F"/>
    <w:rsid w:val="009018A0"/>
    <w:rsid w:val="00901B77"/>
    <w:rsid w:val="00901BD3"/>
    <w:rsid w:val="00901E4B"/>
    <w:rsid w:val="00902245"/>
    <w:rsid w:val="009025EE"/>
    <w:rsid w:val="0090295D"/>
    <w:rsid w:val="00902B3C"/>
    <w:rsid w:val="00902F0A"/>
    <w:rsid w:val="0090334A"/>
    <w:rsid w:val="009043D0"/>
    <w:rsid w:val="009044B4"/>
    <w:rsid w:val="00904503"/>
    <w:rsid w:val="00904680"/>
    <w:rsid w:val="00904D14"/>
    <w:rsid w:val="00904D7C"/>
    <w:rsid w:val="00904E8B"/>
    <w:rsid w:val="00905004"/>
    <w:rsid w:val="0090533C"/>
    <w:rsid w:val="00905A34"/>
    <w:rsid w:val="00905B61"/>
    <w:rsid w:val="009060FD"/>
    <w:rsid w:val="0090623A"/>
    <w:rsid w:val="00906553"/>
    <w:rsid w:val="00906575"/>
    <w:rsid w:val="00906609"/>
    <w:rsid w:val="009070B1"/>
    <w:rsid w:val="00907438"/>
    <w:rsid w:val="00907778"/>
    <w:rsid w:val="00907B62"/>
    <w:rsid w:val="00910178"/>
    <w:rsid w:val="0091025D"/>
    <w:rsid w:val="00910351"/>
    <w:rsid w:val="00910440"/>
    <w:rsid w:val="0091054D"/>
    <w:rsid w:val="0091104C"/>
    <w:rsid w:val="009115E4"/>
    <w:rsid w:val="00911664"/>
    <w:rsid w:val="009117BE"/>
    <w:rsid w:val="00911A52"/>
    <w:rsid w:val="00911FFD"/>
    <w:rsid w:val="0091239A"/>
    <w:rsid w:val="009123CE"/>
    <w:rsid w:val="009123E4"/>
    <w:rsid w:val="00912780"/>
    <w:rsid w:val="00912929"/>
    <w:rsid w:val="00912BE6"/>
    <w:rsid w:val="00912C0E"/>
    <w:rsid w:val="00913160"/>
    <w:rsid w:val="0091320A"/>
    <w:rsid w:val="0091330A"/>
    <w:rsid w:val="00913405"/>
    <w:rsid w:val="00913613"/>
    <w:rsid w:val="00913662"/>
    <w:rsid w:val="0091371D"/>
    <w:rsid w:val="009138E9"/>
    <w:rsid w:val="00913960"/>
    <w:rsid w:val="00914372"/>
    <w:rsid w:val="00914589"/>
    <w:rsid w:val="0091482E"/>
    <w:rsid w:val="009149B0"/>
    <w:rsid w:val="00914A29"/>
    <w:rsid w:val="00914B07"/>
    <w:rsid w:val="009150E8"/>
    <w:rsid w:val="009156BC"/>
    <w:rsid w:val="009156E6"/>
    <w:rsid w:val="00915A3C"/>
    <w:rsid w:val="00915ABB"/>
    <w:rsid w:val="00915B2E"/>
    <w:rsid w:val="00916089"/>
    <w:rsid w:val="009160A3"/>
    <w:rsid w:val="009161A8"/>
    <w:rsid w:val="009164B8"/>
    <w:rsid w:val="00916B48"/>
    <w:rsid w:val="00916B78"/>
    <w:rsid w:val="00916C20"/>
    <w:rsid w:val="00916DAA"/>
    <w:rsid w:val="00917067"/>
    <w:rsid w:val="00917277"/>
    <w:rsid w:val="009173A9"/>
    <w:rsid w:val="009176A8"/>
    <w:rsid w:val="00917E16"/>
    <w:rsid w:val="009204ED"/>
    <w:rsid w:val="0092081D"/>
    <w:rsid w:val="00920962"/>
    <w:rsid w:val="00920A98"/>
    <w:rsid w:val="00920DF2"/>
    <w:rsid w:val="00920E1E"/>
    <w:rsid w:val="00920E88"/>
    <w:rsid w:val="00920EB7"/>
    <w:rsid w:val="00920F17"/>
    <w:rsid w:val="00920F57"/>
    <w:rsid w:val="00921406"/>
    <w:rsid w:val="009215AF"/>
    <w:rsid w:val="0092177F"/>
    <w:rsid w:val="00921ACE"/>
    <w:rsid w:val="00921BFA"/>
    <w:rsid w:val="009225FC"/>
    <w:rsid w:val="009229B8"/>
    <w:rsid w:val="00922B83"/>
    <w:rsid w:val="00922D41"/>
    <w:rsid w:val="0092308E"/>
    <w:rsid w:val="00923390"/>
    <w:rsid w:val="00923C2F"/>
    <w:rsid w:val="009246AF"/>
    <w:rsid w:val="009248E4"/>
    <w:rsid w:val="00924A51"/>
    <w:rsid w:val="00924DD1"/>
    <w:rsid w:val="00925071"/>
    <w:rsid w:val="0092511C"/>
    <w:rsid w:val="009252E4"/>
    <w:rsid w:val="0092543A"/>
    <w:rsid w:val="00925775"/>
    <w:rsid w:val="00925DBC"/>
    <w:rsid w:val="00925DF5"/>
    <w:rsid w:val="00925EF7"/>
    <w:rsid w:val="00926095"/>
    <w:rsid w:val="009261C8"/>
    <w:rsid w:val="0092698B"/>
    <w:rsid w:val="009271A4"/>
    <w:rsid w:val="00927C4C"/>
    <w:rsid w:val="009302A8"/>
    <w:rsid w:val="0093050D"/>
    <w:rsid w:val="00930AC0"/>
    <w:rsid w:val="00930B2A"/>
    <w:rsid w:val="00930B6A"/>
    <w:rsid w:val="00930C89"/>
    <w:rsid w:val="00930DA8"/>
    <w:rsid w:val="00930EC6"/>
    <w:rsid w:val="009313D5"/>
    <w:rsid w:val="00931474"/>
    <w:rsid w:val="00931B16"/>
    <w:rsid w:val="0093226E"/>
    <w:rsid w:val="00932457"/>
    <w:rsid w:val="00932603"/>
    <w:rsid w:val="009329C0"/>
    <w:rsid w:val="0093311A"/>
    <w:rsid w:val="009331F5"/>
    <w:rsid w:val="00933780"/>
    <w:rsid w:val="00933896"/>
    <w:rsid w:val="00933B6D"/>
    <w:rsid w:val="00933BA1"/>
    <w:rsid w:val="00934153"/>
    <w:rsid w:val="009346FA"/>
    <w:rsid w:val="0093485B"/>
    <w:rsid w:val="00934A1C"/>
    <w:rsid w:val="00935043"/>
    <w:rsid w:val="00935BC0"/>
    <w:rsid w:val="00936080"/>
    <w:rsid w:val="00936501"/>
    <w:rsid w:val="009367B9"/>
    <w:rsid w:val="00936DC4"/>
    <w:rsid w:val="00936E72"/>
    <w:rsid w:val="0093759F"/>
    <w:rsid w:val="00937625"/>
    <w:rsid w:val="00937783"/>
    <w:rsid w:val="0093788B"/>
    <w:rsid w:val="00937B0E"/>
    <w:rsid w:val="00937DA0"/>
    <w:rsid w:val="00937FEC"/>
    <w:rsid w:val="00940146"/>
    <w:rsid w:val="00940305"/>
    <w:rsid w:val="0094045E"/>
    <w:rsid w:val="0094071B"/>
    <w:rsid w:val="00940895"/>
    <w:rsid w:val="009408DC"/>
    <w:rsid w:val="00940BB5"/>
    <w:rsid w:val="00940BC5"/>
    <w:rsid w:val="00940F78"/>
    <w:rsid w:val="00941065"/>
    <w:rsid w:val="00941346"/>
    <w:rsid w:val="00941956"/>
    <w:rsid w:val="00941987"/>
    <w:rsid w:val="00941E59"/>
    <w:rsid w:val="00942170"/>
    <w:rsid w:val="0094261C"/>
    <w:rsid w:val="0094279B"/>
    <w:rsid w:val="00942FA9"/>
    <w:rsid w:val="0094302E"/>
    <w:rsid w:val="009434B1"/>
    <w:rsid w:val="009439B8"/>
    <w:rsid w:val="00943B47"/>
    <w:rsid w:val="00943CC0"/>
    <w:rsid w:val="009442CC"/>
    <w:rsid w:val="00944489"/>
    <w:rsid w:val="009445C1"/>
    <w:rsid w:val="0094466D"/>
    <w:rsid w:val="00944DBD"/>
    <w:rsid w:val="00944EB2"/>
    <w:rsid w:val="00944FCA"/>
    <w:rsid w:val="00944FF7"/>
    <w:rsid w:val="009451D7"/>
    <w:rsid w:val="009459E1"/>
    <w:rsid w:val="00945A3B"/>
    <w:rsid w:val="00945C1F"/>
    <w:rsid w:val="00945E43"/>
    <w:rsid w:val="0094622E"/>
    <w:rsid w:val="0094654D"/>
    <w:rsid w:val="0094677B"/>
    <w:rsid w:val="00946AF8"/>
    <w:rsid w:val="00946C6E"/>
    <w:rsid w:val="00946D31"/>
    <w:rsid w:val="00946DA5"/>
    <w:rsid w:val="00947080"/>
    <w:rsid w:val="009474E7"/>
    <w:rsid w:val="009478EC"/>
    <w:rsid w:val="009500CE"/>
    <w:rsid w:val="0095014A"/>
    <w:rsid w:val="0095025E"/>
    <w:rsid w:val="0095093D"/>
    <w:rsid w:val="00950A5D"/>
    <w:rsid w:val="00950A87"/>
    <w:rsid w:val="00950C85"/>
    <w:rsid w:val="00950CB4"/>
    <w:rsid w:val="00951378"/>
    <w:rsid w:val="009513BB"/>
    <w:rsid w:val="00951442"/>
    <w:rsid w:val="00951475"/>
    <w:rsid w:val="00951970"/>
    <w:rsid w:val="00951EE2"/>
    <w:rsid w:val="0095208C"/>
    <w:rsid w:val="00952160"/>
    <w:rsid w:val="009523DC"/>
    <w:rsid w:val="009524E8"/>
    <w:rsid w:val="00952652"/>
    <w:rsid w:val="0095283C"/>
    <w:rsid w:val="00952ED8"/>
    <w:rsid w:val="0095354F"/>
    <w:rsid w:val="00953AC1"/>
    <w:rsid w:val="00954144"/>
    <w:rsid w:val="00954336"/>
    <w:rsid w:val="009545B1"/>
    <w:rsid w:val="009548B4"/>
    <w:rsid w:val="009550B1"/>
    <w:rsid w:val="00955660"/>
    <w:rsid w:val="00955915"/>
    <w:rsid w:val="00955AAE"/>
    <w:rsid w:val="00955B0A"/>
    <w:rsid w:val="00955F6C"/>
    <w:rsid w:val="00956366"/>
    <w:rsid w:val="009564FB"/>
    <w:rsid w:val="00956A10"/>
    <w:rsid w:val="00956EA0"/>
    <w:rsid w:val="00957115"/>
    <w:rsid w:val="0095761A"/>
    <w:rsid w:val="00957D57"/>
    <w:rsid w:val="009602AC"/>
    <w:rsid w:val="009602F1"/>
    <w:rsid w:val="00960433"/>
    <w:rsid w:val="00960C7B"/>
    <w:rsid w:val="00960D01"/>
    <w:rsid w:val="00960FA9"/>
    <w:rsid w:val="00961273"/>
    <w:rsid w:val="0096187E"/>
    <w:rsid w:val="00961B9B"/>
    <w:rsid w:val="009620DC"/>
    <w:rsid w:val="009621C4"/>
    <w:rsid w:val="00962248"/>
    <w:rsid w:val="009627A0"/>
    <w:rsid w:val="00962E63"/>
    <w:rsid w:val="009633E2"/>
    <w:rsid w:val="00963773"/>
    <w:rsid w:val="00963A82"/>
    <w:rsid w:val="00963B10"/>
    <w:rsid w:val="00963B63"/>
    <w:rsid w:val="00963C7D"/>
    <w:rsid w:val="00963EE1"/>
    <w:rsid w:val="00964482"/>
    <w:rsid w:val="00964891"/>
    <w:rsid w:val="0096489F"/>
    <w:rsid w:val="00964ADE"/>
    <w:rsid w:val="00964CC6"/>
    <w:rsid w:val="00964D73"/>
    <w:rsid w:val="00965334"/>
    <w:rsid w:val="009659BE"/>
    <w:rsid w:val="00965A31"/>
    <w:rsid w:val="00965D91"/>
    <w:rsid w:val="00966335"/>
    <w:rsid w:val="0096687A"/>
    <w:rsid w:val="00966D53"/>
    <w:rsid w:val="00966D92"/>
    <w:rsid w:val="00966E14"/>
    <w:rsid w:val="00966E4D"/>
    <w:rsid w:val="00967397"/>
    <w:rsid w:val="00967516"/>
    <w:rsid w:val="009676B4"/>
    <w:rsid w:val="009676F0"/>
    <w:rsid w:val="00967B3C"/>
    <w:rsid w:val="009703B8"/>
    <w:rsid w:val="00970732"/>
    <w:rsid w:val="00970796"/>
    <w:rsid w:val="00970F53"/>
    <w:rsid w:val="00970FA3"/>
    <w:rsid w:val="009710B5"/>
    <w:rsid w:val="009710DD"/>
    <w:rsid w:val="00971121"/>
    <w:rsid w:val="00971AB6"/>
    <w:rsid w:val="00971E53"/>
    <w:rsid w:val="00972077"/>
    <w:rsid w:val="0097219A"/>
    <w:rsid w:val="00972388"/>
    <w:rsid w:val="00972403"/>
    <w:rsid w:val="00972427"/>
    <w:rsid w:val="009728A0"/>
    <w:rsid w:val="00972A0E"/>
    <w:rsid w:val="00972ADC"/>
    <w:rsid w:val="00972BE5"/>
    <w:rsid w:val="00972E65"/>
    <w:rsid w:val="00973313"/>
    <w:rsid w:val="0097343A"/>
    <w:rsid w:val="009735F2"/>
    <w:rsid w:val="00973625"/>
    <w:rsid w:val="009736B6"/>
    <w:rsid w:val="009738CD"/>
    <w:rsid w:val="00973A09"/>
    <w:rsid w:val="00973A24"/>
    <w:rsid w:val="00973B2B"/>
    <w:rsid w:val="00973D01"/>
    <w:rsid w:val="00973D20"/>
    <w:rsid w:val="00973EB9"/>
    <w:rsid w:val="00973F32"/>
    <w:rsid w:val="00973F94"/>
    <w:rsid w:val="0097405C"/>
    <w:rsid w:val="009741BF"/>
    <w:rsid w:val="009744E8"/>
    <w:rsid w:val="00974644"/>
    <w:rsid w:val="00974810"/>
    <w:rsid w:val="00974C31"/>
    <w:rsid w:val="00974CF8"/>
    <w:rsid w:val="00974F1C"/>
    <w:rsid w:val="00975131"/>
    <w:rsid w:val="0097534B"/>
    <w:rsid w:val="00975709"/>
    <w:rsid w:val="009769FE"/>
    <w:rsid w:val="00976E13"/>
    <w:rsid w:val="00977321"/>
    <w:rsid w:val="0097742A"/>
    <w:rsid w:val="009777C1"/>
    <w:rsid w:val="009779C2"/>
    <w:rsid w:val="0097BF52"/>
    <w:rsid w:val="0097C6D1"/>
    <w:rsid w:val="009801B8"/>
    <w:rsid w:val="0098063B"/>
    <w:rsid w:val="0098075C"/>
    <w:rsid w:val="00980A80"/>
    <w:rsid w:val="00980E0A"/>
    <w:rsid w:val="00980F70"/>
    <w:rsid w:val="00981084"/>
    <w:rsid w:val="0098111D"/>
    <w:rsid w:val="00981686"/>
    <w:rsid w:val="009817AF"/>
    <w:rsid w:val="00981CAC"/>
    <w:rsid w:val="00981F94"/>
    <w:rsid w:val="009822F2"/>
    <w:rsid w:val="009825DD"/>
    <w:rsid w:val="00982A97"/>
    <w:rsid w:val="00982C75"/>
    <w:rsid w:val="00982ED7"/>
    <w:rsid w:val="00983536"/>
    <w:rsid w:val="00983889"/>
    <w:rsid w:val="00983C35"/>
    <w:rsid w:val="00983D81"/>
    <w:rsid w:val="00984160"/>
    <w:rsid w:val="00984390"/>
    <w:rsid w:val="009846E3"/>
    <w:rsid w:val="009847A4"/>
    <w:rsid w:val="00984C14"/>
    <w:rsid w:val="00984E8F"/>
    <w:rsid w:val="009850D4"/>
    <w:rsid w:val="009852A1"/>
    <w:rsid w:val="00985519"/>
    <w:rsid w:val="009856FF"/>
    <w:rsid w:val="00985BAE"/>
    <w:rsid w:val="00985CE8"/>
    <w:rsid w:val="009863C0"/>
    <w:rsid w:val="0098642B"/>
    <w:rsid w:val="00987075"/>
    <w:rsid w:val="00987093"/>
    <w:rsid w:val="00987301"/>
    <w:rsid w:val="009874F7"/>
    <w:rsid w:val="00987578"/>
    <w:rsid w:val="00987639"/>
    <w:rsid w:val="0098787B"/>
    <w:rsid w:val="009878D5"/>
    <w:rsid w:val="00987B5B"/>
    <w:rsid w:val="0099015B"/>
    <w:rsid w:val="009901AC"/>
    <w:rsid w:val="0099020A"/>
    <w:rsid w:val="00990302"/>
    <w:rsid w:val="00990352"/>
    <w:rsid w:val="009903BB"/>
    <w:rsid w:val="00990931"/>
    <w:rsid w:val="0099094E"/>
    <w:rsid w:val="00991453"/>
    <w:rsid w:val="00991E79"/>
    <w:rsid w:val="00991E8A"/>
    <w:rsid w:val="00991EA8"/>
    <w:rsid w:val="0099227F"/>
    <w:rsid w:val="00992613"/>
    <w:rsid w:val="009929E7"/>
    <w:rsid w:val="00992A16"/>
    <w:rsid w:val="0099320A"/>
    <w:rsid w:val="009935E6"/>
    <w:rsid w:val="00993630"/>
    <w:rsid w:val="00993689"/>
    <w:rsid w:val="0099393E"/>
    <w:rsid w:val="00993B31"/>
    <w:rsid w:val="00993B4A"/>
    <w:rsid w:val="00993FFF"/>
    <w:rsid w:val="0099441C"/>
    <w:rsid w:val="00994BC2"/>
    <w:rsid w:val="00994C04"/>
    <w:rsid w:val="009954F4"/>
    <w:rsid w:val="00995594"/>
    <w:rsid w:val="00995A7E"/>
    <w:rsid w:val="0099607A"/>
    <w:rsid w:val="0099628F"/>
    <w:rsid w:val="00996465"/>
    <w:rsid w:val="009964BF"/>
    <w:rsid w:val="00996909"/>
    <w:rsid w:val="00996940"/>
    <w:rsid w:val="00996A83"/>
    <w:rsid w:val="00996AA8"/>
    <w:rsid w:val="00996C10"/>
    <w:rsid w:val="00996FBB"/>
    <w:rsid w:val="00997009"/>
    <w:rsid w:val="009973FE"/>
    <w:rsid w:val="009974B0"/>
    <w:rsid w:val="0099777E"/>
    <w:rsid w:val="00997A32"/>
    <w:rsid w:val="00997B11"/>
    <w:rsid w:val="00997D32"/>
    <w:rsid w:val="009A00B3"/>
    <w:rsid w:val="009A0285"/>
    <w:rsid w:val="009A074C"/>
    <w:rsid w:val="009A0E61"/>
    <w:rsid w:val="009A0F4F"/>
    <w:rsid w:val="009A1129"/>
    <w:rsid w:val="009A1162"/>
    <w:rsid w:val="009A1628"/>
    <w:rsid w:val="009A1693"/>
    <w:rsid w:val="009A1696"/>
    <w:rsid w:val="009A1A15"/>
    <w:rsid w:val="009A22F5"/>
    <w:rsid w:val="009A29D1"/>
    <w:rsid w:val="009A29FA"/>
    <w:rsid w:val="009A38B6"/>
    <w:rsid w:val="009A3A5E"/>
    <w:rsid w:val="009A3CBB"/>
    <w:rsid w:val="009A3DFA"/>
    <w:rsid w:val="009A4972"/>
    <w:rsid w:val="009A4BBF"/>
    <w:rsid w:val="009A4C0A"/>
    <w:rsid w:val="009A5207"/>
    <w:rsid w:val="009A55A4"/>
    <w:rsid w:val="009A58CC"/>
    <w:rsid w:val="009A59A2"/>
    <w:rsid w:val="009A5B3F"/>
    <w:rsid w:val="009A5CA9"/>
    <w:rsid w:val="009A6053"/>
    <w:rsid w:val="009A62C7"/>
    <w:rsid w:val="009A682E"/>
    <w:rsid w:val="009A6A2F"/>
    <w:rsid w:val="009A6D93"/>
    <w:rsid w:val="009A6DA1"/>
    <w:rsid w:val="009A7465"/>
    <w:rsid w:val="009A76C1"/>
    <w:rsid w:val="009A76FE"/>
    <w:rsid w:val="009A7D97"/>
    <w:rsid w:val="009B01B0"/>
    <w:rsid w:val="009B0271"/>
    <w:rsid w:val="009B02E2"/>
    <w:rsid w:val="009B0740"/>
    <w:rsid w:val="009B0FF6"/>
    <w:rsid w:val="009B14A9"/>
    <w:rsid w:val="009B16DD"/>
    <w:rsid w:val="009B1A11"/>
    <w:rsid w:val="009B1D6E"/>
    <w:rsid w:val="009B1E29"/>
    <w:rsid w:val="009B241E"/>
    <w:rsid w:val="009B29B4"/>
    <w:rsid w:val="009B2B71"/>
    <w:rsid w:val="009B2D20"/>
    <w:rsid w:val="009B3160"/>
    <w:rsid w:val="009B31C4"/>
    <w:rsid w:val="009B33C5"/>
    <w:rsid w:val="009B356A"/>
    <w:rsid w:val="009B3806"/>
    <w:rsid w:val="009B3B9C"/>
    <w:rsid w:val="009B3CBF"/>
    <w:rsid w:val="009B3D3A"/>
    <w:rsid w:val="009B3F5B"/>
    <w:rsid w:val="009B3FC6"/>
    <w:rsid w:val="009B4226"/>
    <w:rsid w:val="009B451B"/>
    <w:rsid w:val="009B468C"/>
    <w:rsid w:val="009B46B5"/>
    <w:rsid w:val="009B4702"/>
    <w:rsid w:val="009B48C0"/>
    <w:rsid w:val="009B4A04"/>
    <w:rsid w:val="009B4CDC"/>
    <w:rsid w:val="009B50A7"/>
    <w:rsid w:val="009B51C9"/>
    <w:rsid w:val="009B52A7"/>
    <w:rsid w:val="009B565E"/>
    <w:rsid w:val="009B5668"/>
    <w:rsid w:val="009B59EE"/>
    <w:rsid w:val="009B5B3C"/>
    <w:rsid w:val="009B5C6F"/>
    <w:rsid w:val="009B5F4A"/>
    <w:rsid w:val="009B61A5"/>
    <w:rsid w:val="009B65CB"/>
    <w:rsid w:val="009B6868"/>
    <w:rsid w:val="009B6CED"/>
    <w:rsid w:val="009B7686"/>
    <w:rsid w:val="009B784B"/>
    <w:rsid w:val="009B794F"/>
    <w:rsid w:val="009B79F0"/>
    <w:rsid w:val="009C0216"/>
    <w:rsid w:val="009C07D8"/>
    <w:rsid w:val="009C0FD8"/>
    <w:rsid w:val="009C119F"/>
    <w:rsid w:val="009C11DD"/>
    <w:rsid w:val="009C1A34"/>
    <w:rsid w:val="009C210A"/>
    <w:rsid w:val="009C282A"/>
    <w:rsid w:val="009C2941"/>
    <w:rsid w:val="009C31CF"/>
    <w:rsid w:val="009C366C"/>
    <w:rsid w:val="009C3684"/>
    <w:rsid w:val="009C39AD"/>
    <w:rsid w:val="009C3B74"/>
    <w:rsid w:val="009C3C28"/>
    <w:rsid w:val="009C3D3A"/>
    <w:rsid w:val="009C3E8A"/>
    <w:rsid w:val="009C4006"/>
    <w:rsid w:val="009C4321"/>
    <w:rsid w:val="009C4831"/>
    <w:rsid w:val="009C4E66"/>
    <w:rsid w:val="009C4E8B"/>
    <w:rsid w:val="009C4EB4"/>
    <w:rsid w:val="009C51EF"/>
    <w:rsid w:val="009C52E2"/>
    <w:rsid w:val="009C54A2"/>
    <w:rsid w:val="009C5649"/>
    <w:rsid w:val="009C5830"/>
    <w:rsid w:val="009C5876"/>
    <w:rsid w:val="009C5B3A"/>
    <w:rsid w:val="009C5F3C"/>
    <w:rsid w:val="009C6045"/>
    <w:rsid w:val="009C6432"/>
    <w:rsid w:val="009C6910"/>
    <w:rsid w:val="009C69B9"/>
    <w:rsid w:val="009C6B82"/>
    <w:rsid w:val="009C75F7"/>
    <w:rsid w:val="009C7602"/>
    <w:rsid w:val="009C766A"/>
    <w:rsid w:val="009C79C1"/>
    <w:rsid w:val="009C7C22"/>
    <w:rsid w:val="009C7E23"/>
    <w:rsid w:val="009C7F17"/>
    <w:rsid w:val="009D0045"/>
    <w:rsid w:val="009D06D3"/>
    <w:rsid w:val="009D08CE"/>
    <w:rsid w:val="009D0CD0"/>
    <w:rsid w:val="009D1041"/>
    <w:rsid w:val="009D121A"/>
    <w:rsid w:val="009D129E"/>
    <w:rsid w:val="009D1AAA"/>
    <w:rsid w:val="009D1BCE"/>
    <w:rsid w:val="009D1BF2"/>
    <w:rsid w:val="009D1E64"/>
    <w:rsid w:val="009D1FF6"/>
    <w:rsid w:val="009D2224"/>
    <w:rsid w:val="009D223E"/>
    <w:rsid w:val="009D2620"/>
    <w:rsid w:val="009D2E16"/>
    <w:rsid w:val="009D3B61"/>
    <w:rsid w:val="009D3E10"/>
    <w:rsid w:val="009D3F74"/>
    <w:rsid w:val="009D414C"/>
    <w:rsid w:val="009D43BF"/>
    <w:rsid w:val="009D4E7B"/>
    <w:rsid w:val="009D4EA0"/>
    <w:rsid w:val="009D500A"/>
    <w:rsid w:val="009D5216"/>
    <w:rsid w:val="009D581F"/>
    <w:rsid w:val="009D5A5D"/>
    <w:rsid w:val="009D6014"/>
    <w:rsid w:val="009D6095"/>
    <w:rsid w:val="009D6188"/>
    <w:rsid w:val="009D618F"/>
    <w:rsid w:val="009D61D8"/>
    <w:rsid w:val="009D6261"/>
    <w:rsid w:val="009D6BDF"/>
    <w:rsid w:val="009D710A"/>
    <w:rsid w:val="009D721E"/>
    <w:rsid w:val="009D7468"/>
    <w:rsid w:val="009D74D0"/>
    <w:rsid w:val="009D766A"/>
    <w:rsid w:val="009D76F8"/>
    <w:rsid w:val="009D78D8"/>
    <w:rsid w:val="009D7EFE"/>
    <w:rsid w:val="009E0079"/>
    <w:rsid w:val="009E0171"/>
    <w:rsid w:val="009E047A"/>
    <w:rsid w:val="009E05AC"/>
    <w:rsid w:val="009E069C"/>
    <w:rsid w:val="009E0743"/>
    <w:rsid w:val="009E079E"/>
    <w:rsid w:val="009E0900"/>
    <w:rsid w:val="009E0A8E"/>
    <w:rsid w:val="009E0EFD"/>
    <w:rsid w:val="009E11B8"/>
    <w:rsid w:val="009E1583"/>
    <w:rsid w:val="009E1634"/>
    <w:rsid w:val="009E16DD"/>
    <w:rsid w:val="009E186B"/>
    <w:rsid w:val="009E19A5"/>
    <w:rsid w:val="009E2356"/>
    <w:rsid w:val="009E240D"/>
    <w:rsid w:val="009E2625"/>
    <w:rsid w:val="009E291D"/>
    <w:rsid w:val="009E2B1A"/>
    <w:rsid w:val="009E31FF"/>
    <w:rsid w:val="009E364B"/>
    <w:rsid w:val="009E36C4"/>
    <w:rsid w:val="009E3947"/>
    <w:rsid w:val="009E3B11"/>
    <w:rsid w:val="009E3CD4"/>
    <w:rsid w:val="009E3DC1"/>
    <w:rsid w:val="009E4335"/>
    <w:rsid w:val="009E455A"/>
    <w:rsid w:val="009E4C55"/>
    <w:rsid w:val="009E4F66"/>
    <w:rsid w:val="009E556B"/>
    <w:rsid w:val="009E56C1"/>
    <w:rsid w:val="009E57B9"/>
    <w:rsid w:val="009E5959"/>
    <w:rsid w:val="009E5C61"/>
    <w:rsid w:val="009E5CCC"/>
    <w:rsid w:val="009E5CD8"/>
    <w:rsid w:val="009E5D4B"/>
    <w:rsid w:val="009E61A0"/>
    <w:rsid w:val="009E61FA"/>
    <w:rsid w:val="009E6237"/>
    <w:rsid w:val="009E62CA"/>
    <w:rsid w:val="009E6639"/>
    <w:rsid w:val="009E665C"/>
    <w:rsid w:val="009E682A"/>
    <w:rsid w:val="009E6CBA"/>
    <w:rsid w:val="009E70AF"/>
    <w:rsid w:val="009E7499"/>
    <w:rsid w:val="009E7606"/>
    <w:rsid w:val="009E7685"/>
    <w:rsid w:val="009E77AC"/>
    <w:rsid w:val="009E7A05"/>
    <w:rsid w:val="009E7AC7"/>
    <w:rsid w:val="009E7E5A"/>
    <w:rsid w:val="009F0002"/>
    <w:rsid w:val="009F0019"/>
    <w:rsid w:val="009F0176"/>
    <w:rsid w:val="009F01DB"/>
    <w:rsid w:val="009F050C"/>
    <w:rsid w:val="009F0847"/>
    <w:rsid w:val="009F08DE"/>
    <w:rsid w:val="009F09E0"/>
    <w:rsid w:val="009F0B45"/>
    <w:rsid w:val="009F0CDD"/>
    <w:rsid w:val="009F1000"/>
    <w:rsid w:val="009F100C"/>
    <w:rsid w:val="009F138A"/>
    <w:rsid w:val="009F15B5"/>
    <w:rsid w:val="009F1B68"/>
    <w:rsid w:val="009F222F"/>
    <w:rsid w:val="009F2467"/>
    <w:rsid w:val="009F26EE"/>
    <w:rsid w:val="009F2CF8"/>
    <w:rsid w:val="009F3100"/>
    <w:rsid w:val="009F34C5"/>
    <w:rsid w:val="009F3541"/>
    <w:rsid w:val="009F3761"/>
    <w:rsid w:val="009F39F0"/>
    <w:rsid w:val="009F3B9F"/>
    <w:rsid w:val="009F4042"/>
    <w:rsid w:val="009F409E"/>
    <w:rsid w:val="009F40F8"/>
    <w:rsid w:val="009F42E0"/>
    <w:rsid w:val="009F461F"/>
    <w:rsid w:val="009F4743"/>
    <w:rsid w:val="009F479E"/>
    <w:rsid w:val="009F490A"/>
    <w:rsid w:val="009F49CF"/>
    <w:rsid w:val="009F4F7C"/>
    <w:rsid w:val="009F4F92"/>
    <w:rsid w:val="009F5116"/>
    <w:rsid w:val="009F51C4"/>
    <w:rsid w:val="009F5206"/>
    <w:rsid w:val="009F53B7"/>
    <w:rsid w:val="009F56D6"/>
    <w:rsid w:val="009F58D5"/>
    <w:rsid w:val="009F5BA7"/>
    <w:rsid w:val="009F5EE0"/>
    <w:rsid w:val="009F60F8"/>
    <w:rsid w:val="009F672D"/>
    <w:rsid w:val="009F678F"/>
    <w:rsid w:val="009F6B0B"/>
    <w:rsid w:val="009F6C72"/>
    <w:rsid w:val="009F6CE6"/>
    <w:rsid w:val="009F6EA5"/>
    <w:rsid w:val="009F704C"/>
    <w:rsid w:val="009F71D3"/>
    <w:rsid w:val="009F74C9"/>
    <w:rsid w:val="009F752F"/>
    <w:rsid w:val="009F790B"/>
    <w:rsid w:val="009F7BB0"/>
    <w:rsid w:val="009F7F6F"/>
    <w:rsid w:val="00A00459"/>
    <w:rsid w:val="00A004CA"/>
    <w:rsid w:val="00A00675"/>
    <w:rsid w:val="00A00850"/>
    <w:rsid w:val="00A0086B"/>
    <w:rsid w:val="00A00A02"/>
    <w:rsid w:val="00A00C97"/>
    <w:rsid w:val="00A00D44"/>
    <w:rsid w:val="00A011FF"/>
    <w:rsid w:val="00A0153A"/>
    <w:rsid w:val="00A01767"/>
    <w:rsid w:val="00A01AE7"/>
    <w:rsid w:val="00A01B79"/>
    <w:rsid w:val="00A01BE9"/>
    <w:rsid w:val="00A01E5C"/>
    <w:rsid w:val="00A02217"/>
    <w:rsid w:val="00A022A2"/>
    <w:rsid w:val="00A0266B"/>
    <w:rsid w:val="00A02689"/>
    <w:rsid w:val="00A027D4"/>
    <w:rsid w:val="00A02A70"/>
    <w:rsid w:val="00A0313D"/>
    <w:rsid w:val="00A031BA"/>
    <w:rsid w:val="00A03207"/>
    <w:rsid w:val="00A0334B"/>
    <w:rsid w:val="00A0346B"/>
    <w:rsid w:val="00A035A7"/>
    <w:rsid w:val="00A03989"/>
    <w:rsid w:val="00A04173"/>
    <w:rsid w:val="00A041D3"/>
    <w:rsid w:val="00A04B51"/>
    <w:rsid w:val="00A04B9F"/>
    <w:rsid w:val="00A04CDB"/>
    <w:rsid w:val="00A04FA0"/>
    <w:rsid w:val="00A0503C"/>
    <w:rsid w:val="00A05161"/>
    <w:rsid w:val="00A054BE"/>
    <w:rsid w:val="00A05836"/>
    <w:rsid w:val="00A05B53"/>
    <w:rsid w:val="00A05CE9"/>
    <w:rsid w:val="00A05DC8"/>
    <w:rsid w:val="00A06285"/>
    <w:rsid w:val="00A06478"/>
    <w:rsid w:val="00A067AE"/>
    <w:rsid w:val="00A06926"/>
    <w:rsid w:val="00A06B33"/>
    <w:rsid w:val="00A06E0D"/>
    <w:rsid w:val="00A06FDB"/>
    <w:rsid w:val="00A070FD"/>
    <w:rsid w:val="00A07299"/>
    <w:rsid w:val="00A0733D"/>
    <w:rsid w:val="00A0747C"/>
    <w:rsid w:val="00A07834"/>
    <w:rsid w:val="00A10067"/>
    <w:rsid w:val="00A100DB"/>
    <w:rsid w:val="00A101BA"/>
    <w:rsid w:val="00A10201"/>
    <w:rsid w:val="00A102B9"/>
    <w:rsid w:val="00A102DE"/>
    <w:rsid w:val="00A1085B"/>
    <w:rsid w:val="00A10A1D"/>
    <w:rsid w:val="00A10B28"/>
    <w:rsid w:val="00A10C81"/>
    <w:rsid w:val="00A1137C"/>
    <w:rsid w:val="00A114D5"/>
    <w:rsid w:val="00A114F6"/>
    <w:rsid w:val="00A1157E"/>
    <w:rsid w:val="00A115B6"/>
    <w:rsid w:val="00A11609"/>
    <w:rsid w:val="00A116EE"/>
    <w:rsid w:val="00A1177E"/>
    <w:rsid w:val="00A1182B"/>
    <w:rsid w:val="00A12652"/>
    <w:rsid w:val="00A12759"/>
    <w:rsid w:val="00A129F3"/>
    <w:rsid w:val="00A12E1B"/>
    <w:rsid w:val="00A12F0C"/>
    <w:rsid w:val="00A13536"/>
    <w:rsid w:val="00A13617"/>
    <w:rsid w:val="00A1363A"/>
    <w:rsid w:val="00A136B7"/>
    <w:rsid w:val="00A13751"/>
    <w:rsid w:val="00A1379A"/>
    <w:rsid w:val="00A139F9"/>
    <w:rsid w:val="00A13B48"/>
    <w:rsid w:val="00A13C70"/>
    <w:rsid w:val="00A13CF1"/>
    <w:rsid w:val="00A13D78"/>
    <w:rsid w:val="00A13E7C"/>
    <w:rsid w:val="00A13F6A"/>
    <w:rsid w:val="00A13FDB"/>
    <w:rsid w:val="00A1405D"/>
    <w:rsid w:val="00A143CB"/>
    <w:rsid w:val="00A14AC5"/>
    <w:rsid w:val="00A14C7E"/>
    <w:rsid w:val="00A14D81"/>
    <w:rsid w:val="00A150D1"/>
    <w:rsid w:val="00A15272"/>
    <w:rsid w:val="00A15277"/>
    <w:rsid w:val="00A1554F"/>
    <w:rsid w:val="00A1568D"/>
    <w:rsid w:val="00A159A8"/>
    <w:rsid w:val="00A15E5E"/>
    <w:rsid w:val="00A15E99"/>
    <w:rsid w:val="00A15F72"/>
    <w:rsid w:val="00A16046"/>
    <w:rsid w:val="00A164E4"/>
    <w:rsid w:val="00A16725"/>
    <w:rsid w:val="00A16935"/>
    <w:rsid w:val="00A16BEF"/>
    <w:rsid w:val="00A16E50"/>
    <w:rsid w:val="00A1709A"/>
    <w:rsid w:val="00A172F4"/>
    <w:rsid w:val="00A17601"/>
    <w:rsid w:val="00A17910"/>
    <w:rsid w:val="00A179A6"/>
    <w:rsid w:val="00A17D9B"/>
    <w:rsid w:val="00A200F9"/>
    <w:rsid w:val="00A2013B"/>
    <w:rsid w:val="00A202FE"/>
    <w:rsid w:val="00A204C5"/>
    <w:rsid w:val="00A20936"/>
    <w:rsid w:val="00A209BA"/>
    <w:rsid w:val="00A20E7E"/>
    <w:rsid w:val="00A2116C"/>
    <w:rsid w:val="00A2179E"/>
    <w:rsid w:val="00A21D3B"/>
    <w:rsid w:val="00A220E4"/>
    <w:rsid w:val="00A2267C"/>
    <w:rsid w:val="00A22790"/>
    <w:rsid w:val="00A22AD4"/>
    <w:rsid w:val="00A22C51"/>
    <w:rsid w:val="00A2303A"/>
    <w:rsid w:val="00A23219"/>
    <w:rsid w:val="00A2344A"/>
    <w:rsid w:val="00A23708"/>
    <w:rsid w:val="00A2381E"/>
    <w:rsid w:val="00A23848"/>
    <w:rsid w:val="00A23C10"/>
    <w:rsid w:val="00A23E6E"/>
    <w:rsid w:val="00A240A9"/>
    <w:rsid w:val="00A242C1"/>
    <w:rsid w:val="00A24544"/>
    <w:rsid w:val="00A249E6"/>
    <w:rsid w:val="00A24E8A"/>
    <w:rsid w:val="00A25098"/>
    <w:rsid w:val="00A25374"/>
    <w:rsid w:val="00A253EC"/>
    <w:rsid w:val="00A2546C"/>
    <w:rsid w:val="00A25624"/>
    <w:rsid w:val="00A25D1F"/>
    <w:rsid w:val="00A26523"/>
    <w:rsid w:val="00A268AB"/>
    <w:rsid w:val="00A26F05"/>
    <w:rsid w:val="00A26FB3"/>
    <w:rsid w:val="00A27165"/>
    <w:rsid w:val="00A271EC"/>
    <w:rsid w:val="00A272C0"/>
    <w:rsid w:val="00A2743B"/>
    <w:rsid w:val="00A274EE"/>
    <w:rsid w:val="00A27649"/>
    <w:rsid w:val="00A27665"/>
    <w:rsid w:val="00A27863"/>
    <w:rsid w:val="00A278AE"/>
    <w:rsid w:val="00A27AC7"/>
    <w:rsid w:val="00A27F02"/>
    <w:rsid w:val="00A30794"/>
    <w:rsid w:val="00A309FF"/>
    <w:rsid w:val="00A30AA7"/>
    <w:rsid w:val="00A30B6A"/>
    <w:rsid w:val="00A30C92"/>
    <w:rsid w:val="00A31394"/>
    <w:rsid w:val="00A31435"/>
    <w:rsid w:val="00A314EF"/>
    <w:rsid w:val="00A31769"/>
    <w:rsid w:val="00A317D5"/>
    <w:rsid w:val="00A31BB7"/>
    <w:rsid w:val="00A31D8B"/>
    <w:rsid w:val="00A31DDD"/>
    <w:rsid w:val="00A32101"/>
    <w:rsid w:val="00A3244C"/>
    <w:rsid w:val="00A325C5"/>
    <w:rsid w:val="00A328E3"/>
    <w:rsid w:val="00A32A66"/>
    <w:rsid w:val="00A32C8C"/>
    <w:rsid w:val="00A32CA6"/>
    <w:rsid w:val="00A32D79"/>
    <w:rsid w:val="00A33460"/>
    <w:rsid w:val="00A33564"/>
    <w:rsid w:val="00A339A6"/>
    <w:rsid w:val="00A33B44"/>
    <w:rsid w:val="00A33CE0"/>
    <w:rsid w:val="00A33FEC"/>
    <w:rsid w:val="00A3415E"/>
    <w:rsid w:val="00A34229"/>
    <w:rsid w:val="00A34795"/>
    <w:rsid w:val="00A3490B"/>
    <w:rsid w:val="00A34B48"/>
    <w:rsid w:val="00A34DD3"/>
    <w:rsid w:val="00A34F0B"/>
    <w:rsid w:val="00A3559D"/>
    <w:rsid w:val="00A3573D"/>
    <w:rsid w:val="00A35976"/>
    <w:rsid w:val="00A359E6"/>
    <w:rsid w:val="00A35E2C"/>
    <w:rsid w:val="00A35E56"/>
    <w:rsid w:val="00A3617A"/>
    <w:rsid w:val="00A364B9"/>
    <w:rsid w:val="00A369A8"/>
    <w:rsid w:val="00A36D10"/>
    <w:rsid w:val="00A36D2F"/>
    <w:rsid w:val="00A372A7"/>
    <w:rsid w:val="00A3731D"/>
    <w:rsid w:val="00A3732B"/>
    <w:rsid w:val="00A3734F"/>
    <w:rsid w:val="00A373AD"/>
    <w:rsid w:val="00A3752F"/>
    <w:rsid w:val="00A37604"/>
    <w:rsid w:val="00A376D9"/>
    <w:rsid w:val="00A377A2"/>
    <w:rsid w:val="00A37FCF"/>
    <w:rsid w:val="00A40262"/>
    <w:rsid w:val="00A402DB"/>
    <w:rsid w:val="00A402DF"/>
    <w:rsid w:val="00A406DB"/>
    <w:rsid w:val="00A408F3"/>
    <w:rsid w:val="00A40D07"/>
    <w:rsid w:val="00A41090"/>
    <w:rsid w:val="00A41547"/>
    <w:rsid w:val="00A41592"/>
    <w:rsid w:val="00A41743"/>
    <w:rsid w:val="00A418A5"/>
    <w:rsid w:val="00A41923"/>
    <w:rsid w:val="00A41D4E"/>
    <w:rsid w:val="00A41DF5"/>
    <w:rsid w:val="00A41F81"/>
    <w:rsid w:val="00A4233E"/>
    <w:rsid w:val="00A42867"/>
    <w:rsid w:val="00A428E2"/>
    <w:rsid w:val="00A42AB3"/>
    <w:rsid w:val="00A42B10"/>
    <w:rsid w:val="00A42BB8"/>
    <w:rsid w:val="00A42C1E"/>
    <w:rsid w:val="00A430B4"/>
    <w:rsid w:val="00A43213"/>
    <w:rsid w:val="00A43577"/>
    <w:rsid w:val="00A438BE"/>
    <w:rsid w:val="00A44318"/>
    <w:rsid w:val="00A44385"/>
    <w:rsid w:val="00A443E7"/>
    <w:rsid w:val="00A44D4D"/>
    <w:rsid w:val="00A44FD1"/>
    <w:rsid w:val="00A452C3"/>
    <w:rsid w:val="00A4535F"/>
    <w:rsid w:val="00A454BC"/>
    <w:rsid w:val="00A45994"/>
    <w:rsid w:val="00A45EB8"/>
    <w:rsid w:val="00A45F5C"/>
    <w:rsid w:val="00A46287"/>
    <w:rsid w:val="00A464C9"/>
    <w:rsid w:val="00A467CD"/>
    <w:rsid w:val="00A467D3"/>
    <w:rsid w:val="00A46B9A"/>
    <w:rsid w:val="00A4706B"/>
    <w:rsid w:val="00A4706E"/>
    <w:rsid w:val="00A47462"/>
    <w:rsid w:val="00A47507"/>
    <w:rsid w:val="00A4779E"/>
    <w:rsid w:val="00A477BA"/>
    <w:rsid w:val="00A477F3"/>
    <w:rsid w:val="00A47A09"/>
    <w:rsid w:val="00A47AE4"/>
    <w:rsid w:val="00A47DF0"/>
    <w:rsid w:val="00A50181"/>
    <w:rsid w:val="00A502B3"/>
    <w:rsid w:val="00A505C8"/>
    <w:rsid w:val="00A51402"/>
    <w:rsid w:val="00A51756"/>
    <w:rsid w:val="00A51D5E"/>
    <w:rsid w:val="00A51E3E"/>
    <w:rsid w:val="00A52199"/>
    <w:rsid w:val="00A521B0"/>
    <w:rsid w:val="00A521BA"/>
    <w:rsid w:val="00A523D5"/>
    <w:rsid w:val="00A52649"/>
    <w:rsid w:val="00A5288B"/>
    <w:rsid w:val="00A5288D"/>
    <w:rsid w:val="00A52960"/>
    <w:rsid w:val="00A52CF8"/>
    <w:rsid w:val="00A5346E"/>
    <w:rsid w:val="00A5363F"/>
    <w:rsid w:val="00A5375C"/>
    <w:rsid w:val="00A539F8"/>
    <w:rsid w:val="00A53A08"/>
    <w:rsid w:val="00A53A89"/>
    <w:rsid w:val="00A53BA4"/>
    <w:rsid w:val="00A53C97"/>
    <w:rsid w:val="00A53DFB"/>
    <w:rsid w:val="00A53E6E"/>
    <w:rsid w:val="00A53FD6"/>
    <w:rsid w:val="00A543BA"/>
    <w:rsid w:val="00A54709"/>
    <w:rsid w:val="00A54DEA"/>
    <w:rsid w:val="00A54F5A"/>
    <w:rsid w:val="00A5541B"/>
    <w:rsid w:val="00A55B6C"/>
    <w:rsid w:val="00A55CC4"/>
    <w:rsid w:val="00A55E44"/>
    <w:rsid w:val="00A55F8B"/>
    <w:rsid w:val="00A563D4"/>
    <w:rsid w:val="00A56532"/>
    <w:rsid w:val="00A56849"/>
    <w:rsid w:val="00A56EB6"/>
    <w:rsid w:val="00A56F47"/>
    <w:rsid w:val="00A56FB5"/>
    <w:rsid w:val="00A573BF"/>
    <w:rsid w:val="00A57916"/>
    <w:rsid w:val="00A579D0"/>
    <w:rsid w:val="00A57CC1"/>
    <w:rsid w:val="00A57CC7"/>
    <w:rsid w:val="00A57EC4"/>
    <w:rsid w:val="00A57EFA"/>
    <w:rsid w:val="00A57F79"/>
    <w:rsid w:val="00A57FB3"/>
    <w:rsid w:val="00A5916D"/>
    <w:rsid w:val="00A6019D"/>
    <w:rsid w:val="00A603A7"/>
    <w:rsid w:val="00A60534"/>
    <w:rsid w:val="00A61252"/>
    <w:rsid w:val="00A61521"/>
    <w:rsid w:val="00A6172D"/>
    <w:rsid w:val="00A61A4E"/>
    <w:rsid w:val="00A61BC8"/>
    <w:rsid w:val="00A61DA3"/>
    <w:rsid w:val="00A62149"/>
    <w:rsid w:val="00A62224"/>
    <w:rsid w:val="00A62408"/>
    <w:rsid w:val="00A624DA"/>
    <w:rsid w:val="00A62592"/>
    <w:rsid w:val="00A625F0"/>
    <w:rsid w:val="00A62837"/>
    <w:rsid w:val="00A62B9D"/>
    <w:rsid w:val="00A62CAB"/>
    <w:rsid w:val="00A62D4C"/>
    <w:rsid w:val="00A62F03"/>
    <w:rsid w:val="00A63161"/>
    <w:rsid w:val="00A63199"/>
    <w:rsid w:val="00A63230"/>
    <w:rsid w:val="00A633BD"/>
    <w:rsid w:val="00A636B9"/>
    <w:rsid w:val="00A63909"/>
    <w:rsid w:val="00A6446F"/>
    <w:rsid w:val="00A649B0"/>
    <w:rsid w:val="00A64E18"/>
    <w:rsid w:val="00A64F89"/>
    <w:rsid w:val="00A6500C"/>
    <w:rsid w:val="00A6527D"/>
    <w:rsid w:val="00A654EF"/>
    <w:rsid w:val="00A655EF"/>
    <w:rsid w:val="00A65D4A"/>
    <w:rsid w:val="00A65E17"/>
    <w:rsid w:val="00A666A6"/>
    <w:rsid w:val="00A667A6"/>
    <w:rsid w:val="00A66B00"/>
    <w:rsid w:val="00A66B8C"/>
    <w:rsid w:val="00A66C46"/>
    <w:rsid w:val="00A66CDA"/>
    <w:rsid w:val="00A66E68"/>
    <w:rsid w:val="00A66F8C"/>
    <w:rsid w:val="00A674D4"/>
    <w:rsid w:val="00A678F2"/>
    <w:rsid w:val="00A67B42"/>
    <w:rsid w:val="00A67C20"/>
    <w:rsid w:val="00A67C35"/>
    <w:rsid w:val="00A700F5"/>
    <w:rsid w:val="00A70130"/>
    <w:rsid w:val="00A7015C"/>
    <w:rsid w:val="00A70421"/>
    <w:rsid w:val="00A707F5"/>
    <w:rsid w:val="00A70F6A"/>
    <w:rsid w:val="00A71323"/>
    <w:rsid w:val="00A713C6"/>
    <w:rsid w:val="00A71503"/>
    <w:rsid w:val="00A715A0"/>
    <w:rsid w:val="00A71646"/>
    <w:rsid w:val="00A71991"/>
    <w:rsid w:val="00A71A66"/>
    <w:rsid w:val="00A71D5B"/>
    <w:rsid w:val="00A71ED5"/>
    <w:rsid w:val="00A721A7"/>
    <w:rsid w:val="00A726C6"/>
    <w:rsid w:val="00A72BBE"/>
    <w:rsid w:val="00A72E6C"/>
    <w:rsid w:val="00A72E83"/>
    <w:rsid w:val="00A731FD"/>
    <w:rsid w:val="00A732A9"/>
    <w:rsid w:val="00A734DD"/>
    <w:rsid w:val="00A737D5"/>
    <w:rsid w:val="00A73816"/>
    <w:rsid w:val="00A73985"/>
    <w:rsid w:val="00A73AC8"/>
    <w:rsid w:val="00A73EBC"/>
    <w:rsid w:val="00A7405E"/>
    <w:rsid w:val="00A74215"/>
    <w:rsid w:val="00A744B3"/>
    <w:rsid w:val="00A7454A"/>
    <w:rsid w:val="00A7459F"/>
    <w:rsid w:val="00A745ED"/>
    <w:rsid w:val="00A7467B"/>
    <w:rsid w:val="00A74C74"/>
    <w:rsid w:val="00A74EA5"/>
    <w:rsid w:val="00A75207"/>
    <w:rsid w:val="00A75285"/>
    <w:rsid w:val="00A753CA"/>
    <w:rsid w:val="00A7570E"/>
    <w:rsid w:val="00A75D03"/>
    <w:rsid w:val="00A75D4F"/>
    <w:rsid w:val="00A75D54"/>
    <w:rsid w:val="00A75D82"/>
    <w:rsid w:val="00A76D2B"/>
    <w:rsid w:val="00A76DC7"/>
    <w:rsid w:val="00A76DEF"/>
    <w:rsid w:val="00A775D9"/>
    <w:rsid w:val="00A77644"/>
    <w:rsid w:val="00A777B4"/>
    <w:rsid w:val="00A77CF3"/>
    <w:rsid w:val="00A80131"/>
    <w:rsid w:val="00A8045D"/>
    <w:rsid w:val="00A80500"/>
    <w:rsid w:val="00A805B3"/>
    <w:rsid w:val="00A80708"/>
    <w:rsid w:val="00A807B1"/>
    <w:rsid w:val="00A80942"/>
    <w:rsid w:val="00A80C6C"/>
    <w:rsid w:val="00A813CC"/>
    <w:rsid w:val="00A815EE"/>
    <w:rsid w:val="00A8177A"/>
    <w:rsid w:val="00A81BCF"/>
    <w:rsid w:val="00A81DDE"/>
    <w:rsid w:val="00A820B2"/>
    <w:rsid w:val="00A82383"/>
    <w:rsid w:val="00A823A5"/>
    <w:rsid w:val="00A8281E"/>
    <w:rsid w:val="00A82860"/>
    <w:rsid w:val="00A82E5F"/>
    <w:rsid w:val="00A835C4"/>
    <w:rsid w:val="00A83808"/>
    <w:rsid w:val="00A839FE"/>
    <w:rsid w:val="00A83B85"/>
    <w:rsid w:val="00A83C5C"/>
    <w:rsid w:val="00A83D96"/>
    <w:rsid w:val="00A84362"/>
    <w:rsid w:val="00A8444C"/>
    <w:rsid w:val="00A84864"/>
    <w:rsid w:val="00A851DD"/>
    <w:rsid w:val="00A853C6"/>
    <w:rsid w:val="00A85447"/>
    <w:rsid w:val="00A85683"/>
    <w:rsid w:val="00A85A9E"/>
    <w:rsid w:val="00A85CD5"/>
    <w:rsid w:val="00A85DC7"/>
    <w:rsid w:val="00A85F16"/>
    <w:rsid w:val="00A86657"/>
    <w:rsid w:val="00A86A99"/>
    <w:rsid w:val="00A86C2A"/>
    <w:rsid w:val="00A8716A"/>
    <w:rsid w:val="00A873A2"/>
    <w:rsid w:val="00A876AE"/>
    <w:rsid w:val="00A8779B"/>
    <w:rsid w:val="00A87B09"/>
    <w:rsid w:val="00A87BA9"/>
    <w:rsid w:val="00A87C5F"/>
    <w:rsid w:val="00A90052"/>
    <w:rsid w:val="00A90667"/>
    <w:rsid w:val="00A90959"/>
    <w:rsid w:val="00A90B52"/>
    <w:rsid w:val="00A90BB0"/>
    <w:rsid w:val="00A90C44"/>
    <w:rsid w:val="00A90D7F"/>
    <w:rsid w:val="00A91495"/>
    <w:rsid w:val="00A915E7"/>
    <w:rsid w:val="00A91716"/>
    <w:rsid w:val="00A91883"/>
    <w:rsid w:val="00A91A46"/>
    <w:rsid w:val="00A91E23"/>
    <w:rsid w:val="00A91FC9"/>
    <w:rsid w:val="00A92300"/>
    <w:rsid w:val="00A92330"/>
    <w:rsid w:val="00A924BB"/>
    <w:rsid w:val="00A929E3"/>
    <w:rsid w:val="00A92BEC"/>
    <w:rsid w:val="00A92CB4"/>
    <w:rsid w:val="00A92D38"/>
    <w:rsid w:val="00A92EDA"/>
    <w:rsid w:val="00A932EE"/>
    <w:rsid w:val="00A93472"/>
    <w:rsid w:val="00A93525"/>
    <w:rsid w:val="00A9376F"/>
    <w:rsid w:val="00A937A8"/>
    <w:rsid w:val="00A93CCC"/>
    <w:rsid w:val="00A93E05"/>
    <w:rsid w:val="00A93E66"/>
    <w:rsid w:val="00A94167"/>
    <w:rsid w:val="00A94857"/>
    <w:rsid w:val="00A94A9A"/>
    <w:rsid w:val="00A94B67"/>
    <w:rsid w:val="00A94EE3"/>
    <w:rsid w:val="00A94EE5"/>
    <w:rsid w:val="00A94F7E"/>
    <w:rsid w:val="00A9514D"/>
    <w:rsid w:val="00A95152"/>
    <w:rsid w:val="00A959FD"/>
    <w:rsid w:val="00A960F4"/>
    <w:rsid w:val="00A96235"/>
    <w:rsid w:val="00A9643B"/>
    <w:rsid w:val="00A964AB"/>
    <w:rsid w:val="00A9656D"/>
    <w:rsid w:val="00A967D7"/>
    <w:rsid w:val="00A96918"/>
    <w:rsid w:val="00A96C86"/>
    <w:rsid w:val="00A96EFE"/>
    <w:rsid w:val="00A97609"/>
    <w:rsid w:val="00A9763D"/>
    <w:rsid w:val="00A977BF"/>
    <w:rsid w:val="00A97A7D"/>
    <w:rsid w:val="00A97F46"/>
    <w:rsid w:val="00A97FEA"/>
    <w:rsid w:val="00AA0182"/>
    <w:rsid w:val="00AA0325"/>
    <w:rsid w:val="00AA03B5"/>
    <w:rsid w:val="00AA03C0"/>
    <w:rsid w:val="00AA05A5"/>
    <w:rsid w:val="00AA0613"/>
    <w:rsid w:val="00AA071D"/>
    <w:rsid w:val="00AA0C1D"/>
    <w:rsid w:val="00AA0FD3"/>
    <w:rsid w:val="00AA12B5"/>
    <w:rsid w:val="00AA1370"/>
    <w:rsid w:val="00AA14C7"/>
    <w:rsid w:val="00AA1532"/>
    <w:rsid w:val="00AA1777"/>
    <w:rsid w:val="00AA18E2"/>
    <w:rsid w:val="00AA1A7A"/>
    <w:rsid w:val="00AA1AF3"/>
    <w:rsid w:val="00AA1CAD"/>
    <w:rsid w:val="00AA1E69"/>
    <w:rsid w:val="00AA22C5"/>
    <w:rsid w:val="00AA2374"/>
    <w:rsid w:val="00AA2539"/>
    <w:rsid w:val="00AA2714"/>
    <w:rsid w:val="00AA2831"/>
    <w:rsid w:val="00AA2993"/>
    <w:rsid w:val="00AA2AAA"/>
    <w:rsid w:val="00AA2C57"/>
    <w:rsid w:val="00AA2EDD"/>
    <w:rsid w:val="00AA2F17"/>
    <w:rsid w:val="00AA329D"/>
    <w:rsid w:val="00AA32A7"/>
    <w:rsid w:val="00AA3490"/>
    <w:rsid w:val="00AA398D"/>
    <w:rsid w:val="00AA3BA2"/>
    <w:rsid w:val="00AA4444"/>
    <w:rsid w:val="00AA4704"/>
    <w:rsid w:val="00AA4C92"/>
    <w:rsid w:val="00AA4EE0"/>
    <w:rsid w:val="00AA5171"/>
    <w:rsid w:val="00AA5303"/>
    <w:rsid w:val="00AA5B1F"/>
    <w:rsid w:val="00AA5DBE"/>
    <w:rsid w:val="00AA6403"/>
    <w:rsid w:val="00AA6562"/>
    <w:rsid w:val="00AA6653"/>
    <w:rsid w:val="00AA7212"/>
    <w:rsid w:val="00AA739F"/>
    <w:rsid w:val="00AA73CB"/>
    <w:rsid w:val="00AA75E9"/>
    <w:rsid w:val="00AA77D6"/>
    <w:rsid w:val="00AA7848"/>
    <w:rsid w:val="00AA7C1B"/>
    <w:rsid w:val="00AB00CF"/>
    <w:rsid w:val="00AB02F5"/>
    <w:rsid w:val="00AB04EA"/>
    <w:rsid w:val="00AB0691"/>
    <w:rsid w:val="00AB08B5"/>
    <w:rsid w:val="00AB110D"/>
    <w:rsid w:val="00AB1125"/>
    <w:rsid w:val="00AB12CF"/>
    <w:rsid w:val="00AB17CB"/>
    <w:rsid w:val="00AB1913"/>
    <w:rsid w:val="00AB1A50"/>
    <w:rsid w:val="00AB1B39"/>
    <w:rsid w:val="00AB23DB"/>
    <w:rsid w:val="00AB2658"/>
    <w:rsid w:val="00AB2B90"/>
    <w:rsid w:val="00AB2E29"/>
    <w:rsid w:val="00AB3213"/>
    <w:rsid w:val="00AB371E"/>
    <w:rsid w:val="00AB38FA"/>
    <w:rsid w:val="00AB3A3F"/>
    <w:rsid w:val="00AB3F3B"/>
    <w:rsid w:val="00AB451D"/>
    <w:rsid w:val="00AB45DD"/>
    <w:rsid w:val="00AB4652"/>
    <w:rsid w:val="00AB46D4"/>
    <w:rsid w:val="00AB4A67"/>
    <w:rsid w:val="00AB4ABB"/>
    <w:rsid w:val="00AB4DFC"/>
    <w:rsid w:val="00AB4F32"/>
    <w:rsid w:val="00AB4F6A"/>
    <w:rsid w:val="00AB54DA"/>
    <w:rsid w:val="00AB5C86"/>
    <w:rsid w:val="00AB5D7A"/>
    <w:rsid w:val="00AB63D5"/>
    <w:rsid w:val="00AB64AA"/>
    <w:rsid w:val="00AB66B9"/>
    <w:rsid w:val="00AB6852"/>
    <w:rsid w:val="00AB6C7F"/>
    <w:rsid w:val="00AB6C9E"/>
    <w:rsid w:val="00AB758D"/>
    <w:rsid w:val="00AB7B07"/>
    <w:rsid w:val="00AC0118"/>
    <w:rsid w:val="00AC016E"/>
    <w:rsid w:val="00AC047D"/>
    <w:rsid w:val="00AC04D3"/>
    <w:rsid w:val="00AC0918"/>
    <w:rsid w:val="00AC0AD8"/>
    <w:rsid w:val="00AC0C62"/>
    <w:rsid w:val="00AC0D10"/>
    <w:rsid w:val="00AC16B8"/>
    <w:rsid w:val="00AC1B7A"/>
    <w:rsid w:val="00AC1C0F"/>
    <w:rsid w:val="00AC1C57"/>
    <w:rsid w:val="00AC1CE8"/>
    <w:rsid w:val="00AC1F84"/>
    <w:rsid w:val="00AC1FE1"/>
    <w:rsid w:val="00AC2132"/>
    <w:rsid w:val="00AC25BB"/>
    <w:rsid w:val="00AC2633"/>
    <w:rsid w:val="00AC272F"/>
    <w:rsid w:val="00AC2A8E"/>
    <w:rsid w:val="00AC3753"/>
    <w:rsid w:val="00AC37DE"/>
    <w:rsid w:val="00AC3BF2"/>
    <w:rsid w:val="00AC3C32"/>
    <w:rsid w:val="00AC4099"/>
    <w:rsid w:val="00AC4174"/>
    <w:rsid w:val="00AC4508"/>
    <w:rsid w:val="00AC450F"/>
    <w:rsid w:val="00AC45DC"/>
    <w:rsid w:val="00AC46E8"/>
    <w:rsid w:val="00AC4961"/>
    <w:rsid w:val="00AC4A95"/>
    <w:rsid w:val="00AC4AE9"/>
    <w:rsid w:val="00AC4E6C"/>
    <w:rsid w:val="00AC5193"/>
    <w:rsid w:val="00AC5483"/>
    <w:rsid w:val="00AC5902"/>
    <w:rsid w:val="00AC5B6B"/>
    <w:rsid w:val="00AC5F5D"/>
    <w:rsid w:val="00AC5F5F"/>
    <w:rsid w:val="00AC628B"/>
    <w:rsid w:val="00AC6586"/>
    <w:rsid w:val="00AC65ED"/>
    <w:rsid w:val="00AC662B"/>
    <w:rsid w:val="00AC67F9"/>
    <w:rsid w:val="00AC6B10"/>
    <w:rsid w:val="00AC6BBB"/>
    <w:rsid w:val="00AC6C93"/>
    <w:rsid w:val="00AC6CAC"/>
    <w:rsid w:val="00AC6D50"/>
    <w:rsid w:val="00AC6DC7"/>
    <w:rsid w:val="00AC6EC7"/>
    <w:rsid w:val="00AC7796"/>
    <w:rsid w:val="00AC7AB5"/>
    <w:rsid w:val="00AC7B7A"/>
    <w:rsid w:val="00AD04EB"/>
    <w:rsid w:val="00AD0762"/>
    <w:rsid w:val="00AD0846"/>
    <w:rsid w:val="00AD0D16"/>
    <w:rsid w:val="00AD1107"/>
    <w:rsid w:val="00AD119D"/>
    <w:rsid w:val="00AD13E1"/>
    <w:rsid w:val="00AD1EED"/>
    <w:rsid w:val="00AD20A5"/>
    <w:rsid w:val="00AD20DB"/>
    <w:rsid w:val="00AD2793"/>
    <w:rsid w:val="00AD2ADA"/>
    <w:rsid w:val="00AD2B26"/>
    <w:rsid w:val="00AD2B2A"/>
    <w:rsid w:val="00AD2BCB"/>
    <w:rsid w:val="00AD2CEC"/>
    <w:rsid w:val="00AD2E41"/>
    <w:rsid w:val="00AD2F82"/>
    <w:rsid w:val="00AD32B4"/>
    <w:rsid w:val="00AD332F"/>
    <w:rsid w:val="00AD3472"/>
    <w:rsid w:val="00AD3665"/>
    <w:rsid w:val="00AD3A9D"/>
    <w:rsid w:val="00AD3AC4"/>
    <w:rsid w:val="00AD3B0D"/>
    <w:rsid w:val="00AD3C7D"/>
    <w:rsid w:val="00AD3CA0"/>
    <w:rsid w:val="00AD3D32"/>
    <w:rsid w:val="00AD3E0E"/>
    <w:rsid w:val="00AD3E80"/>
    <w:rsid w:val="00AD423F"/>
    <w:rsid w:val="00AD444D"/>
    <w:rsid w:val="00AD4765"/>
    <w:rsid w:val="00AD47A6"/>
    <w:rsid w:val="00AD4A14"/>
    <w:rsid w:val="00AD4A30"/>
    <w:rsid w:val="00AD4D45"/>
    <w:rsid w:val="00AD4E37"/>
    <w:rsid w:val="00AD5192"/>
    <w:rsid w:val="00AD53D9"/>
    <w:rsid w:val="00AD55EF"/>
    <w:rsid w:val="00AD57F8"/>
    <w:rsid w:val="00AD5911"/>
    <w:rsid w:val="00AD592E"/>
    <w:rsid w:val="00AD5FB0"/>
    <w:rsid w:val="00AD5FB8"/>
    <w:rsid w:val="00AD63D4"/>
    <w:rsid w:val="00AD66EC"/>
    <w:rsid w:val="00AD66FF"/>
    <w:rsid w:val="00AD6837"/>
    <w:rsid w:val="00AD695A"/>
    <w:rsid w:val="00AD6CDE"/>
    <w:rsid w:val="00AD6EDC"/>
    <w:rsid w:val="00AD6F08"/>
    <w:rsid w:val="00AD7258"/>
    <w:rsid w:val="00AD72BC"/>
    <w:rsid w:val="00AD7308"/>
    <w:rsid w:val="00AD75F3"/>
    <w:rsid w:val="00AD7702"/>
    <w:rsid w:val="00AD77A6"/>
    <w:rsid w:val="00AD7B3A"/>
    <w:rsid w:val="00AD7C69"/>
    <w:rsid w:val="00AD7C7D"/>
    <w:rsid w:val="00AD7E8D"/>
    <w:rsid w:val="00AD7EA6"/>
    <w:rsid w:val="00AE0064"/>
    <w:rsid w:val="00AE0131"/>
    <w:rsid w:val="00AE0146"/>
    <w:rsid w:val="00AE01D6"/>
    <w:rsid w:val="00AE0552"/>
    <w:rsid w:val="00AE058F"/>
    <w:rsid w:val="00AE0760"/>
    <w:rsid w:val="00AE07E7"/>
    <w:rsid w:val="00AE0B65"/>
    <w:rsid w:val="00AE0B66"/>
    <w:rsid w:val="00AE0EDC"/>
    <w:rsid w:val="00AE101F"/>
    <w:rsid w:val="00AE11A4"/>
    <w:rsid w:val="00AE11D2"/>
    <w:rsid w:val="00AE124C"/>
    <w:rsid w:val="00AE13F6"/>
    <w:rsid w:val="00AE1835"/>
    <w:rsid w:val="00AE1A07"/>
    <w:rsid w:val="00AE1A0F"/>
    <w:rsid w:val="00AE1C25"/>
    <w:rsid w:val="00AE1D34"/>
    <w:rsid w:val="00AE2614"/>
    <w:rsid w:val="00AE26BC"/>
    <w:rsid w:val="00AE2888"/>
    <w:rsid w:val="00AE2BAB"/>
    <w:rsid w:val="00AE36D3"/>
    <w:rsid w:val="00AE36D6"/>
    <w:rsid w:val="00AE378B"/>
    <w:rsid w:val="00AE37CB"/>
    <w:rsid w:val="00AE385E"/>
    <w:rsid w:val="00AE3A62"/>
    <w:rsid w:val="00AE4329"/>
    <w:rsid w:val="00AE4A68"/>
    <w:rsid w:val="00AE4B5A"/>
    <w:rsid w:val="00AE4D2E"/>
    <w:rsid w:val="00AE51E0"/>
    <w:rsid w:val="00AE52C4"/>
    <w:rsid w:val="00AE53D3"/>
    <w:rsid w:val="00AE5743"/>
    <w:rsid w:val="00AE58AF"/>
    <w:rsid w:val="00AE58F5"/>
    <w:rsid w:val="00AE5A14"/>
    <w:rsid w:val="00AE5AA3"/>
    <w:rsid w:val="00AE5AB0"/>
    <w:rsid w:val="00AE5D8A"/>
    <w:rsid w:val="00AE5E88"/>
    <w:rsid w:val="00AE5F47"/>
    <w:rsid w:val="00AE620C"/>
    <w:rsid w:val="00AE6670"/>
    <w:rsid w:val="00AE6681"/>
    <w:rsid w:val="00AE70BA"/>
    <w:rsid w:val="00AE73D9"/>
    <w:rsid w:val="00AE7827"/>
    <w:rsid w:val="00AE7B4F"/>
    <w:rsid w:val="00AE7C2E"/>
    <w:rsid w:val="00AE7DD1"/>
    <w:rsid w:val="00AE7E20"/>
    <w:rsid w:val="00AF00BF"/>
    <w:rsid w:val="00AF0A79"/>
    <w:rsid w:val="00AF0BCD"/>
    <w:rsid w:val="00AF109E"/>
    <w:rsid w:val="00AF10A3"/>
    <w:rsid w:val="00AF1142"/>
    <w:rsid w:val="00AF1805"/>
    <w:rsid w:val="00AF186E"/>
    <w:rsid w:val="00AF18CF"/>
    <w:rsid w:val="00AF1DB4"/>
    <w:rsid w:val="00AF1E6F"/>
    <w:rsid w:val="00AF1FE5"/>
    <w:rsid w:val="00AF2085"/>
    <w:rsid w:val="00AF20DE"/>
    <w:rsid w:val="00AF21BB"/>
    <w:rsid w:val="00AF2201"/>
    <w:rsid w:val="00AF2371"/>
    <w:rsid w:val="00AF2550"/>
    <w:rsid w:val="00AF25B4"/>
    <w:rsid w:val="00AF281F"/>
    <w:rsid w:val="00AF2BE3"/>
    <w:rsid w:val="00AF2CCA"/>
    <w:rsid w:val="00AF311C"/>
    <w:rsid w:val="00AF31D6"/>
    <w:rsid w:val="00AF3542"/>
    <w:rsid w:val="00AF35F3"/>
    <w:rsid w:val="00AF364E"/>
    <w:rsid w:val="00AF36B1"/>
    <w:rsid w:val="00AF36E9"/>
    <w:rsid w:val="00AF37AB"/>
    <w:rsid w:val="00AF3987"/>
    <w:rsid w:val="00AF39EE"/>
    <w:rsid w:val="00AF3A78"/>
    <w:rsid w:val="00AF3BD4"/>
    <w:rsid w:val="00AF3C82"/>
    <w:rsid w:val="00AF3C97"/>
    <w:rsid w:val="00AF3FBD"/>
    <w:rsid w:val="00AF40A0"/>
    <w:rsid w:val="00AF4378"/>
    <w:rsid w:val="00AF44F7"/>
    <w:rsid w:val="00AF4571"/>
    <w:rsid w:val="00AF471C"/>
    <w:rsid w:val="00AF48BB"/>
    <w:rsid w:val="00AF4926"/>
    <w:rsid w:val="00AF4D21"/>
    <w:rsid w:val="00AF5264"/>
    <w:rsid w:val="00AF5641"/>
    <w:rsid w:val="00AF5643"/>
    <w:rsid w:val="00AF570C"/>
    <w:rsid w:val="00AF5923"/>
    <w:rsid w:val="00AF5BD9"/>
    <w:rsid w:val="00AF5F57"/>
    <w:rsid w:val="00AF6203"/>
    <w:rsid w:val="00AF6279"/>
    <w:rsid w:val="00AF62B9"/>
    <w:rsid w:val="00AF62C0"/>
    <w:rsid w:val="00AF63B7"/>
    <w:rsid w:val="00AF6429"/>
    <w:rsid w:val="00AF6575"/>
    <w:rsid w:val="00AF67E7"/>
    <w:rsid w:val="00AF680F"/>
    <w:rsid w:val="00AF6D52"/>
    <w:rsid w:val="00AF7798"/>
    <w:rsid w:val="00AF7AE2"/>
    <w:rsid w:val="00AF7B1B"/>
    <w:rsid w:val="00AF7F45"/>
    <w:rsid w:val="00B001CB"/>
    <w:rsid w:val="00B004C6"/>
    <w:rsid w:val="00B007CC"/>
    <w:rsid w:val="00B007F7"/>
    <w:rsid w:val="00B00832"/>
    <w:rsid w:val="00B00BC0"/>
    <w:rsid w:val="00B00CFA"/>
    <w:rsid w:val="00B012C1"/>
    <w:rsid w:val="00B013C2"/>
    <w:rsid w:val="00B0140E"/>
    <w:rsid w:val="00B01411"/>
    <w:rsid w:val="00B01881"/>
    <w:rsid w:val="00B019D8"/>
    <w:rsid w:val="00B0250B"/>
    <w:rsid w:val="00B02791"/>
    <w:rsid w:val="00B027D3"/>
    <w:rsid w:val="00B02E9D"/>
    <w:rsid w:val="00B03017"/>
    <w:rsid w:val="00B030BC"/>
    <w:rsid w:val="00B0310B"/>
    <w:rsid w:val="00B0322D"/>
    <w:rsid w:val="00B03471"/>
    <w:rsid w:val="00B037D5"/>
    <w:rsid w:val="00B03901"/>
    <w:rsid w:val="00B03CF5"/>
    <w:rsid w:val="00B03FA9"/>
    <w:rsid w:val="00B044BC"/>
    <w:rsid w:val="00B044E7"/>
    <w:rsid w:val="00B0454C"/>
    <w:rsid w:val="00B047AD"/>
    <w:rsid w:val="00B04B18"/>
    <w:rsid w:val="00B04D01"/>
    <w:rsid w:val="00B04DBA"/>
    <w:rsid w:val="00B04E45"/>
    <w:rsid w:val="00B050B0"/>
    <w:rsid w:val="00B05544"/>
    <w:rsid w:val="00B058CE"/>
    <w:rsid w:val="00B05B34"/>
    <w:rsid w:val="00B0617F"/>
    <w:rsid w:val="00B0618D"/>
    <w:rsid w:val="00B061A4"/>
    <w:rsid w:val="00B06771"/>
    <w:rsid w:val="00B067B9"/>
    <w:rsid w:val="00B06B66"/>
    <w:rsid w:val="00B06B9A"/>
    <w:rsid w:val="00B06FB5"/>
    <w:rsid w:val="00B06FC6"/>
    <w:rsid w:val="00B07312"/>
    <w:rsid w:val="00B077F8"/>
    <w:rsid w:val="00B07AE9"/>
    <w:rsid w:val="00B07E81"/>
    <w:rsid w:val="00B100D0"/>
    <w:rsid w:val="00B10711"/>
    <w:rsid w:val="00B10A32"/>
    <w:rsid w:val="00B10F68"/>
    <w:rsid w:val="00B111F1"/>
    <w:rsid w:val="00B112E4"/>
    <w:rsid w:val="00B11302"/>
    <w:rsid w:val="00B11B26"/>
    <w:rsid w:val="00B11B2A"/>
    <w:rsid w:val="00B12293"/>
    <w:rsid w:val="00B125CE"/>
    <w:rsid w:val="00B1297D"/>
    <w:rsid w:val="00B12CBD"/>
    <w:rsid w:val="00B1324E"/>
    <w:rsid w:val="00B133DD"/>
    <w:rsid w:val="00B13561"/>
    <w:rsid w:val="00B13955"/>
    <w:rsid w:val="00B13997"/>
    <w:rsid w:val="00B139C0"/>
    <w:rsid w:val="00B13C19"/>
    <w:rsid w:val="00B13D1E"/>
    <w:rsid w:val="00B13FA3"/>
    <w:rsid w:val="00B14233"/>
    <w:rsid w:val="00B142F5"/>
    <w:rsid w:val="00B14306"/>
    <w:rsid w:val="00B14782"/>
    <w:rsid w:val="00B148FA"/>
    <w:rsid w:val="00B14BE7"/>
    <w:rsid w:val="00B14DE2"/>
    <w:rsid w:val="00B15246"/>
    <w:rsid w:val="00B15985"/>
    <w:rsid w:val="00B16963"/>
    <w:rsid w:val="00B16994"/>
    <w:rsid w:val="00B16D8C"/>
    <w:rsid w:val="00B16E06"/>
    <w:rsid w:val="00B17819"/>
    <w:rsid w:val="00B1783A"/>
    <w:rsid w:val="00B17E76"/>
    <w:rsid w:val="00B17ED9"/>
    <w:rsid w:val="00B17F25"/>
    <w:rsid w:val="00B17FF0"/>
    <w:rsid w:val="00B203E0"/>
    <w:rsid w:val="00B204D9"/>
    <w:rsid w:val="00B20536"/>
    <w:rsid w:val="00B20804"/>
    <w:rsid w:val="00B208CF"/>
    <w:rsid w:val="00B20A08"/>
    <w:rsid w:val="00B20F1F"/>
    <w:rsid w:val="00B20FD8"/>
    <w:rsid w:val="00B210F3"/>
    <w:rsid w:val="00B21170"/>
    <w:rsid w:val="00B2130A"/>
    <w:rsid w:val="00B224F8"/>
    <w:rsid w:val="00B2278D"/>
    <w:rsid w:val="00B22863"/>
    <w:rsid w:val="00B22CD0"/>
    <w:rsid w:val="00B22CF8"/>
    <w:rsid w:val="00B22ECB"/>
    <w:rsid w:val="00B23C58"/>
    <w:rsid w:val="00B23CEB"/>
    <w:rsid w:val="00B23D5B"/>
    <w:rsid w:val="00B23EE5"/>
    <w:rsid w:val="00B2418D"/>
    <w:rsid w:val="00B2421D"/>
    <w:rsid w:val="00B24260"/>
    <w:rsid w:val="00B24A66"/>
    <w:rsid w:val="00B24CEC"/>
    <w:rsid w:val="00B24E1D"/>
    <w:rsid w:val="00B25003"/>
    <w:rsid w:val="00B25290"/>
    <w:rsid w:val="00B25646"/>
    <w:rsid w:val="00B25B71"/>
    <w:rsid w:val="00B25C53"/>
    <w:rsid w:val="00B25CA8"/>
    <w:rsid w:val="00B25E57"/>
    <w:rsid w:val="00B2648B"/>
    <w:rsid w:val="00B265BE"/>
    <w:rsid w:val="00B2668C"/>
    <w:rsid w:val="00B273A3"/>
    <w:rsid w:val="00B27925"/>
    <w:rsid w:val="00B27C59"/>
    <w:rsid w:val="00B3010A"/>
    <w:rsid w:val="00B3052B"/>
    <w:rsid w:val="00B30C79"/>
    <w:rsid w:val="00B30FF8"/>
    <w:rsid w:val="00B311E7"/>
    <w:rsid w:val="00B314F2"/>
    <w:rsid w:val="00B31638"/>
    <w:rsid w:val="00B31894"/>
    <w:rsid w:val="00B31938"/>
    <w:rsid w:val="00B320DE"/>
    <w:rsid w:val="00B32144"/>
    <w:rsid w:val="00B324CC"/>
    <w:rsid w:val="00B3262C"/>
    <w:rsid w:val="00B32774"/>
    <w:rsid w:val="00B329EA"/>
    <w:rsid w:val="00B32B9B"/>
    <w:rsid w:val="00B33178"/>
    <w:rsid w:val="00B3341F"/>
    <w:rsid w:val="00B33474"/>
    <w:rsid w:val="00B33496"/>
    <w:rsid w:val="00B33589"/>
    <w:rsid w:val="00B33BB1"/>
    <w:rsid w:val="00B33C42"/>
    <w:rsid w:val="00B33EC3"/>
    <w:rsid w:val="00B341B7"/>
    <w:rsid w:val="00B341FE"/>
    <w:rsid w:val="00B34390"/>
    <w:rsid w:val="00B344DA"/>
    <w:rsid w:val="00B346FA"/>
    <w:rsid w:val="00B34C73"/>
    <w:rsid w:val="00B350E9"/>
    <w:rsid w:val="00B3550C"/>
    <w:rsid w:val="00B35A73"/>
    <w:rsid w:val="00B35D62"/>
    <w:rsid w:val="00B35DD6"/>
    <w:rsid w:val="00B366E6"/>
    <w:rsid w:val="00B36B14"/>
    <w:rsid w:val="00B370C0"/>
    <w:rsid w:val="00B371A6"/>
    <w:rsid w:val="00B372AC"/>
    <w:rsid w:val="00B372C2"/>
    <w:rsid w:val="00B375E2"/>
    <w:rsid w:val="00B37848"/>
    <w:rsid w:val="00B379AB"/>
    <w:rsid w:val="00B37B17"/>
    <w:rsid w:val="00B37CDE"/>
    <w:rsid w:val="00B37E18"/>
    <w:rsid w:val="00B37FB9"/>
    <w:rsid w:val="00B4091F"/>
    <w:rsid w:val="00B40A4C"/>
    <w:rsid w:val="00B40A4D"/>
    <w:rsid w:val="00B40BF1"/>
    <w:rsid w:val="00B40EA4"/>
    <w:rsid w:val="00B4102A"/>
    <w:rsid w:val="00B412E7"/>
    <w:rsid w:val="00B4142E"/>
    <w:rsid w:val="00B41497"/>
    <w:rsid w:val="00B41CB6"/>
    <w:rsid w:val="00B41FE4"/>
    <w:rsid w:val="00B42275"/>
    <w:rsid w:val="00B4259C"/>
    <w:rsid w:val="00B427C5"/>
    <w:rsid w:val="00B42914"/>
    <w:rsid w:val="00B42A4B"/>
    <w:rsid w:val="00B430FF"/>
    <w:rsid w:val="00B43467"/>
    <w:rsid w:val="00B43922"/>
    <w:rsid w:val="00B44597"/>
    <w:rsid w:val="00B4497D"/>
    <w:rsid w:val="00B44C38"/>
    <w:rsid w:val="00B4515D"/>
    <w:rsid w:val="00B453A2"/>
    <w:rsid w:val="00B4558B"/>
    <w:rsid w:val="00B458FF"/>
    <w:rsid w:val="00B4598A"/>
    <w:rsid w:val="00B45DA1"/>
    <w:rsid w:val="00B464B9"/>
    <w:rsid w:val="00B4671C"/>
    <w:rsid w:val="00B467C9"/>
    <w:rsid w:val="00B46A07"/>
    <w:rsid w:val="00B46D47"/>
    <w:rsid w:val="00B473A8"/>
    <w:rsid w:val="00B47425"/>
    <w:rsid w:val="00B47431"/>
    <w:rsid w:val="00B4756A"/>
    <w:rsid w:val="00B47B18"/>
    <w:rsid w:val="00B47B31"/>
    <w:rsid w:val="00B47B71"/>
    <w:rsid w:val="00B47D43"/>
    <w:rsid w:val="00B47D47"/>
    <w:rsid w:val="00B47E18"/>
    <w:rsid w:val="00B50420"/>
    <w:rsid w:val="00B50497"/>
    <w:rsid w:val="00B50D51"/>
    <w:rsid w:val="00B50F0A"/>
    <w:rsid w:val="00B51017"/>
    <w:rsid w:val="00B510BD"/>
    <w:rsid w:val="00B51280"/>
    <w:rsid w:val="00B515ED"/>
    <w:rsid w:val="00B51C3E"/>
    <w:rsid w:val="00B52309"/>
    <w:rsid w:val="00B525AA"/>
    <w:rsid w:val="00B525F7"/>
    <w:rsid w:val="00B52A9B"/>
    <w:rsid w:val="00B52CAE"/>
    <w:rsid w:val="00B531F7"/>
    <w:rsid w:val="00B5371A"/>
    <w:rsid w:val="00B538F3"/>
    <w:rsid w:val="00B53BA2"/>
    <w:rsid w:val="00B53D33"/>
    <w:rsid w:val="00B54045"/>
    <w:rsid w:val="00B54325"/>
    <w:rsid w:val="00B546F7"/>
    <w:rsid w:val="00B547DE"/>
    <w:rsid w:val="00B54844"/>
    <w:rsid w:val="00B548E2"/>
    <w:rsid w:val="00B548E4"/>
    <w:rsid w:val="00B55095"/>
    <w:rsid w:val="00B551C1"/>
    <w:rsid w:val="00B5526B"/>
    <w:rsid w:val="00B556A1"/>
    <w:rsid w:val="00B556E2"/>
    <w:rsid w:val="00B55771"/>
    <w:rsid w:val="00B55876"/>
    <w:rsid w:val="00B55911"/>
    <w:rsid w:val="00B55B1F"/>
    <w:rsid w:val="00B55BE6"/>
    <w:rsid w:val="00B563DE"/>
    <w:rsid w:val="00B56B6D"/>
    <w:rsid w:val="00B56D2D"/>
    <w:rsid w:val="00B56D6F"/>
    <w:rsid w:val="00B56DE5"/>
    <w:rsid w:val="00B56F46"/>
    <w:rsid w:val="00B573F9"/>
    <w:rsid w:val="00B57683"/>
    <w:rsid w:val="00B57CEB"/>
    <w:rsid w:val="00B57CFB"/>
    <w:rsid w:val="00B57E9D"/>
    <w:rsid w:val="00B57F35"/>
    <w:rsid w:val="00B6007B"/>
    <w:rsid w:val="00B607F6"/>
    <w:rsid w:val="00B60A5F"/>
    <w:rsid w:val="00B60C14"/>
    <w:rsid w:val="00B61212"/>
    <w:rsid w:val="00B61BDF"/>
    <w:rsid w:val="00B62DE6"/>
    <w:rsid w:val="00B631E3"/>
    <w:rsid w:val="00B632E6"/>
    <w:rsid w:val="00B63331"/>
    <w:rsid w:val="00B6338D"/>
    <w:rsid w:val="00B63487"/>
    <w:rsid w:val="00B635C4"/>
    <w:rsid w:val="00B6398C"/>
    <w:rsid w:val="00B63AAC"/>
    <w:rsid w:val="00B63AF4"/>
    <w:rsid w:val="00B63EC8"/>
    <w:rsid w:val="00B6434F"/>
    <w:rsid w:val="00B647D5"/>
    <w:rsid w:val="00B64E04"/>
    <w:rsid w:val="00B65691"/>
    <w:rsid w:val="00B656EF"/>
    <w:rsid w:val="00B65B7B"/>
    <w:rsid w:val="00B66582"/>
    <w:rsid w:val="00B66798"/>
    <w:rsid w:val="00B66C05"/>
    <w:rsid w:val="00B66D9D"/>
    <w:rsid w:val="00B66E6A"/>
    <w:rsid w:val="00B66FA0"/>
    <w:rsid w:val="00B67073"/>
    <w:rsid w:val="00B67351"/>
    <w:rsid w:val="00B673EF"/>
    <w:rsid w:val="00B67604"/>
    <w:rsid w:val="00B6767F"/>
    <w:rsid w:val="00B678C1"/>
    <w:rsid w:val="00B6793E"/>
    <w:rsid w:val="00B67A7C"/>
    <w:rsid w:val="00B67DF0"/>
    <w:rsid w:val="00B70073"/>
    <w:rsid w:val="00B701E7"/>
    <w:rsid w:val="00B704B4"/>
    <w:rsid w:val="00B7172A"/>
    <w:rsid w:val="00B71A43"/>
    <w:rsid w:val="00B720DE"/>
    <w:rsid w:val="00B722D6"/>
    <w:rsid w:val="00B723DF"/>
    <w:rsid w:val="00B725B1"/>
    <w:rsid w:val="00B7262C"/>
    <w:rsid w:val="00B72643"/>
    <w:rsid w:val="00B7268D"/>
    <w:rsid w:val="00B7273F"/>
    <w:rsid w:val="00B72775"/>
    <w:rsid w:val="00B728F8"/>
    <w:rsid w:val="00B72A5F"/>
    <w:rsid w:val="00B72E4A"/>
    <w:rsid w:val="00B73183"/>
    <w:rsid w:val="00B73368"/>
    <w:rsid w:val="00B73400"/>
    <w:rsid w:val="00B734D2"/>
    <w:rsid w:val="00B73670"/>
    <w:rsid w:val="00B7397A"/>
    <w:rsid w:val="00B73B72"/>
    <w:rsid w:val="00B73DEC"/>
    <w:rsid w:val="00B73DF8"/>
    <w:rsid w:val="00B73E6D"/>
    <w:rsid w:val="00B743D5"/>
    <w:rsid w:val="00B744FC"/>
    <w:rsid w:val="00B74661"/>
    <w:rsid w:val="00B74BF8"/>
    <w:rsid w:val="00B74E01"/>
    <w:rsid w:val="00B7503C"/>
    <w:rsid w:val="00B75293"/>
    <w:rsid w:val="00B752DC"/>
    <w:rsid w:val="00B752E7"/>
    <w:rsid w:val="00B75701"/>
    <w:rsid w:val="00B7578D"/>
    <w:rsid w:val="00B75808"/>
    <w:rsid w:val="00B75837"/>
    <w:rsid w:val="00B759C1"/>
    <w:rsid w:val="00B75A01"/>
    <w:rsid w:val="00B75E69"/>
    <w:rsid w:val="00B7605C"/>
    <w:rsid w:val="00B761F3"/>
    <w:rsid w:val="00B768A9"/>
    <w:rsid w:val="00B76C80"/>
    <w:rsid w:val="00B76CFC"/>
    <w:rsid w:val="00B76DD3"/>
    <w:rsid w:val="00B76FF7"/>
    <w:rsid w:val="00B770DD"/>
    <w:rsid w:val="00B77193"/>
    <w:rsid w:val="00B773F0"/>
    <w:rsid w:val="00B774C0"/>
    <w:rsid w:val="00B775BC"/>
    <w:rsid w:val="00B77D88"/>
    <w:rsid w:val="00B77E8B"/>
    <w:rsid w:val="00B77F09"/>
    <w:rsid w:val="00B77F97"/>
    <w:rsid w:val="00B8034C"/>
    <w:rsid w:val="00B8037F"/>
    <w:rsid w:val="00B805C9"/>
    <w:rsid w:val="00B8063A"/>
    <w:rsid w:val="00B80743"/>
    <w:rsid w:val="00B80FF3"/>
    <w:rsid w:val="00B81175"/>
    <w:rsid w:val="00B8182C"/>
    <w:rsid w:val="00B81C62"/>
    <w:rsid w:val="00B81D44"/>
    <w:rsid w:val="00B81EA5"/>
    <w:rsid w:val="00B81EF1"/>
    <w:rsid w:val="00B81F80"/>
    <w:rsid w:val="00B8207C"/>
    <w:rsid w:val="00B8210C"/>
    <w:rsid w:val="00B8238E"/>
    <w:rsid w:val="00B825D8"/>
    <w:rsid w:val="00B829D7"/>
    <w:rsid w:val="00B82E6E"/>
    <w:rsid w:val="00B8342E"/>
    <w:rsid w:val="00B834B3"/>
    <w:rsid w:val="00B83504"/>
    <w:rsid w:val="00B83565"/>
    <w:rsid w:val="00B83A25"/>
    <w:rsid w:val="00B83AAB"/>
    <w:rsid w:val="00B83EEF"/>
    <w:rsid w:val="00B83F66"/>
    <w:rsid w:val="00B84010"/>
    <w:rsid w:val="00B84740"/>
    <w:rsid w:val="00B84BED"/>
    <w:rsid w:val="00B85182"/>
    <w:rsid w:val="00B8562A"/>
    <w:rsid w:val="00B8599D"/>
    <w:rsid w:val="00B85EED"/>
    <w:rsid w:val="00B860EA"/>
    <w:rsid w:val="00B86222"/>
    <w:rsid w:val="00B86A16"/>
    <w:rsid w:val="00B86F05"/>
    <w:rsid w:val="00B86F0D"/>
    <w:rsid w:val="00B86F3C"/>
    <w:rsid w:val="00B873EF"/>
    <w:rsid w:val="00B875E6"/>
    <w:rsid w:val="00B879D3"/>
    <w:rsid w:val="00B87E20"/>
    <w:rsid w:val="00B90096"/>
    <w:rsid w:val="00B90667"/>
    <w:rsid w:val="00B9085E"/>
    <w:rsid w:val="00B909A5"/>
    <w:rsid w:val="00B90BFD"/>
    <w:rsid w:val="00B90DE6"/>
    <w:rsid w:val="00B90FED"/>
    <w:rsid w:val="00B9137C"/>
    <w:rsid w:val="00B91ABD"/>
    <w:rsid w:val="00B91CDD"/>
    <w:rsid w:val="00B920CB"/>
    <w:rsid w:val="00B925D9"/>
    <w:rsid w:val="00B92856"/>
    <w:rsid w:val="00B9292D"/>
    <w:rsid w:val="00B92A93"/>
    <w:rsid w:val="00B92A98"/>
    <w:rsid w:val="00B93625"/>
    <w:rsid w:val="00B93727"/>
    <w:rsid w:val="00B93763"/>
    <w:rsid w:val="00B93885"/>
    <w:rsid w:val="00B9411C"/>
    <w:rsid w:val="00B950F9"/>
    <w:rsid w:val="00B95365"/>
    <w:rsid w:val="00B95591"/>
    <w:rsid w:val="00B95609"/>
    <w:rsid w:val="00B95780"/>
    <w:rsid w:val="00B95995"/>
    <w:rsid w:val="00B95A98"/>
    <w:rsid w:val="00B95C8D"/>
    <w:rsid w:val="00B9602C"/>
    <w:rsid w:val="00B96045"/>
    <w:rsid w:val="00B96139"/>
    <w:rsid w:val="00B96350"/>
    <w:rsid w:val="00B965C2"/>
    <w:rsid w:val="00B9672E"/>
    <w:rsid w:val="00B9696B"/>
    <w:rsid w:val="00B96B4B"/>
    <w:rsid w:val="00B96C9A"/>
    <w:rsid w:val="00B96EEE"/>
    <w:rsid w:val="00B96F47"/>
    <w:rsid w:val="00B97018"/>
    <w:rsid w:val="00B97871"/>
    <w:rsid w:val="00B979C4"/>
    <w:rsid w:val="00B97B20"/>
    <w:rsid w:val="00B97B41"/>
    <w:rsid w:val="00B97C22"/>
    <w:rsid w:val="00BA0022"/>
    <w:rsid w:val="00BA00AB"/>
    <w:rsid w:val="00BA074E"/>
    <w:rsid w:val="00BA0AD0"/>
    <w:rsid w:val="00BA0CC2"/>
    <w:rsid w:val="00BA0D96"/>
    <w:rsid w:val="00BA1310"/>
    <w:rsid w:val="00BA1624"/>
    <w:rsid w:val="00BA16A5"/>
    <w:rsid w:val="00BA16F3"/>
    <w:rsid w:val="00BA19CD"/>
    <w:rsid w:val="00BA1A7D"/>
    <w:rsid w:val="00BA2410"/>
    <w:rsid w:val="00BA2464"/>
    <w:rsid w:val="00BA2491"/>
    <w:rsid w:val="00BA2749"/>
    <w:rsid w:val="00BA2AD6"/>
    <w:rsid w:val="00BA2B00"/>
    <w:rsid w:val="00BA2D35"/>
    <w:rsid w:val="00BA3915"/>
    <w:rsid w:val="00BA3B41"/>
    <w:rsid w:val="00BA3E42"/>
    <w:rsid w:val="00BA4021"/>
    <w:rsid w:val="00BA45BA"/>
    <w:rsid w:val="00BA498C"/>
    <w:rsid w:val="00BA49C2"/>
    <w:rsid w:val="00BA4EF8"/>
    <w:rsid w:val="00BA4F01"/>
    <w:rsid w:val="00BA57E7"/>
    <w:rsid w:val="00BA5A6F"/>
    <w:rsid w:val="00BA5D89"/>
    <w:rsid w:val="00BA601D"/>
    <w:rsid w:val="00BA622C"/>
    <w:rsid w:val="00BA62D3"/>
    <w:rsid w:val="00BA64FA"/>
    <w:rsid w:val="00BA65AB"/>
    <w:rsid w:val="00BA6895"/>
    <w:rsid w:val="00BA69D1"/>
    <w:rsid w:val="00BA6A5D"/>
    <w:rsid w:val="00BA6C98"/>
    <w:rsid w:val="00BA6F8C"/>
    <w:rsid w:val="00BA6FBC"/>
    <w:rsid w:val="00BA71E5"/>
    <w:rsid w:val="00BA7566"/>
    <w:rsid w:val="00BA79EB"/>
    <w:rsid w:val="00BA7A61"/>
    <w:rsid w:val="00BA7CF3"/>
    <w:rsid w:val="00BA7E4D"/>
    <w:rsid w:val="00BB009A"/>
    <w:rsid w:val="00BB0337"/>
    <w:rsid w:val="00BB0445"/>
    <w:rsid w:val="00BB0826"/>
    <w:rsid w:val="00BB0B77"/>
    <w:rsid w:val="00BB0D7D"/>
    <w:rsid w:val="00BB120F"/>
    <w:rsid w:val="00BB1465"/>
    <w:rsid w:val="00BB14C4"/>
    <w:rsid w:val="00BB1864"/>
    <w:rsid w:val="00BB1BDC"/>
    <w:rsid w:val="00BB1E4D"/>
    <w:rsid w:val="00BB1EAB"/>
    <w:rsid w:val="00BB1F8E"/>
    <w:rsid w:val="00BB2273"/>
    <w:rsid w:val="00BB2341"/>
    <w:rsid w:val="00BB2373"/>
    <w:rsid w:val="00BB24BD"/>
    <w:rsid w:val="00BB25A5"/>
    <w:rsid w:val="00BB2881"/>
    <w:rsid w:val="00BB29A7"/>
    <w:rsid w:val="00BB2DFE"/>
    <w:rsid w:val="00BB3201"/>
    <w:rsid w:val="00BB379C"/>
    <w:rsid w:val="00BB3869"/>
    <w:rsid w:val="00BB3B5E"/>
    <w:rsid w:val="00BB3BB0"/>
    <w:rsid w:val="00BB433A"/>
    <w:rsid w:val="00BB4BD5"/>
    <w:rsid w:val="00BB4D35"/>
    <w:rsid w:val="00BB5034"/>
    <w:rsid w:val="00BB5642"/>
    <w:rsid w:val="00BB573B"/>
    <w:rsid w:val="00BB59A8"/>
    <w:rsid w:val="00BB5C05"/>
    <w:rsid w:val="00BB5DC2"/>
    <w:rsid w:val="00BB617A"/>
    <w:rsid w:val="00BB61F6"/>
    <w:rsid w:val="00BB62AE"/>
    <w:rsid w:val="00BB6698"/>
    <w:rsid w:val="00BB6D64"/>
    <w:rsid w:val="00BB7597"/>
    <w:rsid w:val="00BB7666"/>
    <w:rsid w:val="00BB7737"/>
    <w:rsid w:val="00BB7A32"/>
    <w:rsid w:val="00BC077E"/>
    <w:rsid w:val="00BC0DC5"/>
    <w:rsid w:val="00BC0E9F"/>
    <w:rsid w:val="00BC10E7"/>
    <w:rsid w:val="00BC13F0"/>
    <w:rsid w:val="00BC1AF2"/>
    <w:rsid w:val="00BC1ED3"/>
    <w:rsid w:val="00BC2080"/>
    <w:rsid w:val="00BC2874"/>
    <w:rsid w:val="00BC292B"/>
    <w:rsid w:val="00BC29FD"/>
    <w:rsid w:val="00BC2B19"/>
    <w:rsid w:val="00BC2BF6"/>
    <w:rsid w:val="00BC2F72"/>
    <w:rsid w:val="00BC2FEF"/>
    <w:rsid w:val="00BC3216"/>
    <w:rsid w:val="00BC3349"/>
    <w:rsid w:val="00BC3525"/>
    <w:rsid w:val="00BC367C"/>
    <w:rsid w:val="00BC377B"/>
    <w:rsid w:val="00BC378A"/>
    <w:rsid w:val="00BC3B33"/>
    <w:rsid w:val="00BC3E26"/>
    <w:rsid w:val="00BC3FAF"/>
    <w:rsid w:val="00BC4217"/>
    <w:rsid w:val="00BC42B9"/>
    <w:rsid w:val="00BC44D6"/>
    <w:rsid w:val="00BC4CBD"/>
    <w:rsid w:val="00BC4D58"/>
    <w:rsid w:val="00BC4DA0"/>
    <w:rsid w:val="00BC4EA6"/>
    <w:rsid w:val="00BC5049"/>
    <w:rsid w:val="00BC54F2"/>
    <w:rsid w:val="00BC56D2"/>
    <w:rsid w:val="00BC5949"/>
    <w:rsid w:val="00BC5DCA"/>
    <w:rsid w:val="00BC5FF9"/>
    <w:rsid w:val="00BC6387"/>
    <w:rsid w:val="00BC65E2"/>
    <w:rsid w:val="00BC6A0E"/>
    <w:rsid w:val="00BC7D1B"/>
    <w:rsid w:val="00BD00AF"/>
    <w:rsid w:val="00BD0281"/>
    <w:rsid w:val="00BD0401"/>
    <w:rsid w:val="00BD0688"/>
    <w:rsid w:val="00BD0BF7"/>
    <w:rsid w:val="00BD0CE2"/>
    <w:rsid w:val="00BD0D08"/>
    <w:rsid w:val="00BD1124"/>
    <w:rsid w:val="00BD124E"/>
    <w:rsid w:val="00BD13FB"/>
    <w:rsid w:val="00BD1A72"/>
    <w:rsid w:val="00BD1AE9"/>
    <w:rsid w:val="00BD1B7F"/>
    <w:rsid w:val="00BD1DDC"/>
    <w:rsid w:val="00BD1ED8"/>
    <w:rsid w:val="00BD1ED9"/>
    <w:rsid w:val="00BD27C9"/>
    <w:rsid w:val="00BD27F8"/>
    <w:rsid w:val="00BD2968"/>
    <w:rsid w:val="00BD29B5"/>
    <w:rsid w:val="00BD2C92"/>
    <w:rsid w:val="00BD3308"/>
    <w:rsid w:val="00BD3451"/>
    <w:rsid w:val="00BD35CB"/>
    <w:rsid w:val="00BD3AB9"/>
    <w:rsid w:val="00BD3D07"/>
    <w:rsid w:val="00BD42B7"/>
    <w:rsid w:val="00BD4310"/>
    <w:rsid w:val="00BD43AD"/>
    <w:rsid w:val="00BD47B8"/>
    <w:rsid w:val="00BD4969"/>
    <w:rsid w:val="00BD49EF"/>
    <w:rsid w:val="00BD4ADE"/>
    <w:rsid w:val="00BD559C"/>
    <w:rsid w:val="00BD58F4"/>
    <w:rsid w:val="00BD5954"/>
    <w:rsid w:val="00BD5BBA"/>
    <w:rsid w:val="00BD5C4E"/>
    <w:rsid w:val="00BD6001"/>
    <w:rsid w:val="00BD60BD"/>
    <w:rsid w:val="00BD60FB"/>
    <w:rsid w:val="00BD663B"/>
    <w:rsid w:val="00BD68F7"/>
    <w:rsid w:val="00BD6ACD"/>
    <w:rsid w:val="00BD7145"/>
    <w:rsid w:val="00BD7359"/>
    <w:rsid w:val="00BD75D5"/>
    <w:rsid w:val="00BD7645"/>
    <w:rsid w:val="00BD78DC"/>
    <w:rsid w:val="00BD7A68"/>
    <w:rsid w:val="00BD7C57"/>
    <w:rsid w:val="00BD7E44"/>
    <w:rsid w:val="00BD7F5C"/>
    <w:rsid w:val="00BE00E7"/>
    <w:rsid w:val="00BE03CD"/>
    <w:rsid w:val="00BE0406"/>
    <w:rsid w:val="00BE0761"/>
    <w:rsid w:val="00BE0AF7"/>
    <w:rsid w:val="00BE1772"/>
    <w:rsid w:val="00BE17D2"/>
    <w:rsid w:val="00BE18D2"/>
    <w:rsid w:val="00BE1CE5"/>
    <w:rsid w:val="00BE1D69"/>
    <w:rsid w:val="00BE2027"/>
    <w:rsid w:val="00BE2283"/>
    <w:rsid w:val="00BE22D8"/>
    <w:rsid w:val="00BE22FB"/>
    <w:rsid w:val="00BE2375"/>
    <w:rsid w:val="00BE24F8"/>
    <w:rsid w:val="00BE251B"/>
    <w:rsid w:val="00BE2571"/>
    <w:rsid w:val="00BE257D"/>
    <w:rsid w:val="00BE2698"/>
    <w:rsid w:val="00BE281F"/>
    <w:rsid w:val="00BE2DBA"/>
    <w:rsid w:val="00BE2E23"/>
    <w:rsid w:val="00BE2F10"/>
    <w:rsid w:val="00BE3056"/>
    <w:rsid w:val="00BE3226"/>
    <w:rsid w:val="00BE351B"/>
    <w:rsid w:val="00BE3881"/>
    <w:rsid w:val="00BE3FF0"/>
    <w:rsid w:val="00BE401B"/>
    <w:rsid w:val="00BE40B8"/>
    <w:rsid w:val="00BE4128"/>
    <w:rsid w:val="00BE45AF"/>
    <w:rsid w:val="00BE470F"/>
    <w:rsid w:val="00BE49FC"/>
    <w:rsid w:val="00BE4D06"/>
    <w:rsid w:val="00BE4D2A"/>
    <w:rsid w:val="00BE4E83"/>
    <w:rsid w:val="00BE4EDA"/>
    <w:rsid w:val="00BE4F6F"/>
    <w:rsid w:val="00BE50C3"/>
    <w:rsid w:val="00BE5487"/>
    <w:rsid w:val="00BE54C8"/>
    <w:rsid w:val="00BE587F"/>
    <w:rsid w:val="00BE5CF9"/>
    <w:rsid w:val="00BE5ECD"/>
    <w:rsid w:val="00BE5F0C"/>
    <w:rsid w:val="00BE62DE"/>
    <w:rsid w:val="00BE6D66"/>
    <w:rsid w:val="00BE6EF6"/>
    <w:rsid w:val="00BE6FBD"/>
    <w:rsid w:val="00BE70FC"/>
    <w:rsid w:val="00BE71D4"/>
    <w:rsid w:val="00BE7270"/>
    <w:rsid w:val="00BE72A7"/>
    <w:rsid w:val="00BE7686"/>
    <w:rsid w:val="00BE7A32"/>
    <w:rsid w:val="00BE7B60"/>
    <w:rsid w:val="00BE7C39"/>
    <w:rsid w:val="00BE7C59"/>
    <w:rsid w:val="00BE7F76"/>
    <w:rsid w:val="00BF0140"/>
    <w:rsid w:val="00BF021B"/>
    <w:rsid w:val="00BF08B6"/>
    <w:rsid w:val="00BF0935"/>
    <w:rsid w:val="00BF1146"/>
    <w:rsid w:val="00BF11D8"/>
    <w:rsid w:val="00BF16AF"/>
    <w:rsid w:val="00BF1C6E"/>
    <w:rsid w:val="00BF1C9F"/>
    <w:rsid w:val="00BF1E82"/>
    <w:rsid w:val="00BF2743"/>
    <w:rsid w:val="00BF2830"/>
    <w:rsid w:val="00BF28C4"/>
    <w:rsid w:val="00BF2B03"/>
    <w:rsid w:val="00BF2BF2"/>
    <w:rsid w:val="00BF2DAC"/>
    <w:rsid w:val="00BF330E"/>
    <w:rsid w:val="00BF3666"/>
    <w:rsid w:val="00BF37BF"/>
    <w:rsid w:val="00BF3832"/>
    <w:rsid w:val="00BF38DF"/>
    <w:rsid w:val="00BF3AC8"/>
    <w:rsid w:val="00BF4034"/>
    <w:rsid w:val="00BF431D"/>
    <w:rsid w:val="00BF453E"/>
    <w:rsid w:val="00BF48AF"/>
    <w:rsid w:val="00BF48BC"/>
    <w:rsid w:val="00BF4C3C"/>
    <w:rsid w:val="00BF4C76"/>
    <w:rsid w:val="00BF512C"/>
    <w:rsid w:val="00BF5283"/>
    <w:rsid w:val="00BF54FC"/>
    <w:rsid w:val="00BF579D"/>
    <w:rsid w:val="00BF5961"/>
    <w:rsid w:val="00BF5A72"/>
    <w:rsid w:val="00BF5AF2"/>
    <w:rsid w:val="00BF5BF4"/>
    <w:rsid w:val="00BF5C16"/>
    <w:rsid w:val="00BF5F86"/>
    <w:rsid w:val="00BF60FC"/>
    <w:rsid w:val="00BF6122"/>
    <w:rsid w:val="00BF6142"/>
    <w:rsid w:val="00BF6172"/>
    <w:rsid w:val="00BF6709"/>
    <w:rsid w:val="00BF7359"/>
    <w:rsid w:val="00BF7649"/>
    <w:rsid w:val="00BF76ED"/>
    <w:rsid w:val="00BF77EB"/>
    <w:rsid w:val="00BF79FD"/>
    <w:rsid w:val="00C00227"/>
    <w:rsid w:val="00C0035C"/>
    <w:rsid w:val="00C008A0"/>
    <w:rsid w:val="00C00E07"/>
    <w:rsid w:val="00C00F38"/>
    <w:rsid w:val="00C01170"/>
    <w:rsid w:val="00C01272"/>
    <w:rsid w:val="00C01320"/>
    <w:rsid w:val="00C017D7"/>
    <w:rsid w:val="00C018CB"/>
    <w:rsid w:val="00C01B98"/>
    <w:rsid w:val="00C01C74"/>
    <w:rsid w:val="00C01D91"/>
    <w:rsid w:val="00C01DD2"/>
    <w:rsid w:val="00C01E12"/>
    <w:rsid w:val="00C0203E"/>
    <w:rsid w:val="00C02273"/>
    <w:rsid w:val="00C02415"/>
    <w:rsid w:val="00C024EE"/>
    <w:rsid w:val="00C02D6A"/>
    <w:rsid w:val="00C02EB6"/>
    <w:rsid w:val="00C03098"/>
    <w:rsid w:val="00C03824"/>
    <w:rsid w:val="00C038F9"/>
    <w:rsid w:val="00C03A81"/>
    <w:rsid w:val="00C03BC0"/>
    <w:rsid w:val="00C04023"/>
    <w:rsid w:val="00C0464F"/>
    <w:rsid w:val="00C048A5"/>
    <w:rsid w:val="00C049FC"/>
    <w:rsid w:val="00C04EF8"/>
    <w:rsid w:val="00C04FAC"/>
    <w:rsid w:val="00C050A4"/>
    <w:rsid w:val="00C0513D"/>
    <w:rsid w:val="00C051E4"/>
    <w:rsid w:val="00C05862"/>
    <w:rsid w:val="00C05A7C"/>
    <w:rsid w:val="00C05C71"/>
    <w:rsid w:val="00C06153"/>
    <w:rsid w:val="00C066E2"/>
    <w:rsid w:val="00C069C6"/>
    <w:rsid w:val="00C06A34"/>
    <w:rsid w:val="00C06F54"/>
    <w:rsid w:val="00C07B7A"/>
    <w:rsid w:val="00C07D97"/>
    <w:rsid w:val="00C100F3"/>
    <w:rsid w:val="00C10561"/>
    <w:rsid w:val="00C1099B"/>
    <w:rsid w:val="00C10A56"/>
    <w:rsid w:val="00C10B6E"/>
    <w:rsid w:val="00C10BEB"/>
    <w:rsid w:val="00C10D10"/>
    <w:rsid w:val="00C10F80"/>
    <w:rsid w:val="00C1139E"/>
    <w:rsid w:val="00C114CE"/>
    <w:rsid w:val="00C116AD"/>
    <w:rsid w:val="00C1170E"/>
    <w:rsid w:val="00C11892"/>
    <w:rsid w:val="00C11AFD"/>
    <w:rsid w:val="00C11D13"/>
    <w:rsid w:val="00C11F43"/>
    <w:rsid w:val="00C1218A"/>
    <w:rsid w:val="00C12880"/>
    <w:rsid w:val="00C128AF"/>
    <w:rsid w:val="00C12E4B"/>
    <w:rsid w:val="00C13052"/>
    <w:rsid w:val="00C131A4"/>
    <w:rsid w:val="00C132D3"/>
    <w:rsid w:val="00C13627"/>
    <w:rsid w:val="00C137FE"/>
    <w:rsid w:val="00C13C42"/>
    <w:rsid w:val="00C14226"/>
    <w:rsid w:val="00C14389"/>
    <w:rsid w:val="00C143C1"/>
    <w:rsid w:val="00C147AB"/>
    <w:rsid w:val="00C14B7C"/>
    <w:rsid w:val="00C14DFA"/>
    <w:rsid w:val="00C152A8"/>
    <w:rsid w:val="00C154BF"/>
    <w:rsid w:val="00C15684"/>
    <w:rsid w:val="00C15A81"/>
    <w:rsid w:val="00C15D8F"/>
    <w:rsid w:val="00C15DA7"/>
    <w:rsid w:val="00C15DE7"/>
    <w:rsid w:val="00C1636E"/>
    <w:rsid w:val="00C163CD"/>
    <w:rsid w:val="00C1663E"/>
    <w:rsid w:val="00C16C14"/>
    <w:rsid w:val="00C16F6A"/>
    <w:rsid w:val="00C1749D"/>
    <w:rsid w:val="00C179CF"/>
    <w:rsid w:val="00C17A99"/>
    <w:rsid w:val="00C20282"/>
    <w:rsid w:val="00C20374"/>
    <w:rsid w:val="00C20432"/>
    <w:rsid w:val="00C2069F"/>
    <w:rsid w:val="00C206A2"/>
    <w:rsid w:val="00C20E79"/>
    <w:rsid w:val="00C20EA8"/>
    <w:rsid w:val="00C212CD"/>
    <w:rsid w:val="00C2131A"/>
    <w:rsid w:val="00C21594"/>
    <w:rsid w:val="00C21630"/>
    <w:rsid w:val="00C216A1"/>
    <w:rsid w:val="00C216EF"/>
    <w:rsid w:val="00C218AD"/>
    <w:rsid w:val="00C224CD"/>
    <w:rsid w:val="00C22571"/>
    <w:rsid w:val="00C22CF9"/>
    <w:rsid w:val="00C23104"/>
    <w:rsid w:val="00C23410"/>
    <w:rsid w:val="00C234EB"/>
    <w:rsid w:val="00C23A68"/>
    <w:rsid w:val="00C23B87"/>
    <w:rsid w:val="00C24353"/>
    <w:rsid w:val="00C24370"/>
    <w:rsid w:val="00C244CC"/>
    <w:rsid w:val="00C249AB"/>
    <w:rsid w:val="00C24AC6"/>
    <w:rsid w:val="00C24BCE"/>
    <w:rsid w:val="00C24C7C"/>
    <w:rsid w:val="00C24CA1"/>
    <w:rsid w:val="00C24D9C"/>
    <w:rsid w:val="00C2507D"/>
    <w:rsid w:val="00C2520F"/>
    <w:rsid w:val="00C25BDC"/>
    <w:rsid w:val="00C25C94"/>
    <w:rsid w:val="00C25E75"/>
    <w:rsid w:val="00C25FE8"/>
    <w:rsid w:val="00C26684"/>
    <w:rsid w:val="00C26A69"/>
    <w:rsid w:val="00C26E84"/>
    <w:rsid w:val="00C270D1"/>
    <w:rsid w:val="00C2743A"/>
    <w:rsid w:val="00C274A3"/>
    <w:rsid w:val="00C27591"/>
    <w:rsid w:val="00C2781A"/>
    <w:rsid w:val="00C27D24"/>
    <w:rsid w:val="00C27E90"/>
    <w:rsid w:val="00C302D5"/>
    <w:rsid w:val="00C30AEA"/>
    <w:rsid w:val="00C31061"/>
    <w:rsid w:val="00C310AC"/>
    <w:rsid w:val="00C31133"/>
    <w:rsid w:val="00C314A9"/>
    <w:rsid w:val="00C3152A"/>
    <w:rsid w:val="00C3211E"/>
    <w:rsid w:val="00C3243E"/>
    <w:rsid w:val="00C32CA5"/>
    <w:rsid w:val="00C33032"/>
    <w:rsid w:val="00C33247"/>
    <w:rsid w:val="00C332B3"/>
    <w:rsid w:val="00C334C3"/>
    <w:rsid w:val="00C3376D"/>
    <w:rsid w:val="00C338FB"/>
    <w:rsid w:val="00C33BCA"/>
    <w:rsid w:val="00C33D00"/>
    <w:rsid w:val="00C34050"/>
    <w:rsid w:val="00C342DE"/>
    <w:rsid w:val="00C34619"/>
    <w:rsid w:val="00C3467B"/>
    <w:rsid w:val="00C346A1"/>
    <w:rsid w:val="00C34997"/>
    <w:rsid w:val="00C34FDC"/>
    <w:rsid w:val="00C3566C"/>
    <w:rsid w:val="00C356F6"/>
    <w:rsid w:val="00C35C80"/>
    <w:rsid w:val="00C35EB7"/>
    <w:rsid w:val="00C36019"/>
    <w:rsid w:val="00C36113"/>
    <w:rsid w:val="00C362B5"/>
    <w:rsid w:val="00C363BA"/>
    <w:rsid w:val="00C36952"/>
    <w:rsid w:val="00C36B04"/>
    <w:rsid w:val="00C36BB0"/>
    <w:rsid w:val="00C36D06"/>
    <w:rsid w:val="00C36D0E"/>
    <w:rsid w:val="00C36FBF"/>
    <w:rsid w:val="00C372A5"/>
    <w:rsid w:val="00C377D2"/>
    <w:rsid w:val="00C37984"/>
    <w:rsid w:val="00C37B07"/>
    <w:rsid w:val="00C37D1F"/>
    <w:rsid w:val="00C40164"/>
    <w:rsid w:val="00C403FF"/>
    <w:rsid w:val="00C40531"/>
    <w:rsid w:val="00C406F6"/>
    <w:rsid w:val="00C4072A"/>
    <w:rsid w:val="00C40767"/>
    <w:rsid w:val="00C4081C"/>
    <w:rsid w:val="00C4112B"/>
    <w:rsid w:val="00C4142B"/>
    <w:rsid w:val="00C41781"/>
    <w:rsid w:val="00C419F1"/>
    <w:rsid w:val="00C41F9B"/>
    <w:rsid w:val="00C4231B"/>
    <w:rsid w:val="00C4242E"/>
    <w:rsid w:val="00C42808"/>
    <w:rsid w:val="00C428DE"/>
    <w:rsid w:val="00C42A62"/>
    <w:rsid w:val="00C42AEC"/>
    <w:rsid w:val="00C42E6D"/>
    <w:rsid w:val="00C42EFD"/>
    <w:rsid w:val="00C4300A"/>
    <w:rsid w:val="00C430FB"/>
    <w:rsid w:val="00C43384"/>
    <w:rsid w:val="00C43E83"/>
    <w:rsid w:val="00C44072"/>
    <w:rsid w:val="00C44459"/>
    <w:rsid w:val="00C4448C"/>
    <w:rsid w:val="00C44870"/>
    <w:rsid w:val="00C45044"/>
    <w:rsid w:val="00C4510F"/>
    <w:rsid w:val="00C4578E"/>
    <w:rsid w:val="00C45901"/>
    <w:rsid w:val="00C45B2B"/>
    <w:rsid w:val="00C45D1B"/>
    <w:rsid w:val="00C45EA1"/>
    <w:rsid w:val="00C4603A"/>
    <w:rsid w:val="00C460E3"/>
    <w:rsid w:val="00C461D7"/>
    <w:rsid w:val="00C462A4"/>
    <w:rsid w:val="00C46439"/>
    <w:rsid w:val="00C46A31"/>
    <w:rsid w:val="00C46AAA"/>
    <w:rsid w:val="00C46E53"/>
    <w:rsid w:val="00C4727A"/>
    <w:rsid w:val="00C47663"/>
    <w:rsid w:val="00C4790B"/>
    <w:rsid w:val="00C4799B"/>
    <w:rsid w:val="00C47C91"/>
    <w:rsid w:val="00C47DD4"/>
    <w:rsid w:val="00C47E08"/>
    <w:rsid w:val="00C47E73"/>
    <w:rsid w:val="00C47F5C"/>
    <w:rsid w:val="00C47FEB"/>
    <w:rsid w:val="00C50025"/>
    <w:rsid w:val="00C5012C"/>
    <w:rsid w:val="00C50568"/>
    <w:rsid w:val="00C505AD"/>
    <w:rsid w:val="00C5063D"/>
    <w:rsid w:val="00C50678"/>
    <w:rsid w:val="00C508F5"/>
    <w:rsid w:val="00C50A5B"/>
    <w:rsid w:val="00C50AEB"/>
    <w:rsid w:val="00C50B5C"/>
    <w:rsid w:val="00C50E1B"/>
    <w:rsid w:val="00C50E89"/>
    <w:rsid w:val="00C51009"/>
    <w:rsid w:val="00C5116D"/>
    <w:rsid w:val="00C51236"/>
    <w:rsid w:val="00C513C8"/>
    <w:rsid w:val="00C513D2"/>
    <w:rsid w:val="00C5151A"/>
    <w:rsid w:val="00C51765"/>
    <w:rsid w:val="00C51783"/>
    <w:rsid w:val="00C517A1"/>
    <w:rsid w:val="00C51E69"/>
    <w:rsid w:val="00C5228B"/>
    <w:rsid w:val="00C5249D"/>
    <w:rsid w:val="00C5299B"/>
    <w:rsid w:val="00C529B6"/>
    <w:rsid w:val="00C52B19"/>
    <w:rsid w:val="00C52F79"/>
    <w:rsid w:val="00C53066"/>
    <w:rsid w:val="00C53302"/>
    <w:rsid w:val="00C5334A"/>
    <w:rsid w:val="00C5337F"/>
    <w:rsid w:val="00C538A1"/>
    <w:rsid w:val="00C53913"/>
    <w:rsid w:val="00C53D37"/>
    <w:rsid w:val="00C53E4A"/>
    <w:rsid w:val="00C54393"/>
    <w:rsid w:val="00C54ED5"/>
    <w:rsid w:val="00C55203"/>
    <w:rsid w:val="00C553A7"/>
    <w:rsid w:val="00C55466"/>
    <w:rsid w:val="00C559BC"/>
    <w:rsid w:val="00C55A06"/>
    <w:rsid w:val="00C55DD6"/>
    <w:rsid w:val="00C560DC"/>
    <w:rsid w:val="00C56473"/>
    <w:rsid w:val="00C56514"/>
    <w:rsid w:val="00C56A98"/>
    <w:rsid w:val="00C56C7E"/>
    <w:rsid w:val="00C56CC4"/>
    <w:rsid w:val="00C56D0A"/>
    <w:rsid w:val="00C56FE2"/>
    <w:rsid w:val="00C5731A"/>
    <w:rsid w:val="00C5775B"/>
    <w:rsid w:val="00C57864"/>
    <w:rsid w:val="00C57A65"/>
    <w:rsid w:val="00C57A6E"/>
    <w:rsid w:val="00C57C5A"/>
    <w:rsid w:val="00C57DAC"/>
    <w:rsid w:val="00C60366"/>
    <w:rsid w:val="00C605DC"/>
    <w:rsid w:val="00C60816"/>
    <w:rsid w:val="00C6083A"/>
    <w:rsid w:val="00C60B1A"/>
    <w:rsid w:val="00C60CFD"/>
    <w:rsid w:val="00C6102A"/>
    <w:rsid w:val="00C6113F"/>
    <w:rsid w:val="00C61217"/>
    <w:rsid w:val="00C61265"/>
    <w:rsid w:val="00C61626"/>
    <w:rsid w:val="00C61C81"/>
    <w:rsid w:val="00C6230D"/>
    <w:rsid w:val="00C627C1"/>
    <w:rsid w:val="00C62817"/>
    <w:rsid w:val="00C62C82"/>
    <w:rsid w:val="00C62D73"/>
    <w:rsid w:val="00C6301C"/>
    <w:rsid w:val="00C632ED"/>
    <w:rsid w:val="00C632EE"/>
    <w:rsid w:val="00C63DCE"/>
    <w:rsid w:val="00C63ECF"/>
    <w:rsid w:val="00C63F31"/>
    <w:rsid w:val="00C643E1"/>
    <w:rsid w:val="00C645AA"/>
    <w:rsid w:val="00C648AD"/>
    <w:rsid w:val="00C64CE3"/>
    <w:rsid w:val="00C64E60"/>
    <w:rsid w:val="00C652F6"/>
    <w:rsid w:val="00C658EE"/>
    <w:rsid w:val="00C65A4B"/>
    <w:rsid w:val="00C65A57"/>
    <w:rsid w:val="00C65B30"/>
    <w:rsid w:val="00C65C2E"/>
    <w:rsid w:val="00C65CB2"/>
    <w:rsid w:val="00C65E3B"/>
    <w:rsid w:val="00C66179"/>
    <w:rsid w:val="00C66373"/>
    <w:rsid w:val="00C663A0"/>
    <w:rsid w:val="00C6646E"/>
    <w:rsid w:val="00C66A16"/>
    <w:rsid w:val="00C66E1C"/>
    <w:rsid w:val="00C66E90"/>
    <w:rsid w:val="00C6769B"/>
    <w:rsid w:val="00C67735"/>
    <w:rsid w:val="00C67A23"/>
    <w:rsid w:val="00C67D5B"/>
    <w:rsid w:val="00C67FD3"/>
    <w:rsid w:val="00C70182"/>
    <w:rsid w:val="00C704E2"/>
    <w:rsid w:val="00C70852"/>
    <w:rsid w:val="00C70B55"/>
    <w:rsid w:val="00C70DE0"/>
    <w:rsid w:val="00C71191"/>
    <w:rsid w:val="00C712AB"/>
    <w:rsid w:val="00C717FD"/>
    <w:rsid w:val="00C71D84"/>
    <w:rsid w:val="00C7210E"/>
    <w:rsid w:val="00C722A4"/>
    <w:rsid w:val="00C72314"/>
    <w:rsid w:val="00C72555"/>
    <w:rsid w:val="00C72563"/>
    <w:rsid w:val="00C72A36"/>
    <w:rsid w:val="00C72C4C"/>
    <w:rsid w:val="00C72D80"/>
    <w:rsid w:val="00C72FC1"/>
    <w:rsid w:val="00C730A9"/>
    <w:rsid w:val="00C732D7"/>
    <w:rsid w:val="00C73515"/>
    <w:rsid w:val="00C73B80"/>
    <w:rsid w:val="00C73E42"/>
    <w:rsid w:val="00C73F6F"/>
    <w:rsid w:val="00C7406F"/>
    <w:rsid w:val="00C74305"/>
    <w:rsid w:val="00C74350"/>
    <w:rsid w:val="00C74694"/>
    <w:rsid w:val="00C746A8"/>
    <w:rsid w:val="00C746C6"/>
    <w:rsid w:val="00C7475F"/>
    <w:rsid w:val="00C747E3"/>
    <w:rsid w:val="00C74BBB"/>
    <w:rsid w:val="00C74CC2"/>
    <w:rsid w:val="00C7503C"/>
    <w:rsid w:val="00C750D1"/>
    <w:rsid w:val="00C75163"/>
    <w:rsid w:val="00C7524B"/>
    <w:rsid w:val="00C754FC"/>
    <w:rsid w:val="00C7585F"/>
    <w:rsid w:val="00C75C0A"/>
    <w:rsid w:val="00C75D59"/>
    <w:rsid w:val="00C76111"/>
    <w:rsid w:val="00C76154"/>
    <w:rsid w:val="00C7636D"/>
    <w:rsid w:val="00C765C7"/>
    <w:rsid w:val="00C76878"/>
    <w:rsid w:val="00C76C2C"/>
    <w:rsid w:val="00C76E5C"/>
    <w:rsid w:val="00C76F1A"/>
    <w:rsid w:val="00C7724B"/>
    <w:rsid w:val="00C7730F"/>
    <w:rsid w:val="00C77370"/>
    <w:rsid w:val="00C776AB"/>
    <w:rsid w:val="00C77815"/>
    <w:rsid w:val="00C7794C"/>
    <w:rsid w:val="00C77B83"/>
    <w:rsid w:val="00C77BA0"/>
    <w:rsid w:val="00C805A6"/>
    <w:rsid w:val="00C8066A"/>
    <w:rsid w:val="00C80883"/>
    <w:rsid w:val="00C80BE8"/>
    <w:rsid w:val="00C80D4D"/>
    <w:rsid w:val="00C80F06"/>
    <w:rsid w:val="00C81194"/>
    <w:rsid w:val="00C8134E"/>
    <w:rsid w:val="00C81687"/>
    <w:rsid w:val="00C818D6"/>
    <w:rsid w:val="00C81F64"/>
    <w:rsid w:val="00C8217B"/>
    <w:rsid w:val="00C82571"/>
    <w:rsid w:val="00C82766"/>
    <w:rsid w:val="00C82B04"/>
    <w:rsid w:val="00C8311F"/>
    <w:rsid w:val="00C836AB"/>
    <w:rsid w:val="00C8371C"/>
    <w:rsid w:val="00C83945"/>
    <w:rsid w:val="00C83B8A"/>
    <w:rsid w:val="00C83C5D"/>
    <w:rsid w:val="00C83FA6"/>
    <w:rsid w:val="00C84008"/>
    <w:rsid w:val="00C841C8"/>
    <w:rsid w:val="00C84215"/>
    <w:rsid w:val="00C8433F"/>
    <w:rsid w:val="00C84373"/>
    <w:rsid w:val="00C84AB7"/>
    <w:rsid w:val="00C84C4D"/>
    <w:rsid w:val="00C85391"/>
    <w:rsid w:val="00C853AE"/>
    <w:rsid w:val="00C857CD"/>
    <w:rsid w:val="00C85810"/>
    <w:rsid w:val="00C858BF"/>
    <w:rsid w:val="00C85B56"/>
    <w:rsid w:val="00C85B8C"/>
    <w:rsid w:val="00C864F8"/>
    <w:rsid w:val="00C86568"/>
    <w:rsid w:val="00C86607"/>
    <w:rsid w:val="00C867B0"/>
    <w:rsid w:val="00C86B31"/>
    <w:rsid w:val="00C86C45"/>
    <w:rsid w:val="00C87348"/>
    <w:rsid w:val="00C873A0"/>
    <w:rsid w:val="00C87464"/>
    <w:rsid w:val="00C877AB"/>
    <w:rsid w:val="00C87961"/>
    <w:rsid w:val="00C87B1D"/>
    <w:rsid w:val="00C87BAD"/>
    <w:rsid w:val="00C906A7"/>
    <w:rsid w:val="00C90BE0"/>
    <w:rsid w:val="00C90CB2"/>
    <w:rsid w:val="00C90EB8"/>
    <w:rsid w:val="00C91CFB"/>
    <w:rsid w:val="00C923B6"/>
    <w:rsid w:val="00C924CA"/>
    <w:rsid w:val="00C92598"/>
    <w:rsid w:val="00C926C8"/>
    <w:rsid w:val="00C92C2A"/>
    <w:rsid w:val="00C92CB3"/>
    <w:rsid w:val="00C92D22"/>
    <w:rsid w:val="00C9322C"/>
    <w:rsid w:val="00C93438"/>
    <w:rsid w:val="00C9353B"/>
    <w:rsid w:val="00C93570"/>
    <w:rsid w:val="00C937BE"/>
    <w:rsid w:val="00C93B0B"/>
    <w:rsid w:val="00C93D76"/>
    <w:rsid w:val="00C93E0C"/>
    <w:rsid w:val="00C93FCD"/>
    <w:rsid w:val="00C9407B"/>
    <w:rsid w:val="00C941E5"/>
    <w:rsid w:val="00C94442"/>
    <w:rsid w:val="00C94596"/>
    <w:rsid w:val="00C947BE"/>
    <w:rsid w:val="00C949FD"/>
    <w:rsid w:val="00C94CA2"/>
    <w:rsid w:val="00C94CFA"/>
    <w:rsid w:val="00C94E12"/>
    <w:rsid w:val="00C9516D"/>
    <w:rsid w:val="00C95AD3"/>
    <w:rsid w:val="00C95AD5"/>
    <w:rsid w:val="00C95B7F"/>
    <w:rsid w:val="00C9635A"/>
    <w:rsid w:val="00C96381"/>
    <w:rsid w:val="00C963BE"/>
    <w:rsid w:val="00C9679B"/>
    <w:rsid w:val="00C9688C"/>
    <w:rsid w:val="00C96A47"/>
    <w:rsid w:val="00C96C80"/>
    <w:rsid w:val="00C970DB"/>
    <w:rsid w:val="00C97D3F"/>
    <w:rsid w:val="00C97DBE"/>
    <w:rsid w:val="00C97E05"/>
    <w:rsid w:val="00CA029B"/>
    <w:rsid w:val="00CA0522"/>
    <w:rsid w:val="00CA0763"/>
    <w:rsid w:val="00CA0C3A"/>
    <w:rsid w:val="00CA0EF9"/>
    <w:rsid w:val="00CA1124"/>
    <w:rsid w:val="00CA128E"/>
    <w:rsid w:val="00CA1294"/>
    <w:rsid w:val="00CA15C5"/>
    <w:rsid w:val="00CA1723"/>
    <w:rsid w:val="00CA1DC2"/>
    <w:rsid w:val="00CA1DDD"/>
    <w:rsid w:val="00CA20B0"/>
    <w:rsid w:val="00CA211C"/>
    <w:rsid w:val="00CA222D"/>
    <w:rsid w:val="00CA23EA"/>
    <w:rsid w:val="00CA28EA"/>
    <w:rsid w:val="00CA2B78"/>
    <w:rsid w:val="00CA2BA8"/>
    <w:rsid w:val="00CA2BAE"/>
    <w:rsid w:val="00CA2E24"/>
    <w:rsid w:val="00CA2EA1"/>
    <w:rsid w:val="00CA2F8C"/>
    <w:rsid w:val="00CA2FA4"/>
    <w:rsid w:val="00CA32BB"/>
    <w:rsid w:val="00CA331C"/>
    <w:rsid w:val="00CA345C"/>
    <w:rsid w:val="00CA3633"/>
    <w:rsid w:val="00CA3B89"/>
    <w:rsid w:val="00CA410B"/>
    <w:rsid w:val="00CA438E"/>
    <w:rsid w:val="00CA499B"/>
    <w:rsid w:val="00CA4FF0"/>
    <w:rsid w:val="00CA50FE"/>
    <w:rsid w:val="00CA5257"/>
    <w:rsid w:val="00CA5612"/>
    <w:rsid w:val="00CA59A5"/>
    <w:rsid w:val="00CA5A87"/>
    <w:rsid w:val="00CA5E3D"/>
    <w:rsid w:val="00CA6359"/>
    <w:rsid w:val="00CA64E8"/>
    <w:rsid w:val="00CA6509"/>
    <w:rsid w:val="00CA6695"/>
    <w:rsid w:val="00CA695E"/>
    <w:rsid w:val="00CA6A74"/>
    <w:rsid w:val="00CA6B6B"/>
    <w:rsid w:val="00CA6D28"/>
    <w:rsid w:val="00CA6E2A"/>
    <w:rsid w:val="00CA6FC3"/>
    <w:rsid w:val="00CA7121"/>
    <w:rsid w:val="00CA765B"/>
    <w:rsid w:val="00CA7772"/>
    <w:rsid w:val="00CA791C"/>
    <w:rsid w:val="00CA7E7C"/>
    <w:rsid w:val="00CA7EAE"/>
    <w:rsid w:val="00CA7F05"/>
    <w:rsid w:val="00CB0AB2"/>
    <w:rsid w:val="00CB0CAF"/>
    <w:rsid w:val="00CB0EA9"/>
    <w:rsid w:val="00CB1057"/>
    <w:rsid w:val="00CB105D"/>
    <w:rsid w:val="00CB1157"/>
    <w:rsid w:val="00CB1854"/>
    <w:rsid w:val="00CB18B4"/>
    <w:rsid w:val="00CB18C4"/>
    <w:rsid w:val="00CB198A"/>
    <w:rsid w:val="00CB19BA"/>
    <w:rsid w:val="00CB1E1B"/>
    <w:rsid w:val="00CB1EA5"/>
    <w:rsid w:val="00CB2196"/>
    <w:rsid w:val="00CB23C9"/>
    <w:rsid w:val="00CB2AE8"/>
    <w:rsid w:val="00CB31DF"/>
    <w:rsid w:val="00CB382B"/>
    <w:rsid w:val="00CB3873"/>
    <w:rsid w:val="00CB3B98"/>
    <w:rsid w:val="00CB3EA4"/>
    <w:rsid w:val="00CB4082"/>
    <w:rsid w:val="00CB41C7"/>
    <w:rsid w:val="00CB41D0"/>
    <w:rsid w:val="00CB41E5"/>
    <w:rsid w:val="00CB422C"/>
    <w:rsid w:val="00CB43E1"/>
    <w:rsid w:val="00CB4477"/>
    <w:rsid w:val="00CB4661"/>
    <w:rsid w:val="00CB4761"/>
    <w:rsid w:val="00CB49BA"/>
    <w:rsid w:val="00CB4BCC"/>
    <w:rsid w:val="00CB4CAB"/>
    <w:rsid w:val="00CB5112"/>
    <w:rsid w:val="00CB597A"/>
    <w:rsid w:val="00CB5F14"/>
    <w:rsid w:val="00CB6120"/>
    <w:rsid w:val="00CB62AC"/>
    <w:rsid w:val="00CB64AD"/>
    <w:rsid w:val="00CB6668"/>
    <w:rsid w:val="00CB68BF"/>
    <w:rsid w:val="00CB6A09"/>
    <w:rsid w:val="00CB6B96"/>
    <w:rsid w:val="00CB6BE2"/>
    <w:rsid w:val="00CB6DF7"/>
    <w:rsid w:val="00CB6EEC"/>
    <w:rsid w:val="00CB703E"/>
    <w:rsid w:val="00CB734D"/>
    <w:rsid w:val="00CB739B"/>
    <w:rsid w:val="00CB7D7C"/>
    <w:rsid w:val="00CC0044"/>
    <w:rsid w:val="00CC0880"/>
    <w:rsid w:val="00CC0CFB"/>
    <w:rsid w:val="00CC1273"/>
    <w:rsid w:val="00CC1380"/>
    <w:rsid w:val="00CC14B2"/>
    <w:rsid w:val="00CC162D"/>
    <w:rsid w:val="00CC1655"/>
    <w:rsid w:val="00CC18E7"/>
    <w:rsid w:val="00CC1D77"/>
    <w:rsid w:val="00CC1DFF"/>
    <w:rsid w:val="00CC2142"/>
    <w:rsid w:val="00CC273B"/>
    <w:rsid w:val="00CC27DC"/>
    <w:rsid w:val="00CC2B2E"/>
    <w:rsid w:val="00CC2CB4"/>
    <w:rsid w:val="00CC3043"/>
    <w:rsid w:val="00CC3078"/>
    <w:rsid w:val="00CC32E9"/>
    <w:rsid w:val="00CC3343"/>
    <w:rsid w:val="00CC3373"/>
    <w:rsid w:val="00CC3609"/>
    <w:rsid w:val="00CC36E4"/>
    <w:rsid w:val="00CC37EE"/>
    <w:rsid w:val="00CC3937"/>
    <w:rsid w:val="00CC3CB9"/>
    <w:rsid w:val="00CC3DDD"/>
    <w:rsid w:val="00CC3EA5"/>
    <w:rsid w:val="00CC3F73"/>
    <w:rsid w:val="00CC4026"/>
    <w:rsid w:val="00CC418B"/>
    <w:rsid w:val="00CC422B"/>
    <w:rsid w:val="00CC4628"/>
    <w:rsid w:val="00CC4B2F"/>
    <w:rsid w:val="00CC4E36"/>
    <w:rsid w:val="00CC51A5"/>
    <w:rsid w:val="00CC521A"/>
    <w:rsid w:val="00CC5445"/>
    <w:rsid w:val="00CC56FE"/>
    <w:rsid w:val="00CC5734"/>
    <w:rsid w:val="00CC5796"/>
    <w:rsid w:val="00CC5A4E"/>
    <w:rsid w:val="00CC5CB5"/>
    <w:rsid w:val="00CC5F2D"/>
    <w:rsid w:val="00CC5F5F"/>
    <w:rsid w:val="00CC614F"/>
    <w:rsid w:val="00CC624C"/>
    <w:rsid w:val="00CC62EA"/>
    <w:rsid w:val="00CC6302"/>
    <w:rsid w:val="00CC63BE"/>
    <w:rsid w:val="00CC6B01"/>
    <w:rsid w:val="00CC6BCE"/>
    <w:rsid w:val="00CC7229"/>
    <w:rsid w:val="00CC7451"/>
    <w:rsid w:val="00CC75E3"/>
    <w:rsid w:val="00CC7A70"/>
    <w:rsid w:val="00CC7AD3"/>
    <w:rsid w:val="00CD028C"/>
    <w:rsid w:val="00CD042A"/>
    <w:rsid w:val="00CD0510"/>
    <w:rsid w:val="00CD0730"/>
    <w:rsid w:val="00CD07AC"/>
    <w:rsid w:val="00CD0AA7"/>
    <w:rsid w:val="00CD0B83"/>
    <w:rsid w:val="00CD0C3F"/>
    <w:rsid w:val="00CD104A"/>
    <w:rsid w:val="00CD12C1"/>
    <w:rsid w:val="00CD140D"/>
    <w:rsid w:val="00CD14DD"/>
    <w:rsid w:val="00CD1554"/>
    <w:rsid w:val="00CD1665"/>
    <w:rsid w:val="00CD16BF"/>
    <w:rsid w:val="00CD194B"/>
    <w:rsid w:val="00CD1D94"/>
    <w:rsid w:val="00CD1F24"/>
    <w:rsid w:val="00CD2131"/>
    <w:rsid w:val="00CD2573"/>
    <w:rsid w:val="00CD26AA"/>
    <w:rsid w:val="00CD2851"/>
    <w:rsid w:val="00CD29FD"/>
    <w:rsid w:val="00CD2B6E"/>
    <w:rsid w:val="00CD2D6E"/>
    <w:rsid w:val="00CD2EEE"/>
    <w:rsid w:val="00CD3145"/>
    <w:rsid w:val="00CD32E8"/>
    <w:rsid w:val="00CD3525"/>
    <w:rsid w:val="00CD373E"/>
    <w:rsid w:val="00CD3A95"/>
    <w:rsid w:val="00CD3D66"/>
    <w:rsid w:val="00CD3E2B"/>
    <w:rsid w:val="00CD4193"/>
    <w:rsid w:val="00CD48FE"/>
    <w:rsid w:val="00CD4DE3"/>
    <w:rsid w:val="00CD51C9"/>
    <w:rsid w:val="00CD5365"/>
    <w:rsid w:val="00CD56E2"/>
    <w:rsid w:val="00CD5B39"/>
    <w:rsid w:val="00CD5D15"/>
    <w:rsid w:val="00CD62A4"/>
    <w:rsid w:val="00CD6490"/>
    <w:rsid w:val="00CD7087"/>
    <w:rsid w:val="00CD70E8"/>
    <w:rsid w:val="00CD7103"/>
    <w:rsid w:val="00CD7627"/>
    <w:rsid w:val="00CD7696"/>
    <w:rsid w:val="00CD789E"/>
    <w:rsid w:val="00CD78AD"/>
    <w:rsid w:val="00CD7CF0"/>
    <w:rsid w:val="00CD7FB2"/>
    <w:rsid w:val="00CE0053"/>
    <w:rsid w:val="00CE041D"/>
    <w:rsid w:val="00CE0456"/>
    <w:rsid w:val="00CE0653"/>
    <w:rsid w:val="00CE074F"/>
    <w:rsid w:val="00CE0843"/>
    <w:rsid w:val="00CE0F98"/>
    <w:rsid w:val="00CE1387"/>
    <w:rsid w:val="00CE16BE"/>
    <w:rsid w:val="00CE1717"/>
    <w:rsid w:val="00CE1A3F"/>
    <w:rsid w:val="00CE1ACA"/>
    <w:rsid w:val="00CE1C02"/>
    <w:rsid w:val="00CE1EAC"/>
    <w:rsid w:val="00CE2323"/>
    <w:rsid w:val="00CE23C4"/>
    <w:rsid w:val="00CE273B"/>
    <w:rsid w:val="00CE2B20"/>
    <w:rsid w:val="00CE2C6A"/>
    <w:rsid w:val="00CE311F"/>
    <w:rsid w:val="00CE3324"/>
    <w:rsid w:val="00CE33AB"/>
    <w:rsid w:val="00CE376E"/>
    <w:rsid w:val="00CE38E5"/>
    <w:rsid w:val="00CE3FCD"/>
    <w:rsid w:val="00CE42A4"/>
    <w:rsid w:val="00CE4361"/>
    <w:rsid w:val="00CE436A"/>
    <w:rsid w:val="00CE45A8"/>
    <w:rsid w:val="00CE47D7"/>
    <w:rsid w:val="00CE48ED"/>
    <w:rsid w:val="00CE4951"/>
    <w:rsid w:val="00CE49BA"/>
    <w:rsid w:val="00CE4A9E"/>
    <w:rsid w:val="00CE4E52"/>
    <w:rsid w:val="00CE4FA3"/>
    <w:rsid w:val="00CE5043"/>
    <w:rsid w:val="00CE513A"/>
    <w:rsid w:val="00CE5604"/>
    <w:rsid w:val="00CE560F"/>
    <w:rsid w:val="00CE5A01"/>
    <w:rsid w:val="00CE5D14"/>
    <w:rsid w:val="00CE5EF2"/>
    <w:rsid w:val="00CE5F4D"/>
    <w:rsid w:val="00CE6111"/>
    <w:rsid w:val="00CE623F"/>
    <w:rsid w:val="00CE6300"/>
    <w:rsid w:val="00CE651C"/>
    <w:rsid w:val="00CE67C3"/>
    <w:rsid w:val="00CE6A25"/>
    <w:rsid w:val="00CE6B9D"/>
    <w:rsid w:val="00CE6FBB"/>
    <w:rsid w:val="00CE71C8"/>
    <w:rsid w:val="00CE72C9"/>
    <w:rsid w:val="00CE7A4D"/>
    <w:rsid w:val="00CE7C64"/>
    <w:rsid w:val="00CF013E"/>
    <w:rsid w:val="00CF02DA"/>
    <w:rsid w:val="00CF0B6C"/>
    <w:rsid w:val="00CF0DAD"/>
    <w:rsid w:val="00CF0DE6"/>
    <w:rsid w:val="00CF0F8C"/>
    <w:rsid w:val="00CF127D"/>
    <w:rsid w:val="00CF15FE"/>
    <w:rsid w:val="00CF1AA5"/>
    <w:rsid w:val="00CF1EF7"/>
    <w:rsid w:val="00CF1F5A"/>
    <w:rsid w:val="00CF25C7"/>
    <w:rsid w:val="00CF2650"/>
    <w:rsid w:val="00CF2923"/>
    <w:rsid w:val="00CF2DBF"/>
    <w:rsid w:val="00CF30BF"/>
    <w:rsid w:val="00CF33AA"/>
    <w:rsid w:val="00CF35BA"/>
    <w:rsid w:val="00CF36F4"/>
    <w:rsid w:val="00CF3713"/>
    <w:rsid w:val="00CF3DD4"/>
    <w:rsid w:val="00CF430F"/>
    <w:rsid w:val="00CF4347"/>
    <w:rsid w:val="00CF4349"/>
    <w:rsid w:val="00CF44E1"/>
    <w:rsid w:val="00CF49BB"/>
    <w:rsid w:val="00CF49EE"/>
    <w:rsid w:val="00CF4A29"/>
    <w:rsid w:val="00CF4BFE"/>
    <w:rsid w:val="00CF4E47"/>
    <w:rsid w:val="00CF52FF"/>
    <w:rsid w:val="00CF574B"/>
    <w:rsid w:val="00CF5774"/>
    <w:rsid w:val="00CF57A0"/>
    <w:rsid w:val="00CF5B21"/>
    <w:rsid w:val="00CF5ED6"/>
    <w:rsid w:val="00CF601C"/>
    <w:rsid w:val="00CF6136"/>
    <w:rsid w:val="00CF625E"/>
    <w:rsid w:val="00CF6439"/>
    <w:rsid w:val="00CF645A"/>
    <w:rsid w:val="00CF64AA"/>
    <w:rsid w:val="00CF660A"/>
    <w:rsid w:val="00CF67A7"/>
    <w:rsid w:val="00CF6D0A"/>
    <w:rsid w:val="00CF6D4B"/>
    <w:rsid w:val="00CF7100"/>
    <w:rsid w:val="00CF7259"/>
    <w:rsid w:val="00CF7D39"/>
    <w:rsid w:val="00CF7E5E"/>
    <w:rsid w:val="00CF7E9B"/>
    <w:rsid w:val="00CF7F67"/>
    <w:rsid w:val="00D00291"/>
    <w:rsid w:val="00D002FA"/>
    <w:rsid w:val="00D005CC"/>
    <w:rsid w:val="00D00805"/>
    <w:rsid w:val="00D0090A"/>
    <w:rsid w:val="00D020AC"/>
    <w:rsid w:val="00D020FA"/>
    <w:rsid w:val="00D02628"/>
    <w:rsid w:val="00D026F2"/>
    <w:rsid w:val="00D02901"/>
    <w:rsid w:val="00D0293E"/>
    <w:rsid w:val="00D02A0C"/>
    <w:rsid w:val="00D02BBC"/>
    <w:rsid w:val="00D02C7A"/>
    <w:rsid w:val="00D0310A"/>
    <w:rsid w:val="00D032A9"/>
    <w:rsid w:val="00D03445"/>
    <w:rsid w:val="00D03646"/>
    <w:rsid w:val="00D03A9F"/>
    <w:rsid w:val="00D03CF5"/>
    <w:rsid w:val="00D03F13"/>
    <w:rsid w:val="00D03FA6"/>
    <w:rsid w:val="00D044A0"/>
    <w:rsid w:val="00D04B68"/>
    <w:rsid w:val="00D04F94"/>
    <w:rsid w:val="00D05056"/>
    <w:rsid w:val="00D05119"/>
    <w:rsid w:val="00D05181"/>
    <w:rsid w:val="00D0542E"/>
    <w:rsid w:val="00D05494"/>
    <w:rsid w:val="00D05761"/>
    <w:rsid w:val="00D05A24"/>
    <w:rsid w:val="00D05C0F"/>
    <w:rsid w:val="00D05C63"/>
    <w:rsid w:val="00D061F1"/>
    <w:rsid w:val="00D0631C"/>
    <w:rsid w:val="00D0643B"/>
    <w:rsid w:val="00D06C7A"/>
    <w:rsid w:val="00D06FEA"/>
    <w:rsid w:val="00D07334"/>
    <w:rsid w:val="00D0758B"/>
    <w:rsid w:val="00D077AB"/>
    <w:rsid w:val="00D0785E"/>
    <w:rsid w:val="00D07875"/>
    <w:rsid w:val="00D07B74"/>
    <w:rsid w:val="00D07CFC"/>
    <w:rsid w:val="00D07DF6"/>
    <w:rsid w:val="00D07E64"/>
    <w:rsid w:val="00D07F3C"/>
    <w:rsid w:val="00D10070"/>
    <w:rsid w:val="00D10118"/>
    <w:rsid w:val="00D107C1"/>
    <w:rsid w:val="00D1088C"/>
    <w:rsid w:val="00D10F89"/>
    <w:rsid w:val="00D11086"/>
    <w:rsid w:val="00D115F4"/>
    <w:rsid w:val="00D1180B"/>
    <w:rsid w:val="00D11A61"/>
    <w:rsid w:val="00D11DD7"/>
    <w:rsid w:val="00D11ED4"/>
    <w:rsid w:val="00D120C6"/>
    <w:rsid w:val="00D1225F"/>
    <w:rsid w:val="00D126C2"/>
    <w:rsid w:val="00D12B23"/>
    <w:rsid w:val="00D12F4B"/>
    <w:rsid w:val="00D1340D"/>
    <w:rsid w:val="00D13A27"/>
    <w:rsid w:val="00D13A90"/>
    <w:rsid w:val="00D13C8E"/>
    <w:rsid w:val="00D14300"/>
    <w:rsid w:val="00D1435D"/>
    <w:rsid w:val="00D144A2"/>
    <w:rsid w:val="00D14741"/>
    <w:rsid w:val="00D14CF3"/>
    <w:rsid w:val="00D14D2D"/>
    <w:rsid w:val="00D14F33"/>
    <w:rsid w:val="00D15197"/>
    <w:rsid w:val="00D156BA"/>
    <w:rsid w:val="00D158BB"/>
    <w:rsid w:val="00D15A30"/>
    <w:rsid w:val="00D15C7E"/>
    <w:rsid w:val="00D15D02"/>
    <w:rsid w:val="00D15DD8"/>
    <w:rsid w:val="00D16455"/>
    <w:rsid w:val="00D1655D"/>
    <w:rsid w:val="00D165BF"/>
    <w:rsid w:val="00D16763"/>
    <w:rsid w:val="00D1677C"/>
    <w:rsid w:val="00D169AE"/>
    <w:rsid w:val="00D16B8D"/>
    <w:rsid w:val="00D17158"/>
    <w:rsid w:val="00D17165"/>
    <w:rsid w:val="00D173FD"/>
    <w:rsid w:val="00D17766"/>
    <w:rsid w:val="00D17BA9"/>
    <w:rsid w:val="00D17D15"/>
    <w:rsid w:val="00D17DE7"/>
    <w:rsid w:val="00D17FBA"/>
    <w:rsid w:val="00D20143"/>
    <w:rsid w:val="00D20525"/>
    <w:rsid w:val="00D20954"/>
    <w:rsid w:val="00D20C19"/>
    <w:rsid w:val="00D20EDB"/>
    <w:rsid w:val="00D20F64"/>
    <w:rsid w:val="00D21193"/>
    <w:rsid w:val="00D217F3"/>
    <w:rsid w:val="00D21A41"/>
    <w:rsid w:val="00D2231B"/>
    <w:rsid w:val="00D223E3"/>
    <w:rsid w:val="00D22404"/>
    <w:rsid w:val="00D2248B"/>
    <w:rsid w:val="00D22552"/>
    <w:rsid w:val="00D226AB"/>
    <w:rsid w:val="00D2275A"/>
    <w:rsid w:val="00D22B3A"/>
    <w:rsid w:val="00D22C55"/>
    <w:rsid w:val="00D22D6A"/>
    <w:rsid w:val="00D22DBC"/>
    <w:rsid w:val="00D22E9D"/>
    <w:rsid w:val="00D23076"/>
    <w:rsid w:val="00D23179"/>
    <w:rsid w:val="00D234D4"/>
    <w:rsid w:val="00D23739"/>
    <w:rsid w:val="00D23931"/>
    <w:rsid w:val="00D23973"/>
    <w:rsid w:val="00D23AFA"/>
    <w:rsid w:val="00D23D8B"/>
    <w:rsid w:val="00D2419B"/>
    <w:rsid w:val="00D2473D"/>
    <w:rsid w:val="00D24C21"/>
    <w:rsid w:val="00D24FE0"/>
    <w:rsid w:val="00D252B6"/>
    <w:rsid w:val="00D25748"/>
    <w:rsid w:val="00D257F4"/>
    <w:rsid w:val="00D25BB3"/>
    <w:rsid w:val="00D25C62"/>
    <w:rsid w:val="00D25D26"/>
    <w:rsid w:val="00D260B1"/>
    <w:rsid w:val="00D264B7"/>
    <w:rsid w:val="00D2671F"/>
    <w:rsid w:val="00D26819"/>
    <w:rsid w:val="00D269D9"/>
    <w:rsid w:val="00D26E35"/>
    <w:rsid w:val="00D26EB4"/>
    <w:rsid w:val="00D276D9"/>
    <w:rsid w:val="00D27721"/>
    <w:rsid w:val="00D27883"/>
    <w:rsid w:val="00D27C7B"/>
    <w:rsid w:val="00D27FE6"/>
    <w:rsid w:val="00D302DF"/>
    <w:rsid w:val="00D302EC"/>
    <w:rsid w:val="00D30841"/>
    <w:rsid w:val="00D309DB"/>
    <w:rsid w:val="00D30A0A"/>
    <w:rsid w:val="00D30BD0"/>
    <w:rsid w:val="00D31412"/>
    <w:rsid w:val="00D315D0"/>
    <w:rsid w:val="00D31669"/>
    <w:rsid w:val="00D317D7"/>
    <w:rsid w:val="00D31880"/>
    <w:rsid w:val="00D318E6"/>
    <w:rsid w:val="00D31911"/>
    <w:rsid w:val="00D31B8E"/>
    <w:rsid w:val="00D31C49"/>
    <w:rsid w:val="00D31FB0"/>
    <w:rsid w:val="00D32278"/>
    <w:rsid w:val="00D3232D"/>
    <w:rsid w:val="00D323A9"/>
    <w:rsid w:val="00D329A4"/>
    <w:rsid w:val="00D329D4"/>
    <w:rsid w:val="00D32A45"/>
    <w:rsid w:val="00D32B38"/>
    <w:rsid w:val="00D32C78"/>
    <w:rsid w:val="00D32D6E"/>
    <w:rsid w:val="00D33329"/>
    <w:rsid w:val="00D334CC"/>
    <w:rsid w:val="00D335B5"/>
    <w:rsid w:val="00D338D2"/>
    <w:rsid w:val="00D33A46"/>
    <w:rsid w:val="00D33A73"/>
    <w:rsid w:val="00D33AAC"/>
    <w:rsid w:val="00D33B1D"/>
    <w:rsid w:val="00D33F4C"/>
    <w:rsid w:val="00D33FB8"/>
    <w:rsid w:val="00D34232"/>
    <w:rsid w:val="00D34420"/>
    <w:rsid w:val="00D34A86"/>
    <w:rsid w:val="00D34C36"/>
    <w:rsid w:val="00D34ED1"/>
    <w:rsid w:val="00D35174"/>
    <w:rsid w:val="00D35505"/>
    <w:rsid w:val="00D35772"/>
    <w:rsid w:val="00D358E9"/>
    <w:rsid w:val="00D3590A"/>
    <w:rsid w:val="00D35AA6"/>
    <w:rsid w:val="00D35ED9"/>
    <w:rsid w:val="00D3625A"/>
    <w:rsid w:val="00D3645E"/>
    <w:rsid w:val="00D3670F"/>
    <w:rsid w:val="00D3678E"/>
    <w:rsid w:val="00D369FF"/>
    <w:rsid w:val="00D36AF0"/>
    <w:rsid w:val="00D37440"/>
    <w:rsid w:val="00D3764D"/>
    <w:rsid w:val="00D37746"/>
    <w:rsid w:val="00D378AC"/>
    <w:rsid w:val="00D378D2"/>
    <w:rsid w:val="00D37B53"/>
    <w:rsid w:val="00D37DA3"/>
    <w:rsid w:val="00D37E3B"/>
    <w:rsid w:val="00D4025B"/>
    <w:rsid w:val="00D404CD"/>
    <w:rsid w:val="00D40671"/>
    <w:rsid w:val="00D40B08"/>
    <w:rsid w:val="00D40E8A"/>
    <w:rsid w:val="00D41772"/>
    <w:rsid w:val="00D41EE7"/>
    <w:rsid w:val="00D41F5E"/>
    <w:rsid w:val="00D424C5"/>
    <w:rsid w:val="00D429E0"/>
    <w:rsid w:val="00D42AD0"/>
    <w:rsid w:val="00D42E9A"/>
    <w:rsid w:val="00D431B5"/>
    <w:rsid w:val="00D431CD"/>
    <w:rsid w:val="00D4325E"/>
    <w:rsid w:val="00D433B6"/>
    <w:rsid w:val="00D43925"/>
    <w:rsid w:val="00D4405F"/>
    <w:rsid w:val="00D44118"/>
    <w:rsid w:val="00D44762"/>
    <w:rsid w:val="00D44A12"/>
    <w:rsid w:val="00D44A20"/>
    <w:rsid w:val="00D44F92"/>
    <w:rsid w:val="00D450A9"/>
    <w:rsid w:val="00D45234"/>
    <w:rsid w:val="00D454D2"/>
    <w:rsid w:val="00D455A8"/>
    <w:rsid w:val="00D457E9"/>
    <w:rsid w:val="00D45B85"/>
    <w:rsid w:val="00D45CE0"/>
    <w:rsid w:val="00D45E07"/>
    <w:rsid w:val="00D46184"/>
    <w:rsid w:val="00D464F3"/>
    <w:rsid w:val="00D4651D"/>
    <w:rsid w:val="00D466C0"/>
    <w:rsid w:val="00D4685F"/>
    <w:rsid w:val="00D46B76"/>
    <w:rsid w:val="00D47505"/>
    <w:rsid w:val="00D478FD"/>
    <w:rsid w:val="00D47ADD"/>
    <w:rsid w:val="00D47DFD"/>
    <w:rsid w:val="00D50049"/>
    <w:rsid w:val="00D500EF"/>
    <w:rsid w:val="00D501F8"/>
    <w:rsid w:val="00D50333"/>
    <w:rsid w:val="00D50358"/>
    <w:rsid w:val="00D50973"/>
    <w:rsid w:val="00D50A55"/>
    <w:rsid w:val="00D50FA0"/>
    <w:rsid w:val="00D51105"/>
    <w:rsid w:val="00D5139B"/>
    <w:rsid w:val="00D51783"/>
    <w:rsid w:val="00D51C75"/>
    <w:rsid w:val="00D51E13"/>
    <w:rsid w:val="00D51E35"/>
    <w:rsid w:val="00D51E9C"/>
    <w:rsid w:val="00D51F7F"/>
    <w:rsid w:val="00D525EA"/>
    <w:rsid w:val="00D52BDD"/>
    <w:rsid w:val="00D52DDA"/>
    <w:rsid w:val="00D52E07"/>
    <w:rsid w:val="00D52E97"/>
    <w:rsid w:val="00D535D5"/>
    <w:rsid w:val="00D53619"/>
    <w:rsid w:val="00D53966"/>
    <w:rsid w:val="00D53E8A"/>
    <w:rsid w:val="00D548FF"/>
    <w:rsid w:val="00D5495E"/>
    <w:rsid w:val="00D54A7C"/>
    <w:rsid w:val="00D54A7D"/>
    <w:rsid w:val="00D54D58"/>
    <w:rsid w:val="00D54DF6"/>
    <w:rsid w:val="00D54FF7"/>
    <w:rsid w:val="00D550FF"/>
    <w:rsid w:val="00D552EB"/>
    <w:rsid w:val="00D55406"/>
    <w:rsid w:val="00D55705"/>
    <w:rsid w:val="00D5678E"/>
    <w:rsid w:val="00D5683B"/>
    <w:rsid w:val="00D56B44"/>
    <w:rsid w:val="00D56C25"/>
    <w:rsid w:val="00D56E1E"/>
    <w:rsid w:val="00D57171"/>
    <w:rsid w:val="00D571D1"/>
    <w:rsid w:val="00D5732A"/>
    <w:rsid w:val="00D5786C"/>
    <w:rsid w:val="00D57DC9"/>
    <w:rsid w:val="00D57FB1"/>
    <w:rsid w:val="00D60136"/>
    <w:rsid w:val="00D60277"/>
    <w:rsid w:val="00D60738"/>
    <w:rsid w:val="00D61002"/>
    <w:rsid w:val="00D6145C"/>
    <w:rsid w:val="00D61679"/>
    <w:rsid w:val="00D6174E"/>
    <w:rsid w:val="00D61961"/>
    <w:rsid w:val="00D61B67"/>
    <w:rsid w:val="00D61EE4"/>
    <w:rsid w:val="00D61F18"/>
    <w:rsid w:val="00D61FDD"/>
    <w:rsid w:val="00D622BA"/>
    <w:rsid w:val="00D62528"/>
    <w:rsid w:val="00D62576"/>
    <w:rsid w:val="00D62755"/>
    <w:rsid w:val="00D6319E"/>
    <w:rsid w:val="00D63692"/>
    <w:rsid w:val="00D63BE8"/>
    <w:rsid w:val="00D63C70"/>
    <w:rsid w:val="00D63D6C"/>
    <w:rsid w:val="00D642E2"/>
    <w:rsid w:val="00D6435F"/>
    <w:rsid w:val="00D64454"/>
    <w:rsid w:val="00D649E0"/>
    <w:rsid w:val="00D64D3F"/>
    <w:rsid w:val="00D64ECE"/>
    <w:rsid w:val="00D65042"/>
    <w:rsid w:val="00D6511F"/>
    <w:rsid w:val="00D65507"/>
    <w:rsid w:val="00D65559"/>
    <w:rsid w:val="00D65742"/>
    <w:rsid w:val="00D65760"/>
    <w:rsid w:val="00D65763"/>
    <w:rsid w:val="00D65B6D"/>
    <w:rsid w:val="00D65C0B"/>
    <w:rsid w:val="00D65DF5"/>
    <w:rsid w:val="00D65E7D"/>
    <w:rsid w:val="00D65EBD"/>
    <w:rsid w:val="00D66250"/>
    <w:rsid w:val="00D666EB"/>
    <w:rsid w:val="00D666F0"/>
    <w:rsid w:val="00D66777"/>
    <w:rsid w:val="00D66DE5"/>
    <w:rsid w:val="00D66EBA"/>
    <w:rsid w:val="00D66F0C"/>
    <w:rsid w:val="00D66F63"/>
    <w:rsid w:val="00D66FA4"/>
    <w:rsid w:val="00D670D1"/>
    <w:rsid w:val="00D671D3"/>
    <w:rsid w:val="00D67339"/>
    <w:rsid w:val="00D673D0"/>
    <w:rsid w:val="00D6751E"/>
    <w:rsid w:val="00D678A7"/>
    <w:rsid w:val="00D67D30"/>
    <w:rsid w:val="00D67E63"/>
    <w:rsid w:val="00D703FB"/>
    <w:rsid w:val="00D7050A"/>
    <w:rsid w:val="00D70614"/>
    <w:rsid w:val="00D70670"/>
    <w:rsid w:val="00D70CCD"/>
    <w:rsid w:val="00D70E2F"/>
    <w:rsid w:val="00D71288"/>
    <w:rsid w:val="00D716FD"/>
    <w:rsid w:val="00D7174E"/>
    <w:rsid w:val="00D71D4D"/>
    <w:rsid w:val="00D720D7"/>
    <w:rsid w:val="00D7269E"/>
    <w:rsid w:val="00D7272E"/>
    <w:rsid w:val="00D72A7B"/>
    <w:rsid w:val="00D72BCD"/>
    <w:rsid w:val="00D73010"/>
    <w:rsid w:val="00D730C7"/>
    <w:rsid w:val="00D730F2"/>
    <w:rsid w:val="00D732E4"/>
    <w:rsid w:val="00D7334B"/>
    <w:rsid w:val="00D736B4"/>
    <w:rsid w:val="00D736E9"/>
    <w:rsid w:val="00D73769"/>
    <w:rsid w:val="00D73BCF"/>
    <w:rsid w:val="00D742A2"/>
    <w:rsid w:val="00D744AB"/>
    <w:rsid w:val="00D7478C"/>
    <w:rsid w:val="00D74E75"/>
    <w:rsid w:val="00D74FD4"/>
    <w:rsid w:val="00D752AC"/>
    <w:rsid w:val="00D75848"/>
    <w:rsid w:val="00D75887"/>
    <w:rsid w:val="00D75B6D"/>
    <w:rsid w:val="00D75B74"/>
    <w:rsid w:val="00D75E82"/>
    <w:rsid w:val="00D75FB1"/>
    <w:rsid w:val="00D7606D"/>
    <w:rsid w:val="00D76626"/>
    <w:rsid w:val="00D767DF"/>
    <w:rsid w:val="00D76EA0"/>
    <w:rsid w:val="00D7739E"/>
    <w:rsid w:val="00D776E6"/>
    <w:rsid w:val="00D77CBB"/>
    <w:rsid w:val="00D77E47"/>
    <w:rsid w:val="00D77EDF"/>
    <w:rsid w:val="00D8036A"/>
    <w:rsid w:val="00D8048C"/>
    <w:rsid w:val="00D8052E"/>
    <w:rsid w:val="00D805CC"/>
    <w:rsid w:val="00D80873"/>
    <w:rsid w:val="00D808FC"/>
    <w:rsid w:val="00D80B9B"/>
    <w:rsid w:val="00D80C96"/>
    <w:rsid w:val="00D80EA2"/>
    <w:rsid w:val="00D80F05"/>
    <w:rsid w:val="00D81101"/>
    <w:rsid w:val="00D81269"/>
    <w:rsid w:val="00D813E0"/>
    <w:rsid w:val="00D8168A"/>
    <w:rsid w:val="00D81871"/>
    <w:rsid w:val="00D81D60"/>
    <w:rsid w:val="00D82025"/>
    <w:rsid w:val="00D82064"/>
    <w:rsid w:val="00D824C8"/>
    <w:rsid w:val="00D826BD"/>
    <w:rsid w:val="00D828EC"/>
    <w:rsid w:val="00D83198"/>
    <w:rsid w:val="00D83229"/>
    <w:rsid w:val="00D833D2"/>
    <w:rsid w:val="00D8342D"/>
    <w:rsid w:val="00D83497"/>
    <w:rsid w:val="00D83713"/>
    <w:rsid w:val="00D837A5"/>
    <w:rsid w:val="00D8393C"/>
    <w:rsid w:val="00D83E12"/>
    <w:rsid w:val="00D83F6B"/>
    <w:rsid w:val="00D83FD9"/>
    <w:rsid w:val="00D84037"/>
    <w:rsid w:val="00D84136"/>
    <w:rsid w:val="00D84354"/>
    <w:rsid w:val="00D84899"/>
    <w:rsid w:val="00D84C7E"/>
    <w:rsid w:val="00D84DC6"/>
    <w:rsid w:val="00D84E75"/>
    <w:rsid w:val="00D857AA"/>
    <w:rsid w:val="00D8581B"/>
    <w:rsid w:val="00D85846"/>
    <w:rsid w:val="00D85E89"/>
    <w:rsid w:val="00D86004"/>
    <w:rsid w:val="00D8624D"/>
    <w:rsid w:val="00D86401"/>
    <w:rsid w:val="00D86CCF"/>
    <w:rsid w:val="00D87402"/>
    <w:rsid w:val="00D8764E"/>
    <w:rsid w:val="00D876C7"/>
    <w:rsid w:val="00D87898"/>
    <w:rsid w:val="00D87B92"/>
    <w:rsid w:val="00D87C60"/>
    <w:rsid w:val="00D87EB6"/>
    <w:rsid w:val="00D90662"/>
    <w:rsid w:val="00D90C69"/>
    <w:rsid w:val="00D912D4"/>
    <w:rsid w:val="00D91BD4"/>
    <w:rsid w:val="00D91D10"/>
    <w:rsid w:val="00D91D9F"/>
    <w:rsid w:val="00D9223E"/>
    <w:rsid w:val="00D9233A"/>
    <w:rsid w:val="00D9263E"/>
    <w:rsid w:val="00D92CED"/>
    <w:rsid w:val="00D93A4B"/>
    <w:rsid w:val="00D93A7D"/>
    <w:rsid w:val="00D93C66"/>
    <w:rsid w:val="00D93FD4"/>
    <w:rsid w:val="00D945DB"/>
    <w:rsid w:val="00D946CA"/>
    <w:rsid w:val="00D94A68"/>
    <w:rsid w:val="00D94AD6"/>
    <w:rsid w:val="00D94B8F"/>
    <w:rsid w:val="00D94F4B"/>
    <w:rsid w:val="00D94FDE"/>
    <w:rsid w:val="00D953F6"/>
    <w:rsid w:val="00D957D5"/>
    <w:rsid w:val="00D9617F"/>
    <w:rsid w:val="00D96231"/>
    <w:rsid w:val="00D9671D"/>
    <w:rsid w:val="00D96724"/>
    <w:rsid w:val="00D96943"/>
    <w:rsid w:val="00D96988"/>
    <w:rsid w:val="00D96CBB"/>
    <w:rsid w:val="00D97850"/>
    <w:rsid w:val="00D97B80"/>
    <w:rsid w:val="00D97D75"/>
    <w:rsid w:val="00D97FF3"/>
    <w:rsid w:val="00DA016C"/>
    <w:rsid w:val="00DA057E"/>
    <w:rsid w:val="00DA0932"/>
    <w:rsid w:val="00DA094B"/>
    <w:rsid w:val="00DA0A05"/>
    <w:rsid w:val="00DA1194"/>
    <w:rsid w:val="00DA176E"/>
    <w:rsid w:val="00DA1BED"/>
    <w:rsid w:val="00DA1E13"/>
    <w:rsid w:val="00DA1ECB"/>
    <w:rsid w:val="00DA1F8E"/>
    <w:rsid w:val="00DA212B"/>
    <w:rsid w:val="00DA22F8"/>
    <w:rsid w:val="00DA2902"/>
    <w:rsid w:val="00DA29B8"/>
    <w:rsid w:val="00DA2D42"/>
    <w:rsid w:val="00DA2F59"/>
    <w:rsid w:val="00DA2F60"/>
    <w:rsid w:val="00DA2FA3"/>
    <w:rsid w:val="00DA319E"/>
    <w:rsid w:val="00DA3299"/>
    <w:rsid w:val="00DA3E20"/>
    <w:rsid w:val="00DA3EAA"/>
    <w:rsid w:val="00DA41BA"/>
    <w:rsid w:val="00DA4282"/>
    <w:rsid w:val="00DA4331"/>
    <w:rsid w:val="00DA47E5"/>
    <w:rsid w:val="00DA4845"/>
    <w:rsid w:val="00DA4992"/>
    <w:rsid w:val="00DA49E3"/>
    <w:rsid w:val="00DA4FBD"/>
    <w:rsid w:val="00DA508F"/>
    <w:rsid w:val="00DA5389"/>
    <w:rsid w:val="00DA53F6"/>
    <w:rsid w:val="00DA5597"/>
    <w:rsid w:val="00DA56D5"/>
    <w:rsid w:val="00DA5977"/>
    <w:rsid w:val="00DA5AC3"/>
    <w:rsid w:val="00DA5BD2"/>
    <w:rsid w:val="00DA5E68"/>
    <w:rsid w:val="00DA5FEA"/>
    <w:rsid w:val="00DA609A"/>
    <w:rsid w:val="00DA627C"/>
    <w:rsid w:val="00DA65DB"/>
    <w:rsid w:val="00DA68F9"/>
    <w:rsid w:val="00DA6B20"/>
    <w:rsid w:val="00DA6D19"/>
    <w:rsid w:val="00DA6DCC"/>
    <w:rsid w:val="00DA72F4"/>
    <w:rsid w:val="00DA77BA"/>
    <w:rsid w:val="00DA781F"/>
    <w:rsid w:val="00DA7DA0"/>
    <w:rsid w:val="00DA7F2D"/>
    <w:rsid w:val="00DA7F36"/>
    <w:rsid w:val="00DB0076"/>
    <w:rsid w:val="00DB00F6"/>
    <w:rsid w:val="00DB02F8"/>
    <w:rsid w:val="00DB0A0D"/>
    <w:rsid w:val="00DB0E52"/>
    <w:rsid w:val="00DB109E"/>
    <w:rsid w:val="00DB1403"/>
    <w:rsid w:val="00DB1A3B"/>
    <w:rsid w:val="00DB1ED3"/>
    <w:rsid w:val="00DB1F2C"/>
    <w:rsid w:val="00DB1F63"/>
    <w:rsid w:val="00DB1FA3"/>
    <w:rsid w:val="00DB23A8"/>
    <w:rsid w:val="00DB2486"/>
    <w:rsid w:val="00DB251F"/>
    <w:rsid w:val="00DB2B64"/>
    <w:rsid w:val="00DB2B71"/>
    <w:rsid w:val="00DB2D8D"/>
    <w:rsid w:val="00DB3164"/>
    <w:rsid w:val="00DB3369"/>
    <w:rsid w:val="00DB3771"/>
    <w:rsid w:val="00DB39DE"/>
    <w:rsid w:val="00DB3A8B"/>
    <w:rsid w:val="00DB3D19"/>
    <w:rsid w:val="00DB3EB7"/>
    <w:rsid w:val="00DB3F5F"/>
    <w:rsid w:val="00DB3FD2"/>
    <w:rsid w:val="00DB44D8"/>
    <w:rsid w:val="00DB4648"/>
    <w:rsid w:val="00DB4698"/>
    <w:rsid w:val="00DB4A99"/>
    <w:rsid w:val="00DB4D78"/>
    <w:rsid w:val="00DB5316"/>
    <w:rsid w:val="00DB5342"/>
    <w:rsid w:val="00DB5429"/>
    <w:rsid w:val="00DB550C"/>
    <w:rsid w:val="00DB58F3"/>
    <w:rsid w:val="00DB5A10"/>
    <w:rsid w:val="00DB5AC0"/>
    <w:rsid w:val="00DB5C47"/>
    <w:rsid w:val="00DB5CDE"/>
    <w:rsid w:val="00DB5CEF"/>
    <w:rsid w:val="00DB5D3D"/>
    <w:rsid w:val="00DB5FD4"/>
    <w:rsid w:val="00DB643B"/>
    <w:rsid w:val="00DB65ED"/>
    <w:rsid w:val="00DB6788"/>
    <w:rsid w:val="00DB6A97"/>
    <w:rsid w:val="00DB6E5E"/>
    <w:rsid w:val="00DB7279"/>
    <w:rsid w:val="00DB73C0"/>
    <w:rsid w:val="00DB740C"/>
    <w:rsid w:val="00DB74BC"/>
    <w:rsid w:val="00DB78B1"/>
    <w:rsid w:val="00DB79CC"/>
    <w:rsid w:val="00DB7D82"/>
    <w:rsid w:val="00DB7EF6"/>
    <w:rsid w:val="00DC0006"/>
    <w:rsid w:val="00DC0054"/>
    <w:rsid w:val="00DC00ED"/>
    <w:rsid w:val="00DC0218"/>
    <w:rsid w:val="00DC0373"/>
    <w:rsid w:val="00DC0600"/>
    <w:rsid w:val="00DC0675"/>
    <w:rsid w:val="00DC075A"/>
    <w:rsid w:val="00DC0788"/>
    <w:rsid w:val="00DC082E"/>
    <w:rsid w:val="00DC0B31"/>
    <w:rsid w:val="00DC0E19"/>
    <w:rsid w:val="00DC1703"/>
    <w:rsid w:val="00DC17C6"/>
    <w:rsid w:val="00DC1E49"/>
    <w:rsid w:val="00DC1EA8"/>
    <w:rsid w:val="00DC1EED"/>
    <w:rsid w:val="00DC2292"/>
    <w:rsid w:val="00DC241E"/>
    <w:rsid w:val="00DC255D"/>
    <w:rsid w:val="00DC2AE4"/>
    <w:rsid w:val="00DC2CFB"/>
    <w:rsid w:val="00DC2ED0"/>
    <w:rsid w:val="00DC34D1"/>
    <w:rsid w:val="00DC3813"/>
    <w:rsid w:val="00DC3875"/>
    <w:rsid w:val="00DC3A05"/>
    <w:rsid w:val="00DC3D6C"/>
    <w:rsid w:val="00DC3E87"/>
    <w:rsid w:val="00DC3EC2"/>
    <w:rsid w:val="00DC3FE9"/>
    <w:rsid w:val="00DC3FEE"/>
    <w:rsid w:val="00DC4071"/>
    <w:rsid w:val="00DC4900"/>
    <w:rsid w:val="00DC497B"/>
    <w:rsid w:val="00DC49C4"/>
    <w:rsid w:val="00DC4D57"/>
    <w:rsid w:val="00DC4E23"/>
    <w:rsid w:val="00DC50ED"/>
    <w:rsid w:val="00DC51C8"/>
    <w:rsid w:val="00DC548A"/>
    <w:rsid w:val="00DC57DE"/>
    <w:rsid w:val="00DC5B3B"/>
    <w:rsid w:val="00DC5BA6"/>
    <w:rsid w:val="00DC5BCC"/>
    <w:rsid w:val="00DC5E4C"/>
    <w:rsid w:val="00DC5FBB"/>
    <w:rsid w:val="00DC650D"/>
    <w:rsid w:val="00DC68A7"/>
    <w:rsid w:val="00DC68BA"/>
    <w:rsid w:val="00DC6CB4"/>
    <w:rsid w:val="00DC6CEF"/>
    <w:rsid w:val="00DC6FE6"/>
    <w:rsid w:val="00DC7016"/>
    <w:rsid w:val="00DC7186"/>
    <w:rsid w:val="00DC7214"/>
    <w:rsid w:val="00DC72AE"/>
    <w:rsid w:val="00DC74A9"/>
    <w:rsid w:val="00DC74ED"/>
    <w:rsid w:val="00DC7623"/>
    <w:rsid w:val="00DC76EF"/>
    <w:rsid w:val="00DC7C29"/>
    <w:rsid w:val="00DC7CDC"/>
    <w:rsid w:val="00DC7D33"/>
    <w:rsid w:val="00DC7EB3"/>
    <w:rsid w:val="00DD0199"/>
    <w:rsid w:val="00DD0387"/>
    <w:rsid w:val="00DD08D3"/>
    <w:rsid w:val="00DD0D6E"/>
    <w:rsid w:val="00DD0E1F"/>
    <w:rsid w:val="00DD1164"/>
    <w:rsid w:val="00DD11BF"/>
    <w:rsid w:val="00DD151A"/>
    <w:rsid w:val="00DD181E"/>
    <w:rsid w:val="00DD1853"/>
    <w:rsid w:val="00DD1881"/>
    <w:rsid w:val="00DD190F"/>
    <w:rsid w:val="00DD1916"/>
    <w:rsid w:val="00DD1AE4"/>
    <w:rsid w:val="00DD1B50"/>
    <w:rsid w:val="00DD1DF0"/>
    <w:rsid w:val="00DD21AD"/>
    <w:rsid w:val="00DD2456"/>
    <w:rsid w:val="00DD24AF"/>
    <w:rsid w:val="00DD2634"/>
    <w:rsid w:val="00DD265B"/>
    <w:rsid w:val="00DD28AF"/>
    <w:rsid w:val="00DD2EFB"/>
    <w:rsid w:val="00DD2FE8"/>
    <w:rsid w:val="00DD3C0E"/>
    <w:rsid w:val="00DD3D34"/>
    <w:rsid w:val="00DD400B"/>
    <w:rsid w:val="00DD426F"/>
    <w:rsid w:val="00DD46D1"/>
    <w:rsid w:val="00DD4D52"/>
    <w:rsid w:val="00DD56C0"/>
    <w:rsid w:val="00DD5D5C"/>
    <w:rsid w:val="00DD6640"/>
    <w:rsid w:val="00DD6701"/>
    <w:rsid w:val="00DD674F"/>
    <w:rsid w:val="00DD68F2"/>
    <w:rsid w:val="00DD6A19"/>
    <w:rsid w:val="00DD6A6D"/>
    <w:rsid w:val="00DD6BBE"/>
    <w:rsid w:val="00DD6C7C"/>
    <w:rsid w:val="00DD6E1F"/>
    <w:rsid w:val="00DD6F06"/>
    <w:rsid w:val="00DD757F"/>
    <w:rsid w:val="00DD76B1"/>
    <w:rsid w:val="00DD77C4"/>
    <w:rsid w:val="00DE01BB"/>
    <w:rsid w:val="00DE0BDE"/>
    <w:rsid w:val="00DE0C87"/>
    <w:rsid w:val="00DE131C"/>
    <w:rsid w:val="00DE1715"/>
    <w:rsid w:val="00DE19F8"/>
    <w:rsid w:val="00DE20D6"/>
    <w:rsid w:val="00DE230D"/>
    <w:rsid w:val="00DE36CD"/>
    <w:rsid w:val="00DE3959"/>
    <w:rsid w:val="00DE3D74"/>
    <w:rsid w:val="00DE3FC1"/>
    <w:rsid w:val="00DE40C7"/>
    <w:rsid w:val="00DE445C"/>
    <w:rsid w:val="00DE45B7"/>
    <w:rsid w:val="00DE45D0"/>
    <w:rsid w:val="00DE4B2E"/>
    <w:rsid w:val="00DE4D7E"/>
    <w:rsid w:val="00DE4D9F"/>
    <w:rsid w:val="00DE4F42"/>
    <w:rsid w:val="00DE5040"/>
    <w:rsid w:val="00DE5050"/>
    <w:rsid w:val="00DE50E8"/>
    <w:rsid w:val="00DE53C8"/>
    <w:rsid w:val="00DE5452"/>
    <w:rsid w:val="00DE590B"/>
    <w:rsid w:val="00DE5BB9"/>
    <w:rsid w:val="00DE6439"/>
    <w:rsid w:val="00DE68B8"/>
    <w:rsid w:val="00DE6B36"/>
    <w:rsid w:val="00DE6C34"/>
    <w:rsid w:val="00DE6CF8"/>
    <w:rsid w:val="00DE7055"/>
    <w:rsid w:val="00DE722E"/>
    <w:rsid w:val="00DE7528"/>
    <w:rsid w:val="00DE7572"/>
    <w:rsid w:val="00DE77A5"/>
    <w:rsid w:val="00DE7817"/>
    <w:rsid w:val="00DE7A50"/>
    <w:rsid w:val="00DE7A8F"/>
    <w:rsid w:val="00DE7F26"/>
    <w:rsid w:val="00DF0138"/>
    <w:rsid w:val="00DF03A9"/>
    <w:rsid w:val="00DF06D3"/>
    <w:rsid w:val="00DF07D0"/>
    <w:rsid w:val="00DF118D"/>
    <w:rsid w:val="00DF12FB"/>
    <w:rsid w:val="00DF1324"/>
    <w:rsid w:val="00DF13D5"/>
    <w:rsid w:val="00DF1591"/>
    <w:rsid w:val="00DF16FE"/>
    <w:rsid w:val="00DF17A9"/>
    <w:rsid w:val="00DF189F"/>
    <w:rsid w:val="00DF1AB8"/>
    <w:rsid w:val="00DF2173"/>
    <w:rsid w:val="00DF2391"/>
    <w:rsid w:val="00DF23D7"/>
    <w:rsid w:val="00DF29DC"/>
    <w:rsid w:val="00DF2C23"/>
    <w:rsid w:val="00DF333E"/>
    <w:rsid w:val="00DF335E"/>
    <w:rsid w:val="00DF3C47"/>
    <w:rsid w:val="00DF3DA4"/>
    <w:rsid w:val="00DF41FA"/>
    <w:rsid w:val="00DF437C"/>
    <w:rsid w:val="00DF43C1"/>
    <w:rsid w:val="00DF44B1"/>
    <w:rsid w:val="00DF5174"/>
    <w:rsid w:val="00DF528C"/>
    <w:rsid w:val="00DF52C4"/>
    <w:rsid w:val="00DF54B2"/>
    <w:rsid w:val="00DF5581"/>
    <w:rsid w:val="00DF5695"/>
    <w:rsid w:val="00DF5886"/>
    <w:rsid w:val="00DF5B8B"/>
    <w:rsid w:val="00DF5BAA"/>
    <w:rsid w:val="00DF5E38"/>
    <w:rsid w:val="00DF61B1"/>
    <w:rsid w:val="00DF6235"/>
    <w:rsid w:val="00DF6570"/>
    <w:rsid w:val="00DF7C4D"/>
    <w:rsid w:val="00DF7D9A"/>
    <w:rsid w:val="00E00267"/>
    <w:rsid w:val="00E0032F"/>
    <w:rsid w:val="00E00566"/>
    <w:rsid w:val="00E005A7"/>
    <w:rsid w:val="00E00786"/>
    <w:rsid w:val="00E0097E"/>
    <w:rsid w:val="00E00C97"/>
    <w:rsid w:val="00E010E7"/>
    <w:rsid w:val="00E01174"/>
    <w:rsid w:val="00E0134F"/>
    <w:rsid w:val="00E01487"/>
    <w:rsid w:val="00E0183C"/>
    <w:rsid w:val="00E0194E"/>
    <w:rsid w:val="00E01C9D"/>
    <w:rsid w:val="00E01D72"/>
    <w:rsid w:val="00E01F03"/>
    <w:rsid w:val="00E0215D"/>
    <w:rsid w:val="00E02162"/>
    <w:rsid w:val="00E02253"/>
    <w:rsid w:val="00E023AF"/>
    <w:rsid w:val="00E02C84"/>
    <w:rsid w:val="00E0312D"/>
    <w:rsid w:val="00E0312F"/>
    <w:rsid w:val="00E03250"/>
    <w:rsid w:val="00E03CB8"/>
    <w:rsid w:val="00E03D21"/>
    <w:rsid w:val="00E03DD8"/>
    <w:rsid w:val="00E03EA5"/>
    <w:rsid w:val="00E0434A"/>
    <w:rsid w:val="00E0435A"/>
    <w:rsid w:val="00E04890"/>
    <w:rsid w:val="00E04A79"/>
    <w:rsid w:val="00E04BF2"/>
    <w:rsid w:val="00E053C4"/>
    <w:rsid w:val="00E05408"/>
    <w:rsid w:val="00E05635"/>
    <w:rsid w:val="00E05777"/>
    <w:rsid w:val="00E05F14"/>
    <w:rsid w:val="00E05FFC"/>
    <w:rsid w:val="00E062B0"/>
    <w:rsid w:val="00E063A2"/>
    <w:rsid w:val="00E06892"/>
    <w:rsid w:val="00E06AEF"/>
    <w:rsid w:val="00E06BC5"/>
    <w:rsid w:val="00E06CBC"/>
    <w:rsid w:val="00E0711D"/>
    <w:rsid w:val="00E071AA"/>
    <w:rsid w:val="00E072CC"/>
    <w:rsid w:val="00E0751F"/>
    <w:rsid w:val="00E07894"/>
    <w:rsid w:val="00E07C23"/>
    <w:rsid w:val="00E07F0E"/>
    <w:rsid w:val="00E1009B"/>
    <w:rsid w:val="00E1009C"/>
    <w:rsid w:val="00E101D9"/>
    <w:rsid w:val="00E10D1F"/>
    <w:rsid w:val="00E11072"/>
    <w:rsid w:val="00E11100"/>
    <w:rsid w:val="00E112F8"/>
    <w:rsid w:val="00E11329"/>
    <w:rsid w:val="00E1149F"/>
    <w:rsid w:val="00E11670"/>
    <w:rsid w:val="00E11745"/>
    <w:rsid w:val="00E11933"/>
    <w:rsid w:val="00E119AD"/>
    <w:rsid w:val="00E11C7B"/>
    <w:rsid w:val="00E11C8E"/>
    <w:rsid w:val="00E11D42"/>
    <w:rsid w:val="00E11DA6"/>
    <w:rsid w:val="00E11DE8"/>
    <w:rsid w:val="00E120E5"/>
    <w:rsid w:val="00E12214"/>
    <w:rsid w:val="00E126F6"/>
    <w:rsid w:val="00E128FC"/>
    <w:rsid w:val="00E12924"/>
    <w:rsid w:val="00E12B74"/>
    <w:rsid w:val="00E131F3"/>
    <w:rsid w:val="00E134A4"/>
    <w:rsid w:val="00E13629"/>
    <w:rsid w:val="00E1370E"/>
    <w:rsid w:val="00E13749"/>
    <w:rsid w:val="00E1387C"/>
    <w:rsid w:val="00E13B8A"/>
    <w:rsid w:val="00E13C80"/>
    <w:rsid w:val="00E14257"/>
    <w:rsid w:val="00E14B47"/>
    <w:rsid w:val="00E14D55"/>
    <w:rsid w:val="00E151D5"/>
    <w:rsid w:val="00E15679"/>
    <w:rsid w:val="00E159D1"/>
    <w:rsid w:val="00E15B43"/>
    <w:rsid w:val="00E15C10"/>
    <w:rsid w:val="00E15E63"/>
    <w:rsid w:val="00E15F52"/>
    <w:rsid w:val="00E160FE"/>
    <w:rsid w:val="00E16250"/>
    <w:rsid w:val="00E16412"/>
    <w:rsid w:val="00E16657"/>
    <w:rsid w:val="00E1725D"/>
    <w:rsid w:val="00E17852"/>
    <w:rsid w:val="00E17A3B"/>
    <w:rsid w:val="00E17D06"/>
    <w:rsid w:val="00E17F1A"/>
    <w:rsid w:val="00E201DF"/>
    <w:rsid w:val="00E20527"/>
    <w:rsid w:val="00E20559"/>
    <w:rsid w:val="00E207DA"/>
    <w:rsid w:val="00E2088F"/>
    <w:rsid w:val="00E20ACC"/>
    <w:rsid w:val="00E20E24"/>
    <w:rsid w:val="00E210C1"/>
    <w:rsid w:val="00E214EB"/>
    <w:rsid w:val="00E215A8"/>
    <w:rsid w:val="00E216DE"/>
    <w:rsid w:val="00E21DF6"/>
    <w:rsid w:val="00E21E26"/>
    <w:rsid w:val="00E21FB1"/>
    <w:rsid w:val="00E220C9"/>
    <w:rsid w:val="00E2232F"/>
    <w:rsid w:val="00E22381"/>
    <w:rsid w:val="00E22517"/>
    <w:rsid w:val="00E22965"/>
    <w:rsid w:val="00E22C66"/>
    <w:rsid w:val="00E22DE1"/>
    <w:rsid w:val="00E23264"/>
    <w:rsid w:val="00E23F2B"/>
    <w:rsid w:val="00E24467"/>
    <w:rsid w:val="00E244E3"/>
    <w:rsid w:val="00E247DD"/>
    <w:rsid w:val="00E2484A"/>
    <w:rsid w:val="00E24963"/>
    <w:rsid w:val="00E24B63"/>
    <w:rsid w:val="00E24DC0"/>
    <w:rsid w:val="00E24E43"/>
    <w:rsid w:val="00E24E49"/>
    <w:rsid w:val="00E25553"/>
    <w:rsid w:val="00E25A3B"/>
    <w:rsid w:val="00E25A58"/>
    <w:rsid w:val="00E25F5F"/>
    <w:rsid w:val="00E268EA"/>
    <w:rsid w:val="00E27142"/>
    <w:rsid w:val="00E27518"/>
    <w:rsid w:val="00E2792A"/>
    <w:rsid w:val="00E27A16"/>
    <w:rsid w:val="00E27CF3"/>
    <w:rsid w:val="00E30010"/>
    <w:rsid w:val="00E30081"/>
    <w:rsid w:val="00E30366"/>
    <w:rsid w:val="00E30374"/>
    <w:rsid w:val="00E30455"/>
    <w:rsid w:val="00E3060A"/>
    <w:rsid w:val="00E306FC"/>
    <w:rsid w:val="00E3083F"/>
    <w:rsid w:val="00E30A49"/>
    <w:rsid w:val="00E30ACE"/>
    <w:rsid w:val="00E30D0C"/>
    <w:rsid w:val="00E30EF7"/>
    <w:rsid w:val="00E310B4"/>
    <w:rsid w:val="00E31312"/>
    <w:rsid w:val="00E3151E"/>
    <w:rsid w:val="00E31564"/>
    <w:rsid w:val="00E316E3"/>
    <w:rsid w:val="00E318EF"/>
    <w:rsid w:val="00E31AD2"/>
    <w:rsid w:val="00E31BC4"/>
    <w:rsid w:val="00E31D03"/>
    <w:rsid w:val="00E31D42"/>
    <w:rsid w:val="00E32071"/>
    <w:rsid w:val="00E32911"/>
    <w:rsid w:val="00E32A41"/>
    <w:rsid w:val="00E32A6D"/>
    <w:rsid w:val="00E32F36"/>
    <w:rsid w:val="00E33349"/>
    <w:rsid w:val="00E33365"/>
    <w:rsid w:val="00E33366"/>
    <w:rsid w:val="00E33405"/>
    <w:rsid w:val="00E338C5"/>
    <w:rsid w:val="00E338CD"/>
    <w:rsid w:val="00E33A19"/>
    <w:rsid w:val="00E33E63"/>
    <w:rsid w:val="00E34093"/>
    <w:rsid w:val="00E34627"/>
    <w:rsid w:val="00E34AB9"/>
    <w:rsid w:val="00E34C51"/>
    <w:rsid w:val="00E34F3C"/>
    <w:rsid w:val="00E34F88"/>
    <w:rsid w:val="00E3505C"/>
    <w:rsid w:val="00E3529B"/>
    <w:rsid w:val="00E356B7"/>
    <w:rsid w:val="00E35983"/>
    <w:rsid w:val="00E35B4F"/>
    <w:rsid w:val="00E36300"/>
    <w:rsid w:val="00E3642B"/>
    <w:rsid w:val="00E364C2"/>
    <w:rsid w:val="00E36689"/>
    <w:rsid w:val="00E3676C"/>
    <w:rsid w:val="00E37116"/>
    <w:rsid w:val="00E372B4"/>
    <w:rsid w:val="00E373A9"/>
    <w:rsid w:val="00E37573"/>
    <w:rsid w:val="00E37719"/>
    <w:rsid w:val="00E37819"/>
    <w:rsid w:val="00E37901"/>
    <w:rsid w:val="00E37919"/>
    <w:rsid w:val="00E403FB"/>
    <w:rsid w:val="00E40473"/>
    <w:rsid w:val="00E40925"/>
    <w:rsid w:val="00E40CF9"/>
    <w:rsid w:val="00E40D85"/>
    <w:rsid w:val="00E41576"/>
    <w:rsid w:val="00E4166F"/>
    <w:rsid w:val="00E4176E"/>
    <w:rsid w:val="00E41B2F"/>
    <w:rsid w:val="00E42160"/>
    <w:rsid w:val="00E42808"/>
    <w:rsid w:val="00E42CFC"/>
    <w:rsid w:val="00E42D05"/>
    <w:rsid w:val="00E43174"/>
    <w:rsid w:val="00E434E6"/>
    <w:rsid w:val="00E43722"/>
    <w:rsid w:val="00E438AB"/>
    <w:rsid w:val="00E43AAB"/>
    <w:rsid w:val="00E43B07"/>
    <w:rsid w:val="00E43C5E"/>
    <w:rsid w:val="00E43FB3"/>
    <w:rsid w:val="00E43FEB"/>
    <w:rsid w:val="00E4404C"/>
    <w:rsid w:val="00E4421B"/>
    <w:rsid w:val="00E4450E"/>
    <w:rsid w:val="00E448C3"/>
    <w:rsid w:val="00E44A39"/>
    <w:rsid w:val="00E44D87"/>
    <w:rsid w:val="00E44E2D"/>
    <w:rsid w:val="00E4500F"/>
    <w:rsid w:val="00E45066"/>
    <w:rsid w:val="00E454D7"/>
    <w:rsid w:val="00E455BD"/>
    <w:rsid w:val="00E456A9"/>
    <w:rsid w:val="00E4585C"/>
    <w:rsid w:val="00E45A87"/>
    <w:rsid w:val="00E45B59"/>
    <w:rsid w:val="00E45B75"/>
    <w:rsid w:val="00E45FDF"/>
    <w:rsid w:val="00E463F2"/>
    <w:rsid w:val="00E4646B"/>
    <w:rsid w:val="00E46999"/>
    <w:rsid w:val="00E46DC4"/>
    <w:rsid w:val="00E46E69"/>
    <w:rsid w:val="00E46F2F"/>
    <w:rsid w:val="00E470EB"/>
    <w:rsid w:val="00E472F7"/>
    <w:rsid w:val="00E47393"/>
    <w:rsid w:val="00E473A2"/>
    <w:rsid w:val="00E47932"/>
    <w:rsid w:val="00E47F9A"/>
    <w:rsid w:val="00E50309"/>
    <w:rsid w:val="00E50690"/>
    <w:rsid w:val="00E5086C"/>
    <w:rsid w:val="00E50A79"/>
    <w:rsid w:val="00E50B65"/>
    <w:rsid w:val="00E51301"/>
    <w:rsid w:val="00E515AC"/>
    <w:rsid w:val="00E5163B"/>
    <w:rsid w:val="00E516B1"/>
    <w:rsid w:val="00E517AA"/>
    <w:rsid w:val="00E51A0D"/>
    <w:rsid w:val="00E51A5A"/>
    <w:rsid w:val="00E51A65"/>
    <w:rsid w:val="00E51BD6"/>
    <w:rsid w:val="00E51CCB"/>
    <w:rsid w:val="00E52C47"/>
    <w:rsid w:val="00E52CA4"/>
    <w:rsid w:val="00E52CEF"/>
    <w:rsid w:val="00E52E0F"/>
    <w:rsid w:val="00E53704"/>
    <w:rsid w:val="00E53850"/>
    <w:rsid w:val="00E53B1A"/>
    <w:rsid w:val="00E53BB0"/>
    <w:rsid w:val="00E54131"/>
    <w:rsid w:val="00E544CC"/>
    <w:rsid w:val="00E54B69"/>
    <w:rsid w:val="00E54C25"/>
    <w:rsid w:val="00E54FF3"/>
    <w:rsid w:val="00E55039"/>
    <w:rsid w:val="00E55100"/>
    <w:rsid w:val="00E555DF"/>
    <w:rsid w:val="00E55941"/>
    <w:rsid w:val="00E55AE1"/>
    <w:rsid w:val="00E55B72"/>
    <w:rsid w:val="00E56638"/>
    <w:rsid w:val="00E5666D"/>
    <w:rsid w:val="00E56C23"/>
    <w:rsid w:val="00E56F7B"/>
    <w:rsid w:val="00E57421"/>
    <w:rsid w:val="00E57A62"/>
    <w:rsid w:val="00E57FDE"/>
    <w:rsid w:val="00E602D0"/>
    <w:rsid w:val="00E6040C"/>
    <w:rsid w:val="00E60473"/>
    <w:rsid w:val="00E6071F"/>
    <w:rsid w:val="00E6087E"/>
    <w:rsid w:val="00E60CE6"/>
    <w:rsid w:val="00E60DBA"/>
    <w:rsid w:val="00E61715"/>
    <w:rsid w:val="00E61721"/>
    <w:rsid w:val="00E618E8"/>
    <w:rsid w:val="00E61D4A"/>
    <w:rsid w:val="00E61F4C"/>
    <w:rsid w:val="00E62B40"/>
    <w:rsid w:val="00E62B86"/>
    <w:rsid w:val="00E62C82"/>
    <w:rsid w:val="00E62E42"/>
    <w:rsid w:val="00E63169"/>
    <w:rsid w:val="00E63304"/>
    <w:rsid w:val="00E63505"/>
    <w:rsid w:val="00E6387D"/>
    <w:rsid w:val="00E63AB6"/>
    <w:rsid w:val="00E63AF5"/>
    <w:rsid w:val="00E63CC0"/>
    <w:rsid w:val="00E63E16"/>
    <w:rsid w:val="00E63E2D"/>
    <w:rsid w:val="00E63F94"/>
    <w:rsid w:val="00E6400E"/>
    <w:rsid w:val="00E6430D"/>
    <w:rsid w:val="00E6450C"/>
    <w:rsid w:val="00E64534"/>
    <w:rsid w:val="00E6483E"/>
    <w:rsid w:val="00E64C54"/>
    <w:rsid w:val="00E650C5"/>
    <w:rsid w:val="00E6556B"/>
    <w:rsid w:val="00E65895"/>
    <w:rsid w:val="00E65D8D"/>
    <w:rsid w:val="00E65DBF"/>
    <w:rsid w:val="00E65FF9"/>
    <w:rsid w:val="00E66052"/>
    <w:rsid w:val="00E66889"/>
    <w:rsid w:val="00E669A5"/>
    <w:rsid w:val="00E66DBA"/>
    <w:rsid w:val="00E66F4D"/>
    <w:rsid w:val="00E6741D"/>
    <w:rsid w:val="00E674BB"/>
    <w:rsid w:val="00E6755A"/>
    <w:rsid w:val="00E677CD"/>
    <w:rsid w:val="00E677EB"/>
    <w:rsid w:val="00E67B27"/>
    <w:rsid w:val="00E700C3"/>
    <w:rsid w:val="00E703D6"/>
    <w:rsid w:val="00E709CC"/>
    <w:rsid w:val="00E70AA4"/>
    <w:rsid w:val="00E70DA7"/>
    <w:rsid w:val="00E713D3"/>
    <w:rsid w:val="00E71626"/>
    <w:rsid w:val="00E71641"/>
    <w:rsid w:val="00E7169D"/>
    <w:rsid w:val="00E71710"/>
    <w:rsid w:val="00E71CD9"/>
    <w:rsid w:val="00E71DA1"/>
    <w:rsid w:val="00E7228F"/>
    <w:rsid w:val="00E7233A"/>
    <w:rsid w:val="00E723A6"/>
    <w:rsid w:val="00E723E9"/>
    <w:rsid w:val="00E7260B"/>
    <w:rsid w:val="00E72756"/>
    <w:rsid w:val="00E729C0"/>
    <w:rsid w:val="00E729F5"/>
    <w:rsid w:val="00E72B7E"/>
    <w:rsid w:val="00E72DBC"/>
    <w:rsid w:val="00E72E4A"/>
    <w:rsid w:val="00E730E7"/>
    <w:rsid w:val="00E737DA"/>
    <w:rsid w:val="00E7396C"/>
    <w:rsid w:val="00E73BB2"/>
    <w:rsid w:val="00E741CA"/>
    <w:rsid w:val="00E74719"/>
    <w:rsid w:val="00E74803"/>
    <w:rsid w:val="00E74B48"/>
    <w:rsid w:val="00E74D4D"/>
    <w:rsid w:val="00E74E2E"/>
    <w:rsid w:val="00E753C2"/>
    <w:rsid w:val="00E7544D"/>
    <w:rsid w:val="00E757C1"/>
    <w:rsid w:val="00E75CD0"/>
    <w:rsid w:val="00E75D29"/>
    <w:rsid w:val="00E76341"/>
    <w:rsid w:val="00E7661B"/>
    <w:rsid w:val="00E76629"/>
    <w:rsid w:val="00E767B5"/>
    <w:rsid w:val="00E768A2"/>
    <w:rsid w:val="00E76D93"/>
    <w:rsid w:val="00E76ED8"/>
    <w:rsid w:val="00E77020"/>
    <w:rsid w:val="00E770A4"/>
    <w:rsid w:val="00E771C8"/>
    <w:rsid w:val="00E771FD"/>
    <w:rsid w:val="00E77341"/>
    <w:rsid w:val="00E77434"/>
    <w:rsid w:val="00E77753"/>
    <w:rsid w:val="00E77960"/>
    <w:rsid w:val="00E80310"/>
    <w:rsid w:val="00E80448"/>
    <w:rsid w:val="00E80534"/>
    <w:rsid w:val="00E806A1"/>
    <w:rsid w:val="00E80B8F"/>
    <w:rsid w:val="00E80CF3"/>
    <w:rsid w:val="00E8132F"/>
    <w:rsid w:val="00E81388"/>
    <w:rsid w:val="00E818B2"/>
    <w:rsid w:val="00E81D2C"/>
    <w:rsid w:val="00E81D83"/>
    <w:rsid w:val="00E8212D"/>
    <w:rsid w:val="00E829B8"/>
    <w:rsid w:val="00E82D3D"/>
    <w:rsid w:val="00E8334D"/>
    <w:rsid w:val="00E83480"/>
    <w:rsid w:val="00E837B0"/>
    <w:rsid w:val="00E83929"/>
    <w:rsid w:val="00E839F9"/>
    <w:rsid w:val="00E83A2F"/>
    <w:rsid w:val="00E83CBC"/>
    <w:rsid w:val="00E83DB1"/>
    <w:rsid w:val="00E840F6"/>
    <w:rsid w:val="00E8417B"/>
    <w:rsid w:val="00E842C0"/>
    <w:rsid w:val="00E843E4"/>
    <w:rsid w:val="00E84460"/>
    <w:rsid w:val="00E8447C"/>
    <w:rsid w:val="00E8497B"/>
    <w:rsid w:val="00E849EE"/>
    <w:rsid w:val="00E84D48"/>
    <w:rsid w:val="00E84DF9"/>
    <w:rsid w:val="00E84E50"/>
    <w:rsid w:val="00E84F1E"/>
    <w:rsid w:val="00E852FE"/>
    <w:rsid w:val="00E85473"/>
    <w:rsid w:val="00E8592A"/>
    <w:rsid w:val="00E85B5B"/>
    <w:rsid w:val="00E85DD7"/>
    <w:rsid w:val="00E85E38"/>
    <w:rsid w:val="00E85F4C"/>
    <w:rsid w:val="00E86157"/>
    <w:rsid w:val="00E8656E"/>
    <w:rsid w:val="00E8690E"/>
    <w:rsid w:val="00E86A43"/>
    <w:rsid w:val="00E86B5B"/>
    <w:rsid w:val="00E86D19"/>
    <w:rsid w:val="00E86F08"/>
    <w:rsid w:val="00E87881"/>
    <w:rsid w:val="00E87AE0"/>
    <w:rsid w:val="00E87F69"/>
    <w:rsid w:val="00E906A9"/>
    <w:rsid w:val="00E91634"/>
    <w:rsid w:val="00E91871"/>
    <w:rsid w:val="00E91BF4"/>
    <w:rsid w:val="00E91D71"/>
    <w:rsid w:val="00E91DE4"/>
    <w:rsid w:val="00E91E79"/>
    <w:rsid w:val="00E91E80"/>
    <w:rsid w:val="00E9217B"/>
    <w:rsid w:val="00E92296"/>
    <w:rsid w:val="00E92461"/>
    <w:rsid w:val="00E92471"/>
    <w:rsid w:val="00E9247C"/>
    <w:rsid w:val="00E92634"/>
    <w:rsid w:val="00E927D7"/>
    <w:rsid w:val="00E929AC"/>
    <w:rsid w:val="00E92A02"/>
    <w:rsid w:val="00E92C53"/>
    <w:rsid w:val="00E92FA1"/>
    <w:rsid w:val="00E936A8"/>
    <w:rsid w:val="00E937CA"/>
    <w:rsid w:val="00E93C14"/>
    <w:rsid w:val="00E941AE"/>
    <w:rsid w:val="00E94C8E"/>
    <w:rsid w:val="00E95060"/>
    <w:rsid w:val="00E953CE"/>
    <w:rsid w:val="00E95736"/>
    <w:rsid w:val="00E958EE"/>
    <w:rsid w:val="00E95DDD"/>
    <w:rsid w:val="00E95F06"/>
    <w:rsid w:val="00E96245"/>
    <w:rsid w:val="00E96531"/>
    <w:rsid w:val="00E965D8"/>
    <w:rsid w:val="00E966E0"/>
    <w:rsid w:val="00E969EA"/>
    <w:rsid w:val="00E96A64"/>
    <w:rsid w:val="00E96C44"/>
    <w:rsid w:val="00E96FE6"/>
    <w:rsid w:val="00E9722D"/>
    <w:rsid w:val="00E9769E"/>
    <w:rsid w:val="00E97773"/>
    <w:rsid w:val="00E9794C"/>
    <w:rsid w:val="00E97A83"/>
    <w:rsid w:val="00E97E6A"/>
    <w:rsid w:val="00E97EE4"/>
    <w:rsid w:val="00EA01AC"/>
    <w:rsid w:val="00EA0393"/>
    <w:rsid w:val="00EA0495"/>
    <w:rsid w:val="00EA0636"/>
    <w:rsid w:val="00EA0904"/>
    <w:rsid w:val="00EA0B58"/>
    <w:rsid w:val="00EA0B98"/>
    <w:rsid w:val="00EA10C5"/>
    <w:rsid w:val="00EA1226"/>
    <w:rsid w:val="00EA1AD6"/>
    <w:rsid w:val="00EA1E4E"/>
    <w:rsid w:val="00EA1F18"/>
    <w:rsid w:val="00EA21C9"/>
    <w:rsid w:val="00EA2A0D"/>
    <w:rsid w:val="00EA2B6F"/>
    <w:rsid w:val="00EA2BEE"/>
    <w:rsid w:val="00EA3826"/>
    <w:rsid w:val="00EA3BF4"/>
    <w:rsid w:val="00EA3DBE"/>
    <w:rsid w:val="00EA40FF"/>
    <w:rsid w:val="00EA4223"/>
    <w:rsid w:val="00EA4242"/>
    <w:rsid w:val="00EA4A9A"/>
    <w:rsid w:val="00EA4C71"/>
    <w:rsid w:val="00EA4D7E"/>
    <w:rsid w:val="00EA4F68"/>
    <w:rsid w:val="00EA53E3"/>
    <w:rsid w:val="00EA5906"/>
    <w:rsid w:val="00EA5AC5"/>
    <w:rsid w:val="00EA6267"/>
    <w:rsid w:val="00EA64EB"/>
    <w:rsid w:val="00EA685D"/>
    <w:rsid w:val="00EA69F2"/>
    <w:rsid w:val="00EA6B1C"/>
    <w:rsid w:val="00EA6C63"/>
    <w:rsid w:val="00EA6F8A"/>
    <w:rsid w:val="00EA75FC"/>
    <w:rsid w:val="00EA792C"/>
    <w:rsid w:val="00EA7968"/>
    <w:rsid w:val="00EA7C08"/>
    <w:rsid w:val="00EB0159"/>
    <w:rsid w:val="00EB048E"/>
    <w:rsid w:val="00EB04E7"/>
    <w:rsid w:val="00EB0638"/>
    <w:rsid w:val="00EB087E"/>
    <w:rsid w:val="00EB0D34"/>
    <w:rsid w:val="00EB0F54"/>
    <w:rsid w:val="00EB1145"/>
    <w:rsid w:val="00EB1A5D"/>
    <w:rsid w:val="00EB1CFF"/>
    <w:rsid w:val="00EB1D06"/>
    <w:rsid w:val="00EB2043"/>
    <w:rsid w:val="00EB22E3"/>
    <w:rsid w:val="00EB23EA"/>
    <w:rsid w:val="00EB2497"/>
    <w:rsid w:val="00EB2541"/>
    <w:rsid w:val="00EB2DAC"/>
    <w:rsid w:val="00EB3110"/>
    <w:rsid w:val="00EB3330"/>
    <w:rsid w:val="00EB3A6F"/>
    <w:rsid w:val="00EB3BD3"/>
    <w:rsid w:val="00EB45A5"/>
    <w:rsid w:val="00EB476B"/>
    <w:rsid w:val="00EB48CD"/>
    <w:rsid w:val="00EB48ED"/>
    <w:rsid w:val="00EB4DC2"/>
    <w:rsid w:val="00EB4F72"/>
    <w:rsid w:val="00EB51EF"/>
    <w:rsid w:val="00EB538B"/>
    <w:rsid w:val="00EB54BB"/>
    <w:rsid w:val="00EB56F0"/>
    <w:rsid w:val="00EB573D"/>
    <w:rsid w:val="00EB594A"/>
    <w:rsid w:val="00EB599A"/>
    <w:rsid w:val="00EB5C42"/>
    <w:rsid w:val="00EB5CFE"/>
    <w:rsid w:val="00EB5F35"/>
    <w:rsid w:val="00EB6270"/>
    <w:rsid w:val="00EB646B"/>
    <w:rsid w:val="00EB64AA"/>
    <w:rsid w:val="00EB64C0"/>
    <w:rsid w:val="00EB65DB"/>
    <w:rsid w:val="00EB65DF"/>
    <w:rsid w:val="00EB670C"/>
    <w:rsid w:val="00EB672D"/>
    <w:rsid w:val="00EB67AC"/>
    <w:rsid w:val="00EB6D29"/>
    <w:rsid w:val="00EB6DE0"/>
    <w:rsid w:val="00EB6ECA"/>
    <w:rsid w:val="00EB7363"/>
    <w:rsid w:val="00EB737D"/>
    <w:rsid w:val="00EB73BE"/>
    <w:rsid w:val="00EB73E9"/>
    <w:rsid w:val="00EB7615"/>
    <w:rsid w:val="00EC026F"/>
    <w:rsid w:val="00EC02A2"/>
    <w:rsid w:val="00EC0511"/>
    <w:rsid w:val="00EC05CF"/>
    <w:rsid w:val="00EC06AC"/>
    <w:rsid w:val="00EC0B12"/>
    <w:rsid w:val="00EC0C0C"/>
    <w:rsid w:val="00EC0EAA"/>
    <w:rsid w:val="00EC0F82"/>
    <w:rsid w:val="00EC1243"/>
    <w:rsid w:val="00EC153E"/>
    <w:rsid w:val="00EC1A10"/>
    <w:rsid w:val="00EC20DB"/>
    <w:rsid w:val="00EC20F2"/>
    <w:rsid w:val="00EC2201"/>
    <w:rsid w:val="00EC248C"/>
    <w:rsid w:val="00EC2960"/>
    <w:rsid w:val="00EC29EA"/>
    <w:rsid w:val="00EC2A16"/>
    <w:rsid w:val="00EC2ADA"/>
    <w:rsid w:val="00EC2C9D"/>
    <w:rsid w:val="00EC3173"/>
    <w:rsid w:val="00EC388E"/>
    <w:rsid w:val="00EC3936"/>
    <w:rsid w:val="00EC3A0D"/>
    <w:rsid w:val="00EC3B29"/>
    <w:rsid w:val="00EC3B5D"/>
    <w:rsid w:val="00EC3C8D"/>
    <w:rsid w:val="00EC3EE7"/>
    <w:rsid w:val="00EC4331"/>
    <w:rsid w:val="00EC434F"/>
    <w:rsid w:val="00EC4685"/>
    <w:rsid w:val="00EC473D"/>
    <w:rsid w:val="00EC49C9"/>
    <w:rsid w:val="00EC4A7F"/>
    <w:rsid w:val="00EC4AA0"/>
    <w:rsid w:val="00EC4F35"/>
    <w:rsid w:val="00EC517B"/>
    <w:rsid w:val="00EC59D3"/>
    <w:rsid w:val="00EC5AC5"/>
    <w:rsid w:val="00EC5B08"/>
    <w:rsid w:val="00EC666B"/>
    <w:rsid w:val="00EC6CAB"/>
    <w:rsid w:val="00EC6E50"/>
    <w:rsid w:val="00EC6E80"/>
    <w:rsid w:val="00EC727C"/>
    <w:rsid w:val="00EC7717"/>
    <w:rsid w:val="00EC79A8"/>
    <w:rsid w:val="00EC7FF4"/>
    <w:rsid w:val="00ED030E"/>
    <w:rsid w:val="00ED038E"/>
    <w:rsid w:val="00ED03D3"/>
    <w:rsid w:val="00ED0621"/>
    <w:rsid w:val="00ED0CF6"/>
    <w:rsid w:val="00ED0DCF"/>
    <w:rsid w:val="00ED0ED8"/>
    <w:rsid w:val="00ED14B6"/>
    <w:rsid w:val="00ED18CA"/>
    <w:rsid w:val="00ED191D"/>
    <w:rsid w:val="00ED1C16"/>
    <w:rsid w:val="00ED1C35"/>
    <w:rsid w:val="00ED1CF7"/>
    <w:rsid w:val="00ED226C"/>
    <w:rsid w:val="00ED237C"/>
    <w:rsid w:val="00ED26E3"/>
    <w:rsid w:val="00ED29CD"/>
    <w:rsid w:val="00ED2A7E"/>
    <w:rsid w:val="00ED2E46"/>
    <w:rsid w:val="00ED309B"/>
    <w:rsid w:val="00ED3380"/>
    <w:rsid w:val="00ED39F2"/>
    <w:rsid w:val="00ED3A97"/>
    <w:rsid w:val="00ED3AD0"/>
    <w:rsid w:val="00ED3AF4"/>
    <w:rsid w:val="00ED3D35"/>
    <w:rsid w:val="00ED3D8E"/>
    <w:rsid w:val="00ED497F"/>
    <w:rsid w:val="00ED4AAE"/>
    <w:rsid w:val="00ED4C70"/>
    <w:rsid w:val="00ED4CCF"/>
    <w:rsid w:val="00ED4ED5"/>
    <w:rsid w:val="00ED511E"/>
    <w:rsid w:val="00ED51D3"/>
    <w:rsid w:val="00ED533A"/>
    <w:rsid w:val="00ED545C"/>
    <w:rsid w:val="00ED562E"/>
    <w:rsid w:val="00ED5649"/>
    <w:rsid w:val="00ED5862"/>
    <w:rsid w:val="00ED5A43"/>
    <w:rsid w:val="00ED619F"/>
    <w:rsid w:val="00ED62B7"/>
    <w:rsid w:val="00ED633D"/>
    <w:rsid w:val="00ED689F"/>
    <w:rsid w:val="00ED68CA"/>
    <w:rsid w:val="00ED7394"/>
    <w:rsid w:val="00ED7557"/>
    <w:rsid w:val="00ED77BF"/>
    <w:rsid w:val="00ED7A21"/>
    <w:rsid w:val="00ED7B69"/>
    <w:rsid w:val="00EE00CA"/>
    <w:rsid w:val="00EE0394"/>
    <w:rsid w:val="00EE05AC"/>
    <w:rsid w:val="00EE0860"/>
    <w:rsid w:val="00EE0AAF"/>
    <w:rsid w:val="00EE0B10"/>
    <w:rsid w:val="00EE0E16"/>
    <w:rsid w:val="00EE11D5"/>
    <w:rsid w:val="00EE12DD"/>
    <w:rsid w:val="00EE13FC"/>
    <w:rsid w:val="00EE172E"/>
    <w:rsid w:val="00EE1D91"/>
    <w:rsid w:val="00EE1E5E"/>
    <w:rsid w:val="00EE1FD1"/>
    <w:rsid w:val="00EE206A"/>
    <w:rsid w:val="00EE2094"/>
    <w:rsid w:val="00EE2363"/>
    <w:rsid w:val="00EE23CE"/>
    <w:rsid w:val="00EE2489"/>
    <w:rsid w:val="00EE24AF"/>
    <w:rsid w:val="00EE2B1D"/>
    <w:rsid w:val="00EE2E14"/>
    <w:rsid w:val="00EE303F"/>
    <w:rsid w:val="00EE32C7"/>
    <w:rsid w:val="00EE3A3D"/>
    <w:rsid w:val="00EE3EC7"/>
    <w:rsid w:val="00EE42AD"/>
    <w:rsid w:val="00EE48CD"/>
    <w:rsid w:val="00EE4A17"/>
    <w:rsid w:val="00EE4A1F"/>
    <w:rsid w:val="00EE4C4F"/>
    <w:rsid w:val="00EE5487"/>
    <w:rsid w:val="00EE5754"/>
    <w:rsid w:val="00EE5A83"/>
    <w:rsid w:val="00EE5CF4"/>
    <w:rsid w:val="00EE5FDA"/>
    <w:rsid w:val="00EE62BA"/>
    <w:rsid w:val="00EE62DF"/>
    <w:rsid w:val="00EE6350"/>
    <w:rsid w:val="00EE63E9"/>
    <w:rsid w:val="00EE6453"/>
    <w:rsid w:val="00EE682D"/>
    <w:rsid w:val="00EE6BEA"/>
    <w:rsid w:val="00EE6EFF"/>
    <w:rsid w:val="00EE6F2F"/>
    <w:rsid w:val="00EE7130"/>
    <w:rsid w:val="00EE753D"/>
    <w:rsid w:val="00EE7AFE"/>
    <w:rsid w:val="00EE7BBA"/>
    <w:rsid w:val="00EE7C3D"/>
    <w:rsid w:val="00EE7E7F"/>
    <w:rsid w:val="00EE7F50"/>
    <w:rsid w:val="00EE7F88"/>
    <w:rsid w:val="00EF0066"/>
    <w:rsid w:val="00EF01EF"/>
    <w:rsid w:val="00EF05F7"/>
    <w:rsid w:val="00EF074D"/>
    <w:rsid w:val="00EF0796"/>
    <w:rsid w:val="00EF08FA"/>
    <w:rsid w:val="00EF0CC5"/>
    <w:rsid w:val="00EF0D8E"/>
    <w:rsid w:val="00EF0D92"/>
    <w:rsid w:val="00EF0F74"/>
    <w:rsid w:val="00EF1141"/>
    <w:rsid w:val="00EF18A1"/>
    <w:rsid w:val="00EF1A4B"/>
    <w:rsid w:val="00EF1B1D"/>
    <w:rsid w:val="00EF1F56"/>
    <w:rsid w:val="00EF20E6"/>
    <w:rsid w:val="00EF278F"/>
    <w:rsid w:val="00EF294C"/>
    <w:rsid w:val="00EF2B55"/>
    <w:rsid w:val="00EF2B6B"/>
    <w:rsid w:val="00EF2C7C"/>
    <w:rsid w:val="00EF31EA"/>
    <w:rsid w:val="00EF3245"/>
    <w:rsid w:val="00EF3310"/>
    <w:rsid w:val="00EF34CE"/>
    <w:rsid w:val="00EF38C4"/>
    <w:rsid w:val="00EF3B53"/>
    <w:rsid w:val="00EF3B68"/>
    <w:rsid w:val="00EF41C6"/>
    <w:rsid w:val="00EF495E"/>
    <w:rsid w:val="00EF4CA3"/>
    <w:rsid w:val="00EF505C"/>
    <w:rsid w:val="00EF51C6"/>
    <w:rsid w:val="00EF5242"/>
    <w:rsid w:val="00EF5285"/>
    <w:rsid w:val="00EF573D"/>
    <w:rsid w:val="00EF5ED1"/>
    <w:rsid w:val="00EF634D"/>
    <w:rsid w:val="00EF640A"/>
    <w:rsid w:val="00EF64AE"/>
    <w:rsid w:val="00EF6A51"/>
    <w:rsid w:val="00EF6AC9"/>
    <w:rsid w:val="00EF6B91"/>
    <w:rsid w:val="00EF6C07"/>
    <w:rsid w:val="00EF6C56"/>
    <w:rsid w:val="00EF75CE"/>
    <w:rsid w:val="00EF7644"/>
    <w:rsid w:val="00EF769C"/>
    <w:rsid w:val="00EF7AFA"/>
    <w:rsid w:val="00EF7EAC"/>
    <w:rsid w:val="00EF7F58"/>
    <w:rsid w:val="00F0004B"/>
    <w:rsid w:val="00F00104"/>
    <w:rsid w:val="00F00478"/>
    <w:rsid w:val="00F0080D"/>
    <w:rsid w:val="00F00B4D"/>
    <w:rsid w:val="00F00BB5"/>
    <w:rsid w:val="00F00CFB"/>
    <w:rsid w:val="00F01495"/>
    <w:rsid w:val="00F014EF"/>
    <w:rsid w:val="00F01792"/>
    <w:rsid w:val="00F01856"/>
    <w:rsid w:val="00F0229F"/>
    <w:rsid w:val="00F02470"/>
    <w:rsid w:val="00F02685"/>
    <w:rsid w:val="00F026F7"/>
    <w:rsid w:val="00F0285A"/>
    <w:rsid w:val="00F02B85"/>
    <w:rsid w:val="00F02D49"/>
    <w:rsid w:val="00F02ED3"/>
    <w:rsid w:val="00F030BE"/>
    <w:rsid w:val="00F0338E"/>
    <w:rsid w:val="00F035F1"/>
    <w:rsid w:val="00F03B9A"/>
    <w:rsid w:val="00F03DB8"/>
    <w:rsid w:val="00F042B5"/>
    <w:rsid w:val="00F04692"/>
    <w:rsid w:val="00F049A4"/>
    <w:rsid w:val="00F04BDA"/>
    <w:rsid w:val="00F04C88"/>
    <w:rsid w:val="00F05164"/>
    <w:rsid w:val="00F0518E"/>
    <w:rsid w:val="00F05A5B"/>
    <w:rsid w:val="00F05A6D"/>
    <w:rsid w:val="00F06257"/>
    <w:rsid w:val="00F064BD"/>
    <w:rsid w:val="00F06946"/>
    <w:rsid w:val="00F06E72"/>
    <w:rsid w:val="00F06FF1"/>
    <w:rsid w:val="00F070D0"/>
    <w:rsid w:val="00F072D6"/>
    <w:rsid w:val="00F07668"/>
    <w:rsid w:val="00F07A77"/>
    <w:rsid w:val="00F07B94"/>
    <w:rsid w:val="00F07C86"/>
    <w:rsid w:val="00F07DB5"/>
    <w:rsid w:val="00F101CB"/>
    <w:rsid w:val="00F101E9"/>
    <w:rsid w:val="00F10693"/>
    <w:rsid w:val="00F1071A"/>
    <w:rsid w:val="00F10B07"/>
    <w:rsid w:val="00F10BF4"/>
    <w:rsid w:val="00F10D1B"/>
    <w:rsid w:val="00F11464"/>
    <w:rsid w:val="00F11485"/>
    <w:rsid w:val="00F11691"/>
    <w:rsid w:val="00F116BF"/>
    <w:rsid w:val="00F1186C"/>
    <w:rsid w:val="00F11C69"/>
    <w:rsid w:val="00F120AA"/>
    <w:rsid w:val="00F120DF"/>
    <w:rsid w:val="00F122DC"/>
    <w:rsid w:val="00F1236A"/>
    <w:rsid w:val="00F12697"/>
    <w:rsid w:val="00F1296A"/>
    <w:rsid w:val="00F12F71"/>
    <w:rsid w:val="00F1313D"/>
    <w:rsid w:val="00F1326F"/>
    <w:rsid w:val="00F13372"/>
    <w:rsid w:val="00F13380"/>
    <w:rsid w:val="00F133FE"/>
    <w:rsid w:val="00F135FF"/>
    <w:rsid w:val="00F13B52"/>
    <w:rsid w:val="00F13D91"/>
    <w:rsid w:val="00F13E6A"/>
    <w:rsid w:val="00F13F11"/>
    <w:rsid w:val="00F14368"/>
    <w:rsid w:val="00F148C6"/>
    <w:rsid w:val="00F149FF"/>
    <w:rsid w:val="00F1552F"/>
    <w:rsid w:val="00F158CD"/>
    <w:rsid w:val="00F15AE3"/>
    <w:rsid w:val="00F15CFB"/>
    <w:rsid w:val="00F164E9"/>
    <w:rsid w:val="00F1662A"/>
    <w:rsid w:val="00F1666F"/>
    <w:rsid w:val="00F16A7A"/>
    <w:rsid w:val="00F16A9E"/>
    <w:rsid w:val="00F1737F"/>
    <w:rsid w:val="00F17D74"/>
    <w:rsid w:val="00F17EF5"/>
    <w:rsid w:val="00F17F4E"/>
    <w:rsid w:val="00F20863"/>
    <w:rsid w:val="00F20939"/>
    <w:rsid w:val="00F209E0"/>
    <w:rsid w:val="00F20A95"/>
    <w:rsid w:val="00F20BB3"/>
    <w:rsid w:val="00F20C48"/>
    <w:rsid w:val="00F21288"/>
    <w:rsid w:val="00F212DE"/>
    <w:rsid w:val="00F2164B"/>
    <w:rsid w:val="00F21783"/>
    <w:rsid w:val="00F2187C"/>
    <w:rsid w:val="00F21949"/>
    <w:rsid w:val="00F219F0"/>
    <w:rsid w:val="00F21C83"/>
    <w:rsid w:val="00F2217D"/>
    <w:rsid w:val="00F221BF"/>
    <w:rsid w:val="00F22269"/>
    <w:rsid w:val="00F22571"/>
    <w:rsid w:val="00F22735"/>
    <w:rsid w:val="00F229B1"/>
    <w:rsid w:val="00F22F03"/>
    <w:rsid w:val="00F235B4"/>
    <w:rsid w:val="00F23765"/>
    <w:rsid w:val="00F237E7"/>
    <w:rsid w:val="00F23EA0"/>
    <w:rsid w:val="00F23FBA"/>
    <w:rsid w:val="00F24085"/>
    <w:rsid w:val="00F240CE"/>
    <w:rsid w:val="00F24280"/>
    <w:rsid w:val="00F242A2"/>
    <w:rsid w:val="00F243AB"/>
    <w:rsid w:val="00F24AFA"/>
    <w:rsid w:val="00F24BFD"/>
    <w:rsid w:val="00F24EDD"/>
    <w:rsid w:val="00F251A5"/>
    <w:rsid w:val="00F25550"/>
    <w:rsid w:val="00F25670"/>
    <w:rsid w:val="00F256F9"/>
    <w:rsid w:val="00F25B1B"/>
    <w:rsid w:val="00F25B9D"/>
    <w:rsid w:val="00F263A0"/>
    <w:rsid w:val="00F26808"/>
    <w:rsid w:val="00F268C4"/>
    <w:rsid w:val="00F27028"/>
    <w:rsid w:val="00F27273"/>
    <w:rsid w:val="00F27844"/>
    <w:rsid w:val="00F278F2"/>
    <w:rsid w:val="00F27A16"/>
    <w:rsid w:val="00F27A8F"/>
    <w:rsid w:val="00F27E0F"/>
    <w:rsid w:val="00F300E6"/>
    <w:rsid w:val="00F303EB"/>
    <w:rsid w:val="00F30692"/>
    <w:rsid w:val="00F30833"/>
    <w:rsid w:val="00F3094A"/>
    <w:rsid w:val="00F30CA8"/>
    <w:rsid w:val="00F30DE9"/>
    <w:rsid w:val="00F30E18"/>
    <w:rsid w:val="00F30F4A"/>
    <w:rsid w:val="00F30F5F"/>
    <w:rsid w:val="00F3100E"/>
    <w:rsid w:val="00F31029"/>
    <w:rsid w:val="00F3110E"/>
    <w:rsid w:val="00F31154"/>
    <w:rsid w:val="00F311B3"/>
    <w:rsid w:val="00F3128A"/>
    <w:rsid w:val="00F31383"/>
    <w:rsid w:val="00F31592"/>
    <w:rsid w:val="00F318BC"/>
    <w:rsid w:val="00F31C2A"/>
    <w:rsid w:val="00F31D8B"/>
    <w:rsid w:val="00F31E56"/>
    <w:rsid w:val="00F325D1"/>
    <w:rsid w:val="00F326AC"/>
    <w:rsid w:val="00F32D06"/>
    <w:rsid w:val="00F32FBB"/>
    <w:rsid w:val="00F32FEF"/>
    <w:rsid w:val="00F33007"/>
    <w:rsid w:val="00F3307A"/>
    <w:rsid w:val="00F33584"/>
    <w:rsid w:val="00F33A9E"/>
    <w:rsid w:val="00F33DC9"/>
    <w:rsid w:val="00F3434C"/>
    <w:rsid w:val="00F3480B"/>
    <w:rsid w:val="00F354CE"/>
    <w:rsid w:val="00F35538"/>
    <w:rsid w:val="00F3589C"/>
    <w:rsid w:val="00F35C92"/>
    <w:rsid w:val="00F36034"/>
    <w:rsid w:val="00F36087"/>
    <w:rsid w:val="00F36271"/>
    <w:rsid w:val="00F3633C"/>
    <w:rsid w:val="00F36379"/>
    <w:rsid w:val="00F363FB"/>
    <w:rsid w:val="00F36482"/>
    <w:rsid w:val="00F365EE"/>
    <w:rsid w:val="00F366C3"/>
    <w:rsid w:val="00F3697D"/>
    <w:rsid w:val="00F37029"/>
    <w:rsid w:val="00F371F0"/>
    <w:rsid w:val="00F37420"/>
    <w:rsid w:val="00F374A8"/>
    <w:rsid w:val="00F37ACE"/>
    <w:rsid w:val="00F37D31"/>
    <w:rsid w:val="00F37E9B"/>
    <w:rsid w:val="00F37EAD"/>
    <w:rsid w:val="00F37F31"/>
    <w:rsid w:val="00F37FB8"/>
    <w:rsid w:val="00F4026F"/>
    <w:rsid w:val="00F4030D"/>
    <w:rsid w:val="00F40966"/>
    <w:rsid w:val="00F4099F"/>
    <w:rsid w:val="00F40AC1"/>
    <w:rsid w:val="00F40C60"/>
    <w:rsid w:val="00F40D26"/>
    <w:rsid w:val="00F4110C"/>
    <w:rsid w:val="00F41244"/>
    <w:rsid w:val="00F41395"/>
    <w:rsid w:val="00F41652"/>
    <w:rsid w:val="00F417B0"/>
    <w:rsid w:val="00F41E0B"/>
    <w:rsid w:val="00F424BD"/>
    <w:rsid w:val="00F427F3"/>
    <w:rsid w:val="00F42844"/>
    <w:rsid w:val="00F42978"/>
    <w:rsid w:val="00F42CBE"/>
    <w:rsid w:val="00F42D09"/>
    <w:rsid w:val="00F43856"/>
    <w:rsid w:val="00F43DC9"/>
    <w:rsid w:val="00F43F7D"/>
    <w:rsid w:val="00F44393"/>
    <w:rsid w:val="00F446FB"/>
    <w:rsid w:val="00F44EE8"/>
    <w:rsid w:val="00F44F8F"/>
    <w:rsid w:val="00F4508F"/>
    <w:rsid w:val="00F45316"/>
    <w:rsid w:val="00F453DB"/>
    <w:rsid w:val="00F45426"/>
    <w:rsid w:val="00F454E8"/>
    <w:rsid w:val="00F4552B"/>
    <w:rsid w:val="00F459B4"/>
    <w:rsid w:val="00F45EDF"/>
    <w:rsid w:val="00F4620B"/>
    <w:rsid w:val="00F46415"/>
    <w:rsid w:val="00F46558"/>
    <w:rsid w:val="00F4666B"/>
    <w:rsid w:val="00F46830"/>
    <w:rsid w:val="00F469A0"/>
    <w:rsid w:val="00F46A26"/>
    <w:rsid w:val="00F46B30"/>
    <w:rsid w:val="00F46B5E"/>
    <w:rsid w:val="00F46C2E"/>
    <w:rsid w:val="00F46C48"/>
    <w:rsid w:val="00F470B8"/>
    <w:rsid w:val="00F472E1"/>
    <w:rsid w:val="00F47345"/>
    <w:rsid w:val="00F47482"/>
    <w:rsid w:val="00F47508"/>
    <w:rsid w:val="00F47986"/>
    <w:rsid w:val="00F47FC7"/>
    <w:rsid w:val="00F50013"/>
    <w:rsid w:val="00F50450"/>
    <w:rsid w:val="00F505E1"/>
    <w:rsid w:val="00F50873"/>
    <w:rsid w:val="00F50993"/>
    <w:rsid w:val="00F50AF8"/>
    <w:rsid w:val="00F50D51"/>
    <w:rsid w:val="00F50E1C"/>
    <w:rsid w:val="00F514CC"/>
    <w:rsid w:val="00F51A57"/>
    <w:rsid w:val="00F51D2D"/>
    <w:rsid w:val="00F51EC3"/>
    <w:rsid w:val="00F52154"/>
    <w:rsid w:val="00F52427"/>
    <w:rsid w:val="00F5279F"/>
    <w:rsid w:val="00F5299E"/>
    <w:rsid w:val="00F52E9C"/>
    <w:rsid w:val="00F52ECC"/>
    <w:rsid w:val="00F52F87"/>
    <w:rsid w:val="00F53578"/>
    <w:rsid w:val="00F53580"/>
    <w:rsid w:val="00F538CC"/>
    <w:rsid w:val="00F53A87"/>
    <w:rsid w:val="00F53E9D"/>
    <w:rsid w:val="00F54039"/>
    <w:rsid w:val="00F540AF"/>
    <w:rsid w:val="00F546A4"/>
    <w:rsid w:val="00F54A78"/>
    <w:rsid w:val="00F54B9A"/>
    <w:rsid w:val="00F55109"/>
    <w:rsid w:val="00F55211"/>
    <w:rsid w:val="00F55314"/>
    <w:rsid w:val="00F55431"/>
    <w:rsid w:val="00F5553E"/>
    <w:rsid w:val="00F55629"/>
    <w:rsid w:val="00F55BB0"/>
    <w:rsid w:val="00F55CEA"/>
    <w:rsid w:val="00F55F1A"/>
    <w:rsid w:val="00F5610A"/>
    <w:rsid w:val="00F5628C"/>
    <w:rsid w:val="00F56300"/>
    <w:rsid w:val="00F5672A"/>
    <w:rsid w:val="00F56935"/>
    <w:rsid w:val="00F56AF4"/>
    <w:rsid w:val="00F56E4D"/>
    <w:rsid w:val="00F574B2"/>
    <w:rsid w:val="00F5753F"/>
    <w:rsid w:val="00F576F2"/>
    <w:rsid w:val="00F57980"/>
    <w:rsid w:val="00F579EB"/>
    <w:rsid w:val="00F60034"/>
    <w:rsid w:val="00F607D9"/>
    <w:rsid w:val="00F60C8D"/>
    <w:rsid w:val="00F60D11"/>
    <w:rsid w:val="00F60EAA"/>
    <w:rsid w:val="00F6125C"/>
    <w:rsid w:val="00F6133C"/>
    <w:rsid w:val="00F61356"/>
    <w:rsid w:val="00F61364"/>
    <w:rsid w:val="00F61372"/>
    <w:rsid w:val="00F619D6"/>
    <w:rsid w:val="00F61DB8"/>
    <w:rsid w:val="00F61E44"/>
    <w:rsid w:val="00F61F9B"/>
    <w:rsid w:val="00F623D8"/>
    <w:rsid w:val="00F62503"/>
    <w:rsid w:val="00F628A3"/>
    <w:rsid w:val="00F62AFE"/>
    <w:rsid w:val="00F62D96"/>
    <w:rsid w:val="00F63497"/>
    <w:rsid w:val="00F63632"/>
    <w:rsid w:val="00F6363C"/>
    <w:rsid w:val="00F636C0"/>
    <w:rsid w:val="00F6370A"/>
    <w:rsid w:val="00F63C47"/>
    <w:rsid w:val="00F642FD"/>
    <w:rsid w:val="00F6433E"/>
    <w:rsid w:val="00F644A9"/>
    <w:rsid w:val="00F64599"/>
    <w:rsid w:val="00F646F7"/>
    <w:rsid w:val="00F649AA"/>
    <w:rsid w:val="00F64CB6"/>
    <w:rsid w:val="00F64F75"/>
    <w:rsid w:val="00F65082"/>
    <w:rsid w:val="00F65216"/>
    <w:rsid w:val="00F6544C"/>
    <w:rsid w:val="00F65628"/>
    <w:rsid w:val="00F658C6"/>
    <w:rsid w:val="00F6612A"/>
    <w:rsid w:val="00F66158"/>
    <w:rsid w:val="00F6639F"/>
    <w:rsid w:val="00F6659B"/>
    <w:rsid w:val="00F667B3"/>
    <w:rsid w:val="00F66C3D"/>
    <w:rsid w:val="00F66D04"/>
    <w:rsid w:val="00F66F0C"/>
    <w:rsid w:val="00F66FCB"/>
    <w:rsid w:val="00F67285"/>
    <w:rsid w:val="00F676C3"/>
    <w:rsid w:val="00F67911"/>
    <w:rsid w:val="00F67B7B"/>
    <w:rsid w:val="00F67C9C"/>
    <w:rsid w:val="00F67DC6"/>
    <w:rsid w:val="00F704FD"/>
    <w:rsid w:val="00F7073A"/>
    <w:rsid w:val="00F707A9"/>
    <w:rsid w:val="00F70A36"/>
    <w:rsid w:val="00F70A61"/>
    <w:rsid w:val="00F70BF4"/>
    <w:rsid w:val="00F7101B"/>
    <w:rsid w:val="00F710ED"/>
    <w:rsid w:val="00F71522"/>
    <w:rsid w:val="00F71B2E"/>
    <w:rsid w:val="00F71D17"/>
    <w:rsid w:val="00F71D18"/>
    <w:rsid w:val="00F72089"/>
    <w:rsid w:val="00F7210F"/>
    <w:rsid w:val="00F723B7"/>
    <w:rsid w:val="00F72935"/>
    <w:rsid w:val="00F72C04"/>
    <w:rsid w:val="00F72CA7"/>
    <w:rsid w:val="00F72E4A"/>
    <w:rsid w:val="00F72EC3"/>
    <w:rsid w:val="00F72F44"/>
    <w:rsid w:val="00F730B4"/>
    <w:rsid w:val="00F734E4"/>
    <w:rsid w:val="00F736DD"/>
    <w:rsid w:val="00F73717"/>
    <w:rsid w:val="00F73C11"/>
    <w:rsid w:val="00F74761"/>
    <w:rsid w:val="00F74887"/>
    <w:rsid w:val="00F749EC"/>
    <w:rsid w:val="00F74E38"/>
    <w:rsid w:val="00F74FBF"/>
    <w:rsid w:val="00F75062"/>
    <w:rsid w:val="00F750F4"/>
    <w:rsid w:val="00F752E1"/>
    <w:rsid w:val="00F753E1"/>
    <w:rsid w:val="00F75536"/>
    <w:rsid w:val="00F7581A"/>
    <w:rsid w:val="00F75B51"/>
    <w:rsid w:val="00F75C83"/>
    <w:rsid w:val="00F762FA"/>
    <w:rsid w:val="00F7647E"/>
    <w:rsid w:val="00F76735"/>
    <w:rsid w:val="00F767C2"/>
    <w:rsid w:val="00F76B74"/>
    <w:rsid w:val="00F76F56"/>
    <w:rsid w:val="00F770C4"/>
    <w:rsid w:val="00F774D6"/>
    <w:rsid w:val="00F77685"/>
    <w:rsid w:val="00F779BF"/>
    <w:rsid w:val="00F779C5"/>
    <w:rsid w:val="00F77DB2"/>
    <w:rsid w:val="00F77EBE"/>
    <w:rsid w:val="00F8035C"/>
    <w:rsid w:val="00F806B9"/>
    <w:rsid w:val="00F80E7C"/>
    <w:rsid w:val="00F817A7"/>
    <w:rsid w:val="00F818A1"/>
    <w:rsid w:val="00F818AD"/>
    <w:rsid w:val="00F818B9"/>
    <w:rsid w:val="00F81BC3"/>
    <w:rsid w:val="00F81C53"/>
    <w:rsid w:val="00F81D97"/>
    <w:rsid w:val="00F81EAB"/>
    <w:rsid w:val="00F81F64"/>
    <w:rsid w:val="00F81F94"/>
    <w:rsid w:val="00F82063"/>
    <w:rsid w:val="00F82FE9"/>
    <w:rsid w:val="00F83245"/>
    <w:rsid w:val="00F83281"/>
    <w:rsid w:val="00F838E9"/>
    <w:rsid w:val="00F8390D"/>
    <w:rsid w:val="00F83D05"/>
    <w:rsid w:val="00F83DF9"/>
    <w:rsid w:val="00F83EE0"/>
    <w:rsid w:val="00F8402C"/>
    <w:rsid w:val="00F8428A"/>
    <w:rsid w:val="00F84717"/>
    <w:rsid w:val="00F84858"/>
    <w:rsid w:val="00F84889"/>
    <w:rsid w:val="00F849A7"/>
    <w:rsid w:val="00F84F24"/>
    <w:rsid w:val="00F85013"/>
    <w:rsid w:val="00F85157"/>
    <w:rsid w:val="00F8532F"/>
    <w:rsid w:val="00F85686"/>
    <w:rsid w:val="00F8569B"/>
    <w:rsid w:val="00F858EF"/>
    <w:rsid w:val="00F85CB1"/>
    <w:rsid w:val="00F85FD5"/>
    <w:rsid w:val="00F862AA"/>
    <w:rsid w:val="00F86386"/>
    <w:rsid w:val="00F8650C"/>
    <w:rsid w:val="00F86985"/>
    <w:rsid w:val="00F8703D"/>
    <w:rsid w:val="00F8761C"/>
    <w:rsid w:val="00F87C52"/>
    <w:rsid w:val="00F87E7B"/>
    <w:rsid w:val="00F87F5C"/>
    <w:rsid w:val="00F901F6"/>
    <w:rsid w:val="00F90340"/>
    <w:rsid w:val="00F9045A"/>
    <w:rsid w:val="00F904F8"/>
    <w:rsid w:val="00F90D5F"/>
    <w:rsid w:val="00F9180F"/>
    <w:rsid w:val="00F91911"/>
    <w:rsid w:val="00F91C6D"/>
    <w:rsid w:val="00F92060"/>
    <w:rsid w:val="00F92143"/>
    <w:rsid w:val="00F92289"/>
    <w:rsid w:val="00F922F7"/>
    <w:rsid w:val="00F9237E"/>
    <w:rsid w:val="00F92712"/>
    <w:rsid w:val="00F92C3C"/>
    <w:rsid w:val="00F92F3D"/>
    <w:rsid w:val="00F930EA"/>
    <w:rsid w:val="00F93548"/>
    <w:rsid w:val="00F93935"/>
    <w:rsid w:val="00F939B9"/>
    <w:rsid w:val="00F93AF5"/>
    <w:rsid w:val="00F93BF6"/>
    <w:rsid w:val="00F94675"/>
    <w:rsid w:val="00F9478C"/>
    <w:rsid w:val="00F94FD3"/>
    <w:rsid w:val="00F95090"/>
    <w:rsid w:val="00F95137"/>
    <w:rsid w:val="00F95156"/>
    <w:rsid w:val="00F95351"/>
    <w:rsid w:val="00F953D7"/>
    <w:rsid w:val="00F9548C"/>
    <w:rsid w:val="00F95640"/>
    <w:rsid w:val="00F95C86"/>
    <w:rsid w:val="00F95F8A"/>
    <w:rsid w:val="00F95FD8"/>
    <w:rsid w:val="00F9690D"/>
    <w:rsid w:val="00F96CC4"/>
    <w:rsid w:val="00F96FCC"/>
    <w:rsid w:val="00F97546"/>
    <w:rsid w:val="00F97591"/>
    <w:rsid w:val="00F979C4"/>
    <w:rsid w:val="00F97B33"/>
    <w:rsid w:val="00F97B41"/>
    <w:rsid w:val="00F97E2A"/>
    <w:rsid w:val="00FA02BF"/>
    <w:rsid w:val="00FA073F"/>
    <w:rsid w:val="00FA07AC"/>
    <w:rsid w:val="00FA0958"/>
    <w:rsid w:val="00FA0991"/>
    <w:rsid w:val="00FA09A1"/>
    <w:rsid w:val="00FA0E61"/>
    <w:rsid w:val="00FA120A"/>
    <w:rsid w:val="00FA123C"/>
    <w:rsid w:val="00FA136D"/>
    <w:rsid w:val="00FA1581"/>
    <w:rsid w:val="00FA15CC"/>
    <w:rsid w:val="00FA17CF"/>
    <w:rsid w:val="00FA1A47"/>
    <w:rsid w:val="00FA1E6B"/>
    <w:rsid w:val="00FA2151"/>
    <w:rsid w:val="00FA2262"/>
    <w:rsid w:val="00FA245D"/>
    <w:rsid w:val="00FA260F"/>
    <w:rsid w:val="00FA28EF"/>
    <w:rsid w:val="00FA2A42"/>
    <w:rsid w:val="00FA2FA9"/>
    <w:rsid w:val="00FA326C"/>
    <w:rsid w:val="00FA368A"/>
    <w:rsid w:val="00FA3875"/>
    <w:rsid w:val="00FA3AF0"/>
    <w:rsid w:val="00FA419F"/>
    <w:rsid w:val="00FA450B"/>
    <w:rsid w:val="00FA49DF"/>
    <w:rsid w:val="00FA5087"/>
    <w:rsid w:val="00FA542D"/>
    <w:rsid w:val="00FA5589"/>
    <w:rsid w:val="00FA5D5B"/>
    <w:rsid w:val="00FA5D9C"/>
    <w:rsid w:val="00FA6156"/>
    <w:rsid w:val="00FA6888"/>
    <w:rsid w:val="00FA6932"/>
    <w:rsid w:val="00FA6BE2"/>
    <w:rsid w:val="00FA6C49"/>
    <w:rsid w:val="00FA717E"/>
    <w:rsid w:val="00FA7206"/>
    <w:rsid w:val="00FA727C"/>
    <w:rsid w:val="00FA78B7"/>
    <w:rsid w:val="00FA7BDA"/>
    <w:rsid w:val="00FA7DC9"/>
    <w:rsid w:val="00FB025E"/>
    <w:rsid w:val="00FB02D6"/>
    <w:rsid w:val="00FB0365"/>
    <w:rsid w:val="00FB052E"/>
    <w:rsid w:val="00FB08A4"/>
    <w:rsid w:val="00FB09FF"/>
    <w:rsid w:val="00FB0A2F"/>
    <w:rsid w:val="00FB0EC2"/>
    <w:rsid w:val="00FB1702"/>
    <w:rsid w:val="00FB19EE"/>
    <w:rsid w:val="00FB1AD2"/>
    <w:rsid w:val="00FB1ADC"/>
    <w:rsid w:val="00FB1C80"/>
    <w:rsid w:val="00FB1E35"/>
    <w:rsid w:val="00FB2017"/>
    <w:rsid w:val="00FB20E0"/>
    <w:rsid w:val="00FB233E"/>
    <w:rsid w:val="00FB237C"/>
    <w:rsid w:val="00FB2A08"/>
    <w:rsid w:val="00FB2A37"/>
    <w:rsid w:val="00FB2AD4"/>
    <w:rsid w:val="00FB2B3E"/>
    <w:rsid w:val="00FB2E26"/>
    <w:rsid w:val="00FB2F0D"/>
    <w:rsid w:val="00FB3210"/>
    <w:rsid w:val="00FB3365"/>
    <w:rsid w:val="00FB347C"/>
    <w:rsid w:val="00FB387C"/>
    <w:rsid w:val="00FB3EDB"/>
    <w:rsid w:val="00FB40C5"/>
    <w:rsid w:val="00FB41C8"/>
    <w:rsid w:val="00FB4A6C"/>
    <w:rsid w:val="00FB4ABF"/>
    <w:rsid w:val="00FB4F71"/>
    <w:rsid w:val="00FB5363"/>
    <w:rsid w:val="00FB54DA"/>
    <w:rsid w:val="00FB55C7"/>
    <w:rsid w:val="00FB584F"/>
    <w:rsid w:val="00FB5F98"/>
    <w:rsid w:val="00FB608E"/>
    <w:rsid w:val="00FB6197"/>
    <w:rsid w:val="00FB6340"/>
    <w:rsid w:val="00FB64F0"/>
    <w:rsid w:val="00FB6B3D"/>
    <w:rsid w:val="00FB6FDE"/>
    <w:rsid w:val="00FB752F"/>
    <w:rsid w:val="00FB76F0"/>
    <w:rsid w:val="00FB771D"/>
    <w:rsid w:val="00FB78F7"/>
    <w:rsid w:val="00FB793D"/>
    <w:rsid w:val="00FB7AE7"/>
    <w:rsid w:val="00FB7D6B"/>
    <w:rsid w:val="00FC00D7"/>
    <w:rsid w:val="00FC0723"/>
    <w:rsid w:val="00FC0AD3"/>
    <w:rsid w:val="00FC0ADF"/>
    <w:rsid w:val="00FC0BE7"/>
    <w:rsid w:val="00FC0E10"/>
    <w:rsid w:val="00FC14EC"/>
    <w:rsid w:val="00FC15AD"/>
    <w:rsid w:val="00FC16D6"/>
    <w:rsid w:val="00FC176B"/>
    <w:rsid w:val="00FC1BC5"/>
    <w:rsid w:val="00FC1CD9"/>
    <w:rsid w:val="00FC1CE9"/>
    <w:rsid w:val="00FC1D4A"/>
    <w:rsid w:val="00FC2070"/>
    <w:rsid w:val="00FC21DD"/>
    <w:rsid w:val="00FC22D6"/>
    <w:rsid w:val="00FC2557"/>
    <w:rsid w:val="00FC2B83"/>
    <w:rsid w:val="00FC3002"/>
    <w:rsid w:val="00FC311E"/>
    <w:rsid w:val="00FC31B5"/>
    <w:rsid w:val="00FC331C"/>
    <w:rsid w:val="00FC3577"/>
    <w:rsid w:val="00FC35CD"/>
    <w:rsid w:val="00FC35EB"/>
    <w:rsid w:val="00FC377A"/>
    <w:rsid w:val="00FC3994"/>
    <w:rsid w:val="00FC3F91"/>
    <w:rsid w:val="00FC3FC0"/>
    <w:rsid w:val="00FC4219"/>
    <w:rsid w:val="00FC48E7"/>
    <w:rsid w:val="00FC495A"/>
    <w:rsid w:val="00FC4C0F"/>
    <w:rsid w:val="00FC4C53"/>
    <w:rsid w:val="00FC4F56"/>
    <w:rsid w:val="00FC515E"/>
    <w:rsid w:val="00FC5475"/>
    <w:rsid w:val="00FC549E"/>
    <w:rsid w:val="00FC54A9"/>
    <w:rsid w:val="00FC54D9"/>
    <w:rsid w:val="00FC5AF6"/>
    <w:rsid w:val="00FC5B28"/>
    <w:rsid w:val="00FC5D57"/>
    <w:rsid w:val="00FC5E4D"/>
    <w:rsid w:val="00FC62F9"/>
    <w:rsid w:val="00FC6505"/>
    <w:rsid w:val="00FC6941"/>
    <w:rsid w:val="00FC6A32"/>
    <w:rsid w:val="00FC6A3A"/>
    <w:rsid w:val="00FC6AB9"/>
    <w:rsid w:val="00FC6FAA"/>
    <w:rsid w:val="00FC70A2"/>
    <w:rsid w:val="00FC731C"/>
    <w:rsid w:val="00FC74E5"/>
    <w:rsid w:val="00FC756B"/>
    <w:rsid w:val="00FC7712"/>
    <w:rsid w:val="00FC785F"/>
    <w:rsid w:val="00FC7909"/>
    <w:rsid w:val="00FC7B09"/>
    <w:rsid w:val="00FC7F6A"/>
    <w:rsid w:val="00FD00FA"/>
    <w:rsid w:val="00FD0535"/>
    <w:rsid w:val="00FD0787"/>
    <w:rsid w:val="00FD099D"/>
    <w:rsid w:val="00FD0E06"/>
    <w:rsid w:val="00FD0EB5"/>
    <w:rsid w:val="00FD11FE"/>
    <w:rsid w:val="00FD153E"/>
    <w:rsid w:val="00FD1715"/>
    <w:rsid w:val="00FD18BC"/>
    <w:rsid w:val="00FD1A9F"/>
    <w:rsid w:val="00FD21DA"/>
    <w:rsid w:val="00FD2BAF"/>
    <w:rsid w:val="00FD2BBD"/>
    <w:rsid w:val="00FD2C34"/>
    <w:rsid w:val="00FD2C5C"/>
    <w:rsid w:val="00FD2D19"/>
    <w:rsid w:val="00FD2E7E"/>
    <w:rsid w:val="00FD2EC2"/>
    <w:rsid w:val="00FD312F"/>
    <w:rsid w:val="00FD32EF"/>
    <w:rsid w:val="00FD342F"/>
    <w:rsid w:val="00FD3467"/>
    <w:rsid w:val="00FD3E03"/>
    <w:rsid w:val="00FD4123"/>
    <w:rsid w:val="00FD46E6"/>
    <w:rsid w:val="00FD4DD6"/>
    <w:rsid w:val="00FD508E"/>
    <w:rsid w:val="00FD5113"/>
    <w:rsid w:val="00FD5217"/>
    <w:rsid w:val="00FD525F"/>
    <w:rsid w:val="00FD5660"/>
    <w:rsid w:val="00FD5A22"/>
    <w:rsid w:val="00FD5A68"/>
    <w:rsid w:val="00FD5C80"/>
    <w:rsid w:val="00FD5D3E"/>
    <w:rsid w:val="00FD5E84"/>
    <w:rsid w:val="00FD6000"/>
    <w:rsid w:val="00FD608A"/>
    <w:rsid w:val="00FD6145"/>
    <w:rsid w:val="00FD6488"/>
    <w:rsid w:val="00FD691B"/>
    <w:rsid w:val="00FD6C80"/>
    <w:rsid w:val="00FD715A"/>
    <w:rsid w:val="00FD74D2"/>
    <w:rsid w:val="00FD7684"/>
    <w:rsid w:val="00FD7750"/>
    <w:rsid w:val="00FD7980"/>
    <w:rsid w:val="00FD7A38"/>
    <w:rsid w:val="00FD7CDD"/>
    <w:rsid w:val="00FD7F06"/>
    <w:rsid w:val="00FE0022"/>
    <w:rsid w:val="00FE085B"/>
    <w:rsid w:val="00FE0B82"/>
    <w:rsid w:val="00FE0DB4"/>
    <w:rsid w:val="00FE0FB6"/>
    <w:rsid w:val="00FE1074"/>
    <w:rsid w:val="00FE110F"/>
    <w:rsid w:val="00FE16A5"/>
    <w:rsid w:val="00FE1798"/>
    <w:rsid w:val="00FE1833"/>
    <w:rsid w:val="00FE1975"/>
    <w:rsid w:val="00FE1A7C"/>
    <w:rsid w:val="00FE1B27"/>
    <w:rsid w:val="00FE23D6"/>
    <w:rsid w:val="00FE26D9"/>
    <w:rsid w:val="00FE28D8"/>
    <w:rsid w:val="00FE2E0A"/>
    <w:rsid w:val="00FE3022"/>
    <w:rsid w:val="00FE302A"/>
    <w:rsid w:val="00FE3044"/>
    <w:rsid w:val="00FE308F"/>
    <w:rsid w:val="00FE3791"/>
    <w:rsid w:val="00FE38A9"/>
    <w:rsid w:val="00FE398D"/>
    <w:rsid w:val="00FE3A06"/>
    <w:rsid w:val="00FE3A11"/>
    <w:rsid w:val="00FE3A92"/>
    <w:rsid w:val="00FE3BBC"/>
    <w:rsid w:val="00FE3D3B"/>
    <w:rsid w:val="00FE3D44"/>
    <w:rsid w:val="00FE3EE9"/>
    <w:rsid w:val="00FE4032"/>
    <w:rsid w:val="00FE4215"/>
    <w:rsid w:val="00FE43B5"/>
    <w:rsid w:val="00FE501C"/>
    <w:rsid w:val="00FE573D"/>
    <w:rsid w:val="00FE579E"/>
    <w:rsid w:val="00FE5EF8"/>
    <w:rsid w:val="00FE6668"/>
    <w:rsid w:val="00FE66A2"/>
    <w:rsid w:val="00FE6827"/>
    <w:rsid w:val="00FE69B1"/>
    <w:rsid w:val="00FE6CFF"/>
    <w:rsid w:val="00FE6DCD"/>
    <w:rsid w:val="00FE6DED"/>
    <w:rsid w:val="00FE6EEB"/>
    <w:rsid w:val="00FE6F8B"/>
    <w:rsid w:val="00FE76EA"/>
    <w:rsid w:val="00FE779D"/>
    <w:rsid w:val="00FE79AA"/>
    <w:rsid w:val="00FE7AF0"/>
    <w:rsid w:val="00FF0239"/>
    <w:rsid w:val="00FF0319"/>
    <w:rsid w:val="00FF04F0"/>
    <w:rsid w:val="00FF064A"/>
    <w:rsid w:val="00FF0EC0"/>
    <w:rsid w:val="00FF1155"/>
    <w:rsid w:val="00FF164D"/>
    <w:rsid w:val="00FF1742"/>
    <w:rsid w:val="00FF177C"/>
    <w:rsid w:val="00FF1DB0"/>
    <w:rsid w:val="00FF21A9"/>
    <w:rsid w:val="00FF28E7"/>
    <w:rsid w:val="00FF2C5C"/>
    <w:rsid w:val="00FF3343"/>
    <w:rsid w:val="00FF3673"/>
    <w:rsid w:val="00FF36A4"/>
    <w:rsid w:val="00FF399F"/>
    <w:rsid w:val="00FF3B78"/>
    <w:rsid w:val="00FF4341"/>
    <w:rsid w:val="00FF45F5"/>
    <w:rsid w:val="00FF48DA"/>
    <w:rsid w:val="00FF4A15"/>
    <w:rsid w:val="00FF4CB6"/>
    <w:rsid w:val="00FF5155"/>
    <w:rsid w:val="00FF5157"/>
    <w:rsid w:val="00FF5346"/>
    <w:rsid w:val="00FF583C"/>
    <w:rsid w:val="00FF593E"/>
    <w:rsid w:val="00FF5AC6"/>
    <w:rsid w:val="00FF5B75"/>
    <w:rsid w:val="00FF5C2E"/>
    <w:rsid w:val="00FF5E6F"/>
    <w:rsid w:val="00FF5F7E"/>
    <w:rsid w:val="00FF64D8"/>
    <w:rsid w:val="00FF666F"/>
    <w:rsid w:val="00FF69A8"/>
    <w:rsid w:val="00FF6B64"/>
    <w:rsid w:val="00FF6EFF"/>
    <w:rsid w:val="00FF71DD"/>
    <w:rsid w:val="00FF72B0"/>
    <w:rsid w:val="00FF7451"/>
    <w:rsid w:val="00FF7845"/>
    <w:rsid w:val="00FF7D75"/>
    <w:rsid w:val="00FF7ECE"/>
    <w:rsid w:val="00FF7F47"/>
    <w:rsid w:val="00FF7FB4"/>
    <w:rsid w:val="0102965A"/>
    <w:rsid w:val="010D4024"/>
    <w:rsid w:val="0110D664"/>
    <w:rsid w:val="0110EB21"/>
    <w:rsid w:val="011A58A3"/>
    <w:rsid w:val="01229E26"/>
    <w:rsid w:val="01312A9E"/>
    <w:rsid w:val="0136727B"/>
    <w:rsid w:val="0138804A"/>
    <w:rsid w:val="01409EBB"/>
    <w:rsid w:val="0148EEF7"/>
    <w:rsid w:val="0150DE12"/>
    <w:rsid w:val="015A021A"/>
    <w:rsid w:val="015AD8FA"/>
    <w:rsid w:val="015DB329"/>
    <w:rsid w:val="0174B3A8"/>
    <w:rsid w:val="01790C4B"/>
    <w:rsid w:val="017F5574"/>
    <w:rsid w:val="0186A0AC"/>
    <w:rsid w:val="01887CAD"/>
    <w:rsid w:val="018A2B55"/>
    <w:rsid w:val="018B950B"/>
    <w:rsid w:val="018CA168"/>
    <w:rsid w:val="01925337"/>
    <w:rsid w:val="0197F482"/>
    <w:rsid w:val="01B01819"/>
    <w:rsid w:val="01B4AE7B"/>
    <w:rsid w:val="01B5EFED"/>
    <w:rsid w:val="01D4D9B3"/>
    <w:rsid w:val="01E473B5"/>
    <w:rsid w:val="01E90A4B"/>
    <w:rsid w:val="01ECCF7E"/>
    <w:rsid w:val="01EF305D"/>
    <w:rsid w:val="01F3810A"/>
    <w:rsid w:val="0207B719"/>
    <w:rsid w:val="020CA0D8"/>
    <w:rsid w:val="020DB5CF"/>
    <w:rsid w:val="0212CA22"/>
    <w:rsid w:val="02197927"/>
    <w:rsid w:val="022249B4"/>
    <w:rsid w:val="02273557"/>
    <w:rsid w:val="022E2714"/>
    <w:rsid w:val="023C44D0"/>
    <w:rsid w:val="023D54F2"/>
    <w:rsid w:val="025646D0"/>
    <w:rsid w:val="025BD5FE"/>
    <w:rsid w:val="0263F033"/>
    <w:rsid w:val="02755945"/>
    <w:rsid w:val="028263EE"/>
    <w:rsid w:val="02829BE4"/>
    <w:rsid w:val="028616AC"/>
    <w:rsid w:val="0288C770"/>
    <w:rsid w:val="029C83BE"/>
    <w:rsid w:val="02C5D296"/>
    <w:rsid w:val="02D1C06A"/>
    <w:rsid w:val="02D591AB"/>
    <w:rsid w:val="02D696E1"/>
    <w:rsid w:val="02DA23FA"/>
    <w:rsid w:val="02F85CA9"/>
    <w:rsid w:val="03506995"/>
    <w:rsid w:val="035299D5"/>
    <w:rsid w:val="036BB693"/>
    <w:rsid w:val="038EBA61"/>
    <w:rsid w:val="0390A102"/>
    <w:rsid w:val="039D8BDF"/>
    <w:rsid w:val="03A13207"/>
    <w:rsid w:val="03A3C10D"/>
    <w:rsid w:val="03A4974D"/>
    <w:rsid w:val="03AB04C1"/>
    <w:rsid w:val="03AC37C6"/>
    <w:rsid w:val="03AED90B"/>
    <w:rsid w:val="03B3B8C9"/>
    <w:rsid w:val="03C8EEA6"/>
    <w:rsid w:val="03DD5CFA"/>
    <w:rsid w:val="03DF15D1"/>
    <w:rsid w:val="03E95FE9"/>
    <w:rsid w:val="03F5B036"/>
    <w:rsid w:val="03F7A63B"/>
    <w:rsid w:val="0401B921"/>
    <w:rsid w:val="0429A989"/>
    <w:rsid w:val="0429BA3F"/>
    <w:rsid w:val="04360519"/>
    <w:rsid w:val="04414B74"/>
    <w:rsid w:val="0442D28A"/>
    <w:rsid w:val="045D0EEC"/>
    <w:rsid w:val="0467A750"/>
    <w:rsid w:val="047780B7"/>
    <w:rsid w:val="04787E49"/>
    <w:rsid w:val="048263ED"/>
    <w:rsid w:val="04842632"/>
    <w:rsid w:val="048860C3"/>
    <w:rsid w:val="04A64E0D"/>
    <w:rsid w:val="04A8A071"/>
    <w:rsid w:val="04C50EC1"/>
    <w:rsid w:val="04CA0084"/>
    <w:rsid w:val="04D10B53"/>
    <w:rsid w:val="04D95684"/>
    <w:rsid w:val="04E9DCE2"/>
    <w:rsid w:val="04F691CB"/>
    <w:rsid w:val="050739A6"/>
    <w:rsid w:val="0507738B"/>
    <w:rsid w:val="0507A3E8"/>
    <w:rsid w:val="050A1BEE"/>
    <w:rsid w:val="0525838F"/>
    <w:rsid w:val="0529035E"/>
    <w:rsid w:val="05292ADB"/>
    <w:rsid w:val="052C4223"/>
    <w:rsid w:val="05378441"/>
    <w:rsid w:val="0544959C"/>
    <w:rsid w:val="054A31B8"/>
    <w:rsid w:val="054B15E4"/>
    <w:rsid w:val="054C0E3F"/>
    <w:rsid w:val="0550EEF2"/>
    <w:rsid w:val="056135D1"/>
    <w:rsid w:val="056D81B0"/>
    <w:rsid w:val="056EEC5A"/>
    <w:rsid w:val="056FFE36"/>
    <w:rsid w:val="05785CDD"/>
    <w:rsid w:val="05927B90"/>
    <w:rsid w:val="0593E34E"/>
    <w:rsid w:val="0594D8CF"/>
    <w:rsid w:val="05A4FCE7"/>
    <w:rsid w:val="05AD6BFD"/>
    <w:rsid w:val="05AEFFFA"/>
    <w:rsid w:val="05B58037"/>
    <w:rsid w:val="05CC27F8"/>
    <w:rsid w:val="05D01701"/>
    <w:rsid w:val="05D9611D"/>
    <w:rsid w:val="05F3B78D"/>
    <w:rsid w:val="05F8DE10"/>
    <w:rsid w:val="060632BA"/>
    <w:rsid w:val="06078742"/>
    <w:rsid w:val="062D564B"/>
    <w:rsid w:val="06413D52"/>
    <w:rsid w:val="0641C42B"/>
    <w:rsid w:val="06451ECF"/>
    <w:rsid w:val="0656CF65"/>
    <w:rsid w:val="0667DC0C"/>
    <w:rsid w:val="0668131C"/>
    <w:rsid w:val="0674ED4C"/>
    <w:rsid w:val="06780C55"/>
    <w:rsid w:val="069073CE"/>
    <w:rsid w:val="06955DE7"/>
    <w:rsid w:val="06A344AA"/>
    <w:rsid w:val="06BB91AC"/>
    <w:rsid w:val="06BBF2A2"/>
    <w:rsid w:val="06C33911"/>
    <w:rsid w:val="06C44839"/>
    <w:rsid w:val="06C45B4D"/>
    <w:rsid w:val="06C95071"/>
    <w:rsid w:val="06C9A199"/>
    <w:rsid w:val="06CA3714"/>
    <w:rsid w:val="06CAAAF3"/>
    <w:rsid w:val="06D0FE24"/>
    <w:rsid w:val="06DE264B"/>
    <w:rsid w:val="06EBF430"/>
    <w:rsid w:val="06F4F2ED"/>
    <w:rsid w:val="0709B81F"/>
    <w:rsid w:val="070B7459"/>
    <w:rsid w:val="070BE7C7"/>
    <w:rsid w:val="0711DC3D"/>
    <w:rsid w:val="0728D978"/>
    <w:rsid w:val="072D6157"/>
    <w:rsid w:val="073BE99A"/>
    <w:rsid w:val="073C6C68"/>
    <w:rsid w:val="07492054"/>
    <w:rsid w:val="074C68F1"/>
    <w:rsid w:val="074FBC1F"/>
    <w:rsid w:val="075DCE7D"/>
    <w:rsid w:val="076CE981"/>
    <w:rsid w:val="077C1AC8"/>
    <w:rsid w:val="078176A7"/>
    <w:rsid w:val="078C93ED"/>
    <w:rsid w:val="078FFAD5"/>
    <w:rsid w:val="07AFA4F3"/>
    <w:rsid w:val="07B5DDB8"/>
    <w:rsid w:val="07BB3F3B"/>
    <w:rsid w:val="07BECCA1"/>
    <w:rsid w:val="07C8E14E"/>
    <w:rsid w:val="07D7235F"/>
    <w:rsid w:val="07D9C886"/>
    <w:rsid w:val="07E3B502"/>
    <w:rsid w:val="07E6AEFA"/>
    <w:rsid w:val="07ECC0A9"/>
    <w:rsid w:val="07F23F09"/>
    <w:rsid w:val="07F3689C"/>
    <w:rsid w:val="07F824D2"/>
    <w:rsid w:val="0807801F"/>
    <w:rsid w:val="080DE6C5"/>
    <w:rsid w:val="081B5D8F"/>
    <w:rsid w:val="081CC04F"/>
    <w:rsid w:val="0829167A"/>
    <w:rsid w:val="0848BB9D"/>
    <w:rsid w:val="086397C8"/>
    <w:rsid w:val="086F8932"/>
    <w:rsid w:val="087038D9"/>
    <w:rsid w:val="087CA44E"/>
    <w:rsid w:val="087FA2A6"/>
    <w:rsid w:val="088199B9"/>
    <w:rsid w:val="08830516"/>
    <w:rsid w:val="08837CDA"/>
    <w:rsid w:val="0893ECE1"/>
    <w:rsid w:val="0898416C"/>
    <w:rsid w:val="089B8C39"/>
    <w:rsid w:val="08A7BD39"/>
    <w:rsid w:val="08BEF3B1"/>
    <w:rsid w:val="08C3CAD5"/>
    <w:rsid w:val="08C4211A"/>
    <w:rsid w:val="08CDF722"/>
    <w:rsid w:val="08D61422"/>
    <w:rsid w:val="08EB20F5"/>
    <w:rsid w:val="08EB46D4"/>
    <w:rsid w:val="08F80EE2"/>
    <w:rsid w:val="0920BDEE"/>
    <w:rsid w:val="092552EE"/>
    <w:rsid w:val="092BD750"/>
    <w:rsid w:val="092E1730"/>
    <w:rsid w:val="0938B394"/>
    <w:rsid w:val="09659FA0"/>
    <w:rsid w:val="097136CC"/>
    <w:rsid w:val="097621BA"/>
    <w:rsid w:val="097B0165"/>
    <w:rsid w:val="097E1AE7"/>
    <w:rsid w:val="0997D455"/>
    <w:rsid w:val="09ADB928"/>
    <w:rsid w:val="09B4E949"/>
    <w:rsid w:val="09BA3C01"/>
    <w:rsid w:val="09C06038"/>
    <w:rsid w:val="09C52448"/>
    <w:rsid w:val="09DA2346"/>
    <w:rsid w:val="09DE43CF"/>
    <w:rsid w:val="09F8A250"/>
    <w:rsid w:val="09FA60DB"/>
    <w:rsid w:val="0A0003CE"/>
    <w:rsid w:val="0A0AD3BE"/>
    <w:rsid w:val="0A0E22C4"/>
    <w:rsid w:val="0A193C16"/>
    <w:rsid w:val="0A2D9E6C"/>
    <w:rsid w:val="0A39CB27"/>
    <w:rsid w:val="0A65C267"/>
    <w:rsid w:val="0A6B52D8"/>
    <w:rsid w:val="0A89998F"/>
    <w:rsid w:val="0A8A870C"/>
    <w:rsid w:val="0A8C4960"/>
    <w:rsid w:val="0A8E209D"/>
    <w:rsid w:val="0A8EB17B"/>
    <w:rsid w:val="0A9CDCE9"/>
    <w:rsid w:val="0AA7BD30"/>
    <w:rsid w:val="0AB70C3D"/>
    <w:rsid w:val="0ABCF856"/>
    <w:rsid w:val="0AD86AC5"/>
    <w:rsid w:val="0AE0C705"/>
    <w:rsid w:val="0AF5BBA6"/>
    <w:rsid w:val="0AF8C855"/>
    <w:rsid w:val="0B0ECE0B"/>
    <w:rsid w:val="0B0FAA33"/>
    <w:rsid w:val="0B283E5D"/>
    <w:rsid w:val="0B2FD98B"/>
    <w:rsid w:val="0B331FCB"/>
    <w:rsid w:val="0B4AE2AE"/>
    <w:rsid w:val="0B52F6BA"/>
    <w:rsid w:val="0B577BCE"/>
    <w:rsid w:val="0B6B621B"/>
    <w:rsid w:val="0B7C6415"/>
    <w:rsid w:val="0B7FAB16"/>
    <w:rsid w:val="0B818323"/>
    <w:rsid w:val="0B8A13F6"/>
    <w:rsid w:val="0BB391C2"/>
    <w:rsid w:val="0BB695AC"/>
    <w:rsid w:val="0BB7E6DB"/>
    <w:rsid w:val="0BC82A36"/>
    <w:rsid w:val="0BCA5D9A"/>
    <w:rsid w:val="0BCEE0B7"/>
    <w:rsid w:val="0BDB7BDA"/>
    <w:rsid w:val="0BDF15BE"/>
    <w:rsid w:val="0BE37391"/>
    <w:rsid w:val="0BF30495"/>
    <w:rsid w:val="0BF8A704"/>
    <w:rsid w:val="0C0296F4"/>
    <w:rsid w:val="0C2BACFC"/>
    <w:rsid w:val="0C31A254"/>
    <w:rsid w:val="0C43DE3C"/>
    <w:rsid w:val="0C4F82AF"/>
    <w:rsid w:val="0C57604E"/>
    <w:rsid w:val="0C639239"/>
    <w:rsid w:val="0C7900AF"/>
    <w:rsid w:val="0C848AAB"/>
    <w:rsid w:val="0C97EF7D"/>
    <w:rsid w:val="0C9AC18E"/>
    <w:rsid w:val="0CA09CB0"/>
    <w:rsid w:val="0CAC3FFF"/>
    <w:rsid w:val="0CAF3E76"/>
    <w:rsid w:val="0CBB3C74"/>
    <w:rsid w:val="0CBC0679"/>
    <w:rsid w:val="0CC0FF60"/>
    <w:rsid w:val="0CD12A7E"/>
    <w:rsid w:val="0CD94390"/>
    <w:rsid w:val="0CDA0EE3"/>
    <w:rsid w:val="0CE8A551"/>
    <w:rsid w:val="0CEDBB2E"/>
    <w:rsid w:val="0CF1612E"/>
    <w:rsid w:val="0CF2B282"/>
    <w:rsid w:val="0D0A4D2F"/>
    <w:rsid w:val="0D0DD4EB"/>
    <w:rsid w:val="0D0FDD7D"/>
    <w:rsid w:val="0D19007B"/>
    <w:rsid w:val="0D1A1AC9"/>
    <w:rsid w:val="0D1D3B64"/>
    <w:rsid w:val="0D2610EF"/>
    <w:rsid w:val="0D378DE5"/>
    <w:rsid w:val="0D3F5969"/>
    <w:rsid w:val="0D455069"/>
    <w:rsid w:val="0D49F68B"/>
    <w:rsid w:val="0D907775"/>
    <w:rsid w:val="0DA0C5CA"/>
    <w:rsid w:val="0DA6C261"/>
    <w:rsid w:val="0DB2009E"/>
    <w:rsid w:val="0DB691A8"/>
    <w:rsid w:val="0DC4177E"/>
    <w:rsid w:val="0DCDFC98"/>
    <w:rsid w:val="0DD2F55E"/>
    <w:rsid w:val="0DDB30CA"/>
    <w:rsid w:val="0DDDE168"/>
    <w:rsid w:val="0DE2DD6D"/>
    <w:rsid w:val="0DE9EFF2"/>
    <w:rsid w:val="0DEF5E8B"/>
    <w:rsid w:val="0DEFA335"/>
    <w:rsid w:val="0DF85857"/>
    <w:rsid w:val="0DF9BEDC"/>
    <w:rsid w:val="0DF9DBBD"/>
    <w:rsid w:val="0DFFD381"/>
    <w:rsid w:val="0E0937DD"/>
    <w:rsid w:val="0E0E57FF"/>
    <w:rsid w:val="0E19597B"/>
    <w:rsid w:val="0E2126CA"/>
    <w:rsid w:val="0E337C57"/>
    <w:rsid w:val="0E3EA240"/>
    <w:rsid w:val="0E60A485"/>
    <w:rsid w:val="0E620CB6"/>
    <w:rsid w:val="0E6224C3"/>
    <w:rsid w:val="0E661FC7"/>
    <w:rsid w:val="0E71AAFB"/>
    <w:rsid w:val="0E73064F"/>
    <w:rsid w:val="0E865C10"/>
    <w:rsid w:val="0E937C8B"/>
    <w:rsid w:val="0E974D39"/>
    <w:rsid w:val="0EA9C376"/>
    <w:rsid w:val="0EACC117"/>
    <w:rsid w:val="0EB24739"/>
    <w:rsid w:val="0EC0347F"/>
    <w:rsid w:val="0ED2A6F1"/>
    <w:rsid w:val="0ED54427"/>
    <w:rsid w:val="0ED56411"/>
    <w:rsid w:val="0EE78C14"/>
    <w:rsid w:val="0EEBF481"/>
    <w:rsid w:val="0EFDF0EA"/>
    <w:rsid w:val="0F0ABE4F"/>
    <w:rsid w:val="0F17C4DA"/>
    <w:rsid w:val="0F18742E"/>
    <w:rsid w:val="0F187A31"/>
    <w:rsid w:val="0F226303"/>
    <w:rsid w:val="0F24274D"/>
    <w:rsid w:val="0F3206F8"/>
    <w:rsid w:val="0F428F2E"/>
    <w:rsid w:val="0F4DB6B3"/>
    <w:rsid w:val="0F4F253F"/>
    <w:rsid w:val="0F504640"/>
    <w:rsid w:val="0F515885"/>
    <w:rsid w:val="0F5A2DAD"/>
    <w:rsid w:val="0F83142D"/>
    <w:rsid w:val="0F83AE30"/>
    <w:rsid w:val="0F8D8701"/>
    <w:rsid w:val="0F90CE74"/>
    <w:rsid w:val="0FA48CDA"/>
    <w:rsid w:val="0FCD0C8C"/>
    <w:rsid w:val="0FD58A74"/>
    <w:rsid w:val="0FD5ED6B"/>
    <w:rsid w:val="0FD62C83"/>
    <w:rsid w:val="0FDFDBBE"/>
    <w:rsid w:val="0FEA1CF6"/>
    <w:rsid w:val="0FF09347"/>
    <w:rsid w:val="0FF14C02"/>
    <w:rsid w:val="0FFBB1DB"/>
    <w:rsid w:val="10024C94"/>
    <w:rsid w:val="100C539E"/>
    <w:rsid w:val="10118273"/>
    <w:rsid w:val="1013111D"/>
    <w:rsid w:val="10172409"/>
    <w:rsid w:val="1020409C"/>
    <w:rsid w:val="1028C3D1"/>
    <w:rsid w:val="102FF310"/>
    <w:rsid w:val="10306DFA"/>
    <w:rsid w:val="10374393"/>
    <w:rsid w:val="103C27DB"/>
    <w:rsid w:val="10598A47"/>
    <w:rsid w:val="105FAF3B"/>
    <w:rsid w:val="1065C2C4"/>
    <w:rsid w:val="10673887"/>
    <w:rsid w:val="107DD4B7"/>
    <w:rsid w:val="108916A4"/>
    <w:rsid w:val="1095F7A0"/>
    <w:rsid w:val="10A030BB"/>
    <w:rsid w:val="10A5704B"/>
    <w:rsid w:val="10B6DF60"/>
    <w:rsid w:val="10C35A23"/>
    <w:rsid w:val="10D046EB"/>
    <w:rsid w:val="10D33A36"/>
    <w:rsid w:val="10E8C65D"/>
    <w:rsid w:val="10FD6DE6"/>
    <w:rsid w:val="11033505"/>
    <w:rsid w:val="110EC54C"/>
    <w:rsid w:val="111BD727"/>
    <w:rsid w:val="112E3FA1"/>
    <w:rsid w:val="112F6CEC"/>
    <w:rsid w:val="113BA2E3"/>
    <w:rsid w:val="1148DAA5"/>
    <w:rsid w:val="116B3AA3"/>
    <w:rsid w:val="116CE4C8"/>
    <w:rsid w:val="11700804"/>
    <w:rsid w:val="11776C0C"/>
    <w:rsid w:val="1197EC90"/>
    <w:rsid w:val="1198FC0B"/>
    <w:rsid w:val="11C114C6"/>
    <w:rsid w:val="11C3584A"/>
    <w:rsid w:val="11C78C91"/>
    <w:rsid w:val="11CD52EB"/>
    <w:rsid w:val="11CE3A42"/>
    <w:rsid w:val="11D1B8FE"/>
    <w:rsid w:val="11F35D2E"/>
    <w:rsid w:val="12016609"/>
    <w:rsid w:val="120F4BD3"/>
    <w:rsid w:val="121422BA"/>
    <w:rsid w:val="1220DB3C"/>
    <w:rsid w:val="122DAC6E"/>
    <w:rsid w:val="123C0260"/>
    <w:rsid w:val="12421B6F"/>
    <w:rsid w:val="1243ABF2"/>
    <w:rsid w:val="1249AF64"/>
    <w:rsid w:val="126393CD"/>
    <w:rsid w:val="126D63C8"/>
    <w:rsid w:val="126F63E7"/>
    <w:rsid w:val="12720EE6"/>
    <w:rsid w:val="1277B6E0"/>
    <w:rsid w:val="12918BC9"/>
    <w:rsid w:val="129B2F4A"/>
    <w:rsid w:val="12A33936"/>
    <w:rsid w:val="12B874AC"/>
    <w:rsid w:val="12BDFBE4"/>
    <w:rsid w:val="12C89509"/>
    <w:rsid w:val="12C94459"/>
    <w:rsid w:val="12D3A6E1"/>
    <w:rsid w:val="12D3C5C9"/>
    <w:rsid w:val="12D95043"/>
    <w:rsid w:val="12DA3218"/>
    <w:rsid w:val="12DE1DD9"/>
    <w:rsid w:val="12DEBA90"/>
    <w:rsid w:val="12E0D2A1"/>
    <w:rsid w:val="12E12427"/>
    <w:rsid w:val="12E3A5E4"/>
    <w:rsid w:val="12EC6EB5"/>
    <w:rsid w:val="12FC0DE2"/>
    <w:rsid w:val="12FC55BC"/>
    <w:rsid w:val="13020193"/>
    <w:rsid w:val="130AF0FF"/>
    <w:rsid w:val="130CDCC3"/>
    <w:rsid w:val="1320FD36"/>
    <w:rsid w:val="132C9CAC"/>
    <w:rsid w:val="132DAF98"/>
    <w:rsid w:val="1335C797"/>
    <w:rsid w:val="13418812"/>
    <w:rsid w:val="13482230"/>
    <w:rsid w:val="13612B96"/>
    <w:rsid w:val="136A2917"/>
    <w:rsid w:val="136BC50E"/>
    <w:rsid w:val="136ED04D"/>
    <w:rsid w:val="1381A9A6"/>
    <w:rsid w:val="138A753C"/>
    <w:rsid w:val="139395D2"/>
    <w:rsid w:val="1397135F"/>
    <w:rsid w:val="1398ABCB"/>
    <w:rsid w:val="13A2F581"/>
    <w:rsid w:val="13AF5A6D"/>
    <w:rsid w:val="13B299CF"/>
    <w:rsid w:val="13B3761F"/>
    <w:rsid w:val="13B8DA2C"/>
    <w:rsid w:val="13CA9F28"/>
    <w:rsid w:val="13D10AFC"/>
    <w:rsid w:val="13D5CB66"/>
    <w:rsid w:val="13E49447"/>
    <w:rsid w:val="13F1F831"/>
    <w:rsid w:val="13F7A6CD"/>
    <w:rsid w:val="13F8FA41"/>
    <w:rsid w:val="14080169"/>
    <w:rsid w:val="14116A09"/>
    <w:rsid w:val="14209255"/>
    <w:rsid w:val="14238A7D"/>
    <w:rsid w:val="14333DDC"/>
    <w:rsid w:val="144448AB"/>
    <w:rsid w:val="1450FD4D"/>
    <w:rsid w:val="145B337E"/>
    <w:rsid w:val="146FC3E2"/>
    <w:rsid w:val="1484A1AB"/>
    <w:rsid w:val="1488E54C"/>
    <w:rsid w:val="14913135"/>
    <w:rsid w:val="1498B30D"/>
    <w:rsid w:val="149AC0ED"/>
    <w:rsid w:val="14AF4DC7"/>
    <w:rsid w:val="14AF6772"/>
    <w:rsid w:val="14B3D04A"/>
    <w:rsid w:val="14B64C07"/>
    <w:rsid w:val="14BCDAC0"/>
    <w:rsid w:val="14C0B24E"/>
    <w:rsid w:val="14C282DE"/>
    <w:rsid w:val="14D4E5E1"/>
    <w:rsid w:val="14D93C52"/>
    <w:rsid w:val="14E9D1A2"/>
    <w:rsid w:val="14FFFD07"/>
    <w:rsid w:val="150F294B"/>
    <w:rsid w:val="15172AAA"/>
    <w:rsid w:val="151AE1A6"/>
    <w:rsid w:val="152A75B8"/>
    <w:rsid w:val="153246B0"/>
    <w:rsid w:val="1538688A"/>
    <w:rsid w:val="15403367"/>
    <w:rsid w:val="1543949D"/>
    <w:rsid w:val="15444A71"/>
    <w:rsid w:val="154618BA"/>
    <w:rsid w:val="15461D26"/>
    <w:rsid w:val="15514CD8"/>
    <w:rsid w:val="1569A9C1"/>
    <w:rsid w:val="15767BF0"/>
    <w:rsid w:val="1578FF4C"/>
    <w:rsid w:val="157C5EA3"/>
    <w:rsid w:val="15846929"/>
    <w:rsid w:val="1591013A"/>
    <w:rsid w:val="1591A15B"/>
    <w:rsid w:val="15A6F7BC"/>
    <w:rsid w:val="15AB1F85"/>
    <w:rsid w:val="15AD099E"/>
    <w:rsid w:val="15B1820B"/>
    <w:rsid w:val="15B5ED6C"/>
    <w:rsid w:val="15C2B256"/>
    <w:rsid w:val="15C3B630"/>
    <w:rsid w:val="15E73205"/>
    <w:rsid w:val="15ECA990"/>
    <w:rsid w:val="15F10D1A"/>
    <w:rsid w:val="15F633FD"/>
    <w:rsid w:val="1603A49F"/>
    <w:rsid w:val="1606DB47"/>
    <w:rsid w:val="1615F415"/>
    <w:rsid w:val="16258473"/>
    <w:rsid w:val="162CE16B"/>
    <w:rsid w:val="163249CE"/>
    <w:rsid w:val="1638FB0E"/>
    <w:rsid w:val="163B7C5A"/>
    <w:rsid w:val="16430F1A"/>
    <w:rsid w:val="1649E692"/>
    <w:rsid w:val="164BAE14"/>
    <w:rsid w:val="16625E0C"/>
    <w:rsid w:val="16A519B5"/>
    <w:rsid w:val="16AE6DC5"/>
    <w:rsid w:val="16B53F11"/>
    <w:rsid w:val="16B9DBC2"/>
    <w:rsid w:val="16C73529"/>
    <w:rsid w:val="16C7976A"/>
    <w:rsid w:val="16D40DC1"/>
    <w:rsid w:val="16DAFA9F"/>
    <w:rsid w:val="16DC062A"/>
    <w:rsid w:val="16E619FE"/>
    <w:rsid w:val="170C9BEE"/>
    <w:rsid w:val="170E902D"/>
    <w:rsid w:val="171EF281"/>
    <w:rsid w:val="17257E7F"/>
    <w:rsid w:val="1726F170"/>
    <w:rsid w:val="172923EA"/>
    <w:rsid w:val="172CFFE9"/>
    <w:rsid w:val="1730C96B"/>
    <w:rsid w:val="17372D6E"/>
    <w:rsid w:val="173D3338"/>
    <w:rsid w:val="17456F37"/>
    <w:rsid w:val="174A613B"/>
    <w:rsid w:val="1754856D"/>
    <w:rsid w:val="17637C42"/>
    <w:rsid w:val="177378E6"/>
    <w:rsid w:val="177DC275"/>
    <w:rsid w:val="177F6EEA"/>
    <w:rsid w:val="1793F211"/>
    <w:rsid w:val="179EB7A3"/>
    <w:rsid w:val="17A53ECE"/>
    <w:rsid w:val="17A6C061"/>
    <w:rsid w:val="17A9C4A9"/>
    <w:rsid w:val="17AC4311"/>
    <w:rsid w:val="17DA0301"/>
    <w:rsid w:val="17DFBB25"/>
    <w:rsid w:val="17E07D92"/>
    <w:rsid w:val="17EFFBC6"/>
    <w:rsid w:val="17F726E9"/>
    <w:rsid w:val="1801F37F"/>
    <w:rsid w:val="180535C1"/>
    <w:rsid w:val="18138865"/>
    <w:rsid w:val="18162D24"/>
    <w:rsid w:val="1818B78D"/>
    <w:rsid w:val="1825AF4C"/>
    <w:rsid w:val="18340A29"/>
    <w:rsid w:val="1838382C"/>
    <w:rsid w:val="1838A46F"/>
    <w:rsid w:val="183F93A9"/>
    <w:rsid w:val="186D379A"/>
    <w:rsid w:val="186D600D"/>
    <w:rsid w:val="1872B927"/>
    <w:rsid w:val="188565FF"/>
    <w:rsid w:val="1886A60B"/>
    <w:rsid w:val="18964FE3"/>
    <w:rsid w:val="189A581A"/>
    <w:rsid w:val="18A735C9"/>
    <w:rsid w:val="18B75DAC"/>
    <w:rsid w:val="18BC5BD2"/>
    <w:rsid w:val="18E2B3A3"/>
    <w:rsid w:val="18EFCFA1"/>
    <w:rsid w:val="18F97D2D"/>
    <w:rsid w:val="18FD0E70"/>
    <w:rsid w:val="19055AE8"/>
    <w:rsid w:val="1910B230"/>
    <w:rsid w:val="19143369"/>
    <w:rsid w:val="19195D20"/>
    <w:rsid w:val="191D485F"/>
    <w:rsid w:val="191DE84E"/>
    <w:rsid w:val="1920A8EC"/>
    <w:rsid w:val="194D9776"/>
    <w:rsid w:val="19601141"/>
    <w:rsid w:val="1960F046"/>
    <w:rsid w:val="19621E03"/>
    <w:rsid w:val="19631B7D"/>
    <w:rsid w:val="1968559B"/>
    <w:rsid w:val="1974D475"/>
    <w:rsid w:val="198296D8"/>
    <w:rsid w:val="198ACB57"/>
    <w:rsid w:val="19ADA95F"/>
    <w:rsid w:val="19B7C778"/>
    <w:rsid w:val="19C35440"/>
    <w:rsid w:val="19CC3E63"/>
    <w:rsid w:val="19F01DBE"/>
    <w:rsid w:val="19F091E6"/>
    <w:rsid w:val="19F78F1F"/>
    <w:rsid w:val="1A11F415"/>
    <w:rsid w:val="1A1F4A73"/>
    <w:rsid w:val="1A23A94F"/>
    <w:rsid w:val="1A2B88B2"/>
    <w:rsid w:val="1A3DC6B1"/>
    <w:rsid w:val="1A45FC50"/>
    <w:rsid w:val="1A50EBD8"/>
    <w:rsid w:val="1A5B233F"/>
    <w:rsid w:val="1A5CD41E"/>
    <w:rsid w:val="1A6B8C26"/>
    <w:rsid w:val="1A833262"/>
    <w:rsid w:val="1A8BE942"/>
    <w:rsid w:val="1AA0EDFB"/>
    <w:rsid w:val="1ABF4523"/>
    <w:rsid w:val="1ACD94F9"/>
    <w:rsid w:val="1AD0C714"/>
    <w:rsid w:val="1AE1532A"/>
    <w:rsid w:val="1B0A4556"/>
    <w:rsid w:val="1B0CB08F"/>
    <w:rsid w:val="1B1CA2CC"/>
    <w:rsid w:val="1B2306A8"/>
    <w:rsid w:val="1B4418ED"/>
    <w:rsid w:val="1B44EFA8"/>
    <w:rsid w:val="1B503D40"/>
    <w:rsid w:val="1B53CECA"/>
    <w:rsid w:val="1B6ECC60"/>
    <w:rsid w:val="1B745BCA"/>
    <w:rsid w:val="1B7B858D"/>
    <w:rsid w:val="1B7D2C0C"/>
    <w:rsid w:val="1B896EA8"/>
    <w:rsid w:val="1B91063E"/>
    <w:rsid w:val="1B94CE20"/>
    <w:rsid w:val="1BA0026E"/>
    <w:rsid w:val="1BA6826A"/>
    <w:rsid w:val="1BA92C47"/>
    <w:rsid w:val="1BC329F0"/>
    <w:rsid w:val="1BC66F97"/>
    <w:rsid w:val="1BD65787"/>
    <w:rsid w:val="1BDB1D91"/>
    <w:rsid w:val="1BE5A47A"/>
    <w:rsid w:val="1BFA0EB4"/>
    <w:rsid w:val="1BFD7CAD"/>
    <w:rsid w:val="1BFEDABF"/>
    <w:rsid w:val="1C08C7B3"/>
    <w:rsid w:val="1C0E4D8A"/>
    <w:rsid w:val="1C115A56"/>
    <w:rsid w:val="1C167588"/>
    <w:rsid w:val="1C196854"/>
    <w:rsid w:val="1C274927"/>
    <w:rsid w:val="1C3E54B5"/>
    <w:rsid w:val="1C3FF356"/>
    <w:rsid w:val="1C44DCDD"/>
    <w:rsid w:val="1C48977E"/>
    <w:rsid w:val="1C4F2C1F"/>
    <w:rsid w:val="1C4F5ADE"/>
    <w:rsid w:val="1C53C495"/>
    <w:rsid w:val="1C6109AC"/>
    <w:rsid w:val="1C68AF34"/>
    <w:rsid w:val="1C723885"/>
    <w:rsid w:val="1C7C7456"/>
    <w:rsid w:val="1C7E49C7"/>
    <w:rsid w:val="1C80DE15"/>
    <w:rsid w:val="1C8C8484"/>
    <w:rsid w:val="1C95A94C"/>
    <w:rsid w:val="1CA68382"/>
    <w:rsid w:val="1CC3DB0D"/>
    <w:rsid w:val="1CCF7CCC"/>
    <w:rsid w:val="1CD9BAE3"/>
    <w:rsid w:val="1CDCA020"/>
    <w:rsid w:val="1CEC730D"/>
    <w:rsid w:val="1CF12504"/>
    <w:rsid w:val="1CF37C7F"/>
    <w:rsid w:val="1CF77ECC"/>
    <w:rsid w:val="1CFDB6F3"/>
    <w:rsid w:val="1D103B6D"/>
    <w:rsid w:val="1D1125BD"/>
    <w:rsid w:val="1D1225C3"/>
    <w:rsid w:val="1D16DC98"/>
    <w:rsid w:val="1D1D08B0"/>
    <w:rsid w:val="1D2132D6"/>
    <w:rsid w:val="1D3C8BE0"/>
    <w:rsid w:val="1D4D8137"/>
    <w:rsid w:val="1D56B7AD"/>
    <w:rsid w:val="1D5B03A9"/>
    <w:rsid w:val="1D5C1178"/>
    <w:rsid w:val="1D649E2F"/>
    <w:rsid w:val="1D68CB87"/>
    <w:rsid w:val="1D7A7523"/>
    <w:rsid w:val="1D8D93FC"/>
    <w:rsid w:val="1D8F3547"/>
    <w:rsid w:val="1D9AF627"/>
    <w:rsid w:val="1DC39DFB"/>
    <w:rsid w:val="1DC3E331"/>
    <w:rsid w:val="1DCD0A68"/>
    <w:rsid w:val="1DF22AD1"/>
    <w:rsid w:val="1E0CAD67"/>
    <w:rsid w:val="1E174F27"/>
    <w:rsid w:val="1E273412"/>
    <w:rsid w:val="1E4C31D1"/>
    <w:rsid w:val="1E541362"/>
    <w:rsid w:val="1E57CF3E"/>
    <w:rsid w:val="1E614FC9"/>
    <w:rsid w:val="1E7174B4"/>
    <w:rsid w:val="1E717D3B"/>
    <w:rsid w:val="1E729F26"/>
    <w:rsid w:val="1E7D7BEE"/>
    <w:rsid w:val="1E834DA5"/>
    <w:rsid w:val="1E907F78"/>
    <w:rsid w:val="1E982F45"/>
    <w:rsid w:val="1EA57AE3"/>
    <w:rsid w:val="1EA895E2"/>
    <w:rsid w:val="1EB34C60"/>
    <w:rsid w:val="1EB3DCA4"/>
    <w:rsid w:val="1EB41086"/>
    <w:rsid w:val="1EB49463"/>
    <w:rsid w:val="1EB75917"/>
    <w:rsid w:val="1EBFF459"/>
    <w:rsid w:val="1EC9BAD4"/>
    <w:rsid w:val="1ECAF0A8"/>
    <w:rsid w:val="1ECBE349"/>
    <w:rsid w:val="1ED3FFB5"/>
    <w:rsid w:val="1EDC498C"/>
    <w:rsid w:val="1EEF23F9"/>
    <w:rsid w:val="1EF60EE4"/>
    <w:rsid w:val="1EFA7D20"/>
    <w:rsid w:val="1F053D75"/>
    <w:rsid w:val="1F05779F"/>
    <w:rsid w:val="1F0D925D"/>
    <w:rsid w:val="1F119325"/>
    <w:rsid w:val="1F455D9D"/>
    <w:rsid w:val="1F457A3B"/>
    <w:rsid w:val="1F56A65E"/>
    <w:rsid w:val="1F6607E3"/>
    <w:rsid w:val="1F72025E"/>
    <w:rsid w:val="1F7B6CDF"/>
    <w:rsid w:val="1F7BB767"/>
    <w:rsid w:val="1F7D52D0"/>
    <w:rsid w:val="1F867182"/>
    <w:rsid w:val="1F89FB60"/>
    <w:rsid w:val="1F99B660"/>
    <w:rsid w:val="1FAF0860"/>
    <w:rsid w:val="1FB1ADB1"/>
    <w:rsid w:val="1FD0AAB7"/>
    <w:rsid w:val="1FD1674C"/>
    <w:rsid w:val="1FD832B8"/>
    <w:rsid w:val="1FE51182"/>
    <w:rsid w:val="1FE85B50"/>
    <w:rsid w:val="1FEADCEB"/>
    <w:rsid w:val="1FEF511F"/>
    <w:rsid w:val="2009962C"/>
    <w:rsid w:val="2010B960"/>
    <w:rsid w:val="20231477"/>
    <w:rsid w:val="202EF874"/>
    <w:rsid w:val="2030C3DF"/>
    <w:rsid w:val="203CA679"/>
    <w:rsid w:val="20438965"/>
    <w:rsid w:val="2046210A"/>
    <w:rsid w:val="2047746E"/>
    <w:rsid w:val="205FDDC8"/>
    <w:rsid w:val="2075B322"/>
    <w:rsid w:val="207A4B40"/>
    <w:rsid w:val="208A7699"/>
    <w:rsid w:val="208E1901"/>
    <w:rsid w:val="208F4FFF"/>
    <w:rsid w:val="209C77EF"/>
    <w:rsid w:val="20A4CC8D"/>
    <w:rsid w:val="20A76A15"/>
    <w:rsid w:val="20B163D1"/>
    <w:rsid w:val="20B32715"/>
    <w:rsid w:val="20B395E6"/>
    <w:rsid w:val="20B95CEE"/>
    <w:rsid w:val="20C93053"/>
    <w:rsid w:val="20CA207F"/>
    <w:rsid w:val="20DF64D4"/>
    <w:rsid w:val="20E7CAE7"/>
    <w:rsid w:val="20F03B94"/>
    <w:rsid w:val="20F73546"/>
    <w:rsid w:val="20F90BE5"/>
    <w:rsid w:val="21122CC6"/>
    <w:rsid w:val="211A9CFD"/>
    <w:rsid w:val="2124A9F4"/>
    <w:rsid w:val="21254639"/>
    <w:rsid w:val="2127F04F"/>
    <w:rsid w:val="21297430"/>
    <w:rsid w:val="21320569"/>
    <w:rsid w:val="213CCB83"/>
    <w:rsid w:val="214D8FE8"/>
    <w:rsid w:val="2155C94B"/>
    <w:rsid w:val="2167522F"/>
    <w:rsid w:val="21734C27"/>
    <w:rsid w:val="2174C2BE"/>
    <w:rsid w:val="217B4A9C"/>
    <w:rsid w:val="217BDCFC"/>
    <w:rsid w:val="21832A89"/>
    <w:rsid w:val="2189CD74"/>
    <w:rsid w:val="2191633A"/>
    <w:rsid w:val="21960988"/>
    <w:rsid w:val="2196F8F5"/>
    <w:rsid w:val="219CDDAD"/>
    <w:rsid w:val="21B452A8"/>
    <w:rsid w:val="21B553D9"/>
    <w:rsid w:val="21B66CDB"/>
    <w:rsid w:val="21B8DAEE"/>
    <w:rsid w:val="21BA8061"/>
    <w:rsid w:val="21C00EC0"/>
    <w:rsid w:val="21C533F7"/>
    <w:rsid w:val="21D85DC9"/>
    <w:rsid w:val="21DD8F86"/>
    <w:rsid w:val="21F1055D"/>
    <w:rsid w:val="21F6FBE8"/>
    <w:rsid w:val="220B059E"/>
    <w:rsid w:val="220E5194"/>
    <w:rsid w:val="22161D85"/>
    <w:rsid w:val="2249CEA0"/>
    <w:rsid w:val="224C8E76"/>
    <w:rsid w:val="2258CDC5"/>
    <w:rsid w:val="22616D97"/>
    <w:rsid w:val="22684050"/>
    <w:rsid w:val="226AD850"/>
    <w:rsid w:val="226B9F06"/>
    <w:rsid w:val="2270CAAA"/>
    <w:rsid w:val="2277B5A0"/>
    <w:rsid w:val="227D0F22"/>
    <w:rsid w:val="22829D2D"/>
    <w:rsid w:val="228F1B53"/>
    <w:rsid w:val="22B2239F"/>
    <w:rsid w:val="22B916B0"/>
    <w:rsid w:val="22BAC5A6"/>
    <w:rsid w:val="22C4A9FD"/>
    <w:rsid w:val="22DB012E"/>
    <w:rsid w:val="22DC56FF"/>
    <w:rsid w:val="22FDACC6"/>
    <w:rsid w:val="230C0D52"/>
    <w:rsid w:val="230CDFB6"/>
    <w:rsid w:val="230F4B6B"/>
    <w:rsid w:val="23217C6C"/>
    <w:rsid w:val="23449CAE"/>
    <w:rsid w:val="23463D08"/>
    <w:rsid w:val="234E30EB"/>
    <w:rsid w:val="235E4B9A"/>
    <w:rsid w:val="235EE6B2"/>
    <w:rsid w:val="236443F4"/>
    <w:rsid w:val="2364E337"/>
    <w:rsid w:val="2366FD83"/>
    <w:rsid w:val="236EA89D"/>
    <w:rsid w:val="236F59F6"/>
    <w:rsid w:val="2373EB9F"/>
    <w:rsid w:val="237CF6B2"/>
    <w:rsid w:val="237F1A22"/>
    <w:rsid w:val="23842634"/>
    <w:rsid w:val="23844324"/>
    <w:rsid w:val="2388FE3E"/>
    <w:rsid w:val="23A66DD3"/>
    <w:rsid w:val="23A76A37"/>
    <w:rsid w:val="23B04AE8"/>
    <w:rsid w:val="23B2F992"/>
    <w:rsid w:val="23BBDA1B"/>
    <w:rsid w:val="23BD2AEB"/>
    <w:rsid w:val="23C7C0CA"/>
    <w:rsid w:val="23E55A3A"/>
    <w:rsid w:val="23E96F32"/>
    <w:rsid w:val="23FE6E1D"/>
    <w:rsid w:val="240CC766"/>
    <w:rsid w:val="240D4BEE"/>
    <w:rsid w:val="2421A4A1"/>
    <w:rsid w:val="242B2A58"/>
    <w:rsid w:val="2431DBA4"/>
    <w:rsid w:val="24377DCD"/>
    <w:rsid w:val="243B77FB"/>
    <w:rsid w:val="24498D82"/>
    <w:rsid w:val="244C5CED"/>
    <w:rsid w:val="245877E0"/>
    <w:rsid w:val="246550CB"/>
    <w:rsid w:val="248397CC"/>
    <w:rsid w:val="248D9BC1"/>
    <w:rsid w:val="249C0982"/>
    <w:rsid w:val="249D00EA"/>
    <w:rsid w:val="249EF93F"/>
    <w:rsid w:val="24B5FB43"/>
    <w:rsid w:val="24C60EEA"/>
    <w:rsid w:val="24C6DD59"/>
    <w:rsid w:val="24CBCCDB"/>
    <w:rsid w:val="24D42DF0"/>
    <w:rsid w:val="24DE4A69"/>
    <w:rsid w:val="24E82571"/>
    <w:rsid w:val="24F1A9A5"/>
    <w:rsid w:val="25037CD1"/>
    <w:rsid w:val="250E4958"/>
    <w:rsid w:val="252BA278"/>
    <w:rsid w:val="252DA270"/>
    <w:rsid w:val="25367275"/>
    <w:rsid w:val="253AC815"/>
    <w:rsid w:val="2542A17A"/>
    <w:rsid w:val="25437C80"/>
    <w:rsid w:val="2546269A"/>
    <w:rsid w:val="255081CC"/>
    <w:rsid w:val="25534704"/>
    <w:rsid w:val="255620AF"/>
    <w:rsid w:val="2556F49B"/>
    <w:rsid w:val="255BED36"/>
    <w:rsid w:val="2568CC53"/>
    <w:rsid w:val="2569C81E"/>
    <w:rsid w:val="256DD604"/>
    <w:rsid w:val="25704C6C"/>
    <w:rsid w:val="2577B5E5"/>
    <w:rsid w:val="258A2121"/>
    <w:rsid w:val="2592F55D"/>
    <w:rsid w:val="259818B5"/>
    <w:rsid w:val="259ECF5F"/>
    <w:rsid w:val="25A76E49"/>
    <w:rsid w:val="25AD0AD2"/>
    <w:rsid w:val="25B2F731"/>
    <w:rsid w:val="25B74A96"/>
    <w:rsid w:val="25BB3BC3"/>
    <w:rsid w:val="25BB506A"/>
    <w:rsid w:val="25D48B3A"/>
    <w:rsid w:val="25E25EF8"/>
    <w:rsid w:val="25E967F9"/>
    <w:rsid w:val="25EC5E77"/>
    <w:rsid w:val="25EE6E60"/>
    <w:rsid w:val="25EF81C9"/>
    <w:rsid w:val="25EFCCC7"/>
    <w:rsid w:val="25F32CC7"/>
    <w:rsid w:val="26064326"/>
    <w:rsid w:val="26094B12"/>
    <w:rsid w:val="260E99C7"/>
    <w:rsid w:val="2614892A"/>
    <w:rsid w:val="2617BF67"/>
    <w:rsid w:val="261FE087"/>
    <w:rsid w:val="262A2721"/>
    <w:rsid w:val="263F085D"/>
    <w:rsid w:val="26479B68"/>
    <w:rsid w:val="2648286B"/>
    <w:rsid w:val="264A8FF5"/>
    <w:rsid w:val="264AEFF4"/>
    <w:rsid w:val="264B2665"/>
    <w:rsid w:val="2652A0F2"/>
    <w:rsid w:val="2659DA01"/>
    <w:rsid w:val="2659EADA"/>
    <w:rsid w:val="2662DF74"/>
    <w:rsid w:val="26676202"/>
    <w:rsid w:val="266EC4C7"/>
    <w:rsid w:val="2672279A"/>
    <w:rsid w:val="26887147"/>
    <w:rsid w:val="26899B57"/>
    <w:rsid w:val="26926B2B"/>
    <w:rsid w:val="26971298"/>
    <w:rsid w:val="26982E7D"/>
    <w:rsid w:val="2698991B"/>
    <w:rsid w:val="26A36F4E"/>
    <w:rsid w:val="26A3E855"/>
    <w:rsid w:val="26AF7BBD"/>
    <w:rsid w:val="26B92820"/>
    <w:rsid w:val="26C1A4E8"/>
    <w:rsid w:val="26C43AC4"/>
    <w:rsid w:val="26C85EEA"/>
    <w:rsid w:val="26CB126C"/>
    <w:rsid w:val="26D5C2F0"/>
    <w:rsid w:val="26E7CE73"/>
    <w:rsid w:val="26ED6459"/>
    <w:rsid w:val="26F6344C"/>
    <w:rsid w:val="26F76CF0"/>
    <w:rsid w:val="26FCE407"/>
    <w:rsid w:val="2701506D"/>
    <w:rsid w:val="2712C57A"/>
    <w:rsid w:val="2712F362"/>
    <w:rsid w:val="2719D73F"/>
    <w:rsid w:val="271A6C9A"/>
    <w:rsid w:val="271D3D03"/>
    <w:rsid w:val="2741476D"/>
    <w:rsid w:val="274ECEB1"/>
    <w:rsid w:val="275A1BF5"/>
    <w:rsid w:val="27633426"/>
    <w:rsid w:val="27649C88"/>
    <w:rsid w:val="276B10CC"/>
    <w:rsid w:val="276DF6AA"/>
    <w:rsid w:val="276FCF80"/>
    <w:rsid w:val="277EEF1E"/>
    <w:rsid w:val="2789BB20"/>
    <w:rsid w:val="278C5BDA"/>
    <w:rsid w:val="27912298"/>
    <w:rsid w:val="27AC3A6A"/>
    <w:rsid w:val="27AC5CE3"/>
    <w:rsid w:val="27ACD851"/>
    <w:rsid w:val="27AEB10F"/>
    <w:rsid w:val="27B6B980"/>
    <w:rsid w:val="27BF1DEC"/>
    <w:rsid w:val="27C49B07"/>
    <w:rsid w:val="27C6F02A"/>
    <w:rsid w:val="27F7EB68"/>
    <w:rsid w:val="280DF325"/>
    <w:rsid w:val="281180A7"/>
    <w:rsid w:val="2821F762"/>
    <w:rsid w:val="282641B7"/>
    <w:rsid w:val="282982A6"/>
    <w:rsid w:val="282AA6B2"/>
    <w:rsid w:val="2836606A"/>
    <w:rsid w:val="283BADD1"/>
    <w:rsid w:val="283BDFD3"/>
    <w:rsid w:val="28446EE6"/>
    <w:rsid w:val="2852E94A"/>
    <w:rsid w:val="28607C8F"/>
    <w:rsid w:val="286E02D4"/>
    <w:rsid w:val="28752862"/>
    <w:rsid w:val="2877954E"/>
    <w:rsid w:val="287A55EA"/>
    <w:rsid w:val="287A63A3"/>
    <w:rsid w:val="287F4068"/>
    <w:rsid w:val="2886B630"/>
    <w:rsid w:val="28896C8A"/>
    <w:rsid w:val="288C916A"/>
    <w:rsid w:val="2893A619"/>
    <w:rsid w:val="28976230"/>
    <w:rsid w:val="289C8285"/>
    <w:rsid w:val="28AD6F3B"/>
    <w:rsid w:val="28AFC416"/>
    <w:rsid w:val="28BFE157"/>
    <w:rsid w:val="28C49BAB"/>
    <w:rsid w:val="28C6A10E"/>
    <w:rsid w:val="28D68FA8"/>
    <w:rsid w:val="28D73003"/>
    <w:rsid w:val="28D990F7"/>
    <w:rsid w:val="28DB2360"/>
    <w:rsid w:val="28E4DDAE"/>
    <w:rsid w:val="28E4FFBE"/>
    <w:rsid w:val="28EF23AA"/>
    <w:rsid w:val="28F175E4"/>
    <w:rsid w:val="28F95C3E"/>
    <w:rsid w:val="290DF433"/>
    <w:rsid w:val="2911F78B"/>
    <w:rsid w:val="2913B538"/>
    <w:rsid w:val="29276F31"/>
    <w:rsid w:val="2938F7FB"/>
    <w:rsid w:val="2946FECB"/>
    <w:rsid w:val="296894DE"/>
    <w:rsid w:val="29734E98"/>
    <w:rsid w:val="29797BA1"/>
    <w:rsid w:val="297EB51D"/>
    <w:rsid w:val="2980B517"/>
    <w:rsid w:val="2980CFDD"/>
    <w:rsid w:val="29822C2F"/>
    <w:rsid w:val="29896669"/>
    <w:rsid w:val="29AD0583"/>
    <w:rsid w:val="29B1F53B"/>
    <w:rsid w:val="29C3F92A"/>
    <w:rsid w:val="29CB45C1"/>
    <w:rsid w:val="29D60E20"/>
    <w:rsid w:val="29D70588"/>
    <w:rsid w:val="2A0069E2"/>
    <w:rsid w:val="2A1691CF"/>
    <w:rsid w:val="2A1CA0F9"/>
    <w:rsid w:val="2A253DC0"/>
    <w:rsid w:val="2A29AF0F"/>
    <w:rsid w:val="2A3641D5"/>
    <w:rsid w:val="2A4D57D8"/>
    <w:rsid w:val="2A4D9ADC"/>
    <w:rsid w:val="2A5D6168"/>
    <w:rsid w:val="2A5F77E6"/>
    <w:rsid w:val="2A621553"/>
    <w:rsid w:val="2A6B1B6B"/>
    <w:rsid w:val="2A768EF4"/>
    <w:rsid w:val="2A8C8923"/>
    <w:rsid w:val="2A8DE775"/>
    <w:rsid w:val="2A97B7E7"/>
    <w:rsid w:val="2A9BB9F7"/>
    <w:rsid w:val="2A9CCE6E"/>
    <w:rsid w:val="2A9D6259"/>
    <w:rsid w:val="2AA2283D"/>
    <w:rsid w:val="2ABC6A8A"/>
    <w:rsid w:val="2AD12602"/>
    <w:rsid w:val="2AD36CF5"/>
    <w:rsid w:val="2AD56C71"/>
    <w:rsid w:val="2AE1F68C"/>
    <w:rsid w:val="2AEBD106"/>
    <w:rsid w:val="2AF4FFCC"/>
    <w:rsid w:val="2AF7273D"/>
    <w:rsid w:val="2B0E1895"/>
    <w:rsid w:val="2B170E6A"/>
    <w:rsid w:val="2B24D125"/>
    <w:rsid w:val="2B2FCB60"/>
    <w:rsid w:val="2B337473"/>
    <w:rsid w:val="2B3A1044"/>
    <w:rsid w:val="2B41A6E6"/>
    <w:rsid w:val="2B480A9A"/>
    <w:rsid w:val="2B49C72A"/>
    <w:rsid w:val="2B504A6F"/>
    <w:rsid w:val="2B52BB83"/>
    <w:rsid w:val="2B59ECF2"/>
    <w:rsid w:val="2B705AB6"/>
    <w:rsid w:val="2B765767"/>
    <w:rsid w:val="2B772F2A"/>
    <w:rsid w:val="2B860A44"/>
    <w:rsid w:val="2B968294"/>
    <w:rsid w:val="2BA3E459"/>
    <w:rsid w:val="2BAA0943"/>
    <w:rsid w:val="2BACC6A5"/>
    <w:rsid w:val="2BC102B2"/>
    <w:rsid w:val="2BC6A7E3"/>
    <w:rsid w:val="2BCB8BE9"/>
    <w:rsid w:val="2BF47B7B"/>
    <w:rsid w:val="2BFEDCE7"/>
    <w:rsid w:val="2C0533D8"/>
    <w:rsid w:val="2C063569"/>
    <w:rsid w:val="2C102C12"/>
    <w:rsid w:val="2C127968"/>
    <w:rsid w:val="2C19E163"/>
    <w:rsid w:val="2C26AE0E"/>
    <w:rsid w:val="2C299F59"/>
    <w:rsid w:val="2C305E3C"/>
    <w:rsid w:val="2C4014EE"/>
    <w:rsid w:val="2C420278"/>
    <w:rsid w:val="2C4597DD"/>
    <w:rsid w:val="2C4E2242"/>
    <w:rsid w:val="2C56D104"/>
    <w:rsid w:val="2C56EA32"/>
    <w:rsid w:val="2C6DE202"/>
    <w:rsid w:val="2C75DB56"/>
    <w:rsid w:val="2C9CCAC6"/>
    <w:rsid w:val="2C9FCBCB"/>
    <w:rsid w:val="2CA00F3E"/>
    <w:rsid w:val="2CA72990"/>
    <w:rsid w:val="2CBFEE49"/>
    <w:rsid w:val="2CCF95CA"/>
    <w:rsid w:val="2CD4DE48"/>
    <w:rsid w:val="2CE46800"/>
    <w:rsid w:val="2CE6AA74"/>
    <w:rsid w:val="2CE6D14A"/>
    <w:rsid w:val="2D03390F"/>
    <w:rsid w:val="2D0470EE"/>
    <w:rsid w:val="2D0BF3B4"/>
    <w:rsid w:val="2D0EABEA"/>
    <w:rsid w:val="2D13DFFA"/>
    <w:rsid w:val="2D146109"/>
    <w:rsid w:val="2D249B90"/>
    <w:rsid w:val="2D269D1E"/>
    <w:rsid w:val="2D2749CE"/>
    <w:rsid w:val="2D28AA7E"/>
    <w:rsid w:val="2D2B0900"/>
    <w:rsid w:val="2D374556"/>
    <w:rsid w:val="2D43FA37"/>
    <w:rsid w:val="2D4938E3"/>
    <w:rsid w:val="2D5243A4"/>
    <w:rsid w:val="2D52AA66"/>
    <w:rsid w:val="2D598908"/>
    <w:rsid w:val="2D60DC18"/>
    <w:rsid w:val="2D70B7E8"/>
    <w:rsid w:val="2D75AA52"/>
    <w:rsid w:val="2D781B9C"/>
    <w:rsid w:val="2D78DDA9"/>
    <w:rsid w:val="2D86A3E0"/>
    <w:rsid w:val="2D9B54FA"/>
    <w:rsid w:val="2DAA5C3A"/>
    <w:rsid w:val="2DBCE6B4"/>
    <w:rsid w:val="2DC50593"/>
    <w:rsid w:val="2DC673DD"/>
    <w:rsid w:val="2DD4B0DB"/>
    <w:rsid w:val="2DDBBF25"/>
    <w:rsid w:val="2DE85AD8"/>
    <w:rsid w:val="2DF09E27"/>
    <w:rsid w:val="2DF127CB"/>
    <w:rsid w:val="2DFBFBBC"/>
    <w:rsid w:val="2E094F90"/>
    <w:rsid w:val="2E12567E"/>
    <w:rsid w:val="2E1E4DF4"/>
    <w:rsid w:val="2E250126"/>
    <w:rsid w:val="2E27B6A4"/>
    <w:rsid w:val="2E2CE3F6"/>
    <w:rsid w:val="2E672DA7"/>
    <w:rsid w:val="2E6EC772"/>
    <w:rsid w:val="2E8E5252"/>
    <w:rsid w:val="2E9016B6"/>
    <w:rsid w:val="2E93C9DA"/>
    <w:rsid w:val="2EA21A4F"/>
    <w:rsid w:val="2EA2C3D1"/>
    <w:rsid w:val="2EAD9E2C"/>
    <w:rsid w:val="2EB5D4E9"/>
    <w:rsid w:val="2EC1FC78"/>
    <w:rsid w:val="2EC7630F"/>
    <w:rsid w:val="2EC94F32"/>
    <w:rsid w:val="2ECB3379"/>
    <w:rsid w:val="2ECB6D80"/>
    <w:rsid w:val="2EDA6D98"/>
    <w:rsid w:val="2EE4EC78"/>
    <w:rsid w:val="2EE7EF1C"/>
    <w:rsid w:val="2EEA2F67"/>
    <w:rsid w:val="2EF9871E"/>
    <w:rsid w:val="2F14B59D"/>
    <w:rsid w:val="2F19F4BD"/>
    <w:rsid w:val="2F1BB155"/>
    <w:rsid w:val="2F2B1230"/>
    <w:rsid w:val="2F2F4867"/>
    <w:rsid w:val="2F31E5DB"/>
    <w:rsid w:val="2F3E3A5D"/>
    <w:rsid w:val="2F42D133"/>
    <w:rsid w:val="2F47EAB0"/>
    <w:rsid w:val="2F570ECF"/>
    <w:rsid w:val="2F767C89"/>
    <w:rsid w:val="2F80302A"/>
    <w:rsid w:val="2F803D7D"/>
    <w:rsid w:val="2FD16579"/>
    <w:rsid w:val="2FE4AD99"/>
    <w:rsid w:val="2FED61DD"/>
    <w:rsid w:val="2FEF0582"/>
    <w:rsid w:val="30002672"/>
    <w:rsid w:val="3002AFF0"/>
    <w:rsid w:val="3002E5CE"/>
    <w:rsid w:val="30048A75"/>
    <w:rsid w:val="3004BD25"/>
    <w:rsid w:val="30143566"/>
    <w:rsid w:val="301640E8"/>
    <w:rsid w:val="3038DBC7"/>
    <w:rsid w:val="30460B23"/>
    <w:rsid w:val="304E3FD3"/>
    <w:rsid w:val="304EBF89"/>
    <w:rsid w:val="305149A8"/>
    <w:rsid w:val="3060B5FB"/>
    <w:rsid w:val="3061BF51"/>
    <w:rsid w:val="30664AE9"/>
    <w:rsid w:val="306C404A"/>
    <w:rsid w:val="30A21EAD"/>
    <w:rsid w:val="30B24800"/>
    <w:rsid w:val="30C2C609"/>
    <w:rsid w:val="30CB4755"/>
    <w:rsid w:val="30CDCE95"/>
    <w:rsid w:val="30CF1E72"/>
    <w:rsid w:val="30E0A3A5"/>
    <w:rsid w:val="30E5A253"/>
    <w:rsid w:val="30F21E3C"/>
    <w:rsid w:val="30F3399B"/>
    <w:rsid w:val="31049CEA"/>
    <w:rsid w:val="310F2B63"/>
    <w:rsid w:val="311E5CE1"/>
    <w:rsid w:val="312778AA"/>
    <w:rsid w:val="312E5D36"/>
    <w:rsid w:val="3132BE87"/>
    <w:rsid w:val="31401838"/>
    <w:rsid w:val="31411565"/>
    <w:rsid w:val="31455E11"/>
    <w:rsid w:val="31460E8B"/>
    <w:rsid w:val="3152F9C1"/>
    <w:rsid w:val="315EA7DE"/>
    <w:rsid w:val="31663170"/>
    <w:rsid w:val="316A0B12"/>
    <w:rsid w:val="317C0CC4"/>
    <w:rsid w:val="318A93D7"/>
    <w:rsid w:val="319093E0"/>
    <w:rsid w:val="3194466D"/>
    <w:rsid w:val="319633AE"/>
    <w:rsid w:val="31B28198"/>
    <w:rsid w:val="31B39368"/>
    <w:rsid w:val="31B79360"/>
    <w:rsid w:val="31BB68B4"/>
    <w:rsid w:val="31CB8DF8"/>
    <w:rsid w:val="31D768AE"/>
    <w:rsid w:val="31DEF161"/>
    <w:rsid w:val="3209C5FA"/>
    <w:rsid w:val="3219CE92"/>
    <w:rsid w:val="321B02C8"/>
    <w:rsid w:val="32290A9B"/>
    <w:rsid w:val="3232D72E"/>
    <w:rsid w:val="32436ABE"/>
    <w:rsid w:val="326C0966"/>
    <w:rsid w:val="32718499"/>
    <w:rsid w:val="327C1C2E"/>
    <w:rsid w:val="3281A905"/>
    <w:rsid w:val="328A3F1C"/>
    <w:rsid w:val="328CB74A"/>
    <w:rsid w:val="328F6D96"/>
    <w:rsid w:val="32AA1629"/>
    <w:rsid w:val="32CAD40C"/>
    <w:rsid w:val="32EE681C"/>
    <w:rsid w:val="32FCBF5D"/>
    <w:rsid w:val="33031BEB"/>
    <w:rsid w:val="33101612"/>
    <w:rsid w:val="33164C01"/>
    <w:rsid w:val="33265E25"/>
    <w:rsid w:val="33318ABC"/>
    <w:rsid w:val="3347DA99"/>
    <w:rsid w:val="334BD674"/>
    <w:rsid w:val="33708A24"/>
    <w:rsid w:val="337C0E62"/>
    <w:rsid w:val="337FD434"/>
    <w:rsid w:val="338FB4BD"/>
    <w:rsid w:val="339D3D27"/>
    <w:rsid w:val="339DFE42"/>
    <w:rsid w:val="339E4C4B"/>
    <w:rsid w:val="33A9AFA0"/>
    <w:rsid w:val="33AA942F"/>
    <w:rsid w:val="33C59AD6"/>
    <w:rsid w:val="33CE7E73"/>
    <w:rsid w:val="33D0034C"/>
    <w:rsid w:val="33D476A2"/>
    <w:rsid w:val="33D7AAB1"/>
    <w:rsid w:val="33E7B21E"/>
    <w:rsid w:val="33E897BB"/>
    <w:rsid w:val="33F8E95D"/>
    <w:rsid w:val="33FE1D50"/>
    <w:rsid w:val="34023F6F"/>
    <w:rsid w:val="341F2DED"/>
    <w:rsid w:val="34251A0D"/>
    <w:rsid w:val="342FB8A0"/>
    <w:rsid w:val="34318FDE"/>
    <w:rsid w:val="343DCDBE"/>
    <w:rsid w:val="34541A2A"/>
    <w:rsid w:val="3456E1EC"/>
    <w:rsid w:val="34624104"/>
    <w:rsid w:val="346772BE"/>
    <w:rsid w:val="346C1230"/>
    <w:rsid w:val="346D421E"/>
    <w:rsid w:val="347674D9"/>
    <w:rsid w:val="347C9C82"/>
    <w:rsid w:val="34872DFC"/>
    <w:rsid w:val="349D07D5"/>
    <w:rsid w:val="349D29EB"/>
    <w:rsid w:val="349DEEC0"/>
    <w:rsid w:val="34B54F1A"/>
    <w:rsid w:val="34BA39D5"/>
    <w:rsid w:val="34BBDB48"/>
    <w:rsid w:val="34C79BD4"/>
    <w:rsid w:val="34CA57B0"/>
    <w:rsid w:val="34D1D749"/>
    <w:rsid w:val="34E3E4B8"/>
    <w:rsid w:val="34E526C8"/>
    <w:rsid w:val="34EEFD13"/>
    <w:rsid w:val="34F70E09"/>
    <w:rsid w:val="34FDC414"/>
    <w:rsid w:val="3500099D"/>
    <w:rsid w:val="35083531"/>
    <w:rsid w:val="350924AA"/>
    <w:rsid w:val="3509E210"/>
    <w:rsid w:val="350F9A42"/>
    <w:rsid w:val="3511C12E"/>
    <w:rsid w:val="351C8DC3"/>
    <w:rsid w:val="351C9AA0"/>
    <w:rsid w:val="352248B8"/>
    <w:rsid w:val="352B6721"/>
    <w:rsid w:val="35335328"/>
    <w:rsid w:val="3540EC5D"/>
    <w:rsid w:val="3541F65F"/>
    <w:rsid w:val="35449C57"/>
    <w:rsid w:val="35510B54"/>
    <w:rsid w:val="3555BF8A"/>
    <w:rsid w:val="3559B592"/>
    <w:rsid w:val="355B3632"/>
    <w:rsid w:val="35608945"/>
    <w:rsid w:val="3561ED27"/>
    <w:rsid w:val="3565C965"/>
    <w:rsid w:val="3580A1EF"/>
    <w:rsid w:val="3584C1EB"/>
    <w:rsid w:val="35850A69"/>
    <w:rsid w:val="3588BE70"/>
    <w:rsid w:val="358C1858"/>
    <w:rsid w:val="35948CCA"/>
    <w:rsid w:val="359C9093"/>
    <w:rsid w:val="359CE4E3"/>
    <w:rsid w:val="359F0A29"/>
    <w:rsid w:val="35B2AB8F"/>
    <w:rsid w:val="35B73B61"/>
    <w:rsid w:val="35CF7120"/>
    <w:rsid w:val="35D39C72"/>
    <w:rsid w:val="35DA4EEF"/>
    <w:rsid w:val="35E1ED20"/>
    <w:rsid w:val="35E3152B"/>
    <w:rsid w:val="35E39326"/>
    <w:rsid w:val="361073AE"/>
    <w:rsid w:val="362A646B"/>
    <w:rsid w:val="363E3F86"/>
    <w:rsid w:val="36435E0A"/>
    <w:rsid w:val="364A9499"/>
    <w:rsid w:val="365790E8"/>
    <w:rsid w:val="368519B6"/>
    <w:rsid w:val="3691FE5C"/>
    <w:rsid w:val="3693C6CB"/>
    <w:rsid w:val="36A00949"/>
    <w:rsid w:val="36A0D931"/>
    <w:rsid w:val="36ABA458"/>
    <w:rsid w:val="36B52D03"/>
    <w:rsid w:val="36BEEF24"/>
    <w:rsid w:val="36BF4135"/>
    <w:rsid w:val="36C04068"/>
    <w:rsid w:val="36D9EB4D"/>
    <w:rsid w:val="36DD5DCA"/>
    <w:rsid w:val="36E031A9"/>
    <w:rsid w:val="36E4DFF2"/>
    <w:rsid w:val="36E64273"/>
    <w:rsid w:val="36F0699A"/>
    <w:rsid w:val="36FCEA06"/>
    <w:rsid w:val="3702DF88"/>
    <w:rsid w:val="3704D502"/>
    <w:rsid w:val="37058C9A"/>
    <w:rsid w:val="370DAF8B"/>
    <w:rsid w:val="3715BEEB"/>
    <w:rsid w:val="371DEEF2"/>
    <w:rsid w:val="37273B96"/>
    <w:rsid w:val="3728189E"/>
    <w:rsid w:val="373A52AD"/>
    <w:rsid w:val="373A5907"/>
    <w:rsid w:val="373EBAEB"/>
    <w:rsid w:val="373FD31B"/>
    <w:rsid w:val="3751DCE7"/>
    <w:rsid w:val="37534814"/>
    <w:rsid w:val="375EE545"/>
    <w:rsid w:val="37615AB8"/>
    <w:rsid w:val="37640539"/>
    <w:rsid w:val="3767488B"/>
    <w:rsid w:val="37745418"/>
    <w:rsid w:val="3774A158"/>
    <w:rsid w:val="377FC8BF"/>
    <w:rsid w:val="3781CA62"/>
    <w:rsid w:val="378435FD"/>
    <w:rsid w:val="37856E63"/>
    <w:rsid w:val="3787B19A"/>
    <w:rsid w:val="37AB9CC6"/>
    <w:rsid w:val="37AD6D86"/>
    <w:rsid w:val="37B9C2D5"/>
    <w:rsid w:val="37BD0DDB"/>
    <w:rsid w:val="37C01120"/>
    <w:rsid w:val="37C608E1"/>
    <w:rsid w:val="37D053FA"/>
    <w:rsid w:val="37D1B42D"/>
    <w:rsid w:val="37D2C94B"/>
    <w:rsid w:val="37E09F3B"/>
    <w:rsid w:val="37F32CB2"/>
    <w:rsid w:val="37F63EFE"/>
    <w:rsid w:val="3807BA8F"/>
    <w:rsid w:val="3810D77E"/>
    <w:rsid w:val="38129612"/>
    <w:rsid w:val="3821AC38"/>
    <w:rsid w:val="38252E60"/>
    <w:rsid w:val="3825B563"/>
    <w:rsid w:val="38279072"/>
    <w:rsid w:val="38296680"/>
    <w:rsid w:val="382CCA76"/>
    <w:rsid w:val="3833F206"/>
    <w:rsid w:val="3838A726"/>
    <w:rsid w:val="3839427F"/>
    <w:rsid w:val="383E5BF7"/>
    <w:rsid w:val="3846BA01"/>
    <w:rsid w:val="3858D10F"/>
    <w:rsid w:val="385E3EAD"/>
    <w:rsid w:val="385E6C40"/>
    <w:rsid w:val="386101E5"/>
    <w:rsid w:val="3865538F"/>
    <w:rsid w:val="3865D1D4"/>
    <w:rsid w:val="387E5AB0"/>
    <w:rsid w:val="388ECB27"/>
    <w:rsid w:val="389091E6"/>
    <w:rsid w:val="38955FD7"/>
    <w:rsid w:val="389BDB27"/>
    <w:rsid w:val="38A31BBA"/>
    <w:rsid w:val="38A49A1E"/>
    <w:rsid w:val="38AFD58F"/>
    <w:rsid w:val="38B28706"/>
    <w:rsid w:val="38BE2A01"/>
    <w:rsid w:val="38C2895A"/>
    <w:rsid w:val="38C87A54"/>
    <w:rsid w:val="38D28E76"/>
    <w:rsid w:val="38DBE389"/>
    <w:rsid w:val="38DD40BF"/>
    <w:rsid w:val="38F896FA"/>
    <w:rsid w:val="38FCC62A"/>
    <w:rsid w:val="390CF8FC"/>
    <w:rsid w:val="391E2D2A"/>
    <w:rsid w:val="39215712"/>
    <w:rsid w:val="393B4CEF"/>
    <w:rsid w:val="3943D5A0"/>
    <w:rsid w:val="3959C60E"/>
    <w:rsid w:val="395E0D21"/>
    <w:rsid w:val="3960B738"/>
    <w:rsid w:val="396419B7"/>
    <w:rsid w:val="39738AA5"/>
    <w:rsid w:val="3986787D"/>
    <w:rsid w:val="39C4C524"/>
    <w:rsid w:val="39C9693D"/>
    <w:rsid w:val="39CB340C"/>
    <w:rsid w:val="39DB36E9"/>
    <w:rsid w:val="39DE7552"/>
    <w:rsid w:val="39DE7557"/>
    <w:rsid w:val="39DF5B8A"/>
    <w:rsid w:val="39F94EC5"/>
    <w:rsid w:val="39FFA7E4"/>
    <w:rsid w:val="3A0A45BA"/>
    <w:rsid w:val="3A164EF4"/>
    <w:rsid w:val="3A1ACD5E"/>
    <w:rsid w:val="3A1E7FA6"/>
    <w:rsid w:val="3A2288D9"/>
    <w:rsid w:val="3A3DDEFC"/>
    <w:rsid w:val="3A4834A3"/>
    <w:rsid w:val="3A4F35F2"/>
    <w:rsid w:val="3A507154"/>
    <w:rsid w:val="3A5FD27C"/>
    <w:rsid w:val="3A5FFD11"/>
    <w:rsid w:val="3A6C5710"/>
    <w:rsid w:val="3A6E7EE2"/>
    <w:rsid w:val="3A6EF7A1"/>
    <w:rsid w:val="3A71D6F5"/>
    <w:rsid w:val="3A74291D"/>
    <w:rsid w:val="3A8198B1"/>
    <w:rsid w:val="3A9C2246"/>
    <w:rsid w:val="3AA0992C"/>
    <w:rsid w:val="3AA17A03"/>
    <w:rsid w:val="3AA17B4A"/>
    <w:rsid w:val="3AA278E2"/>
    <w:rsid w:val="3AA4BF7E"/>
    <w:rsid w:val="3AAD76F3"/>
    <w:rsid w:val="3AB1CE54"/>
    <w:rsid w:val="3AB9973A"/>
    <w:rsid w:val="3AC127ED"/>
    <w:rsid w:val="3AD423EC"/>
    <w:rsid w:val="3ADC65F2"/>
    <w:rsid w:val="3AE48EFE"/>
    <w:rsid w:val="3AE84B53"/>
    <w:rsid w:val="3AEE6936"/>
    <w:rsid w:val="3AFB94B3"/>
    <w:rsid w:val="3B11D638"/>
    <w:rsid w:val="3B17F598"/>
    <w:rsid w:val="3B23DD76"/>
    <w:rsid w:val="3B270A34"/>
    <w:rsid w:val="3B29C676"/>
    <w:rsid w:val="3B3212F8"/>
    <w:rsid w:val="3B389765"/>
    <w:rsid w:val="3B494AAE"/>
    <w:rsid w:val="3B57AADD"/>
    <w:rsid w:val="3B5A33C4"/>
    <w:rsid w:val="3B7E8D4F"/>
    <w:rsid w:val="3B8524CA"/>
    <w:rsid w:val="3B85B7FD"/>
    <w:rsid w:val="3B9AB0AF"/>
    <w:rsid w:val="3B9C7095"/>
    <w:rsid w:val="3BA48300"/>
    <w:rsid w:val="3BAF9219"/>
    <w:rsid w:val="3BB15A43"/>
    <w:rsid w:val="3BB4D918"/>
    <w:rsid w:val="3BCA6677"/>
    <w:rsid w:val="3BCA7E16"/>
    <w:rsid w:val="3BE2AB5E"/>
    <w:rsid w:val="3BE8D681"/>
    <w:rsid w:val="3BEAD3FD"/>
    <w:rsid w:val="3BFD10FC"/>
    <w:rsid w:val="3BFE2F92"/>
    <w:rsid w:val="3C09933A"/>
    <w:rsid w:val="3C0EA2FC"/>
    <w:rsid w:val="3C107471"/>
    <w:rsid w:val="3C1E614A"/>
    <w:rsid w:val="3C209E48"/>
    <w:rsid w:val="3C26E933"/>
    <w:rsid w:val="3C27FA69"/>
    <w:rsid w:val="3C2BBC83"/>
    <w:rsid w:val="3C339DA4"/>
    <w:rsid w:val="3C354C04"/>
    <w:rsid w:val="3C45E734"/>
    <w:rsid w:val="3C5BB629"/>
    <w:rsid w:val="3C5FD13A"/>
    <w:rsid w:val="3C648FD9"/>
    <w:rsid w:val="3C7376D0"/>
    <w:rsid w:val="3C7AF69B"/>
    <w:rsid w:val="3C7D1995"/>
    <w:rsid w:val="3C80F36A"/>
    <w:rsid w:val="3C8412BA"/>
    <w:rsid w:val="3C89534C"/>
    <w:rsid w:val="3C8C556E"/>
    <w:rsid w:val="3C8E3858"/>
    <w:rsid w:val="3C91C2FC"/>
    <w:rsid w:val="3C981A06"/>
    <w:rsid w:val="3C9A9B13"/>
    <w:rsid w:val="3CA42654"/>
    <w:rsid w:val="3CBACE19"/>
    <w:rsid w:val="3CCB28CB"/>
    <w:rsid w:val="3CCD40AE"/>
    <w:rsid w:val="3CD1CF13"/>
    <w:rsid w:val="3CD34779"/>
    <w:rsid w:val="3CD87B73"/>
    <w:rsid w:val="3CE8DC7E"/>
    <w:rsid w:val="3CEB3028"/>
    <w:rsid w:val="3CEEC858"/>
    <w:rsid w:val="3CF2053C"/>
    <w:rsid w:val="3CF73055"/>
    <w:rsid w:val="3CF8EA0E"/>
    <w:rsid w:val="3D020B14"/>
    <w:rsid w:val="3D093254"/>
    <w:rsid w:val="3D0B94E6"/>
    <w:rsid w:val="3D12CCD6"/>
    <w:rsid w:val="3D192748"/>
    <w:rsid w:val="3D2FC7C6"/>
    <w:rsid w:val="3D32F512"/>
    <w:rsid w:val="3D34E731"/>
    <w:rsid w:val="3D39C872"/>
    <w:rsid w:val="3D555259"/>
    <w:rsid w:val="3D5FCD05"/>
    <w:rsid w:val="3D616181"/>
    <w:rsid w:val="3D61EF45"/>
    <w:rsid w:val="3D67F375"/>
    <w:rsid w:val="3D76D699"/>
    <w:rsid w:val="3D7C626B"/>
    <w:rsid w:val="3D7EDB1D"/>
    <w:rsid w:val="3D851A51"/>
    <w:rsid w:val="3D8AE9F6"/>
    <w:rsid w:val="3D9E54F1"/>
    <w:rsid w:val="3D9F38FE"/>
    <w:rsid w:val="3DA4EFDA"/>
    <w:rsid w:val="3DA7E3D5"/>
    <w:rsid w:val="3DA9DDE5"/>
    <w:rsid w:val="3DAF6380"/>
    <w:rsid w:val="3DB6E633"/>
    <w:rsid w:val="3DBCA5F1"/>
    <w:rsid w:val="3DCF81D0"/>
    <w:rsid w:val="3DDC3EDA"/>
    <w:rsid w:val="3E0C6485"/>
    <w:rsid w:val="3E156B1B"/>
    <w:rsid w:val="3E3CE170"/>
    <w:rsid w:val="3E54AD3F"/>
    <w:rsid w:val="3E60E1A6"/>
    <w:rsid w:val="3E65ACC4"/>
    <w:rsid w:val="3E665A6F"/>
    <w:rsid w:val="3E6757B3"/>
    <w:rsid w:val="3E699E16"/>
    <w:rsid w:val="3E75BC4E"/>
    <w:rsid w:val="3E76A083"/>
    <w:rsid w:val="3E89B0C2"/>
    <w:rsid w:val="3E915C24"/>
    <w:rsid w:val="3E95D56F"/>
    <w:rsid w:val="3EAEE81A"/>
    <w:rsid w:val="3EB9C543"/>
    <w:rsid w:val="3EC1A223"/>
    <w:rsid w:val="3ECB7ED0"/>
    <w:rsid w:val="3ECF4025"/>
    <w:rsid w:val="3ED35E58"/>
    <w:rsid w:val="3EF5525D"/>
    <w:rsid w:val="3F09B075"/>
    <w:rsid w:val="3F0B1BB6"/>
    <w:rsid w:val="3F2187A7"/>
    <w:rsid w:val="3F232185"/>
    <w:rsid w:val="3F26D1B1"/>
    <w:rsid w:val="3F28553A"/>
    <w:rsid w:val="3F2B9CD3"/>
    <w:rsid w:val="3F45577B"/>
    <w:rsid w:val="3F47A241"/>
    <w:rsid w:val="3F47F74C"/>
    <w:rsid w:val="3F4C5C2F"/>
    <w:rsid w:val="3F4ED6F0"/>
    <w:rsid w:val="3F513B1C"/>
    <w:rsid w:val="3F51A073"/>
    <w:rsid w:val="3F55E8F8"/>
    <w:rsid w:val="3F5B87D1"/>
    <w:rsid w:val="3F637D5F"/>
    <w:rsid w:val="3F782ABB"/>
    <w:rsid w:val="3F7C3B01"/>
    <w:rsid w:val="3F8F2DD2"/>
    <w:rsid w:val="3FA25CE7"/>
    <w:rsid w:val="3FA918D9"/>
    <w:rsid w:val="3FAADB3F"/>
    <w:rsid w:val="3FC8F65C"/>
    <w:rsid w:val="3FCF5C82"/>
    <w:rsid w:val="3FD086C9"/>
    <w:rsid w:val="3FE672DB"/>
    <w:rsid w:val="3FE9A6D9"/>
    <w:rsid w:val="3FEE64B6"/>
    <w:rsid w:val="400112E2"/>
    <w:rsid w:val="400BC01A"/>
    <w:rsid w:val="402A8183"/>
    <w:rsid w:val="403AA96F"/>
    <w:rsid w:val="403DDA5D"/>
    <w:rsid w:val="4040197A"/>
    <w:rsid w:val="4041D001"/>
    <w:rsid w:val="4044BF8C"/>
    <w:rsid w:val="404FB6CF"/>
    <w:rsid w:val="405B7FE3"/>
    <w:rsid w:val="405C83B4"/>
    <w:rsid w:val="40608544"/>
    <w:rsid w:val="406FC22A"/>
    <w:rsid w:val="40870E60"/>
    <w:rsid w:val="408A3559"/>
    <w:rsid w:val="40958FEB"/>
    <w:rsid w:val="40A79B07"/>
    <w:rsid w:val="40B88D25"/>
    <w:rsid w:val="40BB9207"/>
    <w:rsid w:val="40CE510B"/>
    <w:rsid w:val="40D180F8"/>
    <w:rsid w:val="40D19E60"/>
    <w:rsid w:val="40D73632"/>
    <w:rsid w:val="40D9B32E"/>
    <w:rsid w:val="40E6A905"/>
    <w:rsid w:val="40EC5828"/>
    <w:rsid w:val="40EEA06D"/>
    <w:rsid w:val="41060128"/>
    <w:rsid w:val="4121EE63"/>
    <w:rsid w:val="412B1A14"/>
    <w:rsid w:val="413ACA9D"/>
    <w:rsid w:val="4143EBA2"/>
    <w:rsid w:val="4157341C"/>
    <w:rsid w:val="415D3C53"/>
    <w:rsid w:val="415E6B11"/>
    <w:rsid w:val="4169F764"/>
    <w:rsid w:val="4178A977"/>
    <w:rsid w:val="417905BA"/>
    <w:rsid w:val="41790B80"/>
    <w:rsid w:val="417C4131"/>
    <w:rsid w:val="419C51BB"/>
    <w:rsid w:val="41A1838B"/>
    <w:rsid w:val="41A99C59"/>
    <w:rsid w:val="41BB4F0A"/>
    <w:rsid w:val="41C78E39"/>
    <w:rsid w:val="41CE3AF3"/>
    <w:rsid w:val="41CF24C2"/>
    <w:rsid w:val="41EFAEBE"/>
    <w:rsid w:val="41FCFD23"/>
    <w:rsid w:val="4203837A"/>
    <w:rsid w:val="4204153F"/>
    <w:rsid w:val="420ABCA8"/>
    <w:rsid w:val="4212761C"/>
    <w:rsid w:val="421324F0"/>
    <w:rsid w:val="4225351C"/>
    <w:rsid w:val="422E68B4"/>
    <w:rsid w:val="422F0B0C"/>
    <w:rsid w:val="422FD96B"/>
    <w:rsid w:val="4230245E"/>
    <w:rsid w:val="42358117"/>
    <w:rsid w:val="42364ABF"/>
    <w:rsid w:val="423D5FE4"/>
    <w:rsid w:val="4243D609"/>
    <w:rsid w:val="424F6851"/>
    <w:rsid w:val="4253B0BC"/>
    <w:rsid w:val="425C9484"/>
    <w:rsid w:val="426A6C28"/>
    <w:rsid w:val="426C5DB8"/>
    <w:rsid w:val="427B5B85"/>
    <w:rsid w:val="427B6902"/>
    <w:rsid w:val="427E230A"/>
    <w:rsid w:val="429203E1"/>
    <w:rsid w:val="429EE005"/>
    <w:rsid w:val="429F8F31"/>
    <w:rsid w:val="429FE072"/>
    <w:rsid w:val="42A9B553"/>
    <w:rsid w:val="42B40C2C"/>
    <w:rsid w:val="42C5BADF"/>
    <w:rsid w:val="42CFA1FF"/>
    <w:rsid w:val="42D47EE2"/>
    <w:rsid w:val="42D6E71E"/>
    <w:rsid w:val="42DBE5F8"/>
    <w:rsid w:val="42DF6BFE"/>
    <w:rsid w:val="42EDAD55"/>
    <w:rsid w:val="42EE3399"/>
    <w:rsid w:val="42F0EA86"/>
    <w:rsid w:val="42FC738E"/>
    <w:rsid w:val="43062884"/>
    <w:rsid w:val="430B98A3"/>
    <w:rsid w:val="4311ED4D"/>
    <w:rsid w:val="4317E23F"/>
    <w:rsid w:val="431D6084"/>
    <w:rsid w:val="4323E318"/>
    <w:rsid w:val="4326D4D4"/>
    <w:rsid w:val="4336F63A"/>
    <w:rsid w:val="434627F6"/>
    <w:rsid w:val="4368BB57"/>
    <w:rsid w:val="437127A1"/>
    <w:rsid w:val="43716896"/>
    <w:rsid w:val="438B3BEC"/>
    <w:rsid w:val="43922342"/>
    <w:rsid w:val="439C9A9B"/>
    <w:rsid w:val="43A1B00C"/>
    <w:rsid w:val="43B00D2A"/>
    <w:rsid w:val="43BAE0B5"/>
    <w:rsid w:val="43BFCE44"/>
    <w:rsid w:val="43D30470"/>
    <w:rsid w:val="43D3C92D"/>
    <w:rsid w:val="440BFC6E"/>
    <w:rsid w:val="440CADB3"/>
    <w:rsid w:val="440DD225"/>
    <w:rsid w:val="4416398B"/>
    <w:rsid w:val="4421C1EF"/>
    <w:rsid w:val="44284968"/>
    <w:rsid w:val="442C2E86"/>
    <w:rsid w:val="44439244"/>
    <w:rsid w:val="4451F4CA"/>
    <w:rsid w:val="445CDFB3"/>
    <w:rsid w:val="4466CA70"/>
    <w:rsid w:val="446FA274"/>
    <w:rsid w:val="446FDE58"/>
    <w:rsid w:val="4481BDC1"/>
    <w:rsid w:val="4481D569"/>
    <w:rsid w:val="44869810"/>
    <w:rsid w:val="4486C4B3"/>
    <w:rsid w:val="448DAA56"/>
    <w:rsid w:val="4498A141"/>
    <w:rsid w:val="44A6A9A8"/>
    <w:rsid w:val="44AD8725"/>
    <w:rsid w:val="44C10AF9"/>
    <w:rsid w:val="44C287D1"/>
    <w:rsid w:val="45043CB8"/>
    <w:rsid w:val="450A24D2"/>
    <w:rsid w:val="450F8790"/>
    <w:rsid w:val="451DAB35"/>
    <w:rsid w:val="4529F8E9"/>
    <w:rsid w:val="453A3EB6"/>
    <w:rsid w:val="45465CA8"/>
    <w:rsid w:val="4549D299"/>
    <w:rsid w:val="4555F893"/>
    <w:rsid w:val="4563727A"/>
    <w:rsid w:val="4579EA24"/>
    <w:rsid w:val="457E9A7C"/>
    <w:rsid w:val="457EF5BE"/>
    <w:rsid w:val="458D82DF"/>
    <w:rsid w:val="4596511E"/>
    <w:rsid w:val="45A66307"/>
    <w:rsid w:val="45A72323"/>
    <w:rsid w:val="45B3C071"/>
    <w:rsid w:val="45BF0F9C"/>
    <w:rsid w:val="45C36D6B"/>
    <w:rsid w:val="45D3A17C"/>
    <w:rsid w:val="45DAB803"/>
    <w:rsid w:val="45DB8704"/>
    <w:rsid w:val="45E1CB94"/>
    <w:rsid w:val="45E6F639"/>
    <w:rsid w:val="45F514ED"/>
    <w:rsid w:val="4604E3EF"/>
    <w:rsid w:val="46069A73"/>
    <w:rsid w:val="461282E8"/>
    <w:rsid w:val="462212C7"/>
    <w:rsid w:val="46267C87"/>
    <w:rsid w:val="4626EE31"/>
    <w:rsid w:val="462889BB"/>
    <w:rsid w:val="462C7AD4"/>
    <w:rsid w:val="463D5FD1"/>
    <w:rsid w:val="4643E1AA"/>
    <w:rsid w:val="4646152D"/>
    <w:rsid w:val="465690EA"/>
    <w:rsid w:val="465FC64F"/>
    <w:rsid w:val="466C02B1"/>
    <w:rsid w:val="466C67A9"/>
    <w:rsid w:val="46723126"/>
    <w:rsid w:val="4687DDAB"/>
    <w:rsid w:val="468B669C"/>
    <w:rsid w:val="468DAACB"/>
    <w:rsid w:val="46A88196"/>
    <w:rsid w:val="46A94510"/>
    <w:rsid w:val="46AA579F"/>
    <w:rsid w:val="46C0E951"/>
    <w:rsid w:val="46C31B29"/>
    <w:rsid w:val="46C4F128"/>
    <w:rsid w:val="46CE0B92"/>
    <w:rsid w:val="46D951E1"/>
    <w:rsid w:val="46DD4B0B"/>
    <w:rsid w:val="47062EF6"/>
    <w:rsid w:val="470CD6E3"/>
    <w:rsid w:val="47188D5F"/>
    <w:rsid w:val="471902EC"/>
    <w:rsid w:val="473263E8"/>
    <w:rsid w:val="473EBEAE"/>
    <w:rsid w:val="4744BBB2"/>
    <w:rsid w:val="474F3AD7"/>
    <w:rsid w:val="474F74EF"/>
    <w:rsid w:val="474FF4E6"/>
    <w:rsid w:val="476961A3"/>
    <w:rsid w:val="4786CE91"/>
    <w:rsid w:val="478A8805"/>
    <w:rsid w:val="47995949"/>
    <w:rsid w:val="47A913DB"/>
    <w:rsid w:val="47AD81DF"/>
    <w:rsid w:val="47C1847F"/>
    <w:rsid w:val="47D037F6"/>
    <w:rsid w:val="47DBACB0"/>
    <w:rsid w:val="47DDA52D"/>
    <w:rsid w:val="47E81FAE"/>
    <w:rsid w:val="47EA1B7C"/>
    <w:rsid w:val="47EF05D7"/>
    <w:rsid w:val="47EFD841"/>
    <w:rsid w:val="47F8E777"/>
    <w:rsid w:val="47FAC692"/>
    <w:rsid w:val="47FC6E7A"/>
    <w:rsid w:val="4810521D"/>
    <w:rsid w:val="481986E2"/>
    <w:rsid w:val="48249984"/>
    <w:rsid w:val="482506B4"/>
    <w:rsid w:val="483704BC"/>
    <w:rsid w:val="484371F0"/>
    <w:rsid w:val="4844234A"/>
    <w:rsid w:val="4850BE2A"/>
    <w:rsid w:val="4851BAB5"/>
    <w:rsid w:val="48599277"/>
    <w:rsid w:val="488A39B1"/>
    <w:rsid w:val="488A7947"/>
    <w:rsid w:val="48930D95"/>
    <w:rsid w:val="48A589DF"/>
    <w:rsid w:val="48B697C1"/>
    <w:rsid w:val="48B8BB31"/>
    <w:rsid w:val="48DCE746"/>
    <w:rsid w:val="48E0874C"/>
    <w:rsid w:val="48E543DE"/>
    <w:rsid w:val="48ED88A4"/>
    <w:rsid w:val="48F2BF1A"/>
    <w:rsid w:val="49246B19"/>
    <w:rsid w:val="492F6171"/>
    <w:rsid w:val="494A7D2F"/>
    <w:rsid w:val="494D3A2F"/>
    <w:rsid w:val="494FAEC9"/>
    <w:rsid w:val="495B454F"/>
    <w:rsid w:val="49602E2C"/>
    <w:rsid w:val="4972621D"/>
    <w:rsid w:val="49848812"/>
    <w:rsid w:val="49856CB6"/>
    <w:rsid w:val="498ACDD6"/>
    <w:rsid w:val="498BCAE0"/>
    <w:rsid w:val="49918A55"/>
    <w:rsid w:val="499F10EC"/>
    <w:rsid w:val="49B35A03"/>
    <w:rsid w:val="49B37A4D"/>
    <w:rsid w:val="49C11BE7"/>
    <w:rsid w:val="49C2914E"/>
    <w:rsid w:val="49C50F27"/>
    <w:rsid w:val="49DD0493"/>
    <w:rsid w:val="49E7C894"/>
    <w:rsid w:val="49EC635A"/>
    <w:rsid w:val="49ED4785"/>
    <w:rsid w:val="49F60316"/>
    <w:rsid w:val="4A00CC53"/>
    <w:rsid w:val="4A046FAA"/>
    <w:rsid w:val="4A0F94EB"/>
    <w:rsid w:val="4A142F83"/>
    <w:rsid w:val="4A210D70"/>
    <w:rsid w:val="4A4948FC"/>
    <w:rsid w:val="4A4A7689"/>
    <w:rsid w:val="4A4C7E58"/>
    <w:rsid w:val="4A538631"/>
    <w:rsid w:val="4A564F7F"/>
    <w:rsid w:val="4A5E11C4"/>
    <w:rsid w:val="4A6CBD32"/>
    <w:rsid w:val="4A71A38B"/>
    <w:rsid w:val="4A884E89"/>
    <w:rsid w:val="4A89945D"/>
    <w:rsid w:val="4A8C00F5"/>
    <w:rsid w:val="4A9174E1"/>
    <w:rsid w:val="4A935A37"/>
    <w:rsid w:val="4A94BFA0"/>
    <w:rsid w:val="4AA84745"/>
    <w:rsid w:val="4AAC523E"/>
    <w:rsid w:val="4AB2F059"/>
    <w:rsid w:val="4AC996AF"/>
    <w:rsid w:val="4AD00BAF"/>
    <w:rsid w:val="4AD4E7CF"/>
    <w:rsid w:val="4AE78237"/>
    <w:rsid w:val="4AEB86A2"/>
    <w:rsid w:val="4AF5B7E7"/>
    <w:rsid w:val="4B02E6BD"/>
    <w:rsid w:val="4B0B2F4F"/>
    <w:rsid w:val="4B0BE737"/>
    <w:rsid w:val="4B13AD28"/>
    <w:rsid w:val="4B1BF12F"/>
    <w:rsid w:val="4B21F09E"/>
    <w:rsid w:val="4B27AA79"/>
    <w:rsid w:val="4B3CCD2C"/>
    <w:rsid w:val="4B3F4248"/>
    <w:rsid w:val="4B42D9FE"/>
    <w:rsid w:val="4B42E931"/>
    <w:rsid w:val="4B504A6E"/>
    <w:rsid w:val="4B560AB5"/>
    <w:rsid w:val="4B586CF2"/>
    <w:rsid w:val="4B5929DB"/>
    <w:rsid w:val="4B7851F9"/>
    <w:rsid w:val="4B7C2F70"/>
    <w:rsid w:val="4B839E9D"/>
    <w:rsid w:val="4B8CC1AA"/>
    <w:rsid w:val="4B8D252F"/>
    <w:rsid w:val="4B9B9E38"/>
    <w:rsid w:val="4BBC4F9B"/>
    <w:rsid w:val="4BC3B026"/>
    <w:rsid w:val="4BD34FF2"/>
    <w:rsid w:val="4BD76ACC"/>
    <w:rsid w:val="4BFC0D2C"/>
    <w:rsid w:val="4C02616D"/>
    <w:rsid w:val="4C06E986"/>
    <w:rsid w:val="4C078CE8"/>
    <w:rsid w:val="4C15BFFA"/>
    <w:rsid w:val="4C1ED6D0"/>
    <w:rsid w:val="4C248D3F"/>
    <w:rsid w:val="4C3D51B0"/>
    <w:rsid w:val="4C3E2847"/>
    <w:rsid w:val="4C40BA7C"/>
    <w:rsid w:val="4C5D833F"/>
    <w:rsid w:val="4C5EA597"/>
    <w:rsid w:val="4C6348A4"/>
    <w:rsid w:val="4C6503C7"/>
    <w:rsid w:val="4C74FCBB"/>
    <w:rsid w:val="4C7516E5"/>
    <w:rsid w:val="4C8319C7"/>
    <w:rsid w:val="4C880BAA"/>
    <w:rsid w:val="4C901360"/>
    <w:rsid w:val="4CA63AC4"/>
    <w:rsid w:val="4CBE41A4"/>
    <w:rsid w:val="4CD98945"/>
    <w:rsid w:val="4CDA6CEF"/>
    <w:rsid w:val="4CE536BF"/>
    <w:rsid w:val="4CEF1157"/>
    <w:rsid w:val="4D020F9B"/>
    <w:rsid w:val="4D0562F7"/>
    <w:rsid w:val="4D29A8C0"/>
    <w:rsid w:val="4D3AB72F"/>
    <w:rsid w:val="4D418334"/>
    <w:rsid w:val="4D4E11F0"/>
    <w:rsid w:val="4D51FD4D"/>
    <w:rsid w:val="4D57D729"/>
    <w:rsid w:val="4D5E3E84"/>
    <w:rsid w:val="4D5F2482"/>
    <w:rsid w:val="4D68231B"/>
    <w:rsid w:val="4D68C315"/>
    <w:rsid w:val="4D691B0C"/>
    <w:rsid w:val="4D723A23"/>
    <w:rsid w:val="4D789734"/>
    <w:rsid w:val="4D7FEDD3"/>
    <w:rsid w:val="4D802D7B"/>
    <w:rsid w:val="4DA3634F"/>
    <w:rsid w:val="4DA6A022"/>
    <w:rsid w:val="4DB600FE"/>
    <w:rsid w:val="4DBC7BBA"/>
    <w:rsid w:val="4DC03F6C"/>
    <w:rsid w:val="4DC79126"/>
    <w:rsid w:val="4DCD1E6D"/>
    <w:rsid w:val="4DCF68CF"/>
    <w:rsid w:val="4DDDDCFE"/>
    <w:rsid w:val="4DE33028"/>
    <w:rsid w:val="4DE6389E"/>
    <w:rsid w:val="4DE7FC13"/>
    <w:rsid w:val="4DF24F57"/>
    <w:rsid w:val="4DFFAD1F"/>
    <w:rsid w:val="4E0661EC"/>
    <w:rsid w:val="4E0A288A"/>
    <w:rsid w:val="4E0A30FD"/>
    <w:rsid w:val="4E13C2DE"/>
    <w:rsid w:val="4E20CBC6"/>
    <w:rsid w:val="4E257C41"/>
    <w:rsid w:val="4E2909D8"/>
    <w:rsid w:val="4E2D259C"/>
    <w:rsid w:val="4E2F0AB5"/>
    <w:rsid w:val="4E338E03"/>
    <w:rsid w:val="4E37F2A1"/>
    <w:rsid w:val="4E3FB962"/>
    <w:rsid w:val="4E443F4D"/>
    <w:rsid w:val="4E4FBD9D"/>
    <w:rsid w:val="4E59164C"/>
    <w:rsid w:val="4E5BE1CF"/>
    <w:rsid w:val="4E724278"/>
    <w:rsid w:val="4E782009"/>
    <w:rsid w:val="4E8D4F51"/>
    <w:rsid w:val="4E938504"/>
    <w:rsid w:val="4E945A84"/>
    <w:rsid w:val="4E9A3BE7"/>
    <w:rsid w:val="4EA63B6F"/>
    <w:rsid w:val="4EA9C2AF"/>
    <w:rsid w:val="4EAB8DE3"/>
    <w:rsid w:val="4EB8C914"/>
    <w:rsid w:val="4EC3CC77"/>
    <w:rsid w:val="4EC3EF4D"/>
    <w:rsid w:val="4ECEE8AF"/>
    <w:rsid w:val="4EEB6471"/>
    <w:rsid w:val="4EED2EA9"/>
    <w:rsid w:val="4EF00B96"/>
    <w:rsid w:val="4EF53C78"/>
    <w:rsid w:val="4F14678B"/>
    <w:rsid w:val="4F18DE42"/>
    <w:rsid w:val="4F19D632"/>
    <w:rsid w:val="4F3AE443"/>
    <w:rsid w:val="4F3D37B3"/>
    <w:rsid w:val="4F5F20DD"/>
    <w:rsid w:val="4F5F6BEB"/>
    <w:rsid w:val="4F688C1D"/>
    <w:rsid w:val="4F6F1D8D"/>
    <w:rsid w:val="4F730867"/>
    <w:rsid w:val="4F85E2EC"/>
    <w:rsid w:val="4F876770"/>
    <w:rsid w:val="4F8C3F62"/>
    <w:rsid w:val="4F906F57"/>
    <w:rsid w:val="4F9EEBF2"/>
    <w:rsid w:val="4FA05DED"/>
    <w:rsid w:val="4FA11FAB"/>
    <w:rsid w:val="4FA3EEA7"/>
    <w:rsid w:val="4FACD30D"/>
    <w:rsid w:val="4FC044DB"/>
    <w:rsid w:val="4FC299BF"/>
    <w:rsid w:val="4FC6B3D2"/>
    <w:rsid w:val="4FD03AA3"/>
    <w:rsid w:val="4FD1B267"/>
    <w:rsid w:val="4FDA5FFC"/>
    <w:rsid w:val="4FDE8456"/>
    <w:rsid w:val="4FE64EF8"/>
    <w:rsid w:val="4FF288A2"/>
    <w:rsid w:val="4FF5AC64"/>
    <w:rsid w:val="4FFBC431"/>
    <w:rsid w:val="5002AF4A"/>
    <w:rsid w:val="500C71EA"/>
    <w:rsid w:val="501E2977"/>
    <w:rsid w:val="50230E42"/>
    <w:rsid w:val="502A539D"/>
    <w:rsid w:val="5045E5DC"/>
    <w:rsid w:val="504E2845"/>
    <w:rsid w:val="5052F008"/>
    <w:rsid w:val="5062894F"/>
    <w:rsid w:val="5076F16A"/>
    <w:rsid w:val="507A80AC"/>
    <w:rsid w:val="5096D324"/>
    <w:rsid w:val="50A2766A"/>
    <w:rsid w:val="50BCB4A1"/>
    <w:rsid w:val="50C1445C"/>
    <w:rsid w:val="50D284AF"/>
    <w:rsid w:val="50E101A2"/>
    <w:rsid w:val="50E184C1"/>
    <w:rsid w:val="50E5BB64"/>
    <w:rsid w:val="50E5E6B7"/>
    <w:rsid w:val="50EDF260"/>
    <w:rsid w:val="50EEC182"/>
    <w:rsid w:val="51130229"/>
    <w:rsid w:val="51208832"/>
    <w:rsid w:val="514AF770"/>
    <w:rsid w:val="515548A1"/>
    <w:rsid w:val="516303E6"/>
    <w:rsid w:val="5168FF9D"/>
    <w:rsid w:val="517E9A5A"/>
    <w:rsid w:val="5183E61E"/>
    <w:rsid w:val="518B2A29"/>
    <w:rsid w:val="518F8E78"/>
    <w:rsid w:val="519338B9"/>
    <w:rsid w:val="51A486C6"/>
    <w:rsid w:val="51AAB0F0"/>
    <w:rsid w:val="51C9DA38"/>
    <w:rsid w:val="51CC9812"/>
    <w:rsid w:val="51E8C976"/>
    <w:rsid w:val="51EA5999"/>
    <w:rsid w:val="51EB96D3"/>
    <w:rsid w:val="51EE3FD7"/>
    <w:rsid w:val="51FBE2B4"/>
    <w:rsid w:val="5224F194"/>
    <w:rsid w:val="5230DC8D"/>
    <w:rsid w:val="523826CF"/>
    <w:rsid w:val="524019A4"/>
    <w:rsid w:val="5241E217"/>
    <w:rsid w:val="524A0676"/>
    <w:rsid w:val="52586A58"/>
    <w:rsid w:val="5259015A"/>
    <w:rsid w:val="525DA963"/>
    <w:rsid w:val="52669AAE"/>
    <w:rsid w:val="5269D43F"/>
    <w:rsid w:val="526E02C3"/>
    <w:rsid w:val="52720389"/>
    <w:rsid w:val="5273F593"/>
    <w:rsid w:val="5274FA0A"/>
    <w:rsid w:val="5277A88B"/>
    <w:rsid w:val="52785109"/>
    <w:rsid w:val="527AB67B"/>
    <w:rsid w:val="527C9F44"/>
    <w:rsid w:val="5288EDCE"/>
    <w:rsid w:val="528E3C1F"/>
    <w:rsid w:val="52A3CB68"/>
    <w:rsid w:val="52BB3008"/>
    <w:rsid w:val="52BE29DD"/>
    <w:rsid w:val="52C20217"/>
    <w:rsid w:val="52C61E58"/>
    <w:rsid w:val="52CED97B"/>
    <w:rsid w:val="52D69C5F"/>
    <w:rsid w:val="52DCC582"/>
    <w:rsid w:val="52E0F67F"/>
    <w:rsid w:val="52FA4126"/>
    <w:rsid w:val="52FFADD1"/>
    <w:rsid w:val="530D25FA"/>
    <w:rsid w:val="53193003"/>
    <w:rsid w:val="5325E43D"/>
    <w:rsid w:val="533E1E6C"/>
    <w:rsid w:val="5349B5E2"/>
    <w:rsid w:val="534B8E67"/>
    <w:rsid w:val="534F3FA2"/>
    <w:rsid w:val="53506811"/>
    <w:rsid w:val="53553FB6"/>
    <w:rsid w:val="5371F2E6"/>
    <w:rsid w:val="537B5F19"/>
    <w:rsid w:val="53918DE2"/>
    <w:rsid w:val="5392F48A"/>
    <w:rsid w:val="539CA011"/>
    <w:rsid w:val="53A85DA6"/>
    <w:rsid w:val="53A8A0FA"/>
    <w:rsid w:val="53AD45F3"/>
    <w:rsid w:val="53B133EA"/>
    <w:rsid w:val="53B2C6AE"/>
    <w:rsid w:val="53B97356"/>
    <w:rsid w:val="53BEB079"/>
    <w:rsid w:val="53BFF8AD"/>
    <w:rsid w:val="53C872F1"/>
    <w:rsid w:val="53E591B3"/>
    <w:rsid w:val="53F1D44B"/>
    <w:rsid w:val="53F34EAF"/>
    <w:rsid w:val="53F56220"/>
    <w:rsid w:val="54006123"/>
    <w:rsid w:val="5401F355"/>
    <w:rsid w:val="54027C2D"/>
    <w:rsid w:val="5402D5E2"/>
    <w:rsid w:val="54057148"/>
    <w:rsid w:val="5407672D"/>
    <w:rsid w:val="541215BF"/>
    <w:rsid w:val="541CC265"/>
    <w:rsid w:val="542645DF"/>
    <w:rsid w:val="54303EB6"/>
    <w:rsid w:val="543A4567"/>
    <w:rsid w:val="544262C6"/>
    <w:rsid w:val="5448658F"/>
    <w:rsid w:val="544B281E"/>
    <w:rsid w:val="54566380"/>
    <w:rsid w:val="5457306C"/>
    <w:rsid w:val="54578E72"/>
    <w:rsid w:val="54592A5A"/>
    <w:rsid w:val="546682B8"/>
    <w:rsid w:val="546BD6F6"/>
    <w:rsid w:val="546F612A"/>
    <w:rsid w:val="547B4AC4"/>
    <w:rsid w:val="547C63F1"/>
    <w:rsid w:val="547DB0E9"/>
    <w:rsid w:val="54835E2A"/>
    <w:rsid w:val="54C7BD06"/>
    <w:rsid w:val="54DF6B32"/>
    <w:rsid w:val="54E71E7A"/>
    <w:rsid w:val="5508E6A9"/>
    <w:rsid w:val="5515D7DC"/>
    <w:rsid w:val="551BF4AF"/>
    <w:rsid w:val="551DC10B"/>
    <w:rsid w:val="5532CF46"/>
    <w:rsid w:val="5535AA89"/>
    <w:rsid w:val="553ABC0B"/>
    <w:rsid w:val="553FC646"/>
    <w:rsid w:val="5546744F"/>
    <w:rsid w:val="55474167"/>
    <w:rsid w:val="5549DC61"/>
    <w:rsid w:val="554BC695"/>
    <w:rsid w:val="556B1D11"/>
    <w:rsid w:val="5574BCAA"/>
    <w:rsid w:val="5576AD3A"/>
    <w:rsid w:val="557C94F6"/>
    <w:rsid w:val="55807921"/>
    <w:rsid w:val="55829ECD"/>
    <w:rsid w:val="5582ED5E"/>
    <w:rsid w:val="5585C7F3"/>
    <w:rsid w:val="5585E624"/>
    <w:rsid w:val="55917605"/>
    <w:rsid w:val="5592C44B"/>
    <w:rsid w:val="559CD429"/>
    <w:rsid w:val="55A0438C"/>
    <w:rsid w:val="55A52028"/>
    <w:rsid w:val="55AB3339"/>
    <w:rsid w:val="55AC6086"/>
    <w:rsid w:val="55B31DC6"/>
    <w:rsid w:val="55B4353A"/>
    <w:rsid w:val="55BB1292"/>
    <w:rsid w:val="55CB3500"/>
    <w:rsid w:val="55E34465"/>
    <w:rsid w:val="55F54422"/>
    <w:rsid w:val="56017842"/>
    <w:rsid w:val="560C56EE"/>
    <w:rsid w:val="560F73FA"/>
    <w:rsid w:val="56412932"/>
    <w:rsid w:val="56621968"/>
    <w:rsid w:val="566304E8"/>
    <w:rsid w:val="566B1085"/>
    <w:rsid w:val="56908004"/>
    <w:rsid w:val="5697DD71"/>
    <w:rsid w:val="56A2BB1D"/>
    <w:rsid w:val="56AE45E9"/>
    <w:rsid w:val="56AEA850"/>
    <w:rsid w:val="56BCC88B"/>
    <w:rsid w:val="56D85BFB"/>
    <w:rsid w:val="56DAEF05"/>
    <w:rsid w:val="56DC3063"/>
    <w:rsid w:val="56DCBE22"/>
    <w:rsid w:val="56EBE8B2"/>
    <w:rsid w:val="56F1676E"/>
    <w:rsid w:val="5702DB02"/>
    <w:rsid w:val="570FDA54"/>
    <w:rsid w:val="57107BE8"/>
    <w:rsid w:val="57151E0A"/>
    <w:rsid w:val="571CC28D"/>
    <w:rsid w:val="57282A9E"/>
    <w:rsid w:val="57306CD6"/>
    <w:rsid w:val="5744BC4D"/>
    <w:rsid w:val="57510A25"/>
    <w:rsid w:val="575EB23B"/>
    <w:rsid w:val="57677609"/>
    <w:rsid w:val="577E3817"/>
    <w:rsid w:val="5783E5E8"/>
    <w:rsid w:val="57849D2C"/>
    <w:rsid w:val="57A0EDEB"/>
    <w:rsid w:val="57A6768F"/>
    <w:rsid w:val="57A97411"/>
    <w:rsid w:val="57B2EC7F"/>
    <w:rsid w:val="57BA8CCD"/>
    <w:rsid w:val="57D99198"/>
    <w:rsid w:val="57DED41D"/>
    <w:rsid w:val="57E2565A"/>
    <w:rsid w:val="57E68A79"/>
    <w:rsid w:val="57EBC67F"/>
    <w:rsid w:val="57F2EC78"/>
    <w:rsid w:val="57F4DBB3"/>
    <w:rsid w:val="57F95C33"/>
    <w:rsid w:val="57FDDAAC"/>
    <w:rsid w:val="58047219"/>
    <w:rsid w:val="580741DD"/>
    <w:rsid w:val="580DFB2E"/>
    <w:rsid w:val="5812AF54"/>
    <w:rsid w:val="5814ECAC"/>
    <w:rsid w:val="581DF096"/>
    <w:rsid w:val="5823098B"/>
    <w:rsid w:val="58238378"/>
    <w:rsid w:val="582C44D6"/>
    <w:rsid w:val="5870753F"/>
    <w:rsid w:val="58755170"/>
    <w:rsid w:val="5890C43B"/>
    <w:rsid w:val="58925382"/>
    <w:rsid w:val="58A884A3"/>
    <w:rsid w:val="58C5B946"/>
    <w:rsid w:val="58D4ED33"/>
    <w:rsid w:val="58DC44DA"/>
    <w:rsid w:val="58E315BE"/>
    <w:rsid w:val="58E66C30"/>
    <w:rsid w:val="58EBEDFB"/>
    <w:rsid w:val="58F069A3"/>
    <w:rsid w:val="58F2A8B5"/>
    <w:rsid w:val="58F2CEF7"/>
    <w:rsid w:val="5906E8D4"/>
    <w:rsid w:val="590F70CF"/>
    <w:rsid w:val="59163D96"/>
    <w:rsid w:val="59196D31"/>
    <w:rsid w:val="591A51D3"/>
    <w:rsid w:val="592B3FA0"/>
    <w:rsid w:val="592E9AA0"/>
    <w:rsid w:val="592F9A18"/>
    <w:rsid w:val="592FD4A6"/>
    <w:rsid w:val="5932A0E8"/>
    <w:rsid w:val="5936981E"/>
    <w:rsid w:val="59373D08"/>
    <w:rsid w:val="5942D1E5"/>
    <w:rsid w:val="59461271"/>
    <w:rsid w:val="5953AE1A"/>
    <w:rsid w:val="5953E576"/>
    <w:rsid w:val="59662B6D"/>
    <w:rsid w:val="5969DB0D"/>
    <w:rsid w:val="5973B553"/>
    <w:rsid w:val="5975FF50"/>
    <w:rsid w:val="59776842"/>
    <w:rsid w:val="5978CF28"/>
    <w:rsid w:val="598740F9"/>
    <w:rsid w:val="5989E872"/>
    <w:rsid w:val="598AF352"/>
    <w:rsid w:val="598BEB0C"/>
    <w:rsid w:val="59959971"/>
    <w:rsid w:val="599792F1"/>
    <w:rsid w:val="59A35B39"/>
    <w:rsid w:val="59A6E4C4"/>
    <w:rsid w:val="59AD1540"/>
    <w:rsid w:val="59B3BF45"/>
    <w:rsid w:val="59D2CCB8"/>
    <w:rsid w:val="59D429F9"/>
    <w:rsid w:val="59D87380"/>
    <w:rsid w:val="59E6ADCF"/>
    <w:rsid w:val="59F52004"/>
    <w:rsid w:val="5A0598E5"/>
    <w:rsid w:val="5A0A6C07"/>
    <w:rsid w:val="5A1B67C7"/>
    <w:rsid w:val="5A3B4512"/>
    <w:rsid w:val="5A3F20F8"/>
    <w:rsid w:val="5A490763"/>
    <w:rsid w:val="5A4C9F69"/>
    <w:rsid w:val="5A4DFF05"/>
    <w:rsid w:val="5A52D1D2"/>
    <w:rsid w:val="5A53F4AF"/>
    <w:rsid w:val="5A67C34A"/>
    <w:rsid w:val="5A7DA7B2"/>
    <w:rsid w:val="5A814720"/>
    <w:rsid w:val="5A8404A2"/>
    <w:rsid w:val="5A8EEDFD"/>
    <w:rsid w:val="5A9FF5E4"/>
    <w:rsid w:val="5AA2D7DD"/>
    <w:rsid w:val="5AB24A70"/>
    <w:rsid w:val="5AB3A273"/>
    <w:rsid w:val="5ACE954A"/>
    <w:rsid w:val="5AE7B3B2"/>
    <w:rsid w:val="5AEB75FB"/>
    <w:rsid w:val="5AED4EF0"/>
    <w:rsid w:val="5AEF3EAA"/>
    <w:rsid w:val="5AF6CCDF"/>
    <w:rsid w:val="5AFB322C"/>
    <w:rsid w:val="5AFFBE31"/>
    <w:rsid w:val="5B050D01"/>
    <w:rsid w:val="5B16F5BD"/>
    <w:rsid w:val="5B18323A"/>
    <w:rsid w:val="5B2917E8"/>
    <w:rsid w:val="5B4E6CE0"/>
    <w:rsid w:val="5B4E7ACD"/>
    <w:rsid w:val="5B5379E4"/>
    <w:rsid w:val="5B57DDB8"/>
    <w:rsid w:val="5B5BB09E"/>
    <w:rsid w:val="5B730922"/>
    <w:rsid w:val="5B824795"/>
    <w:rsid w:val="5B857DF9"/>
    <w:rsid w:val="5B857E2B"/>
    <w:rsid w:val="5B8DA217"/>
    <w:rsid w:val="5B901257"/>
    <w:rsid w:val="5B91227A"/>
    <w:rsid w:val="5B99074A"/>
    <w:rsid w:val="5BA1318D"/>
    <w:rsid w:val="5BB64768"/>
    <w:rsid w:val="5BC60111"/>
    <w:rsid w:val="5BCD8A2A"/>
    <w:rsid w:val="5BCF3F3C"/>
    <w:rsid w:val="5BD2F7CB"/>
    <w:rsid w:val="5BDA26B8"/>
    <w:rsid w:val="5BE29E39"/>
    <w:rsid w:val="5BEB61F5"/>
    <w:rsid w:val="5BEED98C"/>
    <w:rsid w:val="5C202F28"/>
    <w:rsid w:val="5C23A19C"/>
    <w:rsid w:val="5C24A468"/>
    <w:rsid w:val="5C3D089F"/>
    <w:rsid w:val="5C3ED82D"/>
    <w:rsid w:val="5C5E52D4"/>
    <w:rsid w:val="5C7495AE"/>
    <w:rsid w:val="5C7716EE"/>
    <w:rsid w:val="5C7D6999"/>
    <w:rsid w:val="5C86354E"/>
    <w:rsid w:val="5C92270B"/>
    <w:rsid w:val="5C979C4D"/>
    <w:rsid w:val="5C991B52"/>
    <w:rsid w:val="5CC38521"/>
    <w:rsid w:val="5CDBECBF"/>
    <w:rsid w:val="5CF66A30"/>
    <w:rsid w:val="5CFA2F3D"/>
    <w:rsid w:val="5D0CEC0F"/>
    <w:rsid w:val="5D0FC504"/>
    <w:rsid w:val="5D12E958"/>
    <w:rsid w:val="5D1BAC8F"/>
    <w:rsid w:val="5D3030BF"/>
    <w:rsid w:val="5D30ACEF"/>
    <w:rsid w:val="5D33724E"/>
    <w:rsid w:val="5D36BC85"/>
    <w:rsid w:val="5D3C1708"/>
    <w:rsid w:val="5D3E27FA"/>
    <w:rsid w:val="5D3E8D63"/>
    <w:rsid w:val="5D4380DC"/>
    <w:rsid w:val="5D457119"/>
    <w:rsid w:val="5D53BE32"/>
    <w:rsid w:val="5D66D85E"/>
    <w:rsid w:val="5D6DBE5A"/>
    <w:rsid w:val="5D755A23"/>
    <w:rsid w:val="5D7CF7AA"/>
    <w:rsid w:val="5D7EDE50"/>
    <w:rsid w:val="5D86FB16"/>
    <w:rsid w:val="5D8E225E"/>
    <w:rsid w:val="5D9C4183"/>
    <w:rsid w:val="5D9D033D"/>
    <w:rsid w:val="5D9E53FF"/>
    <w:rsid w:val="5D9F7D0C"/>
    <w:rsid w:val="5DA6BBCE"/>
    <w:rsid w:val="5DBDC1D5"/>
    <w:rsid w:val="5DC2E6CD"/>
    <w:rsid w:val="5DC45CCE"/>
    <w:rsid w:val="5DC982D3"/>
    <w:rsid w:val="5DDFA0C9"/>
    <w:rsid w:val="5DE5E02A"/>
    <w:rsid w:val="5DE9595A"/>
    <w:rsid w:val="5DE9F418"/>
    <w:rsid w:val="5DEB51E0"/>
    <w:rsid w:val="5DFEF844"/>
    <w:rsid w:val="5E132A4D"/>
    <w:rsid w:val="5E145C46"/>
    <w:rsid w:val="5E14AD56"/>
    <w:rsid w:val="5E1A16DD"/>
    <w:rsid w:val="5E1B198E"/>
    <w:rsid w:val="5E1EDEDB"/>
    <w:rsid w:val="5E35509B"/>
    <w:rsid w:val="5E378158"/>
    <w:rsid w:val="5E40CA14"/>
    <w:rsid w:val="5E42A766"/>
    <w:rsid w:val="5E5239A9"/>
    <w:rsid w:val="5E5281ED"/>
    <w:rsid w:val="5E617ECB"/>
    <w:rsid w:val="5E7685E4"/>
    <w:rsid w:val="5E7C2578"/>
    <w:rsid w:val="5E820C1E"/>
    <w:rsid w:val="5E829BF4"/>
    <w:rsid w:val="5E8EC5FF"/>
    <w:rsid w:val="5E988729"/>
    <w:rsid w:val="5E9974A1"/>
    <w:rsid w:val="5EA17F9F"/>
    <w:rsid w:val="5EDA5214"/>
    <w:rsid w:val="5EDD7795"/>
    <w:rsid w:val="5F0ACB44"/>
    <w:rsid w:val="5F1141EB"/>
    <w:rsid w:val="5F163139"/>
    <w:rsid w:val="5F1EB792"/>
    <w:rsid w:val="5F20E91B"/>
    <w:rsid w:val="5F2AB0D6"/>
    <w:rsid w:val="5F363B78"/>
    <w:rsid w:val="5F4C0F18"/>
    <w:rsid w:val="5F5729F2"/>
    <w:rsid w:val="5F5C4005"/>
    <w:rsid w:val="5F631051"/>
    <w:rsid w:val="5F6A7BBD"/>
    <w:rsid w:val="5FA29FD6"/>
    <w:rsid w:val="5FA35F41"/>
    <w:rsid w:val="5FA42E78"/>
    <w:rsid w:val="5FAB636C"/>
    <w:rsid w:val="5FAC04E8"/>
    <w:rsid w:val="5FACE643"/>
    <w:rsid w:val="5FB58890"/>
    <w:rsid w:val="5FBDBE58"/>
    <w:rsid w:val="5FC0D086"/>
    <w:rsid w:val="5FCA8C66"/>
    <w:rsid w:val="5FD25C0C"/>
    <w:rsid w:val="5FD9F520"/>
    <w:rsid w:val="5FDA1CCE"/>
    <w:rsid w:val="5FE7D7AA"/>
    <w:rsid w:val="5FEC0193"/>
    <w:rsid w:val="5FED34D4"/>
    <w:rsid w:val="60049820"/>
    <w:rsid w:val="600B0545"/>
    <w:rsid w:val="6013490D"/>
    <w:rsid w:val="6019C671"/>
    <w:rsid w:val="601C1007"/>
    <w:rsid w:val="60293690"/>
    <w:rsid w:val="602AEB51"/>
    <w:rsid w:val="60304061"/>
    <w:rsid w:val="60361A0A"/>
    <w:rsid w:val="6036DA3B"/>
    <w:rsid w:val="60512090"/>
    <w:rsid w:val="6051B80C"/>
    <w:rsid w:val="6052854B"/>
    <w:rsid w:val="60571FB1"/>
    <w:rsid w:val="605D7EAD"/>
    <w:rsid w:val="6060BDFE"/>
    <w:rsid w:val="606A4F05"/>
    <w:rsid w:val="6079F97E"/>
    <w:rsid w:val="6083A5A1"/>
    <w:rsid w:val="609C1BE7"/>
    <w:rsid w:val="609C4041"/>
    <w:rsid w:val="60A4E575"/>
    <w:rsid w:val="60AAB91B"/>
    <w:rsid w:val="60ADFF23"/>
    <w:rsid w:val="60B7D7BD"/>
    <w:rsid w:val="60C29995"/>
    <w:rsid w:val="60D1A45D"/>
    <w:rsid w:val="60D7775F"/>
    <w:rsid w:val="60DE9E1F"/>
    <w:rsid w:val="61072CE7"/>
    <w:rsid w:val="610956D5"/>
    <w:rsid w:val="610EDECB"/>
    <w:rsid w:val="611203FE"/>
    <w:rsid w:val="61149ABB"/>
    <w:rsid w:val="611FF180"/>
    <w:rsid w:val="614C9854"/>
    <w:rsid w:val="6166E927"/>
    <w:rsid w:val="61816948"/>
    <w:rsid w:val="6185E4C7"/>
    <w:rsid w:val="61AE741E"/>
    <w:rsid w:val="61B6C54C"/>
    <w:rsid w:val="61C08632"/>
    <w:rsid w:val="61C49487"/>
    <w:rsid w:val="61C71422"/>
    <w:rsid w:val="61C7A91E"/>
    <w:rsid w:val="61E4E1DA"/>
    <w:rsid w:val="61F6BD1F"/>
    <w:rsid w:val="61F76B5E"/>
    <w:rsid w:val="61FA9981"/>
    <w:rsid w:val="61FBF74C"/>
    <w:rsid w:val="6207F919"/>
    <w:rsid w:val="62148EB7"/>
    <w:rsid w:val="6226D1FD"/>
    <w:rsid w:val="622B0471"/>
    <w:rsid w:val="6247DEB1"/>
    <w:rsid w:val="62673F2F"/>
    <w:rsid w:val="626C27BA"/>
    <w:rsid w:val="626D8C1B"/>
    <w:rsid w:val="62701DC8"/>
    <w:rsid w:val="62871ACF"/>
    <w:rsid w:val="628F3AA0"/>
    <w:rsid w:val="629127E4"/>
    <w:rsid w:val="62B3271F"/>
    <w:rsid w:val="62C22293"/>
    <w:rsid w:val="62D01E96"/>
    <w:rsid w:val="62D291C0"/>
    <w:rsid w:val="62D4D6E1"/>
    <w:rsid w:val="62DD786D"/>
    <w:rsid w:val="62E18C3C"/>
    <w:rsid w:val="62EDA4CB"/>
    <w:rsid w:val="62F06DBE"/>
    <w:rsid w:val="62FE9E4F"/>
    <w:rsid w:val="63091664"/>
    <w:rsid w:val="6311CC1C"/>
    <w:rsid w:val="631A48A2"/>
    <w:rsid w:val="632B5BD9"/>
    <w:rsid w:val="632B74D5"/>
    <w:rsid w:val="634963D5"/>
    <w:rsid w:val="634A938E"/>
    <w:rsid w:val="63565B27"/>
    <w:rsid w:val="635970C5"/>
    <w:rsid w:val="635E0E01"/>
    <w:rsid w:val="6365DBF6"/>
    <w:rsid w:val="6366590C"/>
    <w:rsid w:val="63687695"/>
    <w:rsid w:val="636E0FA1"/>
    <w:rsid w:val="637BBE46"/>
    <w:rsid w:val="6380510B"/>
    <w:rsid w:val="638D721D"/>
    <w:rsid w:val="6390E7BB"/>
    <w:rsid w:val="639AC218"/>
    <w:rsid w:val="63B5BBA7"/>
    <w:rsid w:val="63BF232B"/>
    <w:rsid w:val="63C6757D"/>
    <w:rsid w:val="63C85D4E"/>
    <w:rsid w:val="63D2E406"/>
    <w:rsid w:val="63E9AE96"/>
    <w:rsid w:val="63EF0E74"/>
    <w:rsid w:val="641359B7"/>
    <w:rsid w:val="64153F3E"/>
    <w:rsid w:val="64176845"/>
    <w:rsid w:val="64191E75"/>
    <w:rsid w:val="641B8FC6"/>
    <w:rsid w:val="641EBA09"/>
    <w:rsid w:val="6420D024"/>
    <w:rsid w:val="642D738A"/>
    <w:rsid w:val="6439ECB5"/>
    <w:rsid w:val="643E90C4"/>
    <w:rsid w:val="644987F6"/>
    <w:rsid w:val="644FDA5A"/>
    <w:rsid w:val="645CEF20"/>
    <w:rsid w:val="646E0724"/>
    <w:rsid w:val="646EC692"/>
    <w:rsid w:val="6472846C"/>
    <w:rsid w:val="6477FBB3"/>
    <w:rsid w:val="648571F4"/>
    <w:rsid w:val="649FA333"/>
    <w:rsid w:val="64A5FDC7"/>
    <w:rsid w:val="64AF516B"/>
    <w:rsid w:val="64D50B9E"/>
    <w:rsid w:val="64D7A68B"/>
    <w:rsid w:val="64ED9246"/>
    <w:rsid w:val="64F0DA5C"/>
    <w:rsid w:val="65049C4B"/>
    <w:rsid w:val="6515EB60"/>
    <w:rsid w:val="65171789"/>
    <w:rsid w:val="651BF448"/>
    <w:rsid w:val="651FD1E1"/>
    <w:rsid w:val="652B7F06"/>
    <w:rsid w:val="652C47C6"/>
    <w:rsid w:val="653CE7A1"/>
    <w:rsid w:val="65456700"/>
    <w:rsid w:val="6546A350"/>
    <w:rsid w:val="65657F22"/>
    <w:rsid w:val="656D9BE6"/>
    <w:rsid w:val="656E75F6"/>
    <w:rsid w:val="65700005"/>
    <w:rsid w:val="6577A83B"/>
    <w:rsid w:val="657A8796"/>
    <w:rsid w:val="65851C79"/>
    <w:rsid w:val="65898B95"/>
    <w:rsid w:val="658F896D"/>
    <w:rsid w:val="659E4A88"/>
    <w:rsid w:val="65A1FC67"/>
    <w:rsid w:val="65A4FEC6"/>
    <w:rsid w:val="65AB7DF5"/>
    <w:rsid w:val="65B1D094"/>
    <w:rsid w:val="65BA7733"/>
    <w:rsid w:val="65BFD363"/>
    <w:rsid w:val="65C2C0F4"/>
    <w:rsid w:val="65C6EC60"/>
    <w:rsid w:val="65DBEC75"/>
    <w:rsid w:val="65DC2CC7"/>
    <w:rsid w:val="65EE0206"/>
    <w:rsid w:val="65EEAB50"/>
    <w:rsid w:val="65F73F77"/>
    <w:rsid w:val="65FC56D5"/>
    <w:rsid w:val="6601919C"/>
    <w:rsid w:val="6603F491"/>
    <w:rsid w:val="6608C9B0"/>
    <w:rsid w:val="66102A12"/>
    <w:rsid w:val="66196505"/>
    <w:rsid w:val="6635A649"/>
    <w:rsid w:val="663A3BF7"/>
    <w:rsid w:val="663AA54B"/>
    <w:rsid w:val="664908E2"/>
    <w:rsid w:val="6651DF4F"/>
    <w:rsid w:val="66556DDD"/>
    <w:rsid w:val="6682E8A1"/>
    <w:rsid w:val="668D580B"/>
    <w:rsid w:val="668EDA58"/>
    <w:rsid w:val="66AB4065"/>
    <w:rsid w:val="66AB4A85"/>
    <w:rsid w:val="66AD8717"/>
    <w:rsid w:val="66BAE945"/>
    <w:rsid w:val="66CADA2F"/>
    <w:rsid w:val="66D90C8A"/>
    <w:rsid w:val="66E3C420"/>
    <w:rsid w:val="66F9493B"/>
    <w:rsid w:val="66F9E943"/>
    <w:rsid w:val="66FB2D43"/>
    <w:rsid w:val="671B5C7F"/>
    <w:rsid w:val="671D01C4"/>
    <w:rsid w:val="67201994"/>
    <w:rsid w:val="6732F47A"/>
    <w:rsid w:val="67506B6B"/>
    <w:rsid w:val="67543847"/>
    <w:rsid w:val="67593069"/>
    <w:rsid w:val="6762F538"/>
    <w:rsid w:val="67633439"/>
    <w:rsid w:val="676ABBE7"/>
    <w:rsid w:val="677A7A27"/>
    <w:rsid w:val="677CA8F8"/>
    <w:rsid w:val="6783174C"/>
    <w:rsid w:val="679F4479"/>
    <w:rsid w:val="67A56383"/>
    <w:rsid w:val="67A95F2F"/>
    <w:rsid w:val="67ACB857"/>
    <w:rsid w:val="67B101BA"/>
    <w:rsid w:val="67B698F4"/>
    <w:rsid w:val="67C7343D"/>
    <w:rsid w:val="67CE8E95"/>
    <w:rsid w:val="67DA1D79"/>
    <w:rsid w:val="67DB2C0C"/>
    <w:rsid w:val="67F54506"/>
    <w:rsid w:val="67FC10C6"/>
    <w:rsid w:val="6809B122"/>
    <w:rsid w:val="680D85D8"/>
    <w:rsid w:val="6813289C"/>
    <w:rsid w:val="683667D3"/>
    <w:rsid w:val="683B12F1"/>
    <w:rsid w:val="6853B2DB"/>
    <w:rsid w:val="6857EDCD"/>
    <w:rsid w:val="686402C0"/>
    <w:rsid w:val="686AD89B"/>
    <w:rsid w:val="686BB837"/>
    <w:rsid w:val="6872B6FF"/>
    <w:rsid w:val="68738F31"/>
    <w:rsid w:val="6887B03C"/>
    <w:rsid w:val="6895F8B4"/>
    <w:rsid w:val="689D6699"/>
    <w:rsid w:val="68A08009"/>
    <w:rsid w:val="68A4ABC8"/>
    <w:rsid w:val="68B061F4"/>
    <w:rsid w:val="68BBA39E"/>
    <w:rsid w:val="68BC3309"/>
    <w:rsid w:val="68BCDFA3"/>
    <w:rsid w:val="68C07275"/>
    <w:rsid w:val="68C34970"/>
    <w:rsid w:val="68EC1B1D"/>
    <w:rsid w:val="68F951F5"/>
    <w:rsid w:val="692C08E4"/>
    <w:rsid w:val="6944870F"/>
    <w:rsid w:val="694A688F"/>
    <w:rsid w:val="69531ACA"/>
    <w:rsid w:val="695439EC"/>
    <w:rsid w:val="69551DBA"/>
    <w:rsid w:val="6957EBE3"/>
    <w:rsid w:val="69597B75"/>
    <w:rsid w:val="6961515A"/>
    <w:rsid w:val="6964FB4B"/>
    <w:rsid w:val="696B4C2B"/>
    <w:rsid w:val="696D9E7A"/>
    <w:rsid w:val="69738844"/>
    <w:rsid w:val="6978B706"/>
    <w:rsid w:val="69804814"/>
    <w:rsid w:val="6987D925"/>
    <w:rsid w:val="698C7347"/>
    <w:rsid w:val="69A53F39"/>
    <w:rsid w:val="69AAD341"/>
    <w:rsid w:val="69B035E3"/>
    <w:rsid w:val="69B11839"/>
    <w:rsid w:val="69B6329E"/>
    <w:rsid w:val="69CDDC7C"/>
    <w:rsid w:val="69DE6F01"/>
    <w:rsid w:val="69E0EA4E"/>
    <w:rsid w:val="69E102BB"/>
    <w:rsid w:val="69E8A7AE"/>
    <w:rsid w:val="69ED6239"/>
    <w:rsid w:val="69F21962"/>
    <w:rsid w:val="69F3929D"/>
    <w:rsid w:val="69F4A1EA"/>
    <w:rsid w:val="69F94275"/>
    <w:rsid w:val="69F9F169"/>
    <w:rsid w:val="6A121600"/>
    <w:rsid w:val="6A1E83EB"/>
    <w:rsid w:val="6A2DB5F1"/>
    <w:rsid w:val="6A348E98"/>
    <w:rsid w:val="6A3CD754"/>
    <w:rsid w:val="6A41DCAD"/>
    <w:rsid w:val="6A4AC75F"/>
    <w:rsid w:val="6A564A38"/>
    <w:rsid w:val="6A6C9C86"/>
    <w:rsid w:val="6A6D7ECF"/>
    <w:rsid w:val="6A7BC09E"/>
    <w:rsid w:val="6A886EA1"/>
    <w:rsid w:val="6AA109A6"/>
    <w:rsid w:val="6AABC2EB"/>
    <w:rsid w:val="6AAD00E5"/>
    <w:rsid w:val="6AB3DE9B"/>
    <w:rsid w:val="6AC1803E"/>
    <w:rsid w:val="6AC32B84"/>
    <w:rsid w:val="6AD84468"/>
    <w:rsid w:val="6AD92C18"/>
    <w:rsid w:val="6AE33954"/>
    <w:rsid w:val="6AEB4375"/>
    <w:rsid w:val="6AEE0C14"/>
    <w:rsid w:val="6B014DC2"/>
    <w:rsid w:val="6B09C0B3"/>
    <w:rsid w:val="6B0A3795"/>
    <w:rsid w:val="6B1F0BC4"/>
    <w:rsid w:val="6B22A050"/>
    <w:rsid w:val="6B2E7DA1"/>
    <w:rsid w:val="6B3437F3"/>
    <w:rsid w:val="6B368B07"/>
    <w:rsid w:val="6B4041F1"/>
    <w:rsid w:val="6B48EF10"/>
    <w:rsid w:val="6B4CC649"/>
    <w:rsid w:val="6B589C0F"/>
    <w:rsid w:val="6B58E8C5"/>
    <w:rsid w:val="6B622A78"/>
    <w:rsid w:val="6B63214A"/>
    <w:rsid w:val="6B6D57F0"/>
    <w:rsid w:val="6B73998F"/>
    <w:rsid w:val="6B7AEF05"/>
    <w:rsid w:val="6B824396"/>
    <w:rsid w:val="6B89B079"/>
    <w:rsid w:val="6B8A3899"/>
    <w:rsid w:val="6B902821"/>
    <w:rsid w:val="6B9D5E5E"/>
    <w:rsid w:val="6BA6682D"/>
    <w:rsid w:val="6BA6845D"/>
    <w:rsid w:val="6BAE423A"/>
    <w:rsid w:val="6BBA15AE"/>
    <w:rsid w:val="6BBD65E4"/>
    <w:rsid w:val="6BD733C0"/>
    <w:rsid w:val="6BD7524E"/>
    <w:rsid w:val="6BD8F1AA"/>
    <w:rsid w:val="6BDF88ED"/>
    <w:rsid w:val="6BF55B09"/>
    <w:rsid w:val="6C12FAC8"/>
    <w:rsid w:val="6C1F0B93"/>
    <w:rsid w:val="6C1F875F"/>
    <w:rsid w:val="6C1F8B38"/>
    <w:rsid w:val="6C2C3E5D"/>
    <w:rsid w:val="6C318EC9"/>
    <w:rsid w:val="6C3C3335"/>
    <w:rsid w:val="6C433523"/>
    <w:rsid w:val="6C55ABD4"/>
    <w:rsid w:val="6C64610C"/>
    <w:rsid w:val="6C68535A"/>
    <w:rsid w:val="6C6A8A6F"/>
    <w:rsid w:val="6C7253C9"/>
    <w:rsid w:val="6C7D4BAB"/>
    <w:rsid w:val="6C83DC76"/>
    <w:rsid w:val="6C867FC6"/>
    <w:rsid w:val="6C993C91"/>
    <w:rsid w:val="6C9A78EC"/>
    <w:rsid w:val="6CA7C503"/>
    <w:rsid w:val="6CAAD257"/>
    <w:rsid w:val="6CB6C9A0"/>
    <w:rsid w:val="6CC15D08"/>
    <w:rsid w:val="6CCCC371"/>
    <w:rsid w:val="6CD61CCF"/>
    <w:rsid w:val="6CD976A8"/>
    <w:rsid w:val="6CF7E58C"/>
    <w:rsid w:val="6CF8FF4E"/>
    <w:rsid w:val="6D07E92B"/>
    <w:rsid w:val="6D2471E2"/>
    <w:rsid w:val="6D33A5C1"/>
    <w:rsid w:val="6D391A2B"/>
    <w:rsid w:val="6D50321D"/>
    <w:rsid w:val="6D508709"/>
    <w:rsid w:val="6D57DBCE"/>
    <w:rsid w:val="6D627B53"/>
    <w:rsid w:val="6D683915"/>
    <w:rsid w:val="6D6CF0F9"/>
    <w:rsid w:val="6D708537"/>
    <w:rsid w:val="6D76A217"/>
    <w:rsid w:val="6D78B159"/>
    <w:rsid w:val="6D7A389E"/>
    <w:rsid w:val="6D7DC183"/>
    <w:rsid w:val="6D81A086"/>
    <w:rsid w:val="6DADEEDC"/>
    <w:rsid w:val="6DB4F40A"/>
    <w:rsid w:val="6DC1E9BF"/>
    <w:rsid w:val="6DD598E1"/>
    <w:rsid w:val="6DD95E37"/>
    <w:rsid w:val="6DDE4778"/>
    <w:rsid w:val="6DDF3306"/>
    <w:rsid w:val="6DE2B6EB"/>
    <w:rsid w:val="6DE6FA16"/>
    <w:rsid w:val="6DF3C30D"/>
    <w:rsid w:val="6DFD51FE"/>
    <w:rsid w:val="6E02E268"/>
    <w:rsid w:val="6E0BF487"/>
    <w:rsid w:val="6E1C4309"/>
    <w:rsid w:val="6E3A142F"/>
    <w:rsid w:val="6E4E478C"/>
    <w:rsid w:val="6E591E0E"/>
    <w:rsid w:val="6E6F9C96"/>
    <w:rsid w:val="6E701A09"/>
    <w:rsid w:val="6E723244"/>
    <w:rsid w:val="6E7D9A6E"/>
    <w:rsid w:val="6E86EE49"/>
    <w:rsid w:val="6E96E84A"/>
    <w:rsid w:val="6E9C1FBF"/>
    <w:rsid w:val="6EA35170"/>
    <w:rsid w:val="6EA63E5E"/>
    <w:rsid w:val="6EC8AAB2"/>
    <w:rsid w:val="6ECDCD1C"/>
    <w:rsid w:val="6EDA73D5"/>
    <w:rsid w:val="6EE604CA"/>
    <w:rsid w:val="6EEE2A38"/>
    <w:rsid w:val="6EF25F16"/>
    <w:rsid w:val="6F072B1B"/>
    <w:rsid w:val="6F1D1FB5"/>
    <w:rsid w:val="6F2C8096"/>
    <w:rsid w:val="6F2DD62F"/>
    <w:rsid w:val="6F34C4A4"/>
    <w:rsid w:val="6F5E17DE"/>
    <w:rsid w:val="6F6ED38A"/>
    <w:rsid w:val="6F76E269"/>
    <w:rsid w:val="6F7F6FE8"/>
    <w:rsid w:val="6F8C8F66"/>
    <w:rsid w:val="6F9C366C"/>
    <w:rsid w:val="6FA3C1C5"/>
    <w:rsid w:val="6FB38A3D"/>
    <w:rsid w:val="6FB48CC2"/>
    <w:rsid w:val="6FE7CDC4"/>
    <w:rsid w:val="6FEAC7F8"/>
    <w:rsid w:val="6FF100F8"/>
    <w:rsid w:val="6FFB1080"/>
    <w:rsid w:val="6FFFD095"/>
    <w:rsid w:val="700C01E7"/>
    <w:rsid w:val="700FF498"/>
    <w:rsid w:val="70136C1E"/>
    <w:rsid w:val="701BAAD2"/>
    <w:rsid w:val="703447CC"/>
    <w:rsid w:val="703FE801"/>
    <w:rsid w:val="70400236"/>
    <w:rsid w:val="70458002"/>
    <w:rsid w:val="704BB8E2"/>
    <w:rsid w:val="705139BE"/>
    <w:rsid w:val="7053F42E"/>
    <w:rsid w:val="7055E3E8"/>
    <w:rsid w:val="70643C42"/>
    <w:rsid w:val="706A1B32"/>
    <w:rsid w:val="70789DBE"/>
    <w:rsid w:val="707E11B0"/>
    <w:rsid w:val="70821466"/>
    <w:rsid w:val="7082175A"/>
    <w:rsid w:val="70823A13"/>
    <w:rsid w:val="70852EAE"/>
    <w:rsid w:val="708F71C0"/>
    <w:rsid w:val="7096B3A7"/>
    <w:rsid w:val="709C1467"/>
    <w:rsid w:val="70B771FD"/>
    <w:rsid w:val="70B782A0"/>
    <w:rsid w:val="70BC8C07"/>
    <w:rsid w:val="70C03ECB"/>
    <w:rsid w:val="70CE0E96"/>
    <w:rsid w:val="70E08EDF"/>
    <w:rsid w:val="70E6B8C0"/>
    <w:rsid w:val="70F0F534"/>
    <w:rsid w:val="70F86DB5"/>
    <w:rsid w:val="70FAFD97"/>
    <w:rsid w:val="7106379E"/>
    <w:rsid w:val="710B66D4"/>
    <w:rsid w:val="71132D1B"/>
    <w:rsid w:val="7117B9F7"/>
    <w:rsid w:val="71221DFB"/>
    <w:rsid w:val="71311DA7"/>
    <w:rsid w:val="7136E3FC"/>
    <w:rsid w:val="71381B4F"/>
    <w:rsid w:val="713B1712"/>
    <w:rsid w:val="713BCA3F"/>
    <w:rsid w:val="713FEB16"/>
    <w:rsid w:val="714F2053"/>
    <w:rsid w:val="71544D02"/>
    <w:rsid w:val="715452F6"/>
    <w:rsid w:val="715A27E3"/>
    <w:rsid w:val="71640CD9"/>
    <w:rsid w:val="7170F4A1"/>
    <w:rsid w:val="717C3923"/>
    <w:rsid w:val="71864FD1"/>
    <w:rsid w:val="718740BD"/>
    <w:rsid w:val="71923B8C"/>
    <w:rsid w:val="7195404B"/>
    <w:rsid w:val="71ABFF9A"/>
    <w:rsid w:val="71B2596E"/>
    <w:rsid w:val="71BDDFCF"/>
    <w:rsid w:val="71BFDA50"/>
    <w:rsid w:val="71C903A2"/>
    <w:rsid w:val="71CF4FCA"/>
    <w:rsid w:val="71F42D26"/>
    <w:rsid w:val="7213CBF9"/>
    <w:rsid w:val="7221E489"/>
    <w:rsid w:val="72258109"/>
    <w:rsid w:val="7240D3BB"/>
    <w:rsid w:val="7240F3E7"/>
    <w:rsid w:val="724998C5"/>
    <w:rsid w:val="7278A4E3"/>
    <w:rsid w:val="727AAAB5"/>
    <w:rsid w:val="7282CDBA"/>
    <w:rsid w:val="728B40E8"/>
    <w:rsid w:val="729FC0BF"/>
    <w:rsid w:val="72A6D923"/>
    <w:rsid w:val="72AED802"/>
    <w:rsid w:val="72B1C575"/>
    <w:rsid w:val="72B6505B"/>
    <w:rsid w:val="72C11F17"/>
    <w:rsid w:val="72EADDDE"/>
    <w:rsid w:val="72EFD821"/>
    <w:rsid w:val="72F6D1FA"/>
    <w:rsid w:val="72F99385"/>
    <w:rsid w:val="7309B65C"/>
    <w:rsid w:val="73182E61"/>
    <w:rsid w:val="732B1A1A"/>
    <w:rsid w:val="73395B00"/>
    <w:rsid w:val="734BC83B"/>
    <w:rsid w:val="735BA869"/>
    <w:rsid w:val="7371244A"/>
    <w:rsid w:val="73855D03"/>
    <w:rsid w:val="7395890E"/>
    <w:rsid w:val="739C2034"/>
    <w:rsid w:val="73AEE49F"/>
    <w:rsid w:val="73BF3AB9"/>
    <w:rsid w:val="73C43B0F"/>
    <w:rsid w:val="73CD31BA"/>
    <w:rsid w:val="73D069B7"/>
    <w:rsid w:val="73D741D5"/>
    <w:rsid w:val="73DA0FB4"/>
    <w:rsid w:val="73DE3E1D"/>
    <w:rsid w:val="73E8B085"/>
    <w:rsid w:val="73EADB94"/>
    <w:rsid w:val="73F6998B"/>
    <w:rsid w:val="7403B0DC"/>
    <w:rsid w:val="7403E833"/>
    <w:rsid w:val="74077278"/>
    <w:rsid w:val="741CC651"/>
    <w:rsid w:val="7424343A"/>
    <w:rsid w:val="7426B8EA"/>
    <w:rsid w:val="742C012A"/>
    <w:rsid w:val="743AF400"/>
    <w:rsid w:val="743F9FBE"/>
    <w:rsid w:val="744066E5"/>
    <w:rsid w:val="7442FCA2"/>
    <w:rsid w:val="745413BC"/>
    <w:rsid w:val="745B0C99"/>
    <w:rsid w:val="745D1468"/>
    <w:rsid w:val="7462894F"/>
    <w:rsid w:val="74682744"/>
    <w:rsid w:val="747AC672"/>
    <w:rsid w:val="7482DF37"/>
    <w:rsid w:val="74842581"/>
    <w:rsid w:val="7484611E"/>
    <w:rsid w:val="74941F14"/>
    <w:rsid w:val="74A13E2E"/>
    <w:rsid w:val="74BF24DB"/>
    <w:rsid w:val="74C85169"/>
    <w:rsid w:val="74D50C3F"/>
    <w:rsid w:val="74DB7F50"/>
    <w:rsid w:val="74DE7A3A"/>
    <w:rsid w:val="74E6CA7F"/>
    <w:rsid w:val="751CF403"/>
    <w:rsid w:val="7521C7B1"/>
    <w:rsid w:val="7526A442"/>
    <w:rsid w:val="75360DD3"/>
    <w:rsid w:val="754CA8F3"/>
    <w:rsid w:val="75515590"/>
    <w:rsid w:val="7551CA0D"/>
    <w:rsid w:val="7555D496"/>
    <w:rsid w:val="7559ABF0"/>
    <w:rsid w:val="755A3132"/>
    <w:rsid w:val="7569EADD"/>
    <w:rsid w:val="756A901B"/>
    <w:rsid w:val="756D0AFB"/>
    <w:rsid w:val="756DA2B2"/>
    <w:rsid w:val="756ED1C5"/>
    <w:rsid w:val="7574C372"/>
    <w:rsid w:val="757951F2"/>
    <w:rsid w:val="75837E6A"/>
    <w:rsid w:val="758D06D8"/>
    <w:rsid w:val="758FAE22"/>
    <w:rsid w:val="7594E625"/>
    <w:rsid w:val="7598FC92"/>
    <w:rsid w:val="75A24637"/>
    <w:rsid w:val="75B6A9F5"/>
    <w:rsid w:val="75BDEABD"/>
    <w:rsid w:val="75C2B6D5"/>
    <w:rsid w:val="75DB5991"/>
    <w:rsid w:val="75DCE50F"/>
    <w:rsid w:val="75E2BC8F"/>
    <w:rsid w:val="75F9737B"/>
    <w:rsid w:val="76053081"/>
    <w:rsid w:val="76060FED"/>
    <w:rsid w:val="76066517"/>
    <w:rsid w:val="76121FF6"/>
    <w:rsid w:val="762CFBA1"/>
    <w:rsid w:val="762F0BF7"/>
    <w:rsid w:val="763B64C3"/>
    <w:rsid w:val="763D030D"/>
    <w:rsid w:val="763DC7EE"/>
    <w:rsid w:val="7655C088"/>
    <w:rsid w:val="76716CC2"/>
    <w:rsid w:val="76821410"/>
    <w:rsid w:val="7685DC57"/>
    <w:rsid w:val="768FE89A"/>
    <w:rsid w:val="769BC17F"/>
    <w:rsid w:val="76A3C07F"/>
    <w:rsid w:val="76A893F1"/>
    <w:rsid w:val="76AF6332"/>
    <w:rsid w:val="76B558F3"/>
    <w:rsid w:val="76DBE364"/>
    <w:rsid w:val="76F792F4"/>
    <w:rsid w:val="76FA075D"/>
    <w:rsid w:val="76FB7079"/>
    <w:rsid w:val="77030DFB"/>
    <w:rsid w:val="77050705"/>
    <w:rsid w:val="770C767E"/>
    <w:rsid w:val="77109BA8"/>
    <w:rsid w:val="771190E6"/>
    <w:rsid w:val="7712D4F1"/>
    <w:rsid w:val="77145017"/>
    <w:rsid w:val="771E5662"/>
    <w:rsid w:val="77294C77"/>
    <w:rsid w:val="772AD141"/>
    <w:rsid w:val="773C902D"/>
    <w:rsid w:val="7743E709"/>
    <w:rsid w:val="7744814E"/>
    <w:rsid w:val="7749C61B"/>
    <w:rsid w:val="77551AC6"/>
    <w:rsid w:val="775A6D35"/>
    <w:rsid w:val="775CB5B1"/>
    <w:rsid w:val="7766B32B"/>
    <w:rsid w:val="776A0DEC"/>
    <w:rsid w:val="77733749"/>
    <w:rsid w:val="77759333"/>
    <w:rsid w:val="77786C70"/>
    <w:rsid w:val="777FCF37"/>
    <w:rsid w:val="778B51AF"/>
    <w:rsid w:val="779C6F38"/>
    <w:rsid w:val="779D32BC"/>
    <w:rsid w:val="77AED72D"/>
    <w:rsid w:val="77B895B1"/>
    <w:rsid w:val="77BCD305"/>
    <w:rsid w:val="77E3055C"/>
    <w:rsid w:val="77E6F606"/>
    <w:rsid w:val="77E945E2"/>
    <w:rsid w:val="77E9BED5"/>
    <w:rsid w:val="77F462F0"/>
    <w:rsid w:val="7805C98F"/>
    <w:rsid w:val="7816028C"/>
    <w:rsid w:val="7823B417"/>
    <w:rsid w:val="78284F4D"/>
    <w:rsid w:val="782E6888"/>
    <w:rsid w:val="78301EAA"/>
    <w:rsid w:val="7832F552"/>
    <w:rsid w:val="7834045B"/>
    <w:rsid w:val="784F45D8"/>
    <w:rsid w:val="7855D12D"/>
    <w:rsid w:val="7860274B"/>
    <w:rsid w:val="7861DC21"/>
    <w:rsid w:val="7862A774"/>
    <w:rsid w:val="78664EB5"/>
    <w:rsid w:val="7870B058"/>
    <w:rsid w:val="7872094B"/>
    <w:rsid w:val="7873D440"/>
    <w:rsid w:val="7877E279"/>
    <w:rsid w:val="78847B61"/>
    <w:rsid w:val="7887E28F"/>
    <w:rsid w:val="788B7F29"/>
    <w:rsid w:val="78A28EA7"/>
    <w:rsid w:val="78C5F81E"/>
    <w:rsid w:val="78C99E66"/>
    <w:rsid w:val="78EA5E2B"/>
    <w:rsid w:val="78EB31E3"/>
    <w:rsid w:val="78F6969D"/>
    <w:rsid w:val="78FD0323"/>
    <w:rsid w:val="7923A27A"/>
    <w:rsid w:val="79267547"/>
    <w:rsid w:val="792CC438"/>
    <w:rsid w:val="79489F33"/>
    <w:rsid w:val="795233C0"/>
    <w:rsid w:val="79597B72"/>
    <w:rsid w:val="795CE5B4"/>
    <w:rsid w:val="795FD301"/>
    <w:rsid w:val="797F77E3"/>
    <w:rsid w:val="7998C656"/>
    <w:rsid w:val="79999BB8"/>
    <w:rsid w:val="79AC1989"/>
    <w:rsid w:val="79BF8C37"/>
    <w:rsid w:val="79C16F43"/>
    <w:rsid w:val="79D4E702"/>
    <w:rsid w:val="79F096FB"/>
    <w:rsid w:val="7A01F98D"/>
    <w:rsid w:val="7A05242E"/>
    <w:rsid w:val="7A0DFDD0"/>
    <w:rsid w:val="7A12CE6E"/>
    <w:rsid w:val="7A2839E0"/>
    <w:rsid w:val="7A29E30D"/>
    <w:rsid w:val="7A37E38F"/>
    <w:rsid w:val="7A594F39"/>
    <w:rsid w:val="7A6C3D35"/>
    <w:rsid w:val="7A91FAC1"/>
    <w:rsid w:val="7A961996"/>
    <w:rsid w:val="7AAC3C1D"/>
    <w:rsid w:val="7ABD18D0"/>
    <w:rsid w:val="7AC60ED9"/>
    <w:rsid w:val="7AC74CA4"/>
    <w:rsid w:val="7AC8ED38"/>
    <w:rsid w:val="7AD472E2"/>
    <w:rsid w:val="7ADA0291"/>
    <w:rsid w:val="7AE322B4"/>
    <w:rsid w:val="7AEE9E73"/>
    <w:rsid w:val="7AF7A7F3"/>
    <w:rsid w:val="7AFB7843"/>
    <w:rsid w:val="7B02E747"/>
    <w:rsid w:val="7B040D3E"/>
    <w:rsid w:val="7B089E31"/>
    <w:rsid w:val="7B0932BC"/>
    <w:rsid w:val="7B0E1952"/>
    <w:rsid w:val="7B0E25F1"/>
    <w:rsid w:val="7B0E2ACB"/>
    <w:rsid w:val="7B1283E0"/>
    <w:rsid w:val="7B172C23"/>
    <w:rsid w:val="7B1BCEC0"/>
    <w:rsid w:val="7B242F8F"/>
    <w:rsid w:val="7B29E48D"/>
    <w:rsid w:val="7B48163C"/>
    <w:rsid w:val="7B53CB8C"/>
    <w:rsid w:val="7B60A9CD"/>
    <w:rsid w:val="7B62C288"/>
    <w:rsid w:val="7B6F84ED"/>
    <w:rsid w:val="7B7F1787"/>
    <w:rsid w:val="7B80E105"/>
    <w:rsid w:val="7B9D8EE8"/>
    <w:rsid w:val="7B9E4343"/>
    <w:rsid w:val="7BA488AE"/>
    <w:rsid w:val="7BA6E033"/>
    <w:rsid w:val="7BAC6033"/>
    <w:rsid w:val="7BB35E2D"/>
    <w:rsid w:val="7BB6DCEF"/>
    <w:rsid w:val="7BBC5FED"/>
    <w:rsid w:val="7BCBBB52"/>
    <w:rsid w:val="7BDDF1E7"/>
    <w:rsid w:val="7BE396E9"/>
    <w:rsid w:val="7BE9266F"/>
    <w:rsid w:val="7BFE0E21"/>
    <w:rsid w:val="7C033BA0"/>
    <w:rsid w:val="7C15A7CC"/>
    <w:rsid w:val="7C1C6CC0"/>
    <w:rsid w:val="7C2DE029"/>
    <w:rsid w:val="7C36E844"/>
    <w:rsid w:val="7C56E595"/>
    <w:rsid w:val="7C63DECF"/>
    <w:rsid w:val="7C6662EF"/>
    <w:rsid w:val="7C6BA690"/>
    <w:rsid w:val="7C6E3028"/>
    <w:rsid w:val="7C8D993D"/>
    <w:rsid w:val="7C962C1E"/>
    <w:rsid w:val="7C9A849B"/>
    <w:rsid w:val="7C9E18D4"/>
    <w:rsid w:val="7CB86FAA"/>
    <w:rsid w:val="7CE6596D"/>
    <w:rsid w:val="7CEEE051"/>
    <w:rsid w:val="7CF375DC"/>
    <w:rsid w:val="7CFC5447"/>
    <w:rsid w:val="7D0C0907"/>
    <w:rsid w:val="7D2B074D"/>
    <w:rsid w:val="7D353DEF"/>
    <w:rsid w:val="7D4E12B8"/>
    <w:rsid w:val="7D557074"/>
    <w:rsid w:val="7D568031"/>
    <w:rsid w:val="7D5719BA"/>
    <w:rsid w:val="7D5A45E9"/>
    <w:rsid w:val="7D61CE56"/>
    <w:rsid w:val="7D64CF53"/>
    <w:rsid w:val="7D683E5E"/>
    <w:rsid w:val="7D7707CB"/>
    <w:rsid w:val="7D7C5F87"/>
    <w:rsid w:val="7D858409"/>
    <w:rsid w:val="7D885951"/>
    <w:rsid w:val="7DAA0D39"/>
    <w:rsid w:val="7DAC2A12"/>
    <w:rsid w:val="7DAD0DAA"/>
    <w:rsid w:val="7DAD872B"/>
    <w:rsid w:val="7DB1F5E2"/>
    <w:rsid w:val="7DB28978"/>
    <w:rsid w:val="7DB934BC"/>
    <w:rsid w:val="7DD54568"/>
    <w:rsid w:val="7DD733FE"/>
    <w:rsid w:val="7DE16D09"/>
    <w:rsid w:val="7DE55A50"/>
    <w:rsid w:val="7DEE9D47"/>
    <w:rsid w:val="7DFDA6DD"/>
    <w:rsid w:val="7E08CB29"/>
    <w:rsid w:val="7E1C218E"/>
    <w:rsid w:val="7E1C8C28"/>
    <w:rsid w:val="7E1C9FC5"/>
    <w:rsid w:val="7E2B50FF"/>
    <w:rsid w:val="7E3A6BD7"/>
    <w:rsid w:val="7E41A308"/>
    <w:rsid w:val="7E4769EC"/>
    <w:rsid w:val="7E4A7CB0"/>
    <w:rsid w:val="7E4D3D37"/>
    <w:rsid w:val="7E5C401A"/>
    <w:rsid w:val="7E6BA03B"/>
    <w:rsid w:val="7E834E1C"/>
    <w:rsid w:val="7E8EAF14"/>
    <w:rsid w:val="7E8FF9DC"/>
    <w:rsid w:val="7E91341F"/>
    <w:rsid w:val="7EA2998A"/>
    <w:rsid w:val="7EBC917B"/>
    <w:rsid w:val="7ED755C9"/>
    <w:rsid w:val="7EDB5F3E"/>
    <w:rsid w:val="7EDDE80D"/>
    <w:rsid w:val="7EEA6C09"/>
    <w:rsid w:val="7EED53FA"/>
    <w:rsid w:val="7EF42E73"/>
    <w:rsid w:val="7EF44B2A"/>
    <w:rsid w:val="7F08DB4B"/>
    <w:rsid w:val="7F2A8F78"/>
    <w:rsid w:val="7F53D730"/>
    <w:rsid w:val="7F590985"/>
    <w:rsid w:val="7F64E70F"/>
    <w:rsid w:val="7F7105FB"/>
    <w:rsid w:val="7F73E22E"/>
    <w:rsid w:val="7F7F80A4"/>
    <w:rsid w:val="7F87D518"/>
    <w:rsid w:val="7F92D2C1"/>
    <w:rsid w:val="7F98DC07"/>
    <w:rsid w:val="7F9F7DFF"/>
    <w:rsid w:val="7FA29888"/>
    <w:rsid w:val="7FA52915"/>
    <w:rsid w:val="7FB1BE00"/>
    <w:rsid w:val="7FC0D6A7"/>
    <w:rsid w:val="7FC17E60"/>
    <w:rsid w:val="7FC747A0"/>
    <w:rsid w:val="7FCFC150"/>
    <w:rsid w:val="7FD0EBBF"/>
    <w:rsid w:val="7FE3B10F"/>
    <w:rsid w:val="7FE83F90"/>
    <w:rsid w:val="7FF602C0"/>
    <w:rsid w:val="7FF70394"/>
    <w:rsid w:val="7FFB6050"/>
    <w:rsid w:val="7FFFBB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60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F7"/>
  </w:style>
  <w:style w:type="paragraph" w:styleId="Heading1">
    <w:name w:val="heading 1"/>
    <w:basedOn w:val="Normal"/>
    <w:next w:val="Normal"/>
    <w:link w:val="Heading1Char"/>
    <w:uiPriority w:val="9"/>
    <w:qFormat/>
    <w:rsid w:val="00F363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63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633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633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633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6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3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63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633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633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633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6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3C"/>
    <w:rPr>
      <w:rFonts w:eastAsiaTheme="majorEastAsia" w:cstheme="majorBidi"/>
      <w:color w:val="272727" w:themeColor="text1" w:themeTint="D8"/>
    </w:rPr>
  </w:style>
  <w:style w:type="paragraph" w:styleId="Title">
    <w:name w:val="Title"/>
    <w:basedOn w:val="Normal"/>
    <w:next w:val="Normal"/>
    <w:link w:val="TitleChar"/>
    <w:uiPriority w:val="10"/>
    <w:qFormat/>
    <w:rsid w:val="00F36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33C"/>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
    <w:basedOn w:val="Normal"/>
    <w:link w:val="ListParagraphChar"/>
    <w:uiPriority w:val="34"/>
    <w:qFormat/>
    <w:rsid w:val="00F3633C"/>
    <w:pPr>
      <w:ind w:left="720"/>
      <w:contextualSpacing/>
    </w:pPr>
  </w:style>
  <w:style w:type="character" w:styleId="IntenseEmphasis">
    <w:name w:val="Intense Emphasis"/>
    <w:basedOn w:val="DefaultParagraphFont"/>
    <w:uiPriority w:val="21"/>
    <w:qFormat/>
    <w:rsid w:val="00F3633C"/>
    <w:rPr>
      <w:i/>
      <w:iCs/>
      <w:color w:val="365F91" w:themeColor="accent1" w:themeShade="BF"/>
    </w:rPr>
  </w:style>
  <w:style w:type="paragraph" w:styleId="IntenseQuote">
    <w:name w:val="Intense Quote"/>
    <w:basedOn w:val="Normal"/>
    <w:next w:val="Normal"/>
    <w:link w:val="IntenseQuoteChar"/>
    <w:uiPriority w:val="30"/>
    <w:qFormat/>
    <w:rsid w:val="00F363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633C"/>
    <w:rPr>
      <w:i/>
      <w:iCs/>
      <w:color w:val="365F91" w:themeColor="accent1" w:themeShade="BF"/>
    </w:rPr>
  </w:style>
  <w:style w:type="character" w:styleId="IntenseReference">
    <w:name w:val="Intense Reference"/>
    <w:basedOn w:val="DefaultParagraphFont"/>
    <w:uiPriority w:val="32"/>
    <w:qFormat/>
    <w:rsid w:val="00F3633C"/>
    <w:rPr>
      <w:b/>
      <w:bCs/>
      <w:smallCaps/>
      <w:color w:val="365F91" w:themeColor="accent1" w:themeShade="BF"/>
      <w:spacing w:val="5"/>
    </w:rPr>
  </w:style>
  <w:style w:type="table" w:styleId="TableGrid">
    <w:name w:val="Table Grid"/>
    <w:basedOn w:val="TableNormal"/>
    <w:uiPriority w:val="59"/>
    <w:rsid w:val="00A054BE"/>
    <w:pPr>
      <w:spacing w:after="0" w:line="240" w:lineRule="auto"/>
    </w:pPr>
    <w:tblPr/>
  </w:style>
  <w:style w:type="paragraph" w:styleId="Revision">
    <w:name w:val="Revision"/>
    <w:hidden/>
    <w:uiPriority w:val="99"/>
    <w:semiHidden/>
    <w:rsid w:val="007C5AF9"/>
    <w:pPr>
      <w:spacing w:after="0" w:line="240" w:lineRule="auto"/>
    </w:pPr>
  </w:style>
  <w:style w:type="character" w:styleId="CommentReference">
    <w:name w:val="annotation reference"/>
    <w:basedOn w:val="DefaultParagraphFont"/>
    <w:uiPriority w:val="99"/>
    <w:semiHidden/>
    <w:unhideWhenUsed/>
    <w:rsid w:val="00EB0F54"/>
    <w:rPr>
      <w:sz w:val="16"/>
      <w:szCs w:val="16"/>
    </w:rPr>
  </w:style>
  <w:style w:type="paragraph" w:styleId="CommentText">
    <w:name w:val="annotation text"/>
    <w:basedOn w:val="Normal"/>
    <w:link w:val="CommentTextChar"/>
    <w:uiPriority w:val="99"/>
    <w:unhideWhenUsed/>
    <w:rsid w:val="00EB0F54"/>
    <w:pPr>
      <w:spacing w:line="240" w:lineRule="auto"/>
    </w:pPr>
    <w:rPr>
      <w:sz w:val="20"/>
      <w:szCs w:val="20"/>
    </w:rPr>
  </w:style>
  <w:style w:type="character" w:customStyle="1" w:styleId="CommentTextChar">
    <w:name w:val="Comment Text Char"/>
    <w:basedOn w:val="DefaultParagraphFont"/>
    <w:link w:val="CommentText"/>
    <w:uiPriority w:val="99"/>
    <w:rsid w:val="00EB0F54"/>
    <w:rPr>
      <w:sz w:val="20"/>
      <w:szCs w:val="20"/>
    </w:rPr>
  </w:style>
  <w:style w:type="paragraph" w:styleId="CommentSubject">
    <w:name w:val="annotation subject"/>
    <w:basedOn w:val="CommentText"/>
    <w:next w:val="CommentText"/>
    <w:link w:val="CommentSubjectChar"/>
    <w:uiPriority w:val="99"/>
    <w:semiHidden/>
    <w:unhideWhenUsed/>
    <w:rsid w:val="00EB0F54"/>
    <w:rPr>
      <w:b/>
      <w:bCs/>
    </w:rPr>
  </w:style>
  <w:style w:type="character" w:customStyle="1" w:styleId="CommentSubjectChar">
    <w:name w:val="Comment Subject Char"/>
    <w:basedOn w:val="CommentTextChar"/>
    <w:link w:val="CommentSubject"/>
    <w:uiPriority w:val="99"/>
    <w:semiHidden/>
    <w:rsid w:val="00EB0F54"/>
    <w:rPr>
      <w:b/>
      <w:bCs/>
      <w:sz w:val="20"/>
      <w:szCs w:val="20"/>
    </w:rPr>
  </w:style>
  <w:style w:type="paragraph" w:styleId="Caption">
    <w:name w:val="caption"/>
    <w:basedOn w:val="Normal"/>
    <w:next w:val="Normal"/>
    <w:uiPriority w:val="35"/>
    <w:unhideWhenUsed/>
    <w:qFormat/>
    <w:rsid w:val="00530233"/>
    <w:pPr>
      <w:spacing w:line="240" w:lineRule="auto"/>
    </w:pPr>
    <w:rPr>
      <w:i/>
      <w:iCs/>
      <w:color w:val="1F497D" w:themeColor="text2"/>
      <w:sz w:val="18"/>
      <w:szCs w:val="18"/>
    </w:rPr>
  </w:style>
  <w:style w:type="paragraph" w:styleId="Header">
    <w:name w:val="header"/>
    <w:basedOn w:val="Normal"/>
    <w:link w:val="HeaderChar"/>
    <w:uiPriority w:val="99"/>
    <w:unhideWhenUsed/>
    <w:rsid w:val="00F41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44"/>
  </w:style>
  <w:style w:type="paragraph" w:styleId="Footer">
    <w:name w:val="footer"/>
    <w:basedOn w:val="Normal"/>
    <w:link w:val="FooterChar"/>
    <w:uiPriority w:val="99"/>
    <w:unhideWhenUsed/>
    <w:rsid w:val="00F41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44"/>
  </w:style>
  <w:style w:type="paragraph" w:styleId="FootnoteText">
    <w:name w:val="footnote text"/>
    <w:basedOn w:val="Normal"/>
    <w:link w:val="FootnoteTextChar"/>
    <w:uiPriority w:val="99"/>
    <w:semiHidden/>
    <w:unhideWhenUsed/>
    <w:rsid w:val="00ED3D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D35"/>
    <w:rPr>
      <w:sz w:val="20"/>
      <w:szCs w:val="20"/>
    </w:rPr>
  </w:style>
  <w:style w:type="character" w:styleId="FootnoteReference">
    <w:name w:val="footnote reference"/>
    <w:basedOn w:val="DefaultParagraphFont"/>
    <w:uiPriority w:val="99"/>
    <w:semiHidden/>
    <w:unhideWhenUsed/>
    <w:rsid w:val="00ED3D35"/>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682D89"/>
  </w:style>
  <w:style w:type="character" w:styleId="Hyperlink">
    <w:name w:val="Hyperlink"/>
    <w:basedOn w:val="DefaultParagraphFont"/>
    <w:uiPriority w:val="99"/>
    <w:unhideWhenUsed/>
    <w:rsid w:val="00B546F7"/>
    <w:rPr>
      <w:color w:val="0000FF" w:themeColor="hyperlink"/>
      <w:u w:val="single"/>
    </w:rPr>
  </w:style>
  <w:style w:type="table" w:customStyle="1" w:styleId="TableGrid1">
    <w:name w:val="Table Grid1"/>
    <w:basedOn w:val="TableNormal"/>
    <w:next w:val="TableGrid"/>
    <w:uiPriority w:val="59"/>
    <w:rsid w:val="0097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9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60277"/>
    <w:rPr>
      <w:color w:val="0000FF"/>
      <w:shd w:val="clear" w:color="auto" w:fill="auto"/>
    </w:rPr>
  </w:style>
  <w:style w:type="paragraph" w:customStyle="1" w:styleId="Pagedecouverture">
    <w:name w:val="Page de couverture"/>
    <w:basedOn w:val="Normal"/>
    <w:next w:val="Normal"/>
    <w:rsid w:val="00D6027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6027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60277"/>
    <w:rPr>
      <w:rFonts w:ascii="Times New Roman" w:hAnsi="Times New Roman" w:cs="Times New Roman"/>
      <w:sz w:val="24"/>
    </w:rPr>
  </w:style>
  <w:style w:type="paragraph" w:customStyle="1" w:styleId="FooterSensitivity">
    <w:name w:val="Footer Sensitivity"/>
    <w:basedOn w:val="Normal"/>
    <w:link w:val="FooterSensitivityChar"/>
    <w:rsid w:val="00D6027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60277"/>
    <w:rPr>
      <w:rFonts w:ascii="Times New Roman" w:hAnsi="Times New Roman" w:cs="Times New Roman"/>
      <w:b/>
      <w:sz w:val="32"/>
    </w:rPr>
  </w:style>
  <w:style w:type="paragraph" w:customStyle="1" w:styleId="HeaderCoverPage">
    <w:name w:val="Header Cover Page"/>
    <w:basedOn w:val="Normal"/>
    <w:link w:val="HeaderCoverPageChar"/>
    <w:rsid w:val="00D6027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60277"/>
    <w:rPr>
      <w:rFonts w:ascii="Times New Roman" w:hAnsi="Times New Roman" w:cs="Times New Roman"/>
      <w:sz w:val="24"/>
    </w:rPr>
  </w:style>
  <w:style w:type="paragraph" w:customStyle="1" w:styleId="HeaderSensitivity">
    <w:name w:val="Header Sensitivity"/>
    <w:basedOn w:val="Normal"/>
    <w:link w:val="HeaderSensitivityChar"/>
    <w:rsid w:val="00D6027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60277"/>
    <w:rPr>
      <w:rFonts w:ascii="Times New Roman" w:hAnsi="Times New Roman" w:cs="Times New Roman"/>
      <w:b/>
      <w:sz w:val="32"/>
    </w:rPr>
  </w:style>
  <w:style w:type="paragraph" w:customStyle="1" w:styleId="HeaderSensitivityRight">
    <w:name w:val="Header Sensitivity Right"/>
    <w:basedOn w:val="Normal"/>
    <w:link w:val="HeaderSensitivityRightChar"/>
    <w:rsid w:val="00CA5E3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60277"/>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EF278F"/>
    <w:rPr>
      <w:color w:val="605E5C"/>
      <w:shd w:val="clear" w:color="auto" w:fill="E1DFDD"/>
    </w:rPr>
  </w:style>
  <w:style w:type="paragraph" w:customStyle="1" w:styleId="Disclaimer">
    <w:name w:val="Disclaimer"/>
    <w:basedOn w:val="Normal"/>
    <w:rsid w:val="00CA5E3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A5E3D"/>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CA5E3D"/>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CA5E3D"/>
    <w:pPr>
      <w:spacing w:after="0"/>
      <w:ind w:left="5103"/>
    </w:pPr>
    <w:rPr>
      <w:rFonts w:ascii="Times New Roman" w:hAnsi="Times New Roman" w:cs="Times New Roman"/>
      <w:i/>
      <w:kern w:val="0"/>
      <w:sz w:val="28"/>
      <w14:ligatures w14:val="none"/>
    </w:rPr>
  </w:style>
  <w:style w:type="paragraph" w:customStyle="1" w:styleId="Languesfaisantfoi">
    <w:name w:val="Langues faisant foi"/>
    <w:basedOn w:val="Normal"/>
    <w:next w:val="Normal"/>
    <w:rsid w:val="00F74FBF"/>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74FBF"/>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74FBF"/>
    <w:pPr>
      <w:spacing w:after="0"/>
    </w:pPr>
  </w:style>
  <w:style w:type="paragraph" w:customStyle="1" w:styleId="IntrtEEEPagedecouverture">
    <w:name w:val="Intérêt EEE (Page de couverture)"/>
    <w:basedOn w:val="IntrtEEE"/>
    <w:next w:val="Normal"/>
    <w:rsid w:val="00F74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379">
      <w:bodyDiv w:val="1"/>
      <w:marLeft w:val="0"/>
      <w:marRight w:val="0"/>
      <w:marTop w:val="0"/>
      <w:marBottom w:val="0"/>
      <w:divBdr>
        <w:top w:val="none" w:sz="0" w:space="0" w:color="auto"/>
        <w:left w:val="none" w:sz="0" w:space="0" w:color="auto"/>
        <w:bottom w:val="none" w:sz="0" w:space="0" w:color="auto"/>
        <w:right w:val="none" w:sz="0" w:space="0" w:color="auto"/>
      </w:divBdr>
    </w:div>
    <w:div w:id="65149658">
      <w:bodyDiv w:val="1"/>
      <w:marLeft w:val="0"/>
      <w:marRight w:val="0"/>
      <w:marTop w:val="0"/>
      <w:marBottom w:val="0"/>
      <w:divBdr>
        <w:top w:val="none" w:sz="0" w:space="0" w:color="auto"/>
        <w:left w:val="none" w:sz="0" w:space="0" w:color="auto"/>
        <w:bottom w:val="none" w:sz="0" w:space="0" w:color="auto"/>
        <w:right w:val="none" w:sz="0" w:space="0" w:color="auto"/>
      </w:divBdr>
    </w:div>
    <w:div w:id="81725283">
      <w:bodyDiv w:val="1"/>
      <w:marLeft w:val="0"/>
      <w:marRight w:val="0"/>
      <w:marTop w:val="0"/>
      <w:marBottom w:val="0"/>
      <w:divBdr>
        <w:top w:val="none" w:sz="0" w:space="0" w:color="auto"/>
        <w:left w:val="none" w:sz="0" w:space="0" w:color="auto"/>
        <w:bottom w:val="none" w:sz="0" w:space="0" w:color="auto"/>
        <w:right w:val="none" w:sz="0" w:space="0" w:color="auto"/>
      </w:divBdr>
    </w:div>
    <w:div w:id="219756321">
      <w:bodyDiv w:val="1"/>
      <w:marLeft w:val="0"/>
      <w:marRight w:val="0"/>
      <w:marTop w:val="0"/>
      <w:marBottom w:val="0"/>
      <w:divBdr>
        <w:top w:val="none" w:sz="0" w:space="0" w:color="auto"/>
        <w:left w:val="none" w:sz="0" w:space="0" w:color="auto"/>
        <w:bottom w:val="none" w:sz="0" w:space="0" w:color="auto"/>
        <w:right w:val="none" w:sz="0" w:space="0" w:color="auto"/>
      </w:divBdr>
    </w:div>
    <w:div w:id="320156221">
      <w:bodyDiv w:val="1"/>
      <w:marLeft w:val="0"/>
      <w:marRight w:val="0"/>
      <w:marTop w:val="0"/>
      <w:marBottom w:val="0"/>
      <w:divBdr>
        <w:top w:val="none" w:sz="0" w:space="0" w:color="auto"/>
        <w:left w:val="none" w:sz="0" w:space="0" w:color="auto"/>
        <w:bottom w:val="none" w:sz="0" w:space="0" w:color="auto"/>
        <w:right w:val="none" w:sz="0" w:space="0" w:color="auto"/>
      </w:divBdr>
    </w:div>
    <w:div w:id="383022861">
      <w:bodyDiv w:val="1"/>
      <w:marLeft w:val="0"/>
      <w:marRight w:val="0"/>
      <w:marTop w:val="0"/>
      <w:marBottom w:val="0"/>
      <w:divBdr>
        <w:top w:val="none" w:sz="0" w:space="0" w:color="auto"/>
        <w:left w:val="none" w:sz="0" w:space="0" w:color="auto"/>
        <w:bottom w:val="none" w:sz="0" w:space="0" w:color="auto"/>
        <w:right w:val="none" w:sz="0" w:space="0" w:color="auto"/>
      </w:divBdr>
    </w:div>
    <w:div w:id="384380578">
      <w:bodyDiv w:val="1"/>
      <w:marLeft w:val="0"/>
      <w:marRight w:val="0"/>
      <w:marTop w:val="0"/>
      <w:marBottom w:val="0"/>
      <w:divBdr>
        <w:top w:val="none" w:sz="0" w:space="0" w:color="auto"/>
        <w:left w:val="none" w:sz="0" w:space="0" w:color="auto"/>
        <w:bottom w:val="none" w:sz="0" w:space="0" w:color="auto"/>
        <w:right w:val="none" w:sz="0" w:space="0" w:color="auto"/>
      </w:divBdr>
    </w:div>
    <w:div w:id="413865892">
      <w:bodyDiv w:val="1"/>
      <w:marLeft w:val="0"/>
      <w:marRight w:val="0"/>
      <w:marTop w:val="0"/>
      <w:marBottom w:val="0"/>
      <w:divBdr>
        <w:top w:val="none" w:sz="0" w:space="0" w:color="auto"/>
        <w:left w:val="none" w:sz="0" w:space="0" w:color="auto"/>
        <w:bottom w:val="none" w:sz="0" w:space="0" w:color="auto"/>
        <w:right w:val="none" w:sz="0" w:space="0" w:color="auto"/>
      </w:divBdr>
      <w:divsChild>
        <w:div w:id="322582936">
          <w:marLeft w:val="547"/>
          <w:marRight w:val="0"/>
          <w:marTop w:val="0"/>
          <w:marBottom w:val="0"/>
          <w:divBdr>
            <w:top w:val="none" w:sz="0" w:space="0" w:color="auto"/>
            <w:left w:val="none" w:sz="0" w:space="0" w:color="auto"/>
            <w:bottom w:val="none" w:sz="0" w:space="0" w:color="auto"/>
            <w:right w:val="none" w:sz="0" w:space="0" w:color="auto"/>
          </w:divBdr>
        </w:div>
      </w:divsChild>
    </w:div>
    <w:div w:id="424807035">
      <w:bodyDiv w:val="1"/>
      <w:marLeft w:val="0"/>
      <w:marRight w:val="0"/>
      <w:marTop w:val="0"/>
      <w:marBottom w:val="0"/>
      <w:divBdr>
        <w:top w:val="none" w:sz="0" w:space="0" w:color="auto"/>
        <w:left w:val="none" w:sz="0" w:space="0" w:color="auto"/>
        <w:bottom w:val="none" w:sz="0" w:space="0" w:color="auto"/>
        <w:right w:val="none" w:sz="0" w:space="0" w:color="auto"/>
      </w:divBdr>
      <w:divsChild>
        <w:div w:id="522397329">
          <w:marLeft w:val="547"/>
          <w:marRight w:val="0"/>
          <w:marTop w:val="0"/>
          <w:marBottom w:val="0"/>
          <w:divBdr>
            <w:top w:val="none" w:sz="0" w:space="0" w:color="auto"/>
            <w:left w:val="none" w:sz="0" w:space="0" w:color="auto"/>
            <w:bottom w:val="none" w:sz="0" w:space="0" w:color="auto"/>
            <w:right w:val="none" w:sz="0" w:space="0" w:color="auto"/>
          </w:divBdr>
        </w:div>
      </w:divsChild>
    </w:div>
    <w:div w:id="438329871">
      <w:bodyDiv w:val="1"/>
      <w:marLeft w:val="0"/>
      <w:marRight w:val="0"/>
      <w:marTop w:val="0"/>
      <w:marBottom w:val="0"/>
      <w:divBdr>
        <w:top w:val="none" w:sz="0" w:space="0" w:color="auto"/>
        <w:left w:val="none" w:sz="0" w:space="0" w:color="auto"/>
        <w:bottom w:val="none" w:sz="0" w:space="0" w:color="auto"/>
        <w:right w:val="none" w:sz="0" w:space="0" w:color="auto"/>
      </w:divBdr>
      <w:divsChild>
        <w:div w:id="880437543">
          <w:marLeft w:val="547"/>
          <w:marRight w:val="0"/>
          <w:marTop w:val="0"/>
          <w:marBottom w:val="0"/>
          <w:divBdr>
            <w:top w:val="none" w:sz="0" w:space="0" w:color="auto"/>
            <w:left w:val="none" w:sz="0" w:space="0" w:color="auto"/>
            <w:bottom w:val="none" w:sz="0" w:space="0" w:color="auto"/>
            <w:right w:val="none" w:sz="0" w:space="0" w:color="auto"/>
          </w:divBdr>
        </w:div>
      </w:divsChild>
    </w:div>
    <w:div w:id="506555876">
      <w:bodyDiv w:val="1"/>
      <w:marLeft w:val="0"/>
      <w:marRight w:val="0"/>
      <w:marTop w:val="0"/>
      <w:marBottom w:val="0"/>
      <w:divBdr>
        <w:top w:val="none" w:sz="0" w:space="0" w:color="auto"/>
        <w:left w:val="none" w:sz="0" w:space="0" w:color="auto"/>
        <w:bottom w:val="none" w:sz="0" w:space="0" w:color="auto"/>
        <w:right w:val="none" w:sz="0" w:space="0" w:color="auto"/>
      </w:divBdr>
    </w:div>
    <w:div w:id="542905750">
      <w:bodyDiv w:val="1"/>
      <w:marLeft w:val="0"/>
      <w:marRight w:val="0"/>
      <w:marTop w:val="0"/>
      <w:marBottom w:val="0"/>
      <w:divBdr>
        <w:top w:val="none" w:sz="0" w:space="0" w:color="auto"/>
        <w:left w:val="none" w:sz="0" w:space="0" w:color="auto"/>
        <w:bottom w:val="none" w:sz="0" w:space="0" w:color="auto"/>
        <w:right w:val="none" w:sz="0" w:space="0" w:color="auto"/>
      </w:divBdr>
    </w:div>
    <w:div w:id="647905972">
      <w:bodyDiv w:val="1"/>
      <w:marLeft w:val="0"/>
      <w:marRight w:val="0"/>
      <w:marTop w:val="0"/>
      <w:marBottom w:val="0"/>
      <w:divBdr>
        <w:top w:val="none" w:sz="0" w:space="0" w:color="auto"/>
        <w:left w:val="none" w:sz="0" w:space="0" w:color="auto"/>
        <w:bottom w:val="none" w:sz="0" w:space="0" w:color="auto"/>
        <w:right w:val="none" w:sz="0" w:space="0" w:color="auto"/>
      </w:divBdr>
      <w:divsChild>
        <w:div w:id="726951247">
          <w:marLeft w:val="547"/>
          <w:marRight w:val="0"/>
          <w:marTop w:val="0"/>
          <w:marBottom w:val="0"/>
          <w:divBdr>
            <w:top w:val="none" w:sz="0" w:space="0" w:color="auto"/>
            <w:left w:val="none" w:sz="0" w:space="0" w:color="auto"/>
            <w:bottom w:val="none" w:sz="0" w:space="0" w:color="auto"/>
            <w:right w:val="none" w:sz="0" w:space="0" w:color="auto"/>
          </w:divBdr>
        </w:div>
      </w:divsChild>
    </w:div>
    <w:div w:id="723868277">
      <w:bodyDiv w:val="1"/>
      <w:marLeft w:val="0"/>
      <w:marRight w:val="0"/>
      <w:marTop w:val="0"/>
      <w:marBottom w:val="0"/>
      <w:divBdr>
        <w:top w:val="none" w:sz="0" w:space="0" w:color="auto"/>
        <w:left w:val="none" w:sz="0" w:space="0" w:color="auto"/>
        <w:bottom w:val="none" w:sz="0" w:space="0" w:color="auto"/>
        <w:right w:val="none" w:sz="0" w:space="0" w:color="auto"/>
      </w:divBdr>
    </w:div>
    <w:div w:id="731199462">
      <w:bodyDiv w:val="1"/>
      <w:marLeft w:val="0"/>
      <w:marRight w:val="0"/>
      <w:marTop w:val="0"/>
      <w:marBottom w:val="0"/>
      <w:divBdr>
        <w:top w:val="none" w:sz="0" w:space="0" w:color="auto"/>
        <w:left w:val="none" w:sz="0" w:space="0" w:color="auto"/>
        <w:bottom w:val="none" w:sz="0" w:space="0" w:color="auto"/>
        <w:right w:val="none" w:sz="0" w:space="0" w:color="auto"/>
      </w:divBdr>
    </w:div>
    <w:div w:id="950161867">
      <w:bodyDiv w:val="1"/>
      <w:marLeft w:val="0"/>
      <w:marRight w:val="0"/>
      <w:marTop w:val="0"/>
      <w:marBottom w:val="0"/>
      <w:divBdr>
        <w:top w:val="none" w:sz="0" w:space="0" w:color="auto"/>
        <w:left w:val="none" w:sz="0" w:space="0" w:color="auto"/>
        <w:bottom w:val="none" w:sz="0" w:space="0" w:color="auto"/>
        <w:right w:val="none" w:sz="0" w:space="0" w:color="auto"/>
      </w:divBdr>
    </w:div>
    <w:div w:id="977490449">
      <w:bodyDiv w:val="1"/>
      <w:marLeft w:val="0"/>
      <w:marRight w:val="0"/>
      <w:marTop w:val="0"/>
      <w:marBottom w:val="0"/>
      <w:divBdr>
        <w:top w:val="none" w:sz="0" w:space="0" w:color="auto"/>
        <w:left w:val="none" w:sz="0" w:space="0" w:color="auto"/>
        <w:bottom w:val="none" w:sz="0" w:space="0" w:color="auto"/>
        <w:right w:val="none" w:sz="0" w:space="0" w:color="auto"/>
      </w:divBdr>
    </w:div>
    <w:div w:id="1044670411">
      <w:bodyDiv w:val="1"/>
      <w:marLeft w:val="0"/>
      <w:marRight w:val="0"/>
      <w:marTop w:val="0"/>
      <w:marBottom w:val="0"/>
      <w:divBdr>
        <w:top w:val="none" w:sz="0" w:space="0" w:color="auto"/>
        <w:left w:val="none" w:sz="0" w:space="0" w:color="auto"/>
        <w:bottom w:val="none" w:sz="0" w:space="0" w:color="auto"/>
        <w:right w:val="none" w:sz="0" w:space="0" w:color="auto"/>
      </w:divBdr>
    </w:div>
    <w:div w:id="1049918043">
      <w:bodyDiv w:val="1"/>
      <w:marLeft w:val="0"/>
      <w:marRight w:val="0"/>
      <w:marTop w:val="0"/>
      <w:marBottom w:val="0"/>
      <w:divBdr>
        <w:top w:val="none" w:sz="0" w:space="0" w:color="auto"/>
        <w:left w:val="none" w:sz="0" w:space="0" w:color="auto"/>
        <w:bottom w:val="none" w:sz="0" w:space="0" w:color="auto"/>
        <w:right w:val="none" w:sz="0" w:space="0" w:color="auto"/>
      </w:divBdr>
    </w:div>
    <w:div w:id="1091513007">
      <w:bodyDiv w:val="1"/>
      <w:marLeft w:val="0"/>
      <w:marRight w:val="0"/>
      <w:marTop w:val="0"/>
      <w:marBottom w:val="0"/>
      <w:divBdr>
        <w:top w:val="none" w:sz="0" w:space="0" w:color="auto"/>
        <w:left w:val="none" w:sz="0" w:space="0" w:color="auto"/>
        <w:bottom w:val="none" w:sz="0" w:space="0" w:color="auto"/>
        <w:right w:val="none" w:sz="0" w:space="0" w:color="auto"/>
      </w:divBdr>
    </w:div>
    <w:div w:id="1228033318">
      <w:bodyDiv w:val="1"/>
      <w:marLeft w:val="0"/>
      <w:marRight w:val="0"/>
      <w:marTop w:val="0"/>
      <w:marBottom w:val="0"/>
      <w:divBdr>
        <w:top w:val="none" w:sz="0" w:space="0" w:color="auto"/>
        <w:left w:val="none" w:sz="0" w:space="0" w:color="auto"/>
        <w:bottom w:val="none" w:sz="0" w:space="0" w:color="auto"/>
        <w:right w:val="none" w:sz="0" w:space="0" w:color="auto"/>
      </w:divBdr>
    </w:div>
    <w:div w:id="1382972768">
      <w:bodyDiv w:val="1"/>
      <w:marLeft w:val="0"/>
      <w:marRight w:val="0"/>
      <w:marTop w:val="0"/>
      <w:marBottom w:val="0"/>
      <w:divBdr>
        <w:top w:val="none" w:sz="0" w:space="0" w:color="auto"/>
        <w:left w:val="none" w:sz="0" w:space="0" w:color="auto"/>
        <w:bottom w:val="none" w:sz="0" w:space="0" w:color="auto"/>
        <w:right w:val="none" w:sz="0" w:space="0" w:color="auto"/>
      </w:divBdr>
    </w:div>
    <w:div w:id="1428381770">
      <w:bodyDiv w:val="1"/>
      <w:marLeft w:val="0"/>
      <w:marRight w:val="0"/>
      <w:marTop w:val="0"/>
      <w:marBottom w:val="0"/>
      <w:divBdr>
        <w:top w:val="none" w:sz="0" w:space="0" w:color="auto"/>
        <w:left w:val="none" w:sz="0" w:space="0" w:color="auto"/>
        <w:bottom w:val="none" w:sz="0" w:space="0" w:color="auto"/>
        <w:right w:val="none" w:sz="0" w:space="0" w:color="auto"/>
      </w:divBdr>
    </w:div>
    <w:div w:id="1431391156">
      <w:bodyDiv w:val="1"/>
      <w:marLeft w:val="0"/>
      <w:marRight w:val="0"/>
      <w:marTop w:val="0"/>
      <w:marBottom w:val="0"/>
      <w:divBdr>
        <w:top w:val="none" w:sz="0" w:space="0" w:color="auto"/>
        <w:left w:val="none" w:sz="0" w:space="0" w:color="auto"/>
        <w:bottom w:val="none" w:sz="0" w:space="0" w:color="auto"/>
        <w:right w:val="none" w:sz="0" w:space="0" w:color="auto"/>
      </w:divBdr>
    </w:div>
    <w:div w:id="1431896717">
      <w:bodyDiv w:val="1"/>
      <w:marLeft w:val="0"/>
      <w:marRight w:val="0"/>
      <w:marTop w:val="0"/>
      <w:marBottom w:val="0"/>
      <w:divBdr>
        <w:top w:val="none" w:sz="0" w:space="0" w:color="auto"/>
        <w:left w:val="none" w:sz="0" w:space="0" w:color="auto"/>
        <w:bottom w:val="none" w:sz="0" w:space="0" w:color="auto"/>
        <w:right w:val="none" w:sz="0" w:space="0" w:color="auto"/>
      </w:divBdr>
    </w:div>
    <w:div w:id="1473404402">
      <w:bodyDiv w:val="1"/>
      <w:marLeft w:val="0"/>
      <w:marRight w:val="0"/>
      <w:marTop w:val="0"/>
      <w:marBottom w:val="0"/>
      <w:divBdr>
        <w:top w:val="none" w:sz="0" w:space="0" w:color="auto"/>
        <w:left w:val="none" w:sz="0" w:space="0" w:color="auto"/>
        <w:bottom w:val="none" w:sz="0" w:space="0" w:color="auto"/>
        <w:right w:val="none" w:sz="0" w:space="0" w:color="auto"/>
      </w:divBdr>
    </w:div>
    <w:div w:id="1623227837">
      <w:bodyDiv w:val="1"/>
      <w:marLeft w:val="0"/>
      <w:marRight w:val="0"/>
      <w:marTop w:val="0"/>
      <w:marBottom w:val="0"/>
      <w:divBdr>
        <w:top w:val="none" w:sz="0" w:space="0" w:color="auto"/>
        <w:left w:val="none" w:sz="0" w:space="0" w:color="auto"/>
        <w:bottom w:val="none" w:sz="0" w:space="0" w:color="auto"/>
        <w:right w:val="none" w:sz="0" w:space="0" w:color="auto"/>
      </w:divBdr>
    </w:div>
    <w:div w:id="1781955151">
      <w:bodyDiv w:val="1"/>
      <w:marLeft w:val="0"/>
      <w:marRight w:val="0"/>
      <w:marTop w:val="0"/>
      <w:marBottom w:val="0"/>
      <w:divBdr>
        <w:top w:val="none" w:sz="0" w:space="0" w:color="auto"/>
        <w:left w:val="none" w:sz="0" w:space="0" w:color="auto"/>
        <w:bottom w:val="none" w:sz="0" w:space="0" w:color="auto"/>
        <w:right w:val="none" w:sz="0" w:space="0" w:color="auto"/>
      </w:divBdr>
    </w:div>
    <w:div w:id="1814325463">
      <w:bodyDiv w:val="1"/>
      <w:marLeft w:val="0"/>
      <w:marRight w:val="0"/>
      <w:marTop w:val="0"/>
      <w:marBottom w:val="0"/>
      <w:divBdr>
        <w:top w:val="none" w:sz="0" w:space="0" w:color="auto"/>
        <w:left w:val="none" w:sz="0" w:space="0" w:color="auto"/>
        <w:bottom w:val="none" w:sz="0" w:space="0" w:color="auto"/>
        <w:right w:val="none" w:sz="0" w:space="0" w:color="auto"/>
      </w:divBdr>
    </w:div>
    <w:div w:id="1876186836">
      <w:bodyDiv w:val="1"/>
      <w:marLeft w:val="0"/>
      <w:marRight w:val="0"/>
      <w:marTop w:val="0"/>
      <w:marBottom w:val="0"/>
      <w:divBdr>
        <w:top w:val="none" w:sz="0" w:space="0" w:color="auto"/>
        <w:left w:val="none" w:sz="0" w:space="0" w:color="auto"/>
        <w:bottom w:val="none" w:sz="0" w:space="0" w:color="auto"/>
        <w:right w:val="none" w:sz="0" w:space="0" w:color="auto"/>
      </w:divBdr>
    </w:div>
    <w:div w:id="1888687559">
      <w:bodyDiv w:val="1"/>
      <w:marLeft w:val="0"/>
      <w:marRight w:val="0"/>
      <w:marTop w:val="0"/>
      <w:marBottom w:val="0"/>
      <w:divBdr>
        <w:top w:val="none" w:sz="0" w:space="0" w:color="auto"/>
        <w:left w:val="none" w:sz="0" w:space="0" w:color="auto"/>
        <w:bottom w:val="none" w:sz="0" w:space="0" w:color="auto"/>
        <w:right w:val="none" w:sz="0" w:space="0" w:color="auto"/>
      </w:divBdr>
    </w:div>
    <w:div w:id="1915698639">
      <w:bodyDiv w:val="1"/>
      <w:marLeft w:val="0"/>
      <w:marRight w:val="0"/>
      <w:marTop w:val="0"/>
      <w:marBottom w:val="0"/>
      <w:divBdr>
        <w:top w:val="none" w:sz="0" w:space="0" w:color="auto"/>
        <w:left w:val="none" w:sz="0" w:space="0" w:color="auto"/>
        <w:bottom w:val="none" w:sz="0" w:space="0" w:color="auto"/>
        <w:right w:val="none" w:sz="0" w:space="0" w:color="auto"/>
      </w:divBdr>
    </w:div>
    <w:div w:id="1918593021">
      <w:bodyDiv w:val="1"/>
      <w:marLeft w:val="0"/>
      <w:marRight w:val="0"/>
      <w:marTop w:val="0"/>
      <w:marBottom w:val="0"/>
      <w:divBdr>
        <w:top w:val="none" w:sz="0" w:space="0" w:color="auto"/>
        <w:left w:val="none" w:sz="0" w:space="0" w:color="auto"/>
        <w:bottom w:val="none" w:sz="0" w:space="0" w:color="auto"/>
        <w:right w:val="none" w:sz="0" w:space="0" w:color="auto"/>
      </w:divBdr>
    </w:div>
    <w:div w:id="1956987322">
      <w:bodyDiv w:val="1"/>
      <w:marLeft w:val="0"/>
      <w:marRight w:val="0"/>
      <w:marTop w:val="0"/>
      <w:marBottom w:val="0"/>
      <w:divBdr>
        <w:top w:val="none" w:sz="0" w:space="0" w:color="auto"/>
        <w:left w:val="none" w:sz="0" w:space="0" w:color="auto"/>
        <w:bottom w:val="none" w:sz="0" w:space="0" w:color="auto"/>
        <w:right w:val="none" w:sz="0" w:space="0" w:color="auto"/>
      </w:divBdr>
    </w:div>
    <w:div w:id="1971933450">
      <w:bodyDiv w:val="1"/>
      <w:marLeft w:val="0"/>
      <w:marRight w:val="0"/>
      <w:marTop w:val="0"/>
      <w:marBottom w:val="0"/>
      <w:divBdr>
        <w:top w:val="none" w:sz="0" w:space="0" w:color="auto"/>
        <w:left w:val="none" w:sz="0" w:space="0" w:color="auto"/>
        <w:bottom w:val="none" w:sz="0" w:space="0" w:color="auto"/>
        <w:right w:val="none" w:sz="0" w:space="0" w:color="auto"/>
      </w:divBdr>
    </w:div>
    <w:div w:id="1985961023">
      <w:bodyDiv w:val="1"/>
      <w:marLeft w:val="0"/>
      <w:marRight w:val="0"/>
      <w:marTop w:val="0"/>
      <w:marBottom w:val="0"/>
      <w:divBdr>
        <w:top w:val="none" w:sz="0" w:space="0" w:color="auto"/>
        <w:left w:val="none" w:sz="0" w:space="0" w:color="auto"/>
        <w:bottom w:val="none" w:sz="0" w:space="0" w:color="auto"/>
        <w:right w:val="none" w:sz="0" w:space="0" w:color="auto"/>
      </w:divBdr>
    </w:div>
    <w:div w:id="2008894974">
      <w:bodyDiv w:val="1"/>
      <w:marLeft w:val="0"/>
      <w:marRight w:val="0"/>
      <w:marTop w:val="0"/>
      <w:marBottom w:val="0"/>
      <w:divBdr>
        <w:top w:val="none" w:sz="0" w:space="0" w:color="auto"/>
        <w:left w:val="none" w:sz="0" w:space="0" w:color="auto"/>
        <w:bottom w:val="none" w:sz="0" w:space="0" w:color="auto"/>
        <w:right w:val="none" w:sz="0" w:space="0" w:color="auto"/>
      </w:divBdr>
      <w:divsChild>
        <w:div w:id="177623839">
          <w:marLeft w:val="547"/>
          <w:marRight w:val="0"/>
          <w:marTop w:val="0"/>
          <w:marBottom w:val="0"/>
          <w:divBdr>
            <w:top w:val="none" w:sz="0" w:space="0" w:color="auto"/>
            <w:left w:val="none" w:sz="0" w:space="0" w:color="auto"/>
            <w:bottom w:val="none" w:sz="0" w:space="0" w:color="auto"/>
            <w:right w:val="none" w:sz="0" w:space="0" w:color="auto"/>
          </w:divBdr>
        </w:div>
      </w:divsChild>
    </w:div>
    <w:div w:id="2076929638">
      <w:bodyDiv w:val="1"/>
      <w:marLeft w:val="0"/>
      <w:marRight w:val="0"/>
      <w:marTop w:val="0"/>
      <w:marBottom w:val="0"/>
      <w:divBdr>
        <w:top w:val="none" w:sz="0" w:space="0" w:color="auto"/>
        <w:left w:val="none" w:sz="0" w:space="0" w:color="auto"/>
        <w:bottom w:val="none" w:sz="0" w:space="0" w:color="auto"/>
        <w:right w:val="none" w:sz="0" w:space="0" w:color="auto"/>
      </w:divBdr>
    </w:div>
    <w:div w:id="210653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diagramQuickStyle" Target="diagrams/quickStyle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diagramLayout" Target="diagrams/layout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4.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E1F518-0D4D-404E-9F47-99626EC5C0D5}" type="doc">
      <dgm:prSet loTypeId="urn:microsoft.com/office/officeart/2005/8/layout/hList6" loCatId="list" qsTypeId="urn:microsoft.com/office/officeart/2005/8/quickstyle/simple1" qsCatId="simple" csTypeId="urn:microsoft.com/office/officeart/2005/8/colors/colorful1" csCatId="colorful" phldr="1"/>
      <dgm:spPr/>
      <dgm:t>
        <a:bodyPr/>
        <a:lstStyle/>
        <a:p>
          <a:endParaRPr lang="en-IE"/>
        </a:p>
      </dgm:t>
    </dgm:pt>
    <dgm:pt modelId="{FC6C2292-4751-4BCC-8102-10542BB43FD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ro-RO" sz="600" dirty="0">
              <a:solidFill>
                <a:srgbClr val="FFFFFF"/>
              </a:solidFill>
              <a:latin typeface="Arial"/>
              <a:ea typeface="+mn-ea"/>
              <a:cs typeface="+mn-cs"/>
            </a:rPr>
            <a:t>Reziliență/securitate cibernetică</a:t>
          </a:r>
        </a:p>
      </dgm:t>
    </dgm:pt>
    <dgm:pt modelId="{C637802B-872F-41E0-A348-A13235A23D0F}" type="parTrans" cxnId="{AAB23FE2-C387-45DD-B1B4-FD281BADBC72}">
      <dgm:prSet/>
      <dgm:spPr/>
      <dgm:t>
        <a:bodyPr/>
        <a:lstStyle/>
        <a:p>
          <a:endParaRPr lang="en-IE" sz="750"/>
        </a:p>
      </dgm:t>
    </dgm:pt>
    <dgm:pt modelId="{1500BFAB-AEEA-4F22-A486-78F70627CBFC}" type="sibTrans" cxnId="{AAB23FE2-C387-45DD-B1B4-FD281BADBC72}">
      <dgm:prSet/>
      <dgm:spPr/>
      <dgm:t>
        <a:bodyPr/>
        <a:lstStyle/>
        <a:p>
          <a:endParaRPr lang="en-IE" sz="750"/>
        </a:p>
      </dgm:t>
    </dgm:pt>
    <dgm:pt modelId="{55304315-DCC2-4FB2-AD43-352195E97AFC}">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ro-RO" sz="750" dirty="0">
              <a:solidFill>
                <a:srgbClr val="FFFFFF"/>
              </a:solidFill>
              <a:latin typeface="Arial"/>
              <a:ea typeface="+mn-ea"/>
              <a:cs typeface="+mn-cs"/>
            </a:rPr>
            <a:t>Securitate și ordine publică</a:t>
          </a:r>
        </a:p>
      </dgm:t>
    </dgm:pt>
    <dgm:pt modelId="{8A6DCBBE-DC48-42E2-9025-ADC4934A8754}" type="parTrans" cxnId="{333D579E-DF18-4B3F-95E7-20F466565C90}">
      <dgm:prSet/>
      <dgm:spPr/>
      <dgm:t>
        <a:bodyPr/>
        <a:lstStyle/>
        <a:p>
          <a:endParaRPr lang="en-IE" sz="750"/>
        </a:p>
      </dgm:t>
    </dgm:pt>
    <dgm:pt modelId="{FD045865-B80F-4808-B659-7B82EC1E1AAC}" type="sibTrans" cxnId="{333D579E-DF18-4B3F-95E7-20F466565C90}">
      <dgm:prSet/>
      <dgm:spPr/>
      <dgm:t>
        <a:bodyPr/>
        <a:lstStyle/>
        <a:p>
          <a:endParaRPr lang="en-IE" sz="750"/>
        </a:p>
      </dgm:t>
    </dgm:pt>
    <dgm:pt modelId="{15BFE9C1-D04F-4E5C-998E-5A96A61AD51A}">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ro-RO" sz="750" dirty="0">
              <a:solidFill>
                <a:srgbClr val="FFFFFF"/>
              </a:solidFill>
              <a:latin typeface="Arial"/>
              <a:ea typeface="+mn-ea"/>
              <a:cs typeface="+mn-cs"/>
            </a:rPr>
            <a:t>Măsuri de contracarare a acțiunilor coercitive și măsuri restrictive</a:t>
          </a:r>
        </a:p>
      </dgm:t>
    </dgm:pt>
    <dgm:pt modelId="{E83B14ED-7164-47AF-8FA0-963FA0188214}" type="parTrans" cxnId="{09961330-FDDD-4903-AE29-33EAA09F9799}">
      <dgm:prSet/>
      <dgm:spPr/>
      <dgm:t>
        <a:bodyPr/>
        <a:lstStyle/>
        <a:p>
          <a:endParaRPr lang="en-IE" sz="750"/>
        </a:p>
      </dgm:t>
    </dgm:pt>
    <dgm:pt modelId="{6243D136-6D07-423F-AA9D-D8997BD92E1E}" type="sibTrans" cxnId="{09961330-FDDD-4903-AE29-33EAA09F9799}">
      <dgm:prSet/>
      <dgm:spPr/>
      <dgm:t>
        <a:bodyPr/>
        <a:lstStyle/>
        <a:p>
          <a:endParaRPr lang="en-IE" sz="750"/>
        </a:p>
      </dgm:t>
    </dgm:pt>
    <dgm:pt modelId="{091542FC-77C4-4234-B137-36ED5F844341}">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ro-RO" sz="650" dirty="0">
              <a:solidFill>
                <a:srgbClr val="FFFFFF"/>
              </a:solidFill>
              <a:latin typeface="Arial"/>
              <a:ea typeface="+mn-ea"/>
              <a:cs typeface="+mn-cs"/>
            </a:rPr>
            <a:t>Inițiative sectoriale selectate</a:t>
          </a:r>
        </a:p>
      </dgm:t>
    </dgm:pt>
    <dgm:pt modelId="{073CD249-AA76-40B7-8828-99AFDEC7DEFE}" type="parTrans" cxnId="{53419A4C-5255-4FC6-9604-6A4A1359EB5A}">
      <dgm:prSet/>
      <dgm:spPr/>
      <dgm:t>
        <a:bodyPr/>
        <a:lstStyle/>
        <a:p>
          <a:endParaRPr lang="en-IE" sz="750"/>
        </a:p>
      </dgm:t>
    </dgm:pt>
    <dgm:pt modelId="{810802F9-27CB-44FA-89C8-E07F6C38F086}" type="sibTrans" cxnId="{53419A4C-5255-4FC6-9604-6A4A1359EB5A}">
      <dgm:prSet/>
      <dgm:spPr/>
      <dgm:t>
        <a:bodyPr/>
        <a:lstStyle/>
        <a:p>
          <a:endParaRPr lang="en-IE" sz="750"/>
        </a:p>
      </dgm:t>
    </dgm:pt>
    <dgm:pt modelId="{FC5426B1-5CB5-4C2F-8BEA-269F997A028F}">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ro-RO" sz="750" dirty="0">
              <a:solidFill>
                <a:srgbClr val="FFFFFF"/>
              </a:solidFill>
              <a:latin typeface="Arial"/>
              <a:ea typeface="+mn-ea"/>
              <a:cs typeface="+mn-cs"/>
            </a:rPr>
            <a:t>Comerț și concurență</a:t>
          </a:r>
        </a:p>
      </dgm:t>
    </dgm:pt>
    <dgm:pt modelId="{24F384E6-237C-4CED-B53E-A042FAD2A326}" type="parTrans" cxnId="{9E616936-A5FF-419B-A268-0CD355D95691}">
      <dgm:prSet/>
      <dgm:spPr/>
      <dgm:t>
        <a:bodyPr/>
        <a:lstStyle/>
        <a:p>
          <a:endParaRPr lang="en-IE" sz="750"/>
        </a:p>
      </dgm:t>
    </dgm:pt>
    <dgm:pt modelId="{2FEDFC9A-5F4F-41B0-84D5-FD0C5CA4B273}" type="sibTrans" cxnId="{9E616936-A5FF-419B-A268-0CD355D95691}">
      <dgm:prSet/>
      <dgm:spPr/>
      <dgm:t>
        <a:bodyPr/>
        <a:lstStyle/>
        <a:p>
          <a:endParaRPr lang="en-IE" sz="750"/>
        </a:p>
      </dgm:t>
    </dgm:pt>
    <dgm:pt modelId="{F3772EAF-15CA-4595-AC71-0453610DC12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Regulamentul privind subvențiile străine</a:t>
          </a:r>
        </a:p>
      </dgm:t>
    </dgm:pt>
    <dgm:pt modelId="{303E920C-A3E5-429B-8FC4-6587FEFB40EF}" type="parTrans" cxnId="{6EF5B608-CFE5-41EC-857B-F3F40E3771DB}">
      <dgm:prSet/>
      <dgm:spPr/>
      <dgm:t>
        <a:bodyPr/>
        <a:lstStyle/>
        <a:p>
          <a:endParaRPr lang="en-IE" sz="750"/>
        </a:p>
      </dgm:t>
    </dgm:pt>
    <dgm:pt modelId="{76D7C8E5-E23A-481E-AAB2-A55551622B84}" type="sibTrans" cxnId="{6EF5B608-CFE5-41EC-857B-F3F40E3771DB}">
      <dgm:prSet/>
      <dgm:spPr/>
      <dgm:t>
        <a:bodyPr/>
        <a:lstStyle/>
        <a:p>
          <a:endParaRPr lang="en-IE" sz="750"/>
        </a:p>
      </dgm:t>
    </dgm:pt>
    <dgm:pt modelId="{04C3FD59-AC2E-45D6-BF02-8124F7333553}">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Regulamentul privind situațiile de urgență pe piața internă și </a:t>
          </a:r>
          <a:r>
            <a:rPr lang="ro-RO" sz="600">
              <a:solidFill>
                <a:srgbClr val="FFFFFF"/>
              </a:solidFill>
              <a:latin typeface="Arial"/>
              <a:ea typeface="+mn-ea"/>
              <a:cs typeface="+mn-cs"/>
            </a:rPr>
            <a:t>reziliența pieței interne</a:t>
          </a:r>
        </a:p>
      </dgm:t>
    </dgm:pt>
    <dgm:pt modelId="{CE65F464-8CC0-406E-891E-37DD5AD2DA26}" type="parTrans" cxnId="{847D7D9C-6000-4142-A43C-04B8F14D2A4F}">
      <dgm:prSet/>
      <dgm:spPr/>
      <dgm:t>
        <a:bodyPr/>
        <a:lstStyle/>
        <a:p>
          <a:endParaRPr lang="en-IE" sz="750"/>
        </a:p>
      </dgm:t>
    </dgm:pt>
    <dgm:pt modelId="{621F764B-45EE-4B5F-A91E-E10E06C407C0}" type="sibTrans" cxnId="{847D7D9C-6000-4142-A43C-04B8F14D2A4F}">
      <dgm:prSet/>
      <dgm:spPr/>
      <dgm:t>
        <a:bodyPr/>
        <a:lstStyle/>
        <a:p>
          <a:endParaRPr lang="en-IE" sz="750"/>
        </a:p>
      </dgm:t>
    </dgm:pt>
    <dgm:pt modelId="{B0E3B7F7-6AD2-4DBD-BB01-15579C01285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Regulamentul privind examinarea investițiilor străine directe</a:t>
          </a:r>
        </a:p>
      </dgm:t>
    </dgm:pt>
    <dgm:pt modelId="{F37C651C-9F8E-435C-999F-C5365AC665BA}" type="parTrans" cxnId="{06EA5AE4-1E21-40AA-A687-01776A203D13}">
      <dgm:prSet/>
      <dgm:spPr/>
      <dgm:t>
        <a:bodyPr/>
        <a:lstStyle/>
        <a:p>
          <a:endParaRPr lang="en-IE" sz="750"/>
        </a:p>
      </dgm:t>
    </dgm:pt>
    <dgm:pt modelId="{6ED4DD17-F55E-43DF-802B-5B828D565F03}" type="sibTrans" cxnId="{06EA5AE4-1E21-40AA-A687-01776A203D13}">
      <dgm:prSet/>
      <dgm:spPr/>
      <dgm:t>
        <a:bodyPr/>
        <a:lstStyle/>
        <a:p>
          <a:endParaRPr lang="en-IE" sz="750"/>
        </a:p>
      </dgm:t>
    </dgm:pt>
    <dgm:pt modelId="{770E93E2-299F-4A62-9A92-65FCCC751281}">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Regulamentul privind controlul exporturilor de produse cu dublă utilizare</a:t>
          </a:r>
        </a:p>
      </dgm:t>
    </dgm:pt>
    <dgm:pt modelId="{5A61E83B-0B82-4D5C-829F-6118D662BCFC}" type="parTrans" cxnId="{C8119D0D-537B-4135-8034-8E0EA1AC2E02}">
      <dgm:prSet/>
      <dgm:spPr/>
      <dgm:t>
        <a:bodyPr/>
        <a:lstStyle/>
        <a:p>
          <a:endParaRPr lang="en-IE" sz="750"/>
        </a:p>
      </dgm:t>
    </dgm:pt>
    <dgm:pt modelId="{194D2D46-7D9C-4B59-A065-9D247021C1B5}" type="sibTrans" cxnId="{C8119D0D-537B-4135-8034-8E0EA1AC2E02}">
      <dgm:prSet/>
      <dgm:spPr/>
      <dgm:t>
        <a:bodyPr/>
        <a:lstStyle/>
        <a:p>
          <a:endParaRPr lang="en-IE" sz="750"/>
        </a:p>
      </dgm:t>
    </dgm:pt>
    <dgm:pt modelId="{4FBDDBD6-5226-443A-84AA-4A45605A473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Recomandarea privind monitorizarea investițiilor în exterior</a:t>
          </a:r>
        </a:p>
      </dgm:t>
    </dgm:pt>
    <dgm:pt modelId="{F313CE84-CB7F-49B1-964D-29679D7085D7}" type="parTrans" cxnId="{EF33DF12-BC1D-4DA6-8865-9C7FB6E663F4}">
      <dgm:prSet/>
      <dgm:spPr/>
      <dgm:t>
        <a:bodyPr/>
        <a:lstStyle/>
        <a:p>
          <a:endParaRPr lang="en-IE" sz="750"/>
        </a:p>
      </dgm:t>
    </dgm:pt>
    <dgm:pt modelId="{410712C8-DADE-4158-ABC4-449DAAE97A6E}" type="sibTrans" cxnId="{EF33DF12-BC1D-4DA6-8865-9C7FB6E663F4}">
      <dgm:prSet/>
      <dgm:spPr/>
      <dgm:t>
        <a:bodyPr/>
        <a:lstStyle/>
        <a:p>
          <a:endParaRPr lang="en-IE" sz="750"/>
        </a:p>
      </dgm:t>
    </dgm:pt>
    <dgm:pt modelId="{E4CD00E1-BDD8-4DC4-9998-93952B7540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ro-RO" sz="700" dirty="0">
              <a:solidFill>
                <a:srgbClr val="FFFFFF"/>
              </a:solidFill>
              <a:latin typeface="Arial"/>
              <a:ea typeface="+mn-ea"/>
              <a:cs typeface="+mn-cs"/>
            </a:rPr>
            <a:t>Finanțare și restricții</a:t>
          </a:r>
        </a:p>
      </dgm:t>
    </dgm:pt>
    <dgm:pt modelId="{D7223826-D62D-4F40-ACB6-E66AF23CF4E3}" type="parTrans" cxnId="{3474AE02-5CAF-482B-BFD1-A005F67870A8}">
      <dgm:prSet/>
      <dgm:spPr/>
      <dgm:t>
        <a:bodyPr/>
        <a:lstStyle/>
        <a:p>
          <a:endParaRPr lang="en-IE" sz="750"/>
        </a:p>
      </dgm:t>
    </dgm:pt>
    <dgm:pt modelId="{C1F5DB98-92E3-489E-801C-B3453A465A84}" type="sibTrans" cxnId="{3474AE02-5CAF-482B-BFD1-A005F67870A8}">
      <dgm:prSet/>
      <dgm:spPr/>
      <dgm:t>
        <a:bodyPr/>
        <a:lstStyle/>
        <a:p>
          <a:endParaRPr lang="en-IE" sz="750"/>
        </a:p>
      </dgm:t>
    </dgm:pt>
    <dgm:pt modelId="{DD3F9754-2469-49F2-8619-86E99B2BD57B}">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00" dirty="0">
              <a:solidFill>
                <a:srgbClr val="FFFFFF"/>
              </a:solidFill>
              <a:latin typeface="Arial"/>
              <a:ea typeface="+mn-ea"/>
              <a:cs typeface="+mn-cs"/>
            </a:rPr>
            <a:t>Restricțiile de finanțare din partea UE în cadrul programului Orizont Europa, al programului Europa digitală, al Mecanismului pentru interconectarea Europei</a:t>
          </a:r>
        </a:p>
      </dgm:t>
    </dgm:pt>
    <dgm:pt modelId="{22D30DF2-E30F-46D4-A786-FDB57244F525}" type="parTrans" cxnId="{A6AC50DE-3595-44A7-BF47-D62A74F191DC}">
      <dgm:prSet/>
      <dgm:spPr/>
      <dgm:t>
        <a:bodyPr/>
        <a:lstStyle/>
        <a:p>
          <a:endParaRPr lang="en-IE" sz="750"/>
        </a:p>
      </dgm:t>
    </dgm:pt>
    <dgm:pt modelId="{D67CFEDD-AB22-4D81-9CA1-80083D7E3B40}" type="sibTrans" cxnId="{A6AC50DE-3595-44A7-BF47-D62A74F191DC}">
      <dgm:prSet/>
      <dgm:spPr/>
      <dgm:t>
        <a:bodyPr/>
        <a:lstStyle/>
        <a:p>
          <a:endParaRPr lang="en-IE" sz="750"/>
        </a:p>
      </dgm:t>
    </dgm:pt>
    <dgm:pt modelId="{F4D28CC1-27FF-4B01-86B3-5E5382F5C9D2}">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Instrumentul de contracarare a acțiunilor coercitive</a:t>
          </a:r>
        </a:p>
      </dgm:t>
    </dgm:pt>
    <dgm:pt modelId="{8729205D-17F9-49B3-8104-0C0FF51FFD45}" type="parTrans" cxnId="{5D5EFED8-2671-4E72-BB13-7721B0389C5D}">
      <dgm:prSet/>
      <dgm:spPr/>
      <dgm:t>
        <a:bodyPr/>
        <a:lstStyle/>
        <a:p>
          <a:endParaRPr lang="en-IE" sz="750"/>
        </a:p>
      </dgm:t>
    </dgm:pt>
    <dgm:pt modelId="{A5DCC5EB-9D8A-44FF-B077-6988D283413C}" type="sibTrans" cxnId="{5D5EFED8-2671-4E72-BB13-7721B0389C5D}">
      <dgm:prSet/>
      <dgm:spPr/>
      <dgm:t>
        <a:bodyPr/>
        <a:lstStyle/>
        <a:p>
          <a:endParaRPr lang="en-IE" sz="750"/>
        </a:p>
      </dgm:t>
    </dgm:pt>
    <dgm:pt modelId="{E1917D2C-0B89-495F-8AEC-F425001851AD}">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Sancțiunile/măsurile restrictive  </a:t>
          </a:r>
        </a:p>
      </dgm:t>
    </dgm:pt>
    <dgm:pt modelId="{15E158FF-25C1-49AB-8672-690C2CDFC05D}" type="parTrans" cxnId="{8207AB6A-D02B-4239-83A5-3C38E7539EAC}">
      <dgm:prSet/>
      <dgm:spPr/>
      <dgm:t>
        <a:bodyPr/>
        <a:lstStyle/>
        <a:p>
          <a:endParaRPr lang="en-IE" sz="750"/>
        </a:p>
      </dgm:t>
    </dgm:pt>
    <dgm:pt modelId="{6ECFCAB1-DAC8-4803-BBF3-6C42683D9BF6}" type="sibTrans" cxnId="{8207AB6A-D02B-4239-83A5-3C38E7539EAC}">
      <dgm:prSet/>
      <dgm:spPr/>
      <dgm:t>
        <a:bodyPr/>
        <a:lstStyle/>
        <a:p>
          <a:endParaRPr lang="en-IE" sz="750"/>
        </a:p>
      </dgm:t>
    </dgm:pt>
    <dgm:pt modelId="{3C34AD98-BBC4-4301-8DF1-4F46C29AD298}">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Măsurile antisubvenții</a:t>
          </a:r>
        </a:p>
      </dgm:t>
    </dgm:pt>
    <dgm:pt modelId="{4A9D33D6-58B4-44BA-BDD9-43278D454F6B}" type="parTrans" cxnId="{8BAD415A-3FFF-4E2F-B32C-D8B10608462A}">
      <dgm:prSet/>
      <dgm:spPr/>
      <dgm:t>
        <a:bodyPr/>
        <a:lstStyle/>
        <a:p>
          <a:endParaRPr lang="en-IE" sz="750"/>
        </a:p>
      </dgm:t>
    </dgm:pt>
    <dgm:pt modelId="{E3EE43CE-DB5F-414F-B024-94AC28AE62D0}" type="sibTrans" cxnId="{8BAD415A-3FFF-4E2F-B32C-D8B10608462A}">
      <dgm:prSet/>
      <dgm:spPr/>
      <dgm:t>
        <a:bodyPr/>
        <a:lstStyle/>
        <a:p>
          <a:endParaRPr lang="en-IE" sz="750"/>
        </a:p>
      </dgm:t>
    </dgm:pt>
    <dgm:pt modelId="{1F9B504E-B4CA-4C9F-B85B-3050CED29D4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Măsurile antidumping</a:t>
          </a:r>
        </a:p>
      </dgm:t>
    </dgm:pt>
    <dgm:pt modelId="{982C0BC9-129F-4B32-85BC-70ECFAB9D969}" type="parTrans" cxnId="{8E248FDA-7F39-450C-B700-E8ED8C151109}">
      <dgm:prSet/>
      <dgm:spPr/>
      <dgm:t>
        <a:bodyPr/>
        <a:lstStyle/>
        <a:p>
          <a:endParaRPr lang="en-IE" sz="750"/>
        </a:p>
      </dgm:t>
    </dgm:pt>
    <dgm:pt modelId="{22CDB036-B335-4E2E-89BC-6B7EDE633297}" type="sibTrans" cxnId="{8E248FDA-7F39-450C-B700-E8ED8C151109}">
      <dgm:prSet/>
      <dgm:spPr/>
      <dgm:t>
        <a:bodyPr/>
        <a:lstStyle/>
        <a:p>
          <a:endParaRPr lang="en-IE" sz="750"/>
        </a:p>
      </dgm:t>
    </dgm:pt>
    <dgm:pt modelId="{3B28F38D-37D3-486A-94F5-092EBD95700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Măsurile de salvgardare</a:t>
          </a:r>
        </a:p>
      </dgm:t>
    </dgm:pt>
    <dgm:pt modelId="{9238D67B-2E8C-45C1-BE7C-3E4EF586E3D8}" type="parTrans" cxnId="{46D176D5-F198-481E-863F-4FA428ECA51D}">
      <dgm:prSet/>
      <dgm:spPr/>
      <dgm:t>
        <a:bodyPr/>
        <a:lstStyle/>
        <a:p>
          <a:endParaRPr lang="en-IE" sz="750"/>
        </a:p>
      </dgm:t>
    </dgm:pt>
    <dgm:pt modelId="{4C1F9D30-48BD-48EF-B397-A6BC536FD2F9}" type="sibTrans" cxnId="{46D176D5-F198-481E-863F-4FA428ECA51D}">
      <dgm:prSet/>
      <dgm:spPr/>
      <dgm:t>
        <a:bodyPr/>
        <a:lstStyle/>
        <a:p>
          <a:endParaRPr lang="en-IE" sz="750"/>
        </a:p>
      </dgm:t>
    </dgm:pt>
    <dgm:pt modelId="{84A9FDF7-C95B-4386-9FC8-E024FE3F39F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Directiva privind reziliența entităților critice</a:t>
          </a:r>
        </a:p>
      </dgm:t>
    </dgm:pt>
    <dgm:pt modelId="{11A8D8F7-1304-4B62-82D3-62413CFB64A1}" type="parTrans" cxnId="{7EDC11C5-7E29-452A-90C4-F5E4EF566E77}">
      <dgm:prSet/>
      <dgm:spPr/>
      <dgm:t>
        <a:bodyPr/>
        <a:lstStyle/>
        <a:p>
          <a:endParaRPr lang="en-IE" sz="750"/>
        </a:p>
      </dgm:t>
    </dgm:pt>
    <dgm:pt modelId="{6A0D8D9D-D072-47EB-AD7C-135D7B71A136}" type="sibTrans" cxnId="{7EDC11C5-7E29-452A-90C4-F5E4EF566E77}">
      <dgm:prSet/>
      <dgm:spPr/>
      <dgm:t>
        <a:bodyPr/>
        <a:lstStyle/>
        <a:p>
          <a:endParaRPr lang="en-IE" sz="750"/>
        </a:p>
      </dgm:t>
    </dgm:pt>
    <dgm:pt modelId="{AD4F8265-0F9B-40E8-B3FD-EC74AF2BED07}">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Alte instrumente de concurență</a:t>
          </a:r>
        </a:p>
      </dgm:t>
    </dgm:pt>
    <dgm:pt modelId="{61EB4D57-D180-4BA5-BBA9-1EDFF1B404E0}" type="parTrans" cxnId="{3552D2BE-064D-4D28-9374-EAC4CD7D2383}">
      <dgm:prSet/>
      <dgm:spPr/>
      <dgm:t>
        <a:bodyPr/>
        <a:lstStyle/>
        <a:p>
          <a:endParaRPr lang="en-IE" sz="750"/>
        </a:p>
      </dgm:t>
    </dgm:pt>
    <dgm:pt modelId="{357469FE-0B02-473A-9E97-BE0EDE513F4E}" type="sibTrans" cxnId="{3552D2BE-064D-4D28-9374-EAC4CD7D2383}">
      <dgm:prSet/>
      <dgm:spPr/>
      <dgm:t>
        <a:bodyPr/>
        <a:lstStyle/>
        <a:p>
          <a:endParaRPr lang="en-IE" sz="750"/>
        </a:p>
      </dgm:t>
    </dgm:pt>
    <dgm:pt modelId="{830AA2B8-B78A-4C6D-8210-A180A3D6D5C0}">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Procedurile și controalele vamale</a:t>
          </a:r>
        </a:p>
      </dgm:t>
    </dgm:pt>
    <dgm:pt modelId="{94B3E4D0-7059-47B9-A142-E79BB4207A3A}" type="parTrans" cxnId="{41DC94AF-D9BC-42F5-871A-95145D33379B}">
      <dgm:prSet/>
      <dgm:spPr/>
      <dgm:t>
        <a:bodyPr/>
        <a:lstStyle/>
        <a:p>
          <a:endParaRPr lang="en-IE" sz="750"/>
        </a:p>
      </dgm:t>
    </dgm:pt>
    <dgm:pt modelId="{2764896E-60ED-47F2-884C-B895A283DE3B}" type="sibTrans" cxnId="{41DC94AF-D9BC-42F5-871A-95145D33379B}">
      <dgm:prSet/>
      <dgm:spPr/>
      <dgm:t>
        <a:bodyPr/>
        <a:lstStyle/>
        <a:p>
          <a:endParaRPr lang="en-IE" sz="750"/>
        </a:p>
      </dgm:t>
    </dgm:pt>
    <dgm:pt modelId="{5DD097BC-2F79-4A87-BB4A-4713B462C899}">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Recomandarea Consiliului privind securitatea cercetării</a:t>
          </a:r>
        </a:p>
      </dgm:t>
    </dgm:pt>
    <dgm:pt modelId="{DC98CDCF-ABBA-4F98-896D-1314CCCFD39A}" type="parTrans" cxnId="{52A07306-05C1-476B-90BB-234DAB62FB93}">
      <dgm:prSet/>
      <dgm:spPr/>
      <dgm:t>
        <a:bodyPr/>
        <a:lstStyle/>
        <a:p>
          <a:endParaRPr lang="en-IE" sz="750"/>
        </a:p>
      </dgm:t>
    </dgm:pt>
    <dgm:pt modelId="{A309786A-202C-4007-9CD6-BFF60D24DD25}" type="sibTrans" cxnId="{52A07306-05C1-476B-90BB-234DAB62FB93}">
      <dgm:prSet/>
      <dgm:spPr/>
      <dgm:t>
        <a:bodyPr/>
        <a:lstStyle/>
        <a:p>
          <a:endParaRPr lang="en-IE" sz="750"/>
        </a:p>
      </dgm:t>
    </dgm:pt>
    <dgm:pt modelId="{CB79A8B7-E3B7-462C-9BDE-72DB8A99BFE0}">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Regulamentul privind legea de blocaj</a:t>
          </a:r>
        </a:p>
      </dgm:t>
    </dgm:pt>
    <dgm:pt modelId="{30751327-B2F9-4EDC-B85F-CB5D1145FA96}" type="parTrans" cxnId="{CC48D400-B7E2-4BFE-ADFF-FD5CCCD5583A}">
      <dgm:prSet/>
      <dgm:spPr/>
      <dgm:t>
        <a:bodyPr/>
        <a:lstStyle/>
        <a:p>
          <a:endParaRPr lang="en-IE" sz="750"/>
        </a:p>
      </dgm:t>
    </dgm:pt>
    <dgm:pt modelId="{205304C0-0FEE-4B5A-B8AA-E33A032595FD}" type="sibTrans" cxnId="{CC48D400-B7E2-4BFE-ADFF-FD5CCCD5583A}">
      <dgm:prSet/>
      <dgm:spPr/>
      <dgm:t>
        <a:bodyPr/>
        <a:lstStyle/>
        <a:p>
          <a:endParaRPr lang="en-IE" sz="750"/>
        </a:p>
      </dgm:t>
    </dgm:pt>
    <dgm:pt modelId="{F83E4D16-8CDE-40CF-AD79-DAB8B5BAA128}">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00" dirty="0">
              <a:solidFill>
                <a:srgbClr val="FFFFFF"/>
              </a:solidFill>
              <a:latin typeface="Arial"/>
              <a:ea typeface="+mn-ea"/>
              <a:cs typeface="+mn-cs"/>
            </a:rPr>
            <a:t>Restricțiile de securitate economică (CFM post-2027)</a:t>
          </a:r>
        </a:p>
      </dgm:t>
    </dgm:pt>
    <dgm:pt modelId="{C1EBE26D-A4FF-4781-AB5D-FFD878EB2577}" type="parTrans" cxnId="{141EDDA1-CAE4-4C09-BB63-D6B5E0FF57AA}">
      <dgm:prSet/>
      <dgm:spPr/>
      <dgm:t>
        <a:bodyPr/>
        <a:lstStyle/>
        <a:p>
          <a:endParaRPr lang="en-IE" sz="750"/>
        </a:p>
      </dgm:t>
    </dgm:pt>
    <dgm:pt modelId="{9AE8F018-CF22-4FA0-BDA0-772C84EF4958}" type="sibTrans" cxnId="{141EDDA1-CAE4-4C09-BB63-D6B5E0FF57AA}">
      <dgm:prSet/>
      <dgm:spPr/>
      <dgm:t>
        <a:bodyPr/>
        <a:lstStyle/>
        <a:p>
          <a:endParaRPr lang="en-IE" sz="750"/>
        </a:p>
      </dgm:t>
    </dgm:pt>
    <dgm:pt modelId="{0CC8DE9D-C7DA-4BB3-AFFE-7E4A97D0C3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00" dirty="0">
              <a:solidFill>
                <a:srgbClr val="FFFFFF"/>
              </a:solidFill>
              <a:latin typeface="Arial"/>
              <a:ea typeface="+mn-ea"/>
              <a:cs typeface="+mn-cs"/>
            </a:rPr>
            <a:t>Restricțiile privind furnizorii cu grad ridicat de risc (CFM post-2027)</a:t>
          </a:r>
        </a:p>
      </dgm:t>
    </dgm:pt>
    <dgm:pt modelId="{52FFA7B2-A327-49AE-9B47-510598164EFB}" type="parTrans" cxnId="{F889081F-2C64-42CC-9378-6D4EEFA6EEC5}">
      <dgm:prSet/>
      <dgm:spPr/>
      <dgm:t>
        <a:bodyPr/>
        <a:lstStyle/>
        <a:p>
          <a:endParaRPr lang="en-IE" sz="750"/>
        </a:p>
      </dgm:t>
    </dgm:pt>
    <dgm:pt modelId="{814D1581-7CB2-426B-8854-D7ABD4DFE9F9}" type="sibTrans" cxnId="{F889081F-2C64-42CC-9378-6D4EEFA6EEC5}">
      <dgm:prSet/>
      <dgm:spPr/>
      <dgm:t>
        <a:bodyPr/>
        <a:lstStyle/>
        <a:p>
          <a:endParaRPr lang="en-IE" sz="750"/>
        </a:p>
      </dgm:t>
    </dgm:pt>
    <dgm:pt modelId="{B7FAB7BD-6F60-4CFE-B388-B1D6F323E185}">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00" dirty="0">
              <a:solidFill>
                <a:srgbClr val="FFFFFF"/>
              </a:solidFill>
              <a:latin typeface="Arial"/>
              <a:ea typeface="+mn-ea"/>
              <a:cs typeface="+mn-cs"/>
            </a:rPr>
            <a:t>Instrumentul de coordonare a competitivității</a:t>
          </a:r>
        </a:p>
      </dgm:t>
    </dgm:pt>
    <dgm:pt modelId="{C0FA3409-3925-431E-BF39-F2BB57C61218}" type="parTrans" cxnId="{B7F099A2-8D80-4392-A607-112C9BB0285D}">
      <dgm:prSet/>
      <dgm:spPr/>
      <dgm:t>
        <a:bodyPr/>
        <a:lstStyle/>
        <a:p>
          <a:endParaRPr lang="en-IE" sz="750"/>
        </a:p>
      </dgm:t>
    </dgm:pt>
    <dgm:pt modelId="{DF162088-B441-4B61-B454-44E8FBD72C5E}" type="sibTrans" cxnId="{B7F099A2-8D80-4392-A607-112C9BB0285D}">
      <dgm:prSet/>
      <dgm:spPr/>
      <dgm:t>
        <a:bodyPr/>
        <a:lstStyle/>
        <a:p>
          <a:endParaRPr lang="en-IE" sz="750"/>
        </a:p>
      </dgm:t>
    </dgm:pt>
    <dgm:pt modelId="{0D797494-3AAC-4A9C-B40F-6FA003E4453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Regulamentul privind reziliența cibernetică</a:t>
          </a:r>
        </a:p>
      </dgm:t>
    </dgm:pt>
    <dgm:pt modelId="{AABFFF8D-9369-49FD-AA40-D74CD225D6F4}" type="parTrans" cxnId="{912D5AA9-8371-4A64-AA78-7F559CB390F2}">
      <dgm:prSet/>
      <dgm:spPr/>
      <dgm:t>
        <a:bodyPr/>
        <a:lstStyle/>
        <a:p>
          <a:endParaRPr lang="en-IE" sz="750"/>
        </a:p>
      </dgm:t>
    </dgm:pt>
    <dgm:pt modelId="{6E95E4F7-8143-44F2-8AEC-46E87A9B406D}" type="sibTrans" cxnId="{912D5AA9-8371-4A64-AA78-7F559CB390F2}">
      <dgm:prSet/>
      <dgm:spPr/>
      <dgm:t>
        <a:bodyPr/>
        <a:lstStyle/>
        <a:p>
          <a:endParaRPr lang="en-IE" sz="750"/>
        </a:p>
      </dgm:t>
    </dgm:pt>
    <dgm:pt modelId="{4802F4AA-F16E-4719-9BB5-7E84A5216822}">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Directiva NIS 2</a:t>
          </a:r>
        </a:p>
      </dgm:t>
    </dgm:pt>
    <dgm:pt modelId="{82528740-F2E5-44A0-881B-80E6D4A3F11D}" type="parTrans" cxnId="{1081BA08-E274-4082-81A2-E2BEDBFA8A42}">
      <dgm:prSet/>
      <dgm:spPr/>
      <dgm:t>
        <a:bodyPr/>
        <a:lstStyle/>
        <a:p>
          <a:endParaRPr lang="en-IE" sz="750"/>
        </a:p>
      </dgm:t>
    </dgm:pt>
    <dgm:pt modelId="{3C1C9E77-6F0F-44E4-822E-594D5A0052DC}" type="sibTrans" cxnId="{1081BA08-E274-4082-81A2-E2BEDBFA8A42}">
      <dgm:prSet/>
      <dgm:spPr/>
      <dgm:t>
        <a:bodyPr/>
        <a:lstStyle/>
        <a:p>
          <a:endParaRPr lang="en-IE" sz="750"/>
        </a:p>
      </dgm:t>
    </dgm:pt>
    <dgm:pt modelId="{BAB57D81-92BC-4E3D-B216-07658CD862E0}">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Setul de instrumente pentru 5G</a:t>
          </a:r>
        </a:p>
      </dgm:t>
    </dgm:pt>
    <dgm:pt modelId="{53237665-2B85-4B24-B802-80778DADA226}" type="parTrans" cxnId="{7ED45617-E730-4349-A0CF-0938B44F2710}">
      <dgm:prSet/>
      <dgm:spPr/>
      <dgm:t>
        <a:bodyPr/>
        <a:lstStyle/>
        <a:p>
          <a:endParaRPr lang="en-IE" sz="750"/>
        </a:p>
      </dgm:t>
    </dgm:pt>
    <dgm:pt modelId="{1F94891A-AF11-4AC5-81AA-82531B144D54}" type="sibTrans" cxnId="{7ED45617-E730-4349-A0CF-0938B44F2710}">
      <dgm:prSet/>
      <dgm:spPr/>
      <dgm:t>
        <a:bodyPr/>
        <a:lstStyle/>
        <a:p>
          <a:endParaRPr lang="en-IE" sz="750"/>
        </a:p>
      </dgm:t>
    </dgm:pt>
    <dgm:pt modelId="{E756BBFD-944B-482F-BDAD-EC316B7A504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Regulamentul privind securitatea cibernetică (revizuire)</a:t>
          </a:r>
        </a:p>
      </dgm:t>
    </dgm:pt>
    <dgm:pt modelId="{CC15ABE8-47C3-419C-B9FC-45B91DDF2F71}" type="parTrans" cxnId="{B7D4EF3A-746E-4605-992C-F375117601B1}">
      <dgm:prSet/>
      <dgm:spPr/>
      <dgm:t>
        <a:bodyPr/>
        <a:lstStyle/>
        <a:p>
          <a:endParaRPr lang="en-IE" sz="750"/>
        </a:p>
      </dgm:t>
    </dgm:pt>
    <dgm:pt modelId="{C5355A97-C289-4C53-AC07-CED2D10EAFCC}" type="sibTrans" cxnId="{B7D4EF3A-746E-4605-992C-F375117601B1}">
      <dgm:prSet/>
      <dgm:spPr/>
      <dgm:t>
        <a:bodyPr/>
        <a:lstStyle/>
        <a:p>
          <a:endParaRPr lang="en-IE" sz="750"/>
        </a:p>
      </dgm:t>
    </dgm:pt>
    <dgm:pt modelId="{9FEABC15-0459-44AA-97B3-F20F08DDD21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dirty="0">
              <a:solidFill>
                <a:srgbClr val="FFFFFF"/>
              </a:solidFill>
              <a:latin typeface="Arial"/>
              <a:ea typeface="+mn-ea"/>
              <a:cs typeface="+mn-cs"/>
            </a:rPr>
            <a:t>Regulamentul privind cipurile 2.0</a:t>
          </a:r>
        </a:p>
      </dgm:t>
    </dgm:pt>
    <dgm:pt modelId="{05FC1D4C-0B36-4501-936B-78D21CCB8235}" type="parTrans" cxnId="{3BDE19AA-0A49-4B83-8C25-C02F66FD1E81}">
      <dgm:prSet/>
      <dgm:spPr/>
      <dgm:t>
        <a:bodyPr/>
        <a:lstStyle/>
        <a:p>
          <a:endParaRPr lang="en-IE" sz="750"/>
        </a:p>
      </dgm:t>
    </dgm:pt>
    <dgm:pt modelId="{6AD7162C-4A01-4192-9E99-0F1AD1503950}" type="sibTrans" cxnId="{3BDE19AA-0A49-4B83-8C25-C02F66FD1E81}">
      <dgm:prSet/>
      <dgm:spPr/>
      <dgm:t>
        <a:bodyPr/>
        <a:lstStyle/>
        <a:p>
          <a:endParaRPr lang="en-IE" sz="750"/>
        </a:p>
      </dgm:t>
    </dgm:pt>
    <dgm:pt modelId="{57AC766C-2B08-4360-A8EE-15D8258AB08A}">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dirty="0">
              <a:solidFill>
                <a:srgbClr val="FFFFFF"/>
              </a:solidFill>
              <a:latin typeface="Arial"/>
              <a:ea typeface="+mn-ea"/>
              <a:cs typeface="+mn-cs"/>
            </a:rPr>
            <a:t>Strategia în domeniul tehnologiilor cuantice</a:t>
          </a:r>
        </a:p>
      </dgm:t>
    </dgm:pt>
    <dgm:pt modelId="{373FAD99-B263-42D4-8D82-9D84B0963508}" type="parTrans" cxnId="{ADC87DAD-1CE7-4F72-B757-DE215B57680F}">
      <dgm:prSet/>
      <dgm:spPr/>
      <dgm:t>
        <a:bodyPr/>
        <a:lstStyle/>
        <a:p>
          <a:endParaRPr lang="en-IE" sz="750"/>
        </a:p>
      </dgm:t>
    </dgm:pt>
    <dgm:pt modelId="{8535C4C0-F565-49E5-ABBE-A4F4A978BEB2}" type="sibTrans" cxnId="{ADC87DAD-1CE7-4F72-B757-DE215B57680F}">
      <dgm:prSet/>
      <dgm:spPr/>
      <dgm:t>
        <a:bodyPr/>
        <a:lstStyle/>
        <a:p>
          <a:endParaRPr lang="en-IE" sz="750"/>
        </a:p>
      </dgm:t>
    </dgm:pt>
    <dgm:pt modelId="{60624F2E-7C35-4F03-B96E-184409F4342D}">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dirty="0">
              <a:solidFill>
                <a:srgbClr val="FFFFFF"/>
              </a:solidFill>
              <a:latin typeface="Arial"/>
              <a:ea typeface="+mn-ea"/>
              <a:cs typeface="+mn-cs"/>
            </a:rPr>
            <a:t>Actul legislativ privind accelerarea activității industriale</a:t>
          </a:r>
        </a:p>
      </dgm:t>
    </dgm:pt>
    <dgm:pt modelId="{F9BF3257-07D0-42F1-BEED-FAF51AE088F9}" type="parTrans" cxnId="{422015D5-0CF6-48FA-AE00-DDD0B7CCB303}">
      <dgm:prSet/>
      <dgm:spPr/>
      <dgm:t>
        <a:bodyPr/>
        <a:lstStyle/>
        <a:p>
          <a:endParaRPr lang="en-IE" sz="750"/>
        </a:p>
      </dgm:t>
    </dgm:pt>
    <dgm:pt modelId="{D953FE80-FE3C-42C7-AAAA-FF77249C04D3}" type="sibTrans" cxnId="{422015D5-0CF6-48FA-AE00-DDD0B7CCB303}">
      <dgm:prSet/>
      <dgm:spPr/>
      <dgm:t>
        <a:bodyPr/>
        <a:lstStyle/>
        <a:p>
          <a:endParaRPr lang="en-IE" sz="750"/>
        </a:p>
      </dgm:t>
    </dgm:pt>
    <dgm:pt modelId="{FD4ACB47-016F-4B50-A901-EDB079974BD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dirty="0">
              <a:solidFill>
                <a:srgbClr val="FFFFFF"/>
              </a:solidFill>
              <a:latin typeface="Arial"/>
              <a:ea typeface="+mn-ea"/>
              <a:cs typeface="+mn-cs"/>
            </a:rPr>
            <a:t>Strategia privind o uniune a datelor</a:t>
          </a:r>
        </a:p>
      </dgm:t>
    </dgm:pt>
    <dgm:pt modelId="{9D1423FB-5CA8-4EED-A981-1F9E60045407}" type="parTrans" cxnId="{23F55791-84E0-4EAE-A5D9-719A31562FB7}">
      <dgm:prSet/>
      <dgm:spPr/>
      <dgm:t>
        <a:bodyPr/>
        <a:lstStyle/>
        <a:p>
          <a:endParaRPr lang="en-IE" sz="750"/>
        </a:p>
      </dgm:t>
    </dgm:pt>
    <dgm:pt modelId="{DB704F69-E0CB-426D-A5D3-A4AD69CBFBF4}" type="sibTrans" cxnId="{23F55791-84E0-4EAE-A5D9-719A31562FB7}">
      <dgm:prSet/>
      <dgm:spPr/>
      <dgm:t>
        <a:bodyPr/>
        <a:lstStyle/>
        <a:p>
          <a:endParaRPr lang="en-IE" sz="750"/>
        </a:p>
      </dgm:t>
    </dgm:pt>
    <dgm:pt modelId="{FC445833-E8E7-4104-9135-947123C44BAB}">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dirty="0">
              <a:solidFill>
                <a:srgbClr val="FFFFFF"/>
              </a:solidFill>
              <a:latin typeface="Arial"/>
              <a:ea typeface="+mn-ea"/>
              <a:cs typeface="+mn-cs"/>
            </a:rPr>
            <a:t>Regulamentul privind materiile prime critice (CRM)/Centrul pentru CRM</a:t>
          </a:r>
        </a:p>
      </dgm:t>
    </dgm:pt>
    <dgm:pt modelId="{63BEA2EA-7007-4E7B-AFF7-7A10B1F26A75}" type="parTrans" cxnId="{9EA2FECF-2B89-4F3F-AD4F-BA4A4CFA5A2B}">
      <dgm:prSet/>
      <dgm:spPr/>
      <dgm:t>
        <a:bodyPr/>
        <a:lstStyle/>
        <a:p>
          <a:endParaRPr lang="en-IE" sz="750"/>
        </a:p>
      </dgm:t>
    </dgm:pt>
    <dgm:pt modelId="{D1C6391F-E481-4994-9108-52A1BF839BDA}" type="sibTrans" cxnId="{9EA2FECF-2B89-4F3F-AD4F-BA4A4CFA5A2B}">
      <dgm:prSet/>
      <dgm:spPr/>
      <dgm:t>
        <a:bodyPr/>
        <a:lstStyle/>
        <a:p>
          <a:endParaRPr lang="en-IE" sz="750"/>
        </a:p>
      </dgm:t>
    </dgm:pt>
    <dgm:pt modelId="{E9B9EB72-9426-4FA4-8589-8B819107E6A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Acordurile comerciale</a:t>
          </a:r>
        </a:p>
      </dgm:t>
    </dgm:pt>
    <dgm:pt modelId="{B16268BE-1D24-4B5D-9DF0-1ADC4FA46688}" type="parTrans" cxnId="{436D2974-7E2F-4D32-8A22-6877D0DDF51B}">
      <dgm:prSet/>
      <dgm:spPr/>
      <dgm:t>
        <a:bodyPr/>
        <a:lstStyle/>
        <a:p>
          <a:endParaRPr lang="en-IE" sz="750"/>
        </a:p>
      </dgm:t>
    </dgm:pt>
    <dgm:pt modelId="{93BAE32A-464B-4C8C-8052-0638DF9F16CC}" type="sibTrans" cxnId="{436D2974-7E2F-4D32-8A22-6877D0DDF51B}">
      <dgm:prSet/>
      <dgm:spPr/>
      <dgm:t>
        <a:bodyPr/>
        <a:lstStyle/>
        <a:p>
          <a:endParaRPr lang="en-IE" sz="750"/>
        </a:p>
      </dgm:t>
    </dgm:pt>
    <dgm:pt modelId="{227A9513-2E10-402C-895A-520819FEF38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Regulamentul privind instituirea unui regim comun aplicabil exporturilor</a:t>
          </a:r>
        </a:p>
      </dgm:t>
    </dgm:pt>
    <dgm:pt modelId="{60FAB807-2C96-4183-BF48-F66E55AB7B96}" type="parTrans" cxnId="{279ECA5A-855F-49E1-AA4A-5A8036331FCE}">
      <dgm:prSet/>
      <dgm:spPr/>
      <dgm:t>
        <a:bodyPr/>
        <a:lstStyle/>
        <a:p>
          <a:endParaRPr lang="en-IE" sz="750"/>
        </a:p>
      </dgm:t>
    </dgm:pt>
    <dgm:pt modelId="{96372414-D1E0-4400-A88F-DA1D7232EDF8}" type="sibTrans" cxnId="{279ECA5A-855F-49E1-AA4A-5A8036331FCE}">
      <dgm:prSet/>
      <dgm:spPr/>
      <dgm:t>
        <a:bodyPr/>
        <a:lstStyle/>
        <a:p>
          <a:endParaRPr lang="en-IE" sz="750"/>
        </a:p>
      </dgm:t>
    </dgm:pt>
    <dgm:pt modelId="{4711FC9F-1363-4F63-8A35-9568007F71F8}">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00" dirty="0">
              <a:solidFill>
                <a:srgbClr val="FFFFFF"/>
              </a:solidFill>
              <a:latin typeface="Arial"/>
              <a:ea typeface="+mn-ea"/>
              <a:cs typeface="+mn-cs"/>
            </a:rPr>
            <a:t>Articolul 136 din Regulamentul financiar</a:t>
          </a:r>
        </a:p>
      </dgm:t>
    </dgm:pt>
    <dgm:pt modelId="{9CB79924-16F8-458C-A98B-C98CD64B1699}" type="parTrans" cxnId="{F941E9C2-B258-48EF-B770-4B404D79743C}">
      <dgm:prSet/>
      <dgm:spPr/>
      <dgm:t>
        <a:bodyPr/>
        <a:lstStyle/>
        <a:p>
          <a:endParaRPr lang="en-IE"/>
        </a:p>
      </dgm:t>
    </dgm:pt>
    <dgm:pt modelId="{0B4B6FA6-DFB8-403E-86D8-BE66F0134A1D}" type="sibTrans" cxnId="{F941E9C2-B258-48EF-B770-4B404D79743C}">
      <dgm:prSet/>
      <dgm:spPr/>
      <dgm:t>
        <a:bodyPr/>
        <a:lstStyle/>
        <a:p>
          <a:endParaRPr lang="en-IE"/>
        </a:p>
      </dgm:t>
    </dgm:pt>
    <dgm:pt modelId="{9ECE5984-814A-437A-93D9-91D40498A04B}">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Regulamentul privind solidaritatea cibernetică</a:t>
          </a:r>
        </a:p>
      </dgm:t>
    </dgm:pt>
    <dgm:pt modelId="{1A861B61-7193-4BB0-BD30-0B984D1559D3}" type="parTrans" cxnId="{AF2C69C9-4458-4A00-9D9F-ADB5D3C17AD8}">
      <dgm:prSet/>
      <dgm:spPr/>
      <dgm:t>
        <a:bodyPr/>
        <a:lstStyle/>
        <a:p>
          <a:endParaRPr lang="en-IE"/>
        </a:p>
      </dgm:t>
    </dgm:pt>
    <dgm:pt modelId="{F0E1E402-68F9-47DB-8A79-779E206F03B5}" type="sibTrans" cxnId="{AF2C69C9-4458-4A00-9D9F-ADB5D3C17AD8}">
      <dgm:prSet/>
      <dgm:spPr/>
      <dgm:t>
        <a:bodyPr/>
        <a:lstStyle/>
        <a:p>
          <a:endParaRPr lang="en-IE"/>
        </a:p>
      </dgm:t>
    </dgm:pt>
    <dgm:pt modelId="{4AB266A1-9C11-43DC-B679-A893B4EE153E}">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b="0">
              <a:latin typeface="Arial" panose="020B0604020202020204" pitchFamily="34" charset="0"/>
              <a:cs typeface="Arial" panose="020B0604020202020204" pitchFamily="34" charset="0"/>
            </a:rPr>
            <a:t>Strategia UE privind start-upurile și întreprinderile în fază de extindere</a:t>
          </a:r>
        </a:p>
      </dgm:t>
    </dgm:pt>
    <dgm:pt modelId="{07729513-EEB6-4E36-8683-55C9AC7B050D}" type="parTrans" cxnId="{B4D79968-A0ED-4AB8-9492-1CA6C8763A78}">
      <dgm:prSet/>
      <dgm:spPr/>
      <dgm:t>
        <a:bodyPr/>
        <a:lstStyle/>
        <a:p>
          <a:endParaRPr lang="en-IE"/>
        </a:p>
      </dgm:t>
    </dgm:pt>
    <dgm:pt modelId="{DBFD60C6-74DC-40DA-8342-DA01D7A56FDE}" type="sibTrans" cxnId="{B4D79968-A0ED-4AB8-9492-1CA6C8763A78}">
      <dgm:prSet/>
      <dgm:spPr/>
      <dgm:t>
        <a:bodyPr/>
        <a:lstStyle/>
        <a:p>
          <a:endParaRPr lang="en-IE"/>
        </a:p>
      </dgm:t>
    </dgm:pt>
    <dgm:pt modelId="{452DD774-5A33-4421-8763-4E368B715EC1}">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b="0">
              <a:latin typeface="Arial" panose="020B0604020202020204" pitchFamily="34" charset="0"/>
              <a:cs typeface="Arial" panose="020B0604020202020204" pitchFamily="34" charset="0"/>
            </a:rPr>
            <a:t>Actul european pentru inovare </a:t>
          </a:r>
        </a:p>
      </dgm:t>
    </dgm:pt>
    <dgm:pt modelId="{4B359A1A-A480-499B-8549-7B33725D47CA}" type="parTrans" cxnId="{A80EA6EB-8B46-4683-AC8C-945D19353021}">
      <dgm:prSet/>
      <dgm:spPr/>
      <dgm:t>
        <a:bodyPr/>
        <a:lstStyle/>
        <a:p>
          <a:endParaRPr lang="en-IE"/>
        </a:p>
      </dgm:t>
    </dgm:pt>
    <dgm:pt modelId="{88C309C8-7037-43C4-96EB-4D63F340BF69}" type="sibTrans" cxnId="{A80EA6EB-8B46-4683-AC8C-945D19353021}">
      <dgm:prSet/>
      <dgm:spPr/>
      <dgm:t>
        <a:bodyPr/>
        <a:lstStyle/>
        <a:p>
          <a:endParaRPr lang="en-IE"/>
        </a:p>
      </dgm:t>
    </dgm:pt>
    <dgm:pt modelId="{85E9E1FE-0FBC-49D9-BCD2-5F750B655696}">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00" dirty="0">
              <a:solidFill>
                <a:srgbClr val="FFFFFF"/>
              </a:solidFill>
              <a:latin typeface="Arial"/>
              <a:ea typeface="+mn-ea"/>
              <a:cs typeface="+mn-cs"/>
            </a:rPr>
            <a:t>Global Gateway</a:t>
          </a:r>
        </a:p>
      </dgm:t>
    </dgm:pt>
    <dgm:pt modelId="{A8968741-A16F-4B9E-9607-5E6AC48935CE}" type="parTrans" cxnId="{316BE1E5-17E1-4A14-BB13-FF548C5D2D2F}">
      <dgm:prSet/>
      <dgm:spPr/>
      <dgm:t>
        <a:bodyPr/>
        <a:lstStyle/>
        <a:p>
          <a:endParaRPr lang="en-IE"/>
        </a:p>
      </dgm:t>
    </dgm:pt>
    <dgm:pt modelId="{579301DA-C924-49D6-855A-C00A7C2E919F}" type="sibTrans" cxnId="{316BE1E5-17E1-4A14-BB13-FF548C5D2D2F}">
      <dgm:prSet/>
      <dgm:spPr/>
      <dgm:t>
        <a:bodyPr/>
        <a:lstStyle/>
        <a:p>
          <a:endParaRPr lang="en-IE"/>
        </a:p>
      </dgm:t>
    </dgm:pt>
    <dgm:pt modelId="{9D473F5C-4CB6-41E9-92AC-7EC9713F41A5}">
      <dgm:prSet custT="1"/>
      <dgm:spPr>
        <a:xfrm rot="16200000">
          <a:off x="-2468686"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750" dirty="0">
              <a:solidFill>
                <a:srgbClr val="FFFFFF"/>
              </a:solidFill>
              <a:latin typeface="Arial"/>
              <a:ea typeface="+mn-ea"/>
              <a:cs typeface="+mn-cs"/>
            </a:rPr>
            <a:t>Comerțul bazat pe standarde</a:t>
          </a:r>
        </a:p>
      </dgm:t>
    </dgm:pt>
    <dgm:pt modelId="{1CD8A5C4-4F59-4433-882B-4528DF051DB9}" type="parTrans" cxnId="{30C971C3-E4A8-4F8C-8497-69EA87DE395E}">
      <dgm:prSet/>
      <dgm:spPr/>
      <dgm:t>
        <a:bodyPr/>
        <a:lstStyle/>
        <a:p>
          <a:endParaRPr lang="en-IE"/>
        </a:p>
      </dgm:t>
    </dgm:pt>
    <dgm:pt modelId="{B2395B98-F3F3-479D-AB40-D8E46755994A}" type="sibTrans" cxnId="{30C971C3-E4A8-4F8C-8497-69EA87DE395E}">
      <dgm:prSet/>
      <dgm:spPr/>
      <dgm:t>
        <a:bodyPr/>
        <a:lstStyle/>
        <a:p>
          <a:endParaRPr lang="en-IE"/>
        </a:p>
      </dgm:t>
    </dgm:pt>
    <dgm:pt modelId="{6174DC3F-4E45-4A45-8E81-5C04BB29300F}">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dirty="0">
              <a:solidFill>
                <a:srgbClr val="FFFFFF"/>
              </a:solidFill>
              <a:latin typeface="Arial"/>
              <a:ea typeface="+mn-ea"/>
              <a:cs typeface="+mn-cs"/>
            </a:rPr>
            <a:t>ResourceEU</a:t>
          </a:r>
        </a:p>
      </dgm:t>
    </dgm:pt>
    <dgm:pt modelId="{5CBEFF50-621B-4A38-8B49-A2B323C552B1}" type="parTrans" cxnId="{0BABCE37-BBB3-4FF3-9781-8EFE944D6016}">
      <dgm:prSet/>
      <dgm:spPr/>
      <dgm:t>
        <a:bodyPr/>
        <a:lstStyle/>
        <a:p>
          <a:endParaRPr lang="en-IE"/>
        </a:p>
      </dgm:t>
    </dgm:pt>
    <dgm:pt modelId="{0B5B1DA8-4AFB-4BCA-8738-FB721208F1FA}" type="sibTrans" cxnId="{0BABCE37-BBB3-4FF3-9781-8EFE944D6016}">
      <dgm:prSet/>
      <dgm:spPr/>
      <dgm:t>
        <a:bodyPr/>
        <a:lstStyle/>
        <a:p>
          <a:endParaRPr lang="en-IE"/>
        </a:p>
      </dgm:t>
    </dgm:pt>
    <dgm:pt modelId="{16761F4F-88D7-44DA-88D7-C4D0A1BC882B}">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b="0" dirty="0">
              <a:solidFill>
                <a:srgbClr val="FFFFFF"/>
              </a:solidFill>
              <a:latin typeface="Arial" panose="020B0604020202020204" pitchFamily="34" charset="0"/>
              <a:ea typeface="+mn-ea"/>
              <a:cs typeface="Arial" panose="020B0604020202020204" pitchFamily="34" charset="0"/>
            </a:rPr>
            <a:t>Strategia portuară a UE</a:t>
          </a:r>
        </a:p>
      </dgm:t>
    </dgm:pt>
    <dgm:pt modelId="{724E9C38-6647-46E7-8ADE-40BC35ED1685}" type="parTrans" cxnId="{FC6EB65C-99E9-4E63-9DBE-61518E99C5AA}">
      <dgm:prSet/>
      <dgm:spPr/>
      <dgm:t>
        <a:bodyPr/>
        <a:lstStyle/>
        <a:p>
          <a:endParaRPr lang="en-IE"/>
        </a:p>
      </dgm:t>
    </dgm:pt>
    <dgm:pt modelId="{EEED5AE4-F322-4491-9193-C09170CE1768}" type="sibTrans" cxnId="{FC6EB65C-99E9-4E63-9DBE-61518E99C5AA}">
      <dgm:prSet/>
      <dgm:spPr/>
      <dgm:t>
        <a:bodyPr/>
        <a:lstStyle/>
        <a:p>
          <a:endParaRPr lang="en-IE"/>
        </a:p>
      </dgm:t>
    </dgm:pt>
    <dgm:pt modelId="{11E4F217-104F-4317-B136-0FA0463E4B64}">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50" b="0" dirty="0">
              <a:solidFill>
                <a:srgbClr val="FFFFFF"/>
              </a:solidFill>
              <a:latin typeface="Arial" panose="020B0604020202020204" pitchFamily="34" charset="0"/>
              <a:ea typeface="+mn-ea"/>
              <a:cs typeface="Arial" panose="020B0604020202020204" pitchFamily="34" charset="0"/>
            </a:rPr>
            <a:t>Strategia privind dronele 2.0</a:t>
          </a:r>
        </a:p>
      </dgm:t>
    </dgm:pt>
    <dgm:pt modelId="{068A6621-DEE5-4A78-8C52-1C7976D85BE7}" type="parTrans" cxnId="{56F13124-213C-42D7-AB9D-58DE64DE38F6}">
      <dgm:prSet/>
      <dgm:spPr/>
      <dgm:t>
        <a:bodyPr/>
        <a:lstStyle/>
        <a:p>
          <a:endParaRPr lang="en-IE"/>
        </a:p>
      </dgm:t>
    </dgm:pt>
    <dgm:pt modelId="{C7DDA89C-01CD-4627-95A2-1829AE9C8714}" type="sibTrans" cxnId="{56F13124-213C-42D7-AB9D-58DE64DE38F6}">
      <dgm:prSet/>
      <dgm:spPr/>
      <dgm:t>
        <a:bodyPr/>
        <a:lstStyle/>
        <a:p>
          <a:endParaRPr lang="en-IE"/>
        </a:p>
      </dgm:t>
    </dgm:pt>
    <dgm:pt modelId="{6F3D3C7B-DED4-49D1-A62F-C906488001D5}">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Strategia de constituire de stocuri</a:t>
          </a:r>
        </a:p>
      </dgm:t>
    </dgm:pt>
    <dgm:pt modelId="{4C3D7D6D-9DD0-4DD9-A9BA-74FA25E20D02}" type="sibTrans" cxnId="{3BBBA116-5065-4378-8F5C-825E08E678F7}">
      <dgm:prSet/>
      <dgm:spPr/>
      <dgm:t>
        <a:bodyPr/>
        <a:lstStyle/>
        <a:p>
          <a:endParaRPr lang="en-IE" sz="750"/>
        </a:p>
      </dgm:t>
    </dgm:pt>
    <dgm:pt modelId="{45E4689B-10EF-4BF4-9917-CFD6DE4C3976}" type="parTrans" cxnId="{3BBBA116-5065-4378-8F5C-825E08E678F7}">
      <dgm:prSet/>
      <dgm:spPr/>
      <dgm:t>
        <a:bodyPr/>
        <a:lstStyle/>
        <a:p>
          <a:endParaRPr lang="en-IE" sz="750"/>
        </a:p>
      </dgm:t>
    </dgm:pt>
    <dgm:pt modelId="{85C428EC-3EBB-47F3-977F-E8B572D2A976}">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ro-RO" sz="600" dirty="0">
              <a:solidFill>
                <a:srgbClr val="FFFFFF"/>
              </a:solidFill>
              <a:latin typeface="Arial"/>
              <a:ea typeface="+mn-ea"/>
              <a:cs typeface="+mn-cs"/>
            </a:rPr>
            <a:t>Directiva privind achizițiile publice</a:t>
          </a:r>
        </a:p>
      </dgm:t>
    </dgm:pt>
    <dgm:pt modelId="{D88FA894-51EC-47AD-85A4-447AA0447C02}" type="sibTrans" cxnId="{76A96F21-64BA-4269-9D4C-2A5D2EB1FC5A}">
      <dgm:prSet/>
      <dgm:spPr/>
      <dgm:t>
        <a:bodyPr/>
        <a:lstStyle/>
        <a:p>
          <a:endParaRPr lang="en-IE"/>
        </a:p>
      </dgm:t>
    </dgm:pt>
    <dgm:pt modelId="{0EEE4891-F375-42CF-B704-68BCDCA0C2F7}" type="parTrans" cxnId="{76A96F21-64BA-4269-9D4C-2A5D2EB1FC5A}">
      <dgm:prSet/>
      <dgm:spPr/>
      <dgm:t>
        <a:bodyPr/>
        <a:lstStyle/>
        <a:p>
          <a:endParaRPr lang="en-IE"/>
        </a:p>
      </dgm:t>
    </dgm:pt>
    <dgm:pt modelId="{B8899FA0-760E-4A29-9F77-508F11233DAF}" type="pres">
      <dgm:prSet presAssocID="{15E1F518-0D4D-404E-9F47-99626EC5C0D5}" presName="Name0" presStyleCnt="0">
        <dgm:presLayoutVars>
          <dgm:dir/>
          <dgm:resizeHandles val="exact"/>
        </dgm:presLayoutVars>
      </dgm:prSet>
      <dgm:spPr/>
      <dgm:t>
        <a:bodyPr/>
        <a:lstStyle/>
        <a:p>
          <a:endParaRPr lang="en-US"/>
        </a:p>
      </dgm:t>
    </dgm:pt>
    <dgm:pt modelId="{D20BB4C0-1AD9-4A7C-AF23-B7F4C15202BE}" type="pres">
      <dgm:prSet presAssocID="{FC5426B1-5CB5-4C2F-8BEA-269F997A028F}" presName="node" presStyleLbl="node1" presStyleIdx="0" presStyleCnt="6">
        <dgm:presLayoutVars>
          <dgm:bulletEnabled val="1"/>
        </dgm:presLayoutVars>
      </dgm:prSet>
      <dgm:spPr>
        <a:prstGeom prst="flowChartManualOperation">
          <a:avLst/>
        </a:prstGeom>
      </dgm:spPr>
      <dgm:t>
        <a:bodyPr/>
        <a:lstStyle/>
        <a:p>
          <a:endParaRPr lang="en-US"/>
        </a:p>
      </dgm:t>
    </dgm:pt>
    <dgm:pt modelId="{E673E62B-BFE5-4902-A7BC-0903F38679B5}" type="pres">
      <dgm:prSet presAssocID="{2FEDFC9A-5F4F-41B0-84D5-FD0C5CA4B273}" presName="sibTrans" presStyleCnt="0"/>
      <dgm:spPr/>
    </dgm:pt>
    <dgm:pt modelId="{0E93A9A3-5295-4AB2-82CB-071197DB5A84}" type="pres">
      <dgm:prSet presAssocID="{FC6C2292-4751-4BCC-8102-10542BB43FD8}" presName="node" presStyleLbl="node1" presStyleIdx="1" presStyleCnt="6">
        <dgm:presLayoutVars>
          <dgm:bulletEnabled val="1"/>
        </dgm:presLayoutVars>
      </dgm:prSet>
      <dgm:spPr>
        <a:prstGeom prst="flowChartManualOperation">
          <a:avLst/>
        </a:prstGeom>
      </dgm:spPr>
      <dgm:t>
        <a:bodyPr/>
        <a:lstStyle/>
        <a:p>
          <a:endParaRPr lang="en-US"/>
        </a:p>
      </dgm:t>
    </dgm:pt>
    <dgm:pt modelId="{9EA8D82D-711D-43C6-8D48-9FC6D618E5C5}" type="pres">
      <dgm:prSet presAssocID="{1500BFAB-AEEA-4F22-A486-78F70627CBFC}" presName="sibTrans" presStyleCnt="0"/>
      <dgm:spPr/>
    </dgm:pt>
    <dgm:pt modelId="{6DA17A80-2AB6-4EFF-A930-F4191E7A995E}" type="pres">
      <dgm:prSet presAssocID="{55304315-DCC2-4FB2-AD43-352195E97AFC}" presName="node" presStyleLbl="node1" presStyleIdx="2" presStyleCnt="6">
        <dgm:presLayoutVars>
          <dgm:bulletEnabled val="1"/>
        </dgm:presLayoutVars>
      </dgm:prSet>
      <dgm:spPr/>
      <dgm:t>
        <a:bodyPr/>
        <a:lstStyle/>
        <a:p>
          <a:endParaRPr lang="en-US"/>
        </a:p>
      </dgm:t>
    </dgm:pt>
    <dgm:pt modelId="{16486F86-3E6A-4CB2-ACAA-4B09CDEDF43E}" type="pres">
      <dgm:prSet presAssocID="{FD045865-B80F-4808-B659-7B82EC1E1AAC}" presName="sibTrans" presStyleCnt="0"/>
      <dgm:spPr/>
    </dgm:pt>
    <dgm:pt modelId="{D1227667-AC01-44F9-B464-718AE932F2B0}" type="pres">
      <dgm:prSet presAssocID="{15BFE9C1-D04F-4E5C-998E-5A96A61AD51A}" presName="node" presStyleLbl="node1" presStyleIdx="3" presStyleCnt="6">
        <dgm:presLayoutVars>
          <dgm:bulletEnabled val="1"/>
        </dgm:presLayoutVars>
      </dgm:prSet>
      <dgm:spPr/>
      <dgm:t>
        <a:bodyPr/>
        <a:lstStyle/>
        <a:p>
          <a:endParaRPr lang="en-US"/>
        </a:p>
      </dgm:t>
    </dgm:pt>
    <dgm:pt modelId="{ACE54C49-83F9-43CA-B447-76EBE525D3E3}" type="pres">
      <dgm:prSet presAssocID="{6243D136-6D07-423F-AA9D-D8997BD92E1E}" presName="sibTrans" presStyleCnt="0"/>
      <dgm:spPr/>
    </dgm:pt>
    <dgm:pt modelId="{E6FCF5A5-EFB5-4FB2-8878-C6326D43B400}" type="pres">
      <dgm:prSet presAssocID="{E4CD00E1-BDD8-4DC4-9998-93952B75407D}" presName="node" presStyleLbl="node1" presStyleIdx="4" presStyleCnt="6">
        <dgm:presLayoutVars>
          <dgm:bulletEnabled val="1"/>
        </dgm:presLayoutVars>
      </dgm:prSet>
      <dgm:spPr>
        <a:prstGeom prst="flowChartManualOperation">
          <a:avLst/>
        </a:prstGeom>
      </dgm:spPr>
      <dgm:t>
        <a:bodyPr/>
        <a:lstStyle/>
        <a:p>
          <a:endParaRPr lang="en-US"/>
        </a:p>
      </dgm:t>
    </dgm:pt>
    <dgm:pt modelId="{EE167C18-5CE5-4801-803D-C6D276EEAEC3}" type="pres">
      <dgm:prSet presAssocID="{C1F5DB98-92E3-489E-801C-B3453A465A84}" presName="sibTrans" presStyleCnt="0"/>
      <dgm:spPr/>
    </dgm:pt>
    <dgm:pt modelId="{FBBEE4AA-C9CC-4ED0-A700-B49BA97F6A51}" type="pres">
      <dgm:prSet presAssocID="{091542FC-77C4-4234-B137-36ED5F844341}" presName="node" presStyleLbl="node1" presStyleIdx="5" presStyleCnt="6">
        <dgm:presLayoutVars>
          <dgm:bulletEnabled val="1"/>
        </dgm:presLayoutVars>
      </dgm:prSet>
      <dgm:spPr>
        <a:prstGeom prst="flowChartManualOperation">
          <a:avLst/>
        </a:prstGeom>
      </dgm:spPr>
      <dgm:t>
        <a:bodyPr/>
        <a:lstStyle/>
        <a:p>
          <a:endParaRPr lang="en-US"/>
        </a:p>
      </dgm:t>
    </dgm:pt>
  </dgm:ptLst>
  <dgm:cxnLst>
    <dgm:cxn modelId="{09961330-FDDD-4903-AE29-33EAA09F9799}" srcId="{15E1F518-0D4D-404E-9F47-99626EC5C0D5}" destId="{15BFE9C1-D04F-4E5C-998E-5A96A61AD51A}" srcOrd="3" destOrd="0" parTransId="{E83B14ED-7164-47AF-8FA0-963FA0188214}" sibTransId="{6243D136-6D07-423F-AA9D-D8997BD92E1E}"/>
    <dgm:cxn modelId="{C430D0B3-E3BE-4DC2-9A0D-14666E3B9A24}" type="presOf" srcId="{4AB266A1-9C11-43DC-B679-A893B4EE153E}" destId="{FBBEE4AA-C9CC-4ED0-A700-B49BA97F6A51}" srcOrd="0" destOrd="7" presId="urn:microsoft.com/office/officeart/2005/8/layout/hList6"/>
    <dgm:cxn modelId="{A181DFD0-6845-4EA1-BFA4-A77B2E2BDF31}" type="presOf" srcId="{FD4ACB47-016F-4B50-A901-EDB079974BD0}" destId="{FBBEE4AA-C9CC-4ED0-A700-B49BA97F6A51}" srcOrd="0" destOrd="5" presId="urn:microsoft.com/office/officeart/2005/8/layout/hList6"/>
    <dgm:cxn modelId="{60495384-52DC-4342-86B6-881BE30BFAF5}" type="presOf" srcId="{091542FC-77C4-4234-B137-36ED5F844341}" destId="{FBBEE4AA-C9CC-4ED0-A700-B49BA97F6A51}" srcOrd="0" destOrd="0" presId="urn:microsoft.com/office/officeart/2005/8/layout/hList6"/>
    <dgm:cxn modelId="{438E2B11-EDF3-4637-90B8-BA2DAEBAFCF0}" type="presOf" srcId="{16761F4F-88D7-44DA-88D7-C4D0A1BC882B}" destId="{FBBEE4AA-C9CC-4ED0-A700-B49BA97F6A51}" srcOrd="0" destOrd="9" presId="urn:microsoft.com/office/officeart/2005/8/layout/hList6"/>
    <dgm:cxn modelId="{911DB776-FFA4-4CAE-B3B1-82327528FB90}" type="presOf" srcId="{6F3D3C7B-DED4-49D1-A62F-C906488001D5}" destId="{0E93A9A3-5295-4AB2-82CB-071197DB5A84}" srcOrd="0" destOrd="3" presId="urn:microsoft.com/office/officeart/2005/8/layout/hList6"/>
    <dgm:cxn modelId="{CC48D400-B7E2-4BFE-ADFF-FD5CCCD5583A}" srcId="{15BFE9C1-D04F-4E5C-998E-5A96A61AD51A}" destId="{CB79A8B7-E3B7-462C-9BDE-72DB8A99BFE0}" srcOrd="2" destOrd="0" parTransId="{30751327-B2F9-4EDC-B85F-CB5D1145FA96}" sibTransId="{205304C0-0FEE-4B5A-B8AA-E33A032595FD}"/>
    <dgm:cxn modelId="{3552D2BE-064D-4D28-9374-EAC4CD7D2383}" srcId="{FC5426B1-5CB5-4C2F-8BEA-269F997A028F}" destId="{AD4F8265-0F9B-40E8-B3FD-EC74AF2BED07}" srcOrd="4" destOrd="0" parTransId="{61EB4D57-D180-4BA5-BBA9-1EDFF1B404E0}" sibTransId="{357469FE-0B02-473A-9E97-BE0EDE513F4E}"/>
    <dgm:cxn modelId="{AAB23FE2-C387-45DD-B1B4-FD281BADBC72}" srcId="{15E1F518-0D4D-404E-9F47-99626EC5C0D5}" destId="{FC6C2292-4751-4BCC-8102-10542BB43FD8}" srcOrd="1" destOrd="0" parTransId="{C637802B-872F-41E0-A348-A13235A23D0F}" sibTransId="{1500BFAB-AEEA-4F22-A486-78F70627CBFC}"/>
    <dgm:cxn modelId="{F17A2AA6-5DFB-41C8-A8DC-FEC75BB81DE7}" type="presOf" srcId="{E1917D2C-0B89-495F-8AEC-F425001851AD}" destId="{D1227667-AC01-44F9-B464-718AE932F2B0}" srcOrd="0" destOrd="2" presId="urn:microsoft.com/office/officeart/2005/8/layout/hList6"/>
    <dgm:cxn modelId="{FC6EB65C-99E9-4E63-9DBE-61518E99C5AA}" srcId="{091542FC-77C4-4234-B137-36ED5F844341}" destId="{16761F4F-88D7-44DA-88D7-C4D0A1BC882B}" srcOrd="8" destOrd="0" parTransId="{724E9C38-6647-46E7-8ADE-40BC35ED1685}" sibTransId="{EEED5AE4-F322-4491-9193-C09170CE1768}"/>
    <dgm:cxn modelId="{56F13124-213C-42D7-AB9D-58DE64DE38F6}" srcId="{091542FC-77C4-4234-B137-36ED5F844341}" destId="{11E4F217-104F-4317-B136-0FA0463E4B64}" srcOrd="9" destOrd="0" parTransId="{068A6621-DEE5-4A78-8C52-1C7976D85BE7}" sibTransId="{C7DDA89C-01CD-4627-95A2-1829AE9C8714}"/>
    <dgm:cxn modelId="{8AC44011-B655-4E2F-BCB3-A3541E1909AC}" type="presOf" srcId="{FC445833-E8E7-4104-9135-947123C44BAB}" destId="{FBBEE4AA-C9CC-4ED0-A700-B49BA97F6A51}" srcOrd="0" destOrd="6" presId="urn:microsoft.com/office/officeart/2005/8/layout/hList6"/>
    <dgm:cxn modelId="{0CB9E1E8-DF38-44FC-816F-1E23DE6B077F}" type="presOf" srcId="{E756BBFD-944B-482F-BDAD-EC316B7A504C}" destId="{0E93A9A3-5295-4AB2-82CB-071197DB5A84}" srcOrd="0" destOrd="8" presId="urn:microsoft.com/office/officeart/2005/8/layout/hList6"/>
    <dgm:cxn modelId="{B7F099A2-8D80-4392-A607-112C9BB0285D}" srcId="{E4CD00E1-BDD8-4DC4-9998-93952B75407D}" destId="{B7FAB7BD-6F60-4CFE-B388-B1D6F323E185}" srcOrd="4" destOrd="0" parTransId="{C0FA3409-3925-431E-BF39-F2BB57C61218}" sibTransId="{DF162088-B441-4B61-B454-44E8FBD72C5E}"/>
    <dgm:cxn modelId="{52A07306-05C1-476B-90BB-234DAB62FB93}" srcId="{55304315-DCC2-4FB2-AD43-352195E97AFC}" destId="{5DD097BC-2F79-4A87-BB4A-4713B462C899}" srcOrd="3" destOrd="0" parTransId="{DC98CDCF-ABBA-4F98-896D-1314CCCFD39A}" sibTransId="{A309786A-202C-4007-9CD6-BFF60D24DD25}"/>
    <dgm:cxn modelId="{463050EA-B64F-4AE9-9F67-C86ED98D26DA}" type="presOf" srcId="{85C428EC-3EBB-47F3-977F-E8B572D2A976}" destId="{0E93A9A3-5295-4AB2-82CB-071197DB5A84}" srcOrd="0" destOrd="10" presId="urn:microsoft.com/office/officeart/2005/8/layout/hList6"/>
    <dgm:cxn modelId="{0BABCE37-BBB3-4FF3-9781-8EFE944D6016}" srcId="{091542FC-77C4-4234-B137-36ED5F844341}" destId="{6174DC3F-4E45-4A45-8E81-5C04BB29300F}" srcOrd="0" destOrd="0" parTransId="{5CBEFF50-621B-4A38-8B49-A2B323C552B1}" sibTransId="{0B5B1DA8-4AFB-4BCA-8738-FB721208F1FA}"/>
    <dgm:cxn modelId="{7041C8DF-E888-462E-B027-A36ECA5C4D6F}" type="presOf" srcId="{452DD774-5A33-4421-8763-4E368B715EC1}" destId="{FBBEE4AA-C9CC-4ED0-A700-B49BA97F6A51}" srcOrd="0" destOrd="8" presId="urn:microsoft.com/office/officeart/2005/8/layout/hList6"/>
    <dgm:cxn modelId="{992BCC94-A3F0-4B0E-A29E-EEE60FDC4D0D}" type="presOf" srcId="{FC5426B1-5CB5-4C2F-8BEA-269F997A028F}" destId="{D20BB4C0-1AD9-4A7C-AF23-B7F4C15202BE}" srcOrd="0" destOrd="0" presId="urn:microsoft.com/office/officeart/2005/8/layout/hList6"/>
    <dgm:cxn modelId="{847D7D9C-6000-4142-A43C-04B8F14D2A4F}" srcId="{FC6C2292-4751-4BCC-8102-10542BB43FD8}" destId="{04C3FD59-AC2E-45D6-BF02-8124F7333553}" srcOrd="0" destOrd="0" parTransId="{CE65F464-8CC0-406E-891E-37DD5AD2DA26}" sibTransId="{621F764B-45EE-4B5F-A91E-E10E06C407C0}"/>
    <dgm:cxn modelId="{8B42EC88-699D-49B3-80BF-4E61D5877481}" type="presOf" srcId="{830AA2B8-B78A-4C6D-8210-A180A3D6D5C0}" destId="{D20BB4C0-1AD9-4A7C-AF23-B7F4C15202BE}" srcOrd="0" destOrd="6" presId="urn:microsoft.com/office/officeart/2005/8/layout/hList6"/>
    <dgm:cxn modelId="{B83C5961-7F59-4E74-9E4B-32735408E6CE}" type="presOf" srcId="{B0E3B7F7-6AD2-4DBD-BB01-15579C01285B}" destId="{6DA17A80-2AB6-4EFF-A930-F4191E7A995E}" srcOrd="0" destOrd="1" presId="urn:microsoft.com/office/officeart/2005/8/layout/hList6"/>
    <dgm:cxn modelId="{422015D5-0CF6-48FA-AE00-DDD0B7CCB303}" srcId="{091542FC-77C4-4234-B137-36ED5F844341}" destId="{60624F2E-7C35-4F03-B96E-184409F4342D}" srcOrd="3" destOrd="0" parTransId="{F9BF3257-07D0-42F1-BEED-FAF51AE088F9}" sibTransId="{D953FE80-FE3C-42C7-AAAA-FF77249C04D3}"/>
    <dgm:cxn modelId="{A6AC50DE-3595-44A7-BF47-D62A74F191DC}" srcId="{E4CD00E1-BDD8-4DC4-9998-93952B75407D}" destId="{DD3F9754-2469-49F2-8619-86E99B2BD57B}" srcOrd="1" destOrd="0" parTransId="{22D30DF2-E30F-46D4-A786-FDB57244F525}" sibTransId="{D67CFEDD-AB22-4D81-9CA1-80083D7E3B40}"/>
    <dgm:cxn modelId="{EF33DF12-BC1D-4DA6-8865-9C7FB6E663F4}" srcId="{55304315-DCC2-4FB2-AD43-352195E97AFC}" destId="{4FBDDBD6-5226-443A-84AA-4A45605A473B}" srcOrd="2" destOrd="0" parTransId="{F313CE84-CB7F-49B1-964D-29679D7085D7}" sibTransId="{410712C8-DADE-4158-ABC4-449DAAE97A6E}"/>
    <dgm:cxn modelId="{B4D79968-A0ED-4AB8-9492-1CA6C8763A78}" srcId="{091542FC-77C4-4234-B137-36ED5F844341}" destId="{4AB266A1-9C11-43DC-B679-A893B4EE153E}" srcOrd="6" destOrd="0" parTransId="{07729513-EEB6-4E36-8683-55C9AC7B050D}" sibTransId="{DBFD60C6-74DC-40DA-8342-DA01D7A56FDE}"/>
    <dgm:cxn modelId="{240D38A3-DD38-43FC-B2E0-A5FA867A4E3D}" type="presOf" srcId="{1F9B504E-B4CA-4C9F-B85B-3050CED29D44}" destId="{D20BB4C0-1AD9-4A7C-AF23-B7F4C15202BE}" srcOrd="0" destOrd="2" presId="urn:microsoft.com/office/officeart/2005/8/layout/hList6"/>
    <dgm:cxn modelId="{7EDC11C5-7E29-452A-90C4-F5E4EF566E77}" srcId="{FC6C2292-4751-4BCC-8102-10542BB43FD8}" destId="{84A9FDF7-C95B-4386-9FC8-E024FE3F39FC}" srcOrd="3" destOrd="0" parTransId="{11A8D8F7-1304-4B62-82D3-62413CFB64A1}" sibTransId="{6A0D8D9D-D072-47EB-AD7C-135D7B71A136}"/>
    <dgm:cxn modelId="{5240B097-EBF0-4A27-BB9C-8CD727188985}" type="presOf" srcId="{E4CD00E1-BDD8-4DC4-9998-93952B75407D}" destId="{E6FCF5A5-EFB5-4FB2-8878-C6326D43B400}" srcOrd="0" destOrd="0" presId="urn:microsoft.com/office/officeart/2005/8/layout/hList6"/>
    <dgm:cxn modelId="{333D579E-DF18-4B3F-95E7-20F466565C90}" srcId="{15E1F518-0D4D-404E-9F47-99626EC5C0D5}" destId="{55304315-DCC2-4FB2-AD43-352195E97AFC}" srcOrd="2" destOrd="0" parTransId="{8A6DCBBE-DC48-42E2-9025-ADC4934A8754}" sibTransId="{FD045865-B80F-4808-B659-7B82EC1E1AAC}"/>
    <dgm:cxn modelId="{4D500AB3-D054-4E4A-BE82-697379DCF4AD}" type="presOf" srcId="{F3772EAF-15CA-4595-AC71-0453610DC121}" destId="{D20BB4C0-1AD9-4A7C-AF23-B7F4C15202BE}" srcOrd="0" destOrd="4" presId="urn:microsoft.com/office/officeart/2005/8/layout/hList6"/>
    <dgm:cxn modelId="{30C971C3-E4A8-4F8C-8497-69EA87DE395E}" srcId="{FC5426B1-5CB5-4C2F-8BEA-269F997A028F}" destId="{9D473F5C-4CB6-41E9-92AC-7EC9713F41A5}" srcOrd="7" destOrd="0" parTransId="{1CD8A5C4-4F59-4433-882B-4528DF051DB9}" sibTransId="{B2395B98-F3F3-479D-AB40-D8E46755994A}"/>
    <dgm:cxn modelId="{AF2C69C9-4458-4A00-9D9F-ADB5D3C17AD8}" srcId="{FC6C2292-4751-4BCC-8102-10542BB43FD8}" destId="{9ECE5984-814A-437A-93D9-91D40498A04B}" srcOrd="8" destOrd="0" parTransId="{1A861B61-7193-4BB0-BD30-0B984D1559D3}" sibTransId="{F0E1E402-68F9-47DB-8A79-779E206F03B5}"/>
    <dgm:cxn modelId="{FC6D1578-2845-4756-B292-3A66EFB59CDA}" type="presOf" srcId="{60624F2E-7C35-4F03-B96E-184409F4342D}" destId="{FBBEE4AA-C9CC-4ED0-A700-B49BA97F6A51}" srcOrd="0" destOrd="4" presId="urn:microsoft.com/office/officeart/2005/8/layout/hList6"/>
    <dgm:cxn modelId="{ADC87DAD-1CE7-4F72-B757-DE215B57680F}" srcId="{091542FC-77C4-4234-B137-36ED5F844341}" destId="{57AC766C-2B08-4360-A8EE-15D8258AB08A}" srcOrd="2" destOrd="0" parTransId="{373FAD99-B263-42D4-8D82-9D84B0963508}" sibTransId="{8535C4C0-F565-49E5-ABBE-A4F4A978BEB2}"/>
    <dgm:cxn modelId="{3D0B1861-69BF-43FD-BF86-CE47E467AB6F}" type="presOf" srcId="{BAB57D81-92BC-4E3D-B216-07658CD862E0}" destId="{0E93A9A3-5295-4AB2-82CB-071197DB5A84}" srcOrd="0" destOrd="7" presId="urn:microsoft.com/office/officeart/2005/8/layout/hList6"/>
    <dgm:cxn modelId="{66EDFCA4-EF8F-414A-B0FE-22DFFEF911B6}" type="presOf" srcId="{6174DC3F-4E45-4A45-8E81-5C04BB29300F}" destId="{FBBEE4AA-C9CC-4ED0-A700-B49BA97F6A51}" srcOrd="0" destOrd="1" presId="urn:microsoft.com/office/officeart/2005/8/layout/hList6"/>
    <dgm:cxn modelId="{AD0C5BC2-DA33-40D5-A3AD-5140EAA5B158}" type="presOf" srcId="{15E1F518-0D4D-404E-9F47-99626EC5C0D5}" destId="{B8899FA0-760E-4A29-9F77-508F11233DAF}" srcOrd="0" destOrd="0" presId="urn:microsoft.com/office/officeart/2005/8/layout/hList6"/>
    <dgm:cxn modelId="{CD6902DA-EC1C-48B1-8140-425A21BAD7F3}" type="presOf" srcId="{0CC8DE9D-C7DA-4BB3-AFFE-7E4A97D0C37D}" destId="{E6FCF5A5-EFB5-4FB2-8878-C6326D43B400}" srcOrd="0" destOrd="4" presId="urn:microsoft.com/office/officeart/2005/8/layout/hList6"/>
    <dgm:cxn modelId="{1681A10D-4EF2-449B-B3FC-442A0BA7C298}" type="presOf" srcId="{227A9513-2E10-402C-895A-520819FEF388}" destId="{0E93A9A3-5295-4AB2-82CB-071197DB5A84}" srcOrd="0" destOrd="2" presId="urn:microsoft.com/office/officeart/2005/8/layout/hList6"/>
    <dgm:cxn modelId="{1081BA08-E274-4082-81A2-E2BEDBFA8A42}" srcId="{FC6C2292-4751-4BCC-8102-10542BB43FD8}" destId="{4802F4AA-F16E-4719-9BB5-7E84A5216822}" srcOrd="5" destOrd="0" parTransId="{82528740-F2E5-44A0-881B-80E6D4A3F11D}" sibTransId="{3C1C9E77-6F0F-44E4-822E-594D5A0052DC}"/>
    <dgm:cxn modelId="{06C0F057-9CD3-4680-A962-4DCB1AFE253C}" type="presOf" srcId="{84A9FDF7-C95B-4386-9FC8-E024FE3F39FC}" destId="{0E93A9A3-5295-4AB2-82CB-071197DB5A84}" srcOrd="0" destOrd="4" presId="urn:microsoft.com/office/officeart/2005/8/layout/hList6"/>
    <dgm:cxn modelId="{23F55791-84E0-4EAE-A5D9-719A31562FB7}" srcId="{091542FC-77C4-4234-B137-36ED5F844341}" destId="{FD4ACB47-016F-4B50-A901-EDB079974BD0}" srcOrd="4" destOrd="0" parTransId="{9D1423FB-5CA8-4EED-A981-1F9E60045407}" sibTransId="{DB704F69-E0CB-426D-A5D3-A4AD69CBFBF4}"/>
    <dgm:cxn modelId="{41DC94AF-D9BC-42F5-871A-95145D33379B}" srcId="{FC5426B1-5CB5-4C2F-8BEA-269F997A028F}" destId="{830AA2B8-B78A-4C6D-8210-A180A3D6D5C0}" srcOrd="5" destOrd="0" parTransId="{94B3E4D0-7059-47B9-A142-E79BB4207A3A}" sibTransId="{2764896E-60ED-47F2-884C-B895A283DE3B}"/>
    <dgm:cxn modelId="{03C5D83E-EAD4-4EC3-94C1-889AD82C3A72}" type="presOf" srcId="{4802F4AA-F16E-4719-9BB5-7E84A5216822}" destId="{0E93A9A3-5295-4AB2-82CB-071197DB5A84}" srcOrd="0" destOrd="6" presId="urn:microsoft.com/office/officeart/2005/8/layout/hList6"/>
    <dgm:cxn modelId="{279ECA5A-855F-49E1-AA4A-5A8036331FCE}" srcId="{FC6C2292-4751-4BCC-8102-10542BB43FD8}" destId="{227A9513-2E10-402C-895A-520819FEF388}" srcOrd="1" destOrd="0" parTransId="{60FAB807-2C96-4183-BF48-F66E55AB7B96}" sibTransId="{96372414-D1E0-4400-A88F-DA1D7232EDF8}"/>
    <dgm:cxn modelId="{9E616936-A5FF-419B-A268-0CD355D95691}" srcId="{15E1F518-0D4D-404E-9F47-99626EC5C0D5}" destId="{FC5426B1-5CB5-4C2F-8BEA-269F997A028F}" srcOrd="0" destOrd="0" parTransId="{24F384E6-237C-4CED-B53E-A042FAD2A326}" sibTransId="{2FEDFC9A-5F4F-41B0-84D5-FD0C5CA4B273}"/>
    <dgm:cxn modelId="{8BAD415A-3FFF-4E2F-B32C-D8B10608462A}" srcId="{FC5426B1-5CB5-4C2F-8BEA-269F997A028F}" destId="{3C34AD98-BBC4-4301-8DF1-4F46C29AD298}" srcOrd="0" destOrd="0" parTransId="{4A9D33D6-58B4-44BA-BDD9-43278D454F6B}" sibTransId="{E3EE43CE-DB5F-414F-B024-94AC28AE62D0}"/>
    <dgm:cxn modelId="{EBBDD9B7-7641-4722-9DCA-0BFAB8002ECE}" type="presOf" srcId="{57AC766C-2B08-4360-A8EE-15D8258AB08A}" destId="{FBBEE4AA-C9CC-4ED0-A700-B49BA97F6A51}" srcOrd="0" destOrd="3" presId="urn:microsoft.com/office/officeart/2005/8/layout/hList6"/>
    <dgm:cxn modelId="{E1873294-7130-4CD1-BC06-E5EA0E2FD74B}" type="presOf" srcId="{9FEABC15-0459-44AA-97B3-F20F08DDD210}" destId="{FBBEE4AA-C9CC-4ED0-A700-B49BA97F6A51}" srcOrd="0" destOrd="2" presId="urn:microsoft.com/office/officeart/2005/8/layout/hList6"/>
    <dgm:cxn modelId="{F941E9C2-B258-48EF-B770-4B404D79743C}" srcId="{E4CD00E1-BDD8-4DC4-9998-93952B75407D}" destId="{4711FC9F-1363-4F63-8A35-9568007F71F8}" srcOrd="5" destOrd="0" parTransId="{9CB79924-16F8-458C-A98B-C98CD64B1699}" sibTransId="{0B4B6FA6-DFB8-403E-86D8-BE66F0134A1D}"/>
    <dgm:cxn modelId="{F889081F-2C64-42CC-9378-6D4EEFA6EEC5}" srcId="{E4CD00E1-BDD8-4DC4-9998-93952B75407D}" destId="{0CC8DE9D-C7DA-4BB3-AFFE-7E4A97D0C37D}" srcOrd="3" destOrd="0" parTransId="{52FFA7B2-A327-49AE-9B47-510598164EFB}" sibTransId="{814D1581-7CB2-426B-8854-D7ABD4DFE9F9}"/>
    <dgm:cxn modelId="{8207AB6A-D02B-4239-83A5-3C38E7539EAC}" srcId="{15BFE9C1-D04F-4E5C-998E-5A96A61AD51A}" destId="{E1917D2C-0B89-495F-8AEC-F425001851AD}" srcOrd="1" destOrd="0" parTransId="{15E158FF-25C1-49AB-8672-690C2CDFC05D}" sibTransId="{6ECFCAB1-DAC8-4803-BBF3-6C42683D9BF6}"/>
    <dgm:cxn modelId="{3BDE19AA-0A49-4B83-8C25-C02F66FD1E81}" srcId="{091542FC-77C4-4234-B137-36ED5F844341}" destId="{9FEABC15-0459-44AA-97B3-F20F08DDD210}" srcOrd="1" destOrd="0" parTransId="{05FC1D4C-0B36-4501-936B-78D21CCB8235}" sibTransId="{6AD7162C-4A01-4192-9E99-0F1AD1503950}"/>
    <dgm:cxn modelId="{EC3FFD50-6B3A-4971-B2A2-8FCBEC0D9639}" type="presOf" srcId="{F4D28CC1-27FF-4B01-86B3-5E5382F5C9D2}" destId="{D1227667-AC01-44F9-B464-718AE932F2B0}" srcOrd="0" destOrd="1" presId="urn:microsoft.com/office/officeart/2005/8/layout/hList6"/>
    <dgm:cxn modelId="{E1FFFD2F-5AA3-42C9-8AB9-94CCD352F835}" type="presOf" srcId="{E9B9EB72-9426-4FA4-8589-8B819107E6A4}" destId="{D20BB4C0-1AD9-4A7C-AF23-B7F4C15202BE}" srcOrd="0" destOrd="7" presId="urn:microsoft.com/office/officeart/2005/8/layout/hList6"/>
    <dgm:cxn modelId="{316BE1E5-17E1-4A14-BB13-FF548C5D2D2F}" srcId="{E4CD00E1-BDD8-4DC4-9998-93952B75407D}" destId="{85E9E1FE-0FBC-49D9-BCD2-5F750B655696}" srcOrd="0" destOrd="0" parTransId="{A8968741-A16F-4B9E-9607-5E6AC48935CE}" sibTransId="{579301DA-C924-49D6-855A-C00A7C2E919F}"/>
    <dgm:cxn modelId="{06EA5AE4-1E21-40AA-A687-01776A203D13}" srcId="{55304315-DCC2-4FB2-AD43-352195E97AFC}" destId="{B0E3B7F7-6AD2-4DBD-BB01-15579C01285B}" srcOrd="0" destOrd="0" parTransId="{F37C651C-9F8E-435C-999F-C5365AC665BA}" sibTransId="{6ED4DD17-F55E-43DF-802B-5B828D565F03}"/>
    <dgm:cxn modelId="{9CF55A75-6E8D-4C90-B5D5-1E035CB73278}" type="presOf" srcId="{4FBDDBD6-5226-443A-84AA-4A45605A473B}" destId="{6DA17A80-2AB6-4EFF-A930-F4191E7A995E}" srcOrd="0" destOrd="3" presId="urn:microsoft.com/office/officeart/2005/8/layout/hList6"/>
    <dgm:cxn modelId="{E8543461-5C69-41FF-ACD8-66FE6A2653D8}" type="presOf" srcId="{04C3FD59-AC2E-45D6-BF02-8124F7333553}" destId="{0E93A9A3-5295-4AB2-82CB-071197DB5A84}" srcOrd="0" destOrd="1" presId="urn:microsoft.com/office/officeart/2005/8/layout/hList6"/>
    <dgm:cxn modelId="{9AB99A83-3C38-4E61-B69C-0FDE827363EA}" type="presOf" srcId="{DD3F9754-2469-49F2-8619-86E99B2BD57B}" destId="{E6FCF5A5-EFB5-4FB2-8878-C6326D43B400}" srcOrd="0" destOrd="2" presId="urn:microsoft.com/office/officeart/2005/8/layout/hList6"/>
    <dgm:cxn modelId="{46D176D5-F198-481E-863F-4FA428ECA51D}" srcId="{FC5426B1-5CB5-4C2F-8BEA-269F997A028F}" destId="{3B28F38D-37D3-486A-94F5-092EBD957001}" srcOrd="2" destOrd="0" parTransId="{9238D67B-2E8C-45C1-BE7C-3E4EF586E3D8}" sibTransId="{4C1F9D30-48BD-48EF-B397-A6BC536FD2F9}"/>
    <dgm:cxn modelId="{B2EC19E8-DDC2-40FE-8A83-A82396DB9724}" type="presOf" srcId="{55304315-DCC2-4FB2-AD43-352195E97AFC}" destId="{6DA17A80-2AB6-4EFF-A930-F4191E7A995E}" srcOrd="0" destOrd="0" presId="urn:microsoft.com/office/officeart/2005/8/layout/hList6"/>
    <dgm:cxn modelId="{6DEF5024-C4F1-46E2-AEF4-4484E6902DAF}" type="presOf" srcId="{3C34AD98-BBC4-4301-8DF1-4F46C29AD298}" destId="{D20BB4C0-1AD9-4A7C-AF23-B7F4C15202BE}" srcOrd="0" destOrd="1" presId="urn:microsoft.com/office/officeart/2005/8/layout/hList6"/>
    <dgm:cxn modelId="{C8119D0D-537B-4135-8034-8E0EA1AC2E02}" srcId="{55304315-DCC2-4FB2-AD43-352195E97AFC}" destId="{770E93E2-299F-4A62-9A92-65FCCC751281}" srcOrd="1" destOrd="0" parTransId="{5A61E83B-0B82-4D5C-829F-6118D662BCFC}" sibTransId="{194D2D46-7D9C-4B59-A065-9D247021C1B5}"/>
    <dgm:cxn modelId="{3BBBA116-5065-4378-8F5C-825E08E678F7}" srcId="{FC6C2292-4751-4BCC-8102-10542BB43FD8}" destId="{6F3D3C7B-DED4-49D1-A62F-C906488001D5}" srcOrd="2" destOrd="0" parTransId="{45E4689B-10EF-4BF4-9917-CFD6DE4C3976}" sibTransId="{4C3D7D6D-9DD0-4DD9-A9BA-74FA25E20D02}"/>
    <dgm:cxn modelId="{E1334180-1144-41B1-B8F8-E026435E9A2B}" type="presOf" srcId="{85E9E1FE-0FBC-49D9-BCD2-5F750B655696}" destId="{E6FCF5A5-EFB5-4FB2-8878-C6326D43B400}" srcOrd="0" destOrd="1" presId="urn:microsoft.com/office/officeart/2005/8/layout/hList6"/>
    <dgm:cxn modelId="{5D5EFED8-2671-4E72-BB13-7721B0389C5D}" srcId="{15BFE9C1-D04F-4E5C-998E-5A96A61AD51A}" destId="{F4D28CC1-27FF-4B01-86B3-5E5382F5C9D2}" srcOrd="0" destOrd="0" parTransId="{8729205D-17F9-49B3-8104-0C0FF51FFD45}" sibTransId="{A5DCC5EB-9D8A-44FF-B077-6988D283413C}"/>
    <dgm:cxn modelId="{8FC77EE5-B2CC-431E-87B9-5B04EA8C17AB}" type="presOf" srcId="{9ECE5984-814A-437A-93D9-91D40498A04B}" destId="{0E93A9A3-5295-4AB2-82CB-071197DB5A84}" srcOrd="0" destOrd="9" presId="urn:microsoft.com/office/officeart/2005/8/layout/hList6"/>
    <dgm:cxn modelId="{7AC36DF7-E397-41A3-B5CC-E1A877438D8D}" type="presOf" srcId="{15BFE9C1-D04F-4E5C-998E-5A96A61AD51A}" destId="{D1227667-AC01-44F9-B464-718AE932F2B0}" srcOrd="0" destOrd="0" presId="urn:microsoft.com/office/officeart/2005/8/layout/hList6"/>
    <dgm:cxn modelId="{734DBE5C-6F8E-4592-90A5-1F296AB16D57}" type="presOf" srcId="{B7FAB7BD-6F60-4CFE-B388-B1D6F323E185}" destId="{E6FCF5A5-EFB5-4FB2-8878-C6326D43B400}" srcOrd="0" destOrd="5" presId="urn:microsoft.com/office/officeart/2005/8/layout/hList6"/>
    <dgm:cxn modelId="{3E563097-5BF5-4C11-A843-C796B1BC6294}" type="presOf" srcId="{CB79A8B7-E3B7-462C-9BDE-72DB8A99BFE0}" destId="{D1227667-AC01-44F9-B464-718AE932F2B0}" srcOrd="0" destOrd="3" presId="urn:microsoft.com/office/officeart/2005/8/layout/hList6"/>
    <dgm:cxn modelId="{77D37AF4-6C53-4BA9-BC7E-3AE2E6CC9FE3}" type="presOf" srcId="{5DD097BC-2F79-4A87-BB4A-4713B462C899}" destId="{6DA17A80-2AB6-4EFF-A930-F4191E7A995E}" srcOrd="0" destOrd="4" presId="urn:microsoft.com/office/officeart/2005/8/layout/hList6"/>
    <dgm:cxn modelId="{76A96F21-64BA-4269-9D4C-2A5D2EB1FC5A}" srcId="{FC6C2292-4751-4BCC-8102-10542BB43FD8}" destId="{85C428EC-3EBB-47F3-977F-E8B572D2A976}" srcOrd="9" destOrd="0" parTransId="{0EEE4891-F375-42CF-B704-68BCDCA0C2F7}" sibTransId="{D88FA894-51EC-47AD-85A4-447AA0447C02}"/>
    <dgm:cxn modelId="{88BCBE9D-A93E-4BF8-BBF8-9485338B1D7F}" type="presOf" srcId="{4711FC9F-1363-4F63-8A35-9568007F71F8}" destId="{E6FCF5A5-EFB5-4FB2-8878-C6326D43B400}" srcOrd="0" destOrd="6" presId="urn:microsoft.com/office/officeart/2005/8/layout/hList6"/>
    <dgm:cxn modelId="{083BFE2B-F542-4D3D-B070-7F4BF6521288}" type="presOf" srcId="{3B28F38D-37D3-486A-94F5-092EBD957001}" destId="{D20BB4C0-1AD9-4A7C-AF23-B7F4C15202BE}" srcOrd="0" destOrd="3" presId="urn:microsoft.com/office/officeart/2005/8/layout/hList6"/>
    <dgm:cxn modelId="{A80EA6EB-8B46-4683-AC8C-945D19353021}" srcId="{091542FC-77C4-4234-B137-36ED5F844341}" destId="{452DD774-5A33-4421-8763-4E368B715EC1}" srcOrd="7" destOrd="0" parTransId="{4B359A1A-A480-499B-8549-7B33725D47CA}" sibTransId="{88C309C8-7037-43C4-96EB-4D63F340BF69}"/>
    <dgm:cxn modelId="{C2D27457-F333-4A75-88D6-A0341FB6DECC}" type="presOf" srcId="{0D797494-3AAC-4A9C-B40F-6FA003E44538}" destId="{0E93A9A3-5295-4AB2-82CB-071197DB5A84}" srcOrd="0" destOrd="5" presId="urn:microsoft.com/office/officeart/2005/8/layout/hList6"/>
    <dgm:cxn modelId="{6EF5B608-CFE5-41EC-857B-F3F40E3771DB}" srcId="{FC5426B1-5CB5-4C2F-8BEA-269F997A028F}" destId="{F3772EAF-15CA-4595-AC71-0453610DC121}" srcOrd="3" destOrd="0" parTransId="{303E920C-A3E5-429B-8FC4-6587FEFB40EF}" sibTransId="{76D7C8E5-E23A-481E-AAB2-A55551622B84}"/>
    <dgm:cxn modelId="{8E248FDA-7F39-450C-B700-E8ED8C151109}" srcId="{FC5426B1-5CB5-4C2F-8BEA-269F997A028F}" destId="{1F9B504E-B4CA-4C9F-B85B-3050CED29D44}" srcOrd="1" destOrd="0" parTransId="{982C0BC9-129F-4B32-85BC-70ECFAB9D969}" sibTransId="{22CDB036-B335-4E2E-89BC-6B7EDE633297}"/>
    <dgm:cxn modelId="{4EEC311B-7AC9-45EC-90CB-C4C6BCF92CD9}" type="presOf" srcId="{770E93E2-299F-4A62-9A92-65FCCC751281}" destId="{6DA17A80-2AB6-4EFF-A930-F4191E7A995E}" srcOrd="0" destOrd="2" presId="urn:microsoft.com/office/officeart/2005/8/layout/hList6"/>
    <dgm:cxn modelId="{3474AE02-5CAF-482B-BFD1-A005F67870A8}" srcId="{15E1F518-0D4D-404E-9F47-99626EC5C0D5}" destId="{E4CD00E1-BDD8-4DC4-9998-93952B75407D}" srcOrd="4" destOrd="0" parTransId="{D7223826-D62D-4F40-ACB6-E66AF23CF4E3}" sibTransId="{C1F5DB98-92E3-489E-801C-B3453A465A84}"/>
    <dgm:cxn modelId="{26DB08EB-66F2-41C9-9637-C517C0F1D02E}" type="presOf" srcId="{F83E4D16-8CDE-40CF-AD79-DAB8B5BAA128}" destId="{E6FCF5A5-EFB5-4FB2-8878-C6326D43B400}" srcOrd="0" destOrd="3" presId="urn:microsoft.com/office/officeart/2005/8/layout/hList6"/>
    <dgm:cxn modelId="{9EA2FECF-2B89-4F3F-AD4F-BA4A4CFA5A2B}" srcId="{091542FC-77C4-4234-B137-36ED5F844341}" destId="{FC445833-E8E7-4104-9135-947123C44BAB}" srcOrd="5" destOrd="0" parTransId="{63BEA2EA-7007-4E7B-AFF7-7A10B1F26A75}" sibTransId="{D1C6391F-E481-4994-9108-52A1BF839BDA}"/>
    <dgm:cxn modelId="{53419A4C-5255-4FC6-9604-6A4A1359EB5A}" srcId="{15E1F518-0D4D-404E-9F47-99626EC5C0D5}" destId="{091542FC-77C4-4234-B137-36ED5F844341}" srcOrd="5" destOrd="0" parTransId="{073CD249-AA76-40B7-8828-99AFDEC7DEFE}" sibTransId="{810802F9-27CB-44FA-89C8-E07F6C38F086}"/>
    <dgm:cxn modelId="{B7D4EF3A-746E-4605-992C-F375117601B1}" srcId="{FC6C2292-4751-4BCC-8102-10542BB43FD8}" destId="{E756BBFD-944B-482F-BDAD-EC316B7A504C}" srcOrd="7" destOrd="0" parTransId="{CC15ABE8-47C3-419C-B9FC-45B91DDF2F71}" sibTransId="{C5355A97-C289-4C53-AC07-CED2D10EAFCC}"/>
    <dgm:cxn modelId="{436D2974-7E2F-4D32-8A22-6877D0DDF51B}" srcId="{FC5426B1-5CB5-4C2F-8BEA-269F997A028F}" destId="{E9B9EB72-9426-4FA4-8589-8B819107E6A4}" srcOrd="6" destOrd="0" parTransId="{B16268BE-1D24-4B5D-9DF0-1ADC4FA46688}" sibTransId="{93BAE32A-464B-4C8C-8052-0638DF9F16CC}"/>
    <dgm:cxn modelId="{E7457E13-E432-4516-8B8D-4A5D1765FA31}" type="presOf" srcId="{FC6C2292-4751-4BCC-8102-10542BB43FD8}" destId="{0E93A9A3-5295-4AB2-82CB-071197DB5A84}" srcOrd="0" destOrd="0" presId="urn:microsoft.com/office/officeart/2005/8/layout/hList6"/>
    <dgm:cxn modelId="{D479A3AE-3D10-4781-8E5C-F39104174D56}" type="presOf" srcId="{11E4F217-104F-4317-B136-0FA0463E4B64}" destId="{FBBEE4AA-C9CC-4ED0-A700-B49BA97F6A51}" srcOrd="0" destOrd="10" presId="urn:microsoft.com/office/officeart/2005/8/layout/hList6"/>
    <dgm:cxn modelId="{141EDDA1-CAE4-4C09-BB63-D6B5E0FF57AA}" srcId="{E4CD00E1-BDD8-4DC4-9998-93952B75407D}" destId="{F83E4D16-8CDE-40CF-AD79-DAB8B5BAA128}" srcOrd="2" destOrd="0" parTransId="{C1EBE26D-A4FF-4781-AB5D-FFD878EB2577}" sibTransId="{9AE8F018-CF22-4FA0-BDA0-772C84EF4958}"/>
    <dgm:cxn modelId="{B1DA68F0-CF28-46E5-99F9-57F175BA7EEA}" type="presOf" srcId="{AD4F8265-0F9B-40E8-B3FD-EC74AF2BED07}" destId="{D20BB4C0-1AD9-4A7C-AF23-B7F4C15202BE}" srcOrd="0" destOrd="5" presId="urn:microsoft.com/office/officeart/2005/8/layout/hList6"/>
    <dgm:cxn modelId="{912D5AA9-8371-4A64-AA78-7F559CB390F2}" srcId="{FC6C2292-4751-4BCC-8102-10542BB43FD8}" destId="{0D797494-3AAC-4A9C-B40F-6FA003E44538}" srcOrd="4" destOrd="0" parTransId="{AABFFF8D-9369-49FD-AA40-D74CD225D6F4}" sibTransId="{6E95E4F7-8143-44F2-8AEC-46E87A9B406D}"/>
    <dgm:cxn modelId="{1D9E0E7A-E8B6-4CE3-B59A-ABAC25B09AFB}" type="presOf" srcId="{9D473F5C-4CB6-41E9-92AC-7EC9713F41A5}" destId="{D20BB4C0-1AD9-4A7C-AF23-B7F4C15202BE}" srcOrd="0" destOrd="8" presId="urn:microsoft.com/office/officeart/2005/8/layout/hList6"/>
    <dgm:cxn modelId="{7ED45617-E730-4349-A0CF-0938B44F2710}" srcId="{FC6C2292-4751-4BCC-8102-10542BB43FD8}" destId="{BAB57D81-92BC-4E3D-B216-07658CD862E0}" srcOrd="6" destOrd="0" parTransId="{53237665-2B85-4B24-B802-80778DADA226}" sibTransId="{1F94891A-AF11-4AC5-81AA-82531B144D54}"/>
    <dgm:cxn modelId="{9B3D3133-0F3F-4CD7-9676-535E7475355D}" type="presParOf" srcId="{B8899FA0-760E-4A29-9F77-508F11233DAF}" destId="{D20BB4C0-1AD9-4A7C-AF23-B7F4C15202BE}" srcOrd="0" destOrd="0" presId="urn:microsoft.com/office/officeart/2005/8/layout/hList6"/>
    <dgm:cxn modelId="{982049B7-E7E0-408F-8272-240AC758624C}" type="presParOf" srcId="{B8899FA0-760E-4A29-9F77-508F11233DAF}" destId="{E673E62B-BFE5-4902-A7BC-0903F38679B5}" srcOrd="1" destOrd="0" presId="urn:microsoft.com/office/officeart/2005/8/layout/hList6"/>
    <dgm:cxn modelId="{13450CBB-CDCC-4D39-85E4-12DA75656243}" type="presParOf" srcId="{B8899FA0-760E-4A29-9F77-508F11233DAF}" destId="{0E93A9A3-5295-4AB2-82CB-071197DB5A84}" srcOrd="2" destOrd="0" presId="urn:microsoft.com/office/officeart/2005/8/layout/hList6"/>
    <dgm:cxn modelId="{81609C1E-6BE3-4C09-B57C-BCD01EEBB832}" type="presParOf" srcId="{B8899FA0-760E-4A29-9F77-508F11233DAF}" destId="{9EA8D82D-711D-43C6-8D48-9FC6D618E5C5}" srcOrd="3" destOrd="0" presId="urn:microsoft.com/office/officeart/2005/8/layout/hList6"/>
    <dgm:cxn modelId="{DE5D24A5-C51C-461A-8B00-1090C1F75B9E}" type="presParOf" srcId="{B8899FA0-760E-4A29-9F77-508F11233DAF}" destId="{6DA17A80-2AB6-4EFF-A930-F4191E7A995E}" srcOrd="4" destOrd="0" presId="urn:microsoft.com/office/officeart/2005/8/layout/hList6"/>
    <dgm:cxn modelId="{E03A4F6B-F9FF-49EE-AD88-483CCBC59CCD}" type="presParOf" srcId="{B8899FA0-760E-4A29-9F77-508F11233DAF}" destId="{16486F86-3E6A-4CB2-ACAA-4B09CDEDF43E}" srcOrd="5" destOrd="0" presId="urn:microsoft.com/office/officeart/2005/8/layout/hList6"/>
    <dgm:cxn modelId="{139BA3A9-BA2C-4DD3-BE0F-511944B5E258}" type="presParOf" srcId="{B8899FA0-760E-4A29-9F77-508F11233DAF}" destId="{D1227667-AC01-44F9-B464-718AE932F2B0}" srcOrd="6" destOrd="0" presId="urn:microsoft.com/office/officeart/2005/8/layout/hList6"/>
    <dgm:cxn modelId="{129EF55A-6C19-47C4-B58C-C072CB5483B9}" type="presParOf" srcId="{B8899FA0-760E-4A29-9F77-508F11233DAF}" destId="{ACE54C49-83F9-43CA-B447-76EBE525D3E3}" srcOrd="7" destOrd="0" presId="urn:microsoft.com/office/officeart/2005/8/layout/hList6"/>
    <dgm:cxn modelId="{AE994B5F-15C2-49F9-854F-39AB205BDB9C}" type="presParOf" srcId="{B8899FA0-760E-4A29-9F77-508F11233DAF}" destId="{E6FCF5A5-EFB5-4FB2-8878-C6326D43B400}" srcOrd="8" destOrd="0" presId="urn:microsoft.com/office/officeart/2005/8/layout/hList6"/>
    <dgm:cxn modelId="{42AA3DC7-EB65-4555-A334-FED5D34EF94B}" type="presParOf" srcId="{B8899FA0-760E-4A29-9F77-508F11233DAF}" destId="{EE167C18-5CE5-4801-803D-C6D276EEAEC3}" srcOrd="9" destOrd="0" presId="urn:microsoft.com/office/officeart/2005/8/layout/hList6"/>
    <dgm:cxn modelId="{3D0DC8EE-6278-4C7A-87F8-7FC6A02D9629}" type="presParOf" srcId="{B8899FA0-760E-4A29-9F77-508F11233DAF}" destId="{FBBEE4AA-C9CC-4ED0-A700-B49BA97F6A51}" srcOrd="10" destOrd="0" presId="urn:microsoft.com/office/officeart/2005/8/layout/hList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BDE508-ADE3-4AA5-9C18-69692C3641E0}"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en-IE"/>
        </a:p>
      </dgm:t>
    </dgm:pt>
    <dgm:pt modelId="{62968F62-EDC1-4F1D-8671-F6E9D0891D4E}">
      <dgm:prSet phldrT="[Text]"/>
      <dgm:spPr/>
      <dgm:t>
        <a:bodyPr/>
        <a:lstStyle/>
        <a:p>
          <a:r>
            <a:rPr lang="ro-RO"/>
            <a:t>Consolidarea rezilienței lanțului de aprovizionare și contracararea </a:t>
          </a:r>
          <a:r>
            <a:rPr lang="ro-RO" b="1"/>
            <a:t>dependențelor strategice de bunuri și servicii</a:t>
          </a:r>
        </a:p>
      </dgm:t>
    </dgm:pt>
    <dgm:pt modelId="{2F4BD42E-697D-4B60-9CC7-816F333F959A}" type="parTrans" cxnId="{CC7B20AE-7A56-4999-A8A9-C56BB92A1885}">
      <dgm:prSet/>
      <dgm:spPr/>
      <dgm:t>
        <a:bodyPr/>
        <a:lstStyle/>
        <a:p>
          <a:endParaRPr lang="en-IE"/>
        </a:p>
      </dgm:t>
    </dgm:pt>
    <dgm:pt modelId="{B03894FF-314E-4A05-83BF-6AB8FE059755}" type="sibTrans" cxnId="{CC7B20AE-7A56-4999-A8A9-C56BB92A1885}">
      <dgm:prSet/>
      <dgm:spPr/>
      <dgm:t>
        <a:bodyPr/>
        <a:lstStyle/>
        <a:p>
          <a:endParaRPr lang="en-IE"/>
        </a:p>
      </dgm:t>
    </dgm:pt>
    <dgm:pt modelId="{B647D495-3860-44D7-8204-45B3E1412F13}">
      <dgm:prSet/>
      <dgm:spPr/>
      <dgm:t>
        <a:bodyPr/>
        <a:lstStyle/>
        <a:p>
          <a:r>
            <a:rPr lang="ro-RO" b="1" dirty="0"/>
            <a:t>Atragerea de investiții cu valoare adăugată din exterior</a:t>
          </a:r>
          <a:r>
            <a:rPr lang="ro-RO" dirty="0"/>
            <a:t> care să consolideze securitatea economică a UE</a:t>
          </a:r>
        </a:p>
      </dgm:t>
    </dgm:pt>
    <dgm:pt modelId="{45C2F43D-1C53-4B24-A417-5C429EC3F329}" type="parTrans" cxnId="{C77216EA-9EA6-442A-9357-B0453C020830}">
      <dgm:prSet/>
      <dgm:spPr/>
      <dgm:t>
        <a:bodyPr/>
        <a:lstStyle/>
        <a:p>
          <a:endParaRPr lang="en-IE"/>
        </a:p>
      </dgm:t>
    </dgm:pt>
    <dgm:pt modelId="{82E661E6-EBEA-46BE-9251-76CE7F3C3C42}" type="sibTrans" cxnId="{C77216EA-9EA6-442A-9357-B0453C020830}">
      <dgm:prSet/>
      <dgm:spPr/>
      <dgm:t>
        <a:bodyPr/>
        <a:lstStyle/>
        <a:p>
          <a:endParaRPr lang="en-IE"/>
        </a:p>
      </dgm:t>
    </dgm:pt>
    <dgm:pt modelId="{C407114E-008D-43D5-8CB3-D411E4A636C7}">
      <dgm:prSet/>
      <dgm:spPr/>
      <dgm:t>
        <a:bodyPr/>
        <a:lstStyle/>
        <a:p>
          <a:r>
            <a:rPr lang="ro-RO"/>
            <a:t>Sprijinirea unei </a:t>
          </a:r>
          <a:r>
            <a:rPr lang="ro-RO" b="1"/>
            <a:t>baze industriale dinamice de apărare și spațiale, precum și a altor sectoare industriale cu risc ridicat</a:t>
          </a:r>
        </a:p>
      </dgm:t>
    </dgm:pt>
    <dgm:pt modelId="{885B6BB4-0EAE-4271-9970-C39F9A12D6B9}" type="parTrans" cxnId="{EB56F207-F45F-43D5-8C8B-542B1FB05A45}">
      <dgm:prSet/>
      <dgm:spPr/>
      <dgm:t>
        <a:bodyPr/>
        <a:lstStyle/>
        <a:p>
          <a:endParaRPr lang="en-IE"/>
        </a:p>
      </dgm:t>
    </dgm:pt>
    <dgm:pt modelId="{6F69FE9A-53F7-4180-A8E5-EC424CBDD00B}" type="sibTrans" cxnId="{EB56F207-F45F-43D5-8C8B-542B1FB05A45}">
      <dgm:prSet/>
      <dgm:spPr/>
      <dgm:t>
        <a:bodyPr/>
        <a:lstStyle/>
        <a:p>
          <a:endParaRPr lang="en-IE"/>
        </a:p>
      </dgm:t>
    </dgm:pt>
    <dgm:pt modelId="{7098D058-3335-456B-8543-BE78E6670B0B}">
      <dgm:prSet/>
      <dgm:spPr/>
      <dgm:t>
        <a:bodyPr/>
        <a:lstStyle/>
        <a:p>
          <a:r>
            <a:rPr lang="ro-RO"/>
            <a:t>Dezvoltarea și menținerea </a:t>
          </a:r>
          <a:r>
            <a:rPr lang="ro-RO" b="1"/>
            <a:t>poziției de lider în domeniul tehnologiilor critice</a:t>
          </a:r>
        </a:p>
      </dgm:t>
    </dgm:pt>
    <dgm:pt modelId="{C0014C38-4260-402A-8F57-6CACDBB0DEEB}" type="parTrans" cxnId="{73C01FC6-A271-4716-9A30-97E3F2DBDB10}">
      <dgm:prSet/>
      <dgm:spPr/>
      <dgm:t>
        <a:bodyPr/>
        <a:lstStyle/>
        <a:p>
          <a:endParaRPr lang="en-IE"/>
        </a:p>
      </dgm:t>
    </dgm:pt>
    <dgm:pt modelId="{05F868A0-7458-4713-853A-82C809BD9359}" type="sibTrans" cxnId="{73C01FC6-A271-4716-9A30-97E3F2DBDB10}">
      <dgm:prSet/>
      <dgm:spPr/>
      <dgm:t>
        <a:bodyPr/>
        <a:lstStyle/>
        <a:p>
          <a:endParaRPr lang="en-IE"/>
        </a:p>
      </dgm:t>
    </dgm:pt>
    <dgm:pt modelId="{EC1B6391-69FF-455D-91FC-451B47A58A01}">
      <dgm:prSet/>
      <dgm:spPr/>
      <dgm:t>
        <a:bodyPr/>
        <a:lstStyle/>
        <a:p>
          <a:r>
            <a:rPr lang="ro-RO"/>
            <a:t>Prevenirea accesului la </a:t>
          </a:r>
          <a:r>
            <a:rPr lang="ro-RO" b="1"/>
            <a:t>informații și date sensibile</a:t>
          </a:r>
          <a:r>
            <a:rPr lang="ro-RO"/>
            <a:t> care ar putea submina securitatea economică a UE</a:t>
          </a:r>
        </a:p>
      </dgm:t>
    </dgm:pt>
    <dgm:pt modelId="{A715FE26-6B0F-47FE-BD76-956EBDBEBB3E}" type="parTrans" cxnId="{74D75DFC-23D9-453A-B76D-0D6FC82833E4}">
      <dgm:prSet/>
      <dgm:spPr/>
      <dgm:t>
        <a:bodyPr/>
        <a:lstStyle/>
        <a:p>
          <a:endParaRPr lang="en-IE"/>
        </a:p>
      </dgm:t>
    </dgm:pt>
    <dgm:pt modelId="{FED4B1E3-56E9-4060-AF43-79858730A611}" type="sibTrans" cxnId="{74D75DFC-23D9-453A-B76D-0D6FC82833E4}">
      <dgm:prSet/>
      <dgm:spPr/>
      <dgm:t>
        <a:bodyPr/>
        <a:lstStyle/>
        <a:p>
          <a:endParaRPr lang="en-IE"/>
        </a:p>
      </dgm:t>
    </dgm:pt>
    <dgm:pt modelId="{F907D98C-9BA8-4519-9648-CB90DC0156E1}">
      <dgm:prSet/>
      <dgm:spPr/>
      <dgm:t>
        <a:bodyPr/>
        <a:lstStyle/>
        <a:p>
          <a:r>
            <a:rPr lang="ro-RO"/>
            <a:t>Prevenirea și atenuarea </a:t>
          </a:r>
          <a:r>
            <a:rPr lang="ro-RO" b="1"/>
            <a:t>perturbărilor infrastructurii critice a UE</a:t>
          </a:r>
          <a:r>
            <a:rPr lang="ro-RO"/>
            <a:t> care afectează economia UE</a:t>
          </a:r>
        </a:p>
      </dgm:t>
    </dgm:pt>
    <dgm:pt modelId="{B7D4C548-EE22-4C65-9C41-47912DB443C1}" type="parTrans" cxnId="{BED471D8-888A-449C-8503-EFD8E665F7B3}">
      <dgm:prSet/>
      <dgm:spPr/>
      <dgm:t>
        <a:bodyPr/>
        <a:lstStyle/>
        <a:p>
          <a:endParaRPr lang="en-IE"/>
        </a:p>
      </dgm:t>
    </dgm:pt>
    <dgm:pt modelId="{C4500BF0-AEB8-4B3E-9653-F7F57F2144AB}" type="sibTrans" cxnId="{BED471D8-888A-449C-8503-EFD8E665F7B3}">
      <dgm:prSet/>
      <dgm:spPr/>
      <dgm:t>
        <a:bodyPr/>
        <a:lstStyle/>
        <a:p>
          <a:endParaRPr lang="en-IE"/>
        </a:p>
      </dgm:t>
    </dgm:pt>
    <dgm:pt modelId="{1D42BF23-83E1-4BE1-BF02-A4D0456A1C53}" type="pres">
      <dgm:prSet presAssocID="{BEBDE508-ADE3-4AA5-9C18-69692C3641E0}" presName="diagram" presStyleCnt="0">
        <dgm:presLayoutVars>
          <dgm:dir/>
          <dgm:resizeHandles val="exact"/>
        </dgm:presLayoutVars>
      </dgm:prSet>
      <dgm:spPr/>
      <dgm:t>
        <a:bodyPr/>
        <a:lstStyle/>
        <a:p>
          <a:endParaRPr lang="en-US"/>
        </a:p>
      </dgm:t>
    </dgm:pt>
    <dgm:pt modelId="{092D76B2-9B7D-433D-9717-9F5B315BADD5}" type="pres">
      <dgm:prSet presAssocID="{62968F62-EDC1-4F1D-8671-F6E9D0891D4E}" presName="node" presStyleLbl="node1" presStyleIdx="0" presStyleCnt="6">
        <dgm:presLayoutVars>
          <dgm:bulletEnabled val="1"/>
        </dgm:presLayoutVars>
      </dgm:prSet>
      <dgm:spPr/>
      <dgm:t>
        <a:bodyPr/>
        <a:lstStyle/>
        <a:p>
          <a:endParaRPr lang="en-US"/>
        </a:p>
      </dgm:t>
    </dgm:pt>
    <dgm:pt modelId="{63D78C27-7034-4766-B717-E899877F7B22}" type="pres">
      <dgm:prSet presAssocID="{B03894FF-314E-4A05-83BF-6AB8FE059755}" presName="sibTrans" presStyleCnt="0"/>
      <dgm:spPr/>
    </dgm:pt>
    <dgm:pt modelId="{D6527388-D63D-4149-AF6E-1C41FDEEE497}" type="pres">
      <dgm:prSet presAssocID="{B647D495-3860-44D7-8204-45B3E1412F13}" presName="node" presStyleLbl="node1" presStyleIdx="1" presStyleCnt="6">
        <dgm:presLayoutVars>
          <dgm:bulletEnabled val="1"/>
        </dgm:presLayoutVars>
      </dgm:prSet>
      <dgm:spPr/>
      <dgm:t>
        <a:bodyPr/>
        <a:lstStyle/>
        <a:p>
          <a:endParaRPr lang="en-US"/>
        </a:p>
      </dgm:t>
    </dgm:pt>
    <dgm:pt modelId="{597CE3F8-31B0-4726-889E-A22F6BBE2373}" type="pres">
      <dgm:prSet presAssocID="{82E661E6-EBEA-46BE-9251-76CE7F3C3C42}" presName="sibTrans" presStyleCnt="0"/>
      <dgm:spPr/>
    </dgm:pt>
    <dgm:pt modelId="{62FC3EDF-8669-4AC1-9EA1-0E6E74AE325C}" type="pres">
      <dgm:prSet presAssocID="{C407114E-008D-43D5-8CB3-D411E4A636C7}" presName="node" presStyleLbl="node1" presStyleIdx="2" presStyleCnt="6">
        <dgm:presLayoutVars>
          <dgm:bulletEnabled val="1"/>
        </dgm:presLayoutVars>
      </dgm:prSet>
      <dgm:spPr/>
      <dgm:t>
        <a:bodyPr/>
        <a:lstStyle/>
        <a:p>
          <a:endParaRPr lang="en-US"/>
        </a:p>
      </dgm:t>
    </dgm:pt>
    <dgm:pt modelId="{CDD98D08-B78D-4299-BA7A-BBE0C1BC6777}" type="pres">
      <dgm:prSet presAssocID="{6F69FE9A-53F7-4180-A8E5-EC424CBDD00B}" presName="sibTrans" presStyleCnt="0"/>
      <dgm:spPr/>
    </dgm:pt>
    <dgm:pt modelId="{87F12916-9E6D-4D79-A2EB-3F96F503998B}" type="pres">
      <dgm:prSet presAssocID="{7098D058-3335-456B-8543-BE78E6670B0B}" presName="node" presStyleLbl="node1" presStyleIdx="3" presStyleCnt="6">
        <dgm:presLayoutVars>
          <dgm:bulletEnabled val="1"/>
        </dgm:presLayoutVars>
      </dgm:prSet>
      <dgm:spPr/>
      <dgm:t>
        <a:bodyPr/>
        <a:lstStyle/>
        <a:p>
          <a:endParaRPr lang="en-US"/>
        </a:p>
      </dgm:t>
    </dgm:pt>
    <dgm:pt modelId="{7A43785D-F5ED-4914-A286-4736D9580ED7}" type="pres">
      <dgm:prSet presAssocID="{05F868A0-7458-4713-853A-82C809BD9359}" presName="sibTrans" presStyleCnt="0"/>
      <dgm:spPr/>
    </dgm:pt>
    <dgm:pt modelId="{38F95370-39C1-44B0-B405-5B28DC80F009}" type="pres">
      <dgm:prSet presAssocID="{EC1B6391-69FF-455D-91FC-451B47A58A01}" presName="node" presStyleLbl="node1" presStyleIdx="4" presStyleCnt="6">
        <dgm:presLayoutVars>
          <dgm:bulletEnabled val="1"/>
        </dgm:presLayoutVars>
      </dgm:prSet>
      <dgm:spPr/>
      <dgm:t>
        <a:bodyPr/>
        <a:lstStyle/>
        <a:p>
          <a:endParaRPr lang="en-US"/>
        </a:p>
      </dgm:t>
    </dgm:pt>
    <dgm:pt modelId="{133977A6-C6AC-4C6E-8EC3-DDFB7250136A}" type="pres">
      <dgm:prSet presAssocID="{FED4B1E3-56E9-4060-AF43-79858730A611}" presName="sibTrans" presStyleCnt="0"/>
      <dgm:spPr/>
    </dgm:pt>
    <dgm:pt modelId="{AD4B6C6F-59EF-475D-8E80-44E6367538E6}" type="pres">
      <dgm:prSet presAssocID="{F907D98C-9BA8-4519-9648-CB90DC0156E1}" presName="node" presStyleLbl="node1" presStyleIdx="5" presStyleCnt="6">
        <dgm:presLayoutVars>
          <dgm:bulletEnabled val="1"/>
        </dgm:presLayoutVars>
      </dgm:prSet>
      <dgm:spPr/>
      <dgm:t>
        <a:bodyPr/>
        <a:lstStyle/>
        <a:p>
          <a:endParaRPr lang="en-US"/>
        </a:p>
      </dgm:t>
    </dgm:pt>
  </dgm:ptLst>
  <dgm:cxnLst>
    <dgm:cxn modelId="{C77216EA-9EA6-442A-9357-B0453C020830}" srcId="{BEBDE508-ADE3-4AA5-9C18-69692C3641E0}" destId="{B647D495-3860-44D7-8204-45B3E1412F13}" srcOrd="1" destOrd="0" parTransId="{45C2F43D-1C53-4B24-A417-5C429EC3F329}" sibTransId="{82E661E6-EBEA-46BE-9251-76CE7F3C3C42}"/>
    <dgm:cxn modelId="{CC7B20AE-7A56-4999-A8A9-C56BB92A1885}" srcId="{BEBDE508-ADE3-4AA5-9C18-69692C3641E0}" destId="{62968F62-EDC1-4F1D-8671-F6E9D0891D4E}" srcOrd="0" destOrd="0" parTransId="{2F4BD42E-697D-4B60-9CC7-816F333F959A}" sibTransId="{B03894FF-314E-4A05-83BF-6AB8FE059755}"/>
    <dgm:cxn modelId="{BED471D8-888A-449C-8503-EFD8E665F7B3}" srcId="{BEBDE508-ADE3-4AA5-9C18-69692C3641E0}" destId="{F907D98C-9BA8-4519-9648-CB90DC0156E1}" srcOrd="5" destOrd="0" parTransId="{B7D4C548-EE22-4C65-9C41-47912DB443C1}" sibTransId="{C4500BF0-AEB8-4B3E-9653-F7F57F2144AB}"/>
    <dgm:cxn modelId="{EB56F207-F45F-43D5-8C8B-542B1FB05A45}" srcId="{BEBDE508-ADE3-4AA5-9C18-69692C3641E0}" destId="{C407114E-008D-43D5-8CB3-D411E4A636C7}" srcOrd="2" destOrd="0" parTransId="{885B6BB4-0EAE-4271-9970-C39F9A12D6B9}" sibTransId="{6F69FE9A-53F7-4180-A8E5-EC424CBDD00B}"/>
    <dgm:cxn modelId="{1967C00B-BB9B-420A-847C-A012F81A9CC6}" type="presOf" srcId="{EC1B6391-69FF-455D-91FC-451B47A58A01}" destId="{38F95370-39C1-44B0-B405-5B28DC80F009}" srcOrd="0" destOrd="0" presId="urn:microsoft.com/office/officeart/2005/8/layout/default"/>
    <dgm:cxn modelId="{8BF3A360-AB46-489E-9A36-1F8ACC5F629A}" type="presOf" srcId="{F907D98C-9BA8-4519-9648-CB90DC0156E1}" destId="{AD4B6C6F-59EF-475D-8E80-44E6367538E6}" srcOrd="0" destOrd="0" presId="urn:microsoft.com/office/officeart/2005/8/layout/default"/>
    <dgm:cxn modelId="{987264FF-1EAE-49C9-BE10-258E0B6939B6}" type="presOf" srcId="{BEBDE508-ADE3-4AA5-9C18-69692C3641E0}" destId="{1D42BF23-83E1-4BE1-BF02-A4D0456A1C53}" srcOrd="0" destOrd="0" presId="urn:microsoft.com/office/officeart/2005/8/layout/default"/>
    <dgm:cxn modelId="{73C01FC6-A271-4716-9A30-97E3F2DBDB10}" srcId="{BEBDE508-ADE3-4AA5-9C18-69692C3641E0}" destId="{7098D058-3335-456B-8543-BE78E6670B0B}" srcOrd="3" destOrd="0" parTransId="{C0014C38-4260-402A-8F57-6CACDBB0DEEB}" sibTransId="{05F868A0-7458-4713-853A-82C809BD9359}"/>
    <dgm:cxn modelId="{11881B94-1220-4E59-9813-7C927EFDD428}" type="presOf" srcId="{B647D495-3860-44D7-8204-45B3E1412F13}" destId="{D6527388-D63D-4149-AF6E-1C41FDEEE497}" srcOrd="0" destOrd="0" presId="urn:microsoft.com/office/officeart/2005/8/layout/default"/>
    <dgm:cxn modelId="{7C3BAB0B-67C2-4DAC-89C0-5271958542A8}" type="presOf" srcId="{62968F62-EDC1-4F1D-8671-F6E9D0891D4E}" destId="{092D76B2-9B7D-433D-9717-9F5B315BADD5}" srcOrd="0" destOrd="0" presId="urn:microsoft.com/office/officeart/2005/8/layout/default"/>
    <dgm:cxn modelId="{21185E30-D277-4782-A34C-9B081016A70A}" type="presOf" srcId="{7098D058-3335-456B-8543-BE78E6670B0B}" destId="{87F12916-9E6D-4D79-A2EB-3F96F503998B}" srcOrd="0" destOrd="0" presId="urn:microsoft.com/office/officeart/2005/8/layout/default"/>
    <dgm:cxn modelId="{524B5DEE-2E7C-434F-BCFB-3C2FED14352E}" type="presOf" srcId="{C407114E-008D-43D5-8CB3-D411E4A636C7}" destId="{62FC3EDF-8669-4AC1-9EA1-0E6E74AE325C}" srcOrd="0" destOrd="0" presId="urn:microsoft.com/office/officeart/2005/8/layout/default"/>
    <dgm:cxn modelId="{74D75DFC-23D9-453A-B76D-0D6FC82833E4}" srcId="{BEBDE508-ADE3-4AA5-9C18-69692C3641E0}" destId="{EC1B6391-69FF-455D-91FC-451B47A58A01}" srcOrd="4" destOrd="0" parTransId="{A715FE26-6B0F-47FE-BD76-956EBDBEBB3E}" sibTransId="{FED4B1E3-56E9-4060-AF43-79858730A611}"/>
    <dgm:cxn modelId="{1A3CE115-8029-406C-9F95-640520E06DD6}" type="presParOf" srcId="{1D42BF23-83E1-4BE1-BF02-A4D0456A1C53}" destId="{092D76B2-9B7D-433D-9717-9F5B315BADD5}" srcOrd="0" destOrd="0" presId="urn:microsoft.com/office/officeart/2005/8/layout/default"/>
    <dgm:cxn modelId="{372B3679-804B-4801-BFFC-5D121AF691AD}" type="presParOf" srcId="{1D42BF23-83E1-4BE1-BF02-A4D0456A1C53}" destId="{63D78C27-7034-4766-B717-E899877F7B22}" srcOrd="1" destOrd="0" presId="urn:microsoft.com/office/officeart/2005/8/layout/default"/>
    <dgm:cxn modelId="{71FFD00D-ADF6-484C-A00B-F286995597A9}" type="presParOf" srcId="{1D42BF23-83E1-4BE1-BF02-A4D0456A1C53}" destId="{D6527388-D63D-4149-AF6E-1C41FDEEE497}" srcOrd="2" destOrd="0" presId="urn:microsoft.com/office/officeart/2005/8/layout/default"/>
    <dgm:cxn modelId="{A4A8821E-3973-49F9-AB54-1400389A97B3}" type="presParOf" srcId="{1D42BF23-83E1-4BE1-BF02-A4D0456A1C53}" destId="{597CE3F8-31B0-4726-889E-A22F6BBE2373}" srcOrd="3" destOrd="0" presId="urn:microsoft.com/office/officeart/2005/8/layout/default"/>
    <dgm:cxn modelId="{770E09ED-2382-49AB-B352-C7CAFFAFEF7E}" type="presParOf" srcId="{1D42BF23-83E1-4BE1-BF02-A4D0456A1C53}" destId="{62FC3EDF-8669-4AC1-9EA1-0E6E74AE325C}" srcOrd="4" destOrd="0" presId="urn:microsoft.com/office/officeart/2005/8/layout/default"/>
    <dgm:cxn modelId="{B003A8B4-4BFB-4B1F-9ADD-1978CC7A78F4}" type="presParOf" srcId="{1D42BF23-83E1-4BE1-BF02-A4D0456A1C53}" destId="{CDD98D08-B78D-4299-BA7A-BBE0C1BC6777}" srcOrd="5" destOrd="0" presId="urn:microsoft.com/office/officeart/2005/8/layout/default"/>
    <dgm:cxn modelId="{5F78EBDC-0C00-47DE-85B0-D338CC6D1536}" type="presParOf" srcId="{1D42BF23-83E1-4BE1-BF02-A4D0456A1C53}" destId="{87F12916-9E6D-4D79-A2EB-3F96F503998B}" srcOrd="6" destOrd="0" presId="urn:microsoft.com/office/officeart/2005/8/layout/default"/>
    <dgm:cxn modelId="{AAFF3749-E4C1-4A14-8A90-2BACBFE161E8}" type="presParOf" srcId="{1D42BF23-83E1-4BE1-BF02-A4D0456A1C53}" destId="{7A43785D-F5ED-4914-A286-4736D9580ED7}" srcOrd="7" destOrd="0" presId="urn:microsoft.com/office/officeart/2005/8/layout/default"/>
    <dgm:cxn modelId="{AE9539D9-43DA-4706-981C-B237391C2699}" type="presParOf" srcId="{1D42BF23-83E1-4BE1-BF02-A4D0456A1C53}" destId="{38F95370-39C1-44B0-B405-5B28DC80F009}" srcOrd="8" destOrd="0" presId="urn:microsoft.com/office/officeart/2005/8/layout/default"/>
    <dgm:cxn modelId="{1CC460C1-F2DC-44D8-BEFF-2C951F254AAE}" type="presParOf" srcId="{1D42BF23-83E1-4BE1-BF02-A4D0456A1C53}" destId="{133977A6-C6AC-4C6E-8EC3-DDFB7250136A}" srcOrd="9" destOrd="0" presId="urn:microsoft.com/office/officeart/2005/8/layout/default"/>
    <dgm:cxn modelId="{039C4336-9459-412C-B4C4-B109C8D56C51}" type="presParOf" srcId="{1D42BF23-83E1-4BE1-BF02-A4D0456A1C53}" destId="{AD4B6C6F-59EF-475D-8E80-44E6367538E6}" srcOrd="10"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0BB4C0-1AD9-4A7C-AF23-B7F4C15202BE}">
      <dsp:nvSpPr>
        <dsp:cNvPr id="0" name=""/>
        <dsp:cNvSpPr/>
      </dsp:nvSpPr>
      <dsp:spPr>
        <a:xfrm rot="16200000">
          <a:off x="-1322482" y="1325064"/>
          <a:ext cx="3670300" cy="1020170"/>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ro-RO" sz="750" kern="1200" dirty="0">
              <a:solidFill>
                <a:srgbClr val="FFFFFF"/>
              </a:solidFill>
              <a:latin typeface="Arial"/>
              <a:ea typeface="+mn-ea"/>
              <a:cs typeface="+mn-cs"/>
            </a:rPr>
            <a:t>Comerț și concurență</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Măsurile antisubvenții</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Măsurile antidumping</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Măsurile de salvgardare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Regulamentul privind subvențiile străine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Alte instrumente de concurență</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Procedurile și controalele vamale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Acordurile comerciale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Comerțul bazat pe standarde</a:t>
          </a:r>
        </a:p>
      </dsp:txBody>
      <dsp:txXfrm rot="5400000">
        <a:off x="2583" y="734059"/>
        <a:ext cx="1020170" cy="2202180"/>
      </dsp:txXfrm>
    </dsp:sp>
    <dsp:sp modelId="{0E93A9A3-5295-4AB2-82CB-071197DB5A84}">
      <dsp:nvSpPr>
        <dsp:cNvPr id="0" name=""/>
        <dsp:cNvSpPr/>
      </dsp:nvSpPr>
      <dsp:spPr>
        <a:xfrm rot="16200000">
          <a:off x="-225799" y="1325064"/>
          <a:ext cx="3670300" cy="1020170"/>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0" rIns="38100" bIns="0" numCol="1" spcCol="1270" anchor="t" anchorCtr="0">
          <a:noAutofit/>
        </a:bodyPr>
        <a:lstStyle/>
        <a:p>
          <a:pPr lvl="0" algn="l" defTabSz="266700">
            <a:lnSpc>
              <a:spcPct val="90000"/>
            </a:lnSpc>
            <a:spcBef>
              <a:spcPct val="0"/>
            </a:spcBef>
            <a:spcAft>
              <a:spcPct val="35000"/>
            </a:spcAft>
            <a:buFont typeface="Calibri" panose="020F0502020204030204" pitchFamily="34" charset="0"/>
            <a:buNone/>
          </a:pPr>
          <a:r>
            <a:rPr lang="ro-RO" sz="600" kern="1200" dirty="0">
              <a:solidFill>
                <a:srgbClr val="FFFFFF"/>
              </a:solidFill>
              <a:latin typeface="Arial"/>
              <a:ea typeface="+mn-ea"/>
              <a:cs typeface="+mn-cs"/>
            </a:rPr>
            <a:t>Reziliență/securitate cibernetică</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Regulamentul privind situațiile de urgență pe piața internă și </a:t>
          </a:r>
          <a:r>
            <a:rPr lang="ro-RO" sz="600" kern="1200">
              <a:solidFill>
                <a:srgbClr val="FFFFFF"/>
              </a:solidFill>
              <a:latin typeface="Arial"/>
              <a:ea typeface="+mn-ea"/>
              <a:cs typeface="+mn-cs"/>
            </a:rPr>
            <a:t>reziliența pieței interne</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Regulamentul privind instituirea unui regim comun aplicabil exporturilor</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Strategia de constituire de stocuri</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Directiva privind reziliența entităților critice</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Regulamentul privind reziliența cibernetică</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Directiva NIS 2</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Setul de instrumente pentru 5G</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Regulamentul privind securitatea cibernetică (revizuire)</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Regulamentul privind solidaritatea cibernetică</a:t>
          </a:r>
        </a:p>
        <a:p>
          <a:pPr marL="57150" lvl="1" indent="-57150" algn="l" defTabSz="266700">
            <a:lnSpc>
              <a:spcPct val="90000"/>
            </a:lnSpc>
            <a:spcBef>
              <a:spcPct val="0"/>
            </a:spcBef>
            <a:spcAft>
              <a:spcPct val="15000"/>
            </a:spcAft>
            <a:buFont typeface="Calibri" panose="020F0502020204030204" pitchFamily="34" charset="0"/>
            <a:buChar char="••"/>
          </a:pPr>
          <a:r>
            <a:rPr lang="ro-RO" sz="600" kern="1200" dirty="0">
              <a:solidFill>
                <a:srgbClr val="FFFFFF"/>
              </a:solidFill>
              <a:latin typeface="Arial"/>
              <a:ea typeface="+mn-ea"/>
              <a:cs typeface="+mn-cs"/>
            </a:rPr>
            <a:t>Directiva privind achizițiile publice</a:t>
          </a:r>
        </a:p>
      </dsp:txBody>
      <dsp:txXfrm rot="5400000">
        <a:off x="1099266" y="734059"/>
        <a:ext cx="1020170" cy="2202180"/>
      </dsp:txXfrm>
    </dsp:sp>
    <dsp:sp modelId="{6DA17A80-2AB6-4EFF-A930-F4191E7A995E}">
      <dsp:nvSpPr>
        <dsp:cNvPr id="0" name=""/>
        <dsp:cNvSpPr/>
      </dsp:nvSpPr>
      <dsp:spPr>
        <a:xfrm rot="16200000">
          <a:off x="870883" y="1325064"/>
          <a:ext cx="3670300" cy="1020170"/>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ro-RO" sz="750" kern="1200" dirty="0">
              <a:solidFill>
                <a:srgbClr val="FFFFFF"/>
              </a:solidFill>
              <a:latin typeface="Arial"/>
              <a:ea typeface="+mn-ea"/>
              <a:cs typeface="+mn-cs"/>
            </a:rPr>
            <a:t>Securitate și ordine publică</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Regulamentul privind examinarea investițiilor străine directe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Regulamentul privind controlul exporturilor de produse cu dublă utilizare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Recomandarea privind monitorizarea investițiilor în exterior</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Recomandarea Consiliului privind securitatea cercetării</a:t>
          </a:r>
        </a:p>
      </dsp:txBody>
      <dsp:txXfrm rot="5400000">
        <a:off x="2195948" y="734059"/>
        <a:ext cx="1020170" cy="2202180"/>
      </dsp:txXfrm>
    </dsp:sp>
    <dsp:sp modelId="{D1227667-AC01-44F9-B464-718AE932F2B0}">
      <dsp:nvSpPr>
        <dsp:cNvPr id="0" name=""/>
        <dsp:cNvSpPr/>
      </dsp:nvSpPr>
      <dsp:spPr>
        <a:xfrm rot="16200000">
          <a:off x="1967566" y="1325064"/>
          <a:ext cx="3670300" cy="1020170"/>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ro-RO" sz="750" kern="1200" dirty="0">
              <a:solidFill>
                <a:srgbClr val="FFFFFF"/>
              </a:solidFill>
              <a:latin typeface="Arial"/>
              <a:ea typeface="+mn-ea"/>
              <a:cs typeface="+mn-cs"/>
            </a:rPr>
            <a:t>Măsuri de contracarare a acțiunilor coercitive și măsuri restrictive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Instrumentul de contracarare a acțiunilor coercitive</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Sancțiunile/măsurile restrictive  </a:t>
          </a:r>
        </a:p>
        <a:p>
          <a:pPr marL="57150" lvl="1" indent="-57150" algn="l" defTabSz="333375">
            <a:lnSpc>
              <a:spcPct val="90000"/>
            </a:lnSpc>
            <a:spcBef>
              <a:spcPct val="0"/>
            </a:spcBef>
            <a:spcAft>
              <a:spcPct val="15000"/>
            </a:spcAft>
            <a:buFont typeface="Calibri" panose="020F0502020204030204" pitchFamily="34" charset="0"/>
            <a:buChar char="••"/>
          </a:pPr>
          <a:r>
            <a:rPr lang="ro-RO" sz="750" kern="1200" dirty="0">
              <a:solidFill>
                <a:srgbClr val="FFFFFF"/>
              </a:solidFill>
              <a:latin typeface="Arial"/>
              <a:ea typeface="+mn-ea"/>
              <a:cs typeface="+mn-cs"/>
            </a:rPr>
            <a:t>Regulamentul privind legea de blocaj</a:t>
          </a:r>
        </a:p>
      </dsp:txBody>
      <dsp:txXfrm rot="5400000">
        <a:off x="3292631" y="734059"/>
        <a:ext cx="1020170" cy="2202180"/>
      </dsp:txXfrm>
    </dsp:sp>
    <dsp:sp modelId="{E6FCF5A5-EFB5-4FB2-8878-C6326D43B400}">
      <dsp:nvSpPr>
        <dsp:cNvPr id="0" name=""/>
        <dsp:cNvSpPr/>
      </dsp:nvSpPr>
      <dsp:spPr>
        <a:xfrm rot="16200000">
          <a:off x="3064249" y="1325064"/>
          <a:ext cx="3670300" cy="1020170"/>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0" tIns="0" rIns="44450" bIns="0" numCol="1" spcCol="1270" anchor="t" anchorCtr="0">
          <a:noAutofit/>
        </a:bodyPr>
        <a:lstStyle/>
        <a:p>
          <a:pPr lvl="0" algn="l" defTabSz="311150">
            <a:lnSpc>
              <a:spcPct val="90000"/>
            </a:lnSpc>
            <a:spcBef>
              <a:spcPct val="0"/>
            </a:spcBef>
            <a:spcAft>
              <a:spcPct val="35000"/>
            </a:spcAft>
            <a:buFont typeface="Calibri" panose="020F0502020204030204" pitchFamily="34" charset="0"/>
            <a:buNone/>
          </a:pPr>
          <a:r>
            <a:rPr lang="ro-RO" sz="700" kern="1200" dirty="0">
              <a:solidFill>
                <a:srgbClr val="FFFFFF"/>
              </a:solidFill>
              <a:latin typeface="Arial"/>
              <a:ea typeface="+mn-ea"/>
              <a:cs typeface="+mn-cs"/>
            </a:rPr>
            <a:t>Finanțare și restricții</a:t>
          </a:r>
        </a:p>
        <a:p>
          <a:pPr marL="57150" lvl="1" indent="-57150" algn="l" defTabSz="311150">
            <a:lnSpc>
              <a:spcPct val="90000"/>
            </a:lnSpc>
            <a:spcBef>
              <a:spcPct val="0"/>
            </a:spcBef>
            <a:spcAft>
              <a:spcPct val="15000"/>
            </a:spcAft>
            <a:buFont typeface="Calibri" panose="020F0502020204030204" pitchFamily="34" charset="0"/>
            <a:buChar char="••"/>
          </a:pPr>
          <a:r>
            <a:rPr lang="ro-RO" sz="700" kern="1200" dirty="0">
              <a:solidFill>
                <a:srgbClr val="FFFFFF"/>
              </a:solidFill>
              <a:latin typeface="Arial"/>
              <a:ea typeface="+mn-ea"/>
              <a:cs typeface="+mn-cs"/>
            </a:rPr>
            <a:t>Global Gateway</a:t>
          </a:r>
        </a:p>
        <a:p>
          <a:pPr marL="57150" lvl="1" indent="-57150" algn="l" defTabSz="311150">
            <a:lnSpc>
              <a:spcPct val="90000"/>
            </a:lnSpc>
            <a:spcBef>
              <a:spcPct val="0"/>
            </a:spcBef>
            <a:spcAft>
              <a:spcPct val="15000"/>
            </a:spcAft>
            <a:buFont typeface="Calibri" panose="020F0502020204030204" pitchFamily="34" charset="0"/>
            <a:buChar char="••"/>
          </a:pPr>
          <a:r>
            <a:rPr lang="ro-RO" sz="700" kern="1200" dirty="0">
              <a:solidFill>
                <a:srgbClr val="FFFFFF"/>
              </a:solidFill>
              <a:latin typeface="Arial"/>
              <a:ea typeface="+mn-ea"/>
              <a:cs typeface="+mn-cs"/>
            </a:rPr>
            <a:t>Restricțiile de finanțare din partea UE în cadrul programului Orizont Europa, al programului Europa digitală, al Mecanismului pentru interconectarea Europei</a:t>
          </a:r>
        </a:p>
        <a:p>
          <a:pPr marL="57150" lvl="1" indent="-57150" algn="l" defTabSz="311150">
            <a:lnSpc>
              <a:spcPct val="90000"/>
            </a:lnSpc>
            <a:spcBef>
              <a:spcPct val="0"/>
            </a:spcBef>
            <a:spcAft>
              <a:spcPct val="15000"/>
            </a:spcAft>
            <a:buFont typeface="Calibri" panose="020F0502020204030204" pitchFamily="34" charset="0"/>
            <a:buChar char="••"/>
          </a:pPr>
          <a:r>
            <a:rPr lang="ro-RO" sz="700" kern="1200" dirty="0">
              <a:solidFill>
                <a:srgbClr val="FFFFFF"/>
              </a:solidFill>
              <a:latin typeface="Arial"/>
              <a:ea typeface="+mn-ea"/>
              <a:cs typeface="+mn-cs"/>
            </a:rPr>
            <a:t>Restricțiile de securitate economică (CFM post-2027)</a:t>
          </a:r>
        </a:p>
        <a:p>
          <a:pPr marL="57150" lvl="1" indent="-57150" algn="l" defTabSz="311150">
            <a:lnSpc>
              <a:spcPct val="90000"/>
            </a:lnSpc>
            <a:spcBef>
              <a:spcPct val="0"/>
            </a:spcBef>
            <a:spcAft>
              <a:spcPct val="15000"/>
            </a:spcAft>
            <a:buFont typeface="Calibri" panose="020F0502020204030204" pitchFamily="34" charset="0"/>
            <a:buChar char="••"/>
          </a:pPr>
          <a:r>
            <a:rPr lang="ro-RO" sz="700" kern="1200" dirty="0">
              <a:solidFill>
                <a:srgbClr val="FFFFFF"/>
              </a:solidFill>
              <a:latin typeface="Arial"/>
              <a:ea typeface="+mn-ea"/>
              <a:cs typeface="+mn-cs"/>
            </a:rPr>
            <a:t>Restricțiile privind furnizorii cu grad ridicat de risc (CFM post-2027)</a:t>
          </a:r>
        </a:p>
        <a:p>
          <a:pPr marL="57150" lvl="1" indent="-57150" algn="l" defTabSz="311150">
            <a:lnSpc>
              <a:spcPct val="90000"/>
            </a:lnSpc>
            <a:spcBef>
              <a:spcPct val="0"/>
            </a:spcBef>
            <a:spcAft>
              <a:spcPct val="15000"/>
            </a:spcAft>
            <a:buFont typeface="Calibri" panose="020F0502020204030204" pitchFamily="34" charset="0"/>
            <a:buChar char="••"/>
          </a:pPr>
          <a:r>
            <a:rPr lang="ro-RO" sz="700" kern="1200" dirty="0">
              <a:solidFill>
                <a:srgbClr val="FFFFFF"/>
              </a:solidFill>
              <a:latin typeface="Arial"/>
              <a:ea typeface="+mn-ea"/>
              <a:cs typeface="+mn-cs"/>
            </a:rPr>
            <a:t>Instrumentul de coordonare a competitivității</a:t>
          </a:r>
        </a:p>
        <a:p>
          <a:pPr marL="57150" lvl="1" indent="-57150" algn="l" defTabSz="311150">
            <a:lnSpc>
              <a:spcPct val="90000"/>
            </a:lnSpc>
            <a:spcBef>
              <a:spcPct val="0"/>
            </a:spcBef>
            <a:spcAft>
              <a:spcPct val="15000"/>
            </a:spcAft>
            <a:buFont typeface="Calibri" panose="020F0502020204030204" pitchFamily="34" charset="0"/>
            <a:buChar char="••"/>
          </a:pPr>
          <a:r>
            <a:rPr lang="ro-RO" sz="700" kern="1200" dirty="0">
              <a:solidFill>
                <a:srgbClr val="FFFFFF"/>
              </a:solidFill>
              <a:latin typeface="Arial"/>
              <a:ea typeface="+mn-ea"/>
              <a:cs typeface="+mn-cs"/>
            </a:rPr>
            <a:t>Articolul 136 din Regulamentul financiar</a:t>
          </a:r>
        </a:p>
      </dsp:txBody>
      <dsp:txXfrm rot="5400000">
        <a:off x="4389314" y="734059"/>
        <a:ext cx="1020170" cy="2202180"/>
      </dsp:txXfrm>
    </dsp:sp>
    <dsp:sp modelId="{FBBEE4AA-C9CC-4ED0-A700-B49BA97F6A51}">
      <dsp:nvSpPr>
        <dsp:cNvPr id="0" name=""/>
        <dsp:cNvSpPr/>
      </dsp:nvSpPr>
      <dsp:spPr>
        <a:xfrm rot="16200000">
          <a:off x="4160932" y="1325064"/>
          <a:ext cx="3670300" cy="1020170"/>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0" tIns="0" rIns="41275" bIns="0" numCol="1" spcCol="1270" anchor="t" anchorCtr="0">
          <a:noAutofit/>
        </a:bodyPr>
        <a:lstStyle/>
        <a:p>
          <a:pPr lvl="0" algn="l" defTabSz="288925">
            <a:lnSpc>
              <a:spcPct val="90000"/>
            </a:lnSpc>
            <a:spcBef>
              <a:spcPct val="0"/>
            </a:spcBef>
            <a:spcAft>
              <a:spcPct val="35000"/>
            </a:spcAft>
            <a:buFont typeface="Calibri" panose="020F0502020204030204" pitchFamily="34" charset="0"/>
            <a:buNone/>
          </a:pPr>
          <a:r>
            <a:rPr lang="ro-RO" sz="650" kern="1200" dirty="0">
              <a:solidFill>
                <a:srgbClr val="FFFFFF"/>
              </a:solidFill>
              <a:latin typeface="Arial"/>
              <a:ea typeface="+mn-ea"/>
              <a:cs typeface="+mn-cs"/>
            </a:rPr>
            <a:t>Inițiative sectoriale selectate</a:t>
          </a:r>
        </a:p>
        <a:p>
          <a:pPr marL="57150" lvl="1" indent="-57150" algn="l" defTabSz="288925">
            <a:lnSpc>
              <a:spcPct val="90000"/>
            </a:lnSpc>
            <a:spcBef>
              <a:spcPct val="0"/>
            </a:spcBef>
            <a:spcAft>
              <a:spcPct val="15000"/>
            </a:spcAft>
            <a:buFont typeface="Calibri" panose="020F0502020204030204" pitchFamily="34" charset="0"/>
            <a:buChar char="••"/>
          </a:pPr>
          <a:r>
            <a:rPr lang="ro-RO" sz="650" kern="1200" dirty="0">
              <a:solidFill>
                <a:srgbClr val="FFFFFF"/>
              </a:solidFill>
              <a:latin typeface="Arial"/>
              <a:ea typeface="+mn-ea"/>
              <a:cs typeface="+mn-cs"/>
            </a:rPr>
            <a:t>ResourceEU</a:t>
          </a:r>
        </a:p>
        <a:p>
          <a:pPr marL="57150" lvl="1" indent="-57150" algn="l" defTabSz="288925">
            <a:lnSpc>
              <a:spcPct val="90000"/>
            </a:lnSpc>
            <a:spcBef>
              <a:spcPct val="0"/>
            </a:spcBef>
            <a:spcAft>
              <a:spcPct val="15000"/>
            </a:spcAft>
            <a:buFont typeface="Calibri" panose="020F0502020204030204" pitchFamily="34" charset="0"/>
            <a:buChar char="••"/>
          </a:pPr>
          <a:r>
            <a:rPr lang="ro-RO" sz="650" kern="1200" dirty="0">
              <a:solidFill>
                <a:srgbClr val="FFFFFF"/>
              </a:solidFill>
              <a:latin typeface="Arial"/>
              <a:ea typeface="+mn-ea"/>
              <a:cs typeface="+mn-cs"/>
            </a:rPr>
            <a:t>Regulamentul privind cipurile 2.0</a:t>
          </a:r>
        </a:p>
        <a:p>
          <a:pPr marL="57150" lvl="1" indent="-57150" algn="l" defTabSz="288925">
            <a:lnSpc>
              <a:spcPct val="90000"/>
            </a:lnSpc>
            <a:spcBef>
              <a:spcPct val="0"/>
            </a:spcBef>
            <a:spcAft>
              <a:spcPct val="15000"/>
            </a:spcAft>
            <a:buFont typeface="Calibri" panose="020F0502020204030204" pitchFamily="34" charset="0"/>
            <a:buChar char="••"/>
          </a:pPr>
          <a:r>
            <a:rPr lang="ro-RO" sz="650" kern="1200" dirty="0">
              <a:solidFill>
                <a:srgbClr val="FFFFFF"/>
              </a:solidFill>
              <a:latin typeface="Arial"/>
              <a:ea typeface="+mn-ea"/>
              <a:cs typeface="+mn-cs"/>
            </a:rPr>
            <a:t>Strategia în domeniul tehnologiilor cuantice</a:t>
          </a:r>
        </a:p>
        <a:p>
          <a:pPr marL="57150" lvl="1" indent="-57150" algn="l" defTabSz="288925">
            <a:lnSpc>
              <a:spcPct val="90000"/>
            </a:lnSpc>
            <a:spcBef>
              <a:spcPct val="0"/>
            </a:spcBef>
            <a:spcAft>
              <a:spcPct val="15000"/>
            </a:spcAft>
            <a:buFont typeface="Calibri" panose="020F0502020204030204" pitchFamily="34" charset="0"/>
            <a:buChar char="••"/>
          </a:pPr>
          <a:r>
            <a:rPr lang="ro-RO" sz="650" kern="1200" dirty="0">
              <a:solidFill>
                <a:srgbClr val="FFFFFF"/>
              </a:solidFill>
              <a:latin typeface="Arial"/>
              <a:ea typeface="+mn-ea"/>
              <a:cs typeface="+mn-cs"/>
            </a:rPr>
            <a:t>Actul legislativ privind accelerarea activității industriale</a:t>
          </a:r>
        </a:p>
        <a:p>
          <a:pPr marL="57150" lvl="1" indent="-57150" algn="l" defTabSz="288925">
            <a:lnSpc>
              <a:spcPct val="90000"/>
            </a:lnSpc>
            <a:spcBef>
              <a:spcPct val="0"/>
            </a:spcBef>
            <a:spcAft>
              <a:spcPct val="15000"/>
            </a:spcAft>
            <a:buFont typeface="Calibri" panose="020F0502020204030204" pitchFamily="34" charset="0"/>
            <a:buChar char="••"/>
          </a:pPr>
          <a:r>
            <a:rPr lang="ro-RO" sz="650" kern="1200" dirty="0">
              <a:solidFill>
                <a:srgbClr val="FFFFFF"/>
              </a:solidFill>
              <a:latin typeface="Arial"/>
              <a:ea typeface="+mn-ea"/>
              <a:cs typeface="+mn-cs"/>
            </a:rPr>
            <a:t>Strategia privind o uniune a datelor</a:t>
          </a:r>
        </a:p>
        <a:p>
          <a:pPr marL="57150" lvl="1" indent="-57150" algn="l" defTabSz="288925">
            <a:lnSpc>
              <a:spcPct val="90000"/>
            </a:lnSpc>
            <a:spcBef>
              <a:spcPct val="0"/>
            </a:spcBef>
            <a:spcAft>
              <a:spcPct val="15000"/>
            </a:spcAft>
            <a:buFont typeface="Calibri" panose="020F0502020204030204" pitchFamily="34" charset="0"/>
            <a:buChar char="••"/>
          </a:pPr>
          <a:r>
            <a:rPr lang="ro-RO" sz="650" kern="1200" dirty="0">
              <a:solidFill>
                <a:srgbClr val="FFFFFF"/>
              </a:solidFill>
              <a:latin typeface="Arial"/>
              <a:ea typeface="+mn-ea"/>
              <a:cs typeface="+mn-cs"/>
            </a:rPr>
            <a:t>Regulamentul privind materiile prime critice (CRM)/Centrul pentru CRM</a:t>
          </a:r>
        </a:p>
        <a:p>
          <a:pPr marL="57150" lvl="1" indent="-57150" algn="l" defTabSz="288925">
            <a:lnSpc>
              <a:spcPct val="90000"/>
            </a:lnSpc>
            <a:spcBef>
              <a:spcPct val="0"/>
            </a:spcBef>
            <a:spcAft>
              <a:spcPct val="15000"/>
            </a:spcAft>
            <a:buFont typeface="Calibri" panose="020F0502020204030204" pitchFamily="34" charset="0"/>
            <a:buChar char="••"/>
          </a:pPr>
          <a:r>
            <a:rPr lang="ro-RO" sz="650" b="0" kern="1200">
              <a:latin typeface="Arial" panose="020B0604020202020204" pitchFamily="34" charset="0"/>
              <a:cs typeface="Arial" panose="020B0604020202020204" pitchFamily="34" charset="0"/>
            </a:rPr>
            <a:t>Strategia UE privind start-upurile și întreprinderile în fază de extindere</a:t>
          </a:r>
        </a:p>
        <a:p>
          <a:pPr marL="57150" lvl="1" indent="-57150" algn="l" defTabSz="288925">
            <a:lnSpc>
              <a:spcPct val="90000"/>
            </a:lnSpc>
            <a:spcBef>
              <a:spcPct val="0"/>
            </a:spcBef>
            <a:spcAft>
              <a:spcPct val="15000"/>
            </a:spcAft>
            <a:buFont typeface="Calibri" panose="020F0502020204030204" pitchFamily="34" charset="0"/>
            <a:buChar char="••"/>
          </a:pPr>
          <a:r>
            <a:rPr lang="ro-RO" sz="650" b="0" kern="1200">
              <a:latin typeface="Arial" panose="020B0604020202020204" pitchFamily="34" charset="0"/>
              <a:cs typeface="Arial" panose="020B0604020202020204" pitchFamily="34" charset="0"/>
            </a:rPr>
            <a:t>Actul european pentru inovare </a:t>
          </a:r>
        </a:p>
        <a:p>
          <a:pPr marL="57150" lvl="1" indent="-57150" algn="l" defTabSz="288925">
            <a:lnSpc>
              <a:spcPct val="90000"/>
            </a:lnSpc>
            <a:spcBef>
              <a:spcPct val="0"/>
            </a:spcBef>
            <a:spcAft>
              <a:spcPct val="15000"/>
            </a:spcAft>
            <a:buFont typeface="Calibri" panose="020F0502020204030204" pitchFamily="34" charset="0"/>
            <a:buChar char="••"/>
          </a:pPr>
          <a:r>
            <a:rPr lang="ro-RO" sz="650" b="0" kern="1200" dirty="0">
              <a:solidFill>
                <a:srgbClr val="FFFFFF"/>
              </a:solidFill>
              <a:latin typeface="Arial" panose="020B0604020202020204" pitchFamily="34" charset="0"/>
              <a:ea typeface="+mn-ea"/>
              <a:cs typeface="Arial" panose="020B0604020202020204" pitchFamily="34" charset="0"/>
            </a:rPr>
            <a:t>Strategia portuară a UE</a:t>
          </a:r>
        </a:p>
        <a:p>
          <a:pPr marL="57150" lvl="1" indent="-57150" algn="l" defTabSz="288925">
            <a:lnSpc>
              <a:spcPct val="90000"/>
            </a:lnSpc>
            <a:spcBef>
              <a:spcPct val="0"/>
            </a:spcBef>
            <a:spcAft>
              <a:spcPct val="15000"/>
            </a:spcAft>
            <a:buFont typeface="Calibri" panose="020F0502020204030204" pitchFamily="34" charset="0"/>
            <a:buChar char="••"/>
          </a:pPr>
          <a:r>
            <a:rPr lang="ro-RO" sz="650" b="0" kern="1200" dirty="0">
              <a:solidFill>
                <a:srgbClr val="FFFFFF"/>
              </a:solidFill>
              <a:latin typeface="Arial" panose="020B0604020202020204" pitchFamily="34" charset="0"/>
              <a:ea typeface="+mn-ea"/>
              <a:cs typeface="Arial" panose="020B0604020202020204" pitchFamily="34" charset="0"/>
            </a:rPr>
            <a:t>Strategia privind dronele 2.0</a:t>
          </a:r>
        </a:p>
      </dsp:txBody>
      <dsp:txXfrm rot="5400000">
        <a:off x="5485997" y="734059"/>
        <a:ext cx="1020170" cy="22021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2D76B2-9B7D-433D-9717-9F5B315BADD5}">
      <dsp:nvSpPr>
        <dsp:cNvPr id="0" name=""/>
        <dsp:cNvSpPr/>
      </dsp:nvSpPr>
      <dsp:spPr>
        <a:xfrm>
          <a:off x="151861" y="376"/>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kern="1200"/>
            <a:t>Consolidarea rezilienței lanțului de aprovizionare și contracararea </a:t>
          </a:r>
          <a:r>
            <a:rPr lang="ro-RO" sz="1100" b="1" kern="1200"/>
            <a:t>dependențelor strategice de bunuri și servicii</a:t>
          </a:r>
        </a:p>
      </dsp:txBody>
      <dsp:txXfrm>
        <a:off x="151861" y="376"/>
        <a:ext cx="1640651" cy="984390"/>
      </dsp:txXfrm>
    </dsp:sp>
    <dsp:sp modelId="{D6527388-D63D-4149-AF6E-1C41FDEEE497}">
      <dsp:nvSpPr>
        <dsp:cNvPr id="0" name=""/>
        <dsp:cNvSpPr/>
      </dsp:nvSpPr>
      <dsp:spPr>
        <a:xfrm>
          <a:off x="1956578" y="376"/>
          <a:ext cx="1640651" cy="98439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b="1" kern="1200" dirty="0"/>
            <a:t>Atragerea de investiții cu valoare adăugată din exterior</a:t>
          </a:r>
          <a:r>
            <a:rPr lang="ro-RO" sz="1100" kern="1200" dirty="0"/>
            <a:t> care să consolideze securitatea economică a UE</a:t>
          </a:r>
        </a:p>
      </dsp:txBody>
      <dsp:txXfrm>
        <a:off x="1956578" y="376"/>
        <a:ext cx="1640651" cy="984390"/>
      </dsp:txXfrm>
    </dsp:sp>
    <dsp:sp modelId="{62FC3EDF-8669-4AC1-9EA1-0E6E74AE325C}">
      <dsp:nvSpPr>
        <dsp:cNvPr id="0" name=""/>
        <dsp:cNvSpPr/>
      </dsp:nvSpPr>
      <dsp:spPr>
        <a:xfrm>
          <a:off x="3761294" y="376"/>
          <a:ext cx="1640651" cy="98439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kern="1200"/>
            <a:t>Sprijinirea unei </a:t>
          </a:r>
          <a:r>
            <a:rPr lang="ro-RO" sz="1100" b="1" kern="1200"/>
            <a:t>baze industriale dinamice de apărare și spațiale, precum și a altor sectoare industriale cu risc ridicat</a:t>
          </a:r>
        </a:p>
      </dsp:txBody>
      <dsp:txXfrm>
        <a:off x="3761294" y="376"/>
        <a:ext cx="1640651" cy="984390"/>
      </dsp:txXfrm>
    </dsp:sp>
    <dsp:sp modelId="{87F12916-9E6D-4D79-A2EB-3F96F503998B}">
      <dsp:nvSpPr>
        <dsp:cNvPr id="0" name=""/>
        <dsp:cNvSpPr/>
      </dsp:nvSpPr>
      <dsp:spPr>
        <a:xfrm>
          <a:off x="151861" y="1148832"/>
          <a:ext cx="1640651" cy="98439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kern="1200"/>
            <a:t>Dezvoltarea și menținerea </a:t>
          </a:r>
          <a:r>
            <a:rPr lang="ro-RO" sz="1100" b="1" kern="1200"/>
            <a:t>poziției de lider în domeniul tehnologiilor critice</a:t>
          </a:r>
        </a:p>
      </dsp:txBody>
      <dsp:txXfrm>
        <a:off x="151861" y="1148832"/>
        <a:ext cx="1640651" cy="984390"/>
      </dsp:txXfrm>
    </dsp:sp>
    <dsp:sp modelId="{38F95370-39C1-44B0-B405-5B28DC80F009}">
      <dsp:nvSpPr>
        <dsp:cNvPr id="0" name=""/>
        <dsp:cNvSpPr/>
      </dsp:nvSpPr>
      <dsp:spPr>
        <a:xfrm>
          <a:off x="1956578" y="1148832"/>
          <a:ext cx="1640651" cy="984390"/>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kern="1200"/>
            <a:t>Prevenirea accesului la </a:t>
          </a:r>
          <a:r>
            <a:rPr lang="ro-RO" sz="1100" b="1" kern="1200"/>
            <a:t>informații și date sensibile</a:t>
          </a:r>
          <a:r>
            <a:rPr lang="ro-RO" sz="1100" kern="1200"/>
            <a:t> care ar putea submina securitatea economică a UE</a:t>
          </a:r>
        </a:p>
      </dsp:txBody>
      <dsp:txXfrm>
        <a:off x="1956578" y="1148832"/>
        <a:ext cx="1640651" cy="984390"/>
      </dsp:txXfrm>
    </dsp:sp>
    <dsp:sp modelId="{AD4B6C6F-59EF-475D-8E80-44E6367538E6}">
      <dsp:nvSpPr>
        <dsp:cNvPr id="0" name=""/>
        <dsp:cNvSpPr/>
      </dsp:nvSpPr>
      <dsp:spPr>
        <a:xfrm>
          <a:off x="3761294" y="1148832"/>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o-RO" sz="1100" kern="1200"/>
            <a:t>Prevenirea și atenuarea </a:t>
          </a:r>
          <a:r>
            <a:rPr lang="ro-RO" sz="1100" b="1" kern="1200"/>
            <a:t>perturbărilor infrastructurii critice a UE</a:t>
          </a:r>
          <a:r>
            <a:rPr lang="ro-RO" sz="1100" kern="1200"/>
            <a:t> care afectează economia UE</a:t>
          </a:r>
        </a:p>
      </dsp:txBody>
      <dsp:txXfrm>
        <a:off x="3761294" y="1148832"/>
        <a:ext cx="1640651" cy="98439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a110bf-1397-432a-831f-ace30d95bf4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d2fd6057-fd61-491c-ae1d-35cd63c428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087700D314BF4F9D7F36D32E8BC023" ma:contentTypeVersion="11" ma:contentTypeDescription="Create a new document." ma:contentTypeScope="" ma:versionID="bee54300d2b08e50fd61be2ab6b6b027">
  <xsd:schema xmlns:xsd="http://www.w3.org/2001/XMLSchema" xmlns:xs="http://www.w3.org/2001/XMLSchema" xmlns:p="http://schemas.microsoft.com/office/2006/metadata/properties" xmlns:ns2="0ca110bf-1397-432a-831f-ace30d95bf45" xmlns:ns3="d2fd6057-fd61-491c-ae1d-35cd63c4281a" targetNamespace="http://schemas.microsoft.com/office/2006/metadata/properties" ma:root="true" ma:fieldsID="3d3f2f2860e2e8ea9141c14ccd7437d2" ns2:_="" ns3:_="">
    <xsd:import namespace="0ca110bf-1397-432a-831f-ace30d95bf45"/>
    <xsd:import namespace="d2fd6057-fd61-491c-ae1d-35cd63c428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110bf-1397-432a-831f-ace30d95b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d6057-fd61-491c-ae1d-35cd63c4281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4fdb29-c78e-4eb8-9329-36b91783b7d4}" ma:internalName="TaxCatchAll" ma:showField="CatchAllData" ma:web="d2fd6057-fd61-491c-ae1d-35cd63c428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82C9A-BC63-42B2-B247-A589EF0E733B}">
  <ds:schemaRefs>
    <ds:schemaRef ds:uri="http://schemas.microsoft.com/sharepoint/v3/contenttype/forms"/>
  </ds:schemaRefs>
</ds:datastoreItem>
</file>

<file path=customXml/itemProps2.xml><?xml version="1.0" encoding="utf-8"?>
<ds:datastoreItem xmlns:ds="http://schemas.openxmlformats.org/officeDocument/2006/customXml" ds:itemID="{E5A817C7-686F-4D4B-B9B0-498F90C7CEB8}">
  <ds:schemaRefs>
    <ds:schemaRef ds:uri="http://schemas.microsoft.com/office/2006/metadata/properties"/>
    <ds:schemaRef ds:uri="http://schemas.microsoft.com/office/infopath/2007/PartnerControls"/>
    <ds:schemaRef ds:uri="0ca110bf-1397-432a-831f-ace30d95bf45"/>
    <ds:schemaRef ds:uri="d2fd6057-fd61-491c-ae1d-35cd63c4281a"/>
  </ds:schemaRefs>
</ds:datastoreItem>
</file>

<file path=customXml/itemProps3.xml><?xml version="1.0" encoding="utf-8"?>
<ds:datastoreItem xmlns:ds="http://schemas.openxmlformats.org/officeDocument/2006/customXml" ds:itemID="{EE977DE9-88B7-40AF-8778-6238B347B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110bf-1397-432a-831f-ace30d95bf45"/>
    <ds:schemaRef ds:uri="d2fd6057-fd61-491c-ae1d-35cd63c42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0F0515-9389-475C-948E-1B5019D52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7585</Words>
  <Characters>43238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2025-12-03T09:57:00Z</dcterms:created>
  <dcterms:modified xsi:type="dcterms:W3CDTF">2025-12-19T08:56:00Z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2025-11-25T13:44:16Z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7bc90bcc-31dc-4055-aa4d-66bdeb624c0b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0x01010097087700D314BF4F9D7F36D32E8BC023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CP-015</vt:lpwstr>
  </property>
  <property fmtid="{D5CDD505-2E9C-101B-9397-08002B2CF9AE}" pid="18" name="EC_TX_All_World_Countries">
    <vt:lpwstr/>
  </property>
  <property fmtid="{D5CDD505-2E9C-101B-9397-08002B2CF9AE}" pid="19" name="EC_TX_Corporate_x0020_Body">
    <vt:lpwstr/>
  </property>
  <property fmtid="{D5CDD505-2E9C-101B-9397-08002B2CF9AE}" pid="20" name="EC_TX_EU_Political_Leader">
    <vt:lpwstr/>
  </property>
  <property fmtid="{D5CDD505-2E9C-101B-9397-08002B2CF9AE}" pid="21" name="p6ffe5294acd41c38db3fcc8ababb05f">
    <vt:lpwstr/>
  </property>
  <property fmtid="{D5CDD505-2E9C-101B-9397-08002B2CF9AE}" pid="22" name="k2c54712f93b47eb83e1835ba301b6c6">
    <vt:lpwstr/>
  </property>
  <property fmtid="{D5CDD505-2E9C-101B-9397-08002B2CF9AE}" pid="23" name="EC_TX_Strategic_Priority">
    <vt:lpwstr/>
  </property>
  <property fmtid="{D5CDD505-2E9C-101B-9397-08002B2CF9AE}" pid="24" name="i8c8ab8b63424c5d9f8c4a8434abf670">
    <vt:lpwstr/>
  </property>
  <property fmtid="{D5CDD505-2E9C-101B-9397-08002B2CF9AE}" pid="25" name="p26229aee9004b9f888149fd0449ec68">
    <vt:lpwstr/>
  </property>
  <property fmtid="{D5CDD505-2E9C-101B-9397-08002B2CF9AE}" pid="26" name="eff2cf69f10b4279bbb27215ca009b37">
    <vt:lpwstr/>
  </property>
  <property fmtid="{D5CDD505-2E9C-101B-9397-08002B2CF9AE}" pid="27" name="EC_TX_Policy_Area">
    <vt:lpwstr/>
  </property>
  <property fmtid="{D5CDD505-2E9C-101B-9397-08002B2CF9AE}" pid="28" name="EC_TX_EU_Member_State">
    <vt:lpwstr/>
  </property>
  <property fmtid="{D5CDD505-2E9C-101B-9397-08002B2CF9AE}" pid="29" name="EC_TX_Resource_Type">
    <vt:lpwstr/>
  </property>
  <property fmtid="{D5CDD505-2E9C-101B-9397-08002B2CF9AE}" pid="30" name="j8309f8bc3e645d1a2f07391f8e5795a">
    <vt:lpwstr/>
  </property>
  <property fmtid="{D5CDD505-2E9C-101B-9397-08002B2CF9AE}" pid="31" name="g81cb4d17be94922847ce418ea81f55a">
    <vt:lpwstr/>
  </property>
  <property fmtid="{D5CDD505-2E9C-101B-9397-08002B2CF9AE}" pid="32" name="TaxCatchAll">
    <vt:lpwstr/>
  </property>
  <property fmtid="{D5CDD505-2E9C-101B-9397-08002B2CF9AE}" pid="33" name="EC_TX_Corporate Body">
    <vt:lpwstr/>
  </property>
</Properties>
</file>