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9B" w:rsidRDefault="00B14417" w:rsidP="00B1441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12BADF-69C8-474C-9945-EB6726EFE4C4" style="width:455.25pt;height:357.75pt">
            <v:imagedata r:id="rId11" o:title=""/>
          </v:shape>
        </w:pict>
      </w:r>
    </w:p>
    <w:p w:rsidR="0070239B" w:rsidRDefault="0070239B">
      <w:pPr>
        <w:rPr>
          <w:noProof/>
        </w:rPr>
        <w:sectPr w:rsidR="0070239B" w:rsidSect="00B14417">
          <w:footerReference w:type="even" r:id="rId12"/>
          <w:footerReference w:type="default" r:id="rId13"/>
          <w:pgSz w:w="11907" w:h="16839"/>
          <w:pgMar w:top="1134" w:right="1417" w:bottom="1134" w:left="1417" w:header="709" w:footer="709" w:gutter="0"/>
          <w:pgNumType w:start="0"/>
          <w:cols w:space="720"/>
          <w:docGrid w:linePitch="360"/>
        </w:sectPr>
      </w:pPr>
    </w:p>
    <w:p w:rsidR="0070239B" w:rsidRDefault="00EA14B3">
      <w:pPr>
        <w:pStyle w:val="Exposdesmotifstitre"/>
        <w:rPr>
          <w:noProof/>
        </w:rPr>
      </w:pPr>
      <w:bookmarkStart w:id="0" w:name="_GoBack"/>
      <w:bookmarkEnd w:id="0"/>
      <w:r>
        <w:rPr>
          <w:noProof/>
        </w:rPr>
        <w:lastRenderedPageBreak/>
        <w:t>EXPLANATORY MEMORANDUM</w:t>
      </w:r>
    </w:p>
    <w:p w:rsidR="0070239B" w:rsidRDefault="00EA14B3">
      <w:pPr>
        <w:pStyle w:val="ManualHeading1"/>
        <w:rPr>
          <w:noProof/>
        </w:rPr>
      </w:pPr>
      <w:bookmarkStart w:id="1" w:name="_Toc484762486"/>
      <w:r>
        <w:rPr>
          <w:noProof/>
        </w:rPr>
        <w:t>1.</w:t>
      </w:r>
      <w:r>
        <w:rPr>
          <w:noProof/>
        </w:rPr>
        <w:tab/>
        <w:t>Context of the proposal</w:t>
      </w:r>
      <w:bookmarkEnd w:id="1"/>
    </w:p>
    <w:p w:rsidR="0099685F" w:rsidRPr="00F81BB7" w:rsidRDefault="0099685F" w:rsidP="00D60206">
      <w:pPr>
        <w:rPr>
          <w:noProof/>
        </w:rPr>
      </w:pPr>
      <w:r w:rsidRPr="0099685F">
        <w:rPr>
          <w:noProof/>
        </w:rPr>
        <w:t>This decision covers the mobilisation of the European Union Solidarity Fund (hereinafter referred to as ‘the EUSF’) in accordance with Council Reglation (EC) No 2012/2002</w:t>
      </w:r>
      <w:r w:rsidR="00D60206">
        <w:rPr>
          <w:rStyle w:val="FootnoteReference"/>
          <w:noProof/>
        </w:rPr>
        <w:footnoteReference w:id="2"/>
      </w:r>
      <w:r w:rsidR="00D60206">
        <w:rPr>
          <w:noProof/>
        </w:rPr>
        <w:t xml:space="preserve"> </w:t>
      </w:r>
      <w:r w:rsidRPr="0099685F">
        <w:rPr>
          <w:noProof/>
        </w:rPr>
        <w:t xml:space="preserve">(hereinafter referred to as ‘the </w:t>
      </w:r>
      <w:r w:rsidR="00851D2E">
        <w:rPr>
          <w:noProof/>
        </w:rPr>
        <w:t xml:space="preserve">EUSF </w:t>
      </w:r>
      <w:r w:rsidRPr="0099685F">
        <w:rPr>
          <w:noProof/>
        </w:rPr>
        <w:t xml:space="preserve">Regulation’) for </w:t>
      </w:r>
      <w:r w:rsidR="00EC4D5F">
        <w:rPr>
          <w:noProof/>
        </w:rPr>
        <w:t>an amount of EUR 144 099 75</w:t>
      </w:r>
      <w:r w:rsidR="00F32A41">
        <w:rPr>
          <w:noProof/>
        </w:rPr>
        <w:t>6</w:t>
      </w:r>
      <w:r w:rsidR="00EC4D5F">
        <w:rPr>
          <w:noProof/>
        </w:rPr>
        <w:t xml:space="preserve"> to provide assistance to Romania following the floods </w:t>
      </w:r>
      <w:r w:rsidR="00C32C8B">
        <w:rPr>
          <w:noProof/>
        </w:rPr>
        <w:t>at</w:t>
      </w:r>
      <w:r w:rsidR="00EC4D5F">
        <w:rPr>
          <w:noProof/>
        </w:rPr>
        <w:t xml:space="preserve"> the end of May 2025, Cyprus following the wildfires in July 2025 and Spain following the wildfires in August 2025.</w:t>
      </w:r>
    </w:p>
    <w:p w:rsidR="0099685F" w:rsidRPr="0099685F" w:rsidRDefault="0099685F" w:rsidP="0099685F">
      <w:pPr>
        <w:rPr>
          <w:noProof/>
          <w:snapToGrid w:val="0"/>
        </w:rPr>
      </w:pPr>
      <w:r w:rsidRPr="00F81BB7">
        <w:rPr>
          <w:noProof/>
        </w:rPr>
        <w:t xml:space="preserve">This mobilisation is accompanied </w:t>
      </w:r>
      <w:r w:rsidRPr="003851E2">
        <w:rPr>
          <w:noProof/>
        </w:rPr>
        <w:t xml:space="preserve">by DEC No </w:t>
      </w:r>
      <w:r w:rsidR="00EC4D5F" w:rsidRPr="003851E2">
        <w:rPr>
          <w:noProof/>
        </w:rPr>
        <w:t>8</w:t>
      </w:r>
      <w:r w:rsidRPr="003851E2">
        <w:rPr>
          <w:noProof/>
        </w:rPr>
        <w:t>/202</w:t>
      </w:r>
      <w:r w:rsidR="00EC4D5F" w:rsidRPr="003851E2">
        <w:rPr>
          <w:noProof/>
        </w:rPr>
        <w:t>6</w:t>
      </w:r>
      <w:r w:rsidRPr="003851E2">
        <w:rPr>
          <w:noProof/>
        </w:rPr>
        <w:t xml:space="preserve"> </w:t>
      </w:r>
      <w:r w:rsidR="00EC4D5F" w:rsidRPr="003851E2">
        <w:rPr>
          <w:noProof/>
        </w:rPr>
        <w:t xml:space="preserve">that proposes </w:t>
      </w:r>
      <w:r w:rsidR="00EC4D5F">
        <w:rPr>
          <w:noProof/>
        </w:rPr>
        <w:t>to transfer the necessary amount from the European Solidarity Reserve (hereinafter referred as ‘the ESR’) reserve line to the EUSF operational budget line, both in commitments and payments appropriations.</w:t>
      </w:r>
    </w:p>
    <w:p w:rsidR="0099685F" w:rsidRDefault="0099685F" w:rsidP="0027390F">
      <w:pPr>
        <w:pStyle w:val="ManualHeading1"/>
        <w:rPr>
          <w:noProof/>
        </w:rPr>
      </w:pPr>
      <w:bookmarkStart w:id="2" w:name="_Toc484762487"/>
      <w:r w:rsidRPr="0099685F">
        <w:rPr>
          <w:noProof/>
        </w:rPr>
        <w:t>2.</w:t>
      </w:r>
      <w:r w:rsidRPr="0099685F">
        <w:rPr>
          <w:noProof/>
        </w:rPr>
        <w:tab/>
        <w:t>Information and conditions</w:t>
      </w:r>
      <w:bookmarkEnd w:id="2"/>
    </w:p>
    <w:p w:rsidR="00770D01" w:rsidRDefault="0099685F" w:rsidP="00D04787">
      <w:pPr>
        <w:pStyle w:val="ManualHeading2"/>
        <w:rPr>
          <w:noProof/>
        </w:rPr>
      </w:pPr>
      <w:r w:rsidRPr="0099685F">
        <w:rPr>
          <w:noProof/>
        </w:rPr>
        <w:t>2.1</w:t>
      </w:r>
      <w:r w:rsidRPr="0099685F">
        <w:rPr>
          <w:noProof/>
        </w:rPr>
        <w:tab/>
      </w:r>
      <w:bookmarkStart w:id="3" w:name="_Hlk196898248"/>
      <w:r w:rsidR="00EC4D5F">
        <w:rPr>
          <w:noProof/>
        </w:rPr>
        <w:t xml:space="preserve">Romania – regional natural disaster: floods </w:t>
      </w:r>
      <w:r w:rsidR="008B2F57">
        <w:rPr>
          <w:noProof/>
        </w:rPr>
        <w:t xml:space="preserve">starting on 27 </w:t>
      </w:r>
      <w:r w:rsidR="00EC4D5F">
        <w:rPr>
          <w:noProof/>
        </w:rPr>
        <w:t>May 2025</w:t>
      </w:r>
    </w:p>
    <w:p w:rsidR="00EC4D5F" w:rsidRDefault="00EC4D5F" w:rsidP="00452920">
      <w:pPr>
        <w:pStyle w:val="Point0"/>
        <w:rPr>
          <w:noProof/>
        </w:rPr>
      </w:pPr>
      <w:r>
        <w:rPr>
          <w:noProof/>
        </w:rPr>
        <w:t>(1)</w:t>
      </w:r>
      <w:r>
        <w:rPr>
          <w:noProof/>
        </w:rPr>
        <w:tab/>
        <w:t>On 14 August 2025, Romania submitted an application for a financial contribution from the EUSF to finance emergency and recovery operations following the floods starting on 27 May 2025. On 26 September 2025 and on 24 March 2026, Romania submitted additional clarifications regarding the data and the information provided in the EUSF application.</w:t>
      </w:r>
    </w:p>
    <w:bookmarkEnd w:id="3"/>
    <w:p w:rsidR="00EC4D5F" w:rsidRDefault="00EC4D5F" w:rsidP="00EC4D5F">
      <w:pPr>
        <w:pStyle w:val="Point0"/>
        <w:rPr>
          <w:noProof/>
        </w:rPr>
      </w:pPr>
      <w:r>
        <w:rPr>
          <w:noProof/>
        </w:rPr>
        <w:t>(2)</w:t>
      </w:r>
      <w:r>
        <w:rPr>
          <w:noProof/>
        </w:rPr>
        <w:tab/>
        <w:t>Romania applied for a contribution from the EUSF within the deadline of 12 weeks after the first damage caused by the disaster occurred on 27 May 2025. The application contains all the information required under Article 4 of the EUSF Regulation.</w:t>
      </w:r>
    </w:p>
    <w:p w:rsidR="00EC4D5F" w:rsidRDefault="00EC4D5F" w:rsidP="00EC4D5F">
      <w:pPr>
        <w:pStyle w:val="Point0"/>
        <w:rPr>
          <w:noProof/>
        </w:rPr>
      </w:pPr>
      <w:r>
        <w:rPr>
          <w:noProof/>
        </w:rPr>
        <w:t>(3)</w:t>
      </w:r>
      <w:r>
        <w:rPr>
          <w:noProof/>
        </w:rPr>
        <w:tab/>
        <w:t>The disaster is of natural origin and therefore falls within the field of application of the EUSF.</w:t>
      </w:r>
    </w:p>
    <w:p w:rsidR="00EC4D5F" w:rsidRDefault="00EC4D5F" w:rsidP="00EC4D5F">
      <w:pPr>
        <w:pStyle w:val="Point0"/>
        <w:rPr>
          <w:noProof/>
        </w:rPr>
      </w:pPr>
      <w:r>
        <w:rPr>
          <w:noProof/>
        </w:rPr>
        <w:t>(4)</w:t>
      </w:r>
      <w:r>
        <w:rPr>
          <w:noProof/>
        </w:rPr>
        <w:tab/>
        <w:t>The Romanian authorities submitted the application under the ‘regional natural disaster’ criterion as laid down in Article 2(3) of the EUSF Regulation, which is any natural disaster in a region at NUTS level 2 of an eligible State resulting in direct damage exceeding 1.5% of that region’s gross domestic product (GDP). The Romanian authorities estimate the total direct damage caused by the disaster at EUR 573</w:t>
      </w:r>
      <w:r w:rsidR="4C824D8F">
        <w:rPr>
          <w:noProof/>
        </w:rPr>
        <w:t>.</w:t>
      </w:r>
      <w:r>
        <w:rPr>
          <w:noProof/>
        </w:rPr>
        <w:t xml:space="preserve">59 million. According </w:t>
      </w:r>
      <w:r w:rsidR="009D29BC">
        <w:rPr>
          <w:noProof/>
          <w:lang w:val="en-US"/>
        </w:rPr>
        <w:t xml:space="preserve">to the third subparagraph of Article 2(3) of the </w:t>
      </w:r>
      <w:r>
        <w:rPr>
          <w:noProof/>
        </w:rPr>
        <w:t>EUSF regulation, where the natural disaster concerns several regions at NUTS level 2, the threshold shall be applied to the average GDP of those regions weighted according to the share of total damage in each region. The direct damage expressed as a percentage of the total weighted regional GDP of the Centru, Sud Muntenia and Nord Est regions is 1.8%. This amount exceeds 1.5% of the total weighted regional GDP of the Centru, Sud Muntenia and Nord Est regions</w:t>
      </w:r>
      <w:r w:rsidRPr="233B4F2D">
        <w:rPr>
          <w:rStyle w:val="FootnoteReference"/>
          <w:noProof/>
        </w:rPr>
        <w:footnoteReference w:id="3"/>
      </w:r>
      <w:r>
        <w:rPr>
          <w:noProof/>
        </w:rPr>
        <w:t>.</w:t>
      </w:r>
    </w:p>
    <w:p w:rsidR="00EC4D5F" w:rsidRDefault="00EC4D5F" w:rsidP="00EC4D5F">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rsidR="00EC4D5F" w:rsidRDefault="00EC4D5F" w:rsidP="00EC4D5F">
      <w:pPr>
        <w:pStyle w:val="Point0"/>
        <w:rPr>
          <w:noProof/>
        </w:rPr>
      </w:pPr>
      <w:r>
        <w:rPr>
          <w:noProof/>
        </w:rPr>
        <w:lastRenderedPageBreak/>
        <w:t>(6)</w:t>
      </w:r>
      <w:r>
        <w:rPr>
          <w:noProof/>
        </w:rPr>
        <w:tab/>
        <w:t>Romania did not request the payment of an advance pursuant to Article 4a of the EUSF Regulation.</w:t>
      </w:r>
    </w:p>
    <w:p w:rsidR="00EC4D5F" w:rsidRDefault="00EC4D5F" w:rsidP="00EC4D5F">
      <w:pPr>
        <w:pStyle w:val="Point0"/>
        <w:rPr>
          <w:noProof/>
        </w:rPr>
      </w:pPr>
      <w:r>
        <w:rPr>
          <w:noProof/>
        </w:rPr>
        <w:t>(7)</w:t>
      </w:r>
      <w:r>
        <w:rPr>
          <w:noProof/>
        </w:rPr>
        <w:tab/>
        <w:t>Between 26 May and early June 2025, Romania experienced several days of heavy rains which subsequently led to flooding in the Centru, Sud Muntenia and Nord Est regions. The greatest damage was recorded at the Praid Salt Mine, where, on 27 May, flood water from the Corund river dissolved part of the riverbed, severely damaging the hydrotechnical infrastructure of the area and penetrated into the salt mine. The entire salt mine was flooded with water which compromised the stability of the salt support pillars and endangered the mine’s structural integrity. In other parts of the abovementioned regions, hail and strong winds caused widespread infrastructure damage. The storms also disrupted the functioning of public services and left thousands of households without electricity.</w:t>
      </w:r>
    </w:p>
    <w:p w:rsidR="00EC4D5F" w:rsidRDefault="00EC4D5F" w:rsidP="00EC4D5F">
      <w:pPr>
        <w:pStyle w:val="Point0"/>
        <w:rPr>
          <w:noProof/>
        </w:rPr>
      </w:pPr>
      <w:r>
        <w:rPr>
          <w:noProof/>
        </w:rPr>
        <w:t>(8)</w:t>
      </w:r>
      <w:r>
        <w:rPr>
          <w:noProof/>
        </w:rPr>
        <w:tab/>
        <w:t>The Romanian authorities requested the assistance of a team of experts related to structural issues of the Praid Salt Mine through the European Union Civil Protection Mechanism. A team of 8 experts from Germany, Hungary, the Netherlands, Spain, as well as a Liason Officer from the EU’s Emergency Response Coordination Centre were deployed for a week to help analyse the situation of the Praid Salt Mine. The key findings of the experts were presented to the Romanian authorities on 10 June.</w:t>
      </w:r>
    </w:p>
    <w:p w:rsidR="00EC4D5F" w:rsidRDefault="00EC4D5F" w:rsidP="00EC4D5F">
      <w:pPr>
        <w:pStyle w:val="Point0"/>
        <w:rPr>
          <w:noProof/>
        </w:rPr>
      </w:pPr>
      <w:r>
        <w:rPr>
          <w:noProof/>
        </w:rPr>
        <w:t>(9)</w:t>
      </w:r>
      <w:r>
        <w:rPr>
          <w:noProof/>
        </w:rPr>
        <w:tab/>
        <w:t>Romania estimated the cost of operations eligible under Article 3(2) of the EUSF Regulation at EUR 449.71 million and presented the costs broken down by type of operation. The largest share of the cost of emergency operations concerns the restoration of the working order of infrastructure and plants in the fields of energy, water and wastewater, telecommunications, transport, health, and education amounting to EUR 227</w:t>
      </w:r>
      <w:r w:rsidR="0054140A">
        <w:rPr>
          <w:noProof/>
        </w:rPr>
        <w:t>.</w:t>
      </w:r>
      <w:r>
        <w:rPr>
          <w:noProof/>
        </w:rPr>
        <w:t>09 million. The second-largest share of cost concerns the cost of securing preventive infrastructure and the protection of cultural heritage amounts to EUR 177</w:t>
      </w:r>
      <w:r w:rsidR="0054140A">
        <w:rPr>
          <w:noProof/>
        </w:rPr>
        <w:t>.</w:t>
      </w:r>
      <w:r>
        <w:rPr>
          <w:noProof/>
        </w:rPr>
        <w:t>64</w:t>
      </w:r>
      <w:r w:rsidR="0054140A">
        <w:rPr>
          <w:noProof/>
        </w:rPr>
        <w:t xml:space="preserve"> million</w:t>
      </w:r>
      <w:r>
        <w:rPr>
          <w:noProof/>
        </w:rPr>
        <w:t>. The third-largest share of cost concerns the cleaning up of the disaster-stricken area amounts to EUR 26.04 million. The fourth-largest share of cost concerns the cost of rescue services and the provision of temporary accommodation amounts to EUR 18.94 million.</w:t>
      </w:r>
    </w:p>
    <w:p w:rsidR="00EC4D5F" w:rsidRDefault="00EC4D5F" w:rsidP="00EC4D5F">
      <w:pPr>
        <w:pStyle w:val="Point0"/>
        <w:rPr>
          <w:noProof/>
        </w:rPr>
      </w:pPr>
      <w:r>
        <w:rPr>
          <w:noProof/>
        </w:rPr>
        <w:t>(10)</w:t>
      </w:r>
      <w:r>
        <w:rPr>
          <w:noProof/>
        </w:rPr>
        <w:tab/>
        <w:t>Romania transpos</w:t>
      </w:r>
      <w:r w:rsidR="0054140A">
        <w:rPr>
          <w:noProof/>
        </w:rPr>
        <w:t>ed</w:t>
      </w:r>
      <w:r>
        <w:rPr>
          <w:noProof/>
        </w:rPr>
        <w:t xml:space="preserve"> Directive 2007/60/EC of the European Parliament and of the Council </w:t>
      </w:r>
      <w:r w:rsidR="0054140A">
        <w:rPr>
          <w:noProof/>
        </w:rPr>
        <w:t xml:space="preserve">(the Floods Directive) primarily through the National Strategy for Flood Risk Management in the Medium and Long Term (2010-2035) adopted via Government Decision 846 of </w:t>
      </w:r>
      <w:r w:rsidR="00334480">
        <w:rPr>
          <w:noProof/>
        </w:rPr>
        <w:t xml:space="preserve">11 </w:t>
      </w:r>
      <w:r w:rsidR="0054140A">
        <w:rPr>
          <w:noProof/>
        </w:rPr>
        <w:t>August 2010.</w:t>
      </w:r>
    </w:p>
    <w:p w:rsidR="00EC4D5F" w:rsidRDefault="00EC4D5F" w:rsidP="00EC4D5F">
      <w:pPr>
        <w:pStyle w:val="Point0"/>
        <w:rPr>
          <w:noProof/>
        </w:rPr>
      </w:pPr>
      <w:r>
        <w:rPr>
          <w:noProof/>
        </w:rPr>
        <w:t>(11)</w:t>
      </w:r>
      <w:r>
        <w:rPr>
          <w:noProof/>
        </w:rPr>
        <w:tab/>
        <w:t>At the date of submitting the application, Romania was not subject to infringement proceedings concerning Union legislation relating to the nature of the disaster.</w:t>
      </w:r>
    </w:p>
    <w:p w:rsidR="00960C59" w:rsidRPr="00DA49CA" w:rsidRDefault="00401FF0" w:rsidP="00D60206">
      <w:pPr>
        <w:pStyle w:val="ManualHeading2"/>
        <w:tabs>
          <w:tab w:val="clear" w:pos="850"/>
        </w:tabs>
        <w:ind w:left="0" w:firstLine="1"/>
        <w:rPr>
          <w:noProof/>
        </w:rPr>
      </w:pPr>
      <w:r w:rsidRPr="0099685F">
        <w:rPr>
          <w:noProof/>
        </w:rPr>
        <w:t>2.</w:t>
      </w:r>
      <w:r>
        <w:rPr>
          <w:noProof/>
        </w:rPr>
        <w:t>2</w:t>
      </w:r>
      <w:r w:rsidRPr="0099685F">
        <w:rPr>
          <w:noProof/>
        </w:rPr>
        <w:tab/>
      </w:r>
      <w:r w:rsidR="00D60206">
        <w:rPr>
          <w:noProof/>
        </w:rPr>
        <w:t>Cyprus</w:t>
      </w:r>
      <w:r w:rsidRPr="00770D01">
        <w:rPr>
          <w:noProof/>
        </w:rPr>
        <w:t xml:space="preserve"> –</w:t>
      </w:r>
      <w:r>
        <w:rPr>
          <w:noProof/>
        </w:rPr>
        <w:t xml:space="preserve"> </w:t>
      </w:r>
      <w:r w:rsidR="00D60206">
        <w:rPr>
          <w:noProof/>
        </w:rPr>
        <w:t>major natural disaster: wildfires in July 2025</w:t>
      </w:r>
      <w:r w:rsidR="007469C2" w:rsidRPr="007469C2">
        <w:rPr>
          <w:noProof/>
        </w:rPr>
        <w:t xml:space="preserve"> </w:t>
      </w:r>
    </w:p>
    <w:p w:rsidR="00D60206" w:rsidRDefault="00D60206" w:rsidP="00452920">
      <w:pPr>
        <w:pStyle w:val="Point0"/>
        <w:rPr>
          <w:noProof/>
        </w:rPr>
      </w:pPr>
      <w:r>
        <w:rPr>
          <w:noProof/>
        </w:rPr>
        <w:t>(1)</w:t>
      </w:r>
      <w:r>
        <w:rPr>
          <w:noProof/>
        </w:rPr>
        <w:tab/>
        <w:t>On 14 October 2025, Cyprus submitted an application for a financial contribution from the EUSF to finance emergency and recovery operations following the wildfires in July 2025.</w:t>
      </w:r>
    </w:p>
    <w:p w:rsidR="00D60206" w:rsidRDefault="00D60206" w:rsidP="00452920">
      <w:pPr>
        <w:pStyle w:val="Point0"/>
        <w:rPr>
          <w:noProof/>
        </w:rPr>
      </w:pPr>
      <w:r>
        <w:rPr>
          <w:noProof/>
        </w:rPr>
        <w:t>(2)</w:t>
      </w:r>
      <w:r>
        <w:rPr>
          <w:noProof/>
        </w:rPr>
        <w:tab/>
        <w:t>Cyprus applied for a contribution from the EUSF within the deadline of 12 weeks after the first damage caused by the disaster occurred on 23 July 2025. The application contains all the information required under Article 4 of the EUSF Regulation.</w:t>
      </w:r>
    </w:p>
    <w:p w:rsidR="00D60206" w:rsidRDefault="00D60206" w:rsidP="00452920">
      <w:pPr>
        <w:pStyle w:val="Point0"/>
        <w:rPr>
          <w:noProof/>
        </w:rPr>
      </w:pPr>
      <w:r>
        <w:rPr>
          <w:noProof/>
        </w:rPr>
        <w:t>(3)</w:t>
      </w:r>
      <w:r>
        <w:rPr>
          <w:noProof/>
        </w:rPr>
        <w:tab/>
        <w:t>The disaster is of natural origin and therefore falls within the field of application of the EUSF.</w:t>
      </w:r>
    </w:p>
    <w:p w:rsidR="00D60206" w:rsidRDefault="00D60206" w:rsidP="233B4F2D">
      <w:pPr>
        <w:pStyle w:val="Point0"/>
        <w:rPr>
          <w:noProof/>
        </w:rPr>
      </w:pPr>
      <w:r>
        <w:rPr>
          <w:noProof/>
        </w:rPr>
        <w:lastRenderedPageBreak/>
        <w:t>(4)</w:t>
      </w:r>
      <w:r>
        <w:rPr>
          <w:noProof/>
        </w:rPr>
        <w:tab/>
        <w:t>The Cypriot authorities estimate the total direct damage caused by the disaster at EUR 253.69 million. The Commission accepted EUR 25</w:t>
      </w:r>
      <w:r w:rsidR="0054140A">
        <w:rPr>
          <w:noProof/>
        </w:rPr>
        <w:t>2</w:t>
      </w:r>
      <w:r>
        <w:rPr>
          <w:noProof/>
        </w:rPr>
        <w:t>.68 million as plausible total direct damage. This amount exceeds the ‘major natural disaster’ threshold for Cyprus of 0.6% of its Gross National Income, which was EUR 170.0</w:t>
      </w:r>
      <w:r w:rsidR="00F5092F">
        <w:rPr>
          <w:noProof/>
        </w:rPr>
        <w:t>5</w:t>
      </w:r>
      <w:r>
        <w:rPr>
          <w:noProof/>
        </w:rPr>
        <w:t xml:space="preserve"> million in 2025</w:t>
      </w:r>
      <w:r w:rsidR="007208BC">
        <w:rPr>
          <w:rStyle w:val="FootnoteReference"/>
          <w:noProof/>
        </w:rPr>
        <w:footnoteReference w:id="4"/>
      </w:r>
      <w:r>
        <w:rPr>
          <w:noProof/>
        </w:rPr>
        <w:t>. Therefore, the disaster qualifies as a ‘major natural disaster’ according to Article 2(2) of the EUSF Regulation.</w:t>
      </w:r>
    </w:p>
    <w:p w:rsidR="00D60206" w:rsidRDefault="00D60206" w:rsidP="00452920">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rsidR="00D60206" w:rsidRDefault="00D60206" w:rsidP="00452920">
      <w:pPr>
        <w:pStyle w:val="Point0"/>
        <w:rPr>
          <w:noProof/>
        </w:rPr>
      </w:pPr>
      <w:r>
        <w:rPr>
          <w:noProof/>
        </w:rPr>
        <w:t>(6)</w:t>
      </w:r>
      <w:r>
        <w:rPr>
          <w:noProof/>
        </w:rPr>
        <w:tab/>
        <w:t>Cyprus requested the payment of an advance pursuant to Article 4a of the EUSF Regulation. On the basis of the preliminary assessment, the Commission concluded that the conditions for paying an advance from the EUSF were met. Therefore, an advance of EUR 2 317 465 was awarded by Commission Implementing Decision C(2025) 8276 of 3 December 2025. The advance was paid to Cyprus on 29 December 2025.</w:t>
      </w:r>
    </w:p>
    <w:p w:rsidR="00D60206" w:rsidRDefault="00D60206" w:rsidP="00452920">
      <w:pPr>
        <w:pStyle w:val="Point0"/>
        <w:rPr>
          <w:noProof/>
        </w:rPr>
      </w:pPr>
      <w:r>
        <w:rPr>
          <w:noProof/>
        </w:rPr>
        <w:t>(7)</w:t>
      </w:r>
      <w:r>
        <w:rPr>
          <w:noProof/>
        </w:rPr>
        <w:tab/>
        <w:t>During the summer of 2025, Cyprus experienced a combination of prolonged drought, extreme heatwaves and strong winds which created the conditions for two unprecedented wildfires in the Limassol and Pafos regions in July. Thousands of residents were forced to evacuate due to the Limassol wildfires. Several schools and health establishments had to reduce their services and close to 900 private properties were destroyed. Meanwhile, the Pafos wildfire caused serious economic losses in the agricultural sector, the environment and threatened the socio-economic stability of rural communities. The wildfires also led to 2 fatalities.</w:t>
      </w:r>
    </w:p>
    <w:p w:rsidR="00D60206" w:rsidRDefault="00D60206" w:rsidP="00452920">
      <w:pPr>
        <w:pStyle w:val="Point0"/>
        <w:rPr>
          <w:noProof/>
        </w:rPr>
      </w:pPr>
      <w:r>
        <w:rPr>
          <w:noProof/>
        </w:rPr>
        <w:t>(8)</w:t>
      </w:r>
      <w:r>
        <w:rPr>
          <w:noProof/>
        </w:rPr>
        <w:tab/>
        <w:t>The Cypriot authorities requested assistance for the Limassol fires through the European Union Civil Protection Mechanism. Several EU Member States expressed their readiness to offer support. On 24 July 2025, Cyprus accepted Greece’s offer which swiftly provided one Ground Forest Firefighting module.</w:t>
      </w:r>
    </w:p>
    <w:p w:rsidR="00D60206" w:rsidRDefault="00D60206" w:rsidP="233B4F2D">
      <w:pPr>
        <w:pStyle w:val="Point0"/>
        <w:rPr>
          <w:noProof/>
        </w:rPr>
      </w:pPr>
      <w:r>
        <w:rPr>
          <w:noProof/>
        </w:rPr>
        <w:t>(9)</w:t>
      </w:r>
      <w:r>
        <w:rPr>
          <w:noProof/>
        </w:rPr>
        <w:tab/>
        <w:t>Cyprus estimated the cost of operations eligible under Article 3(2) of the EUSF Regulation at EUR 84.2</w:t>
      </w:r>
      <w:r w:rsidR="00384737">
        <w:rPr>
          <w:noProof/>
        </w:rPr>
        <w:t>5</w:t>
      </w:r>
      <w:r>
        <w:rPr>
          <w:noProof/>
        </w:rPr>
        <w:t xml:space="preserve"> </w:t>
      </w:r>
      <w:r w:rsidR="00EA5DE7">
        <w:rPr>
          <w:noProof/>
        </w:rPr>
        <w:t>million and</w:t>
      </w:r>
      <w:r>
        <w:rPr>
          <w:noProof/>
        </w:rPr>
        <w:t xml:space="preserve"> presented the costs broken down by type of operation. The largest share of cost concerns the restoration of the working order of infrastructure and plants in the fields of energy, water, wastewater, telecoms and transport amounting to EUR 66.9 million. The second-largest share of cost concerns temporary accommodation and rescue services amounting to EUR 8.77 million. The third-largest share of cost concerns the cleaning up of the disaster-stricken area amounting to EUR 5.</w:t>
      </w:r>
      <w:r w:rsidR="00384737">
        <w:rPr>
          <w:noProof/>
        </w:rPr>
        <w:t>88</w:t>
      </w:r>
      <w:r>
        <w:rPr>
          <w:noProof/>
        </w:rPr>
        <w:t xml:space="preserve"> million. The fourth-largest share of cost concerns securing preventive infrastructure and the protection of cultural heritage amounting to EUR 2.7 million.</w:t>
      </w:r>
    </w:p>
    <w:p w:rsidR="00D60206" w:rsidRDefault="00D60206" w:rsidP="00452920">
      <w:pPr>
        <w:pStyle w:val="Point0"/>
        <w:rPr>
          <w:noProof/>
        </w:rPr>
      </w:pPr>
      <w:r>
        <w:rPr>
          <w:noProof/>
        </w:rPr>
        <w:t>(10)</w:t>
      </w:r>
      <w:r>
        <w:rPr>
          <w:noProof/>
        </w:rPr>
        <w:tab/>
        <w:t>At the date of submitting the application Cyprus was not subject to infringement proceedings concerning Union legislation relating to the nature of the disaster.</w:t>
      </w:r>
    </w:p>
    <w:p w:rsidR="00052654" w:rsidRPr="00052654" w:rsidRDefault="00052654" w:rsidP="00D60206">
      <w:pPr>
        <w:pStyle w:val="ManualHeading2"/>
        <w:tabs>
          <w:tab w:val="clear" w:pos="850"/>
        </w:tabs>
        <w:ind w:left="0" w:firstLine="1"/>
        <w:rPr>
          <w:noProof/>
        </w:rPr>
      </w:pPr>
      <w:r>
        <w:rPr>
          <w:noProof/>
        </w:rPr>
        <w:t xml:space="preserve">2.3  </w:t>
      </w:r>
      <w:r w:rsidR="00D60206">
        <w:rPr>
          <w:noProof/>
        </w:rPr>
        <w:t xml:space="preserve">Spain </w:t>
      </w:r>
      <w:r w:rsidRPr="00770D01">
        <w:rPr>
          <w:noProof/>
        </w:rPr>
        <w:t xml:space="preserve">– </w:t>
      </w:r>
      <w:r>
        <w:rPr>
          <w:noProof/>
        </w:rPr>
        <w:t>major natural</w:t>
      </w:r>
      <w:r w:rsidRPr="00770D01">
        <w:rPr>
          <w:noProof/>
        </w:rPr>
        <w:t xml:space="preserve"> disaster: </w:t>
      </w:r>
      <w:r w:rsidR="00D60206">
        <w:rPr>
          <w:noProof/>
        </w:rPr>
        <w:t>wildfires in August 2025</w:t>
      </w:r>
    </w:p>
    <w:p w:rsidR="00D60206" w:rsidRDefault="00D60206" w:rsidP="00452920">
      <w:pPr>
        <w:pStyle w:val="Point0"/>
        <w:rPr>
          <w:noProof/>
        </w:rPr>
      </w:pPr>
      <w:r>
        <w:rPr>
          <w:noProof/>
        </w:rPr>
        <w:t>(1)</w:t>
      </w:r>
      <w:r>
        <w:rPr>
          <w:noProof/>
        </w:rPr>
        <w:tab/>
        <w:t>On 30 October 2025, Spain submitted an application for a financial contribution from the EUSF to finance emergency and recovery operations following the wildfires in August 2025.</w:t>
      </w:r>
    </w:p>
    <w:p w:rsidR="00D60206" w:rsidRDefault="00D60206" w:rsidP="00452920">
      <w:pPr>
        <w:pStyle w:val="Point0"/>
        <w:rPr>
          <w:noProof/>
        </w:rPr>
      </w:pPr>
      <w:r>
        <w:rPr>
          <w:noProof/>
        </w:rPr>
        <w:lastRenderedPageBreak/>
        <w:t>(2)</w:t>
      </w:r>
      <w:r>
        <w:rPr>
          <w:noProof/>
        </w:rPr>
        <w:tab/>
        <w:t>Spain applied for a contribution from the EUSF within the deadline of 12 weeks after the first damage caused by the disaster occurred on 8 August 2025. The application contains all the information required under Article 4 of the EUSF Regulation.</w:t>
      </w:r>
    </w:p>
    <w:p w:rsidR="00D60206" w:rsidRDefault="00D60206" w:rsidP="00452920">
      <w:pPr>
        <w:pStyle w:val="Point0"/>
        <w:rPr>
          <w:noProof/>
        </w:rPr>
      </w:pPr>
      <w:r>
        <w:rPr>
          <w:noProof/>
        </w:rPr>
        <w:t>(3)</w:t>
      </w:r>
      <w:r>
        <w:rPr>
          <w:noProof/>
        </w:rPr>
        <w:tab/>
        <w:t>The disaster is of natural origin and therefore falls within the field of application of the EUSF.</w:t>
      </w:r>
    </w:p>
    <w:p w:rsidR="00D60206" w:rsidRDefault="00D60206" w:rsidP="514C0825">
      <w:pPr>
        <w:pStyle w:val="Point0"/>
        <w:rPr>
          <w:noProof/>
        </w:rPr>
      </w:pPr>
      <w:r>
        <w:rPr>
          <w:noProof/>
        </w:rPr>
        <w:t>(4)</w:t>
      </w:r>
      <w:r>
        <w:rPr>
          <w:noProof/>
        </w:rPr>
        <w:tab/>
        <w:t>The Spanish authorities estimate the total direct damage caused by the disaster at EUR 4 318.27 million. This amount exceeds the ‘major natural disaster’ threshold for Spain, which was EUR 3 958.44 million in 2025</w:t>
      </w:r>
      <w:r w:rsidR="007208BC">
        <w:rPr>
          <w:rStyle w:val="FootnoteReference"/>
          <w:noProof/>
        </w:rPr>
        <w:footnoteReference w:id="5"/>
      </w:r>
      <w:r w:rsidR="005E7B5F">
        <w:rPr>
          <w:noProof/>
        </w:rPr>
        <w:t xml:space="preserve"> (EUR </w:t>
      </w:r>
      <w:r w:rsidR="00BD5C5A">
        <w:rPr>
          <w:noProof/>
        </w:rPr>
        <w:t xml:space="preserve">3 </w:t>
      </w:r>
      <w:r w:rsidR="005E7B5F">
        <w:rPr>
          <w:noProof/>
        </w:rPr>
        <w:t>billion in 2011 prices)</w:t>
      </w:r>
      <w:r>
        <w:rPr>
          <w:noProof/>
        </w:rPr>
        <w:t>. Therefore, the disaster qualifies as a ‘major natural disaster’ according to Article 2(2) of the EUSF Regulation.</w:t>
      </w:r>
    </w:p>
    <w:p w:rsidR="00D60206" w:rsidRDefault="00D60206" w:rsidP="00452920">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rsidR="00D60206" w:rsidRDefault="00D60206" w:rsidP="00452920">
      <w:pPr>
        <w:pStyle w:val="Point0"/>
        <w:rPr>
          <w:noProof/>
        </w:rPr>
      </w:pPr>
      <w:r>
        <w:rPr>
          <w:noProof/>
        </w:rPr>
        <w:t>(6)</w:t>
      </w:r>
      <w:r>
        <w:rPr>
          <w:noProof/>
        </w:rPr>
        <w:tab/>
        <w:t xml:space="preserve">Spain requested the payment of an advance pursuant to Article 4a of the EUSF Regulation. On the basis of the preliminary assessment, the Commission concluded that the conditions for paying an advance from the EUSF were met. Therefore, an advance of EUR 30 137 714 </w:t>
      </w:r>
      <w:r w:rsidR="00597D48">
        <w:rPr>
          <w:noProof/>
        </w:rPr>
        <w:t>will be</w:t>
      </w:r>
      <w:r>
        <w:rPr>
          <w:noProof/>
        </w:rPr>
        <w:t xml:space="preserve"> awarded by </w:t>
      </w:r>
      <w:r w:rsidR="00384737">
        <w:rPr>
          <w:noProof/>
        </w:rPr>
        <w:t xml:space="preserve">the </w:t>
      </w:r>
      <w:r>
        <w:rPr>
          <w:noProof/>
        </w:rPr>
        <w:t>Commission Implementing</w:t>
      </w:r>
      <w:r w:rsidR="00D40074">
        <w:rPr>
          <w:noProof/>
        </w:rPr>
        <w:t xml:space="preserve"> </w:t>
      </w:r>
      <w:r w:rsidR="005F4257">
        <w:rPr>
          <w:noProof/>
        </w:rPr>
        <w:t xml:space="preserve">Decision </w:t>
      </w:r>
      <w:r w:rsidR="00D40074">
        <w:rPr>
          <w:noProof/>
        </w:rPr>
        <w:t xml:space="preserve">currently under </w:t>
      </w:r>
      <w:r w:rsidR="00015426">
        <w:rPr>
          <w:noProof/>
        </w:rPr>
        <w:t>adoption</w:t>
      </w:r>
      <w:r w:rsidR="00384737">
        <w:rPr>
          <w:noProof/>
        </w:rPr>
        <w:t xml:space="preserve">. </w:t>
      </w:r>
    </w:p>
    <w:p w:rsidR="00D60206" w:rsidRDefault="00D60206" w:rsidP="00452920">
      <w:pPr>
        <w:pStyle w:val="Point0"/>
        <w:rPr>
          <w:noProof/>
        </w:rPr>
      </w:pPr>
      <w:r>
        <w:rPr>
          <w:noProof/>
        </w:rPr>
        <w:t>(7)</w:t>
      </w:r>
      <w:r>
        <w:rPr>
          <w:noProof/>
        </w:rPr>
        <w:tab/>
        <w:t>During the summer of 2025, Spain experienced a combination of prolonged drought, extreme heatwaves and three waves of severe wildfires. At least 243 forest fires were recorded in 16 Autonomous Communities. The fires caused significant environmental, social, and economic damages, destroying the livelihood of many citizens, especially in rural areas. Numerous people had to be evacuated from their homes. The wildfires also led to 8 fatalities. This application relates to the damages of the third and most destructive wave of fires which began on 8 August.</w:t>
      </w:r>
    </w:p>
    <w:p w:rsidR="00D60206" w:rsidRDefault="00D60206" w:rsidP="00452920">
      <w:pPr>
        <w:pStyle w:val="Point0"/>
        <w:rPr>
          <w:noProof/>
        </w:rPr>
      </w:pPr>
      <w:r>
        <w:rPr>
          <w:noProof/>
        </w:rPr>
        <w:t>(8)</w:t>
      </w:r>
      <w:r>
        <w:rPr>
          <w:noProof/>
        </w:rPr>
        <w:tab/>
        <w:t>The Spanish authorities requested assistance through the European Union Civil Protection Mechanism. Nine Member States provided support in the form of firefighting airplanes, helicopters, firefighters, vehicles, tools and heavy machinery to several Spanish regions.</w:t>
      </w:r>
    </w:p>
    <w:p w:rsidR="00D60206" w:rsidRDefault="00D60206" w:rsidP="00452920">
      <w:pPr>
        <w:pStyle w:val="Point0"/>
        <w:rPr>
          <w:noProof/>
        </w:rPr>
      </w:pPr>
      <w:r>
        <w:rPr>
          <w:noProof/>
        </w:rPr>
        <w:t>(9)</w:t>
      </w:r>
      <w:r>
        <w:rPr>
          <w:noProof/>
        </w:rPr>
        <w:tab/>
        <w:t xml:space="preserve">Spain estimated the cost of operations eligible under Article 3(2) of the EUSF Regulation at EUR </w:t>
      </w:r>
      <w:r w:rsidR="00384737">
        <w:rPr>
          <w:noProof/>
        </w:rPr>
        <w:t>121.1</w:t>
      </w:r>
      <w:r>
        <w:rPr>
          <w:noProof/>
        </w:rPr>
        <w:t xml:space="preserve"> </w:t>
      </w:r>
      <w:r w:rsidR="00384737">
        <w:rPr>
          <w:noProof/>
        </w:rPr>
        <w:t>million and</w:t>
      </w:r>
      <w:r>
        <w:rPr>
          <w:noProof/>
        </w:rPr>
        <w:t xml:space="preserve"> presented the costs broken down by type of operation. The largest share of cost concerns the cleaning up of the disaster-stricken area amounting to EUR </w:t>
      </w:r>
      <w:r w:rsidR="00384737">
        <w:rPr>
          <w:noProof/>
        </w:rPr>
        <w:t>52.61</w:t>
      </w:r>
      <w:r>
        <w:rPr>
          <w:noProof/>
        </w:rPr>
        <w:t xml:space="preserve"> million. The second</w:t>
      </w:r>
      <w:r w:rsidR="00384737">
        <w:rPr>
          <w:noProof/>
        </w:rPr>
        <w:t>-</w:t>
      </w:r>
      <w:r>
        <w:rPr>
          <w:noProof/>
        </w:rPr>
        <w:t>largest share of cost concerns the restoration of the working order of infrastructure and plants in the fields of water, wastewater, telecommunications, education and transport</w:t>
      </w:r>
      <w:r w:rsidR="00384737">
        <w:rPr>
          <w:noProof/>
        </w:rPr>
        <w:t>, including cultural heritage,</w:t>
      </w:r>
      <w:r>
        <w:rPr>
          <w:noProof/>
        </w:rPr>
        <w:t xml:space="preserve"> amounting to EUR </w:t>
      </w:r>
      <w:r w:rsidR="00384737">
        <w:rPr>
          <w:noProof/>
        </w:rPr>
        <w:t>29.44</w:t>
      </w:r>
      <w:r>
        <w:rPr>
          <w:noProof/>
        </w:rPr>
        <w:t xml:space="preserve"> million. The third share of cost concerns temporary accommodation and rescue services amounting to EUR </w:t>
      </w:r>
      <w:r w:rsidR="00384737">
        <w:rPr>
          <w:noProof/>
        </w:rPr>
        <w:t>39.05</w:t>
      </w:r>
      <w:r>
        <w:rPr>
          <w:noProof/>
        </w:rPr>
        <w:t xml:space="preserve"> million.</w:t>
      </w:r>
    </w:p>
    <w:p w:rsidR="00D04787" w:rsidRDefault="00D60206" w:rsidP="00452920">
      <w:pPr>
        <w:pStyle w:val="Point0"/>
        <w:rPr>
          <w:noProof/>
        </w:rPr>
      </w:pPr>
      <w:r>
        <w:rPr>
          <w:noProof/>
        </w:rPr>
        <w:t>(10)</w:t>
      </w:r>
      <w:r>
        <w:rPr>
          <w:noProof/>
        </w:rPr>
        <w:tab/>
        <w:t>At the date of submitting the application Spain was not subject to infringement proceedings concerning Union legislation relating to the nature of the disaster.</w:t>
      </w:r>
    </w:p>
    <w:p w:rsidR="0099685F" w:rsidRPr="0027390F" w:rsidRDefault="0099685F" w:rsidP="00052654">
      <w:pPr>
        <w:pStyle w:val="ManualHeading2"/>
        <w:tabs>
          <w:tab w:val="clear" w:pos="850"/>
        </w:tabs>
        <w:ind w:left="0" w:firstLine="1"/>
        <w:rPr>
          <w:noProof/>
        </w:rPr>
      </w:pPr>
      <w:bookmarkStart w:id="4" w:name="_Toc484762488"/>
      <w:r w:rsidRPr="0099685F">
        <w:rPr>
          <w:noProof/>
        </w:rPr>
        <w:t>2.</w:t>
      </w:r>
      <w:r w:rsidR="00D04787">
        <w:rPr>
          <w:noProof/>
        </w:rPr>
        <w:t>4</w:t>
      </w:r>
      <w:r w:rsidRPr="0099685F">
        <w:rPr>
          <w:noProof/>
        </w:rPr>
        <w:tab/>
        <w:t>Conclusi</w:t>
      </w:r>
      <w:r w:rsidR="00052654">
        <w:rPr>
          <w:noProof/>
        </w:rPr>
        <w:t>o</w:t>
      </w:r>
      <w:r w:rsidRPr="0099685F">
        <w:rPr>
          <w:noProof/>
        </w:rPr>
        <w:t>n</w:t>
      </w:r>
    </w:p>
    <w:p w:rsidR="00F81BB7" w:rsidRPr="0099685F" w:rsidRDefault="00F350CF" w:rsidP="0099685F">
      <w:pPr>
        <w:rPr>
          <w:noProof/>
        </w:rPr>
      </w:pPr>
      <w:r>
        <w:rPr>
          <w:noProof/>
        </w:rPr>
        <w:t xml:space="preserve">In light of the considerations </w:t>
      </w:r>
      <w:r w:rsidR="0099685F" w:rsidRPr="0099685F">
        <w:rPr>
          <w:noProof/>
        </w:rPr>
        <w:t>set out above</w:t>
      </w:r>
      <w:r>
        <w:rPr>
          <w:noProof/>
        </w:rPr>
        <w:t xml:space="preserve"> and following the assessment of the submitted information,</w:t>
      </w:r>
      <w:r w:rsidR="0099685F" w:rsidRPr="0099685F">
        <w:rPr>
          <w:noProof/>
        </w:rPr>
        <w:t xml:space="preserve"> </w:t>
      </w:r>
      <w:r>
        <w:rPr>
          <w:noProof/>
        </w:rPr>
        <w:t xml:space="preserve">the Commission concludes that </w:t>
      </w:r>
      <w:r w:rsidR="0099685F" w:rsidRPr="0099685F">
        <w:rPr>
          <w:noProof/>
        </w:rPr>
        <w:t>the disaster</w:t>
      </w:r>
      <w:r w:rsidR="00401FF0">
        <w:rPr>
          <w:noProof/>
        </w:rPr>
        <w:t>s</w:t>
      </w:r>
      <w:r w:rsidR="0099685F" w:rsidRPr="0099685F">
        <w:rPr>
          <w:noProof/>
        </w:rPr>
        <w:t xml:space="preserve"> referred to in the application </w:t>
      </w:r>
      <w:r w:rsidR="0099685F" w:rsidRPr="0099685F">
        <w:rPr>
          <w:noProof/>
        </w:rPr>
        <w:lastRenderedPageBreak/>
        <w:t xml:space="preserve">submitted by </w:t>
      </w:r>
      <w:r w:rsidR="0038076F">
        <w:rPr>
          <w:noProof/>
        </w:rPr>
        <w:t>Romania, Cyprus and Spain</w:t>
      </w:r>
      <w:r w:rsidR="00401FF0">
        <w:rPr>
          <w:noProof/>
        </w:rPr>
        <w:t xml:space="preserve"> </w:t>
      </w:r>
      <w:r w:rsidR="0099685F" w:rsidRPr="0099685F">
        <w:rPr>
          <w:noProof/>
        </w:rPr>
        <w:t xml:space="preserve">meet the conditions set out in </w:t>
      </w:r>
      <w:r w:rsidR="00851D2E">
        <w:rPr>
          <w:noProof/>
        </w:rPr>
        <w:t>the EUSF Regulation</w:t>
      </w:r>
      <w:r>
        <w:rPr>
          <w:noProof/>
        </w:rPr>
        <w:t xml:space="preserve"> for mobilising the EUSF</w:t>
      </w:r>
      <w:r w:rsidR="0099685F" w:rsidRPr="0099685F">
        <w:rPr>
          <w:noProof/>
        </w:rPr>
        <w:t>.</w:t>
      </w:r>
    </w:p>
    <w:p w:rsidR="0099685F" w:rsidRPr="0099685F" w:rsidRDefault="0099685F" w:rsidP="0027390F">
      <w:pPr>
        <w:pStyle w:val="ManualHeading1"/>
        <w:rPr>
          <w:noProof/>
        </w:rPr>
      </w:pPr>
      <w:r w:rsidRPr="0099685F">
        <w:rPr>
          <w:noProof/>
        </w:rPr>
        <w:t>3.</w:t>
      </w:r>
      <w:r w:rsidRPr="0099685F">
        <w:rPr>
          <w:noProof/>
        </w:rPr>
        <w:tab/>
        <w:t xml:space="preserve">Financing </w:t>
      </w:r>
      <w:bookmarkEnd w:id="4"/>
    </w:p>
    <w:p w:rsidR="007208BC" w:rsidRDefault="007208BC" w:rsidP="007208BC">
      <w:pPr>
        <w:rPr>
          <w:noProof/>
        </w:rPr>
      </w:pPr>
      <w:r>
        <w:rPr>
          <w:noProof/>
        </w:rPr>
        <w:t>The EUSF was established on the principle of solidarity, and accordingly, the Commission applies a progressive approach to its aid allocation. Consequently, the portion of the damage exceeding the threshold for mobilising the EUSF for a ‘</w:t>
      </w:r>
      <w:r>
        <w:rPr>
          <w:b/>
          <w:noProof/>
        </w:rPr>
        <w:t>major natural disaster</w:t>
      </w:r>
      <w:r>
        <w:rPr>
          <w:noProof/>
        </w:rPr>
        <w:t>’ (i.e. 0.6% of GNI or EUR 3 billion in 2011 prices, whichever is the lower amount, cf. Article 2(2) EUSF Regulation) should give rise to higher aid intensity than the portion of the damage below the threshold. That means that the aid amount for a country affected by a disaster complying with the conditions for a ‘major natural disaster’ is calculated by adding up two amounts: 2.5% of total direct damage under the threshold and 6% for the part of the total direct damage above the threshold. The rate applied for defining the aid amounts for a ‘</w:t>
      </w:r>
      <w:r>
        <w:rPr>
          <w:b/>
          <w:noProof/>
        </w:rPr>
        <w:t>regional natural disaster</w:t>
      </w:r>
      <w:r>
        <w:rPr>
          <w:noProof/>
        </w:rPr>
        <w:t xml:space="preserve">’, which remains below the national threshold, is 2.5% of </w:t>
      </w:r>
      <w:r w:rsidR="30039970">
        <w:rPr>
          <w:noProof/>
        </w:rPr>
        <w:t xml:space="preserve">the </w:t>
      </w:r>
      <w:r>
        <w:rPr>
          <w:noProof/>
        </w:rPr>
        <w:t>total direct damage.</w:t>
      </w:r>
    </w:p>
    <w:p w:rsidR="007208BC" w:rsidRDefault="007208BC" w:rsidP="007208BC">
      <w:pPr>
        <w:rPr>
          <w:noProof/>
        </w:rPr>
      </w:pPr>
      <w:r>
        <w:rPr>
          <w:noProof/>
        </w:rPr>
        <w:t>This methodology for calculating EUSF aid was set out in the 2002-2003 Annual Report on the EUSF and accepted by the European Parliament and the Council.</w:t>
      </w:r>
      <w:r w:rsidR="00205470" w:rsidRPr="00205470">
        <w:rPr>
          <w:noProof/>
        </w:rPr>
        <w:t xml:space="preserve"> </w:t>
      </w:r>
      <w:r w:rsidR="00205470">
        <w:rPr>
          <w:noProof/>
        </w:rPr>
        <w:t>The EUSF contribution may not exceed the estimated total cost of eligible operations.</w:t>
      </w:r>
    </w:p>
    <w:p w:rsidR="007208BC" w:rsidRDefault="007208BC" w:rsidP="007208BC">
      <w:pPr>
        <w:rPr>
          <w:noProof/>
        </w:rPr>
      </w:pPr>
      <w:r>
        <w:rPr>
          <w:noProof/>
        </w:rPr>
        <w:t>Applying the methodology outlined above, the Commission has evaluated the EUSF aid in response to the three applications, submitted by Romania, Cyprus and Spain, regarding the floods and wildfires that occurred in 2025.</w:t>
      </w:r>
    </w:p>
    <w:p w:rsidR="007208BC" w:rsidRDefault="007208BC" w:rsidP="007208BC">
      <w:pPr>
        <w:rPr>
          <w:noProof/>
        </w:rPr>
      </w:pPr>
      <w:r>
        <w:rPr>
          <w:noProof/>
        </w:rPr>
        <w:t>The Commission therefore proposes to the budgetary authority to mobilise the following amounts:</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196"/>
        <w:gridCol w:w="1261"/>
        <w:gridCol w:w="1091"/>
        <w:gridCol w:w="1132"/>
        <w:gridCol w:w="1069"/>
        <w:gridCol w:w="1039"/>
        <w:gridCol w:w="1085"/>
      </w:tblGrid>
      <w:tr w:rsidR="00471790" w:rsidRPr="00045679" w:rsidTr="00471790">
        <w:trPr>
          <w:trHeight w:val="1320"/>
        </w:trPr>
        <w:tc>
          <w:tcPr>
            <w:tcW w:w="1566" w:type="dxa"/>
            <w:vMerge w:val="restart"/>
            <w:vAlign w:val="center"/>
            <w:hideMark/>
          </w:tcPr>
          <w:p w:rsidR="00205470" w:rsidRPr="00045679" w:rsidRDefault="00205470">
            <w:pPr>
              <w:spacing w:before="0" w:after="0"/>
              <w:jc w:val="left"/>
              <w:rPr>
                <w:b/>
                <w:bCs/>
                <w:noProof/>
                <w:color w:val="000000"/>
                <w:sz w:val="16"/>
                <w:szCs w:val="16"/>
                <w:lang w:val="en-IE" w:eastAsia="en-IE"/>
              </w:rPr>
            </w:pPr>
            <w:bookmarkStart w:id="5" w:name="_Hlk227859520"/>
            <w:r w:rsidRPr="00045679">
              <w:rPr>
                <w:b/>
                <w:bCs/>
                <w:noProof/>
                <w:color w:val="000000"/>
                <w:sz w:val="16"/>
                <w:szCs w:val="16"/>
                <w:lang w:val="en-IE" w:eastAsia="en-IE"/>
              </w:rPr>
              <w:t>Disaster</w:t>
            </w:r>
          </w:p>
        </w:tc>
        <w:tc>
          <w:tcPr>
            <w:tcW w:w="1196" w:type="dxa"/>
            <w:vAlign w:val="center"/>
            <w:hideMark/>
          </w:tcPr>
          <w:p w:rsidR="00205470" w:rsidRPr="00045679" w:rsidRDefault="00205470">
            <w:pPr>
              <w:spacing w:before="0" w:after="0"/>
              <w:jc w:val="center"/>
              <w:rPr>
                <w:b/>
                <w:bCs/>
                <w:noProof/>
                <w:color w:val="000000"/>
                <w:sz w:val="16"/>
                <w:szCs w:val="16"/>
                <w:lang w:val="en-IE" w:eastAsia="en-IE"/>
              </w:rPr>
            </w:pPr>
            <w:r w:rsidRPr="00045679">
              <w:rPr>
                <w:b/>
                <w:bCs/>
                <w:noProof/>
                <w:color w:val="000000"/>
                <w:sz w:val="16"/>
                <w:szCs w:val="16"/>
                <w:lang w:val="en-IE" w:eastAsia="en-IE"/>
              </w:rPr>
              <w:t>Total direct damage</w:t>
            </w:r>
          </w:p>
        </w:tc>
        <w:tc>
          <w:tcPr>
            <w:tcW w:w="1261" w:type="dxa"/>
            <w:vAlign w:val="center"/>
            <w:hideMark/>
          </w:tcPr>
          <w:p w:rsidR="00205470" w:rsidRPr="00045679" w:rsidRDefault="00205470">
            <w:pPr>
              <w:spacing w:before="0" w:after="0"/>
              <w:jc w:val="center"/>
              <w:rPr>
                <w:b/>
                <w:bCs/>
                <w:noProof/>
                <w:color w:val="000000"/>
                <w:sz w:val="16"/>
                <w:szCs w:val="16"/>
                <w:lang w:val="en-IE" w:eastAsia="en-IE"/>
              </w:rPr>
            </w:pPr>
            <w:r w:rsidRPr="00045679">
              <w:rPr>
                <w:b/>
                <w:bCs/>
                <w:noProof/>
                <w:color w:val="000000"/>
                <w:sz w:val="16"/>
                <w:szCs w:val="16"/>
                <w:lang w:val="en-IE" w:eastAsia="en-IE"/>
              </w:rPr>
              <w:t>Applied threshold</w:t>
            </w:r>
          </w:p>
        </w:tc>
        <w:tc>
          <w:tcPr>
            <w:tcW w:w="1091" w:type="dxa"/>
            <w:vAlign w:val="center"/>
            <w:hideMark/>
          </w:tcPr>
          <w:p w:rsidR="00205470" w:rsidRPr="00045679" w:rsidRDefault="00205470">
            <w:pPr>
              <w:spacing w:before="0" w:after="0"/>
              <w:jc w:val="center"/>
              <w:rPr>
                <w:b/>
                <w:bCs/>
                <w:noProof/>
                <w:color w:val="000000"/>
                <w:sz w:val="14"/>
                <w:szCs w:val="14"/>
                <w:lang w:val="en-IE" w:eastAsia="en-IE"/>
              </w:rPr>
            </w:pPr>
            <w:r w:rsidRPr="00045679">
              <w:rPr>
                <w:b/>
                <w:bCs/>
                <w:noProof/>
                <w:color w:val="000000"/>
                <w:sz w:val="14"/>
                <w:szCs w:val="14"/>
                <w:lang w:val="en-IE" w:eastAsia="en-IE"/>
              </w:rPr>
              <w:t xml:space="preserve">2.5% of total direct damage </w:t>
            </w:r>
            <w:r w:rsidRPr="00045679">
              <w:rPr>
                <w:i/>
                <w:iCs/>
                <w:noProof/>
                <w:color w:val="000000"/>
                <w:sz w:val="14"/>
                <w:szCs w:val="14"/>
                <w:lang w:val="en-IE" w:eastAsia="en-IE"/>
              </w:rPr>
              <w:t>[up to the threshold for major disasters]</w:t>
            </w:r>
          </w:p>
        </w:tc>
        <w:tc>
          <w:tcPr>
            <w:tcW w:w="1132" w:type="dxa"/>
            <w:vAlign w:val="center"/>
            <w:hideMark/>
          </w:tcPr>
          <w:p w:rsidR="00205470" w:rsidRPr="00045679" w:rsidRDefault="00205470">
            <w:pPr>
              <w:spacing w:before="0" w:after="0"/>
              <w:jc w:val="center"/>
              <w:rPr>
                <w:b/>
                <w:bCs/>
                <w:noProof/>
                <w:color w:val="000000"/>
                <w:sz w:val="14"/>
                <w:szCs w:val="14"/>
                <w:lang w:val="en-IE" w:eastAsia="en-IE"/>
              </w:rPr>
            </w:pPr>
            <w:r w:rsidRPr="00045679">
              <w:rPr>
                <w:b/>
                <w:bCs/>
                <w:noProof/>
                <w:color w:val="000000"/>
                <w:sz w:val="14"/>
                <w:szCs w:val="14"/>
                <w:lang w:val="en-IE" w:eastAsia="en-IE"/>
              </w:rPr>
              <w:t>6% of total direct damage</w:t>
            </w:r>
            <w:r w:rsidRPr="00045679">
              <w:rPr>
                <w:b/>
                <w:bCs/>
                <w:i/>
                <w:iCs/>
                <w:noProof/>
                <w:color w:val="000000"/>
                <w:sz w:val="14"/>
                <w:szCs w:val="14"/>
                <w:lang w:val="en-IE" w:eastAsia="en-IE"/>
              </w:rPr>
              <w:t xml:space="preserve"> </w:t>
            </w:r>
            <w:r w:rsidRPr="00045679">
              <w:rPr>
                <w:i/>
                <w:iCs/>
                <w:noProof/>
                <w:color w:val="000000"/>
                <w:sz w:val="14"/>
                <w:szCs w:val="14"/>
                <w:lang w:val="en-IE" w:eastAsia="en-IE"/>
              </w:rPr>
              <w:t>[above the threshold for major disasters]</w:t>
            </w:r>
          </w:p>
        </w:tc>
        <w:tc>
          <w:tcPr>
            <w:tcW w:w="1069" w:type="dxa"/>
            <w:vAlign w:val="center"/>
            <w:hideMark/>
          </w:tcPr>
          <w:p w:rsidR="00205470" w:rsidRPr="00045679" w:rsidRDefault="00205470">
            <w:pPr>
              <w:spacing w:before="0" w:after="0"/>
              <w:jc w:val="center"/>
              <w:rPr>
                <w:b/>
                <w:bCs/>
                <w:noProof/>
                <w:color w:val="000000"/>
                <w:sz w:val="16"/>
                <w:szCs w:val="16"/>
                <w:lang w:val="en-IE" w:eastAsia="en-IE"/>
              </w:rPr>
            </w:pPr>
            <w:r w:rsidRPr="00045679">
              <w:rPr>
                <w:b/>
                <w:bCs/>
                <w:noProof/>
                <w:color w:val="000000"/>
                <w:sz w:val="16"/>
                <w:szCs w:val="16"/>
                <w:lang w:val="en-IE" w:eastAsia="en-IE"/>
              </w:rPr>
              <w:t xml:space="preserve">Proposed EUSF aid </w:t>
            </w:r>
          </w:p>
        </w:tc>
        <w:tc>
          <w:tcPr>
            <w:tcW w:w="1039" w:type="dxa"/>
            <w:vAlign w:val="center"/>
            <w:hideMark/>
          </w:tcPr>
          <w:p w:rsidR="00205470" w:rsidRPr="00045679" w:rsidRDefault="00205470">
            <w:pPr>
              <w:spacing w:before="0" w:after="0"/>
              <w:jc w:val="center"/>
              <w:rPr>
                <w:b/>
                <w:bCs/>
                <w:noProof/>
                <w:color w:val="000000"/>
                <w:sz w:val="16"/>
                <w:szCs w:val="16"/>
                <w:lang w:val="en-IE" w:eastAsia="en-IE"/>
              </w:rPr>
            </w:pPr>
            <w:r w:rsidRPr="00045679">
              <w:rPr>
                <w:b/>
                <w:bCs/>
                <w:noProof/>
                <w:color w:val="000000"/>
                <w:sz w:val="16"/>
                <w:szCs w:val="16"/>
                <w:lang w:val="en-IE" w:eastAsia="en-IE"/>
              </w:rPr>
              <w:t>Advance payments</w:t>
            </w:r>
          </w:p>
        </w:tc>
        <w:tc>
          <w:tcPr>
            <w:tcW w:w="1085" w:type="dxa"/>
            <w:vAlign w:val="center"/>
            <w:hideMark/>
          </w:tcPr>
          <w:p w:rsidR="00205470" w:rsidRPr="00045679" w:rsidRDefault="00205470">
            <w:pPr>
              <w:spacing w:before="0" w:after="0"/>
              <w:jc w:val="center"/>
              <w:rPr>
                <w:b/>
                <w:bCs/>
                <w:noProof/>
                <w:color w:val="000000"/>
                <w:sz w:val="16"/>
                <w:szCs w:val="16"/>
                <w:lang w:val="en-IE" w:eastAsia="en-IE"/>
              </w:rPr>
            </w:pPr>
            <w:r w:rsidRPr="00045679">
              <w:rPr>
                <w:b/>
                <w:bCs/>
                <w:noProof/>
                <w:color w:val="000000"/>
                <w:sz w:val="16"/>
                <w:szCs w:val="16"/>
                <w:lang w:val="en-IE" w:eastAsia="en-IE"/>
              </w:rPr>
              <w:t>Balance to be paid</w:t>
            </w:r>
          </w:p>
        </w:tc>
      </w:tr>
      <w:bookmarkEnd w:id="5"/>
      <w:tr w:rsidR="00440906" w:rsidRPr="00045679" w:rsidTr="00471790">
        <w:trPr>
          <w:trHeight w:val="277"/>
        </w:trPr>
        <w:tc>
          <w:tcPr>
            <w:tcW w:w="1566" w:type="dxa"/>
            <w:vMerge/>
            <w:vAlign w:val="center"/>
            <w:hideMark/>
          </w:tcPr>
          <w:p w:rsidR="00205470" w:rsidRPr="00045679" w:rsidRDefault="00205470">
            <w:pPr>
              <w:spacing w:before="0" w:after="0"/>
              <w:jc w:val="left"/>
              <w:rPr>
                <w:b/>
                <w:bCs/>
                <w:noProof/>
                <w:color w:val="000000"/>
                <w:sz w:val="16"/>
                <w:szCs w:val="16"/>
                <w:lang w:val="en-IE" w:eastAsia="en-IE"/>
              </w:rPr>
            </w:pPr>
          </w:p>
        </w:tc>
        <w:tc>
          <w:tcPr>
            <w:tcW w:w="1196"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261"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091"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132"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069"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039"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c>
          <w:tcPr>
            <w:tcW w:w="1085" w:type="dxa"/>
            <w:vAlign w:val="center"/>
            <w:hideMark/>
          </w:tcPr>
          <w:p w:rsidR="00205470" w:rsidRPr="00045679" w:rsidRDefault="00205470">
            <w:pPr>
              <w:spacing w:before="0" w:after="0"/>
              <w:jc w:val="center"/>
              <w:rPr>
                <w:noProof/>
                <w:color w:val="000000"/>
                <w:sz w:val="16"/>
                <w:szCs w:val="16"/>
                <w:lang w:val="en-IE" w:eastAsia="en-IE"/>
              </w:rPr>
            </w:pPr>
            <w:r w:rsidRPr="00045679">
              <w:rPr>
                <w:noProof/>
                <w:color w:val="000000"/>
                <w:sz w:val="16"/>
                <w:szCs w:val="16"/>
                <w:lang w:val="en-IE" w:eastAsia="en-IE"/>
              </w:rPr>
              <w:t>(EUR)</w:t>
            </w:r>
          </w:p>
        </w:tc>
      </w:tr>
      <w:tr w:rsidR="00C844C1" w:rsidRPr="007C2D4C" w:rsidTr="00471790">
        <w:trPr>
          <w:trHeight w:val="277"/>
        </w:trPr>
        <w:tc>
          <w:tcPr>
            <w:tcW w:w="1566" w:type="dxa"/>
            <w:vAlign w:val="center"/>
            <w:hideMark/>
          </w:tcPr>
          <w:p w:rsidR="00205470" w:rsidRPr="00045679" w:rsidRDefault="00205470">
            <w:pPr>
              <w:spacing w:before="0" w:after="0"/>
              <w:jc w:val="left"/>
              <w:rPr>
                <w:b/>
                <w:bCs/>
                <w:noProof/>
                <w:color w:val="000000"/>
                <w:sz w:val="16"/>
                <w:szCs w:val="16"/>
                <w:lang w:val="en-IE" w:eastAsia="en-IE"/>
              </w:rPr>
            </w:pPr>
            <w:r w:rsidRPr="00045679">
              <w:rPr>
                <w:b/>
                <w:bCs/>
                <w:noProof/>
                <w:color w:val="000000"/>
                <w:sz w:val="16"/>
                <w:szCs w:val="16"/>
                <w:lang w:val="en-IE" w:eastAsia="en-IE"/>
              </w:rPr>
              <w:t>Romania – floods</w:t>
            </w:r>
          </w:p>
        </w:tc>
        <w:tc>
          <w:tcPr>
            <w:tcW w:w="1196"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573,587,000</w:t>
            </w:r>
          </w:p>
        </w:tc>
        <w:tc>
          <w:tcPr>
            <w:tcW w:w="1261"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477,819,000</w:t>
            </w:r>
          </w:p>
        </w:tc>
        <w:tc>
          <w:tcPr>
            <w:tcW w:w="1091"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14,339,675</w:t>
            </w:r>
          </w:p>
        </w:tc>
        <w:tc>
          <w:tcPr>
            <w:tcW w:w="1132"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NA</w:t>
            </w:r>
          </w:p>
        </w:tc>
        <w:tc>
          <w:tcPr>
            <w:tcW w:w="1069"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14,339,675</w:t>
            </w:r>
          </w:p>
        </w:tc>
        <w:tc>
          <w:tcPr>
            <w:tcW w:w="1039"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not requested</w:t>
            </w:r>
          </w:p>
        </w:tc>
        <w:tc>
          <w:tcPr>
            <w:tcW w:w="1085"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14,339,675</w:t>
            </w:r>
          </w:p>
        </w:tc>
      </w:tr>
      <w:tr w:rsidR="00471790" w:rsidRPr="007C2D4C" w:rsidTr="00471790">
        <w:trPr>
          <w:trHeight w:val="277"/>
        </w:trPr>
        <w:tc>
          <w:tcPr>
            <w:tcW w:w="1566" w:type="dxa"/>
            <w:vAlign w:val="center"/>
            <w:hideMark/>
          </w:tcPr>
          <w:p w:rsidR="00205470" w:rsidRPr="00045679" w:rsidRDefault="00205470">
            <w:pPr>
              <w:spacing w:before="0" w:after="0"/>
              <w:jc w:val="left"/>
              <w:rPr>
                <w:i/>
                <w:iCs/>
                <w:noProof/>
                <w:color w:val="000000"/>
                <w:sz w:val="16"/>
                <w:szCs w:val="16"/>
                <w:lang w:val="en-IE" w:eastAsia="en-IE"/>
              </w:rPr>
            </w:pPr>
            <w:r w:rsidRPr="00045679">
              <w:rPr>
                <w:i/>
                <w:iCs/>
                <w:noProof/>
                <w:color w:val="000000"/>
                <w:sz w:val="16"/>
                <w:szCs w:val="16"/>
                <w:lang w:val="en-IE" w:eastAsia="en-IE"/>
              </w:rPr>
              <w:t>regional disaster</w:t>
            </w:r>
          </w:p>
        </w:tc>
        <w:tc>
          <w:tcPr>
            <w:tcW w:w="1196" w:type="dxa"/>
            <w:vMerge/>
            <w:vAlign w:val="center"/>
            <w:hideMark/>
          </w:tcPr>
          <w:p w:rsidR="00205470" w:rsidRPr="00180DDE" w:rsidRDefault="00205470">
            <w:pPr>
              <w:spacing w:before="0" w:after="0"/>
              <w:jc w:val="left"/>
              <w:rPr>
                <w:noProof/>
                <w:sz w:val="16"/>
                <w:szCs w:val="16"/>
                <w:lang w:val="en-IE" w:eastAsia="en-IE"/>
              </w:rPr>
            </w:pPr>
          </w:p>
        </w:tc>
        <w:tc>
          <w:tcPr>
            <w:tcW w:w="1261" w:type="dxa"/>
            <w:vMerge/>
            <w:vAlign w:val="center"/>
            <w:hideMark/>
          </w:tcPr>
          <w:p w:rsidR="00205470" w:rsidRPr="00180DDE" w:rsidRDefault="00205470">
            <w:pPr>
              <w:spacing w:before="0" w:after="0"/>
              <w:jc w:val="left"/>
              <w:rPr>
                <w:noProof/>
                <w:sz w:val="16"/>
                <w:szCs w:val="16"/>
                <w:lang w:val="en-IE" w:eastAsia="en-IE"/>
              </w:rPr>
            </w:pPr>
          </w:p>
        </w:tc>
        <w:tc>
          <w:tcPr>
            <w:tcW w:w="1091" w:type="dxa"/>
            <w:vMerge/>
            <w:vAlign w:val="center"/>
            <w:hideMark/>
          </w:tcPr>
          <w:p w:rsidR="00205470" w:rsidRPr="00180DDE" w:rsidRDefault="00205470">
            <w:pPr>
              <w:spacing w:before="0" w:after="0"/>
              <w:jc w:val="left"/>
              <w:rPr>
                <w:noProof/>
                <w:sz w:val="16"/>
                <w:szCs w:val="16"/>
                <w:lang w:val="en-IE" w:eastAsia="en-IE"/>
              </w:rPr>
            </w:pPr>
          </w:p>
        </w:tc>
        <w:tc>
          <w:tcPr>
            <w:tcW w:w="1132" w:type="dxa"/>
            <w:vMerge/>
            <w:vAlign w:val="center"/>
            <w:hideMark/>
          </w:tcPr>
          <w:p w:rsidR="00205470" w:rsidRPr="00180DDE" w:rsidRDefault="00205470">
            <w:pPr>
              <w:spacing w:before="0" w:after="0"/>
              <w:jc w:val="left"/>
              <w:rPr>
                <w:noProof/>
                <w:sz w:val="16"/>
                <w:szCs w:val="16"/>
                <w:lang w:val="en-IE" w:eastAsia="en-IE"/>
              </w:rPr>
            </w:pPr>
          </w:p>
        </w:tc>
        <w:tc>
          <w:tcPr>
            <w:tcW w:w="1069" w:type="dxa"/>
            <w:vMerge/>
            <w:vAlign w:val="center"/>
            <w:hideMark/>
          </w:tcPr>
          <w:p w:rsidR="00205470" w:rsidRPr="00180DDE" w:rsidRDefault="00205470">
            <w:pPr>
              <w:spacing w:before="0" w:after="0"/>
              <w:jc w:val="left"/>
              <w:rPr>
                <w:b/>
                <w:bCs/>
                <w:noProof/>
                <w:sz w:val="16"/>
                <w:szCs w:val="16"/>
                <w:lang w:val="en-IE" w:eastAsia="en-IE"/>
              </w:rPr>
            </w:pPr>
          </w:p>
        </w:tc>
        <w:tc>
          <w:tcPr>
            <w:tcW w:w="1039" w:type="dxa"/>
            <w:vMerge/>
            <w:vAlign w:val="center"/>
            <w:hideMark/>
          </w:tcPr>
          <w:p w:rsidR="00205470" w:rsidRPr="00180DDE" w:rsidRDefault="00205470">
            <w:pPr>
              <w:spacing w:before="0" w:after="0"/>
              <w:jc w:val="left"/>
              <w:rPr>
                <w:noProof/>
                <w:sz w:val="16"/>
                <w:szCs w:val="16"/>
                <w:lang w:val="en-IE" w:eastAsia="en-IE"/>
              </w:rPr>
            </w:pPr>
          </w:p>
        </w:tc>
        <w:tc>
          <w:tcPr>
            <w:tcW w:w="1085" w:type="dxa"/>
            <w:vMerge/>
            <w:vAlign w:val="center"/>
            <w:hideMark/>
          </w:tcPr>
          <w:p w:rsidR="00205470" w:rsidRPr="00180DDE" w:rsidRDefault="00205470">
            <w:pPr>
              <w:spacing w:before="0" w:after="0"/>
              <w:jc w:val="left"/>
              <w:rPr>
                <w:b/>
                <w:bCs/>
                <w:noProof/>
                <w:sz w:val="16"/>
                <w:szCs w:val="16"/>
                <w:lang w:val="en-IE" w:eastAsia="en-IE"/>
              </w:rPr>
            </w:pPr>
          </w:p>
        </w:tc>
      </w:tr>
      <w:tr w:rsidR="00C844C1" w:rsidRPr="007C2D4C" w:rsidTr="00471790">
        <w:trPr>
          <w:trHeight w:val="277"/>
        </w:trPr>
        <w:tc>
          <w:tcPr>
            <w:tcW w:w="1566" w:type="dxa"/>
            <w:vAlign w:val="center"/>
            <w:hideMark/>
          </w:tcPr>
          <w:p w:rsidR="00205470" w:rsidRPr="00045679" w:rsidRDefault="00205470">
            <w:pPr>
              <w:spacing w:before="0" w:after="0"/>
              <w:jc w:val="left"/>
              <w:rPr>
                <w:b/>
                <w:bCs/>
                <w:noProof/>
                <w:color w:val="000000"/>
                <w:sz w:val="16"/>
                <w:szCs w:val="16"/>
                <w:lang w:val="en-IE" w:eastAsia="en-IE"/>
              </w:rPr>
            </w:pPr>
            <w:r w:rsidRPr="00045679">
              <w:rPr>
                <w:b/>
                <w:bCs/>
                <w:noProof/>
                <w:color w:val="000000"/>
                <w:sz w:val="16"/>
                <w:szCs w:val="16"/>
                <w:lang w:val="en-IE" w:eastAsia="en-IE"/>
              </w:rPr>
              <w:t xml:space="preserve">Cyprus – wildfire </w:t>
            </w:r>
          </w:p>
        </w:tc>
        <w:tc>
          <w:tcPr>
            <w:tcW w:w="1196"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252,680,561</w:t>
            </w:r>
          </w:p>
        </w:tc>
        <w:tc>
          <w:tcPr>
            <w:tcW w:w="1261"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170,046,000</w:t>
            </w:r>
          </w:p>
        </w:tc>
        <w:tc>
          <w:tcPr>
            <w:tcW w:w="1091"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4,251,150</w:t>
            </w:r>
          </w:p>
        </w:tc>
        <w:tc>
          <w:tcPr>
            <w:tcW w:w="1132"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4,958,074</w:t>
            </w:r>
          </w:p>
        </w:tc>
        <w:tc>
          <w:tcPr>
            <w:tcW w:w="1069"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9,209,22</w:t>
            </w:r>
            <w:r w:rsidR="009004F1">
              <w:rPr>
                <w:b/>
                <w:bCs/>
                <w:noProof/>
                <w:sz w:val="16"/>
                <w:szCs w:val="16"/>
                <w:lang w:val="en-IE" w:eastAsia="en-IE"/>
              </w:rPr>
              <w:t>3</w:t>
            </w:r>
          </w:p>
        </w:tc>
        <w:tc>
          <w:tcPr>
            <w:tcW w:w="1039"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2,317,465</w:t>
            </w:r>
          </w:p>
        </w:tc>
        <w:tc>
          <w:tcPr>
            <w:tcW w:w="1085"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6,891,75</w:t>
            </w:r>
            <w:r w:rsidR="009E37B3">
              <w:rPr>
                <w:b/>
                <w:bCs/>
                <w:noProof/>
                <w:sz w:val="16"/>
                <w:szCs w:val="16"/>
                <w:lang w:val="en-IE" w:eastAsia="en-IE"/>
              </w:rPr>
              <w:t>8</w:t>
            </w:r>
          </w:p>
        </w:tc>
      </w:tr>
      <w:tr w:rsidR="00471790" w:rsidRPr="007C2D4C" w:rsidTr="00471790">
        <w:trPr>
          <w:trHeight w:val="277"/>
        </w:trPr>
        <w:tc>
          <w:tcPr>
            <w:tcW w:w="1566" w:type="dxa"/>
            <w:vAlign w:val="center"/>
            <w:hideMark/>
          </w:tcPr>
          <w:p w:rsidR="00205470" w:rsidRPr="00045679" w:rsidRDefault="00205470">
            <w:pPr>
              <w:spacing w:before="0" w:after="0"/>
              <w:jc w:val="left"/>
              <w:rPr>
                <w:i/>
                <w:iCs/>
                <w:noProof/>
                <w:color w:val="000000"/>
                <w:sz w:val="16"/>
                <w:szCs w:val="16"/>
                <w:lang w:val="en-IE" w:eastAsia="en-IE"/>
              </w:rPr>
            </w:pPr>
            <w:r w:rsidRPr="00045679">
              <w:rPr>
                <w:i/>
                <w:iCs/>
                <w:noProof/>
                <w:color w:val="000000"/>
                <w:sz w:val="16"/>
                <w:szCs w:val="16"/>
                <w:lang w:val="en-IE" w:eastAsia="en-IE"/>
              </w:rPr>
              <w:t>major disaster</w:t>
            </w:r>
          </w:p>
        </w:tc>
        <w:tc>
          <w:tcPr>
            <w:tcW w:w="1196" w:type="dxa"/>
            <w:vMerge/>
            <w:vAlign w:val="center"/>
            <w:hideMark/>
          </w:tcPr>
          <w:p w:rsidR="00205470" w:rsidRPr="00180DDE" w:rsidRDefault="00205470">
            <w:pPr>
              <w:spacing w:before="0" w:after="0"/>
              <w:jc w:val="left"/>
              <w:rPr>
                <w:noProof/>
                <w:sz w:val="16"/>
                <w:szCs w:val="16"/>
                <w:lang w:val="en-IE" w:eastAsia="en-IE"/>
              </w:rPr>
            </w:pPr>
          </w:p>
        </w:tc>
        <w:tc>
          <w:tcPr>
            <w:tcW w:w="1261" w:type="dxa"/>
            <w:vMerge/>
            <w:vAlign w:val="center"/>
            <w:hideMark/>
          </w:tcPr>
          <w:p w:rsidR="00205470" w:rsidRPr="00180DDE" w:rsidRDefault="00205470">
            <w:pPr>
              <w:spacing w:before="0" w:after="0"/>
              <w:jc w:val="left"/>
              <w:rPr>
                <w:noProof/>
                <w:sz w:val="16"/>
                <w:szCs w:val="16"/>
                <w:lang w:val="en-IE" w:eastAsia="en-IE"/>
              </w:rPr>
            </w:pPr>
          </w:p>
        </w:tc>
        <w:tc>
          <w:tcPr>
            <w:tcW w:w="1091" w:type="dxa"/>
            <w:vMerge/>
            <w:vAlign w:val="center"/>
            <w:hideMark/>
          </w:tcPr>
          <w:p w:rsidR="00205470" w:rsidRPr="00180DDE" w:rsidRDefault="00205470">
            <w:pPr>
              <w:spacing w:before="0" w:after="0"/>
              <w:jc w:val="left"/>
              <w:rPr>
                <w:noProof/>
                <w:sz w:val="16"/>
                <w:szCs w:val="16"/>
                <w:lang w:val="en-IE" w:eastAsia="en-IE"/>
              </w:rPr>
            </w:pPr>
          </w:p>
        </w:tc>
        <w:tc>
          <w:tcPr>
            <w:tcW w:w="1132" w:type="dxa"/>
            <w:vMerge/>
            <w:vAlign w:val="center"/>
            <w:hideMark/>
          </w:tcPr>
          <w:p w:rsidR="00205470" w:rsidRPr="00180DDE" w:rsidRDefault="00205470">
            <w:pPr>
              <w:spacing w:before="0" w:after="0"/>
              <w:jc w:val="left"/>
              <w:rPr>
                <w:noProof/>
                <w:sz w:val="16"/>
                <w:szCs w:val="16"/>
                <w:lang w:val="en-IE" w:eastAsia="en-IE"/>
              </w:rPr>
            </w:pPr>
          </w:p>
        </w:tc>
        <w:tc>
          <w:tcPr>
            <w:tcW w:w="1069" w:type="dxa"/>
            <w:vMerge/>
            <w:vAlign w:val="center"/>
            <w:hideMark/>
          </w:tcPr>
          <w:p w:rsidR="00205470" w:rsidRPr="00180DDE" w:rsidRDefault="00205470">
            <w:pPr>
              <w:spacing w:before="0" w:after="0"/>
              <w:jc w:val="left"/>
              <w:rPr>
                <w:b/>
                <w:bCs/>
                <w:noProof/>
                <w:sz w:val="16"/>
                <w:szCs w:val="16"/>
                <w:lang w:val="en-IE" w:eastAsia="en-IE"/>
              </w:rPr>
            </w:pPr>
          </w:p>
        </w:tc>
        <w:tc>
          <w:tcPr>
            <w:tcW w:w="1039" w:type="dxa"/>
            <w:vMerge/>
            <w:vAlign w:val="center"/>
            <w:hideMark/>
          </w:tcPr>
          <w:p w:rsidR="00205470" w:rsidRPr="00180DDE" w:rsidRDefault="00205470">
            <w:pPr>
              <w:spacing w:before="0" w:after="0"/>
              <w:jc w:val="left"/>
              <w:rPr>
                <w:noProof/>
                <w:sz w:val="16"/>
                <w:szCs w:val="16"/>
                <w:lang w:val="en-IE" w:eastAsia="en-IE"/>
              </w:rPr>
            </w:pPr>
          </w:p>
        </w:tc>
        <w:tc>
          <w:tcPr>
            <w:tcW w:w="1085" w:type="dxa"/>
            <w:vMerge/>
            <w:vAlign w:val="center"/>
            <w:hideMark/>
          </w:tcPr>
          <w:p w:rsidR="00205470" w:rsidRPr="00180DDE" w:rsidRDefault="00205470">
            <w:pPr>
              <w:spacing w:before="0" w:after="0"/>
              <w:jc w:val="left"/>
              <w:rPr>
                <w:b/>
                <w:bCs/>
                <w:noProof/>
                <w:sz w:val="16"/>
                <w:szCs w:val="16"/>
                <w:lang w:val="en-IE" w:eastAsia="en-IE"/>
              </w:rPr>
            </w:pPr>
          </w:p>
        </w:tc>
      </w:tr>
      <w:tr w:rsidR="00F32A41" w:rsidRPr="007C2D4C" w:rsidTr="00471790">
        <w:trPr>
          <w:trHeight w:val="277"/>
        </w:trPr>
        <w:tc>
          <w:tcPr>
            <w:tcW w:w="1566" w:type="dxa"/>
            <w:vAlign w:val="center"/>
            <w:hideMark/>
          </w:tcPr>
          <w:p w:rsidR="00205470" w:rsidRPr="00045679" w:rsidRDefault="00205470">
            <w:pPr>
              <w:spacing w:before="0" w:after="0"/>
              <w:jc w:val="left"/>
              <w:rPr>
                <w:b/>
                <w:bCs/>
                <w:noProof/>
                <w:color w:val="000000"/>
                <w:sz w:val="16"/>
                <w:szCs w:val="16"/>
                <w:lang w:val="en-IE" w:eastAsia="en-IE"/>
              </w:rPr>
            </w:pPr>
            <w:bookmarkStart w:id="6" w:name="_Hlk227859466"/>
            <w:r w:rsidRPr="00045679">
              <w:rPr>
                <w:b/>
                <w:bCs/>
                <w:noProof/>
                <w:color w:val="000000"/>
                <w:sz w:val="16"/>
                <w:szCs w:val="16"/>
                <w:lang w:val="en-IE" w:eastAsia="en-IE"/>
              </w:rPr>
              <w:t xml:space="preserve">Spain – wildfire </w:t>
            </w:r>
          </w:p>
        </w:tc>
        <w:tc>
          <w:tcPr>
            <w:tcW w:w="1196"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4,318,268,632</w:t>
            </w:r>
          </w:p>
        </w:tc>
        <w:tc>
          <w:tcPr>
            <w:tcW w:w="1261"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3,958,436,000</w:t>
            </w:r>
          </w:p>
        </w:tc>
        <w:tc>
          <w:tcPr>
            <w:tcW w:w="1091"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98,960,900</w:t>
            </w:r>
          </w:p>
        </w:tc>
        <w:tc>
          <w:tcPr>
            <w:tcW w:w="1132" w:type="dxa"/>
            <w:vMerge w:val="restart"/>
            <w:vAlign w:val="center"/>
            <w:hideMark/>
          </w:tcPr>
          <w:p w:rsidR="00205470" w:rsidRPr="00045679" w:rsidRDefault="00205470">
            <w:pPr>
              <w:spacing w:before="0" w:after="0"/>
              <w:jc w:val="center"/>
              <w:rPr>
                <w:noProof/>
                <w:sz w:val="16"/>
                <w:szCs w:val="16"/>
                <w:lang w:val="en-IE" w:eastAsia="en-IE"/>
              </w:rPr>
            </w:pPr>
            <w:r w:rsidRPr="00045679">
              <w:rPr>
                <w:noProof/>
                <w:sz w:val="16"/>
                <w:szCs w:val="16"/>
                <w:lang w:val="en-IE" w:eastAsia="en-IE"/>
              </w:rPr>
              <w:t>21,589,958</w:t>
            </w:r>
          </w:p>
        </w:tc>
        <w:tc>
          <w:tcPr>
            <w:tcW w:w="1069"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120,550,858</w:t>
            </w:r>
          </w:p>
        </w:tc>
        <w:tc>
          <w:tcPr>
            <w:tcW w:w="1039" w:type="dxa"/>
            <w:vMerge w:val="restart"/>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30,137,714</w:t>
            </w:r>
          </w:p>
        </w:tc>
        <w:tc>
          <w:tcPr>
            <w:tcW w:w="1085" w:type="dxa"/>
            <w:vMerge w:val="restart"/>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90,413,14</w:t>
            </w:r>
            <w:r w:rsidR="00051E37">
              <w:rPr>
                <w:b/>
                <w:bCs/>
                <w:noProof/>
                <w:sz w:val="16"/>
                <w:szCs w:val="16"/>
                <w:lang w:val="en-IE" w:eastAsia="en-IE"/>
              </w:rPr>
              <w:t>4</w:t>
            </w:r>
          </w:p>
        </w:tc>
      </w:tr>
      <w:bookmarkEnd w:id="6"/>
      <w:tr w:rsidR="00440906" w:rsidRPr="007C2D4C" w:rsidTr="00471790">
        <w:trPr>
          <w:trHeight w:val="277"/>
        </w:trPr>
        <w:tc>
          <w:tcPr>
            <w:tcW w:w="1566" w:type="dxa"/>
            <w:vAlign w:val="center"/>
            <w:hideMark/>
          </w:tcPr>
          <w:p w:rsidR="00205470" w:rsidRPr="00045679" w:rsidRDefault="00205470">
            <w:pPr>
              <w:spacing w:before="0" w:after="0"/>
              <w:jc w:val="left"/>
              <w:rPr>
                <w:i/>
                <w:iCs/>
                <w:noProof/>
                <w:color w:val="000000"/>
                <w:sz w:val="16"/>
                <w:szCs w:val="16"/>
                <w:lang w:val="en-IE" w:eastAsia="en-IE"/>
              </w:rPr>
            </w:pPr>
            <w:r w:rsidRPr="00045679">
              <w:rPr>
                <w:i/>
                <w:iCs/>
                <w:noProof/>
                <w:color w:val="000000"/>
                <w:sz w:val="16"/>
                <w:szCs w:val="16"/>
                <w:lang w:val="en-IE" w:eastAsia="en-IE"/>
              </w:rPr>
              <w:t>major disaster</w:t>
            </w:r>
          </w:p>
        </w:tc>
        <w:tc>
          <w:tcPr>
            <w:tcW w:w="1196" w:type="dxa"/>
            <w:vMerge/>
            <w:vAlign w:val="center"/>
            <w:hideMark/>
          </w:tcPr>
          <w:p w:rsidR="00205470" w:rsidRPr="00180DDE" w:rsidRDefault="00205470">
            <w:pPr>
              <w:spacing w:before="0" w:after="0"/>
              <w:jc w:val="left"/>
              <w:rPr>
                <w:noProof/>
                <w:sz w:val="16"/>
                <w:szCs w:val="16"/>
                <w:lang w:val="en-IE" w:eastAsia="en-IE"/>
              </w:rPr>
            </w:pPr>
          </w:p>
        </w:tc>
        <w:tc>
          <w:tcPr>
            <w:tcW w:w="1261" w:type="dxa"/>
            <w:vMerge/>
            <w:vAlign w:val="center"/>
            <w:hideMark/>
          </w:tcPr>
          <w:p w:rsidR="00205470" w:rsidRPr="00180DDE" w:rsidRDefault="00205470">
            <w:pPr>
              <w:spacing w:before="0" w:after="0"/>
              <w:jc w:val="left"/>
              <w:rPr>
                <w:noProof/>
                <w:sz w:val="16"/>
                <w:szCs w:val="16"/>
                <w:lang w:val="en-IE" w:eastAsia="en-IE"/>
              </w:rPr>
            </w:pPr>
          </w:p>
        </w:tc>
        <w:tc>
          <w:tcPr>
            <w:tcW w:w="1091" w:type="dxa"/>
            <w:vMerge/>
            <w:vAlign w:val="center"/>
            <w:hideMark/>
          </w:tcPr>
          <w:p w:rsidR="00205470" w:rsidRPr="00180DDE" w:rsidRDefault="00205470">
            <w:pPr>
              <w:spacing w:before="0" w:after="0"/>
              <w:jc w:val="left"/>
              <w:rPr>
                <w:noProof/>
                <w:sz w:val="16"/>
                <w:szCs w:val="16"/>
                <w:lang w:val="en-IE" w:eastAsia="en-IE"/>
              </w:rPr>
            </w:pPr>
          </w:p>
        </w:tc>
        <w:tc>
          <w:tcPr>
            <w:tcW w:w="1132" w:type="dxa"/>
            <w:vMerge/>
            <w:vAlign w:val="center"/>
            <w:hideMark/>
          </w:tcPr>
          <w:p w:rsidR="00205470" w:rsidRPr="00180DDE" w:rsidRDefault="00205470">
            <w:pPr>
              <w:spacing w:before="0" w:after="0"/>
              <w:jc w:val="left"/>
              <w:rPr>
                <w:noProof/>
                <w:sz w:val="16"/>
                <w:szCs w:val="16"/>
                <w:lang w:val="en-IE" w:eastAsia="en-IE"/>
              </w:rPr>
            </w:pPr>
          </w:p>
        </w:tc>
        <w:tc>
          <w:tcPr>
            <w:tcW w:w="1069" w:type="dxa"/>
            <w:vMerge/>
            <w:vAlign w:val="center"/>
            <w:hideMark/>
          </w:tcPr>
          <w:p w:rsidR="00205470" w:rsidRPr="00180DDE" w:rsidRDefault="00205470">
            <w:pPr>
              <w:spacing w:before="0" w:after="0"/>
              <w:jc w:val="left"/>
              <w:rPr>
                <w:b/>
                <w:bCs/>
                <w:noProof/>
                <w:sz w:val="16"/>
                <w:szCs w:val="16"/>
                <w:lang w:val="en-IE" w:eastAsia="en-IE"/>
              </w:rPr>
            </w:pPr>
          </w:p>
        </w:tc>
        <w:tc>
          <w:tcPr>
            <w:tcW w:w="1039" w:type="dxa"/>
            <w:vMerge/>
            <w:vAlign w:val="center"/>
            <w:hideMark/>
          </w:tcPr>
          <w:p w:rsidR="00205470" w:rsidRPr="00180DDE" w:rsidRDefault="00205470">
            <w:pPr>
              <w:spacing w:before="0" w:after="0"/>
              <w:jc w:val="left"/>
              <w:rPr>
                <w:noProof/>
                <w:sz w:val="16"/>
                <w:szCs w:val="16"/>
                <w:lang w:val="en-IE" w:eastAsia="en-IE"/>
              </w:rPr>
            </w:pPr>
          </w:p>
        </w:tc>
        <w:tc>
          <w:tcPr>
            <w:tcW w:w="1085" w:type="dxa"/>
            <w:vMerge/>
            <w:vAlign w:val="center"/>
            <w:hideMark/>
          </w:tcPr>
          <w:p w:rsidR="00205470" w:rsidRPr="00180DDE" w:rsidRDefault="00205470">
            <w:pPr>
              <w:spacing w:before="0" w:after="0"/>
              <w:jc w:val="left"/>
              <w:rPr>
                <w:b/>
                <w:bCs/>
                <w:noProof/>
                <w:sz w:val="16"/>
                <w:szCs w:val="16"/>
                <w:lang w:val="en-IE" w:eastAsia="en-IE"/>
              </w:rPr>
            </w:pPr>
          </w:p>
        </w:tc>
      </w:tr>
      <w:tr w:rsidR="00471790" w:rsidRPr="007C2D4C" w:rsidTr="00471790">
        <w:trPr>
          <w:trHeight w:val="277"/>
        </w:trPr>
        <w:tc>
          <w:tcPr>
            <w:tcW w:w="1566" w:type="dxa"/>
            <w:vAlign w:val="center"/>
            <w:hideMark/>
          </w:tcPr>
          <w:p w:rsidR="00205470" w:rsidRPr="00045679" w:rsidRDefault="00205470">
            <w:pPr>
              <w:spacing w:before="0" w:after="0"/>
              <w:jc w:val="left"/>
              <w:rPr>
                <w:b/>
                <w:bCs/>
                <w:noProof/>
                <w:color w:val="000000"/>
                <w:sz w:val="16"/>
                <w:szCs w:val="16"/>
                <w:lang w:val="en-IE" w:eastAsia="en-IE"/>
              </w:rPr>
            </w:pPr>
            <w:r w:rsidRPr="00045679">
              <w:rPr>
                <w:b/>
                <w:bCs/>
                <w:noProof/>
                <w:color w:val="000000"/>
                <w:sz w:val="16"/>
                <w:szCs w:val="16"/>
                <w:lang w:val="en-IE" w:eastAsia="en-IE"/>
              </w:rPr>
              <w:t>TOTAL</w:t>
            </w:r>
          </w:p>
        </w:tc>
        <w:tc>
          <w:tcPr>
            <w:tcW w:w="1196" w:type="dxa"/>
            <w:vAlign w:val="center"/>
            <w:hideMark/>
          </w:tcPr>
          <w:p w:rsidR="00205470" w:rsidRPr="00045679" w:rsidRDefault="00205470">
            <w:pPr>
              <w:spacing w:before="0" w:after="0"/>
              <w:jc w:val="left"/>
              <w:rPr>
                <w:b/>
                <w:bCs/>
                <w:noProof/>
                <w:sz w:val="16"/>
                <w:szCs w:val="16"/>
                <w:lang w:val="en-IE" w:eastAsia="en-IE"/>
              </w:rPr>
            </w:pPr>
            <w:r w:rsidRPr="00045679">
              <w:rPr>
                <w:b/>
                <w:bCs/>
                <w:noProof/>
                <w:sz w:val="16"/>
                <w:szCs w:val="16"/>
                <w:lang w:val="en-IE" w:eastAsia="en-IE"/>
              </w:rPr>
              <w:t> </w:t>
            </w:r>
          </w:p>
        </w:tc>
        <w:tc>
          <w:tcPr>
            <w:tcW w:w="1261" w:type="dxa"/>
            <w:vAlign w:val="center"/>
            <w:hideMark/>
          </w:tcPr>
          <w:p w:rsidR="00205470" w:rsidRPr="00045679" w:rsidRDefault="00205470">
            <w:pPr>
              <w:spacing w:before="0" w:after="0"/>
              <w:jc w:val="left"/>
              <w:rPr>
                <w:b/>
                <w:bCs/>
                <w:noProof/>
                <w:sz w:val="16"/>
                <w:szCs w:val="16"/>
                <w:lang w:val="en-IE" w:eastAsia="en-IE"/>
              </w:rPr>
            </w:pPr>
            <w:r w:rsidRPr="00045679">
              <w:rPr>
                <w:b/>
                <w:bCs/>
                <w:noProof/>
                <w:sz w:val="16"/>
                <w:szCs w:val="16"/>
                <w:lang w:val="en-IE" w:eastAsia="en-IE"/>
              </w:rPr>
              <w:t> </w:t>
            </w:r>
          </w:p>
        </w:tc>
        <w:tc>
          <w:tcPr>
            <w:tcW w:w="1091" w:type="dxa"/>
            <w:vAlign w:val="center"/>
            <w:hideMark/>
          </w:tcPr>
          <w:p w:rsidR="00205470" w:rsidRPr="00045679" w:rsidRDefault="00205470">
            <w:pPr>
              <w:spacing w:before="0" w:after="0"/>
              <w:jc w:val="left"/>
              <w:rPr>
                <w:b/>
                <w:bCs/>
                <w:noProof/>
                <w:sz w:val="16"/>
                <w:szCs w:val="16"/>
                <w:lang w:val="en-IE" w:eastAsia="en-IE"/>
              </w:rPr>
            </w:pPr>
            <w:r w:rsidRPr="00045679">
              <w:rPr>
                <w:b/>
                <w:bCs/>
                <w:noProof/>
                <w:sz w:val="16"/>
                <w:szCs w:val="16"/>
                <w:lang w:val="en-IE" w:eastAsia="en-IE"/>
              </w:rPr>
              <w:t> </w:t>
            </w:r>
          </w:p>
        </w:tc>
        <w:tc>
          <w:tcPr>
            <w:tcW w:w="1132" w:type="dxa"/>
            <w:vAlign w:val="center"/>
            <w:hideMark/>
          </w:tcPr>
          <w:p w:rsidR="00205470" w:rsidRPr="00045679" w:rsidRDefault="00205470">
            <w:pPr>
              <w:spacing w:before="0" w:after="0"/>
              <w:jc w:val="left"/>
              <w:rPr>
                <w:b/>
                <w:bCs/>
                <w:noProof/>
                <w:sz w:val="16"/>
                <w:szCs w:val="16"/>
                <w:lang w:val="en-IE" w:eastAsia="en-IE"/>
              </w:rPr>
            </w:pPr>
            <w:r w:rsidRPr="00045679">
              <w:rPr>
                <w:b/>
                <w:bCs/>
                <w:noProof/>
                <w:sz w:val="16"/>
                <w:szCs w:val="16"/>
                <w:lang w:val="en-IE" w:eastAsia="en-IE"/>
              </w:rPr>
              <w:t> </w:t>
            </w:r>
          </w:p>
        </w:tc>
        <w:tc>
          <w:tcPr>
            <w:tcW w:w="1069" w:type="dxa"/>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144,099,75</w:t>
            </w:r>
            <w:r w:rsidR="009004F1">
              <w:rPr>
                <w:b/>
                <w:bCs/>
                <w:noProof/>
                <w:sz w:val="16"/>
                <w:szCs w:val="16"/>
                <w:lang w:val="en-IE" w:eastAsia="en-IE"/>
              </w:rPr>
              <w:t>6</w:t>
            </w:r>
          </w:p>
        </w:tc>
        <w:tc>
          <w:tcPr>
            <w:tcW w:w="1039" w:type="dxa"/>
            <w:vAlign w:val="center"/>
            <w:hideMark/>
          </w:tcPr>
          <w:p w:rsidR="00205470" w:rsidRPr="00045679" w:rsidRDefault="00205470">
            <w:pPr>
              <w:spacing w:before="0" w:after="0"/>
              <w:jc w:val="right"/>
              <w:rPr>
                <w:noProof/>
                <w:sz w:val="16"/>
                <w:szCs w:val="16"/>
                <w:lang w:val="en-IE" w:eastAsia="en-IE"/>
              </w:rPr>
            </w:pPr>
            <w:r w:rsidRPr="00045679">
              <w:rPr>
                <w:noProof/>
                <w:sz w:val="16"/>
                <w:szCs w:val="16"/>
                <w:lang w:val="en-IE" w:eastAsia="en-IE"/>
              </w:rPr>
              <w:t>32,455,179</w:t>
            </w:r>
          </w:p>
        </w:tc>
        <w:tc>
          <w:tcPr>
            <w:tcW w:w="1085" w:type="dxa"/>
            <w:vAlign w:val="center"/>
            <w:hideMark/>
          </w:tcPr>
          <w:p w:rsidR="00205470" w:rsidRPr="00045679" w:rsidRDefault="00205470">
            <w:pPr>
              <w:spacing w:before="0" w:after="0"/>
              <w:jc w:val="right"/>
              <w:rPr>
                <w:b/>
                <w:bCs/>
                <w:noProof/>
                <w:sz w:val="16"/>
                <w:szCs w:val="16"/>
                <w:lang w:val="en-IE" w:eastAsia="en-IE"/>
              </w:rPr>
            </w:pPr>
            <w:r w:rsidRPr="00045679">
              <w:rPr>
                <w:b/>
                <w:bCs/>
                <w:noProof/>
                <w:sz w:val="16"/>
                <w:szCs w:val="16"/>
                <w:lang w:val="en-IE" w:eastAsia="en-IE"/>
              </w:rPr>
              <w:t>111,644,577</w:t>
            </w:r>
          </w:p>
        </w:tc>
      </w:tr>
    </w:tbl>
    <w:p w:rsidR="007208BC" w:rsidRDefault="007208BC" w:rsidP="007208BC">
      <w:pPr>
        <w:rPr>
          <w:noProof/>
        </w:rPr>
      </w:pPr>
    </w:p>
    <w:p w:rsidR="007208BC" w:rsidRDefault="007208BC" w:rsidP="007208BC">
      <w:pPr>
        <w:rPr>
          <w:noProof/>
        </w:rPr>
      </w:pPr>
      <w:r>
        <w:rPr>
          <w:noProof/>
        </w:rPr>
        <w:t>Council Regulation (EU, Euratom) No 2020/2093 of 17 December 2020 laying down the multiannual financial framework for the years 2021-2027</w:t>
      </w:r>
      <w:r>
        <w:rPr>
          <w:rStyle w:val="FootnoteReference"/>
          <w:noProof/>
        </w:rPr>
        <w:footnoteReference w:id="6"/>
      </w:r>
      <w:r>
        <w:rPr>
          <w:noProof/>
        </w:rPr>
        <w:t> (hereafter ‘the MFF Regulation’), allows for the mobilisation of the EUSF in the context of the Solidarity and Emergency Aid Reserve (SEAR). Council Regulation (EU, Euratom) 2024/765</w:t>
      </w:r>
      <w:r>
        <w:rPr>
          <w:rStyle w:val="FootnoteReference"/>
          <w:noProof/>
        </w:rPr>
        <w:footnoteReference w:id="7"/>
      </w:r>
      <w:r>
        <w:rPr>
          <w:noProof/>
        </w:rPr>
        <w:t xml:space="preserve"> (hereafter the amended MFF </w:t>
      </w:r>
      <w:r>
        <w:rPr>
          <w:noProof/>
        </w:rPr>
        <w:lastRenderedPageBreak/>
        <w:t>Regulation’) split the SEAR in two separate instruments: the European Solidarity Reserve and the Emergency Aid Reserve.</w:t>
      </w:r>
    </w:p>
    <w:p w:rsidR="007208BC" w:rsidRDefault="007208BC" w:rsidP="007208BC">
      <w:pPr>
        <w:rPr>
          <w:noProof/>
        </w:rPr>
      </w:pPr>
      <w:r>
        <w:rPr>
          <w:noProof/>
        </w:rPr>
        <w:t>The European Solidarity Reserve with an annual amount of EUR 1 016 million in 2018 prices (corresponding to EUR 1 190.4 million in 2026 prices) will be used for assistance to respond to emergency situations covered by the EUSF. Point 10 of the Interinstitutional Agreement of 16 December 2020 between the European Parliament, the Council and the Commission on budgetary discipline, on cooperation on budgetary matters and on sound financial management as well as on new own resources, including a roadmap towards the introduction of new own resources</w:t>
      </w:r>
      <w:r w:rsidR="0011337C">
        <w:rPr>
          <w:rStyle w:val="FootnoteReference"/>
          <w:noProof/>
        </w:rPr>
        <w:footnoteReference w:id="8"/>
      </w:r>
      <w:r>
        <w:rPr>
          <w:noProof/>
        </w:rPr>
        <w:t>, lays down the modalities for the mobilisation of the EUSF in the context of the SEAR.</w:t>
      </w:r>
    </w:p>
    <w:p w:rsidR="007208BC" w:rsidRDefault="007208BC" w:rsidP="007208BC">
      <w:pPr>
        <w:rPr>
          <w:noProof/>
        </w:rPr>
      </w:pPr>
      <w:r>
        <w:rPr>
          <w:noProof/>
        </w:rPr>
        <w:t xml:space="preserve">In order to avoid an early depletion of the annual allocation, </w:t>
      </w:r>
      <w:r w:rsidR="0011337C" w:rsidRPr="0011337C">
        <w:rPr>
          <w:noProof/>
        </w:rPr>
        <w:t xml:space="preserve">Article 3(7) of the EUSF Regulation and Article 9(2), second subparagraph of the amended MFF Regulation stipulate that 25% of the annual EUSF allocation </w:t>
      </w:r>
      <w:r>
        <w:rPr>
          <w:noProof/>
        </w:rPr>
        <w:t>must remain available on 1 October of each year (end-of-year-cushion). In 2026, this amount corresponds to EUR 297.6 million.</w:t>
      </w:r>
    </w:p>
    <w:p w:rsidR="007208BC" w:rsidRDefault="007208BC" w:rsidP="007208BC">
      <w:pPr>
        <w:rPr>
          <w:noProof/>
        </w:rPr>
      </w:pPr>
      <w:r>
        <w:rPr>
          <w:noProof/>
        </w:rPr>
        <w:t>Moreover, according to Article 4a(4) of the EUSF Regulation, the amount of EUR 50 million has already been inscribed in the General Budget 2026 (in commitments and payments) for the payment of possible advances. Both Cyprus</w:t>
      </w:r>
      <w:r w:rsidR="008B2F57">
        <w:rPr>
          <w:rStyle w:val="FootnoteReference"/>
          <w:noProof/>
        </w:rPr>
        <w:footnoteReference w:id="9"/>
      </w:r>
      <w:r>
        <w:rPr>
          <w:noProof/>
        </w:rPr>
        <w:t xml:space="preserve"> and Spain requested and were granted advance payments of EUR 2.3</w:t>
      </w:r>
      <w:r w:rsidR="001172C3">
        <w:rPr>
          <w:noProof/>
        </w:rPr>
        <w:t>2</w:t>
      </w:r>
      <w:r>
        <w:rPr>
          <w:noProof/>
        </w:rPr>
        <w:t xml:space="preserve"> million and EUR 30.1</w:t>
      </w:r>
      <w:r w:rsidR="001172C3">
        <w:rPr>
          <w:noProof/>
        </w:rPr>
        <w:t>4</w:t>
      </w:r>
      <w:r>
        <w:rPr>
          <w:noProof/>
        </w:rPr>
        <w:t xml:space="preserve"> million, respectively.</w:t>
      </w:r>
    </w:p>
    <w:p w:rsidR="007208BC" w:rsidRDefault="007208BC" w:rsidP="007208BC">
      <w:pPr>
        <w:rPr>
          <w:noProof/>
        </w:rPr>
      </w:pPr>
      <w:r>
        <w:rPr>
          <w:noProof/>
        </w:rPr>
        <w:t xml:space="preserve">In accordance with Article 9(2) of the amended MFF Regulation, any portion of the annual amount not used in a given year n may be used up to year n+1. The amount of EUR 21.3 million has been carried over from 2025 to 2026, of which EUR 20.85 million are available </w:t>
      </w:r>
      <w:r w:rsidR="2E90B587">
        <w:rPr>
          <w:noProof/>
        </w:rPr>
        <w:t xml:space="preserve">for the payment </w:t>
      </w:r>
      <w:r w:rsidR="002734BE">
        <w:rPr>
          <w:noProof/>
        </w:rPr>
        <w:t>of possible</w:t>
      </w:r>
      <w:r w:rsidR="2E90B587">
        <w:rPr>
          <w:noProof/>
        </w:rPr>
        <w:t xml:space="preserve"> advances</w:t>
      </w:r>
      <w:r w:rsidR="00047080">
        <w:rPr>
          <w:rStyle w:val="FootnoteReference"/>
          <w:noProof/>
        </w:rPr>
        <w:footnoteReference w:id="10"/>
      </w:r>
      <w:r>
        <w:rPr>
          <w:noProof/>
        </w:rPr>
        <w:t>.</w:t>
      </w:r>
    </w:p>
    <w:p w:rsidR="004331C9" w:rsidRDefault="007208BC" w:rsidP="00724561">
      <w:pPr>
        <w:rPr>
          <w:noProof/>
        </w:rPr>
      </w:pPr>
      <w:r>
        <w:rPr>
          <w:noProof/>
        </w:rPr>
        <w:t>In conclusion, the total available amount on the reserve line before 1 October is EUR 843.25 million (excluding advances and end-of-year cushion), which is sufficient to cover the proposed amount fo</w:t>
      </w:r>
      <w:r w:rsidR="00D83BC8">
        <w:rPr>
          <w:noProof/>
        </w:rPr>
        <w:t>r</w:t>
      </w:r>
      <w:r>
        <w:rPr>
          <w:noProof/>
        </w:rPr>
        <w:t xml:space="preserve"> mobilisation.</w:t>
      </w:r>
    </w:p>
    <w:p w:rsidR="00C918DA" w:rsidRDefault="00C918DA">
      <w:pPr>
        <w:spacing w:before="0" w:after="200" w:line="276" w:lineRule="auto"/>
        <w:jc w:val="left"/>
        <w:rPr>
          <w:noProof/>
        </w:rPr>
      </w:pPr>
      <w:r>
        <w:rPr>
          <w:noProof/>
        </w:rPr>
        <w:br w:type="page"/>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866"/>
      </w:tblGrid>
      <w:tr w:rsidR="00195C60" w:rsidRPr="00A33FF1">
        <w:trPr>
          <w:trHeight w:val="290"/>
        </w:trPr>
        <w:tc>
          <w:tcPr>
            <w:tcW w:w="9232" w:type="dxa"/>
            <w:gridSpan w:val="2"/>
            <w:noWrap/>
            <w:vAlign w:val="bottom"/>
            <w:hideMark/>
          </w:tcPr>
          <w:p w:rsidR="00195C60" w:rsidRPr="00045679" w:rsidRDefault="00195C60">
            <w:pPr>
              <w:jc w:val="left"/>
              <w:rPr>
                <w:b/>
                <w:bCs/>
                <w:noProof/>
                <w:color w:val="000000"/>
                <w:sz w:val="20"/>
                <w:szCs w:val="20"/>
                <w:lang w:val="en-IE" w:eastAsia="en-IE"/>
              </w:rPr>
            </w:pPr>
            <w:r w:rsidRPr="00045679">
              <w:rPr>
                <w:b/>
                <w:bCs/>
                <w:noProof/>
                <w:color w:val="000000"/>
                <w:sz w:val="20"/>
                <w:szCs w:val="20"/>
                <w:lang w:val="en-IE" w:eastAsia="en-IE"/>
              </w:rPr>
              <w:lastRenderedPageBreak/>
              <w:t>Available EUSF resources in 2026 (EUR) </w:t>
            </w:r>
          </w:p>
        </w:tc>
      </w:tr>
      <w:tr w:rsidR="00195C60" w:rsidRPr="00045679">
        <w:trPr>
          <w:trHeight w:val="290"/>
        </w:trPr>
        <w:tc>
          <w:tcPr>
            <w:tcW w:w="7366" w:type="dxa"/>
            <w:noWrap/>
            <w:vAlign w:val="bottom"/>
            <w:hideMark/>
          </w:tcPr>
          <w:p w:rsidR="00195C60" w:rsidRPr="00180DDE" w:rsidRDefault="00195C60">
            <w:pPr>
              <w:spacing w:before="0" w:after="0"/>
              <w:jc w:val="left"/>
              <w:rPr>
                <w:noProof/>
                <w:color w:val="000000"/>
                <w:sz w:val="20"/>
                <w:szCs w:val="20"/>
                <w:lang w:val="en-IE" w:eastAsia="en-IE"/>
              </w:rPr>
            </w:pPr>
            <w:r w:rsidRPr="00180DDE">
              <w:rPr>
                <w:noProof/>
                <w:color w:val="000000" w:themeColor="text1"/>
                <w:sz w:val="20"/>
                <w:szCs w:val="20"/>
                <w:lang w:val="en-IE" w:eastAsia="en-IE"/>
              </w:rPr>
              <w:t>Total annual allocation in 2026</w:t>
            </w:r>
          </w:p>
        </w:tc>
        <w:tc>
          <w:tcPr>
            <w:tcW w:w="1866" w:type="dxa"/>
            <w:noWrap/>
            <w:vAlign w:val="bottom"/>
            <w:hideMark/>
          </w:tcPr>
          <w:p w:rsidR="00195C60" w:rsidRPr="00180DDE" w:rsidRDefault="00195C60">
            <w:pPr>
              <w:spacing w:before="0" w:after="0"/>
              <w:jc w:val="right"/>
              <w:rPr>
                <w:noProof/>
                <w:color w:val="000000"/>
                <w:sz w:val="20"/>
                <w:szCs w:val="20"/>
                <w:lang w:val="en-IE" w:eastAsia="en-IE"/>
              </w:rPr>
            </w:pPr>
            <w:r w:rsidRPr="00180DDE">
              <w:rPr>
                <w:noProof/>
                <w:color w:val="000000"/>
                <w:sz w:val="20"/>
                <w:szCs w:val="20"/>
                <w:lang w:val="en-IE" w:eastAsia="en-IE"/>
              </w:rPr>
              <w:t>1,190,405,931</w:t>
            </w:r>
          </w:p>
        </w:tc>
      </w:tr>
      <w:tr w:rsidR="00195C60" w:rsidRPr="00A33FF1">
        <w:trPr>
          <w:trHeight w:val="290"/>
        </w:trPr>
        <w:tc>
          <w:tcPr>
            <w:tcW w:w="7366" w:type="dxa"/>
            <w:noWrap/>
            <w:vAlign w:val="bottom"/>
            <w:hideMark/>
          </w:tcPr>
          <w:p w:rsidR="00195C60" w:rsidRPr="00180DDE" w:rsidRDefault="00195C60">
            <w:pPr>
              <w:spacing w:before="0" w:after="0"/>
              <w:jc w:val="left"/>
              <w:rPr>
                <w:noProof/>
                <w:color w:val="000000"/>
                <w:sz w:val="20"/>
                <w:szCs w:val="20"/>
                <w:lang w:val="en-IE" w:eastAsia="en-IE"/>
              </w:rPr>
            </w:pPr>
            <w:r w:rsidRPr="00180DDE">
              <w:rPr>
                <w:noProof/>
                <w:color w:val="000000"/>
                <w:sz w:val="20"/>
                <w:szCs w:val="20"/>
                <w:lang w:val="en-IE" w:eastAsia="en-IE"/>
              </w:rPr>
              <w:t>Carry-over from 2025</w:t>
            </w:r>
            <w:r>
              <w:rPr>
                <w:noProof/>
                <w:color w:val="000000"/>
                <w:sz w:val="20"/>
                <w:szCs w:val="20"/>
                <w:lang w:val="en-IE" w:eastAsia="en-IE"/>
              </w:rPr>
              <w:t xml:space="preserve"> incl. unused advances</w:t>
            </w:r>
            <w:r w:rsidRPr="00180DDE">
              <w:rPr>
                <w:noProof/>
                <w:color w:val="000000"/>
                <w:sz w:val="20"/>
                <w:szCs w:val="20"/>
                <w:lang w:val="en-IE" w:eastAsia="en-IE"/>
              </w:rPr>
              <w:t xml:space="preserve"> (+)</w:t>
            </w:r>
          </w:p>
        </w:tc>
        <w:tc>
          <w:tcPr>
            <w:tcW w:w="1866" w:type="dxa"/>
            <w:noWrap/>
            <w:vAlign w:val="bottom"/>
            <w:hideMark/>
          </w:tcPr>
          <w:p w:rsidR="00195C60" w:rsidRPr="00180DDE" w:rsidRDefault="00195C60">
            <w:pPr>
              <w:spacing w:before="0" w:after="0"/>
              <w:jc w:val="right"/>
              <w:rPr>
                <w:noProof/>
                <w:color w:val="000000"/>
                <w:sz w:val="20"/>
                <w:szCs w:val="20"/>
                <w:lang w:val="en-IE" w:eastAsia="en-IE"/>
              </w:rPr>
            </w:pPr>
            <w:r w:rsidRPr="00180DDE">
              <w:rPr>
                <w:noProof/>
                <w:color w:val="000000"/>
                <w:sz w:val="20"/>
                <w:szCs w:val="20"/>
                <w:lang w:val="en-IE" w:eastAsia="en-IE"/>
              </w:rPr>
              <w:t>21,304,355</w:t>
            </w:r>
          </w:p>
        </w:tc>
      </w:tr>
      <w:tr w:rsidR="00195C60" w:rsidRPr="00A33FF1">
        <w:trPr>
          <w:trHeight w:val="290"/>
        </w:trPr>
        <w:tc>
          <w:tcPr>
            <w:tcW w:w="7366" w:type="dxa"/>
            <w:noWrap/>
            <w:vAlign w:val="bottom"/>
            <w:hideMark/>
          </w:tcPr>
          <w:p w:rsidR="00195C60" w:rsidRPr="00A33FF1" w:rsidRDefault="00195C60">
            <w:pPr>
              <w:spacing w:before="0" w:after="0"/>
              <w:jc w:val="left"/>
              <w:rPr>
                <w:noProof/>
                <w:color w:val="000000"/>
                <w:sz w:val="20"/>
                <w:szCs w:val="20"/>
                <w:lang w:val="en-IE" w:eastAsia="en-IE"/>
              </w:rPr>
            </w:pPr>
            <w:r w:rsidRPr="00A33FF1">
              <w:rPr>
                <w:noProof/>
                <w:color w:val="000000"/>
                <w:sz w:val="20"/>
                <w:szCs w:val="20"/>
                <w:lang w:val="en-IE" w:eastAsia="en-IE"/>
              </w:rPr>
              <w:t>End-of-year cushion, available after 1 October</w:t>
            </w:r>
            <w:r>
              <w:rPr>
                <w:noProof/>
                <w:color w:val="000000"/>
                <w:sz w:val="20"/>
                <w:szCs w:val="20"/>
                <w:lang w:val="en-IE" w:eastAsia="en-IE"/>
              </w:rPr>
              <w:t xml:space="preserve"> (-)</w:t>
            </w:r>
          </w:p>
        </w:tc>
        <w:tc>
          <w:tcPr>
            <w:tcW w:w="1866" w:type="dxa"/>
            <w:noWrap/>
            <w:vAlign w:val="bottom"/>
            <w:hideMark/>
          </w:tcPr>
          <w:p w:rsidR="00195C60" w:rsidRPr="00A33FF1" w:rsidRDefault="00195C60">
            <w:pPr>
              <w:spacing w:before="0" w:after="0"/>
              <w:jc w:val="right"/>
              <w:rPr>
                <w:noProof/>
                <w:color w:val="000000"/>
                <w:sz w:val="20"/>
                <w:szCs w:val="20"/>
                <w:lang w:val="en-IE" w:eastAsia="en-IE"/>
              </w:rPr>
            </w:pPr>
            <w:r w:rsidRPr="00A33FF1">
              <w:rPr>
                <w:noProof/>
                <w:color w:val="000000"/>
                <w:sz w:val="20"/>
                <w:szCs w:val="20"/>
                <w:lang w:val="en-IE" w:eastAsia="en-IE"/>
              </w:rPr>
              <w:t>297,601,483</w:t>
            </w:r>
          </w:p>
        </w:tc>
      </w:tr>
      <w:tr w:rsidR="00195C60" w:rsidRPr="00A33FF1">
        <w:trPr>
          <w:trHeight w:val="290"/>
        </w:trPr>
        <w:tc>
          <w:tcPr>
            <w:tcW w:w="7366" w:type="dxa"/>
            <w:noWrap/>
            <w:vAlign w:val="bottom"/>
          </w:tcPr>
          <w:p w:rsidR="00195C60" w:rsidRPr="00751E46" w:rsidRDefault="00195C60">
            <w:pPr>
              <w:spacing w:before="0" w:after="0"/>
              <w:jc w:val="left"/>
              <w:rPr>
                <w:noProof/>
                <w:color w:val="000000"/>
                <w:sz w:val="20"/>
                <w:szCs w:val="20"/>
                <w:lang w:val="en-IE" w:eastAsia="en-IE"/>
              </w:rPr>
            </w:pPr>
            <w:r>
              <w:rPr>
                <w:noProof/>
                <w:color w:val="000000"/>
                <w:sz w:val="20"/>
                <w:szCs w:val="20"/>
                <w:lang w:val="en-IE" w:eastAsia="en-IE"/>
              </w:rPr>
              <w:t>Total amount currently available before 1 October, of which:</w:t>
            </w:r>
          </w:p>
        </w:tc>
        <w:tc>
          <w:tcPr>
            <w:tcW w:w="1866" w:type="dxa"/>
            <w:noWrap/>
            <w:vAlign w:val="bottom"/>
          </w:tcPr>
          <w:p w:rsidR="00195C60" w:rsidRPr="00751E46" w:rsidRDefault="00195C60">
            <w:pPr>
              <w:spacing w:before="0" w:after="0"/>
              <w:jc w:val="right"/>
              <w:rPr>
                <w:noProof/>
                <w:color w:val="000000"/>
                <w:sz w:val="20"/>
                <w:szCs w:val="20"/>
                <w:lang w:val="en-IE" w:eastAsia="en-IE"/>
              </w:rPr>
            </w:pPr>
            <w:r>
              <w:rPr>
                <w:noProof/>
                <w:color w:val="000000"/>
                <w:sz w:val="20"/>
                <w:szCs w:val="20"/>
                <w:lang w:val="en-IE" w:eastAsia="en-IE"/>
              </w:rPr>
              <w:t>914,108,803</w:t>
            </w:r>
          </w:p>
        </w:tc>
      </w:tr>
      <w:tr w:rsidR="00195C60" w:rsidRPr="00A33FF1">
        <w:trPr>
          <w:trHeight w:val="290"/>
        </w:trPr>
        <w:tc>
          <w:tcPr>
            <w:tcW w:w="7366" w:type="dxa"/>
            <w:noWrap/>
            <w:vAlign w:val="bottom"/>
          </w:tcPr>
          <w:p w:rsidR="00195C60" w:rsidRPr="00180DDE" w:rsidRDefault="00195C60">
            <w:pPr>
              <w:pStyle w:val="ListParagraph"/>
              <w:numPr>
                <w:ilvl w:val="0"/>
                <w:numId w:val="11"/>
              </w:numPr>
              <w:spacing w:before="0" w:after="0"/>
              <w:ind w:left="697" w:hanging="357"/>
              <w:jc w:val="left"/>
              <w:rPr>
                <w:noProof/>
                <w:color w:val="000000"/>
                <w:sz w:val="20"/>
                <w:szCs w:val="20"/>
                <w:lang w:val="en-IE" w:eastAsia="en-IE"/>
              </w:rPr>
            </w:pPr>
            <w:r w:rsidRPr="706BB5FA">
              <w:rPr>
                <w:noProof/>
                <w:color w:val="000000" w:themeColor="text1"/>
                <w:sz w:val="20"/>
                <w:szCs w:val="20"/>
                <w:lang w:val="en-IE" w:eastAsia="en-IE"/>
              </w:rPr>
              <w:t>Amount to be used for possible adva</w:t>
            </w:r>
            <w:r>
              <w:rPr>
                <w:noProof/>
                <w:color w:val="000000" w:themeColor="text1"/>
                <w:sz w:val="20"/>
                <w:szCs w:val="20"/>
                <w:lang w:val="en-IE" w:eastAsia="en-IE"/>
              </w:rPr>
              <w:t>n</w:t>
            </w:r>
            <w:r w:rsidRPr="706BB5FA">
              <w:rPr>
                <w:noProof/>
                <w:color w:val="000000" w:themeColor="text1"/>
                <w:sz w:val="20"/>
                <w:szCs w:val="20"/>
                <w:lang w:val="en-IE" w:eastAsia="en-IE"/>
              </w:rPr>
              <w:t>ces</w:t>
            </w:r>
            <w:r>
              <w:rPr>
                <w:rStyle w:val="FootnoteReference"/>
                <w:noProof/>
                <w:color w:val="000000" w:themeColor="text1"/>
                <w:sz w:val="20"/>
                <w:szCs w:val="20"/>
                <w:lang w:val="en-IE" w:eastAsia="en-IE"/>
              </w:rPr>
              <w:footnoteReference w:id="11"/>
            </w:r>
          </w:p>
        </w:tc>
        <w:tc>
          <w:tcPr>
            <w:tcW w:w="1866" w:type="dxa"/>
            <w:noWrap/>
            <w:vAlign w:val="bottom"/>
          </w:tcPr>
          <w:p w:rsidR="00195C60" w:rsidRDefault="00195C60">
            <w:pPr>
              <w:spacing w:before="0" w:after="0"/>
              <w:jc w:val="right"/>
              <w:rPr>
                <w:noProof/>
                <w:color w:val="000000"/>
                <w:sz w:val="20"/>
                <w:szCs w:val="20"/>
                <w:lang w:val="en-IE" w:eastAsia="en-IE"/>
              </w:rPr>
            </w:pPr>
            <w:r>
              <w:rPr>
                <w:noProof/>
                <w:color w:val="000000"/>
                <w:sz w:val="20"/>
                <w:szCs w:val="20"/>
                <w:lang w:val="en-IE" w:eastAsia="en-IE"/>
              </w:rPr>
              <w:t>70,854,849</w:t>
            </w:r>
          </w:p>
        </w:tc>
      </w:tr>
      <w:tr w:rsidR="00195C60" w:rsidRPr="00A33FF1">
        <w:trPr>
          <w:trHeight w:val="290"/>
        </w:trPr>
        <w:tc>
          <w:tcPr>
            <w:tcW w:w="7366" w:type="dxa"/>
            <w:noWrap/>
            <w:vAlign w:val="bottom"/>
          </w:tcPr>
          <w:p w:rsidR="00195C60" w:rsidRPr="00180DDE" w:rsidRDefault="00195C60">
            <w:pPr>
              <w:pStyle w:val="ListParagraph"/>
              <w:numPr>
                <w:ilvl w:val="0"/>
                <w:numId w:val="11"/>
              </w:numPr>
              <w:spacing w:before="0" w:after="0"/>
              <w:ind w:left="697" w:hanging="357"/>
              <w:jc w:val="left"/>
              <w:rPr>
                <w:b/>
                <w:bCs/>
                <w:noProof/>
                <w:color w:val="000000"/>
                <w:sz w:val="20"/>
                <w:szCs w:val="20"/>
                <w:lang w:val="en-IE" w:eastAsia="en-IE"/>
              </w:rPr>
            </w:pPr>
            <w:r w:rsidRPr="706BB5FA">
              <w:rPr>
                <w:b/>
                <w:bCs/>
                <w:noProof/>
                <w:color w:val="000000" w:themeColor="text1"/>
                <w:sz w:val="20"/>
                <w:szCs w:val="20"/>
                <w:lang w:val="en-IE" w:eastAsia="en-IE"/>
              </w:rPr>
              <w:t>Amount available for the current mobilisation decision</w:t>
            </w:r>
          </w:p>
        </w:tc>
        <w:tc>
          <w:tcPr>
            <w:tcW w:w="1866" w:type="dxa"/>
            <w:noWrap/>
            <w:vAlign w:val="bottom"/>
          </w:tcPr>
          <w:p w:rsidR="00195C60" w:rsidRPr="00180DDE" w:rsidRDefault="00195C60">
            <w:pPr>
              <w:spacing w:before="0" w:after="0"/>
              <w:jc w:val="right"/>
              <w:rPr>
                <w:b/>
                <w:bCs/>
                <w:noProof/>
                <w:color w:val="000000"/>
                <w:sz w:val="20"/>
                <w:szCs w:val="20"/>
                <w:lang w:val="en-IE" w:eastAsia="en-IE"/>
              </w:rPr>
            </w:pPr>
            <w:r w:rsidRPr="00180DDE">
              <w:rPr>
                <w:b/>
                <w:bCs/>
                <w:noProof/>
                <w:color w:val="000000"/>
                <w:sz w:val="20"/>
                <w:szCs w:val="20"/>
                <w:lang w:val="en-IE" w:eastAsia="en-IE"/>
              </w:rPr>
              <w:t>843,253,954</w:t>
            </w:r>
          </w:p>
        </w:tc>
      </w:tr>
      <w:tr w:rsidR="00195C60" w:rsidRPr="00A33FF1">
        <w:trPr>
          <w:trHeight w:val="290"/>
        </w:trPr>
        <w:tc>
          <w:tcPr>
            <w:tcW w:w="7366" w:type="dxa"/>
            <w:noWrap/>
            <w:vAlign w:val="bottom"/>
            <w:hideMark/>
          </w:tcPr>
          <w:p w:rsidR="00195C60" w:rsidRPr="00A33FF1" w:rsidRDefault="00195C60">
            <w:pPr>
              <w:spacing w:before="0" w:after="0"/>
              <w:jc w:val="left"/>
              <w:rPr>
                <w:b/>
                <w:bCs/>
                <w:noProof/>
                <w:color w:val="000000"/>
                <w:sz w:val="20"/>
                <w:szCs w:val="20"/>
                <w:lang w:val="en-IE" w:eastAsia="en-IE"/>
              </w:rPr>
            </w:pPr>
            <w:r w:rsidRPr="00A33FF1">
              <w:rPr>
                <w:b/>
                <w:bCs/>
                <w:noProof/>
                <w:color w:val="000000"/>
                <w:sz w:val="20"/>
                <w:szCs w:val="20"/>
                <w:lang w:val="en-IE" w:eastAsia="en-IE"/>
              </w:rPr>
              <w:t>Amount proposed for mobilisation, only balance to be paid</w:t>
            </w:r>
          </w:p>
        </w:tc>
        <w:tc>
          <w:tcPr>
            <w:tcW w:w="1866" w:type="dxa"/>
            <w:noWrap/>
            <w:vAlign w:val="bottom"/>
            <w:hideMark/>
          </w:tcPr>
          <w:p w:rsidR="00195C60" w:rsidRPr="000520FF" w:rsidRDefault="00195C60">
            <w:pPr>
              <w:spacing w:before="0" w:after="0"/>
              <w:jc w:val="right"/>
              <w:rPr>
                <w:b/>
                <w:bCs/>
                <w:noProof/>
                <w:color w:val="000000"/>
                <w:sz w:val="20"/>
                <w:szCs w:val="20"/>
                <w:lang w:val="en-IE" w:eastAsia="en-IE"/>
              </w:rPr>
            </w:pPr>
            <w:r w:rsidRPr="000520FF">
              <w:rPr>
                <w:b/>
                <w:bCs/>
                <w:noProof/>
                <w:color w:val="000000"/>
                <w:sz w:val="20"/>
                <w:szCs w:val="20"/>
                <w:lang w:val="en-IE" w:eastAsia="en-IE"/>
              </w:rPr>
              <w:t>111,</w:t>
            </w:r>
            <w:r w:rsidRPr="009E62E0">
              <w:rPr>
                <w:b/>
                <w:bCs/>
                <w:noProof/>
                <w:color w:val="000000"/>
                <w:sz w:val="20"/>
                <w:szCs w:val="20"/>
                <w:lang w:val="en-IE" w:eastAsia="en-IE"/>
              </w:rPr>
              <w:t>644,577</w:t>
            </w:r>
          </w:p>
        </w:tc>
      </w:tr>
      <w:tr w:rsidR="00195C60" w:rsidRPr="00A33FF1">
        <w:trPr>
          <w:trHeight w:val="290"/>
        </w:trPr>
        <w:tc>
          <w:tcPr>
            <w:tcW w:w="7366" w:type="dxa"/>
            <w:noWrap/>
            <w:vAlign w:val="bottom"/>
          </w:tcPr>
          <w:p w:rsidR="00195C60" w:rsidRPr="00A33FF1" w:rsidRDefault="00195C60">
            <w:pPr>
              <w:spacing w:before="0" w:after="0"/>
              <w:jc w:val="left"/>
              <w:rPr>
                <w:b/>
                <w:bCs/>
                <w:noProof/>
                <w:color w:val="000000"/>
                <w:sz w:val="20"/>
                <w:szCs w:val="20"/>
                <w:lang w:val="en-IE" w:eastAsia="en-IE"/>
              </w:rPr>
            </w:pPr>
          </w:p>
        </w:tc>
        <w:tc>
          <w:tcPr>
            <w:tcW w:w="1866" w:type="dxa"/>
            <w:noWrap/>
            <w:vAlign w:val="bottom"/>
          </w:tcPr>
          <w:p w:rsidR="00195C60" w:rsidRPr="000520FF" w:rsidRDefault="00195C60">
            <w:pPr>
              <w:spacing w:before="0" w:after="0"/>
              <w:jc w:val="right"/>
              <w:rPr>
                <w:b/>
                <w:bCs/>
                <w:noProof/>
                <w:color w:val="000000"/>
                <w:sz w:val="20"/>
                <w:szCs w:val="20"/>
                <w:lang w:val="en-IE" w:eastAsia="en-IE"/>
              </w:rPr>
            </w:pPr>
          </w:p>
        </w:tc>
      </w:tr>
      <w:tr w:rsidR="00195C60" w:rsidRPr="00A33FF1">
        <w:trPr>
          <w:trHeight w:val="290"/>
        </w:trPr>
        <w:tc>
          <w:tcPr>
            <w:tcW w:w="7366" w:type="dxa"/>
            <w:noWrap/>
            <w:vAlign w:val="bottom"/>
            <w:hideMark/>
          </w:tcPr>
          <w:p w:rsidR="00195C60" w:rsidRPr="00A33FF1" w:rsidRDefault="00195C60">
            <w:pPr>
              <w:spacing w:before="0" w:after="0"/>
              <w:jc w:val="left"/>
              <w:rPr>
                <w:b/>
                <w:bCs/>
                <w:noProof/>
                <w:color w:val="000000"/>
                <w:sz w:val="20"/>
                <w:szCs w:val="20"/>
                <w:lang w:val="en-IE" w:eastAsia="en-IE"/>
              </w:rPr>
            </w:pPr>
            <w:r w:rsidRPr="00A33FF1">
              <w:rPr>
                <w:b/>
                <w:bCs/>
                <w:noProof/>
                <w:color w:val="000000"/>
                <w:sz w:val="20"/>
                <w:szCs w:val="20"/>
                <w:lang w:val="en-IE" w:eastAsia="en-IE"/>
              </w:rPr>
              <w:t>Remaining amount for future applications incl. advances and end-of-year cushion</w:t>
            </w:r>
            <w:r>
              <w:rPr>
                <w:rStyle w:val="FootnoteReference"/>
                <w:b/>
                <w:bCs/>
                <w:noProof/>
                <w:color w:val="000000"/>
                <w:sz w:val="20"/>
                <w:szCs w:val="20"/>
                <w:lang w:val="en-IE" w:eastAsia="en-IE"/>
              </w:rPr>
              <w:footnoteReference w:id="12"/>
            </w:r>
          </w:p>
        </w:tc>
        <w:tc>
          <w:tcPr>
            <w:tcW w:w="1866" w:type="dxa"/>
            <w:noWrap/>
            <w:vAlign w:val="bottom"/>
            <w:hideMark/>
          </w:tcPr>
          <w:p w:rsidR="00195C60" w:rsidRPr="000520FF" w:rsidRDefault="00195C60">
            <w:pPr>
              <w:spacing w:before="0" w:after="0"/>
              <w:jc w:val="right"/>
              <w:rPr>
                <w:b/>
                <w:bCs/>
                <w:noProof/>
                <w:color w:val="000000"/>
                <w:sz w:val="20"/>
                <w:szCs w:val="20"/>
                <w:lang w:val="en-IE" w:eastAsia="en-IE"/>
              </w:rPr>
            </w:pPr>
            <w:r w:rsidRPr="000520FF">
              <w:rPr>
                <w:b/>
                <w:bCs/>
                <w:noProof/>
                <w:color w:val="000000"/>
                <w:sz w:val="20"/>
                <w:szCs w:val="20"/>
                <w:lang w:val="en-IE" w:eastAsia="en-IE"/>
              </w:rPr>
              <w:t>1,100,065,709</w:t>
            </w:r>
          </w:p>
        </w:tc>
      </w:tr>
    </w:tbl>
    <w:p w:rsidR="004331C9" w:rsidRDefault="004331C9" w:rsidP="00724561">
      <w:pPr>
        <w:rPr>
          <w:noProof/>
        </w:rPr>
      </w:pPr>
    </w:p>
    <w:p w:rsidR="009E62E0" w:rsidRDefault="009E62E0" w:rsidP="00724561">
      <w:pPr>
        <w:rPr>
          <w:noProof/>
        </w:rPr>
      </w:pPr>
    </w:p>
    <w:p w:rsidR="006E04CE" w:rsidRPr="006E04CE" w:rsidRDefault="006E04CE" w:rsidP="0099685F">
      <w:pPr>
        <w:rPr>
          <w:noProof/>
          <w:snapToGrid w:val="0"/>
        </w:rPr>
        <w:sectPr w:rsidR="006E04CE" w:rsidRPr="006E04CE" w:rsidSect="00B14417">
          <w:headerReference w:type="even" r:id="rId14"/>
          <w:footerReference w:type="even" r:id="rId15"/>
          <w:footerReference w:type="default" r:id="rId16"/>
          <w:headerReference w:type="first" r:id="rId17"/>
          <w:footerReference w:type="first" r:id="rId18"/>
          <w:pgSz w:w="11907" w:h="16839"/>
          <w:pgMar w:top="1276" w:right="1417" w:bottom="1134" w:left="1417" w:header="709" w:footer="709" w:gutter="0"/>
          <w:pgNumType w:start="1"/>
          <w:cols w:space="720"/>
          <w:docGrid w:linePitch="360"/>
        </w:sectPr>
      </w:pPr>
    </w:p>
    <w:p w:rsidR="00140501" w:rsidRDefault="00A43F3A">
      <w:pPr>
        <w:pStyle w:val="Rfrenceinterinstitutionnelle"/>
        <w:rPr>
          <w:noProof/>
        </w:rPr>
      </w:pPr>
      <w:r>
        <w:rPr>
          <w:noProof/>
        </w:rPr>
        <w:lastRenderedPageBreak/>
        <w:t>2026/0120 (BUD)</w:t>
      </w:r>
    </w:p>
    <w:p w:rsidR="0099685F" w:rsidRPr="0099685F" w:rsidRDefault="00C82BBC" w:rsidP="00C82BBC">
      <w:pPr>
        <w:pStyle w:val="Statut"/>
        <w:rPr>
          <w:noProof/>
        </w:rPr>
      </w:pPr>
      <w:r w:rsidRPr="00C82BBC">
        <w:rPr>
          <w:noProof/>
        </w:rPr>
        <w:t>Proposal for a</w:t>
      </w:r>
    </w:p>
    <w:p w:rsidR="0099685F" w:rsidRPr="0099685F" w:rsidRDefault="00C82BBC" w:rsidP="00C82BBC">
      <w:pPr>
        <w:pStyle w:val="Typedudocument"/>
        <w:rPr>
          <w:noProof/>
        </w:rPr>
      </w:pPr>
      <w:r w:rsidRPr="00C82BBC">
        <w:rPr>
          <w:noProof/>
        </w:rPr>
        <w:t>DECISION OF THE EUROPEAN PARLIAMENT AND OF THE COUNCIL</w:t>
      </w:r>
    </w:p>
    <w:p w:rsidR="0099685F" w:rsidRPr="0099685F" w:rsidRDefault="00C82BBC" w:rsidP="00C82BBC">
      <w:pPr>
        <w:pStyle w:val="Titreobjet"/>
        <w:rPr>
          <w:noProof/>
        </w:rPr>
      </w:pPr>
      <w:r w:rsidRPr="00C82BBC">
        <w:rPr>
          <w:noProof/>
        </w:rPr>
        <w:t>on the mobilisation of the European Union Solidarity Fund to provide assistance to Romania regarding the floods at the end of May 2025, Cyprus following the wildfires in July 2025 and Spain following the wildfires in August 2025 </w:t>
      </w:r>
    </w:p>
    <w:p w:rsidR="0099685F" w:rsidRPr="0099685F" w:rsidRDefault="0099685F" w:rsidP="00AE3367">
      <w:pPr>
        <w:pStyle w:val="Institutionquiagit"/>
        <w:rPr>
          <w:noProof/>
        </w:rPr>
      </w:pPr>
      <w:r w:rsidRPr="0099685F">
        <w:rPr>
          <w:noProof/>
        </w:rPr>
        <w:t>THE EUROPEAN PARLIAMENT AND THE COUNCIL OF THE EUROPEAN UNION,</w:t>
      </w:r>
    </w:p>
    <w:p w:rsidR="0099685F" w:rsidRPr="0099685F" w:rsidRDefault="0099685F" w:rsidP="0099685F">
      <w:pPr>
        <w:rPr>
          <w:noProof/>
        </w:rPr>
      </w:pPr>
      <w:r w:rsidRPr="0099685F">
        <w:rPr>
          <w:noProof/>
        </w:rPr>
        <w:t>Having regard to the Treaty on the Functioning of the European Union,</w:t>
      </w:r>
    </w:p>
    <w:p w:rsidR="0099685F" w:rsidRPr="0099685F" w:rsidRDefault="0099685F" w:rsidP="0099685F">
      <w:pPr>
        <w:rPr>
          <w:noProof/>
        </w:rPr>
      </w:pPr>
      <w:r w:rsidRPr="0099685F">
        <w:rPr>
          <w:noProof/>
        </w:rPr>
        <w:t>Having regard to Council Regulation (EC) No 2012/2002 of 11 November 2002 establishing the European Union Solidarity Fund</w:t>
      </w:r>
      <w:r w:rsidR="00087274">
        <w:rPr>
          <w:rStyle w:val="FootnoteReference"/>
          <w:noProof/>
        </w:rPr>
        <w:footnoteReference w:id="13"/>
      </w:r>
      <w:r w:rsidR="002E6209">
        <w:rPr>
          <w:noProof/>
        </w:rPr>
        <w:t>,</w:t>
      </w:r>
      <w:r w:rsidRPr="0099685F">
        <w:rPr>
          <w:noProof/>
        </w:rPr>
        <w:t xml:space="preserve"> and in particular Article 4(3) thereof,</w:t>
      </w:r>
    </w:p>
    <w:p w:rsidR="00087274" w:rsidRDefault="00087274" w:rsidP="0099685F">
      <w:pPr>
        <w:rPr>
          <w:noProof/>
        </w:rPr>
      </w:pPr>
      <w:r w:rsidRPr="00087274">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4"/>
      </w:r>
      <w:r w:rsidRPr="00087274">
        <w:rPr>
          <w:noProof/>
        </w:rPr>
        <w:t xml:space="preserve">, and in particular point </w:t>
      </w:r>
      <w:r w:rsidR="00C408A1">
        <w:rPr>
          <w:noProof/>
        </w:rPr>
        <w:t>(</w:t>
      </w:r>
      <w:r w:rsidRPr="00087274">
        <w:rPr>
          <w:noProof/>
        </w:rPr>
        <w:t>10</w:t>
      </w:r>
      <w:r w:rsidR="00C408A1">
        <w:rPr>
          <w:noProof/>
        </w:rPr>
        <w:t>)</w:t>
      </w:r>
      <w:r w:rsidRPr="00087274">
        <w:rPr>
          <w:noProof/>
        </w:rPr>
        <w:t xml:space="preserve"> thereof,</w:t>
      </w:r>
    </w:p>
    <w:p w:rsidR="0099685F" w:rsidRPr="0099685F" w:rsidRDefault="0099685F" w:rsidP="0099685F">
      <w:pPr>
        <w:rPr>
          <w:noProof/>
        </w:rPr>
      </w:pPr>
      <w:r w:rsidRPr="0099685F">
        <w:rPr>
          <w:noProof/>
        </w:rPr>
        <w:t>Having regard to the proposal from the European Commission,</w:t>
      </w:r>
    </w:p>
    <w:p w:rsidR="0099685F" w:rsidRPr="0099685F" w:rsidRDefault="0099685F" w:rsidP="0099685F">
      <w:pPr>
        <w:spacing w:after="360"/>
        <w:rPr>
          <w:noProof/>
        </w:rPr>
      </w:pPr>
      <w:r w:rsidRPr="0099685F">
        <w:rPr>
          <w:noProof/>
        </w:rPr>
        <w:t>Whereas:</w:t>
      </w:r>
    </w:p>
    <w:p w:rsidR="007208BC" w:rsidRDefault="007208BC" w:rsidP="00452920">
      <w:pPr>
        <w:pStyle w:val="ManualConsidrant"/>
        <w:rPr>
          <w:noProof/>
        </w:rPr>
      </w:pPr>
      <w:r>
        <w:rPr>
          <w:noProof/>
        </w:rPr>
        <w:t>(1)</w:t>
      </w:r>
      <w:r>
        <w:rPr>
          <w:noProof/>
        </w:rPr>
        <w:tab/>
        <w:t>The European Union Solidarity Fund ('the Fund') aims to enable the Union to respond in a rapid, efficient and flexible manner to emergency situations in order to show solidarity with the population of regions struck by major or regional natural disasters or major public health emergency.</w:t>
      </w:r>
    </w:p>
    <w:p w:rsidR="007208BC" w:rsidRDefault="007208BC" w:rsidP="007208BC">
      <w:pPr>
        <w:pStyle w:val="ManualConsidrant"/>
        <w:rPr>
          <w:noProof/>
        </w:rPr>
      </w:pPr>
      <w:r>
        <w:rPr>
          <w:noProof/>
        </w:rPr>
        <w:t>(2)</w:t>
      </w:r>
      <w:r>
        <w:rPr>
          <w:noProof/>
        </w:rPr>
        <w:tab/>
        <w:t>The Fund is not to exceed the ceilings laid down in Article 9 of Council Regulation (EU, Euratom) 2020/2093</w:t>
      </w:r>
      <w:r w:rsidR="00023469">
        <w:rPr>
          <w:rStyle w:val="FootnoteReference"/>
          <w:noProof/>
        </w:rPr>
        <w:footnoteReference w:id="15"/>
      </w:r>
      <w:r>
        <w:rPr>
          <w:noProof/>
        </w:rPr>
        <w:t>.</w:t>
      </w:r>
    </w:p>
    <w:p w:rsidR="007208BC" w:rsidRDefault="007208BC" w:rsidP="007208BC">
      <w:pPr>
        <w:pStyle w:val="ManualConsidrant"/>
        <w:rPr>
          <w:noProof/>
        </w:rPr>
      </w:pPr>
      <w:r>
        <w:rPr>
          <w:noProof/>
        </w:rPr>
        <w:t>(3)</w:t>
      </w:r>
      <w:r>
        <w:rPr>
          <w:noProof/>
        </w:rPr>
        <w:tab/>
        <w:t xml:space="preserve">On 14 August 2025, Romania submitted an application to mobilise the Fund following the floods </w:t>
      </w:r>
      <w:r w:rsidR="00EA5DE7">
        <w:rPr>
          <w:noProof/>
        </w:rPr>
        <w:t xml:space="preserve">at the end of </w:t>
      </w:r>
      <w:r w:rsidRPr="00A81E95">
        <w:rPr>
          <w:noProof/>
        </w:rPr>
        <w:t xml:space="preserve">May and </w:t>
      </w:r>
      <w:r w:rsidR="00EA5DE7" w:rsidRPr="00A81E95">
        <w:rPr>
          <w:noProof/>
        </w:rPr>
        <w:t xml:space="preserve">the beginning of </w:t>
      </w:r>
      <w:r w:rsidRPr="00A81E95">
        <w:rPr>
          <w:noProof/>
        </w:rPr>
        <w:t>June 2025.</w:t>
      </w:r>
    </w:p>
    <w:p w:rsidR="007208BC" w:rsidRDefault="007208BC" w:rsidP="007208BC">
      <w:pPr>
        <w:pStyle w:val="ManualConsidrant"/>
        <w:rPr>
          <w:noProof/>
        </w:rPr>
      </w:pPr>
      <w:r>
        <w:rPr>
          <w:noProof/>
        </w:rPr>
        <w:t>(4)</w:t>
      </w:r>
      <w:r>
        <w:rPr>
          <w:noProof/>
        </w:rPr>
        <w:tab/>
        <w:t>On 14 October 2025, Cyprus submitted an application to mobilise the Fund following the wildfires in July 2025.</w:t>
      </w:r>
    </w:p>
    <w:p w:rsidR="007208BC" w:rsidRDefault="007208BC" w:rsidP="007208BC">
      <w:pPr>
        <w:pStyle w:val="ManualConsidrant"/>
        <w:rPr>
          <w:noProof/>
        </w:rPr>
      </w:pPr>
      <w:r>
        <w:rPr>
          <w:noProof/>
        </w:rPr>
        <w:t>(5)</w:t>
      </w:r>
      <w:r>
        <w:rPr>
          <w:noProof/>
        </w:rPr>
        <w:tab/>
        <w:t>On 30 October 2025, Spain submitted an application to mobilise the Fund following the wildfires in August 2025.</w:t>
      </w:r>
    </w:p>
    <w:p w:rsidR="007208BC" w:rsidRDefault="007208BC" w:rsidP="007208BC">
      <w:pPr>
        <w:pStyle w:val="ManualConsidrant"/>
        <w:rPr>
          <w:noProof/>
        </w:rPr>
      </w:pPr>
      <w:r>
        <w:rPr>
          <w:noProof/>
        </w:rPr>
        <w:t>(6)</w:t>
      </w:r>
      <w:r>
        <w:rPr>
          <w:noProof/>
        </w:rPr>
        <w:tab/>
        <w:t>Those applications meet the conditions for providing a financial contribution from the Fund, as laid down in Article 4 of Regulation (EC)</w:t>
      </w:r>
      <w:r w:rsidR="00C408A1">
        <w:rPr>
          <w:noProof/>
        </w:rPr>
        <w:t xml:space="preserve"> No</w:t>
      </w:r>
      <w:r>
        <w:rPr>
          <w:noProof/>
        </w:rPr>
        <w:t xml:space="preserve"> 2012/2002.</w:t>
      </w:r>
    </w:p>
    <w:p w:rsidR="007208BC" w:rsidRDefault="007208BC" w:rsidP="007208BC">
      <w:pPr>
        <w:pStyle w:val="ManualConsidrant"/>
        <w:rPr>
          <w:noProof/>
        </w:rPr>
      </w:pPr>
      <w:r>
        <w:rPr>
          <w:noProof/>
        </w:rPr>
        <w:lastRenderedPageBreak/>
        <w:t>(7)</w:t>
      </w:r>
      <w:r>
        <w:rPr>
          <w:noProof/>
        </w:rPr>
        <w:tab/>
        <w:t>The Fund should therefore be mobilised to provide a financial contribution to Romania, Cyprus and Spain.</w:t>
      </w:r>
    </w:p>
    <w:p w:rsidR="0087132A" w:rsidRDefault="001B1A99" w:rsidP="001B1A99">
      <w:pPr>
        <w:pStyle w:val="ManualConsidrant"/>
        <w:rPr>
          <w:noProof/>
        </w:rPr>
      </w:pPr>
      <w:r>
        <w:rPr>
          <w:noProof/>
        </w:rPr>
        <w:t>(8)</w:t>
      </w:r>
      <w:r>
        <w:rPr>
          <w:noProof/>
        </w:rPr>
        <w:tab/>
      </w:r>
      <w:bookmarkStart w:id="7" w:name="_Hlk228958840"/>
      <w:r w:rsidRPr="001B1A99">
        <w:rPr>
          <w:noProof/>
          <w:lang w:val="et-EE"/>
        </w:rPr>
        <w:t xml:space="preserve">In order to ensure that the Union financial assistance can be made available as rapidly as possible to the Member States affected and to avoid any delay in the mobilisation of the European Union Solidarity Fund, this Decision should enter into force as a matter of urgency on the day of its publication in the </w:t>
      </w:r>
      <w:r w:rsidRPr="001B1A99">
        <w:rPr>
          <w:i/>
          <w:iCs/>
          <w:noProof/>
          <w:lang w:val="et-EE"/>
        </w:rPr>
        <w:t>Official Journal of the European Union</w:t>
      </w:r>
      <w:r w:rsidRPr="001B1A99">
        <w:rPr>
          <w:noProof/>
          <w:lang w:val="et-EE"/>
        </w:rPr>
        <w:t xml:space="preserve"> and </w:t>
      </w:r>
      <w:r w:rsidR="007208BC">
        <w:rPr>
          <w:noProof/>
        </w:rPr>
        <w:t>should apply from the date of its adoption</w:t>
      </w:r>
      <w:r w:rsidR="0087132A">
        <w:rPr>
          <w:noProof/>
        </w:rPr>
        <w:t>,</w:t>
      </w:r>
    </w:p>
    <w:bookmarkEnd w:id="7"/>
    <w:p w:rsidR="0099685F" w:rsidRPr="0099685F" w:rsidRDefault="0099685F" w:rsidP="00AE3367">
      <w:pPr>
        <w:pStyle w:val="Formuledadoption"/>
        <w:rPr>
          <w:noProof/>
        </w:rPr>
      </w:pPr>
      <w:r w:rsidRPr="0099685F">
        <w:rPr>
          <w:noProof/>
        </w:rPr>
        <w:t>HAVE ADOPTED THIS DECISION:</w:t>
      </w:r>
    </w:p>
    <w:p w:rsidR="0099685F" w:rsidRPr="0099685F" w:rsidRDefault="0099685F" w:rsidP="00AE3367">
      <w:pPr>
        <w:pStyle w:val="Titrearticle"/>
        <w:rPr>
          <w:noProof/>
        </w:rPr>
      </w:pPr>
      <w:r w:rsidRPr="0099685F">
        <w:rPr>
          <w:noProof/>
        </w:rPr>
        <w:t>Article 1</w:t>
      </w:r>
    </w:p>
    <w:p w:rsidR="0099685F" w:rsidRPr="0099685F" w:rsidRDefault="0099685F" w:rsidP="0099685F">
      <w:pPr>
        <w:rPr>
          <w:noProof/>
          <w:szCs w:val="24"/>
        </w:rPr>
      </w:pPr>
      <w:r w:rsidRPr="0099685F">
        <w:rPr>
          <w:noProof/>
          <w:szCs w:val="24"/>
        </w:rPr>
        <w:t>For the general budget of the Union, the European Union Solidarity Fund shall be mobilised as follows in commitment and payment appropriations in relation to natural disasters:</w:t>
      </w:r>
    </w:p>
    <w:p w:rsidR="007208BC" w:rsidRDefault="007208BC" w:rsidP="007208BC">
      <w:pPr>
        <w:pStyle w:val="Point1"/>
        <w:rPr>
          <w:noProof/>
        </w:rPr>
      </w:pPr>
      <w:r>
        <w:rPr>
          <w:noProof/>
        </w:rPr>
        <w:t>(a)</w:t>
      </w:r>
      <w:r>
        <w:rPr>
          <w:noProof/>
        </w:rPr>
        <w:tab/>
        <w:t xml:space="preserve">the amount of EUR 14 </w:t>
      </w:r>
      <w:r w:rsidRPr="00A81E95">
        <w:rPr>
          <w:noProof/>
        </w:rPr>
        <w:t>3</w:t>
      </w:r>
      <w:r w:rsidR="001172C3" w:rsidRPr="00A81E95">
        <w:rPr>
          <w:noProof/>
        </w:rPr>
        <w:t>3</w:t>
      </w:r>
      <w:r w:rsidRPr="00A81E95">
        <w:rPr>
          <w:noProof/>
        </w:rPr>
        <w:t>9 675 shall be provided to Romania following</w:t>
      </w:r>
      <w:r w:rsidR="00EA5DE7" w:rsidRPr="00A81E95">
        <w:rPr>
          <w:noProof/>
        </w:rPr>
        <w:t xml:space="preserve"> </w:t>
      </w:r>
      <w:r w:rsidRPr="00A81E95">
        <w:rPr>
          <w:noProof/>
        </w:rPr>
        <w:t xml:space="preserve">the floods </w:t>
      </w:r>
      <w:r w:rsidR="00EA5DE7" w:rsidRPr="00A81E95">
        <w:rPr>
          <w:noProof/>
        </w:rPr>
        <w:t xml:space="preserve">at the end of </w:t>
      </w:r>
      <w:r w:rsidRPr="00A81E95">
        <w:rPr>
          <w:noProof/>
        </w:rPr>
        <w:t xml:space="preserve">May and </w:t>
      </w:r>
      <w:r w:rsidR="00EA5DE7" w:rsidRPr="00A81E95">
        <w:rPr>
          <w:noProof/>
        </w:rPr>
        <w:t xml:space="preserve">the beginning of </w:t>
      </w:r>
      <w:r w:rsidRPr="00A81E95">
        <w:rPr>
          <w:noProof/>
        </w:rPr>
        <w:t>June 2025;</w:t>
      </w:r>
    </w:p>
    <w:p w:rsidR="007208BC" w:rsidRDefault="007208BC" w:rsidP="007208BC">
      <w:pPr>
        <w:pStyle w:val="Point1"/>
        <w:rPr>
          <w:noProof/>
        </w:rPr>
      </w:pPr>
      <w:r>
        <w:rPr>
          <w:noProof/>
        </w:rPr>
        <w:t>(b)</w:t>
      </w:r>
      <w:r>
        <w:rPr>
          <w:noProof/>
        </w:rPr>
        <w:tab/>
        <w:t>the amount of EUR 9 209 22</w:t>
      </w:r>
      <w:r w:rsidR="001172C3">
        <w:rPr>
          <w:noProof/>
        </w:rPr>
        <w:t>3</w:t>
      </w:r>
      <w:r>
        <w:rPr>
          <w:noProof/>
        </w:rPr>
        <w:t xml:space="preserve"> shall be provided to Cyprus following the wildfires in July 2025;</w:t>
      </w:r>
    </w:p>
    <w:p w:rsidR="007208BC" w:rsidRDefault="007208BC" w:rsidP="007208BC">
      <w:pPr>
        <w:pStyle w:val="Point1"/>
        <w:rPr>
          <w:noProof/>
        </w:rPr>
      </w:pPr>
      <w:r>
        <w:rPr>
          <w:noProof/>
        </w:rPr>
        <w:t>(c)</w:t>
      </w:r>
      <w:r>
        <w:rPr>
          <w:noProof/>
        </w:rPr>
        <w:tab/>
        <w:t xml:space="preserve">the amount of EUR 120 </w:t>
      </w:r>
      <w:r w:rsidR="001172C3">
        <w:rPr>
          <w:noProof/>
        </w:rPr>
        <w:t>550</w:t>
      </w:r>
      <w:r>
        <w:rPr>
          <w:noProof/>
        </w:rPr>
        <w:t xml:space="preserve"> </w:t>
      </w:r>
      <w:r w:rsidRPr="009E62E0">
        <w:rPr>
          <w:noProof/>
        </w:rPr>
        <w:t>858</w:t>
      </w:r>
      <w:r>
        <w:rPr>
          <w:noProof/>
        </w:rPr>
        <w:t> shall be provided to Spain following the wildfires in August 2025.</w:t>
      </w:r>
    </w:p>
    <w:p w:rsidR="0099685F" w:rsidRPr="00AE3367" w:rsidRDefault="0099685F" w:rsidP="00107149">
      <w:pPr>
        <w:pStyle w:val="Titrearticle"/>
        <w:rPr>
          <w:noProof/>
        </w:rPr>
      </w:pPr>
      <w:r w:rsidRPr="0099685F">
        <w:rPr>
          <w:noProof/>
        </w:rPr>
        <w:t>Article 2</w:t>
      </w:r>
    </w:p>
    <w:p w:rsidR="0099685F" w:rsidRPr="0099685F" w:rsidRDefault="0099685F" w:rsidP="0099685F">
      <w:pPr>
        <w:rPr>
          <w:noProof/>
        </w:rPr>
      </w:pPr>
      <w:r w:rsidRPr="0099685F">
        <w:rPr>
          <w:noProof/>
        </w:rPr>
        <w:t xml:space="preserve">This Decision shall enter into force on the day of its publication in the </w:t>
      </w:r>
      <w:r w:rsidRPr="0099685F">
        <w:rPr>
          <w:i/>
          <w:noProof/>
        </w:rPr>
        <w:t>Official Journal of the European Union</w:t>
      </w:r>
      <w:r w:rsidRPr="0099685F">
        <w:rPr>
          <w:noProof/>
        </w:rPr>
        <w:t>.</w:t>
      </w:r>
    </w:p>
    <w:p w:rsidR="0099685F" w:rsidRDefault="0099685F" w:rsidP="00095A09">
      <w:pPr>
        <w:keepNext/>
        <w:keepLines/>
        <w:rPr>
          <w:i/>
          <w:noProof/>
        </w:rPr>
      </w:pPr>
      <w:r w:rsidRPr="0099685F">
        <w:rPr>
          <w:noProof/>
        </w:rPr>
        <w:t>It shall apply from  [</w:t>
      </w:r>
      <w:r w:rsidRPr="0099685F">
        <w:rPr>
          <w:i/>
          <w:noProof/>
        </w:rPr>
        <w:t>the date of its adoption</w:t>
      </w:r>
      <w:r w:rsidRPr="0099685F">
        <w:rPr>
          <w:noProof/>
        </w:rPr>
        <w:t>]</w:t>
      </w:r>
      <w:r w:rsidRPr="0099685F">
        <w:rPr>
          <w:i/>
          <w:noProof/>
        </w:rPr>
        <w:t>.</w:t>
      </w:r>
    </w:p>
    <w:p w:rsidR="00EE5EB2" w:rsidRPr="0099685F" w:rsidRDefault="00EE5EB2" w:rsidP="00095A09">
      <w:pPr>
        <w:keepNext/>
        <w:keepLines/>
        <w:rPr>
          <w:i/>
          <w:noProof/>
        </w:rPr>
      </w:pPr>
    </w:p>
    <w:p w:rsidR="0099685F" w:rsidRPr="0099685F" w:rsidRDefault="00C82BBC" w:rsidP="00E14ECE">
      <w:pPr>
        <w:pStyle w:val="Fait"/>
        <w:rPr>
          <w:noProof/>
        </w:rPr>
      </w:pPr>
      <w:r>
        <w:rPr>
          <w:noProof/>
        </w:rPr>
        <w:t>Done at Brussels,</w:t>
      </w:r>
    </w:p>
    <w:p w:rsidR="0099685F" w:rsidRDefault="0099685F" w:rsidP="00E14ECE">
      <w:pPr>
        <w:pStyle w:val="Institutionquisigne"/>
        <w:jc w:val="left"/>
        <w:rPr>
          <w:noProof/>
        </w:rPr>
      </w:pPr>
      <w:r w:rsidRPr="0099685F">
        <w:rPr>
          <w:noProof/>
        </w:rPr>
        <w:t>For the European Parliament</w:t>
      </w:r>
      <w:r w:rsidRPr="0099685F">
        <w:rPr>
          <w:noProof/>
        </w:rPr>
        <w:tab/>
        <w:t>For the Council</w:t>
      </w:r>
    </w:p>
    <w:p w:rsidR="0099685F" w:rsidRPr="0099685F" w:rsidRDefault="008A664A" w:rsidP="00AE3367">
      <w:pPr>
        <w:pStyle w:val="Institutionquisigne"/>
        <w:rPr>
          <w:noProof/>
        </w:rPr>
      </w:pPr>
      <w:r>
        <w:rPr>
          <w:noProof/>
        </w:rPr>
        <w:t>The President</w:t>
      </w:r>
      <w:r>
        <w:rPr>
          <w:noProof/>
        </w:rPr>
        <w:tab/>
      </w:r>
      <w:r>
        <w:rPr>
          <w:noProof/>
        </w:rPr>
        <w:tab/>
        <w:t>The President</w:t>
      </w:r>
    </w:p>
    <w:sectPr w:rsidR="0099685F" w:rsidRPr="0099685F" w:rsidSect="00B14417">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658" w:rsidRDefault="00392658">
      <w:pPr>
        <w:spacing w:before="0" w:after="0"/>
      </w:pPr>
      <w:r>
        <w:separator/>
      </w:r>
    </w:p>
  </w:endnote>
  <w:endnote w:type="continuationSeparator" w:id="0">
    <w:p w:rsidR="00392658" w:rsidRDefault="00392658">
      <w:pPr>
        <w:spacing w:before="0" w:after="0"/>
      </w:pPr>
      <w:r>
        <w:continuationSeparator/>
      </w:r>
    </w:p>
  </w:endnote>
  <w:endnote w:type="continuationNotice" w:id="1">
    <w:p w:rsidR="00392658" w:rsidRDefault="003926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Pr="00B14417" w:rsidRDefault="00B14417" w:rsidP="00B14417">
    <w:pPr>
      <w:pStyle w:val="Footer"/>
      <w:rPr>
        <w:rFonts w:ascii="Arial" w:hAnsi="Arial" w:cs="Arial"/>
        <w:b/>
        <w:sz w:val="48"/>
      </w:rPr>
    </w:pPr>
    <w:r w:rsidRPr="00B14417">
      <w:rPr>
        <w:rFonts w:ascii="Arial" w:hAnsi="Arial" w:cs="Arial"/>
        <w:b/>
        <w:sz w:val="48"/>
      </w:rPr>
      <w:t>EN</w:t>
    </w:r>
    <w:r w:rsidRPr="00B14417">
      <w:rPr>
        <w:rFonts w:ascii="Arial" w:hAnsi="Arial" w:cs="Arial"/>
        <w:b/>
        <w:sz w:val="48"/>
      </w:rPr>
      <w:tab/>
    </w:r>
    <w:r w:rsidRPr="00B14417">
      <w:rPr>
        <w:rFonts w:ascii="Arial" w:hAnsi="Arial" w:cs="Arial"/>
        <w:b/>
        <w:sz w:val="48"/>
      </w:rPr>
      <w:tab/>
    </w:r>
    <w:r w:rsidRPr="00B14417">
      <w:tab/>
    </w:r>
    <w:r w:rsidRPr="00B144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Pr="00B14417" w:rsidRDefault="00B14417" w:rsidP="00B14417">
    <w:pPr>
      <w:pStyle w:val="Footer"/>
      <w:rPr>
        <w:rFonts w:ascii="Arial" w:hAnsi="Arial" w:cs="Arial"/>
        <w:b/>
        <w:sz w:val="48"/>
      </w:rPr>
    </w:pPr>
    <w:r w:rsidRPr="00B14417">
      <w:rPr>
        <w:rFonts w:ascii="Arial" w:hAnsi="Arial" w:cs="Arial"/>
        <w:b/>
        <w:sz w:val="48"/>
      </w:rPr>
      <w:t>EN</w:t>
    </w:r>
    <w:r w:rsidRPr="00B14417">
      <w:rPr>
        <w:rFonts w:ascii="Arial" w:hAnsi="Arial" w:cs="Arial"/>
        <w:b/>
        <w:sz w:val="48"/>
      </w:rPr>
      <w:tab/>
    </w:r>
    <w:r w:rsidRPr="00B14417">
      <w:rPr>
        <w:rFonts w:ascii="Arial" w:hAnsi="Arial" w:cs="Arial"/>
        <w:b/>
        <w:sz w:val="48"/>
      </w:rPr>
      <w:tab/>
    </w:r>
    <w:r w:rsidRPr="00B14417">
      <w:tab/>
    </w:r>
    <w:r w:rsidRPr="00B144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Default="00B144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Pr="00B14417" w:rsidRDefault="00B14417" w:rsidP="00B14417">
    <w:pPr>
      <w:pStyle w:val="Footer"/>
      <w:rPr>
        <w:rFonts w:ascii="Arial" w:hAnsi="Arial" w:cs="Arial"/>
        <w:b/>
        <w:sz w:val="48"/>
      </w:rPr>
    </w:pPr>
    <w:r w:rsidRPr="00B14417">
      <w:rPr>
        <w:rFonts w:ascii="Arial" w:hAnsi="Arial" w:cs="Arial"/>
        <w:b/>
        <w:sz w:val="48"/>
      </w:rPr>
      <w:t>EN</w:t>
    </w:r>
    <w:r w:rsidRPr="00B14417">
      <w:rPr>
        <w:rFonts w:ascii="Arial" w:hAnsi="Arial" w:cs="Arial"/>
        <w:b/>
        <w:sz w:val="48"/>
      </w:rPr>
      <w:tab/>
    </w:r>
    <w:r>
      <w:fldChar w:fldCharType="begin"/>
    </w:r>
    <w:r>
      <w:instrText xml:space="preserve"> PAGE  \* MERGEFORMAT </w:instrText>
    </w:r>
    <w:r>
      <w:fldChar w:fldCharType="separate"/>
    </w:r>
    <w:r w:rsidR="00E14ECE">
      <w:rPr>
        <w:noProof/>
      </w:rPr>
      <w:t>9</w:t>
    </w:r>
    <w:r>
      <w:fldChar w:fldCharType="end"/>
    </w:r>
    <w:r>
      <w:tab/>
    </w:r>
    <w:r w:rsidRPr="00B14417">
      <w:tab/>
    </w:r>
    <w:r w:rsidRPr="00B1441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Default="00B14417" w:rsidP="00B14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658" w:rsidRDefault="00392658">
      <w:pPr>
        <w:spacing w:before="0" w:after="0"/>
      </w:pPr>
      <w:r>
        <w:separator/>
      </w:r>
    </w:p>
  </w:footnote>
  <w:footnote w:type="continuationSeparator" w:id="0">
    <w:p w:rsidR="00392658" w:rsidRDefault="00392658">
      <w:pPr>
        <w:spacing w:before="0" w:after="0"/>
      </w:pPr>
      <w:r>
        <w:continuationSeparator/>
      </w:r>
    </w:p>
  </w:footnote>
  <w:footnote w:type="continuationNotice" w:id="1">
    <w:p w:rsidR="00392658" w:rsidRDefault="00392658">
      <w:pPr>
        <w:spacing w:before="0" w:after="0"/>
      </w:pPr>
    </w:p>
  </w:footnote>
  <w:footnote w:id="2">
    <w:p w:rsidR="00D60206" w:rsidRPr="00D60206" w:rsidRDefault="00D60206">
      <w:pPr>
        <w:pStyle w:val="FootnoteText"/>
        <w:rPr>
          <w:lang w:val="en-US"/>
        </w:rPr>
      </w:pPr>
      <w:r>
        <w:rPr>
          <w:rStyle w:val="FootnoteReference"/>
        </w:rPr>
        <w:footnoteRef/>
      </w:r>
      <w:r w:rsidRPr="00D60206">
        <w:rPr>
          <w:lang w:val="en-US"/>
        </w:rPr>
        <w:tab/>
      </w:r>
      <w:r>
        <w:t>Council Regulation (EC) No 2012/2002 of 11 November 2002 establishing the European Union Solidarity Fund (OJ L 311, 14.11.2002, p. 3, ELI: http://data.europa.eu/eli/reg/2002/2012/oj).</w:t>
      </w:r>
    </w:p>
  </w:footnote>
  <w:footnote w:id="3">
    <w:p w:rsidR="00D60206" w:rsidRPr="00D60206" w:rsidRDefault="00D60206">
      <w:pPr>
        <w:pStyle w:val="FootnoteText"/>
        <w:rPr>
          <w:lang w:val="en-US"/>
        </w:rPr>
      </w:pPr>
      <w:r>
        <w:rPr>
          <w:rStyle w:val="FootnoteReference"/>
        </w:rPr>
        <w:footnoteRef/>
      </w:r>
      <w:r w:rsidRPr="00D60206">
        <w:rPr>
          <w:lang w:val="en-US"/>
        </w:rPr>
        <w:tab/>
      </w:r>
      <w:r>
        <w:t>The application was submitted in 2025 therefore the applicable threshold is the 2025 threshold.</w:t>
      </w:r>
    </w:p>
  </w:footnote>
  <w:footnote w:id="4">
    <w:p w:rsidR="007208BC" w:rsidRPr="00087274" w:rsidRDefault="007208BC">
      <w:pPr>
        <w:pStyle w:val="FootnoteText"/>
        <w:rPr>
          <w:lang w:val="en-US"/>
        </w:rPr>
      </w:pPr>
      <w:r>
        <w:rPr>
          <w:rStyle w:val="FootnoteReference"/>
        </w:rPr>
        <w:footnoteRef/>
      </w:r>
      <w:r w:rsidRPr="00087274">
        <w:rPr>
          <w:lang w:val="en-US"/>
        </w:rPr>
        <w:tab/>
      </w:r>
      <w:r w:rsidR="00087274">
        <w:t>The application was submitted in 2025 therefore the applicable threshold is the 2025 threshold.</w:t>
      </w:r>
    </w:p>
  </w:footnote>
  <w:footnote w:id="5">
    <w:p w:rsidR="007208BC" w:rsidRPr="00047080" w:rsidRDefault="007208BC">
      <w:pPr>
        <w:pStyle w:val="FootnoteText"/>
        <w:rPr>
          <w:lang w:val="en-US"/>
        </w:rPr>
      </w:pPr>
      <w:r>
        <w:rPr>
          <w:rStyle w:val="FootnoteReference"/>
        </w:rPr>
        <w:footnoteRef/>
      </w:r>
      <w:r w:rsidRPr="00047080">
        <w:rPr>
          <w:lang w:val="en-US"/>
        </w:rPr>
        <w:tab/>
      </w:r>
      <w:r w:rsidR="00047080">
        <w:t>The application was submitted in 2025 therefore the applicable threshold is the 2025 threshold.</w:t>
      </w:r>
    </w:p>
  </w:footnote>
  <w:footnote w:id="6">
    <w:p w:rsidR="007208BC" w:rsidRPr="00047080" w:rsidRDefault="007208BC">
      <w:pPr>
        <w:pStyle w:val="FootnoteText"/>
        <w:rPr>
          <w:lang w:val="en-US"/>
        </w:rPr>
      </w:pPr>
      <w:r>
        <w:rPr>
          <w:rStyle w:val="FootnoteReference"/>
        </w:rPr>
        <w:footnoteRef/>
      </w:r>
      <w:r w:rsidRPr="00047080">
        <w:rPr>
          <w:lang w:val="en-US"/>
        </w:rPr>
        <w:tab/>
      </w:r>
      <w:r w:rsidR="00047080">
        <w:t>OJ L 433I, 22.12.2020, p. 11, ELI: http://data.europa.eu/eli/reg/2020/2093/oj</w:t>
      </w:r>
      <w:r w:rsidR="00087274">
        <w:t>.</w:t>
      </w:r>
    </w:p>
  </w:footnote>
  <w:footnote w:id="7">
    <w:p w:rsidR="007208BC" w:rsidRPr="00815EE7" w:rsidRDefault="007208BC">
      <w:pPr>
        <w:pStyle w:val="FootnoteText"/>
        <w:rPr>
          <w:lang w:val="en-US"/>
        </w:rPr>
      </w:pPr>
      <w:r>
        <w:rPr>
          <w:rStyle w:val="FootnoteReference"/>
        </w:rPr>
        <w:footnoteRef/>
      </w:r>
      <w:r w:rsidRPr="00047080">
        <w:rPr>
          <w:lang w:val="en-US"/>
        </w:rPr>
        <w:tab/>
      </w:r>
      <w:r w:rsidR="00047080">
        <w:t>Council Regulation (EU, Euratom) 2024/765 of 29 February 2024 amending Regulation (EU, Euratom) 2020/2093 laying down the multiannual financial framework for the years 2021 to 2027. OJ C 433I, 22.12.2020, p. 28.</w:t>
      </w:r>
    </w:p>
  </w:footnote>
  <w:footnote w:id="8">
    <w:p w:rsidR="0011337C" w:rsidRPr="0011337C" w:rsidRDefault="0011337C">
      <w:pPr>
        <w:pStyle w:val="FootnoteText"/>
        <w:rPr>
          <w:lang w:val="en-IE"/>
        </w:rPr>
      </w:pPr>
      <w:r>
        <w:rPr>
          <w:rStyle w:val="FootnoteReference"/>
        </w:rPr>
        <w:footnoteRef/>
      </w:r>
      <w:r>
        <w:tab/>
      </w:r>
      <w:r w:rsidRPr="0011337C">
        <w:t>OJ C 433I, 22.12.2020, p. 28</w:t>
      </w:r>
    </w:p>
  </w:footnote>
  <w:footnote w:id="9">
    <w:p w:rsidR="008B2F57" w:rsidRPr="008B2F57" w:rsidRDefault="008B2F57">
      <w:pPr>
        <w:pStyle w:val="FootnoteText"/>
        <w:rPr>
          <w:lang w:val="en-IE"/>
        </w:rPr>
      </w:pPr>
      <w:r>
        <w:rPr>
          <w:rStyle w:val="FootnoteReference"/>
        </w:rPr>
        <w:footnoteRef/>
      </w:r>
      <w:r>
        <w:tab/>
      </w:r>
      <w:r w:rsidRPr="008B2F57">
        <w:t>The advance payment to Cyprus was made from the 2025 allocation on 29 December 2025.</w:t>
      </w:r>
    </w:p>
  </w:footnote>
  <w:footnote w:id="10">
    <w:p w:rsidR="00047080" w:rsidRPr="00047080" w:rsidRDefault="00047080">
      <w:pPr>
        <w:pStyle w:val="FootnoteText"/>
        <w:rPr>
          <w:lang w:val="en-US"/>
        </w:rPr>
      </w:pPr>
      <w:r>
        <w:rPr>
          <w:rStyle w:val="FootnoteReference"/>
        </w:rPr>
        <w:footnoteRef/>
      </w:r>
      <w:r w:rsidRPr="00047080">
        <w:rPr>
          <w:lang w:val="en-US"/>
        </w:rPr>
        <w:tab/>
      </w:r>
      <w:r w:rsidRPr="00047080">
        <w:t>In addition, EUR 97</w:t>
      </w:r>
      <w:r w:rsidR="004331C9">
        <w:t>6</w:t>
      </w:r>
      <w:r w:rsidRPr="00047080">
        <w:t xml:space="preserve"> million were carried over from 2025, already mobilised for Slovakia, Moldova, Bosnia and Herzegovina, Spain, and France in line with the </w:t>
      </w:r>
      <w:hyperlink r:id="rId1" w:tgtFrame="_blank" w:history="1">
        <w:r w:rsidRPr="00047080">
          <w:rPr>
            <w:rStyle w:val="Hyperlink"/>
          </w:rPr>
          <w:t>Decision (EU) 2025/1525</w:t>
        </w:r>
      </w:hyperlink>
      <w:r w:rsidRPr="00047080">
        <w:t xml:space="preserve"> and </w:t>
      </w:r>
      <w:hyperlink r:id="rId2" w:tgtFrame="_blank" w:tooltip="to EUR-Lex" w:history="1">
        <w:r w:rsidRPr="00047080">
          <w:rPr>
            <w:rStyle w:val="Hyperlink"/>
          </w:rPr>
          <w:t>Decision (EU) 2025/2403</w:t>
        </w:r>
      </w:hyperlink>
      <w:r w:rsidRPr="00047080">
        <w:t>. The corresponding payments will be made in the course of 2026. Payments to Slovakia, Spain and France are scheduled in the second quarter of 2026, and to Moldova and Bosnia and Herzegovina in December 2026.</w:t>
      </w:r>
    </w:p>
  </w:footnote>
  <w:footnote w:id="11">
    <w:p w:rsidR="00195C60" w:rsidRPr="005636D2" w:rsidRDefault="00195C60" w:rsidP="00195C60">
      <w:pPr>
        <w:pStyle w:val="FootnoteText"/>
        <w:rPr>
          <w:lang w:val="en-IE"/>
        </w:rPr>
      </w:pPr>
      <w:r>
        <w:rPr>
          <w:rStyle w:val="FootnoteReference"/>
        </w:rPr>
        <w:footnoteRef/>
      </w:r>
      <w:r>
        <w:tab/>
      </w:r>
      <w:r>
        <w:rPr>
          <w:lang w:val="en-IE"/>
        </w:rPr>
        <w:t xml:space="preserve">The EUR 70.85 million available for possible advances includes EUR 50 million inscribed in the General Budget 2026 for advances and EUR </w:t>
      </w:r>
      <w:r w:rsidRPr="00BD06D9">
        <w:rPr>
          <w:lang w:val="en-IE"/>
        </w:rPr>
        <w:t>20</w:t>
      </w:r>
      <w:r>
        <w:rPr>
          <w:lang w:val="en-IE"/>
        </w:rPr>
        <w:t>.</w:t>
      </w:r>
      <w:r w:rsidRPr="00BD06D9">
        <w:rPr>
          <w:lang w:val="en-IE"/>
        </w:rPr>
        <w:t>85</w:t>
      </w:r>
      <w:r>
        <w:rPr>
          <w:lang w:val="en-IE"/>
        </w:rPr>
        <w:t xml:space="preserve"> million of unused advances carried over from 2025 to 2026. Of this amount, an advance payment of EUR 30.14 million will be awarded to Spain</w:t>
      </w:r>
      <w:r w:rsidRPr="005F4257">
        <w:t xml:space="preserve"> </w:t>
      </w:r>
      <w:r>
        <w:t xml:space="preserve">by </w:t>
      </w:r>
      <w:r w:rsidRPr="005F4257">
        <w:rPr>
          <w:lang w:val="en-IE"/>
        </w:rPr>
        <w:t xml:space="preserve">the Commission Implementing Decision </w:t>
      </w:r>
      <w:r w:rsidRPr="00D47FE8">
        <w:rPr>
          <w:lang w:val="en-IE"/>
        </w:rPr>
        <w:t>under adoption.</w:t>
      </w:r>
    </w:p>
  </w:footnote>
  <w:footnote w:id="12">
    <w:p w:rsidR="00195C60" w:rsidRPr="00357C38" w:rsidRDefault="00195C60" w:rsidP="00195C60">
      <w:pPr>
        <w:pStyle w:val="FootnoteText"/>
        <w:rPr>
          <w:lang w:val="en-IE"/>
        </w:rPr>
      </w:pPr>
      <w:r>
        <w:rPr>
          <w:rStyle w:val="FootnoteReference"/>
        </w:rPr>
        <w:footnoteRef/>
      </w:r>
      <w:r>
        <w:tab/>
      </w:r>
      <w:r>
        <w:rPr>
          <w:lang w:val="en-IE"/>
        </w:rPr>
        <w:t>Includes EUR 30.14 million for Spain’s advance payment.</w:t>
      </w:r>
    </w:p>
  </w:footnote>
  <w:footnote w:id="13">
    <w:p w:rsidR="00087274" w:rsidRPr="00294293" w:rsidRDefault="00087274" w:rsidP="00646E3F">
      <w:pPr>
        <w:pStyle w:val="FootnoteText"/>
        <w:rPr>
          <w:lang w:val="es-ES"/>
        </w:rPr>
      </w:pPr>
      <w:r w:rsidRPr="00892F91">
        <w:rPr>
          <w:rStyle w:val="FootnoteReference"/>
        </w:rPr>
        <w:footnoteRef/>
      </w:r>
      <w:r w:rsidR="00892F91">
        <w:rPr>
          <w:lang w:val="es-ES"/>
        </w:rPr>
        <w:tab/>
      </w:r>
      <w:r w:rsidR="005C63E7" w:rsidRPr="00087274">
        <w:rPr>
          <w:lang w:val="es-ES"/>
        </w:rPr>
        <w:t>OJ L 311, 14.11.2002, p. 3, ELI: http://data.europa.eu/eli/reg/2002/2012/oj.</w:t>
      </w:r>
    </w:p>
  </w:footnote>
  <w:footnote w:id="14">
    <w:p w:rsidR="00087274" w:rsidRPr="00023469" w:rsidRDefault="00087274">
      <w:pPr>
        <w:pStyle w:val="FootnoteText"/>
        <w:rPr>
          <w:lang w:val="en-US"/>
        </w:rPr>
      </w:pPr>
      <w:r>
        <w:rPr>
          <w:rStyle w:val="FootnoteReference"/>
        </w:rPr>
        <w:footnoteRef/>
      </w:r>
      <w:r w:rsidRPr="00023469">
        <w:rPr>
          <w:lang w:val="en-US"/>
        </w:rPr>
        <w:tab/>
      </w:r>
      <w:r w:rsidR="00023469" w:rsidRPr="00023469">
        <w:rPr>
          <w:lang w:val="en-US"/>
        </w:rPr>
        <w:t>OJ L 433I, 22.12.2020, p. 28, ELI: http://data.europa.eu/eli/agree_interinstit/2020/1222/oj</w:t>
      </w:r>
      <w:r w:rsidR="00023469">
        <w:rPr>
          <w:lang w:val="en-US"/>
        </w:rPr>
        <w:t>.</w:t>
      </w:r>
    </w:p>
  </w:footnote>
  <w:footnote w:id="15">
    <w:p w:rsidR="00023469" w:rsidRPr="00023469" w:rsidRDefault="00023469">
      <w:pPr>
        <w:pStyle w:val="FootnoteText"/>
        <w:rPr>
          <w:lang w:val="en-US"/>
        </w:rPr>
      </w:pPr>
      <w:r>
        <w:rPr>
          <w:rStyle w:val="FootnoteReference"/>
        </w:rPr>
        <w:footnoteRef/>
      </w:r>
      <w:r w:rsidRPr="00023469">
        <w:rPr>
          <w:lang w:val="en-US"/>
        </w:rPr>
        <w:tab/>
        <w:t>Council Regulation (EU, Euratom) 2020/2093 of 17 December 2020 laying down the multiannual financial framework for the years 2021 to 2027 (OJ L 433I,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Default="00B14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17" w:rsidRDefault="00B14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6950838"/>
    <w:multiLevelType w:val="hybridMultilevel"/>
    <w:tmpl w:val="2372324C"/>
    <w:lvl w:ilvl="0" w:tplc="B476C474">
      <w:start w:val="1"/>
      <w:numFmt w:val="bullet"/>
      <w:lvlText w:val="o"/>
      <w:lvlJc w:val="left"/>
      <w:pPr>
        <w:ind w:left="927" w:hanging="360"/>
      </w:pPr>
      <w:rPr>
        <w:rFonts w:ascii="Courier New" w:hAnsi="Courier New" w:hint="default"/>
        <w:sz w:val="16"/>
        <w:szCs w:val="16"/>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3"/>
  </w:num>
  <w:num w:numId="29">
    <w:abstractNumId w:val="19"/>
  </w:num>
  <w:num w:numId="30">
    <w:abstractNumId w:val="12"/>
  </w:num>
  <w:num w:numId="31">
    <w:abstractNumId w:val="21"/>
  </w:num>
  <w:num w:numId="32">
    <w:abstractNumId w:val="11"/>
  </w:num>
  <w:num w:numId="33">
    <w:abstractNumId w:val="13"/>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2 08:30: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612BADF-69C8-474C-9945-EB6726EFE4C4"/>
    <w:docVar w:name="LW_COVERPAGE_TYPE" w:val="1"/>
    <w:docVar w:name="LW_CROSSREFERENCE" w:val="&lt;UNUSED&gt;"/>
    <w:docVar w:name="LW_DocType" w:val="COM"/>
    <w:docVar w:name="LW_EMISSION" w:val="18.5.2026"/>
    <w:docVar w:name="LW_EMISSION_ISODATE" w:val="2026-05-18"/>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120"/>
    <w:docVar w:name="LW_REF.II.NEW.CP_YEAR" w:val="2026"/>
    <w:docVar w:name="LW_REF.INST.NEW" w:val="COM"/>
    <w:docVar w:name="LW_REF.INST.NEW_ADOPTED" w:val="final"/>
    <w:docVar w:name="LW_REF.INST.NEW_TEXT" w:val="(2026) 10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Union Solidarity Fund to provide assistance to Romania regarding the floods at the end of May 2025, Cyprus following the wildfires in July 2025 and Spain following the wildfires in August 2025 "/>
    <w:docVar w:name="LW_TYPE.DOC.CP" w:val="DECISION OF THE EUROPEAN PARLIAMENT AND OF THE COUNCIL"/>
    <w:docVar w:name="LwApiVersions" w:val="LW4CoDe 1.24.5.0; LW 9.2, Build 20251112"/>
  </w:docVars>
  <w:rsids>
    <w:rsidRoot w:val="0070239B"/>
    <w:rsid w:val="0000064B"/>
    <w:rsid w:val="00000AB5"/>
    <w:rsid w:val="00007AE0"/>
    <w:rsid w:val="000110F9"/>
    <w:rsid w:val="00011A4E"/>
    <w:rsid w:val="00012873"/>
    <w:rsid w:val="00012AFF"/>
    <w:rsid w:val="00015426"/>
    <w:rsid w:val="000172FC"/>
    <w:rsid w:val="00017860"/>
    <w:rsid w:val="00017B6A"/>
    <w:rsid w:val="00023469"/>
    <w:rsid w:val="0002493C"/>
    <w:rsid w:val="00026AFC"/>
    <w:rsid w:val="00027391"/>
    <w:rsid w:val="00027E45"/>
    <w:rsid w:val="00033255"/>
    <w:rsid w:val="00034EEA"/>
    <w:rsid w:val="000435E4"/>
    <w:rsid w:val="00045F1C"/>
    <w:rsid w:val="00046502"/>
    <w:rsid w:val="00047080"/>
    <w:rsid w:val="0005016D"/>
    <w:rsid w:val="00051E37"/>
    <w:rsid w:val="000520FF"/>
    <w:rsid w:val="00052297"/>
    <w:rsid w:val="00052654"/>
    <w:rsid w:val="0005493C"/>
    <w:rsid w:val="00055E0E"/>
    <w:rsid w:val="000573AD"/>
    <w:rsid w:val="00065614"/>
    <w:rsid w:val="000656B1"/>
    <w:rsid w:val="000739F0"/>
    <w:rsid w:val="00076162"/>
    <w:rsid w:val="00082A70"/>
    <w:rsid w:val="00086DBF"/>
    <w:rsid w:val="00087274"/>
    <w:rsid w:val="00087680"/>
    <w:rsid w:val="0009086D"/>
    <w:rsid w:val="0009506A"/>
    <w:rsid w:val="000950B4"/>
    <w:rsid w:val="00095A09"/>
    <w:rsid w:val="00096192"/>
    <w:rsid w:val="000A3C97"/>
    <w:rsid w:val="000A404E"/>
    <w:rsid w:val="000B310F"/>
    <w:rsid w:val="000B57EF"/>
    <w:rsid w:val="000B7178"/>
    <w:rsid w:val="000B7D52"/>
    <w:rsid w:val="000C3381"/>
    <w:rsid w:val="000C3803"/>
    <w:rsid w:val="000C482C"/>
    <w:rsid w:val="000C4DC6"/>
    <w:rsid w:val="000C4F4E"/>
    <w:rsid w:val="000D3E5F"/>
    <w:rsid w:val="000E014C"/>
    <w:rsid w:val="000E0C0E"/>
    <w:rsid w:val="000E13DE"/>
    <w:rsid w:val="000E430B"/>
    <w:rsid w:val="000E526B"/>
    <w:rsid w:val="000E59D3"/>
    <w:rsid w:val="000F08C5"/>
    <w:rsid w:val="000F0D7A"/>
    <w:rsid w:val="000F0E98"/>
    <w:rsid w:val="000F1E25"/>
    <w:rsid w:val="000F3165"/>
    <w:rsid w:val="000F458A"/>
    <w:rsid w:val="00103798"/>
    <w:rsid w:val="00107149"/>
    <w:rsid w:val="00107A20"/>
    <w:rsid w:val="00112CDB"/>
    <w:rsid w:val="0011337C"/>
    <w:rsid w:val="00116A7E"/>
    <w:rsid w:val="001172C3"/>
    <w:rsid w:val="00121AA0"/>
    <w:rsid w:val="00124071"/>
    <w:rsid w:val="00125CA0"/>
    <w:rsid w:val="00126320"/>
    <w:rsid w:val="00127399"/>
    <w:rsid w:val="00133770"/>
    <w:rsid w:val="0013381C"/>
    <w:rsid w:val="00134307"/>
    <w:rsid w:val="0013591D"/>
    <w:rsid w:val="00136329"/>
    <w:rsid w:val="00137B2E"/>
    <w:rsid w:val="00140501"/>
    <w:rsid w:val="00141607"/>
    <w:rsid w:val="001435BF"/>
    <w:rsid w:val="001435E5"/>
    <w:rsid w:val="00143C6E"/>
    <w:rsid w:val="00146B3A"/>
    <w:rsid w:val="00147998"/>
    <w:rsid w:val="00147A4D"/>
    <w:rsid w:val="0015339D"/>
    <w:rsid w:val="00154EDC"/>
    <w:rsid w:val="00154F3A"/>
    <w:rsid w:val="00163EBE"/>
    <w:rsid w:val="00165AE4"/>
    <w:rsid w:val="001706FD"/>
    <w:rsid w:val="001744C8"/>
    <w:rsid w:val="00176035"/>
    <w:rsid w:val="00176376"/>
    <w:rsid w:val="00180FA1"/>
    <w:rsid w:val="001851CD"/>
    <w:rsid w:val="00187D99"/>
    <w:rsid w:val="0019296F"/>
    <w:rsid w:val="00195C60"/>
    <w:rsid w:val="001963EE"/>
    <w:rsid w:val="001A1D0E"/>
    <w:rsid w:val="001A3378"/>
    <w:rsid w:val="001A5BA0"/>
    <w:rsid w:val="001A70CB"/>
    <w:rsid w:val="001B10C8"/>
    <w:rsid w:val="001B1282"/>
    <w:rsid w:val="001B1A99"/>
    <w:rsid w:val="001B1D8E"/>
    <w:rsid w:val="001B25C1"/>
    <w:rsid w:val="001B2E37"/>
    <w:rsid w:val="001B34CF"/>
    <w:rsid w:val="001B3909"/>
    <w:rsid w:val="001B5723"/>
    <w:rsid w:val="001C1CED"/>
    <w:rsid w:val="001C1FE7"/>
    <w:rsid w:val="001C58DF"/>
    <w:rsid w:val="001D1903"/>
    <w:rsid w:val="001D245B"/>
    <w:rsid w:val="001D27EE"/>
    <w:rsid w:val="001D3F91"/>
    <w:rsid w:val="001D6C72"/>
    <w:rsid w:val="001E1BB4"/>
    <w:rsid w:val="001E1EF0"/>
    <w:rsid w:val="001E23E1"/>
    <w:rsid w:val="001E37F3"/>
    <w:rsid w:val="001E65AD"/>
    <w:rsid w:val="001F059C"/>
    <w:rsid w:val="001F2BBE"/>
    <w:rsid w:val="001F3A2F"/>
    <w:rsid w:val="001F6E1A"/>
    <w:rsid w:val="00200059"/>
    <w:rsid w:val="00201798"/>
    <w:rsid w:val="00202787"/>
    <w:rsid w:val="0020330F"/>
    <w:rsid w:val="00203F35"/>
    <w:rsid w:val="00203FB5"/>
    <w:rsid w:val="0020419A"/>
    <w:rsid w:val="00205470"/>
    <w:rsid w:val="00205C14"/>
    <w:rsid w:val="002066BB"/>
    <w:rsid w:val="00206B77"/>
    <w:rsid w:val="00212E8C"/>
    <w:rsid w:val="002165D5"/>
    <w:rsid w:val="00227374"/>
    <w:rsid w:val="00230142"/>
    <w:rsid w:val="00230E56"/>
    <w:rsid w:val="0023228B"/>
    <w:rsid w:val="002375DE"/>
    <w:rsid w:val="002410A6"/>
    <w:rsid w:val="002438C1"/>
    <w:rsid w:val="00245744"/>
    <w:rsid w:val="002469F9"/>
    <w:rsid w:val="00247851"/>
    <w:rsid w:val="00254CDC"/>
    <w:rsid w:val="002558C7"/>
    <w:rsid w:val="002673F6"/>
    <w:rsid w:val="00267527"/>
    <w:rsid w:val="00267BAB"/>
    <w:rsid w:val="002711C7"/>
    <w:rsid w:val="002734BE"/>
    <w:rsid w:val="0027390F"/>
    <w:rsid w:val="002803CB"/>
    <w:rsid w:val="00282546"/>
    <w:rsid w:val="0028334F"/>
    <w:rsid w:val="00283892"/>
    <w:rsid w:val="00283FD5"/>
    <w:rsid w:val="00286C82"/>
    <w:rsid w:val="00287A20"/>
    <w:rsid w:val="00290428"/>
    <w:rsid w:val="00290446"/>
    <w:rsid w:val="0029160D"/>
    <w:rsid w:val="00292E76"/>
    <w:rsid w:val="00292F3E"/>
    <w:rsid w:val="00294293"/>
    <w:rsid w:val="00294707"/>
    <w:rsid w:val="00294A03"/>
    <w:rsid w:val="00294DBC"/>
    <w:rsid w:val="00295308"/>
    <w:rsid w:val="00295A74"/>
    <w:rsid w:val="002A0CFF"/>
    <w:rsid w:val="002A5DD7"/>
    <w:rsid w:val="002A6C43"/>
    <w:rsid w:val="002B14C4"/>
    <w:rsid w:val="002B2195"/>
    <w:rsid w:val="002B6F8C"/>
    <w:rsid w:val="002B7B18"/>
    <w:rsid w:val="002C096B"/>
    <w:rsid w:val="002C16BB"/>
    <w:rsid w:val="002C327D"/>
    <w:rsid w:val="002C4014"/>
    <w:rsid w:val="002C5941"/>
    <w:rsid w:val="002C59E5"/>
    <w:rsid w:val="002C5E1B"/>
    <w:rsid w:val="002D0759"/>
    <w:rsid w:val="002D4A16"/>
    <w:rsid w:val="002D53FB"/>
    <w:rsid w:val="002D5C75"/>
    <w:rsid w:val="002D741F"/>
    <w:rsid w:val="002E0534"/>
    <w:rsid w:val="002E1111"/>
    <w:rsid w:val="002E2C7D"/>
    <w:rsid w:val="002E463F"/>
    <w:rsid w:val="002E6209"/>
    <w:rsid w:val="002E62DE"/>
    <w:rsid w:val="002F260F"/>
    <w:rsid w:val="002F26F9"/>
    <w:rsid w:val="002F613D"/>
    <w:rsid w:val="002F7424"/>
    <w:rsid w:val="00301AB5"/>
    <w:rsid w:val="00301B52"/>
    <w:rsid w:val="00302F78"/>
    <w:rsid w:val="00310490"/>
    <w:rsid w:val="003110C6"/>
    <w:rsid w:val="0031169A"/>
    <w:rsid w:val="00311AC3"/>
    <w:rsid w:val="0031389C"/>
    <w:rsid w:val="003138C6"/>
    <w:rsid w:val="00313FCB"/>
    <w:rsid w:val="00315A5E"/>
    <w:rsid w:val="00316270"/>
    <w:rsid w:val="00321BAD"/>
    <w:rsid w:val="00322CCD"/>
    <w:rsid w:val="00334480"/>
    <w:rsid w:val="0033581E"/>
    <w:rsid w:val="003361DF"/>
    <w:rsid w:val="003410EA"/>
    <w:rsid w:val="0034176B"/>
    <w:rsid w:val="00341D39"/>
    <w:rsid w:val="003434E6"/>
    <w:rsid w:val="003451F2"/>
    <w:rsid w:val="0034553F"/>
    <w:rsid w:val="00350927"/>
    <w:rsid w:val="00353555"/>
    <w:rsid w:val="00353F7F"/>
    <w:rsid w:val="00356947"/>
    <w:rsid w:val="00357279"/>
    <w:rsid w:val="00357AC5"/>
    <w:rsid w:val="00357C38"/>
    <w:rsid w:val="003625CE"/>
    <w:rsid w:val="00364001"/>
    <w:rsid w:val="003643FD"/>
    <w:rsid w:val="003665A0"/>
    <w:rsid w:val="003713BA"/>
    <w:rsid w:val="00374B90"/>
    <w:rsid w:val="00374BC9"/>
    <w:rsid w:val="0038076F"/>
    <w:rsid w:val="003815A3"/>
    <w:rsid w:val="0038192D"/>
    <w:rsid w:val="00382403"/>
    <w:rsid w:val="00383663"/>
    <w:rsid w:val="00383DAB"/>
    <w:rsid w:val="00384153"/>
    <w:rsid w:val="003844BE"/>
    <w:rsid w:val="00384737"/>
    <w:rsid w:val="003851E2"/>
    <w:rsid w:val="003864FE"/>
    <w:rsid w:val="00392658"/>
    <w:rsid w:val="003A1ECE"/>
    <w:rsid w:val="003A5207"/>
    <w:rsid w:val="003A6B5B"/>
    <w:rsid w:val="003A726D"/>
    <w:rsid w:val="003A7561"/>
    <w:rsid w:val="003A773D"/>
    <w:rsid w:val="003B2118"/>
    <w:rsid w:val="003B23BE"/>
    <w:rsid w:val="003B3505"/>
    <w:rsid w:val="003B450C"/>
    <w:rsid w:val="003B6D07"/>
    <w:rsid w:val="003B77A3"/>
    <w:rsid w:val="003C09E7"/>
    <w:rsid w:val="003C174A"/>
    <w:rsid w:val="003C1ADF"/>
    <w:rsid w:val="003C252E"/>
    <w:rsid w:val="003C6144"/>
    <w:rsid w:val="003D0D67"/>
    <w:rsid w:val="003D26E8"/>
    <w:rsid w:val="003D3DF9"/>
    <w:rsid w:val="003D526A"/>
    <w:rsid w:val="003D5D61"/>
    <w:rsid w:val="003E2E00"/>
    <w:rsid w:val="003E3F67"/>
    <w:rsid w:val="003E48D0"/>
    <w:rsid w:val="003E54AD"/>
    <w:rsid w:val="003E56F5"/>
    <w:rsid w:val="003E6649"/>
    <w:rsid w:val="003F075B"/>
    <w:rsid w:val="003F0945"/>
    <w:rsid w:val="003F21F5"/>
    <w:rsid w:val="003F5ED5"/>
    <w:rsid w:val="00400789"/>
    <w:rsid w:val="00401FF0"/>
    <w:rsid w:val="004026C7"/>
    <w:rsid w:val="00403A06"/>
    <w:rsid w:val="00404428"/>
    <w:rsid w:val="0040649C"/>
    <w:rsid w:val="00410F8A"/>
    <w:rsid w:val="00414EB0"/>
    <w:rsid w:val="00415C3B"/>
    <w:rsid w:val="00425FB2"/>
    <w:rsid w:val="00426897"/>
    <w:rsid w:val="00426ADE"/>
    <w:rsid w:val="004331C9"/>
    <w:rsid w:val="0043604F"/>
    <w:rsid w:val="00440906"/>
    <w:rsid w:val="00445711"/>
    <w:rsid w:val="00445814"/>
    <w:rsid w:val="0044590E"/>
    <w:rsid w:val="00452920"/>
    <w:rsid w:val="00452F79"/>
    <w:rsid w:val="004533B8"/>
    <w:rsid w:val="004541F2"/>
    <w:rsid w:val="00454FB7"/>
    <w:rsid w:val="0045501A"/>
    <w:rsid w:val="004553B2"/>
    <w:rsid w:val="00456614"/>
    <w:rsid w:val="00457554"/>
    <w:rsid w:val="00460105"/>
    <w:rsid w:val="00461A6F"/>
    <w:rsid w:val="00466CD8"/>
    <w:rsid w:val="004671B6"/>
    <w:rsid w:val="004703D7"/>
    <w:rsid w:val="00471790"/>
    <w:rsid w:val="0047261E"/>
    <w:rsid w:val="004764B5"/>
    <w:rsid w:val="004850DF"/>
    <w:rsid w:val="0048585D"/>
    <w:rsid w:val="004867A1"/>
    <w:rsid w:val="00486D9F"/>
    <w:rsid w:val="00486E50"/>
    <w:rsid w:val="00487EC8"/>
    <w:rsid w:val="004931DE"/>
    <w:rsid w:val="00493DAC"/>
    <w:rsid w:val="00493F9C"/>
    <w:rsid w:val="00495B60"/>
    <w:rsid w:val="004A2F26"/>
    <w:rsid w:val="004A3B12"/>
    <w:rsid w:val="004A6C03"/>
    <w:rsid w:val="004B0370"/>
    <w:rsid w:val="004B488B"/>
    <w:rsid w:val="004C0D6B"/>
    <w:rsid w:val="004C14AD"/>
    <w:rsid w:val="004C2966"/>
    <w:rsid w:val="004C4ED9"/>
    <w:rsid w:val="004E0CE0"/>
    <w:rsid w:val="004E14CA"/>
    <w:rsid w:val="004E1801"/>
    <w:rsid w:val="004E3115"/>
    <w:rsid w:val="004E624B"/>
    <w:rsid w:val="004E716A"/>
    <w:rsid w:val="004F0436"/>
    <w:rsid w:val="004F2DC7"/>
    <w:rsid w:val="004F3327"/>
    <w:rsid w:val="004F449E"/>
    <w:rsid w:val="004F6089"/>
    <w:rsid w:val="00500EB0"/>
    <w:rsid w:val="00501F4F"/>
    <w:rsid w:val="00503B86"/>
    <w:rsid w:val="00506BF2"/>
    <w:rsid w:val="0050715F"/>
    <w:rsid w:val="005077B8"/>
    <w:rsid w:val="005102F4"/>
    <w:rsid w:val="00511B62"/>
    <w:rsid w:val="00512102"/>
    <w:rsid w:val="00516A6B"/>
    <w:rsid w:val="00517F0E"/>
    <w:rsid w:val="00521D90"/>
    <w:rsid w:val="00523DA2"/>
    <w:rsid w:val="005258B8"/>
    <w:rsid w:val="0053198D"/>
    <w:rsid w:val="005333B7"/>
    <w:rsid w:val="00533A4D"/>
    <w:rsid w:val="00536B61"/>
    <w:rsid w:val="0054115F"/>
    <w:rsid w:val="0054140A"/>
    <w:rsid w:val="005414DF"/>
    <w:rsid w:val="00541A68"/>
    <w:rsid w:val="00543603"/>
    <w:rsid w:val="0054556E"/>
    <w:rsid w:val="0054760A"/>
    <w:rsid w:val="00552224"/>
    <w:rsid w:val="00553104"/>
    <w:rsid w:val="005539E3"/>
    <w:rsid w:val="00553C60"/>
    <w:rsid w:val="00553E62"/>
    <w:rsid w:val="0055449B"/>
    <w:rsid w:val="00554CC7"/>
    <w:rsid w:val="00554D75"/>
    <w:rsid w:val="005617AB"/>
    <w:rsid w:val="0056367A"/>
    <w:rsid w:val="005636D2"/>
    <w:rsid w:val="005647B3"/>
    <w:rsid w:val="00566385"/>
    <w:rsid w:val="005672B2"/>
    <w:rsid w:val="005819B4"/>
    <w:rsid w:val="0058246B"/>
    <w:rsid w:val="00582916"/>
    <w:rsid w:val="00585A74"/>
    <w:rsid w:val="005937AC"/>
    <w:rsid w:val="00594CE3"/>
    <w:rsid w:val="00597D48"/>
    <w:rsid w:val="005A2B4F"/>
    <w:rsid w:val="005A32CE"/>
    <w:rsid w:val="005A3EFA"/>
    <w:rsid w:val="005A7E4D"/>
    <w:rsid w:val="005B0125"/>
    <w:rsid w:val="005B7AA0"/>
    <w:rsid w:val="005C1A53"/>
    <w:rsid w:val="005C63E7"/>
    <w:rsid w:val="005C70E4"/>
    <w:rsid w:val="005D0049"/>
    <w:rsid w:val="005D05E7"/>
    <w:rsid w:val="005D2451"/>
    <w:rsid w:val="005D2466"/>
    <w:rsid w:val="005D3DE5"/>
    <w:rsid w:val="005D6FD4"/>
    <w:rsid w:val="005D6FFB"/>
    <w:rsid w:val="005E22CC"/>
    <w:rsid w:val="005E42B1"/>
    <w:rsid w:val="005E51A7"/>
    <w:rsid w:val="005E7B5F"/>
    <w:rsid w:val="005E7F6E"/>
    <w:rsid w:val="005F098E"/>
    <w:rsid w:val="005F1156"/>
    <w:rsid w:val="005F1FA6"/>
    <w:rsid w:val="005F4257"/>
    <w:rsid w:val="006004D3"/>
    <w:rsid w:val="00602B35"/>
    <w:rsid w:val="00610816"/>
    <w:rsid w:val="00612AE6"/>
    <w:rsid w:val="00614691"/>
    <w:rsid w:val="00617878"/>
    <w:rsid w:val="006178E5"/>
    <w:rsid w:val="00622DDF"/>
    <w:rsid w:val="0062392E"/>
    <w:rsid w:val="00623F16"/>
    <w:rsid w:val="00624EAA"/>
    <w:rsid w:val="0062792F"/>
    <w:rsid w:val="00631594"/>
    <w:rsid w:val="00631831"/>
    <w:rsid w:val="00631B47"/>
    <w:rsid w:val="00635107"/>
    <w:rsid w:val="00636494"/>
    <w:rsid w:val="00641F95"/>
    <w:rsid w:val="00644691"/>
    <w:rsid w:val="00646E3F"/>
    <w:rsid w:val="00647000"/>
    <w:rsid w:val="00647191"/>
    <w:rsid w:val="006505E0"/>
    <w:rsid w:val="0065113D"/>
    <w:rsid w:val="00653105"/>
    <w:rsid w:val="00653331"/>
    <w:rsid w:val="00654CE3"/>
    <w:rsid w:val="00661774"/>
    <w:rsid w:val="0066656E"/>
    <w:rsid w:val="006667AB"/>
    <w:rsid w:val="00666B4B"/>
    <w:rsid w:val="0066793F"/>
    <w:rsid w:val="00670EAC"/>
    <w:rsid w:val="00671571"/>
    <w:rsid w:val="0067286C"/>
    <w:rsid w:val="00672C38"/>
    <w:rsid w:val="00684AEB"/>
    <w:rsid w:val="00686C3A"/>
    <w:rsid w:val="00686E2A"/>
    <w:rsid w:val="00687BE9"/>
    <w:rsid w:val="0069004F"/>
    <w:rsid w:val="00691747"/>
    <w:rsid w:val="0069178F"/>
    <w:rsid w:val="00693654"/>
    <w:rsid w:val="006A1E87"/>
    <w:rsid w:val="006A2314"/>
    <w:rsid w:val="006A3050"/>
    <w:rsid w:val="006B0FBD"/>
    <w:rsid w:val="006B5855"/>
    <w:rsid w:val="006B6D05"/>
    <w:rsid w:val="006C00F4"/>
    <w:rsid w:val="006C580A"/>
    <w:rsid w:val="006D502F"/>
    <w:rsid w:val="006E04CE"/>
    <w:rsid w:val="006E12B4"/>
    <w:rsid w:val="006E2794"/>
    <w:rsid w:val="006E4418"/>
    <w:rsid w:val="006E79F1"/>
    <w:rsid w:val="006E7C58"/>
    <w:rsid w:val="006F2403"/>
    <w:rsid w:val="006F6FAC"/>
    <w:rsid w:val="007006BB"/>
    <w:rsid w:val="00701B6C"/>
    <w:rsid w:val="0070239B"/>
    <w:rsid w:val="00703F72"/>
    <w:rsid w:val="007043F4"/>
    <w:rsid w:val="007110A8"/>
    <w:rsid w:val="00712D6D"/>
    <w:rsid w:val="00713F6D"/>
    <w:rsid w:val="007208BC"/>
    <w:rsid w:val="00720BCC"/>
    <w:rsid w:val="007221BD"/>
    <w:rsid w:val="00722506"/>
    <w:rsid w:val="007234AA"/>
    <w:rsid w:val="00723CDB"/>
    <w:rsid w:val="00724561"/>
    <w:rsid w:val="00726D4D"/>
    <w:rsid w:val="00726D6C"/>
    <w:rsid w:val="0072719E"/>
    <w:rsid w:val="007322EF"/>
    <w:rsid w:val="0073281F"/>
    <w:rsid w:val="00736BF7"/>
    <w:rsid w:val="00737B80"/>
    <w:rsid w:val="00737FA0"/>
    <w:rsid w:val="0074215A"/>
    <w:rsid w:val="00742F4A"/>
    <w:rsid w:val="00744862"/>
    <w:rsid w:val="007469C2"/>
    <w:rsid w:val="007476F6"/>
    <w:rsid w:val="00752261"/>
    <w:rsid w:val="00752FE7"/>
    <w:rsid w:val="00756347"/>
    <w:rsid w:val="007569EC"/>
    <w:rsid w:val="00761CD0"/>
    <w:rsid w:val="00762E35"/>
    <w:rsid w:val="00762E36"/>
    <w:rsid w:val="00765760"/>
    <w:rsid w:val="00770D01"/>
    <w:rsid w:val="007723BD"/>
    <w:rsid w:val="00772F1A"/>
    <w:rsid w:val="007737CB"/>
    <w:rsid w:val="00776821"/>
    <w:rsid w:val="007777BB"/>
    <w:rsid w:val="00785EC9"/>
    <w:rsid w:val="007917D7"/>
    <w:rsid w:val="00793BC6"/>
    <w:rsid w:val="00794C2E"/>
    <w:rsid w:val="007953BE"/>
    <w:rsid w:val="007961AA"/>
    <w:rsid w:val="007A0D4B"/>
    <w:rsid w:val="007A230F"/>
    <w:rsid w:val="007A4BBB"/>
    <w:rsid w:val="007B4158"/>
    <w:rsid w:val="007C0180"/>
    <w:rsid w:val="007C68D1"/>
    <w:rsid w:val="007C7128"/>
    <w:rsid w:val="007D0D1A"/>
    <w:rsid w:val="007D14FF"/>
    <w:rsid w:val="007D2179"/>
    <w:rsid w:val="007D3246"/>
    <w:rsid w:val="007D59D0"/>
    <w:rsid w:val="007E0189"/>
    <w:rsid w:val="007E172C"/>
    <w:rsid w:val="007E17F6"/>
    <w:rsid w:val="007E3C0B"/>
    <w:rsid w:val="007E69AE"/>
    <w:rsid w:val="007F05C1"/>
    <w:rsid w:val="007F249D"/>
    <w:rsid w:val="007F347E"/>
    <w:rsid w:val="007F3A40"/>
    <w:rsid w:val="007F3F6D"/>
    <w:rsid w:val="007F6DFC"/>
    <w:rsid w:val="00800AF3"/>
    <w:rsid w:val="00801791"/>
    <w:rsid w:val="00803148"/>
    <w:rsid w:val="00803AFF"/>
    <w:rsid w:val="008104DF"/>
    <w:rsid w:val="00812DA5"/>
    <w:rsid w:val="00813194"/>
    <w:rsid w:val="00815EE7"/>
    <w:rsid w:val="00816F8B"/>
    <w:rsid w:val="008225F5"/>
    <w:rsid w:val="00830480"/>
    <w:rsid w:val="00831B36"/>
    <w:rsid w:val="00832C31"/>
    <w:rsid w:val="008330BE"/>
    <w:rsid w:val="00835863"/>
    <w:rsid w:val="00835D8C"/>
    <w:rsid w:val="00836F10"/>
    <w:rsid w:val="0084056F"/>
    <w:rsid w:val="008455E3"/>
    <w:rsid w:val="008476A4"/>
    <w:rsid w:val="00851D2E"/>
    <w:rsid w:val="00852EA1"/>
    <w:rsid w:val="00854B35"/>
    <w:rsid w:val="00855FEA"/>
    <w:rsid w:val="0085633A"/>
    <w:rsid w:val="0085668D"/>
    <w:rsid w:val="00861625"/>
    <w:rsid w:val="008616B0"/>
    <w:rsid w:val="00861C1F"/>
    <w:rsid w:val="00863617"/>
    <w:rsid w:val="008657E7"/>
    <w:rsid w:val="00865E73"/>
    <w:rsid w:val="0087132A"/>
    <w:rsid w:val="0088039D"/>
    <w:rsid w:val="008807BD"/>
    <w:rsid w:val="00882BB9"/>
    <w:rsid w:val="0088376D"/>
    <w:rsid w:val="0088418B"/>
    <w:rsid w:val="00884414"/>
    <w:rsid w:val="00884BCF"/>
    <w:rsid w:val="00885A3C"/>
    <w:rsid w:val="00886532"/>
    <w:rsid w:val="0088692D"/>
    <w:rsid w:val="00887B62"/>
    <w:rsid w:val="00891EA4"/>
    <w:rsid w:val="00892F91"/>
    <w:rsid w:val="0089303D"/>
    <w:rsid w:val="008935C9"/>
    <w:rsid w:val="00893A70"/>
    <w:rsid w:val="008A2C5F"/>
    <w:rsid w:val="008A5665"/>
    <w:rsid w:val="008A664A"/>
    <w:rsid w:val="008B0B35"/>
    <w:rsid w:val="008B2544"/>
    <w:rsid w:val="008B2752"/>
    <w:rsid w:val="008B2F57"/>
    <w:rsid w:val="008B5601"/>
    <w:rsid w:val="008B7C9B"/>
    <w:rsid w:val="008C0A54"/>
    <w:rsid w:val="008C20AB"/>
    <w:rsid w:val="008C21C8"/>
    <w:rsid w:val="008C471E"/>
    <w:rsid w:val="008C59E2"/>
    <w:rsid w:val="008C60D5"/>
    <w:rsid w:val="008D0313"/>
    <w:rsid w:val="008D123E"/>
    <w:rsid w:val="008D125C"/>
    <w:rsid w:val="008D63E3"/>
    <w:rsid w:val="008D7D23"/>
    <w:rsid w:val="008E1443"/>
    <w:rsid w:val="008E2437"/>
    <w:rsid w:val="008E2739"/>
    <w:rsid w:val="008E3AF6"/>
    <w:rsid w:val="008E5F47"/>
    <w:rsid w:val="008E67A3"/>
    <w:rsid w:val="008F013D"/>
    <w:rsid w:val="008F375A"/>
    <w:rsid w:val="008F65E2"/>
    <w:rsid w:val="008F7880"/>
    <w:rsid w:val="009004F1"/>
    <w:rsid w:val="009034D0"/>
    <w:rsid w:val="00904FBC"/>
    <w:rsid w:val="00907F47"/>
    <w:rsid w:val="0091110E"/>
    <w:rsid w:val="009114B5"/>
    <w:rsid w:val="00914797"/>
    <w:rsid w:val="0091587D"/>
    <w:rsid w:val="009212D5"/>
    <w:rsid w:val="00922E2E"/>
    <w:rsid w:val="0092529F"/>
    <w:rsid w:val="00925333"/>
    <w:rsid w:val="009326F4"/>
    <w:rsid w:val="0093461C"/>
    <w:rsid w:val="00934EE5"/>
    <w:rsid w:val="00935111"/>
    <w:rsid w:val="0094074E"/>
    <w:rsid w:val="00941D1D"/>
    <w:rsid w:val="00941E0F"/>
    <w:rsid w:val="009431C3"/>
    <w:rsid w:val="009442AF"/>
    <w:rsid w:val="00944EA9"/>
    <w:rsid w:val="00953741"/>
    <w:rsid w:val="00960C59"/>
    <w:rsid w:val="009627BE"/>
    <w:rsid w:val="00962B8F"/>
    <w:rsid w:val="00963AE6"/>
    <w:rsid w:val="0096453B"/>
    <w:rsid w:val="009659D3"/>
    <w:rsid w:val="00965E81"/>
    <w:rsid w:val="00971848"/>
    <w:rsid w:val="00971DF1"/>
    <w:rsid w:val="00975D86"/>
    <w:rsid w:val="009770AD"/>
    <w:rsid w:val="00977428"/>
    <w:rsid w:val="0098010B"/>
    <w:rsid w:val="009815CB"/>
    <w:rsid w:val="00983037"/>
    <w:rsid w:val="009917DC"/>
    <w:rsid w:val="00996531"/>
    <w:rsid w:val="0099685F"/>
    <w:rsid w:val="009A0AB2"/>
    <w:rsid w:val="009A6A08"/>
    <w:rsid w:val="009A7F69"/>
    <w:rsid w:val="009C0495"/>
    <w:rsid w:val="009C19AC"/>
    <w:rsid w:val="009C582F"/>
    <w:rsid w:val="009D0694"/>
    <w:rsid w:val="009D29BC"/>
    <w:rsid w:val="009D3C7C"/>
    <w:rsid w:val="009D5E6E"/>
    <w:rsid w:val="009D7895"/>
    <w:rsid w:val="009E278E"/>
    <w:rsid w:val="009E31B4"/>
    <w:rsid w:val="009E37B3"/>
    <w:rsid w:val="009E62E0"/>
    <w:rsid w:val="009E7BBB"/>
    <w:rsid w:val="009F016D"/>
    <w:rsid w:val="009F3F42"/>
    <w:rsid w:val="009F5008"/>
    <w:rsid w:val="009F6146"/>
    <w:rsid w:val="009F733E"/>
    <w:rsid w:val="00A00CB4"/>
    <w:rsid w:val="00A02EB1"/>
    <w:rsid w:val="00A03D3F"/>
    <w:rsid w:val="00A05679"/>
    <w:rsid w:val="00A0622B"/>
    <w:rsid w:val="00A06B12"/>
    <w:rsid w:val="00A11B9F"/>
    <w:rsid w:val="00A11BAF"/>
    <w:rsid w:val="00A176D2"/>
    <w:rsid w:val="00A201FB"/>
    <w:rsid w:val="00A23D73"/>
    <w:rsid w:val="00A23F9E"/>
    <w:rsid w:val="00A25530"/>
    <w:rsid w:val="00A27EEF"/>
    <w:rsid w:val="00A32EA0"/>
    <w:rsid w:val="00A365ED"/>
    <w:rsid w:val="00A36714"/>
    <w:rsid w:val="00A367CA"/>
    <w:rsid w:val="00A372F8"/>
    <w:rsid w:val="00A37CBB"/>
    <w:rsid w:val="00A4266C"/>
    <w:rsid w:val="00A42AF5"/>
    <w:rsid w:val="00A4571A"/>
    <w:rsid w:val="00A458EA"/>
    <w:rsid w:val="00A5083C"/>
    <w:rsid w:val="00A50C7A"/>
    <w:rsid w:val="00A523AD"/>
    <w:rsid w:val="00A54252"/>
    <w:rsid w:val="00A55263"/>
    <w:rsid w:val="00A65EE9"/>
    <w:rsid w:val="00A66247"/>
    <w:rsid w:val="00A70191"/>
    <w:rsid w:val="00A75499"/>
    <w:rsid w:val="00A77256"/>
    <w:rsid w:val="00A77D07"/>
    <w:rsid w:val="00A81E95"/>
    <w:rsid w:val="00A828A5"/>
    <w:rsid w:val="00A86EDE"/>
    <w:rsid w:val="00A93F08"/>
    <w:rsid w:val="00A94190"/>
    <w:rsid w:val="00A954C3"/>
    <w:rsid w:val="00A97B80"/>
    <w:rsid w:val="00AA2B5C"/>
    <w:rsid w:val="00AB0CE8"/>
    <w:rsid w:val="00AB1C4A"/>
    <w:rsid w:val="00AB3F81"/>
    <w:rsid w:val="00AB45A8"/>
    <w:rsid w:val="00AB579C"/>
    <w:rsid w:val="00AB7E50"/>
    <w:rsid w:val="00AC1009"/>
    <w:rsid w:val="00AC3402"/>
    <w:rsid w:val="00AC50D8"/>
    <w:rsid w:val="00AC550E"/>
    <w:rsid w:val="00AC638B"/>
    <w:rsid w:val="00AC72C7"/>
    <w:rsid w:val="00AD2A3E"/>
    <w:rsid w:val="00AD319B"/>
    <w:rsid w:val="00AD3DBB"/>
    <w:rsid w:val="00AD5784"/>
    <w:rsid w:val="00AD59D2"/>
    <w:rsid w:val="00AE2705"/>
    <w:rsid w:val="00AE3367"/>
    <w:rsid w:val="00AE4EAA"/>
    <w:rsid w:val="00AE5F52"/>
    <w:rsid w:val="00AE797B"/>
    <w:rsid w:val="00AE7A72"/>
    <w:rsid w:val="00AF05FA"/>
    <w:rsid w:val="00AF09EE"/>
    <w:rsid w:val="00AF327F"/>
    <w:rsid w:val="00AF697E"/>
    <w:rsid w:val="00AF6CAE"/>
    <w:rsid w:val="00B01D17"/>
    <w:rsid w:val="00B05056"/>
    <w:rsid w:val="00B052AD"/>
    <w:rsid w:val="00B05785"/>
    <w:rsid w:val="00B05CE3"/>
    <w:rsid w:val="00B067D1"/>
    <w:rsid w:val="00B1404E"/>
    <w:rsid w:val="00B14417"/>
    <w:rsid w:val="00B162E0"/>
    <w:rsid w:val="00B2456E"/>
    <w:rsid w:val="00B265E6"/>
    <w:rsid w:val="00B31BBA"/>
    <w:rsid w:val="00B334A8"/>
    <w:rsid w:val="00B34977"/>
    <w:rsid w:val="00B34ECF"/>
    <w:rsid w:val="00B35C19"/>
    <w:rsid w:val="00B42258"/>
    <w:rsid w:val="00B444BD"/>
    <w:rsid w:val="00B448CE"/>
    <w:rsid w:val="00B45631"/>
    <w:rsid w:val="00B462FE"/>
    <w:rsid w:val="00B4747A"/>
    <w:rsid w:val="00B47588"/>
    <w:rsid w:val="00B47672"/>
    <w:rsid w:val="00B55043"/>
    <w:rsid w:val="00B55DD1"/>
    <w:rsid w:val="00B65E26"/>
    <w:rsid w:val="00B66E09"/>
    <w:rsid w:val="00B71DBE"/>
    <w:rsid w:val="00B71E74"/>
    <w:rsid w:val="00B73C02"/>
    <w:rsid w:val="00B748D9"/>
    <w:rsid w:val="00B74D85"/>
    <w:rsid w:val="00B81959"/>
    <w:rsid w:val="00B82972"/>
    <w:rsid w:val="00B90FD1"/>
    <w:rsid w:val="00B91619"/>
    <w:rsid w:val="00B9332F"/>
    <w:rsid w:val="00B9789C"/>
    <w:rsid w:val="00BA0545"/>
    <w:rsid w:val="00BA08BF"/>
    <w:rsid w:val="00BA23DE"/>
    <w:rsid w:val="00BA393D"/>
    <w:rsid w:val="00BA4B27"/>
    <w:rsid w:val="00BA4D13"/>
    <w:rsid w:val="00BA7423"/>
    <w:rsid w:val="00BB3118"/>
    <w:rsid w:val="00BC0057"/>
    <w:rsid w:val="00BC3361"/>
    <w:rsid w:val="00BC5AB1"/>
    <w:rsid w:val="00BC5B24"/>
    <w:rsid w:val="00BC61FA"/>
    <w:rsid w:val="00BD06D9"/>
    <w:rsid w:val="00BD26CE"/>
    <w:rsid w:val="00BD3DA8"/>
    <w:rsid w:val="00BD465D"/>
    <w:rsid w:val="00BD5C5A"/>
    <w:rsid w:val="00BE2543"/>
    <w:rsid w:val="00BE5368"/>
    <w:rsid w:val="00BF04EA"/>
    <w:rsid w:val="00BF18B3"/>
    <w:rsid w:val="00BF3AB3"/>
    <w:rsid w:val="00BF3D43"/>
    <w:rsid w:val="00BF5ED1"/>
    <w:rsid w:val="00C0139B"/>
    <w:rsid w:val="00C0140F"/>
    <w:rsid w:val="00C031A1"/>
    <w:rsid w:val="00C057EC"/>
    <w:rsid w:val="00C06781"/>
    <w:rsid w:val="00C12043"/>
    <w:rsid w:val="00C138DF"/>
    <w:rsid w:val="00C165BB"/>
    <w:rsid w:val="00C20169"/>
    <w:rsid w:val="00C21425"/>
    <w:rsid w:val="00C25FC7"/>
    <w:rsid w:val="00C311F2"/>
    <w:rsid w:val="00C324AA"/>
    <w:rsid w:val="00C32AD3"/>
    <w:rsid w:val="00C32C8B"/>
    <w:rsid w:val="00C332F7"/>
    <w:rsid w:val="00C346FC"/>
    <w:rsid w:val="00C3619D"/>
    <w:rsid w:val="00C408A1"/>
    <w:rsid w:val="00C44914"/>
    <w:rsid w:val="00C462C4"/>
    <w:rsid w:val="00C47497"/>
    <w:rsid w:val="00C53325"/>
    <w:rsid w:val="00C54399"/>
    <w:rsid w:val="00C555FE"/>
    <w:rsid w:val="00C6236A"/>
    <w:rsid w:val="00C64166"/>
    <w:rsid w:val="00C643C7"/>
    <w:rsid w:val="00C70F85"/>
    <w:rsid w:val="00C7114D"/>
    <w:rsid w:val="00C725FB"/>
    <w:rsid w:val="00C7380F"/>
    <w:rsid w:val="00C73EC7"/>
    <w:rsid w:val="00C744B9"/>
    <w:rsid w:val="00C77DAD"/>
    <w:rsid w:val="00C827DC"/>
    <w:rsid w:val="00C82BBC"/>
    <w:rsid w:val="00C844C1"/>
    <w:rsid w:val="00C84631"/>
    <w:rsid w:val="00C84F17"/>
    <w:rsid w:val="00C918DA"/>
    <w:rsid w:val="00C92E4D"/>
    <w:rsid w:val="00CA3182"/>
    <w:rsid w:val="00CA440A"/>
    <w:rsid w:val="00CB5A66"/>
    <w:rsid w:val="00CB5D18"/>
    <w:rsid w:val="00CB663F"/>
    <w:rsid w:val="00CB71B9"/>
    <w:rsid w:val="00CC4A46"/>
    <w:rsid w:val="00CC50A7"/>
    <w:rsid w:val="00CC551B"/>
    <w:rsid w:val="00CD0689"/>
    <w:rsid w:val="00CD13EB"/>
    <w:rsid w:val="00CD2A95"/>
    <w:rsid w:val="00CD4729"/>
    <w:rsid w:val="00CD48D6"/>
    <w:rsid w:val="00CD5762"/>
    <w:rsid w:val="00CD5B0C"/>
    <w:rsid w:val="00CD688D"/>
    <w:rsid w:val="00CE00B8"/>
    <w:rsid w:val="00CE2455"/>
    <w:rsid w:val="00CF0CBA"/>
    <w:rsid w:val="00CF26F4"/>
    <w:rsid w:val="00CF48CD"/>
    <w:rsid w:val="00CF48CE"/>
    <w:rsid w:val="00CF6F1A"/>
    <w:rsid w:val="00CF796D"/>
    <w:rsid w:val="00D01350"/>
    <w:rsid w:val="00D01DC3"/>
    <w:rsid w:val="00D03D09"/>
    <w:rsid w:val="00D04441"/>
    <w:rsid w:val="00D04787"/>
    <w:rsid w:val="00D076DC"/>
    <w:rsid w:val="00D11250"/>
    <w:rsid w:val="00D124AB"/>
    <w:rsid w:val="00D1269E"/>
    <w:rsid w:val="00D16DAA"/>
    <w:rsid w:val="00D2140A"/>
    <w:rsid w:val="00D24523"/>
    <w:rsid w:val="00D247A5"/>
    <w:rsid w:val="00D257C4"/>
    <w:rsid w:val="00D25ADD"/>
    <w:rsid w:val="00D31823"/>
    <w:rsid w:val="00D36DD8"/>
    <w:rsid w:val="00D40074"/>
    <w:rsid w:val="00D40616"/>
    <w:rsid w:val="00D42606"/>
    <w:rsid w:val="00D43424"/>
    <w:rsid w:val="00D47EA2"/>
    <w:rsid w:val="00D47FE8"/>
    <w:rsid w:val="00D509B4"/>
    <w:rsid w:val="00D575A5"/>
    <w:rsid w:val="00D60206"/>
    <w:rsid w:val="00D646B9"/>
    <w:rsid w:val="00D6548D"/>
    <w:rsid w:val="00D67A4A"/>
    <w:rsid w:val="00D67B56"/>
    <w:rsid w:val="00D7293B"/>
    <w:rsid w:val="00D72A93"/>
    <w:rsid w:val="00D74610"/>
    <w:rsid w:val="00D74E6D"/>
    <w:rsid w:val="00D7542E"/>
    <w:rsid w:val="00D76626"/>
    <w:rsid w:val="00D779BE"/>
    <w:rsid w:val="00D83BC8"/>
    <w:rsid w:val="00D958DC"/>
    <w:rsid w:val="00D97427"/>
    <w:rsid w:val="00D97C22"/>
    <w:rsid w:val="00DA2128"/>
    <w:rsid w:val="00DA320C"/>
    <w:rsid w:val="00DA49CA"/>
    <w:rsid w:val="00DA4F64"/>
    <w:rsid w:val="00DA54C2"/>
    <w:rsid w:val="00DA750D"/>
    <w:rsid w:val="00DB0235"/>
    <w:rsid w:val="00DB2507"/>
    <w:rsid w:val="00DB6029"/>
    <w:rsid w:val="00DB796A"/>
    <w:rsid w:val="00DC1509"/>
    <w:rsid w:val="00DC2061"/>
    <w:rsid w:val="00DC5B59"/>
    <w:rsid w:val="00DC7112"/>
    <w:rsid w:val="00DC7419"/>
    <w:rsid w:val="00DD3837"/>
    <w:rsid w:val="00DD4EDC"/>
    <w:rsid w:val="00DD52AD"/>
    <w:rsid w:val="00DD62A6"/>
    <w:rsid w:val="00DD6641"/>
    <w:rsid w:val="00DE0F65"/>
    <w:rsid w:val="00DE4F58"/>
    <w:rsid w:val="00DF13A8"/>
    <w:rsid w:val="00DF1761"/>
    <w:rsid w:val="00DF2264"/>
    <w:rsid w:val="00DF3191"/>
    <w:rsid w:val="00E02388"/>
    <w:rsid w:val="00E05A53"/>
    <w:rsid w:val="00E07CEF"/>
    <w:rsid w:val="00E1233D"/>
    <w:rsid w:val="00E149CA"/>
    <w:rsid w:val="00E14ECE"/>
    <w:rsid w:val="00E15344"/>
    <w:rsid w:val="00E17600"/>
    <w:rsid w:val="00E21D4A"/>
    <w:rsid w:val="00E23242"/>
    <w:rsid w:val="00E253EB"/>
    <w:rsid w:val="00E268C5"/>
    <w:rsid w:val="00E30C06"/>
    <w:rsid w:val="00E3275E"/>
    <w:rsid w:val="00E34C3F"/>
    <w:rsid w:val="00E35BBA"/>
    <w:rsid w:val="00E362AA"/>
    <w:rsid w:val="00E41852"/>
    <w:rsid w:val="00E43777"/>
    <w:rsid w:val="00E43EB7"/>
    <w:rsid w:val="00E462C7"/>
    <w:rsid w:val="00E47771"/>
    <w:rsid w:val="00E50449"/>
    <w:rsid w:val="00E51D4E"/>
    <w:rsid w:val="00E52CBC"/>
    <w:rsid w:val="00E53721"/>
    <w:rsid w:val="00E55D43"/>
    <w:rsid w:val="00E563F6"/>
    <w:rsid w:val="00E57233"/>
    <w:rsid w:val="00E57555"/>
    <w:rsid w:val="00E6029C"/>
    <w:rsid w:val="00E60335"/>
    <w:rsid w:val="00E61B68"/>
    <w:rsid w:val="00E62D62"/>
    <w:rsid w:val="00E64508"/>
    <w:rsid w:val="00E66455"/>
    <w:rsid w:val="00E701C0"/>
    <w:rsid w:val="00E70CA9"/>
    <w:rsid w:val="00E74588"/>
    <w:rsid w:val="00E74DB0"/>
    <w:rsid w:val="00E76C2D"/>
    <w:rsid w:val="00E77A46"/>
    <w:rsid w:val="00E81696"/>
    <w:rsid w:val="00E819A9"/>
    <w:rsid w:val="00E81CCA"/>
    <w:rsid w:val="00E93351"/>
    <w:rsid w:val="00EA14B3"/>
    <w:rsid w:val="00EA1CC7"/>
    <w:rsid w:val="00EA2D3B"/>
    <w:rsid w:val="00EA4004"/>
    <w:rsid w:val="00EA4386"/>
    <w:rsid w:val="00EA4D6D"/>
    <w:rsid w:val="00EA5DE7"/>
    <w:rsid w:val="00EA5FC6"/>
    <w:rsid w:val="00EB16D7"/>
    <w:rsid w:val="00EB26C4"/>
    <w:rsid w:val="00EB43F5"/>
    <w:rsid w:val="00EB534C"/>
    <w:rsid w:val="00EB5F53"/>
    <w:rsid w:val="00EC4D5F"/>
    <w:rsid w:val="00EC709E"/>
    <w:rsid w:val="00EC7AE5"/>
    <w:rsid w:val="00ED1898"/>
    <w:rsid w:val="00ED2531"/>
    <w:rsid w:val="00ED5F88"/>
    <w:rsid w:val="00ED6D6F"/>
    <w:rsid w:val="00ED7DD9"/>
    <w:rsid w:val="00EE1449"/>
    <w:rsid w:val="00EE20E1"/>
    <w:rsid w:val="00EE3221"/>
    <w:rsid w:val="00EE5EB2"/>
    <w:rsid w:val="00EE68E4"/>
    <w:rsid w:val="00EF2884"/>
    <w:rsid w:val="00EF3244"/>
    <w:rsid w:val="00F00A47"/>
    <w:rsid w:val="00F0189B"/>
    <w:rsid w:val="00F02097"/>
    <w:rsid w:val="00F03988"/>
    <w:rsid w:val="00F03B5D"/>
    <w:rsid w:val="00F050CF"/>
    <w:rsid w:val="00F0565C"/>
    <w:rsid w:val="00F05926"/>
    <w:rsid w:val="00F05CE4"/>
    <w:rsid w:val="00F15935"/>
    <w:rsid w:val="00F17C5F"/>
    <w:rsid w:val="00F23E32"/>
    <w:rsid w:val="00F26A41"/>
    <w:rsid w:val="00F30683"/>
    <w:rsid w:val="00F30E6C"/>
    <w:rsid w:val="00F32176"/>
    <w:rsid w:val="00F32A41"/>
    <w:rsid w:val="00F350CF"/>
    <w:rsid w:val="00F3678C"/>
    <w:rsid w:val="00F36AC9"/>
    <w:rsid w:val="00F37476"/>
    <w:rsid w:val="00F400BA"/>
    <w:rsid w:val="00F4086C"/>
    <w:rsid w:val="00F4145A"/>
    <w:rsid w:val="00F41BCB"/>
    <w:rsid w:val="00F42B3E"/>
    <w:rsid w:val="00F4419D"/>
    <w:rsid w:val="00F47B70"/>
    <w:rsid w:val="00F506C5"/>
    <w:rsid w:val="00F5092F"/>
    <w:rsid w:val="00F51679"/>
    <w:rsid w:val="00F51AD8"/>
    <w:rsid w:val="00F52608"/>
    <w:rsid w:val="00F56F76"/>
    <w:rsid w:val="00F574DB"/>
    <w:rsid w:val="00F6226F"/>
    <w:rsid w:val="00F627BB"/>
    <w:rsid w:val="00F6419E"/>
    <w:rsid w:val="00F66317"/>
    <w:rsid w:val="00F70B6F"/>
    <w:rsid w:val="00F7123B"/>
    <w:rsid w:val="00F72191"/>
    <w:rsid w:val="00F749CF"/>
    <w:rsid w:val="00F76D09"/>
    <w:rsid w:val="00F80869"/>
    <w:rsid w:val="00F81BB7"/>
    <w:rsid w:val="00F840E2"/>
    <w:rsid w:val="00F87307"/>
    <w:rsid w:val="00F9014D"/>
    <w:rsid w:val="00F91DE4"/>
    <w:rsid w:val="00F92170"/>
    <w:rsid w:val="00F9222A"/>
    <w:rsid w:val="00F93382"/>
    <w:rsid w:val="00F96EFD"/>
    <w:rsid w:val="00FA0388"/>
    <w:rsid w:val="00FA2C56"/>
    <w:rsid w:val="00FA41AC"/>
    <w:rsid w:val="00FA45D0"/>
    <w:rsid w:val="00FA70F9"/>
    <w:rsid w:val="00FA7EEA"/>
    <w:rsid w:val="00FB0F2C"/>
    <w:rsid w:val="00FB12AB"/>
    <w:rsid w:val="00FB1B8D"/>
    <w:rsid w:val="00FB40EF"/>
    <w:rsid w:val="00FB48A3"/>
    <w:rsid w:val="00FB6E32"/>
    <w:rsid w:val="00FC16C4"/>
    <w:rsid w:val="00FC38F9"/>
    <w:rsid w:val="00FC4B94"/>
    <w:rsid w:val="00FC5801"/>
    <w:rsid w:val="00FC6DDC"/>
    <w:rsid w:val="00FC7722"/>
    <w:rsid w:val="00FC78BB"/>
    <w:rsid w:val="00FC7EA5"/>
    <w:rsid w:val="00FD11FB"/>
    <w:rsid w:val="00FD36A4"/>
    <w:rsid w:val="00FD43DB"/>
    <w:rsid w:val="00FD527F"/>
    <w:rsid w:val="00FD5E91"/>
    <w:rsid w:val="00FD74D6"/>
    <w:rsid w:val="00FD7D00"/>
    <w:rsid w:val="00FE23F7"/>
    <w:rsid w:val="00FE4EA0"/>
    <w:rsid w:val="00FE7371"/>
    <w:rsid w:val="00FF22A2"/>
    <w:rsid w:val="00FF4FFF"/>
    <w:rsid w:val="00FF50CC"/>
    <w:rsid w:val="00FF7516"/>
    <w:rsid w:val="00FF7DE4"/>
    <w:rsid w:val="13A273C7"/>
    <w:rsid w:val="1F5B3474"/>
    <w:rsid w:val="233B4F2D"/>
    <w:rsid w:val="268C9E71"/>
    <w:rsid w:val="2BF8151A"/>
    <w:rsid w:val="2CE4DDFD"/>
    <w:rsid w:val="2E90B587"/>
    <w:rsid w:val="30039970"/>
    <w:rsid w:val="378B1171"/>
    <w:rsid w:val="4C824D8F"/>
    <w:rsid w:val="514C0825"/>
    <w:rsid w:val="54E0F281"/>
    <w:rsid w:val="5ACD34EE"/>
    <w:rsid w:val="60C65327"/>
    <w:rsid w:val="6781A9C1"/>
    <w:rsid w:val="67E40CC7"/>
    <w:rsid w:val="6DAD0AC8"/>
    <w:rsid w:val="7FC0DC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A3E2585-78D2-475F-841D-729D6A26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rt-commentedtext">
    <w:name w:val="rt-commentedtext"/>
    <w:basedOn w:val="DefaultParagraphFont"/>
    <w:rsid w:val="0009086D"/>
  </w:style>
  <w:style w:type="paragraph" w:customStyle="1" w:styleId="BVIfnrCarCarCarCarCharCharCharChar">
    <w:name w:val="BVI fnr Car Car Car Car Char Char Char Char"/>
    <w:basedOn w:val="Normal"/>
    <w:link w:val="FootnoteReference"/>
    <w:rsid w:val="00F32176"/>
    <w:pPr>
      <w:spacing w:before="0" w:after="160" w:line="240" w:lineRule="exact"/>
      <w:jc w:val="left"/>
    </w:pPr>
    <w:rPr>
      <w:rFonts w:asciiTheme="minorHAnsi" w:hAnsiTheme="minorHAnsi" w:cstheme="minorBidi"/>
      <w:sz w:val="22"/>
      <w:vertAlign w:val="superscript"/>
      <w:lang w:val="en-US"/>
    </w:rPr>
  </w:style>
  <w:style w:type="paragraph" w:customStyle="1" w:styleId="ListNumber3Level2">
    <w:name w:val="List Number 3 (Level 2)"/>
    <w:basedOn w:val="Text3"/>
    <w:rsid w:val="00B05CE3"/>
    <w:pPr>
      <w:tabs>
        <w:tab w:val="num" w:pos="2268"/>
      </w:tabs>
      <w:ind w:left="2268" w:hanging="708"/>
    </w:pPr>
    <w:rPr>
      <w:rFonts w:eastAsia="Times New Roman"/>
      <w:lang w:eastAsia="de-DE"/>
    </w:rPr>
  </w:style>
  <w:style w:type="paragraph" w:customStyle="1" w:styleId="ListNumber3Level3">
    <w:name w:val="List Number 3 (Level 3)"/>
    <w:basedOn w:val="Text3"/>
    <w:rsid w:val="00B05CE3"/>
    <w:pPr>
      <w:tabs>
        <w:tab w:val="num" w:pos="2977"/>
      </w:tabs>
      <w:ind w:left="2977" w:hanging="709"/>
    </w:pPr>
    <w:rPr>
      <w:rFonts w:eastAsia="Times New Roman"/>
      <w:lang w:eastAsia="de-DE"/>
    </w:rPr>
  </w:style>
  <w:style w:type="paragraph" w:customStyle="1" w:styleId="ListNumber3Level4">
    <w:name w:val="List Number 3 (Level 4)"/>
    <w:basedOn w:val="Text3"/>
    <w:rsid w:val="00B05CE3"/>
    <w:pPr>
      <w:tabs>
        <w:tab w:val="num" w:pos="3686"/>
      </w:tabs>
      <w:ind w:left="3686" w:hanging="709"/>
    </w:pPr>
    <w:rPr>
      <w:rFonts w:eastAsia="Times New Roman"/>
      <w:lang w:eastAsia="de-DE"/>
    </w:rPr>
  </w:style>
  <w:style w:type="character" w:customStyle="1" w:styleId="UnresolvedMention">
    <w:name w:val="Unresolved Mention"/>
    <w:basedOn w:val="DefaultParagraphFont"/>
    <w:uiPriority w:val="99"/>
    <w:semiHidden/>
    <w:unhideWhenUsed/>
    <w:rsid w:val="006A3050"/>
    <w:rPr>
      <w:color w:val="605E5C"/>
      <w:shd w:val="clear" w:color="auto" w:fill="E1DFDD"/>
    </w:rPr>
  </w:style>
  <w:style w:type="character" w:customStyle="1" w:styleId="HeaderChar">
    <w:name w:val="Header Char"/>
    <w:basedOn w:val="DefaultParagraphFont"/>
    <w:link w:val="Header"/>
    <w:uiPriority w:val="99"/>
    <w:rsid w:val="00B14417"/>
    <w:rPr>
      <w:rFonts w:ascii="Times New Roman" w:hAnsi="Times New Roman" w:cs="Times New Roman"/>
      <w:sz w:val="24"/>
      <w:lang w:val="en-GB"/>
    </w:rPr>
  </w:style>
  <w:style w:type="character" w:customStyle="1" w:styleId="FooterChar">
    <w:name w:val="Footer Char"/>
    <w:basedOn w:val="DefaultParagraphFont"/>
    <w:link w:val="Footer"/>
    <w:uiPriority w:val="99"/>
    <w:rsid w:val="00B1441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rsid w:val="00B144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4417"/>
    <w:pPr>
      <w:spacing w:before="0"/>
      <w:jc w:val="right"/>
    </w:pPr>
    <w:rPr>
      <w:sz w:val="28"/>
    </w:rPr>
  </w:style>
  <w:style w:type="paragraph" w:customStyle="1" w:styleId="FooterSensitivity">
    <w:name w:val="Footer Sensitivity"/>
    <w:basedOn w:val="Normal"/>
    <w:rsid w:val="00B144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14417"/>
    <w:pPr>
      <w:tabs>
        <w:tab w:val="center" w:pos="4535"/>
        <w:tab w:val="right" w:pos="9071"/>
      </w:tabs>
      <w:spacing w:before="0"/>
    </w:pPr>
  </w:style>
  <w:style w:type="paragraph" w:customStyle="1" w:styleId="HeaderLandscape">
    <w:name w:val="HeaderLandscape"/>
    <w:basedOn w:val="Normal"/>
    <w:rsid w:val="00B14417"/>
    <w:pPr>
      <w:tabs>
        <w:tab w:val="center" w:pos="7285"/>
        <w:tab w:val="right" w:pos="14003"/>
      </w:tabs>
      <w:spacing w:before="0"/>
    </w:pPr>
  </w:style>
  <w:style w:type="paragraph" w:styleId="Footer">
    <w:name w:val="footer"/>
    <w:basedOn w:val="Normal"/>
    <w:link w:val="FooterChar"/>
    <w:uiPriority w:val="99"/>
    <w:unhideWhenUsed/>
    <w:rsid w:val="00B144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44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2403/oj" TargetMode="External"/><Relationship Id="rId1" Type="http://schemas.openxmlformats.org/officeDocument/2006/relationships/hyperlink" Target="http://data.europa.eu/eli/dec/2025/15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2.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DF5D4A-1E8D-48D1-A1A1-D0E8B3B37683}">
  <ds:schemaRefs>
    <ds:schemaRef ds:uri="http://purl.org/dc/elements/1.1/"/>
    <ds:schemaRef ds:uri="http://schemas.microsoft.com/office/2006/metadata/properties"/>
    <ds:schemaRef ds:uri="013aa35d-30e5-41d1-9a7b-1c862c539650"/>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ed3db0c3-9325-49a3-a314-b2835b638b83"/>
    <ds:schemaRef ds:uri="http://www.w3.org/XML/1998/namespace"/>
  </ds:schemaRefs>
</ds:datastoreItem>
</file>

<file path=customXml/itemProps4.xml><?xml version="1.0" encoding="utf-8"?>
<ds:datastoreItem xmlns:ds="http://schemas.openxmlformats.org/officeDocument/2006/customXml" ds:itemID="{542419A0-DF75-4C44-8F35-92EC0C86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10</Pages>
  <Words>3128</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20923</CharactersWithSpaces>
  <SharedDoc>false</SharedDoc>
  <HLinks>
    <vt:vector size="12" baseType="variant">
      <vt:variant>
        <vt:i4>7274617</vt:i4>
      </vt:variant>
      <vt:variant>
        <vt:i4>3</vt:i4>
      </vt:variant>
      <vt:variant>
        <vt:i4>0</vt:i4>
      </vt:variant>
      <vt:variant>
        <vt:i4>5</vt:i4>
      </vt:variant>
      <vt:variant>
        <vt:lpwstr>http://data.europa.eu/eli/dec/2025/2403/oj</vt:lpwstr>
      </vt:variant>
      <vt:variant>
        <vt:lpwstr/>
      </vt:variant>
      <vt:variant>
        <vt:i4>7209086</vt:i4>
      </vt:variant>
      <vt:variant>
        <vt:i4>0</vt:i4>
      </vt:variant>
      <vt:variant>
        <vt:i4>0</vt:i4>
      </vt:variant>
      <vt:variant>
        <vt:i4>5</vt:i4>
      </vt:variant>
      <vt:variant>
        <vt:lpwstr>http://data.europa.eu/eli/dec/2025/1525/oj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2026-04-25T08:01:00Z</cp:lastPrinted>
  <dcterms:created xsi:type="dcterms:W3CDTF">2026-05-08T12:19:00Z</dcterms:created>
  <dcterms:modified xsi:type="dcterms:W3CDTF">2026-05-12T06:30:00Z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