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39B" w:rsidRPr="003122E4" w:rsidRDefault="00F91A19" w:rsidP="00F91A1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420FBFC-A540-43D5-9EDF-087D43213CF0" style="width:455.25pt;height:371.25pt">
            <v:imagedata r:id="rId11" o:title=""/>
          </v:shape>
        </w:pict>
      </w:r>
    </w:p>
    <w:p w:rsidR="0070239B" w:rsidRPr="003122E4" w:rsidRDefault="0070239B">
      <w:pPr>
        <w:rPr>
          <w:noProof/>
        </w:rPr>
        <w:sectPr w:rsidR="0070239B" w:rsidRPr="003122E4" w:rsidSect="00F91A19">
          <w:footerReference w:type="even" r:id="rId12"/>
          <w:footerReference w:type="default" r:id="rId13"/>
          <w:pgSz w:w="11907" w:h="16839"/>
          <w:pgMar w:top="1134" w:right="1417" w:bottom="1134" w:left="1417" w:header="709" w:footer="709" w:gutter="0"/>
          <w:pgNumType w:start="0"/>
          <w:cols w:space="720"/>
          <w:docGrid w:linePitch="360"/>
        </w:sectPr>
      </w:pPr>
    </w:p>
    <w:p w:rsidR="0070239B" w:rsidRPr="003122E4" w:rsidRDefault="00EA14B3">
      <w:pPr>
        <w:pStyle w:val="Exposdesmotifstitre"/>
        <w:rPr>
          <w:noProof/>
        </w:rPr>
      </w:pPr>
      <w:bookmarkStart w:id="0" w:name="_GoBack"/>
      <w:bookmarkEnd w:id="0"/>
      <w:r w:rsidRPr="003122E4">
        <w:rPr>
          <w:noProof/>
        </w:rPr>
        <w:lastRenderedPageBreak/>
        <w:t>EXPOSÉ DES MOTIFS</w:t>
      </w:r>
    </w:p>
    <w:p w:rsidR="0070239B" w:rsidRPr="003122E4" w:rsidRDefault="00EA14B3">
      <w:pPr>
        <w:pStyle w:val="ManualHeading1"/>
        <w:rPr>
          <w:noProof/>
        </w:rPr>
      </w:pPr>
      <w:bookmarkStart w:id="1" w:name="_Toc484762486"/>
      <w:r w:rsidRPr="003122E4">
        <w:rPr>
          <w:noProof/>
        </w:rPr>
        <w:t>1.</w:t>
      </w:r>
      <w:r w:rsidRPr="003122E4">
        <w:rPr>
          <w:noProof/>
        </w:rPr>
        <w:tab/>
        <w:t>Contexte de la proposition</w:t>
      </w:r>
      <w:bookmarkEnd w:id="1"/>
    </w:p>
    <w:p w:rsidR="0099685F" w:rsidRPr="003122E4" w:rsidRDefault="0099685F" w:rsidP="00D60206">
      <w:pPr>
        <w:rPr>
          <w:noProof/>
        </w:rPr>
      </w:pPr>
      <w:r w:rsidRPr="003122E4">
        <w:rPr>
          <w:noProof/>
        </w:rPr>
        <w:t>La présente décision porte sur la mobilisation du Fonds de solidarité de l’Union européenne (ci-après dénommé le «FSUE») conformément au règlement (CE) nº 2012/2002 du Conseil</w:t>
      </w:r>
      <w:r w:rsidRPr="003122E4">
        <w:rPr>
          <w:rStyle w:val="FootnoteReference"/>
          <w:noProof/>
        </w:rPr>
        <w:footnoteReference w:id="2"/>
      </w:r>
      <w:r w:rsidRPr="003122E4">
        <w:rPr>
          <w:noProof/>
        </w:rPr>
        <w:t xml:space="preserve"> (ci-après dénommé le «règlement FSUE») pour un montant de 144 099 756 EUR afin de venir en aide à la Roumanie, à la suite des inondations qui ont touché le pays à la fin du mois de mai 2025, à Chypre, à la suite des incendies de forêt de juillet 2025, et à l’Espagne, à la suite des incendies de forêt d’août 2025.</w:t>
      </w:r>
    </w:p>
    <w:p w:rsidR="0099685F" w:rsidRPr="003122E4" w:rsidRDefault="0099685F" w:rsidP="0099685F">
      <w:pPr>
        <w:rPr>
          <w:noProof/>
          <w:snapToGrid w:val="0"/>
        </w:rPr>
      </w:pPr>
      <w:r w:rsidRPr="003122E4">
        <w:rPr>
          <w:noProof/>
        </w:rPr>
        <w:t>Cette mobilisation est accompagnée du virement DEC nº 8/2026, qui propose de transférer le montant nécessaire de la ligne de réserve de la réserve de solidarité européenne (ci-après dénommée la «RSE») vers la ligne budgétaire opérationnelle du FSUE, tant en crédits d’engagement qu’en crédits de paiement.</w:t>
      </w:r>
    </w:p>
    <w:p w:rsidR="0099685F" w:rsidRPr="003122E4" w:rsidRDefault="0099685F" w:rsidP="0027390F">
      <w:pPr>
        <w:pStyle w:val="ManualHeading1"/>
        <w:rPr>
          <w:noProof/>
        </w:rPr>
      </w:pPr>
      <w:bookmarkStart w:id="2" w:name="_Toc484762487"/>
      <w:r w:rsidRPr="003122E4">
        <w:rPr>
          <w:noProof/>
        </w:rPr>
        <w:t>2.</w:t>
      </w:r>
      <w:r w:rsidRPr="003122E4">
        <w:rPr>
          <w:noProof/>
        </w:rPr>
        <w:tab/>
        <w:t>Informations et conditions</w:t>
      </w:r>
      <w:bookmarkEnd w:id="2"/>
    </w:p>
    <w:p w:rsidR="00770D01" w:rsidRPr="003122E4" w:rsidRDefault="0099685F" w:rsidP="00D04787">
      <w:pPr>
        <w:pStyle w:val="ManualHeading2"/>
        <w:rPr>
          <w:noProof/>
        </w:rPr>
      </w:pPr>
      <w:r w:rsidRPr="003122E4">
        <w:rPr>
          <w:noProof/>
        </w:rPr>
        <w:t>2.1</w:t>
      </w:r>
      <w:r w:rsidRPr="003122E4">
        <w:rPr>
          <w:noProof/>
        </w:rPr>
        <w:tab/>
      </w:r>
      <w:bookmarkStart w:id="3" w:name="_Hlk196898248"/>
      <w:r w:rsidRPr="003122E4">
        <w:rPr>
          <w:noProof/>
        </w:rPr>
        <w:t>Roumanie – catastrophe naturelle régionale: les inondations qui ont débuté le 27 mai 2025</w:t>
      </w:r>
    </w:p>
    <w:p w:rsidR="00EC4D5F" w:rsidRPr="003122E4" w:rsidRDefault="00EC4D5F" w:rsidP="0069722F">
      <w:pPr>
        <w:pStyle w:val="Point0"/>
        <w:rPr>
          <w:noProof/>
        </w:rPr>
      </w:pPr>
      <w:r>
        <w:rPr>
          <w:noProof/>
        </w:rPr>
        <w:t>(1)</w:t>
      </w:r>
      <w:r>
        <w:rPr>
          <w:noProof/>
        </w:rPr>
        <w:tab/>
      </w:r>
      <w:r w:rsidRPr="003122E4">
        <w:rPr>
          <w:noProof/>
        </w:rPr>
        <w:t>Le 14 août 2025, la Roumanie a présenté une demande de contribution financière du FSUE afin de financer des actions d’urgence et de remise en état à la suite des inondations qui ont débuté le 27 mai 2025. Le 26 septembre 2025 et le 24 mars 2026, la Roumanie a fourni des précisions concernant les données et informations figurant dans la demande de contribution du FSUE.</w:t>
      </w:r>
    </w:p>
    <w:bookmarkEnd w:id="3"/>
    <w:p w:rsidR="00EC4D5F" w:rsidRPr="003122E4" w:rsidRDefault="00EC4D5F" w:rsidP="00EC4D5F">
      <w:pPr>
        <w:pStyle w:val="Point0"/>
        <w:rPr>
          <w:noProof/>
        </w:rPr>
      </w:pPr>
      <w:r>
        <w:rPr>
          <w:noProof/>
        </w:rPr>
        <w:t>(2)</w:t>
      </w:r>
      <w:r>
        <w:rPr>
          <w:noProof/>
        </w:rPr>
        <w:tab/>
      </w:r>
      <w:r w:rsidRPr="003122E4">
        <w:rPr>
          <w:noProof/>
        </w:rPr>
        <w:t>La Roumanie a demandé une contribution du FSUE dans le délai de douze semaines à compter de la date à laquelle est survenu le premier dommage causé par la catastrophe, c’est-à-dire le 27 mai 2025. La demande contient toutes les informations requises au titre de l’article 4 du règlement FSUE.</w:t>
      </w:r>
    </w:p>
    <w:p w:rsidR="00EC4D5F" w:rsidRPr="003122E4" w:rsidRDefault="00EC4D5F" w:rsidP="00EC4D5F">
      <w:pPr>
        <w:pStyle w:val="Point0"/>
        <w:rPr>
          <w:noProof/>
        </w:rPr>
      </w:pPr>
      <w:r>
        <w:rPr>
          <w:noProof/>
        </w:rPr>
        <w:t>(3)</w:t>
      </w:r>
      <w:r>
        <w:rPr>
          <w:noProof/>
        </w:rPr>
        <w:tab/>
      </w:r>
      <w:r w:rsidRPr="003122E4">
        <w:rPr>
          <w:noProof/>
        </w:rPr>
        <w:t>La catastrophe est d’origine naturelle et relève donc du champ d’intervention du FSUE.</w:t>
      </w:r>
    </w:p>
    <w:p w:rsidR="00EC4D5F" w:rsidRPr="003122E4" w:rsidRDefault="00EC4D5F" w:rsidP="00EC4D5F">
      <w:pPr>
        <w:pStyle w:val="Point0"/>
        <w:rPr>
          <w:noProof/>
        </w:rPr>
      </w:pPr>
      <w:r>
        <w:rPr>
          <w:noProof/>
        </w:rPr>
        <w:t>(4)</w:t>
      </w:r>
      <w:r>
        <w:rPr>
          <w:noProof/>
        </w:rPr>
        <w:tab/>
      </w:r>
      <w:r w:rsidRPr="003122E4">
        <w:rPr>
          <w:noProof/>
        </w:rPr>
        <w:t>Les autorités roumaines ont présenté leur demande au titre du critère de «catastrophe naturelle régionale» telle que définie à l’article 2, paragraphe 3, du règlement FSUE, à savoir toute catastrophe naturelle qui occasionne, dans une région au niveau NUTS 2 d’un État éligible, des dommages directs supérieurs à 1,5 % du produit intérieur brut (PIB) de cette région. Les autorités roumaines estiment à 573,59 millions d’EUR le montant total des dommages directs causés par la catastrophe. Conformément à l’article 2, paragraphe 3, troisième alinéa, du règlement FSUE, lorsque la catastrophe naturelle concerne plusieurs régions au niveau NUTS 2, le seuil est appliqué au PIB moyen de ces régions, pondéré en fonction de la part du total des dommages occasionnés dans chaque région. Les dommages directs exprimés en pourcentage du PIB régional total pondéré des régions du Centru, du Sud Muntenia et du Nord Est s’élèvent à 1,8 %. Ce pourcentage dépasse 1,5 % du PIB régional total pondéré des régions en question</w:t>
      </w:r>
      <w:r w:rsidRPr="003122E4">
        <w:rPr>
          <w:rStyle w:val="FootnoteReference"/>
          <w:noProof/>
        </w:rPr>
        <w:footnoteReference w:id="3"/>
      </w:r>
      <w:r w:rsidRPr="003122E4">
        <w:rPr>
          <w:noProof/>
        </w:rPr>
        <w:t>.</w:t>
      </w:r>
    </w:p>
    <w:p w:rsidR="00EC4D5F" w:rsidRPr="003122E4" w:rsidRDefault="00EC4D5F" w:rsidP="00EC4D5F">
      <w:pPr>
        <w:pStyle w:val="Point0"/>
        <w:rPr>
          <w:noProof/>
        </w:rPr>
      </w:pPr>
      <w:r>
        <w:rPr>
          <w:noProof/>
        </w:rPr>
        <w:lastRenderedPageBreak/>
        <w:t>(5)</w:t>
      </w:r>
      <w:r>
        <w:rPr>
          <w:noProof/>
        </w:rPr>
        <w:tab/>
      </w:r>
      <w:r w:rsidRPr="003122E4">
        <w:rPr>
          <w:noProof/>
        </w:rPr>
        <w:t>Le total des dommages directs sert de base au calcul du montant de la contribution financière du FSUE. Cette contribution ne peut servir qu’au financement des actions d’urgence de première nécessité et de remise en état définies à l’article 3 du règlement FSUE.</w:t>
      </w:r>
    </w:p>
    <w:p w:rsidR="00EC4D5F" w:rsidRPr="003122E4" w:rsidRDefault="00EC4D5F" w:rsidP="00EC4D5F">
      <w:pPr>
        <w:pStyle w:val="Point0"/>
        <w:rPr>
          <w:noProof/>
        </w:rPr>
      </w:pPr>
      <w:r>
        <w:rPr>
          <w:noProof/>
        </w:rPr>
        <w:t>(6)</w:t>
      </w:r>
      <w:r>
        <w:rPr>
          <w:noProof/>
        </w:rPr>
        <w:tab/>
      </w:r>
      <w:r w:rsidRPr="003122E4">
        <w:rPr>
          <w:noProof/>
        </w:rPr>
        <w:t>La Roumanie n’a pas demandé le versement d’une avance en application de l’article 4 </w:t>
      </w:r>
      <w:r w:rsidRPr="003122E4">
        <w:rPr>
          <w:i/>
          <w:iCs/>
          <w:noProof/>
        </w:rPr>
        <w:t>bis</w:t>
      </w:r>
      <w:r w:rsidRPr="003122E4">
        <w:rPr>
          <w:noProof/>
        </w:rPr>
        <w:t xml:space="preserve"> du règlement FSUE.</w:t>
      </w:r>
    </w:p>
    <w:p w:rsidR="00EC4D5F" w:rsidRPr="003122E4" w:rsidRDefault="00EC4D5F" w:rsidP="00EC4D5F">
      <w:pPr>
        <w:pStyle w:val="Point0"/>
        <w:rPr>
          <w:noProof/>
        </w:rPr>
      </w:pPr>
      <w:r>
        <w:rPr>
          <w:noProof/>
        </w:rPr>
        <w:t>(7)</w:t>
      </w:r>
      <w:r>
        <w:rPr>
          <w:noProof/>
        </w:rPr>
        <w:tab/>
      </w:r>
      <w:r w:rsidRPr="003122E4">
        <w:rPr>
          <w:noProof/>
        </w:rPr>
        <w:t>Entre le 26 mai et le début du mois de juin 2025, la Roumanie a connu plusieurs jours de fortes pluies qui ont ensuite entraîné des inondations dans les régions du Centru, du Sud Muntenia et du Nord Est. Les dégâts les plus importants ont été enregistrés à la mine de sel de Praid, où, le 27 mai, les eaux de la rivière Corund ont dissous une partie du lit de la rivière, endommageant gravement les infrastructures hydrotechniques de la zone et pénétrant dans la mine de sel. La mine de sel a été totalement inondée, ce qui a compromis la stabilité des piliers de soutien et mis en péril l’intégrité structurelle de la mine. Dans d’autres parties des régions susmentionnées, la grêle et les vents violents ont causé des dommages considérables aux infrastructures. Les tempêtes ont également perturbé le fonctionnement des services publics et privé des milliers de ménages d’électricité.</w:t>
      </w:r>
    </w:p>
    <w:p w:rsidR="00EC4D5F" w:rsidRPr="003122E4" w:rsidRDefault="00EC4D5F" w:rsidP="00EC4D5F">
      <w:pPr>
        <w:pStyle w:val="Point0"/>
        <w:rPr>
          <w:noProof/>
        </w:rPr>
      </w:pPr>
      <w:r>
        <w:rPr>
          <w:noProof/>
        </w:rPr>
        <w:t>(8)</w:t>
      </w:r>
      <w:r>
        <w:rPr>
          <w:noProof/>
        </w:rPr>
        <w:tab/>
      </w:r>
      <w:r w:rsidRPr="003122E4">
        <w:rPr>
          <w:noProof/>
        </w:rPr>
        <w:t>Les autorités roumaines ont demandé, par l’intermédiaire du mécanisme de protection civile de l’Union européenne, l’assistance d’une équipe d’experts en ce qui concerne les problèmes structurels de la mine de sel de Praid. Une équipe de huit experts, originaires d’Allemagne, d’Espagne, de Hongrie et des Pays-Bas, ainsi qu’un agent de liaison du centre de coordination de la réaction d’urgence de l’UE ont été déployés pendant une semaine pour aider à analyser la situation de la mine de sel de Praid. Les principales conclusions des experts ont été présentées aux autorités roumaines le 10 juin.</w:t>
      </w:r>
    </w:p>
    <w:p w:rsidR="00EC4D5F" w:rsidRPr="003122E4" w:rsidRDefault="00EC4D5F" w:rsidP="00EC4D5F">
      <w:pPr>
        <w:pStyle w:val="Point0"/>
        <w:rPr>
          <w:noProof/>
        </w:rPr>
      </w:pPr>
      <w:r>
        <w:rPr>
          <w:noProof/>
        </w:rPr>
        <w:t>(9)</w:t>
      </w:r>
      <w:r>
        <w:rPr>
          <w:noProof/>
        </w:rPr>
        <w:tab/>
      </w:r>
      <w:r w:rsidRPr="003122E4">
        <w:rPr>
          <w:noProof/>
        </w:rPr>
        <w:t>La Roumanie a estimé à 449,71 millions d’EUR le coût des actions éligibles au titre de l’article 3, paragraphe 2, du règlement FSUE et a ventilé les coûts par type d’actions. La plus grande partie du coût des actions d’urgence concerne la remise en fonction des infrastructures et des équipements dans les domaines de l’énergie, de l’eau et des eaux usées, des télécommunications, des transports, de la santé et de l’enseignement, pour un montant de 227,09 millions d’EUR. Le deuxième poste de dépenses le plus important concerne la sécurisation des infrastructures de prévention et la protection du patrimoine culturel, pour un montant de 177,64 millions d’EUR. Le troisième poste le plus important concerne le nettoyage des zones sinistrées, pour un montant de 26,04 millions d’EUR. Le quatrième poste le plus important concerne les services de secours et l’hébergement provisoire, pour un montant de 18,94 millions d’EUR.</w:t>
      </w:r>
    </w:p>
    <w:p w:rsidR="00EC4D5F" w:rsidRPr="003122E4" w:rsidRDefault="00EC4D5F" w:rsidP="00EC4D5F">
      <w:pPr>
        <w:pStyle w:val="Point0"/>
        <w:rPr>
          <w:noProof/>
        </w:rPr>
      </w:pPr>
      <w:r>
        <w:rPr>
          <w:noProof/>
        </w:rPr>
        <w:t>(10)</w:t>
      </w:r>
      <w:r>
        <w:rPr>
          <w:noProof/>
        </w:rPr>
        <w:tab/>
      </w:r>
      <w:r w:rsidRPr="003122E4">
        <w:rPr>
          <w:noProof/>
        </w:rPr>
        <w:t>La Roumanie a transposé la directive 2007/60/CE du Parlement européen et du Conseil (directive «Inondations») principalement au moyen de la stratégie nationale de gestion des risques d’inondation à moyen et à long terme (2010-2035), adoptée au moyen de la décision gouvernementale nº 846 du 11 août 2010.</w:t>
      </w:r>
    </w:p>
    <w:p w:rsidR="00EC4D5F" w:rsidRPr="003122E4" w:rsidRDefault="00EC4D5F" w:rsidP="00EC4D5F">
      <w:pPr>
        <w:pStyle w:val="Point0"/>
        <w:rPr>
          <w:noProof/>
        </w:rPr>
      </w:pPr>
      <w:r>
        <w:rPr>
          <w:noProof/>
        </w:rPr>
        <w:t>(11)</w:t>
      </w:r>
      <w:r>
        <w:rPr>
          <w:noProof/>
        </w:rPr>
        <w:tab/>
      </w:r>
      <w:r w:rsidRPr="003122E4">
        <w:rPr>
          <w:noProof/>
        </w:rPr>
        <w:t>À la date de présentation de la demande, la Roumanie ne faisait l’objet d’aucune procédure d’infraction concernant la législation de l’Union liée à la nature de la catastrophe.</w:t>
      </w:r>
    </w:p>
    <w:p w:rsidR="00960C59" w:rsidRPr="003122E4" w:rsidRDefault="00401FF0" w:rsidP="00D60206">
      <w:pPr>
        <w:pStyle w:val="ManualHeading2"/>
        <w:tabs>
          <w:tab w:val="clear" w:pos="850"/>
        </w:tabs>
        <w:ind w:left="0" w:firstLine="1"/>
        <w:rPr>
          <w:noProof/>
        </w:rPr>
      </w:pPr>
      <w:r w:rsidRPr="003122E4">
        <w:rPr>
          <w:noProof/>
        </w:rPr>
        <w:lastRenderedPageBreak/>
        <w:t>2.2</w:t>
      </w:r>
      <w:r w:rsidRPr="003122E4">
        <w:rPr>
          <w:noProof/>
        </w:rPr>
        <w:tab/>
        <w:t xml:space="preserve">Chypre – catastrophe naturelle majeure: incendies de forêt survenus en juillet 2025 </w:t>
      </w:r>
    </w:p>
    <w:p w:rsidR="00D60206" w:rsidRPr="003122E4" w:rsidRDefault="00D60206" w:rsidP="00452920">
      <w:pPr>
        <w:pStyle w:val="Point0"/>
        <w:rPr>
          <w:noProof/>
        </w:rPr>
      </w:pPr>
      <w:r>
        <w:rPr>
          <w:noProof/>
        </w:rPr>
        <w:t>(1)</w:t>
      </w:r>
      <w:r>
        <w:rPr>
          <w:noProof/>
        </w:rPr>
        <w:tab/>
      </w:r>
      <w:r w:rsidRPr="003122E4">
        <w:rPr>
          <w:noProof/>
        </w:rPr>
        <w:t>Le 14 octobre 2025, Chypre a présenté une demande de contribution financière du FSUE afin de financer des actions d’urgence et de remise en état à la suite des incendies de forêt survenus en juillet 2025.</w:t>
      </w:r>
    </w:p>
    <w:p w:rsidR="00D60206" w:rsidRPr="003122E4" w:rsidRDefault="00D60206" w:rsidP="00452920">
      <w:pPr>
        <w:pStyle w:val="Point0"/>
        <w:rPr>
          <w:noProof/>
        </w:rPr>
      </w:pPr>
      <w:r>
        <w:rPr>
          <w:noProof/>
        </w:rPr>
        <w:t>(2)</w:t>
      </w:r>
      <w:r>
        <w:rPr>
          <w:noProof/>
        </w:rPr>
        <w:tab/>
      </w:r>
      <w:r w:rsidRPr="003122E4">
        <w:rPr>
          <w:noProof/>
        </w:rPr>
        <w:t>Chypre a demandé une contribution du FSUE dans le délai de douze semaines à compter de la date à laquelle est survenu le premier dommage causé par la catastrophe, c’est-à-dire le 23 juillet 2025. La demande contient toutes les informations requises au titre de l’article 4 du règlement FSUE.</w:t>
      </w:r>
    </w:p>
    <w:p w:rsidR="00D60206" w:rsidRPr="003122E4" w:rsidRDefault="00D60206" w:rsidP="00452920">
      <w:pPr>
        <w:pStyle w:val="Point0"/>
        <w:rPr>
          <w:noProof/>
        </w:rPr>
      </w:pPr>
      <w:r>
        <w:rPr>
          <w:noProof/>
        </w:rPr>
        <w:t>(3)</w:t>
      </w:r>
      <w:r>
        <w:rPr>
          <w:noProof/>
        </w:rPr>
        <w:tab/>
      </w:r>
      <w:r w:rsidRPr="003122E4">
        <w:rPr>
          <w:noProof/>
        </w:rPr>
        <w:t>La catastrophe est d’origine naturelle et relève donc du champ d’intervention du FSUE.</w:t>
      </w:r>
    </w:p>
    <w:p w:rsidR="00D60206" w:rsidRPr="003122E4" w:rsidRDefault="00D60206" w:rsidP="233B4F2D">
      <w:pPr>
        <w:pStyle w:val="Point0"/>
        <w:rPr>
          <w:noProof/>
        </w:rPr>
      </w:pPr>
      <w:r>
        <w:rPr>
          <w:noProof/>
        </w:rPr>
        <w:t>(4)</w:t>
      </w:r>
      <w:r>
        <w:rPr>
          <w:noProof/>
        </w:rPr>
        <w:tab/>
      </w:r>
      <w:r w:rsidRPr="003122E4">
        <w:rPr>
          <w:noProof/>
        </w:rPr>
        <w:t>Les autorités chypriotes estiment à 253,69 millions d’EUR le montant total des dommages directs causés par la catastrophe. La Commission a accepté un montant total plausible de 252,68 millions d’EUR pour les dommages directs. Ce montant dépasse le seuil de «catastrophe naturelle majeure» fixé pour Chypre, à savoir 0,6 % de son revenu national brut, qui était de 170,05 millions d’EUR en 2025</w:t>
      </w:r>
      <w:r w:rsidRPr="003122E4">
        <w:rPr>
          <w:rStyle w:val="FootnoteReference"/>
          <w:noProof/>
        </w:rPr>
        <w:footnoteReference w:id="4"/>
      </w:r>
      <w:r w:rsidRPr="003122E4">
        <w:rPr>
          <w:noProof/>
        </w:rPr>
        <w:t>. Dès lors, la catastrophe remplit les critères d’une «catastrophe naturelle majeure» au sens de l’article 2, paragraphe 2, du règlement FSUE.</w:t>
      </w:r>
    </w:p>
    <w:p w:rsidR="00D60206" w:rsidRPr="003122E4" w:rsidRDefault="00D60206" w:rsidP="00452920">
      <w:pPr>
        <w:pStyle w:val="Point0"/>
        <w:rPr>
          <w:noProof/>
        </w:rPr>
      </w:pPr>
      <w:r>
        <w:rPr>
          <w:noProof/>
        </w:rPr>
        <w:t>(5)</w:t>
      </w:r>
      <w:r>
        <w:rPr>
          <w:noProof/>
        </w:rPr>
        <w:tab/>
      </w:r>
      <w:r w:rsidRPr="003122E4">
        <w:rPr>
          <w:noProof/>
        </w:rPr>
        <w:t>Le total des dommages directs sert de base au calcul du montant de la contribution financière du FSUE. Cette contribution ne peut servir qu’au financement des actions d’urgence de première nécessité et de remise en état définies à l’article 3 du règlement FSUE.</w:t>
      </w:r>
    </w:p>
    <w:p w:rsidR="00D60206" w:rsidRPr="003122E4" w:rsidRDefault="00D60206" w:rsidP="00452920">
      <w:pPr>
        <w:pStyle w:val="Point0"/>
        <w:rPr>
          <w:noProof/>
        </w:rPr>
      </w:pPr>
      <w:r>
        <w:rPr>
          <w:noProof/>
        </w:rPr>
        <w:t>(6)</w:t>
      </w:r>
      <w:r>
        <w:rPr>
          <w:noProof/>
        </w:rPr>
        <w:tab/>
      </w:r>
      <w:r w:rsidRPr="003122E4">
        <w:rPr>
          <w:noProof/>
        </w:rPr>
        <w:t>Chypre a demandé le versement d’une avance en application de l’article 4 </w:t>
      </w:r>
      <w:r w:rsidRPr="003122E4">
        <w:rPr>
          <w:i/>
          <w:iCs/>
          <w:noProof/>
        </w:rPr>
        <w:t>bis</w:t>
      </w:r>
      <w:r w:rsidRPr="003122E4">
        <w:rPr>
          <w:noProof/>
        </w:rPr>
        <w:t xml:space="preserve"> du règlement FSUE. En se fondant sur l’évaluation préliminaire, la Commission a conclu que les conditions pour le versement d’une avance au titre du FSUE étaient remplies. Par conséquent, une avance de 2 317 465 EUR a été octroyée au moyen de la décision d’exécution C(2025) 8276 de la Commission du 3 décembre 2025. L’avance a été versée à Chypre le 29 décembre 2025.</w:t>
      </w:r>
    </w:p>
    <w:p w:rsidR="00D60206" w:rsidRPr="003122E4" w:rsidRDefault="00D60206" w:rsidP="00452920">
      <w:pPr>
        <w:pStyle w:val="Point0"/>
        <w:rPr>
          <w:noProof/>
        </w:rPr>
      </w:pPr>
      <w:r>
        <w:rPr>
          <w:noProof/>
        </w:rPr>
        <w:t>(7)</w:t>
      </w:r>
      <w:r>
        <w:rPr>
          <w:noProof/>
        </w:rPr>
        <w:tab/>
      </w:r>
      <w:r w:rsidRPr="003122E4">
        <w:rPr>
          <w:noProof/>
        </w:rPr>
        <w:t>Au cours de l’été 2025, Chypre a connu une combinaison de sécheresse prolongée, de vagues de chaleur extrêmes et de vents violents, qui ont créé les conditions propices à deux incendies de forêt sans précédent dans les régions de Limassol et de Pafos en juillet. Des milliers de résidents ont été contraints d’évacuer en raison des incendies de forêt de Limassol. Plusieurs écoles et établissements de santé ont dû réduire leurs services et près de 900 propriétés privées ont été détruites. Dans le même temps, les incendies de forêt de Pafos ont entraîné de graves pertes économiques dans le secteur agricole et dans l’environnement et ont mis en péril la stabilité socio-économique des communautés rurales. Les incendies de forêt ont également entraîné la mort de deux personnes.</w:t>
      </w:r>
    </w:p>
    <w:p w:rsidR="00D60206" w:rsidRPr="003122E4" w:rsidRDefault="00D60206" w:rsidP="00452920">
      <w:pPr>
        <w:pStyle w:val="Point0"/>
        <w:rPr>
          <w:noProof/>
        </w:rPr>
      </w:pPr>
      <w:r>
        <w:rPr>
          <w:noProof/>
        </w:rPr>
        <w:t>(8)</w:t>
      </w:r>
      <w:r>
        <w:rPr>
          <w:noProof/>
        </w:rPr>
        <w:tab/>
      </w:r>
      <w:r w:rsidRPr="003122E4">
        <w:rPr>
          <w:noProof/>
        </w:rPr>
        <w:t>Pour les incendies de Limassol, les autorités chypriotes ont demandé de l’aide par l’intermédiaire du mécanisme de protection civile de l’Union européenne. Plusieurs États membres de l’UE se sont déclarés prêts à apporter leur soutien. Le 24 juillet 2025, Chypre a accepté l’offre de la Grèce, qui a rapidement fourni un module terrestre de lutte contre les incendies de forêt.</w:t>
      </w:r>
    </w:p>
    <w:p w:rsidR="00D60206" w:rsidRPr="003122E4" w:rsidRDefault="00D60206" w:rsidP="233B4F2D">
      <w:pPr>
        <w:pStyle w:val="Point0"/>
        <w:rPr>
          <w:noProof/>
        </w:rPr>
      </w:pPr>
      <w:r>
        <w:rPr>
          <w:noProof/>
        </w:rPr>
        <w:lastRenderedPageBreak/>
        <w:t>(9)</w:t>
      </w:r>
      <w:r>
        <w:rPr>
          <w:noProof/>
        </w:rPr>
        <w:tab/>
      </w:r>
      <w:r w:rsidRPr="003122E4">
        <w:rPr>
          <w:noProof/>
        </w:rPr>
        <w:t>Chypre a estimé à 84,25 millions d’EUR le coût des actions éligibles au titre de l’article 3, paragraphe 2, du règlement FSUE et a ventilé les coûts par type d’actions. La majeure partie de ce montant concerne la remise en fonction des infrastructures et des équipements dans les domaines de l’énergie, de l’eau et des eaux usées, des télécommunications et des transports, pour un montant de 66,9 millions d’EUR. Le deuxième poste le plus important concerne l’hébergement provisoire et les services de secours, pour un montant de 8,77 millions d’EUR. Le troisième poste le plus important concerne le nettoyage des zones sinistrées, pour un montant de 5,88 millions d’EUR. Le quatrième poste le plus important concerne la sécurisation des infrastructures de prévention et la protection du patrimoine culturel, pour un  montant de 2,7 millions d’EUR.</w:t>
      </w:r>
    </w:p>
    <w:p w:rsidR="00D60206" w:rsidRPr="003122E4" w:rsidRDefault="00D60206" w:rsidP="00452920">
      <w:pPr>
        <w:pStyle w:val="Point0"/>
        <w:rPr>
          <w:noProof/>
        </w:rPr>
      </w:pPr>
      <w:r>
        <w:rPr>
          <w:noProof/>
        </w:rPr>
        <w:t>(10)</w:t>
      </w:r>
      <w:r>
        <w:rPr>
          <w:noProof/>
        </w:rPr>
        <w:tab/>
      </w:r>
      <w:r w:rsidRPr="003122E4">
        <w:rPr>
          <w:noProof/>
        </w:rPr>
        <w:t>À la date de présentation de la demande, Chypre ne faisait l’objet d’aucune procédure d’infraction concernant la législation de l’Union liée à la nature de la catastrophe.</w:t>
      </w:r>
    </w:p>
    <w:p w:rsidR="00052654" w:rsidRPr="003122E4" w:rsidRDefault="00052654" w:rsidP="00D60206">
      <w:pPr>
        <w:pStyle w:val="ManualHeading2"/>
        <w:tabs>
          <w:tab w:val="clear" w:pos="850"/>
        </w:tabs>
        <w:ind w:left="0" w:firstLine="1"/>
        <w:rPr>
          <w:noProof/>
        </w:rPr>
      </w:pPr>
      <w:r w:rsidRPr="003122E4">
        <w:rPr>
          <w:noProof/>
        </w:rPr>
        <w:t>2.3 Espagne – catastrophe naturelle majeure: incendies de forêt survenus en août 2025</w:t>
      </w:r>
    </w:p>
    <w:p w:rsidR="00D60206" w:rsidRPr="003122E4" w:rsidRDefault="00D60206" w:rsidP="00452920">
      <w:pPr>
        <w:pStyle w:val="Point0"/>
        <w:rPr>
          <w:noProof/>
        </w:rPr>
      </w:pPr>
      <w:r>
        <w:rPr>
          <w:noProof/>
        </w:rPr>
        <w:t>(11)</w:t>
      </w:r>
      <w:r>
        <w:rPr>
          <w:noProof/>
        </w:rPr>
        <w:tab/>
      </w:r>
      <w:r w:rsidRPr="003122E4">
        <w:rPr>
          <w:noProof/>
        </w:rPr>
        <w:t>Le 30 octobre 2025, l’Espagne a présenté une demande de contribution financière du FSUE afin de financer des actions d’urgence et de remise en état à la suite des incendies de forêt survenus en août 2025.</w:t>
      </w:r>
    </w:p>
    <w:p w:rsidR="00D60206" w:rsidRPr="003122E4" w:rsidRDefault="00D60206" w:rsidP="00452920">
      <w:pPr>
        <w:pStyle w:val="Point0"/>
        <w:rPr>
          <w:noProof/>
        </w:rPr>
      </w:pPr>
      <w:r>
        <w:rPr>
          <w:noProof/>
        </w:rPr>
        <w:t>(12)</w:t>
      </w:r>
      <w:r>
        <w:rPr>
          <w:noProof/>
        </w:rPr>
        <w:tab/>
      </w:r>
      <w:r w:rsidRPr="003122E4">
        <w:rPr>
          <w:noProof/>
        </w:rPr>
        <w:t>L’Espagne a demandé une contribution du FSUE dans le délai de douze semaines à compter de la date à laquelle est survenu le premier dommage causé par la catastrophe, c’est-à-dire le 8 août 2025. La demande contient toutes les informations requises au titre de l’article 4 du règlement FSUE.</w:t>
      </w:r>
    </w:p>
    <w:p w:rsidR="00D60206" w:rsidRPr="003122E4" w:rsidRDefault="00D60206" w:rsidP="00452920">
      <w:pPr>
        <w:pStyle w:val="Point0"/>
        <w:rPr>
          <w:noProof/>
        </w:rPr>
      </w:pPr>
      <w:r>
        <w:rPr>
          <w:noProof/>
        </w:rPr>
        <w:t>(13)</w:t>
      </w:r>
      <w:r>
        <w:rPr>
          <w:noProof/>
        </w:rPr>
        <w:tab/>
      </w:r>
      <w:r w:rsidRPr="003122E4">
        <w:rPr>
          <w:noProof/>
        </w:rPr>
        <w:t>La catastrophe est d’origine naturelle et relève donc du champ d’intervention du FSUE.</w:t>
      </w:r>
    </w:p>
    <w:p w:rsidR="00D60206" w:rsidRPr="003122E4" w:rsidRDefault="00D60206" w:rsidP="514C0825">
      <w:pPr>
        <w:pStyle w:val="Point0"/>
        <w:rPr>
          <w:noProof/>
        </w:rPr>
      </w:pPr>
      <w:r>
        <w:rPr>
          <w:noProof/>
        </w:rPr>
        <w:t>(14)</w:t>
      </w:r>
      <w:r>
        <w:rPr>
          <w:noProof/>
        </w:rPr>
        <w:tab/>
      </w:r>
      <w:r w:rsidRPr="003122E4">
        <w:rPr>
          <w:noProof/>
        </w:rPr>
        <w:t>Les autorités espagnoles estiment à 4 318,27 millions d’EUR le montant total des dommages directs causés par la catastrophe. Ce montant dépasse le seuil de «catastrophe naturelle majeure» fixé pour l’Espagne à 3 958,44 millions d’EUR en 2025</w:t>
      </w:r>
      <w:r w:rsidRPr="003122E4">
        <w:rPr>
          <w:rStyle w:val="FootnoteReference"/>
          <w:noProof/>
        </w:rPr>
        <w:footnoteReference w:id="5"/>
      </w:r>
      <w:r w:rsidRPr="003122E4">
        <w:rPr>
          <w:noProof/>
        </w:rPr>
        <w:t xml:space="preserve"> (3 milliards d’EUR aux prix de 2011). Dès lors, la catastrophe remplit les critères d’une «catastrophe naturelle majeure» au sens de l’article 2, paragraphe 2, du règlement FSUE.</w:t>
      </w:r>
    </w:p>
    <w:p w:rsidR="00D60206" w:rsidRPr="003122E4" w:rsidRDefault="00D60206" w:rsidP="00452920">
      <w:pPr>
        <w:pStyle w:val="Point0"/>
        <w:rPr>
          <w:noProof/>
        </w:rPr>
      </w:pPr>
      <w:r>
        <w:rPr>
          <w:noProof/>
        </w:rPr>
        <w:t>(15)</w:t>
      </w:r>
      <w:r>
        <w:rPr>
          <w:noProof/>
        </w:rPr>
        <w:tab/>
      </w:r>
      <w:r w:rsidRPr="003122E4">
        <w:rPr>
          <w:noProof/>
        </w:rPr>
        <w:t>Le total des dommages directs sert de base au calcul du montant de la contribution financière du FSUE. Cette contribution ne peut servir qu’au financement des actions d’urgence de première nécessité et de remise en état définies à l’article 3 du règlement FSUE.</w:t>
      </w:r>
    </w:p>
    <w:p w:rsidR="00D60206" w:rsidRPr="003122E4" w:rsidRDefault="00D60206" w:rsidP="00452920">
      <w:pPr>
        <w:pStyle w:val="Point0"/>
        <w:rPr>
          <w:noProof/>
        </w:rPr>
      </w:pPr>
      <w:r>
        <w:rPr>
          <w:noProof/>
        </w:rPr>
        <w:t>(16)</w:t>
      </w:r>
      <w:r>
        <w:rPr>
          <w:noProof/>
        </w:rPr>
        <w:tab/>
      </w:r>
      <w:r w:rsidRPr="003122E4">
        <w:rPr>
          <w:noProof/>
        </w:rPr>
        <w:t>L’Espagne a demandé le versement d’une avance en application de l’article 4 </w:t>
      </w:r>
      <w:r w:rsidRPr="003122E4">
        <w:rPr>
          <w:i/>
          <w:iCs/>
          <w:noProof/>
        </w:rPr>
        <w:t>bis</w:t>
      </w:r>
      <w:r w:rsidRPr="003122E4">
        <w:rPr>
          <w:noProof/>
        </w:rPr>
        <w:t xml:space="preserve"> du règlement FSUE. En se fondant sur l’évaluation préliminaire, la Commission a conclu que les conditions pour le versement d’une avance au titre du FSUE étaient remplies. Par conséquent, une avance de 30 137 714 EUR sera accordée au moyen de la décision d’exécution de la Commission en cours d’adoption. </w:t>
      </w:r>
    </w:p>
    <w:p w:rsidR="00D60206" w:rsidRPr="003122E4" w:rsidRDefault="00D60206" w:rsidP="00452920">
      <w:pPr>
        <w:pStyle w:val="Point0"/>
        <w:rPr>
          <w:noProof/>
        </w:rPr>
      </w:pPr>
      <w:r>
        <w:rPr>
          <w:noProof/>
        </w:rPr>
        <w:t>(17)</w:t>
      </w:r>
      <w:r>
        <w:rPr>
          <w:noProof/>
        </w:rPr>
        <w:tab/>
      </w:r>
      <w:r w:rsidRPr="003122E4">
        <w:rPr>
          <w:noProof/>
        </w:rPr>
        <w:t xml:space="preserve">Au cours de l’été 2025, l’Espagne a connu une combinaison de sécheresse prolongée, de vagues de chaleur extrêmes et de trois vagues de graves incendies de forêt. Au moins 243 incendies de forêt ont été enregistrés dans 16 communautés autonomes. Les incendies ont causé d’importants dommages environnementaux, sociaux et </w:t>
      </w:r>
      <w:r w:rsidRPr="003122E4">
        <w:rPr>
          <w:noProof/>
        </w:rPr>
        <w:lastRenderedPageBreak/>
        <w:t>économiques, détruisant les moyens de subsistance de nombreux citoyens, en particulier dans les zones rurales. De nombreuses personnes ont dû être évacuées de leur foyer. Les incendies de forêt ont également entraîné la mort de huit personnes. La présente demande porte sur les dommages causés par la troisième vague d’incendies, la plus destructrice, qui a débuté le 8 août.</w:t>
      </w:r>
    </w:p>
    <w:p w:rsidR="00D60206" w:rsidRPr="003122E4" w:rsidRDefault="00D60206" w:rsidP="00452920">
      <w:pPr>
        <w:pStyle w:val="Point0"/>
        <w:rPr>
          <w:noProof/>
        </w:rPr>
      </w:pPr>
      <w:r>
        <w:rPr>
          <w:noProof/>
        </w:rPr>
        <w:t>(18)</w:t>
      </w:r>
      <w:r>
        <w:rPr>
          <w:noProof/>
        </w:rPr>
        <w:tab/>
      </w:r>
      <w:r w:rsidRPr="003122E4">
        <w:rPr>
          <w:noProof/>
        </w:rPr>
        <w:t>Les autorités espagnoles ont demandé de l’aide par l’intermédiaire du mécanisme de protection civile de l’Union européenne. Neuf États membres ont fourni à plusieurs régions espagnoles une aide sous la forme d’avions de lutte contre les incendies, d’hélicoptères, de pompiers, de véhicules, d’outils et de machines lourdes.</w:t>
      </w:r>
    </w:p>
    <w:p w:rsidR="00D60206" w:rsidRPr="003122E4" w:rsidRDefault="00D60206" w:rsidP="00452920">
      <w:pPr>
        <w:pStyle w:val="Point0"/>
        <w:rPr>
          <w:noProof/>
        </w:rPr>
      </w:pPr>
      <w:r>
        <w:rPr>
          <w:noProof/>
        </w:rPr>
        <w:t>(19)</w:t>
      </w:r>
      <w:r>
        <w:rPr>
          <w:noProof/>
        </w:rPr>
        <w:tab/>
      </w:r>
      <w:r w:rsidRPr="003122E4">
        <w:rPr>
          <w:noProof/>
        </w:rPr>
        <w:t>L’Espagne a estimé à 121,1 millions d’EUR le coût des actions éligibles au titre de l’article 3, paragraphe 2, du règlement FSUE et a présenté une ventilation des coûts par type d’actions. La majeure partie de ce montant concerne le nettoyage des zones sinistrées, pour un montant de 52,61 millions d’EUR. Le deuxième poste le plus important concerne la remise en fonction des infrastructures et des équipements dans les domaines de l’eau et des eaux usées, des télécommunications, de l’enseignement, des transports, y compris le patrimoine culturel, pour un montant de 29,44 millions d’EUR. Le troisième poste le plus important concerne l’hébergement provisoire et les services de secours, pour un montant de 39,05 millions d’EUR.</w:t>
      </w:r>
    </w:p>
    <w:p w:rsidR="00D04787" w:rsidRPr="003122E4" w:rsidRDefault="00D60206" w:rsidP="00452920">
      <w:pPr>
        <w:pStyle w:val="Point0"/>
        <w:rPr>
          <w:noProof/>
        </w:rPr>
      </w:pPr>
      <w:r>
        <w:rPr>
          <w:noProof/>
        </w:rPr>
        <w:t>(20)</w:t>
      </w:r>
      <w:r>
        <w:rPr>
          <w:noProof/>
        </w:rPr>
        <w:tab/>
      </w:r>
      <w:r w:rsidRPr="003122E4">
        <w:rPr>
          <w:noProof/>
        </w:rPr>
        <w:t>À la date de la présentation de la demande, l’Espagne ne faisait l’objet d’aucune procédure d’infraction concernant la législation de l’Union liée à la nature de la catastrophe.</w:t>
      </w:r>
    </w:p>
    <w:p w:rsidR="0099685F" w:rsidRPr="003122E4" w:rsidRDefault="0099685F" w:rsidP="00052654">
      <w:pPr>
        <w:pStyle w:val="ManualHeading2"/>
        <w:tabs>
          <w:tab w:val="clear" w:pos="850"/>
        </w:tabs>
        <w:ind w:left="0" w:firstLine="1"/>
        <w:rPr>
          <w:noProof/>
        </w:rPr>
      </w:pPr>
      <w:bookmarkStart w:id="4" w:name="_Toc484762488"/>
      <w:r w:rsidRPr="003122E4">
        <w:rPr>
          <w:noProof/>
        </w:rPr>
        <w:t>2.4</w:t>
      </w:r>
      <w:r w:rsidRPr="003122E4">
        <w:rPr>
          <w:noProof/>
        </w:rPr>
        <w:tab/>
        <w:t>Conclusion</w:t>
      </w:r>
    </w:p>
    <w:p w:rsidR="00F81BB7" w:rsidRPr="003122E4" w:rsidRDefault="00F350CF" w:rsidP="0099685F">
      <w:pPr>
        <w:rPr>
          <w:noProof/>
        </w:rPr>
      </w:pPr>
      <w:r w:rsidRPr="003122E4">
        <w:rPr>
          <w:noProof/>
        </w:rPr>
        <w:t>À la lumière des considérations exposées ci-dessus et à la suite de l’évaluation des informations fournies, la Commission estime que les catastrophes mentionnées dans les demandes présentées par la Roumanie, Chypre et l’Espagne remplissent les conditions fixées par le règlement FSUE pour l’intervention du Fonds de solidarité de l’Union européenne (FSUE).</w:t>
      </w:r>
    </w:p>
    <w:p w:rsidR="0099685F" w:rsidRPr="003122E4" w:rsidRDefault="0099685F" w:rsidP="0027390F">
      <w:pPr>
        <w:pStyle w:val="ManualHeading1"/>
        <w:rPr>
          <w:noProof/>
        </w:rPr>
      </w:pPr>
      <w:r w:rsidRPr="003122E4">
        <w:rPr>
          <w:noProof/>
        </w:rPr>
        <w:t>3.</w:t>
      </w:r>
      <w:r w:rsidRPr="003122E4">
        <w:rPr>
          <w:noProof/>
        </w:rPr>
        <w:tab/>
        <w:t xml:space="preserve">Financement </w:t>
      </w:r>
      <w:bookmarkEnd w:id="4"/>
    </w:p>
    <w:p w:rsidR="007208BC" w:rsidRPr="003122E4" w:rsidRDefault="007208BC" w:rsidP="007208BC">
      <w:pPr>
        <w:rPr>
          <w:noProof/>
        </w:rPr>
      </w:pPr>
      <w:r w:rsidRPr="003122E4">
        <w:rPr>
          <w:noProof/>
        </w:rPr>
        <w:t>Le FSUE a été institué sur la base du principe de solidarité et, de ce fait, la Commission applique une approche progressive à l’attribution de son aide. Par conséquent, la part des dommages dépassant le seuil d’intervention du FSUE pour une «</w:t>
      </w:r>
      <w:r w:rsidRPr="003122E4">
        <w:rPr>
          <w:b/>
          <w:noProof/>
        </w:rPr>
        <w:t>catastrophe naturelle majeure</w:t>
      </w:r>
      <w:r w:rsidRPr="003122E4">
        <w:rPr>
          <w:noProof/>
        </w:rPr>
        <w:t>» (soit 0,6 % du RNB ou 3 milliards d’EUR aux prix de 2011, le montant le moins élevé étant retenu, voir l’article 2, paragraphe 2, du règlement FSUE) devrait bénéficier d’une intensité d’aide supérieure à celle accordée pour la part des dommages qui ne dépasse pas le seuil. Cela signifie que le montant de l’aide pour un pays touché par une catastrophe remplissant les critères d’une «catastrophe naturelle majeure» est calculé en additionnant deux montants: 2,5 % du total des dommages directs en dessous du seuil et 6 % pour la partie du total des dommages directs dépassant le seuil. Le taux appliqué pour calculer les montants de l’aide allouée en cas de «</w:t>
      </w:r>
      <w:r w:rsidRPr="003122E4">
        <w:rPr>
          <w:b/>
          <w:noProof/>
        </w:rPr>
        <w:t>catastrophe naturelle régionale</w:t>
      </w:r>
      <w:r w:rsidRPr="003122E4">
        <w:rPr>
          <w:noProof/>
        </w:rPr>
        <w:t>», qui reste inférieur au seuil national, est de 2,5 % du total des dommages directs.</w:t>
      </w:r>
    </w:p>
    <w:p w:rsidR="007208BC" w:rsidRPr="003122E4" w:rsidRDefault="007208BC" w:rsidP="007208BC">
      <w:pPr>
        <w:rPr>
          <w:noProof/>
        </w:rPr>
      </w:pPr>
      <w:r w:rsidRPr="003122E4">
        <w:rPr>
          <w:noProof/>
        </w:rPr>
        <w:t>Cette méthode permettant de calculer l’aide du FSUE a été exposée dans le rapport annuel 2002-2003 sur le FSUE et approuvée par le Parlement européen et le Conseil. La contribution du FSUE ne peut excéder le coût total estimé des actions éligibles.</w:t>
      </w:r>
    </w:p>
    <w:p w:rsidR="007208BC" w:rsidRPr="003122E4" w:rsidRDefault="007208BC" w:rsidP="007208BC">
      <w:pPr>
        <w:rPr>
          <w:noProof/>
        </w:rPr>
      </w:pPr>
      <w:r w:rsidRPr="003122E4">
        <w:rPr>
          <w:noProof/>
        </w:rPr>
        <w:lastRenderedPageBreak/>
        <w:t>En appliquant la méthode décrite ci-dessus, la Commission a évalué l’aide du FSUE en réponse aux trois demandes présentées par la Roumanie, Chypre et l’Espagne concernant les inondations et les incendies de forêt survenus en 2025.</w:t>
      </w:r>
    </w:p>
    <w:p w:rsidR="007208BC" w:rsidRPr="003122E4" w:rsidRDefault="007208BC" w:rsidP="007208BC">
      <w:pPr>
        <w:rPr>
          <w:noProof/>
        </w:rPr>
      </w:pPr>
      <w:r w:rsidRPr="003122E4">
        <w:rPr>
          <w:noProof/>
        </w:rPr>
        <w:t>La Commission propose donc à l’autorité budgétaire de mobiliser les montants suivants:</w:t>
      </w:r>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196"/>
        <w:gridCol w:w="1261"/>
        <w:gridCol w:w="1091"/>
        <w:gridCol w:w="1132"/>
        <w:gridCol w:w="1069"/>
        <w:gridCol w:w="1039"/>
        <w:gridCol w:w="1085"/>
      </w:tblGrid>
      <w:tr w:rsidR="00471790" w:rsidRPr="003122E4" w:rsidTr="00471790">
        <w:trPr>
          <w:trHeight w:val="1320"/>
        </w:trPr>
        <w:tc>
          <w:tcPr>
            <w:tcW w:w="1566" w:type="dxa"/>
            <w:vMerge w:val="restart"/>
            <w:vAlign w:val="center"/>
            <w:hideMark/>
          </w:tcPr>
          <w:p w:rsidR="00205470" w:rsidRPr="003122E4" w:rsidRDefault="00205470">
            <w:pPr>
              <w:spacing w:before="0" w:after="0"/>
              <w:jc w:val="left"/>
              <w:rPr>
                <w:b/>
                <w:bCs/>
                <w:noProof/>
                <w:color w:val="000000"/>
                <w:sz w:val="16"/>
                <w:szCs w:val="16"/>
              </w:rPr>
            </w:pPr>
            <w:bookmarkStart w:id="5" w:name="_Hlk227859520"/>
            <w:r w:rsidRPr="003122E4">
              <w:rPr>
                <w:b/>
                <w:noProof/>
                <w:color w:val="000000"/>
                <w:sz w:val="16"/>
              </w:rPr>
              <w:t>Catastrophe</w:t>
            </w:r>
          </w:p>
        </w:tc>
        <w:tc>
          <w:tcPr>
            <w:tcW w:w="1196" w:type="dxa"/>
            <w:vAlign w:val="center"/>
            <w:hideMark/>
          </w:tcPr>
          <w:p w:rsidR="00205470" w:rsidRPr="003122E4" w:rsidRDefault="00205470">
            <w:pPr>
              <w:spacing w:before="0" w:after="0"/>
              <w:jc w:val="center"/>
              <w:rPr>
                <w:b/>
                <w:bCs/>
                <w:noProof/>
                <w:color w:val="000000"/>
                <w:sz w:val="16"/>
                <w:szCs w:val="16"/>
              </w:rPr>
            </w:pPr>
            <w:r w:rsidRPr="003122E4">
              <w:rPr>
                <w:b/>
                <w:noProof/>
                <w:color w:val="000000"/>
                <w:sz w:val="16"/>
              </w:rPr>
              <w:t>Total des dommages directs</w:t>
            </w:r>
          </w:p>
        </w:tc>
        <w:tc>
          <w:tcPr>
            <w:tcW w:w="1261" w:type="dxa"/>
            <w:vAlign w:val="center"/>
            <w:hideMark/>
          </w:tcPr>
          <w:p w:rsidR="00205470" w:rsidRPr="003122E4" w:rsidRDefault="00205470">
            <w:pPr>
              <w:spacing w:before="0" w:after="0"/>
              <w:jc w:val="center"/>
              <w:rPr>
                <w:b/>
                <w:bCs/>
                <w:noProof/>
                <w:color w:val="000000"/>
                <w:sz w:val="16"/>
                <w:szCs w:val="16"/>
              </w:rPr>
            </w:pPr>
            <w:r w:rsidRPr="003122E4">
              <w:rPr>
                <w:b/>
                <w:noProof/>
                <w:color w:val="000000"/>
                <w:sz w:val="16"/>
              </w:rPr>
              <w:t>Seuil appliqué</w:t>
            </w:r>
          </w:p>
        </w:tc>
        <w:tc>
          <w:tcPr>
            <w:tcW w:w="1091" w:type="dxa"/>
            <w:vAlign w:val="center"/>
            <w:hideMark/>
          </w:tcPr>
          <w:p w:rsidR="00205470" w:rsidRPr="003122E4" w:rsidRDefault="00205470">
            <w:pPr>
              <w:spacing w:before="0" w:after="0"/>
              <w:jc w:val="center"/>
              <w:rPr>
                <w:b/>
                <w:bCs/>
                <w:noProof/>
                <w:color w:val="000000"/>
                <w:sz w:val="14"/>
                <w:szCs w:val="14"/>
              </w:rPr>
            </w:pPr>
            <w:r w:rsidRPr="003122E4">
              <w:rPr>
                <w:b/>
                <w:noProof/>
                <w:color w:val="000000"/>
                <w:sz w:val="14"/>
              </w:rPr>
              <w:t>2,5 % du total des dommages directs</w:t>
            </w:r>
            <w:r w:rsidRPr="003122E4">
              <w:rPr>
                <w:i/>
                <w:noProof/>
                <w:color w:val="000000"/>
                <w:sz w:val="14"/>
              </w:rPr>
              <w:t xml:space="preserve"> (jusqu’au seuil fixé pour les catastrophes majeures)</w:t>
            </w:r>
          </w:p>
        </w:tc>
        <w:tc>
          <w:tcPr>
            <w:tcW w:w="1132" w:type="dxa"/>
            <w:vAlign w:val="center"/>
            <w:hideMark/>
          </w:tcPr>
          <w:p w:rsidR="00205470" w:rsidRPr="003122E4" w:rsidRDefault="00205470">
            <w:pPr>
              <w:spacing w:before="0" w:after="0"/>
              <w:jc w:val="center"/>
              <w:rPr>
                <w:b/>
                <w:bCs/>
                <w:noProof/>
                <w:color w:val="000000"/>
                <w:sz w:val="14"/>
                <w:szCs w:val="14"/>
              </w:rPr>
            </w:pPr>
            <w:r w:rsidRPr="003122E4">
              <w:rPr>
                <w:b/>
                <w:noProof/>
                <w:color w:val="000000"/>
                <w:sz w:val="14"/>
              </w:rPr>
              <w:t>6 % du total des dommages directs</w:t>
            </w:r>
            <w:r w:rsidRPr="003122E4">
              <w:rPr>
                <w:noProof/>
                <w:color w:val="000000"/>
                <w:sz w:val="14"/>
              </w:rPr>
              <w:t xml:space="preserve"> </w:t>
            </w:r>
            <w:r w:rsidRPr="003122E4">
              <w:rPr>
                <w:i/>
                <w:noProof/>
                <w:color w:val="000000"/>
                <w:sz w:val="14"/>
              </w:rPr>
              <w:t>(au-dessus du seuil fixé pour les catastrophes majeures)</w:t>
            </w:r>
          </w:p>
        </w:tc>
        <w:tc>
          <w:tcPr>
            <w:tcW w:w="1069" w:type="dxa"/>
            <w:vAlign w:val="center"/>
            <w:hideMark/>
          </w:tcPr>
          <w:p w:rsidR="00205470" w:rsidRPr="003122E4" w:rsidRDefault="00205470">
            <w:pPr>
              <w:spacing w:before="0" w:after="0"/>
              <w:jc w:val="center"/>
              <w:rPr>
                <w:b/>
                <w:bCs/>
                <w:noProof/>
                <w:color w:val="000000"/>
                <w:sz w:val="16"/>
                <w:szCs w:val="16"/>
              </w:rPr>
            </w:pPr>
            <w:r w:rsidRPr="003122E4">
              <w:rPr>
                <w:b/>
                <w:noProof/>
                <w:color w:val="000000"/>
                <w:sz w:val="16"/>
              </w:rPr>
              <w:t xml:space="preserve">Aide proposée au titre du FSUE </w:t>
            </w:r>
          </w:p>
        </w:tc>
        <w:tc>
          <w:tcPr>
            <w:tcW w:w="1039" w:type="dxa"/>
            <w:vAlign w:val="center"/>
            <w:hideMark/>
          </w:tcPr>
          <w:p w:rsidR="00205470" w:rsidRPr="003122E4" w:rsidRDefault="00205470">
            <w:pPr>
              <w:spacing w:before="0" w:after="0"/>
              <w:jc w:val="center"/>
              <w:rPr>
                <w:b/>
                <w:bCs/>
                <w:noProof/>
                <w:color w:val="000000"/>
                <w:sz w:val="16"/>
                <w:szCs w:val="16"/>
              </w:rPr>
            </w:pPr>
            <w:r w:rsidRPr="003122E4">
              <w:rPr>
                <w:b/>
                <w:noProof/>
                <w:color w:val="000000"/>
                <w:sz w:val="16"/>
              </w:rPr>
              <w:t>Avances</w:t>
            </w:r>
          </w:p>
        </w:tc>
        <w:tc>
          <w:tcPr>
            <w:tcW w:w="1085" w:type="dxa"/>
            <w:vAlign w:val="center"/>
            <w:hideMark/>
          </w:tcPr>
          <w:p w:rsidR="00205470" w:rsidRPr="003122E4" w:rsidRDefault="00205470">
            <w:pPr>
              <w:spacing w:before="0" w:after="0"/>
              <w:jc w:val="center"/>
              <w:rPr>
                <w:b/>
                <w:bCs/>
                <w:noProof/>
                <w:color w:val="000000"/>
                <w:sz w:val="16"/>
                <w:szCs w:val="16"/>
              </w:rPr>
            </w:pPr>
            <w:r w:rsidRPr="003122E4">
              <w:rPr>
                <w:b/>
                <w:noProof/>
                <w:color w:val="000000"/>
                <w:sz w:val="16"/>
              </w:rPr>
              <w:t>Solde à verser</w:t>
            </w:r>
          </w:p>
        </w:tc>
      </w:tr>
      <w:bookmarkEnd w:id="5"/>
      <w:tr w:rsidR="00440906" w:rsidRPr="003122E4" w:rsidTr="00471790">
        <w:trPr>
          <w:trHeight w:val="277"/>
        </w:trPr>
        <w:tc>
          <w:tcPr>
            <w:tcW w:w="1566" w:type="dxa"/>
            <w:vMerge/>
            <w:vAlign w:val="center"/>
            <w:hideMark/>
          </w:tcPr>
          <w:p w:rsidR="00205470" w:rsidRPr="003122E4" w:rsidRDefault="00205470">
            <w:pPr>
              <w:spacing w:before="0" w:after="0"/>
              <w:jc w:val="left"/>
              <w:rPr>
                <w:b/>
                <w:bCs/>
                <w:noProof/>
                <w:color w:val="000000"/>
                <w:sz w:val="16"/>
                <w:szCs w:val="16"/>
                <w:lang w:eastAsia="en-IE"/>
              </w:rPr>
            </w:pPr>
          </w:p>
        </w:tc>
        <w:tc>
          <w:tcPr>
            <w:tcW w:w="1196" w:type="dxa"/>
            <w:vAlign w:val="center"/>
            <w:hideMark/>
          </w:tcPr>
          <w:p w:rsidR="00205470" w:rsidRPr="003122E4" w:rsidRDefault="00205470">
            <w:pPr>
              <w:spacing w:before="0" w:after="0"/>
              <w:jc w:val="center"/>
              <w:rPr>
                <w:noProof/>
                <w:color w:val="000000"/>
                <w:sz w:val="16"/>
                <w:szCs w:val="16"/>
              </w:rPr>
            </w:pPr>
            <w:r w:rsidRPr="003122E4">
              <w:rPr>
                <w:noProof/>
                <w:color w:val="000000"/>
                <w:sz w:val="16"/>
              </w:rPr>
              <w:t>(en EUR)</w:t>
            </w:r>
          </w:p>
        </w:tc>
        <w:tc>
          <w:tcPr>
            <w:tcW w:w="1261" w:type="dxa"/>
            <w:vAlign w:val="center"/>
            <w:hideMark/>
          </w:tcPr>
          <w:p w:rsidR="00205470" w:rsidRPr="003122E4" w:rsidRDefault="00205470">
            <w:pPr>
              <w:spacing w:before="0" w:after="0"/>
              <w:jc w:val="center"/>
              <w:rPr>
                <w:noProof/>
                <w:color w:val="000000"/>
                <w:sz w:val="16"/>
                <w:szCs w:val="16"/>
              </w:rPr>
            </w:pPr>
            <w:r w:rsidRPr="003122E4">
              <w:rPr>
                <w:noProof/>
                <w:color w:val="000000"/>
                <w:sz w:val="16"/>
              </w:rPr>
              <w:t>(en EUR)</w:t>
            </w:r>
          </w:p>
        </w:tc>
        <w:tc>
          <w:tcPr>
            <w:tcW w:w="1091" w:type="dxa"/>
            <w:vAlign w:val="center"/>
            <w:hideMark/>
          </w:tcPr>
          <w:p w:rsidR="00205470" w:rsidRPr="003122E4" w:rsidRDefault="00205470">
            <w:pPr>
              <w:spacing w:before="0" w:after="0"/>
              <w:jc w:val="center"/>
              <w:rPr>
                <w:noProof/>
                <w:color w:val="000000"/>
                <w:sz w:val="16"/>
                <w:szCs w:val="16"/>
              </w:rPr>
            </w:pPr>
            <w:r w:rsidRPr="003122E4">
              <w:rPr>
                <w:noProof/>
                <w:color w:val="000000"/>
                <w:sz w:val="16"/>
              </w:rPr>
              <w:t>(en EUR)</w:t>
            </w:r>
          </w:p>
        </w:tc>
        <w:tc>
          <w:tcPr>
            <w:tcW w:w="1132" w:type="dxa"/>
            <w:vAlign w:val="center"/>
            <w:hideMark/>
          </w:tcPr>
          <w:p w:rsidR="00205470" w:rsidRPr="003122E4" w:rsidRDefault="00205470">
            <w:pPr>
              <w:spacing w:before="0" w:after="0"/>
              <w:jc w:val="center"/>
              <w:rPr>
                <w:noProof/>
                <w:color w:val="000000"/>
                <w:sz w:val="16"/>
                <w:szCs w:val="16"/>
              </w:rPr>
            </w:pPr>
            <w:r w:rsidRPr="003122E4">
              <w:rPr>
                <w:noProof/>
                <w:color w:val="000000"/>
                <w:sz w:val="16"/>
              </w:rPr>
              <w:t>(en EUR)</w:t>
            </w:r>
          </w:p>
        </w:tc>
        <w:tc>
          <w:tcPr>
            <w:tcW w:w="1069" w:type="dxa"/>
            <w:vAlign w:val="center"/>
            <w:hideMark/>
          </w:tcPr>
          <w:p w:rsidR="00205470" w:rsidRPr="003122E4" w:rsidRDefault="00205470">
            <w:pPr>
              <w:spacing w:before="0" w:after="0"/>
              <w:jc w:val="center"/>
              <w:rPr>
                <w:noProof/>
                <w:color w:val="000000"/>
                <w:sz w:val="16"/>
                <w:szCs w:val="16"/>
              </w:rPr>
            </w:pPr>
            <w:r w:rsidRPr="003122E4">
              <w:rPr>
                <w:noProof/>
                <w:color w:val="000000"/>
                <w:sz w:val="16"/>
              </w:rPr>
              <w:t>(en EUR)</w:t>
            </w:r>
          </w:p>
        </w:tc>
        <w:tc>
          <w:tcPr>
            <w:tcW w:w="1039" w:type="dxa"/>
            <w:vAlign w:val="center"/>
            <w:hideMark/>
          </w:tcPr>
          <w:p w:rsidR="00205470" w:rsidRPr="003122E4" w:rsidRDefault="00205470">
            <w:pPr>
              <w:spacing w:before="0" w:after="0"/>
              <w:jc w:val="center"/>
              <w:rPr>
                <w:noProof/>
                <w:color w:val="000000"/>
                <w:sz w:val="16"/>
                <w:szCs w:val="16"/>
              </w:rPr>
            </w:pPr>
            <w:r w:rsidRPr="003122E4">
              <w:rPr>
                <w:noProof/>
                <w:color w:val="000000"/>
                <w:sz w:val="16"/>
              </w:rPr>
              <w:t>(en EUR)</w:t>
            </w:r>
          </w:p>
        </w:tc>
        <w:tc>
          <w:tcPr>
            <w:tcW w:w="1085" w:type="dxa"/>
            <w:vAlign w:val="center"/>
            <w:hideMark/>
          </w:tcPr>
          <w:p w:rsidR="00205470" w:rsidRPr="003122E4" w:rsidRDefault="00205470">
            <w:pPr>
              <w:spacing w:before="0" w:after="0"/>
              <w:jc w:val="center"/>
              <w:rPr>
                <w:noProof/>
                <w:color w:val="000000"/>
                <w:sz w:val="16"/>
                <w:szCs w:val="16"/>
              </w:rPr>
            </w:pPr>
            <w:r w:rsidRPr="003122E4">
              <w:rPr>
                <w:noProof/>
                <w:color w:val="000000"/>
                <w:sz w:val="16"/>
              </w:rPr>
              <w:t>(en EUR)</w:t>
            </w:r>
          </w:p>
        </w:tc>
      </w:tr>
      <w:tr w:rsidR="00C844C1" w:rsidRPr="003122E4" w:rsidTr="00471790">
        <w:trPr>
          <w:trHeight w:val="277"/>
        </w:trPr>
        <w:tc>
          <w:tcPr>
            <w:tcW w:w="1566" w:type="dxa"/>
            <w:vAlign w:val="center"/>
            <w:hideMark/>
          </w:tcPr>
          <w:p w:rsidR="00205470" w:rsidRPr="003122E4" w:rsidRDefault="00205470">
            <w:pPr>
              <w:spacing w:before="0" w:after="0"/>
              <w:jc w:val="left"/>
              <w:rPr>
                <w:b/>
                <w:bCs/>
                <w:noProof/>
                <w:color w:val="000000"/>
                <w:sz w:val="16"/>
                <w:szCs w:val="16"/>
              </w:rPr>
            </w:pPr>
            <w:r w:rsidRPr="003122E4">
              <w:rPr>
                <w:b/>
                <w:noProof/>
                <w:color w:val="000000"/>
                <w:sz w:val="16"/>
              </w:rPr>
              <w:t>Roumanie — inondations</w:t>
            </w:r>
          </w:p>
        </w:tc>
        <w:tc>
          <w:tcPr>
            <w:tcW w:w="1196" w:type="dxa"/>
            <w:vMerge w:val="restart"/>
            <w:vAlign w:val="center"/>
            <w:hideMark/>
          </w:tcPr>
          <w:p w:rsidR="00205470" w:rsidRPr="003122E4" w:rsidRDefault="00205470">
            <w:pPr>
              <w:spacing w:before="0" w:after="0"/>
              <w:jc w:val="right"/>
              <w:rPr>
                <w:noProof/>
                <w:sz w:val="16"/>
                <w:szCs w:val="16"/>
              </w:rPr>
            </w:pPr>
            <w:r w:rsidRPr="003122E4">
              <w:rPr>
                <w:noProof/>
                <w:sz w:val="16"/>
              </w:rPr>
              <w:t>573 587 000</w:t>
            </w:r>
          </w:p>
        </w:tc>
        <w:tc>
          <w:tcPr>
            <w:tcW w:w="1261" w:type="dxa"/>
            <w:vMerge w:val="restart"/>
            <w:vAlign w:val="center"/>
            <w:hideMark/>
          </w:tcPr>
          <w:p w:rsidR="00205470" w:rsidRPr="003122E4" w:rsidRDefault="00205470">
            <w:pPr>
              <w:spacing w:before="0" w:after="0"/>
              <w:jc w:val="right"/>
              <w:rPr>
                <w:noProof/>
                <w:sz w:val="16"/>
                <w:szCs w:val="16"/>
              </w:rPr>
            </w:pPr>
            <w:r w:rsidRPr="003122E4">
              <w:rPr>
                <w:noProof/>
                <w:sz w:val="16"/>
              </w:rPr>
              <w:t>477 819 000</w:t>
            </w:r>
          </w:p>
        </w:tc>
        <w:tc>
          <w:tcPr>
            <w:tcW w:w="1091" w:type="dxa"/>
            <w:vMerge w:val="restart"/>
            <w:vAlign w:val="center"/>
            <w:hideMark/>
          </w:tcPr>
          <w:p w:rsidR="00205470" w:rsidRPr="003122E4" w:rsidRDefault="00205470">
            <w:pPr>
              <w:spacing w:before="0" w:after="0"/>
              <w:jc w:val="center"/>
              <w:rPr>
                <w:noProof/>
                <w:sz w:val="16"/>
                <w:szCs w:val="16"/>
              </w:rPr>
            </w:pPr>
            <w:r w:rsidRPr="003122E4">
              <w:rPr>
                <w:noProof/>
                <w:sz w:val="16"/>
              </w:rPr>
              <w:t>14 339 675</w:t>
            </w:r>
          </w:p>
        </w:tc>
        <w:tc>
          <w:tcPr>
            <w:tcW w:w="1132" w:type="dxa"/>
            <w:vMerge w:val="restart"/>
            <w:vAlign w:val="center"/>
            <w:hideMark/>
          </w:tcPr>
          <w:p w:rsidR="00205470" w:rsidRPr="003122E4" w:rsidRDefault="00205470">
            <w:pPr>
              <w:spacing w:before="0" w:after="0"/>
              <w:jc w:val="center"/>
              <w:rPr>
                <w:noProof/>
                <w:sz w:val="16"/>
                <w:szCs w:val="16"/>
              </w:rPr>
            </w:pPr>
            <w:r w:rsidRPr="003122E4">
              <w:rPr>
                <w:noProof/>
                <w:sz w:val="16"/>
              </w:rPr>
              <w:t>s.o.</w:t>
            </w:r>
          </w:p>
        </w:tc>
        <w:tc>
          <w:tcPr>
            <w:tcW w:w="1069" w:type="dxa"/>
            <w:vMerge w:val="restart"/>
            <w:vAlign w:val="center"/>
            <w:hideMark/>
          </w:tcPr>
          <w:p w:rsidR="00205470" w:rsidRPr="003122E4" w:rsidRDefault="00205470">
            <w:pPr>
              <w:spacing w:before="0" w:after="0"/>
              <w:jc w:val="right"/>
              <w:rPr>
                <w:b/>
                <w:bCs/>
                <w:noProof/>
                <w:sz w:val="16"/>
                <w:szCs w:val="16"/>
              </w:rPr>
            </w:pPr>
            <w:r w:rsidRPr="003122E4">
              <w:rPr>
                <w:b/>
                <w:noProof/>
                <w:sz w:val="16"/>
              </w:rPr>
              <w:t>14 339 675</w:t>
            </w:r>
          </w:p>
        </w:tc>
        <w:tc>
          <w:tcPr>
            <w:tcW w:w="1039" w:type="dxa"/>
            <w:vMerge w:val="restart"/>
            <w:vAlign w:val="center"/>
            <w:hideMark/>
          </w:tcPr>
          <w:p w:rsidR="00205470" w:rsidRPr="003122E4" w:rsidRDefault="00205470">
            <w:pPr>
              <w:spacing w:before="0" w:after="0"/>
              <w:jc w:val="center"/>
              <w:rPr>
                <w:noProof/>
                <w:sz w:val="16"/>
                <w:szCs w:val="16"/>
              </w:rPr>
            </w:pPr>
            <w:r w:rsidRPr="003122E4">
              <w:rPr>
                <w:noProof/>
                <w:sz w:val="16"/>
              </w:rPr>
              <w:t>non sollicitées</w:t>
            </w:r>
          </w:p>
        </w:tc>
        <w:tc>
          <w:tcPr>
            <w:tcW w:w="1085" w:type="dxa"/>
            <w:vMerge w:val="restart"/>
            <w:vAlign w:val="center"/>
            <w:hideMark/>
          </w:tcPr>
          <w:p w:rsidR="00205470" w:rsidRPr="003122E4" w:rsidRDefault="00205470">
            <w:pPr>
              <w:spacing w:before="0" w:after="0"/>
              <w:jc w:val="right"/>
              <w:rPr>
                <w:b/>
                <w:bCs/>
                <w:noProof/>
                <w:sz w:val="16"/>
                <w:szCs w:val="16"/>
              </w:rPr>
            </w:pPr>
            <w:r w:rsidRPr="003122E4">
              <w:rPr>
                <w:b/>
                <w:noProof/>
                <w:sz w:val="16"/>
              </w:rPr>
              <w:t>14 339 675</w:t>
            </w:r>
          </w:p>
        </w:tc>
      </w:tr>
      <w:tr w:rsidR="00471790" w:rsidRPr="003122E4" w:rsidTr="00471790">
        <w:trPr>
          <w:trHeight w:val="277"/>
        </w:trPr>
        <w:tc>
          <w:tcPr>
            <w:tcW w:w="1566" w:type="dxa"/>
            <w:vAlign w:val="center"/>
            <w:hideMark/>
          </w:tcPr>
          <w:p w:rsidR="00205470" w:rsidRPr="003122E4" w:rsidRDefault="00205470">
            <w:pPr>
              <w:spacing w:before="0" w:after="0"/>
              <w:jc w:val="left"/>
              <w:rPr>
                <w:i/>
                <w:iCs/>
                <w:noProof/>
                <w:color w:val="000000"/>
                <w:sz w:val="16"/>
                <w:szCs w:val="16"/>
              </w:rPr>
            </w:pPr>
            <w:r w:rsidRPr="003122E4">
              <w:rPr>
                <w:i/>
                <w:noProof/>
                <w:color w:val="000000"/>
                <w:sz w:val="16"/>
              </w:rPr>
              <w:t>catastrophe régionale</w:t>
            </w:r>
          </w:p>
        </w:tc>
        <w:tc>
          <w:tcPr>
            <w:tcW w:w="1196" w:type="dxa"/>
            <w:vMerge/>
            <w:vAlign w:val="center"/>
            <w:hideMark/>
          </w:tcPr>
          <w:p w:rsidR="00205470" w:rsidRPr="003122E4" w:rsidRDefault="00205470">
            <w:pPr>
              <w:spacing w:before="0" w:after="0"/>
              <w:jc w:val="left"/>
              <w:rPr>
                <w:noProof/>
                <w:sz w:val="16"/>
                <w:szCs w:val="16"/>
                <w:lang w:eastAsia="en-IE"/>
              </w:rPr>
            </w:pPr>
          </w:p>
        </w:tc>
        <w:tc>
          <w:tcPr>
            <w:tcW w:w="1261" w:type="dxa"/>
            <w:vMerge/>
            <w:vAlign w:val="center"/>
            <w:hideMark/>
          </w:tcPr>
          <w:p w:rsidR="00205470" w:rsidRPr="003122E4" w:rsidRDefault="00205470">
            <w:pPr>
              <w:spacing w:before="0" w:after="0"/>
              <w:jc w:val="left"/>
              <w:rPr>
                <w:noProof/>
                <w:sz w:val="16"/>
                <w:szCs w:val="16"/>
                <w:lang w:eastAsia="en-IE"/>
              </w:rPr>
            </w:pPr>
          </w:p>
        </w:tc>
        <w:tc>
          <w:tcPr>
            <w:tcW w:w="1091" w:type="dxa"/>
            <w:vMerge/>
            <w:vAlign w:val="center"/>
            <w:hideMark/>
          </w:tcPr>
          <w:p w:rsidR="00205470" w:rsidRPr="003122E4" w:rsidRDefault="00205470">
            <w:pPr>
              <w:spacing w:before="0" w:after="0"/>
              <w:jc w:val="left"/>
              <w:rPr>
                <w:noProof/>
                <w:sz w:val="16"/>
                <w:szCs w:val="16"/>
                <w:lang w:eastAsia="en-IE"/>
              </w:rPr>
            </w:pPr>
          </w:p>
        </w:tc>
        <w:tc>
          <w:tcPr>
            <w:tcW w:w="1132" w:type="dxa"/>
            <w:vMerge/>
            <w:vAlign w:val="center"/>
            <w:hideMark/>
          </w:tcPr>
          <w:p w:rsidR="00205470" w:rsidRPr="003122E4" w:rsidRDefault="00205470">
            <w:pPr>
              <w:spacing w:before="0" w:after="0"/>
              <w:jc w:val="left"/>
              <w:rPr>
                <w:noProof/>
                <w:sz w:val="16"/>
                <w:szCs w:val="16"/>
                <w:lang w:eastAsia="en-IE"/>
              </w:rPr>
            </w:pPr>
          </w:p>
        </w:tc>
        <w:tc>
          <w:tcPr>
            <w:tcW w:w="1069" w:type="dxa"/>
            <w:vMerge/>
            <w:vAlign w:val="center"/>
            <w:hideMark/>
          </w:tcPr>
          <w:p w:rsidR="00205470" w:rsidRPr="003122E4" w:rsidRDefault="00205470">
            <w:pPr>
              <w:spacing w:before="0" w:after="0"/>
              <w:jc w:val="left"/>
              <w:rPr>
                <w:b/>
                <w:bCs/>
                <w:noProof/>
                <w:sz w:val="16"/>
                <w:szCs w:val="16"/>
                <w:lang w:eastAsia="en-IE"/>
              </w:rPr>
            </w:pPr>
          </w:p>
        </w:tc>
        <w:tc>
          <w:tcPr>
            <w:tcW w:w="1039" w:type="dxa"/>
            <w:vMerge/>
            <w:vAlign w:val="center"/>
            <w:hideMark/>
          </w:tcPr>
          <w:p w:rsidR="00205470" w:rsidRPr="003122E4" w:rsidRDefault="00205470">
            <w:pPr>
              <w:spacing w:before="0" w:after="0"/>
              <w:jc w:val="left"/>
              <w:rPr>
                <w:noProof/>
                <w:sz w:val="16"/>
                <w:szCs w:val="16"/>
                <w:lang w:eastAsia="en-IE"/>
              </w:rPr>
            </w:pPr>
          </w:p>
        </w:tc>
        <w:tc>
          <w:tcPr>
            <w:tcW w:w="1085" w:type="dxa"/>
            <w:vMerge/>
            <w:vAlign w:val="center"/>
            <w:hideMark/>
          </w:tcPr>
          <w:p w:rsidR="00205470" w:rsidRPr="003122E4" w:rsidRDefault="00205470">
            <w:pPr>
              <w:spacing w:before="0" w:after="0"/>
              <w:jc w:val="left"/>
              <w:rPr>
                <w:b/>
                <w:bCs/>
                <w:noProof/>
                <w:sz w:val="16"/>
                <w:szCs w:val="16"/>
                <w:lang w:eastAsia="en-IE"/>
              </w:rPr>
            </w:pPr>
          </w:p>
        </w:tc>
      </w:tr>
      <w:tr w:rsidR="00C844C1" w:rsidRPr="003122E4" w:rsidTr="00471790">
        <w:trPr>
          <w:trHeight w:val="277"/>
        </w:trPr>
        <w:tc>
          <w:tcPr>
            <w:tcW w:w="1566" w:type="dxa"/>
            <w:vAlign w:val="center"/>
            <w:hideMark/>
          </w:tcPr>
          <w:p w:rsidR="00205470" w:rsidRPr="003122E4" w:rsidRDefault="00205470">
            <w:pPr>
              <w:spacing w:before="0" w:after="0"/>
              <w:jc w:val="left"/>
              <w:rPr>
                <w:b/>
                <w:bCs/>
                <w:noProof/>
                <w:color w:val="000000"/>
                <w:sz w:val="16"/>
                <w:szCs w:val="16"/>
              </w:rPr>
            </w:pPr>
            <w:r w:rsidRPr="003122E4">
              <w:rPr>
                <w:b/>
                <w:noProof/>
                <w:color w:val="000000"/>
                <w:sz w:val="16"/>
              </w:rPr>
              <w:t xml:space="preserve">Chypre — incendies de forêt </w:t>
            </w:r>
          </w:p>
        </w:tc>
        <w:tc>
          <w:tcPr>
            <w:tcW w:w="1196" w:type="dxa"/>
            <w:vMerge w:val="restart"/>
            <w:vAlign w:val="center"/>
            <w:hideMark/>
          </w:tcPr>
          <w:p w:rsidR="00205470" w:rsidRPr="003122E4" w:rsidRDefault="00205470">
            <w:pPr>
              <w:spacing w:before="0" w:after="0"/>
              <w:jc w:val="right"/>
              <w:rPr>
                <w:noProof/>
                <w:sz w:val="16"/>
                <w:szCs w:val="16"/>
              </w:rPr>
            </w:pPr>
            <w:r w:rsidRPr="003122E4">
              <w:rPr>
                <w:noProof/>
                <w:sz w:val="16"/>
              </w:rPr>
              <w:t>252 680 561</w:t>
            </w:r>
          </w:p>
        </w:tc>
        <w:tc>
          <w:tcPr>
            <w:tcW w:w="1261" w:type="dxa"/>
            <w:vMerge w:val="restart"/>
            <w:vAlign w:val="center"/>
            <w:hideMark/>
          </w:tcPr>
          <w:p w:rsidR="00205470" w:rsidRPr="003122E4" w:rsidRDefault="00205470">
            <w:pPr>
              <w:spacing w:before="0" w:after="0"/>
              <w:jc w:val="right"/>
              <w:rPr>
                <w:noProof/>
                <w:sz w:val="16"/>
                <w:szCs w:val="16"/>
              </w:rPr>
            </w:pPr>
            <w:r w:rsidRPr="003122E4">
              <w:rPr>
                <w:noProof/>
                <w:sz w:val="16"/>
              </w:rPr>
              <w:t>170 046 000</w:t>
            </w:r>
          </w:p>
        </w:tc>
        <w:tc>
          <w:tcPr>
            <w:tcW w:w="1091" w:type="dxa"/>
            <w:vMerge w:val="restart"/>
            <w:vAlign w:val="center"/>
            <w:hideMark/>
          </w:tcPr>
          <w:p w:rsidR="00205470" w:rsidRPr="003122E4" w:rsidRDefault="00205470">
            <w:pPr>
              <w:spacing w:before="0" w:after="0"/>
              <w:jc w:val="center"/>
              <w:rPr>
                <w:noProof/>
                <w:sz w:val="16"/>
                <w:szCs w:val="16"/>
              </w:rPr>
            </w:pPr>
            <w:r w:rsidRPr="003122E4">
              <w:rPr>
                <w:noProof/>
                <w:sz w:val="16"/>
              </w:rPr>
              <w:t>4 251 150</w:t>
            </w:r>
          </w:p>
        </w:tc>
        <w:tc>
          <w:tcPr>
            <w:tcW w:w="1132" w:type="dxa"/>
            <w:vMerge w:val="restart"/>
            <w:vAlign w:val="center"/>
            <w:hideMark/>
          </w:tcPr>
          <w:p w:rsidR="00205470" w:rsidRPr="003122E4" w:rsidRDefault="00205470">
            <w:pPr>
              <w:spacing w:before="0" w:after="0"/>
              <w:jc w:val="center"/>
              <w:rPr>
                <w:noProof/>
                <w:sz w:val="16"/>
                <w:szCs w:val="16"/>
              </w:rPr>
            </w:pPr>
            <w:r w:rsidRPr="003122E4">
              <w:rPr>
                <w:noProof/>
                <w:sz w:val="16"/>
              </w:rPr>
              <w:t>4 958 074</w:t>
            </w:r>
          </w:p>
        </w:tc>
        <w:tc>
          <w:tcPr>
            <w:tcW w:w="1069" w:type="dxa"/>
            <w:vMerge w:val="restart"/>
            <w:vAlign w:val="center"/>
            <w:hideMark/>
          </w:tcPr>
          <w:p w:rsidR="00205470" w:rsidRPr="003122E4" w:rsidRDefault="00205470">
            <w:pPr>
              <w:spacing w:before="0" w:after="0"/>
              <w:jc w:val="right"/>
              <w:rPr>
                <w:b/>
                <w:bCs/>
                <w:noProof/>
                <w:sz w:val="16"/>
                <w:szCs w:val="16"/>
              </w:rPr>
            </w:pPr>
            <w:r w:rsidRPr="003122E4">
              <w:rPr>
                <w:b/>
                <w:noProof/>
                <w:sz w:val="16"/>
              </w:rPr>
              <w:t>9 209 223</w:t>
            </w:r>
          </w:p>
        </w:tc>
        <w:tc>
          <w:tcPr>
            <w:tcW w:w="1039" w:type="dxa"/>
            <w:vMerge w:val="restart"/>
            <w:vAlign w:val="center"/>
            <w:hideMark/>
          </w:tcPr>
          <w:p w:rsidR="00205470" w:rsidRPr="003122E4" w:rsidRDefault="00205470">
            <w:pPr>
              <w:spacing w:before="0" w:after="0"/>
              <w:jc w:val="right"/>
              <w:rPr>
                <w:noProof/>
                <w:sz w:val="16"/>
                <w:szCs w:val="16"/>
              </w:rPr>
            </w:pPr>
            <w:r w:rsidRPr="003122E4">
              <w:rPr>
                <w:noProof/>
                <w:sz w:val="16"/>
              </w:rPr>
              <w:t>2 317 465</w:t>
            </w:r>
          </w:p>
        </w:tc>
        <w:tc>
          <w:tcPr>
            <w:tcW w:w="1085" w:type="dxa"/>
            <w:vMerge w:val="restart"/>
            <w:vAlign w:val="center"/>
            <w:hideMark/>
          </w:tcPr>
          <w:p w:rsidR="00205470" w:rsidRPr="003122E4" w:rsidRDefault="00205470">
            <w:pPr>
              <w:spacing w:before="0" w:after="0"/>
              <w:jc w:val="right"/>
              <w:rPr>
                <w:b/>
                <w:bCs/>
                <w:noProof/>
                <w:sz w:val="16"/>
                <w:szCs w:val="16"/>
              </w:rPr>
            </w:pPr>
            <w:r w:rsidRPr="003122E4">
              <w:rPr>
                <w:b/>
                <w:noProof/>
                <w:sz w:val="16"/>
              </w:rPr>
              <w:t>6 891 758</w:t>
            </w:r>
          </w:p>
        </w:tc>
      </w:tr>
      <w:tr w:rsidR="00471790" w:rsidRPr="003122E4" w:rsidTr="00471790">
        <w:trPr>
          <w:trHeight w:val="277"/>
        </w:trPr>
        <w:tc>
          <w:tcPr>
            <w:tcW w:w="1566" w:type="dxa"/>
            <w:vAlign w:val="center"/>
            <w:hideMark/>
          </w:tcPr>
          <w:p w:rsidR="00205470" w:rsidRPr="003122E4" w:rsidRDefault="00205470">
            <w:pPr>
              <w:spacing w:before="0" w:after="0"/>
              <w:jc w:val="left"/>
              <w:rPr>
                <w:i/>
                <w:iCs/>
                <w:noProof/>
                <w:color w:val="000000"/>
                <w:sz w:val="16"/>
                <w:szCs w:val="16"/>
              </w:rPr>
            </w:pPr>
            <w:r w:rsidRPr="003122E4">
              <w:rPr>
                <w:i/>
                <w:noProof/>
                <w:color w:val="000000"/>
                <w:sz w:val="16"/>
              </w:rPr>
              <w:t>catastrophe majeure</w:t>
            </w:r>
          </w:p>
        </w:tc>
        <w:tc>
          <w:tcPr>
            <w:tcW w:w="1196" w:type="dxa"/>
            <w:vMerge/>
            <w:vAlign w:val="center"/>
            <w:hideMark/>
          </w:tcPr>
          <w:p w:rsidR="00205470" w:rsidRPr="003122E4" w:rsidRDefault="00205470">
            <w:pPr>
              <w:spacing w:before="0" w:after="0"/>
              <w:jc w:val="left"/>
              <w:rPr>
                <w:noProof/>
                <w:sz w:val="16"/>
                <w:szCs w:val="16"/>
                <w:lang w:eastAsia="en-IE"/>
              </w:rPr>
            </w:pPr>
          </w:p>
        </w:tc>
        <w:tc>
          <w:tcPr>
            <w:tcW w:w="1261" w:type="dxa"/>
            <w:vMerge/>
            <w:vAlign w:val="center"/>
            <w:hideMark/>
          </w:tcPr>
          <w:p w:rsidR="00205470" w:rsidRPr="003122E4" w:rsidRDefault="00205470">
            <w:pPr>
              <w:spacing w:before="0" w:after="0"/>
              <w:jc w:val="left"/>
              <w:rPr>
                <w:noProof/>
                <w:sz w:val="16"/>
                <w:szCs w:val="16"/>
                <w:lang w:eastAsia="en-IE"/>
              </w:rPr>
            </w:pPr>
          </w:p>
        </w:tc>
        <w:tc>
          <w:tcPr>
            <w:tcW w:w="1091" w:type="dxa"/>
            <w:vMerge/>
            <w:vAlign w:val="center"/>
            <w:hideMark/>
          </w:tcPr>
          <w:p w:rsidR="00205470" w:rsidRPr="003122E4" w:rsidRDefault="00205470">
            <w:pPr>
              <w:spacing w:before="0" w:after="0"/>
              <w:jc w:val="left"/>
              <w:rPr>
                <w:noProof/>
                <w:sz w:val="16"/>
                <w:szCs w:val="16"/>
                <w:lang w:eastAsia="en-IE"/>
              </w:rPr>
            </w:pPr>
          </w:p>
        </w:tc>
        <w:tc>
          <w:tcPr>
            <w:tcW w:w="1132" w:type="dxa"/>
            <w:vMerge/>
            <w:vAlign w:val="center"/>
            <w:hideMark/>
          </w:tcPr>
          <w:p w:rsidR="00205470" w:rsidRPr="003122E4" w:rsidRDefault="00205470">
            <w:pPr>
              <w:spacing w:before="0" w:after="0"/>
              <w:jc w:val="left"/>
              <w:rPr>
                <w:noProof/>
                <w:sz w:val="16"/>
                <w:szCs w:val="16"/>
                <w:lang w:eastAsia="en-IE"/>
              </w:rPr>
            </w:pPr>
          </w:p>
        </w:tc>
        <w:tc>
          <w:tcPr>
            <w:tcW w:w="1069" w:type="dxa"/>
            <w:vMerge/>
            <w:vAlign w:val="center"/>
            <w:hideMark/>
          </w:tcPr>
          <w:p w:rsidR="00205470" w:rsidRPr="003122E4" w:rsidRDefault="00205470">
            <w:pPr>
              <w:spacing w:before="0" w:after="0"/>
              <w:jc w:val="left"/>
              <w:rPr>
                <w:b/>
                <w:bCs/>
                <w:noProof/>
                <w:sz w:val="16"/>
                <w:szCs w:val="16"/>
                <w:lang w:eastAsia="en-IE"/>
              </w:rPr>
            </w:pPr>
          </w:p>
        </w:tc>
        <w:tc>
          <w:tcPr>
            <w:tcW w:w="1039" w:type="dxa"/>
            <w:vMerge/>
            <w:vAlign w:val="center"/>
            <w:hideMark/>
          </w:tcPr>
          <w:p w:rsidR="00205470" w:rsidRPr="003122E4" w:rsidRDefault="00205470">
            <w:pPr>
              <w:spacing w:before="0" w:after="0"/>
              <w:jc w:val="left"/>
              <w:rPr>
                <w:noProof/>
                <w:sz w:val="16"/>
                <w:szCs w:val="16"/>
                <w:lang w:eastAsia="en-IE"/>
              </w:rPr>
            </w:pPr>
          </w:p>
        </w:tc>
        <w:tc>
          <w:tcPr>
            <w:tcW w:w="1085" w:type="dxa"/>
            <w:vMerge/>
            <w:vAlign w:val="center"/>
            <w:hideMark/>
          </w:tcPr>
          <w:p w:rsidR="00205470" w:rsidRPr="003122E4" w:rsidRDefault="00205470">
            <w:pPr>
              <w:spacing w:before="0" w:after="0"/>
              <w:jc w:val="left"/>
              <w:rPr>
                <w:b/>
                <w:bCs/>
                <w:noProof/>
                <w:sz w:val="16"/>
                <w:szCs w:val="16"/>
                <w:lang w:eastAsia="en-IE"/>
              </w:rPr>
            </w:pPr>
          </w:p>
        </w:tc>
      </w:tr>
      <w:tr w:rsidR="00F32A41" w:rsidRPr="003122E4" w:rsidTr="00471790">
        <w:trPr>
          <w:trHeight w:val="277"/>
        </w:trPr>
        <w:tc>
          <w:tcPr>
            <w:tcW w:w="1566" w:type="dxa"/>
            <w:vAlign w:val="center"/>
            <w:hideMark/>
          </w:tcPr>
          <w:p w:rsidR="00205470" w:rsidRPr="003122E4" w:rsidRDefault="00205470">
            <w:pPr>
              <w:spacing w:before="0" w:after="0"/>
              <w:jc w:val="left"/>
              <w:rPr>
                <w:b/>
                <w:bCs/>
                <w:noProof/>
                <w:color w:val="000000"/>
                <w:sz w:val="16"/>
                <w:szCs w:val="16"/>
              </w:rPr>
            </w:pPr>
            <w:bookmarkStart w:id="6" w:name="_Hlk227859466"/>
            <w:r w:rsidRPr="003122E4">
              <w:rPr>
                <w:b/>
                <w:noProof/>
                <w:color w:val="000000"/>
                <w:sz w:val="16"/>
              </w:rPr>
              <w:t xml:space="preserve">Espagne — incendies de forêt </w:t>
            </w:r>
          </w:p>
        </w:tc>
        <w:tc>
          <w:tcPr>
            <w:tcW w:w="1196" w:type="dxa"/>
            <w:vMerge w:val="restart"/>
            <w:vAlign w:val="center"/>
            <w:hideMark/>
          </w:tcPr>
          <w:p w:rsidR="00205470" w:rsidRPr="003122E4" w:rsidRDefault="00205470">
            <w:pPr>
              <w:spacing w:before="0" w:after="0"/>
              <w:jc w:val="right"/>
              <w:rPr>
                <w:noProof/>
                <w:sz w:val="16"/>
                <w:szCs w:val="16"/>
              </w:rPr>
            </w:pPr>
            <w:r w:rsidRPr="003122E4">
              <w:rPr>
                <w:noProof/>
                <w:sz w:val="16"/>
              </w:rPr>
              <w:t>4 318 268 632</w:t>
            </w:r>
          </w:p>
        </w:tc>
        <w:tc>
          <w:tcPr>
            <w:tcW w:w="1261" w:type="dxa"/>
            <w:vMerge w:val="restart"/>
            <w:vAlign w:val="center"/>
            <w:hideMark/>
          </w:tcPr>
          <w:p w:rsidR="00205470" w:rsidRPr="003122E4" w:rsidRDefault="00205470">
            <w:pPr>
              <w:spacing w:before="0" w:after="0"/>
              <w:jc w:val="right"/>
              <w:rPr>
                <w:noProof/>
                <w:sz w:val="16"/>
                <w:szCs w:val="16"/>
              </w:rPr>
            </w:pPr>
            <w:r w:rsidRPr="003122E4">
              <w:rPr>
                <w:noProof/>
                <w:sz w:val="16"/>
              </w:rPr>
              <w:t>3 958 436 000</w:t>
            </w:r>
          </w:p>
        </w:tc>
        <w:tc>
          <w:tcPr>
            <w:tcW w:w="1091" w:type="dxa"/>
            <w:vMerge w:val="restart"/>
            <w:vAlign w:val="center"/>
            <w:hideMark/>
          </w:tcPr>
          <w:p w:rsidR="00205470" w:rsidRPr="003122E4" w:rsidRDefault="00205470">
            <w:pPr>
              <w:spacing w:before="0" w:after="0"/>
              <w:jc w:val="center"/>
              <w:rPr>
                <w:noProof/>
                <w:sz w:val="16"/>
                <w:szCs w:val="16"/>
              </w:rPr>
            </w:pPr>
            <w:r w:rsidRPr="003122E4">
              <w:rPr>
                <w:noProof/>
                <w:sz w:val="16"/>
              </w:rPr>
              <w:t>98 960 900</w:t>
            </w:r>
          </w:p>
        </w:tc>
        <w:tc>
          <w:tcPr>
            <w:tcW w:w="1132" w:type="dxa"/>
            <w:vMerge w:val="restart"/>
            <w:vAlign w:val="center"/>
            <w:hideMark/>
          </w:tcPr>
          <w:p w:rsidR="00205470" w:rsidRPr="003122E4" w:rsidRDefault="00205470">
            <w:pPr>
              <w:spacing w:before="0" w:after="0"/>
              <w:jc w:val="center"/>
              <w:rPr>
                <w:noProof/>
                <w:sz w:val="16"/>
                <w:szCs w:val="16"/>
              </w:rPr>
            </w:pPr>
            <w:r w:rsidRPr="003122E4">
              <w:rPr>
                <w:noProof/>
                <w:sz w:val="16"/>
              </w:rPr>
              <w:t>21 589 958</w:t>
            </w:r>
          </w:p>
        </w:tc>
        <w:tc>
          <w:tcPr>
            <w:tcW w:w="1069" w:type="dxa"/>
            <w:vMerge w:val="restart"/>
            <w:vAlign w:val="center"/>
            <w:hideMark/>
          </w:tcPr>
          <w:p w:rsidR="00205470" w:rsidRPr="003122E4" w:rsidRDefault="00205470">
            <w:pPr>
              <w:spacing w:before="0" w:after="0"/>
              <w:jc w:val="right"/>
              <w:rPr>
                <w:b/>
                <w:bCs/>
                <w:noProof/>
                <w:sz w:val="16"/>
                <w:szCs w:val="16"/>
              </w:rPr>
            </w:pPr>
            <w:r w:rsidRPr="003122E4">
              <w:rPr>
                <w:b/>
                <w:noProof/>
                <w:sz w:val="16"/>
              </w:rPr>
              <w:t>120 550 858</w:t>
            </w:r>
          </w:p>
        </w:tc>
        <w:tc>
          <w:tcPr>
            <w:tcW w:w="1039" w:type="dxa"/>
            <w:vMerge w:val="restart"/>
            <w:vAlign w:val="center"/>
            <w:hideMark/>
          </w:tcPr>
          <w:p w:rsidR="00205470" w:rsidRPr="003122E4" w:rsidRDefault="00205470">
            <w:pPr>
              <w:spacing w:before="0" w:after="0"/>
              <w:jc w:val="right"/>
              <w:rPr>
                <w:noProof/>
                <w:sz w:val="16"/>
                <w:szCs w:val="16"/>
              </w:rPr>
            </w:pPr>
            <w:r w:rsidRPr="003122E4">
              <w:rPr>
                <w:noProof/>
                <w:sz w:val="16"/>
              </w:rPr>
              <w:t>30 137 714</w:t>
            </w:r>
          </w:p>
        </w:tc>
        <w:tc>
          <w:tcPr>
            <w:tcW w:w="1085" w:type="dxa"/>
            <w:vMerge w:val="restart"/>
            <w:vAlign w:val="center"/>
            <w:hideMark/>
          </w:tcPr>
          <w:p w:rsidR="00205470" w:rsidRPr="003122E4" w:rsidRDefault="00205470">
            <w:pPr>
              <w:spacing w:before="0" w:after="0"/>
              <w:jc w:val="right"/>
              <w:rPr>
                <w:b/>
                <w:bCs/>
                <w:noProof/>
                <w:sz w:val="16"/>
                <w:szCs w:val="16"/>
              </w:rPr>
            </w:pPr>
            <w:r w:rsidRPr="003122E4">
              <w:rPr>
                <w:b/>
                <w:noProof/>
                <w:sz w:val="16"/>
              </w:rPr>
              <w:t>90 413 144</w:t>
            </w:r>
          </w:p>
        </w:tc>
      </w:tr>
      <w:bookmarkEnd w:id="6"/>
      <w:tr w:rsidR="00440906" w:rsidRPr="003122E4" w:rsidTr="00471790">
        <w:trPr>
          <w:trHeight w:val="277"/>
        </w:trPr>
        <w:tc>
          <w:tcPr>
            <w:tcW w:w="1566" w:type="dxa"/>
            <w:vAlign w:val="center"/>
            <w:hideMark/>
          </w:tcPr>
          <w:p w:rsidR="00205470" w:rsidRPr="003122E4" w:rsidRDefault="00205470">
            <w:pPr>
              <w:spacing w:before="0" w:after="0"/>
              <w:jc w:val="left"/>
              <w:rPr>
                <w:i/>
                <w:iCs/>
                <w:noProof/>
                <w:color w:val="000000"/>
                <w:sz w:val="16"/>
                <w:szCs w:val="16"/>
              </w:rPr>
            </w:pPr>
            <w:r w:rsidRPr="003122E4">
              <w:rPr>
                <w:i/>
                <w:noProof/>
                <w:color w:val="000000"/>
                <w:sz w:val="16"/>
              </w:rPr>
              <w:t>catastrophe majeure</w:t>
            </w:r>
          </w:p>
        </w:tc>
        <w:tc>
          <w:tcPr>
            <w:tcW w:w="1196" w:type="dxa"/>
            <w:vMerge/>
            <w:vAlign w:val="center"/>
            <w:hideMark/>
          </w:tcPr>
          <w:p w:rsidR="00205470" w:rsidRPr="003122E4" w:rsidRDefault="00205470">
            <w:pPr>
              <w:spacing w:before="0" w:after="0"/>
              <w:jc w:val="left"/>
              <w:rPr>
                <w:noProof/>
                <w:sz w:val="16"/>
                <w:szCs w:val="16"/>
                <w:lang w:eastAsia="en-IE"/>
              </w:rPr>
            </w:pPr>
          </w:p>
        </w:tc>
        <w:tc>
          <w:tcPr>
            <w:tcW w:w="1261" w:type="dxa"/>
            <w:vMerge/>
            <w:vAlign w:val="center"/>
            <w:hideMark/>
          </w:tcPr>
          <w:p w:rsidR="00205470" w:rsidRPr="003122E4" w:rsidRDefault="00205470">
            <w:pPr>
              <w:spacing w:before="0" w:after="0"/>
              <w:jc w:val="left"/>
              <w:rPr>
                <w:noProof/>
                <w:sz w:val="16"/>
                <w:szCs w:val="16"/>
                <w:lang w:eastAsia="en-IE"/>
              </w:rPr>
            </w:pPr>
          </w:p>
        </w:tc>
        <w:tc>
          <w:tcPr>
            <w:tcW w:w="1091" w:type="dxa"/>
            <w:vMerge/>
            <w:vAlign w:val="center"/>
            <w:hideMark/>
          </w:tcPr>
          <w:p w:rsidR="00205470" w:rsidRPr="003122E4" w:rsidRDefault="00205470">
            <w:pPr>
              <w:spacing w:before="0" w:after="0"/>
              <w:jc w:val="left"/>
              <w:rPr>
                <w:noProof/>
                <w:sz w:val="16"/>
                <w:szCs w:val="16"/>
                <w:lang w:eastAsia="en-IE"/>
              </w:rPr>
            </w:pPr>
          </w:p>
        </w:tc>
        <w:tc>
          <w:tcPr>
            <w:tcW w:w="1132" w:type="dxa"/>
            <w:vMerge/>
            <w:vAlign w:val="center"/>
            <w:hideMark/>
          </w:tcPr>
          <w:p w:rsidR="00205470" w:rsidRPr="003122E4" w:rsidRDefault="00205470">
            <w:pPr>
              <w:spacing w:before="0" w:after="0"/>
              <w:jc w:val="left"/>
              <w:rPr>
                <w:noProof/>
                <w:sz w:val="16"/>
                <w:szCs w:val="16"/>
                <w:lang w:eastAsia="en-IE"/>
              </w:rPr>
            </w:pPr>
          </w:p>
        </w:tc>
        <w:tc>
          <w:tcPr>
            <w:tcW w:w="1069" w:type="dxa"/>
            <w:vMerge/>
            <w:vAlign w:val="center"/>
            <w:hideMark/>
          </w:tcPr>
          <w:p w:rsidR="00205470" w:rsidRPr="003122E4" w:rsidRDefault="00205470">
            <w:pPr>
              <w:spacing w:before="0" w:after="0"/>
              <w:jc w:val="left"/>
              <w:rPr>
                <w:b/>
                <w:bCs/>
                <w:noProof/>
                <w:sz w:val="16"/>
                <w:szCs w:val="16"/>
                <w:lang w:eastAsia="en-IE"/>
              </w:rPr>
            </w:pPr>
          </w:p>
        </w:tc>
        <w:tc>
          <w:tcPr>
            <w:tcW w:w="1039" w:type="dxa"/>
            <w:vMerge/>
            <w:vAlign w:val="center"/>
            <w:hideMark/>
          </w:tcPr>
          <w:p w:rsidR="00205470" w:rsidRPr="003122E4" w:rsidRDefault="00205470">
            <w:pPr>
              <w:spacing w:before="0" w:after="0"/>
              <w:jc w:val="left"/>
              <w:rPr>
                <w:noProof/>
                <w:sz w:val="16"/>
                <w:szCs w:val="16"/>
                <w:lang w:eastAsia="en-IE"/>
              </w:rPr>
            </w:pPr>
          </w:p>
        </w:tc>
        <w:tc>
          <w:tcPr>
            <w:tcW w:w="1085" w:type="dxa"/>
            <w:vMerge/>
            <w:vAlign w:val="center"/>
            <w:hideMark/>
          </w:tcPr>
          <w:p w:rsidR="00205470" w:rsidRPr="003122E4" w:rsidRDefault="00205470">
            <w:pPr>
              <w:spacing w:before="0" w:after="0"/>
              <w:jc w:val="left"/>
              <w:rPr>
                <w:b/>
                <w:bCs/>
                <w:noProof/>
                <w:sz w:val="16"/>
                <w:szCs w:val="16"/>
                <w:lang w:eastAsia="en-IE"/>
              </w:rPr>
            </w:pPr>
          </w:p>
        </w:tc>
      </w:tr>
      <w:tr w:rsidR="00471790" w:rsidRPr="003122E4" w:rsidTr="00471790">
        <w:trPr>
          <w:trHeight w:val="277"/>
        </w:trPr>
        <w:tc>
          <w:tcPr>
            <w:tcW w:w="1566" w:type="dxa"/>
            <w:vAlign w:val="center"/>
            <w:hideMark/>
          </w:tcPr>
          <w:p w:rsidR="00205470" w:rsidRPr="003122E4" w:rsidRDefault="00205470">
            <w:pPr>
              <w:spacing w:before="0" w:after="0"/>
              <w:jc w:val="left"/>
              <w:rPr>
                <w:b/>
                <w:bCs/>
                <w:noProof/>
                <w:color w:val="000000"/>
                <w:sz w:val="16"/>
                <w:szCs w:val="16"/>
              </w:rPr>
            </w:pPr>
            <w:r w:rsidRPr="003122E4">
              <w:rPr>
                <w:b/>
                <w:noProof/>
                <w:color w:val="000000"/>
                <w:sz w:val="16"/>
              </w:rPr>
              <w:t>TOTAL</w:t>
            </w:r>
          </w:p>
        </w:tc>
        <w:tc>
          <w:tcPr>
            <w:tcW w:w="1196" w:type="dxa"/>
            <w:vAlign w:val="center"/>
            <w:hideMark/>
          </w:tcPr>
          <w:p w:rsidR="00205470" w:rsidRPr="003122E4" w:rsidRDefault="00205470">
            <w:pPr>
              <w:spacing w:before="0" w:after="0"/>
              <w:jc w:val="left"/>
              <w:rPr>
                <w:b/>
                <w:bCs/>
                <w:noProof/>
                <w:sz w:val="16"/>
                <w:szCs w:val="16"/>
              </w:rPr>
            </w:pPr>
            <w:r w:rsidRPr="003122E4">
              <w:rPr>
                <w:b/>
                <w:noProof/>
                <w:sz w:val="16"/>
              </w:rPr>
              <w:t xml:space="preserve"> </w:t>
            </w:r>
          </w:p>
        </w:tc>
        <w:tc>
          <w:tcPr>
            <w:tcW w:w="1261" w:type="dxa"/>
            <w:vAlign w:val="center"/>
            <w:hideMark/>
          </w:tcPr>
          <w:p w:rsidR="00205470" w:rsidRPr="003122E4" w:rsidRDefault="00205470">
            <w:pPr>
              <w:spacing w:before="0" w:after="0"/>
              <w:jc w:val="left"/>
              <w:rPr>
                <w:b/>
                <w:bCs/>
                <w:noProof/>
                <w:sz w:val="16"/>
                <w:szCs w:val="16"/>
              </w:rPr>
            </w:pPr>
            <w:r w:rsidRPr="003122E4">
              <w:rPr>
                <w:b/>
                <w:noProof/>
                <w:sz w:val="16"/>
              </w:rPr>
              <w:t xml:space="preserve"> </w:t>
            </w:r>
          </w:p>
        </w:tc>
        <w:tc>
          <w:tcPr>
            <w:tcW w:w="1091" w:type="dxa"/>
            <w:vAlign w:val="center"/>
            <w:hideMark/>
          </w:tcPr>
          <w:p w:rsidR="00205470" w:rsidRPr="003122E4" w:rsidRDefault="00205470">
            <w:pPr>
              <w:spacing w:before="0" w:after="0"/>
              <w:jc w:val="left"/>
              <w:rPr>
                <w:b/>
                <w:bCs/>
                <w:noProof/>
                <w:sz w:val="16"/>
                <w:szCs w:val="16"/>
              </w:rPr>
            </w:pPr>
            <w:r w:rsidRPr="003122E4">
              <w:rPr>
                <w:b/>
                <w:noProof/>
                <w:sz w:val="16"/>
              </w:rPr>
              <w:t xml:space="preserve"> </w:t>
            </w:r>
          </w:p>
        </w:tc>
        <w:tc>
          <w:tcPr>
            <w:tcW w:w="1132" w:type="dxa"/>
            <w:vAlign w:val="center"/>
            <w:hideMark/>
          </w:tcPr>
          <w:p w:rsidR="00205470" w:rsidRPr="003122E4" w:rsidRDefault="00205470">
            <w:pPr>
              <w:spacing w:before="0" w:after="0"/>
              <w:jc w:val="left"/>
              <w:rPr>
                <w:b/>
                <w:bCs/>
                <w:noProof/>
                <w:sz w:val="16"/>
                <w:szCs w:val="16"/>
              </w:rPr>
            </w:pPr>
            <w:r w:rsidRPr="003122E4">
              <w:rPr>
                <w:b/>
                <w:noProof/>
                <w:sz w:val="16"/>
              </w:rPr>
              <w:t xml:space="preserve"> </w:t>
            </w:r>
          </w:p>
        </w:tc>
        <w:tc>
          <w:tcPr>
            <w:tcW w:w="1069" w:type="dxa"/>
            <w:vAlign w:val="center"/>
            <w:hideMark/>
          </w:tcPr>
          <w:p w:rsidR="00205470" w:rsidRPr="003122E4" w:rsidRDefault="00205470">
            <w:pPr>
              <w:spacing w:before="0" w:after="0"/>
              <w:jc w:val="right"/>
              <w:rPr>
                <w:b/>
                <w:bCs/>
                <w:noProof/>
                <w:sz w:val="16"/>
                <w:szCs w:val="16"/>
              </w:rPr>
            </w:pPr>
            <w:r w:rsidRPr="003122E4">
              <w:rPr>
                <w:b/>
                <w:noProof/>
                <w:sz w:val="16"/>
              </w:rPr>
              <w:t>144 099 756</w:t>
            </w:r>
          </w:p>
        </w:tc>
        <w:tc>
          <w:tcPr>
            <w:tcW w:w="1039" w:type="dxa"/>
            <w:vAlign w:val="center"/>
            <w:hideMark/>
          </w:tcPr>
          <w:p w:rsidR="00205470" w:rsidRPr="003122E4" w:rsidRDefault="00205470">
            <w:pPr>
              <w:spacing w:before="0" w:after="0"/>
              <w:jc w:val="right"/>
              <w:rPr>
                <w:noProof/>
                <w:sz w:val="16"/>
                <w:szCs w:val="16"/>
              </w:rPr>
            </w:pPr>
            <w:r w:rsidRPr="003122E4">
              <w:rPr>
                <w:noProof/>
                <w:sz w:val="16"/>
              </w:rPr>
              <w:t>32 455 179</w:t>
            </w:r>
          </w:p>
        </w:tc>
        <w:tc>
          <w:tcPr>
            <w:tcW w:w="1085" w:type="dxa"/>
            <w:vAlign w:val="center"/>
            <w:hideMark/>
          </w:tcPr>
          <w:p w:rsidR="00205470" w:rsidRPr="003122E4" w:rsidRDefault="00205470">
            <w:pPr>
              <w:spacing w:before="0" w:after="0"/>
              <w:jc w:val="right"/>
              <w:rPr>
                <w:b/>
                <w:bCs/>
                <w:noProof/>
                <w:sz w:val="16"/>
                <w:szCs w:val="16"/>
              </w:rPr>
            </w:pPr>
            <w:r w:rsidRPr="003122E4">
              <w:rPr>
                <w:b/>
                <w:noProof/>
                <w:sz w:val="16"/>
              </w:rPr>
              <w:t>111 644 577</w:t>
            </w:r>
          </w:p>
        </w:tc>
      </w:tr>
    </w:tbl>
    <w:p w:rsidR="007208BC" w:rsidRPr="003122E4" w:rsidRDefault="007208BC" w:rsidP="007208BC">
      <w:pPr>
        <w:rPr>
          <w:noProof/>
        </w:rPr>
      </w:pPr>
    </w:p>
    <w:p w:rsidR="007208BC" w:rsidRPr="003122E4" w:rsidRDefault="007208BC" w:rsidP="007208BC">
      <w:pPr>
        <w:rPr>
          <w:noProof/>
        </w:rPr>
      </w:pPr>
      <w:r w:rsidRPr="003122E4">
        <w:rPr>
          <w:noProof/>
        </w:rPr>
        <w:t>Le règlement (UE, Euratom) 2020/2093 du Conseil du 17 décembre 2020 fixant le cadre financier pluriannuel pour les années 2021 à 2027</w:t>
      </w:r>
      <w:r w:rsidRPr="003122E4">
        <w:rPr>
          <w:rStyle w:val="FootnoteReference"/>
          <w:noProof/>
        </w:rPr>
        <w:footnoteReference w:id="6"/>
      </w:r>
      <w:r w:rsidRPr="003122E4">
        <w:rPr>
          <w:noProof/>
        </w:rPr>
        <w:t xml:space="preserve"> (ci‑après le «règlement CFP») permet de mobiliser le FSUE dans le contexte de la réserve de solidarité et d’aide d’urgence. Le règlement (UE, Euratom) 2024/765 du Conseil</w:t>
      </w:r>
      <w:r w:rsidRPr="003122E4">
        <w:rPr>
          <w:rStyle w:val="FootnoteReference"/>
          <w:noProof/>
        </w:rPr>
        <w:footnoteReference w:id="7"/>
      </w:r>
      <w:r w:rsidRPr="003122E4">
        <w:rPr>
          <w:noProof/>
        </w:rPr>
        <w:t xml:space="preserve"> (ci-après dénommé le «règlement CFP modifié») a scindé la réserve de solidarité et d’aide d’urgence en deux instruments distincts: la réserve de solidarité européenne et la réserve d’aide d’urgence.</w:t>
      </w:r>
    </w:p>
    <w:p w:rsidR="007208BC" w:rsidRPr="003122E4" w:rsidRDefault="007208BC" w:rsidP="007208BC">
      <w:pPr>
        <w:rPr>
          <w:noProof/>
        </w:rPr>
      </w:pPr>
      <w:r w:rsidRPr="003122E4">
        <w:rPr>
          <w:noProof/>
        </w:rPr>
        <w:t>La réserve de solidarité européenne, dotée d’un montant annuel de 1 016 millions d’EUR aux prix de 2018 (ce qui correspond à 1 190,4 millions d’EUR aux prix de 2026) sera utilisée pour l’assistance visant à répondre à des situations d’urgence couvertes par le FSUE. Le point 10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3122E4">
        <w:rPr>
          <w:rStyle w:val="FootnoteReference"/>
          <w:noProof/>
        </w:rPr>
        <w:footnoteReference w:id="8"/>
      </w:r>
      <w:r w:rsidRPr="003122E4">
        <w:rPr>
          <w:noProof/>
        </w:rPr>
        <w:t>, fixe les modalités relatives à la mobilisation du FSUE dans le contexte de la réserve de solidarité et d’aide d’urgence.</w:t>
      </w:r>
    </w:p>
    <w:p w:rsidR="007208BC" w:rsidRPr="003122E4" w:rsidRDefault="007208BC" w:rsidP="007208BC">
      <w:pPr>
        <w:rPr>
          <w:noProof/>
        </w:rPr>
      </w:pPr>
      <w:r w:rsidRPr="003122E4">
        <w:rPr>
          <w:noProof/>
        </w:rPr>
        <w:t>Afin d’éviter un épuisement rapide de la dotation annuelle, l’article 3, paragraphe 7, du règlement FSUE et l’article 9, paragraphe 2, deuxième alinéa, du règlement CFP modifié disposent que 25 % de la dotation annuelle du FSUE restent disponibles le 1</w:t>
      </w:r>
      <w:r w:rsidRPr="003122E4">
        <w:rPr>
          <w:noProof/>
          <w:vertAlign w:val="superscript"/>
        </w:rPr>
        <w:t>er</w:t>
      </w:r>
      <w:r w:rsidRPr="003122E4">
        <w:rPr>
          <w:noProof/>
        </w:rPr>
        <w:t> octobre de chaque année (réserve pour la fin d’année). En 2026, ce montant correspond à 297,6 millions d’EUR.</w:t>
      </w:r>
    </w:p>
    <w:p w:rsidR="007208BC" w:rsidRPr="003122E4" w:rsidRDefault="007208BC" w:rsidP="007208BC">
      <w:pPr>
        <w:rPr>
          <w:noProof/>
        </w:rPr>
      </w:pPr>
      <w:r w:rsidRPr="003122E4">
        <w:rPr>
          <w:noProof/>
        </w:rPr>
        <w:lastRenderedPageBreak/>
        <w:t>De plus, conformément à l’article 4 </w:t>
      </w:r>
      <w:r w:rsidRPr="003122E4">
        <w:rPr>
          <w:i/>
          <w:iCs/>
          <w:noProof/>
        </w:rPr>
        <w:t>bis</w:t>
      </w:r>
      <w:r w:rsidRPr="003122E4">
        <w:rPr>
          <w:noProof/>
        </w:rPr>
        <w:t>, paragraphe 4, du règlement FSUE, le montant de 50 millions d’EUR a déjà été inscrit au budget général pour 2026 (en engagements et en paiements) pour le versement d’éventuelles avances. Tant Chypre</w:t>
      </w:r>
      <w:r w:rsidRPr="003122E4">
        <w:rPr>
          <w:rStyle w:val="FootnoteReference"/>
          <w:noProof/>
        </w:rPr>
        <w:footnoteReference w:id="9"/>
      </w:r>
      <w:r w:rsidRPr="003122E4">
        <w:rPr>
          <w:noProof/>
        </w:rPr>
        <w:t xml:space="preserve"> que l’Espagne ont demandé et obtenu des avances s’élevant respectivement à 2,32 millions d’EUR et à 30,14 millions d’EUR.</w:t>
      </w:r>
    </w:p>
    <w:p w:rsidR="007208BC" w:rsidRPr="003122E4" w:rsidRDefault="007208BC" w:rsidP="007208BC">
      <w:pPr>
        <w:rPr>
          <w:noProof/>
        </w:rPr>
      </w:pPr>
      <w:r w:rsidRPr="003122E4">
        <w:rPr>
          <w:noProof/>
        </w:rPr>
        <w:t>Conformément à l’article 9, paragraphe 2, du règlement CFP modifié, toute partie du montant annuel non utilisée au cours de l’exercice n peut être utilisée jusqu’à l’exercice n+1. Le montant de 21,3 millions d’EUR a été reporté de 2025 à 2026, dont 20,85 millions d’EUR sont disponibles pour le versement d’éventuelles avances</w:t>
      </w:r>
      <w:r w:rsidRPr="003122E4">
        <w:rPr>
          <w:rStyle w:val="FootnoteReference"/>
          <w:noProof/>
        </w:rPr>
        <w:footnoteReference w:id="10"/>
      </w:r>
      <w:r w:rsidRPr="003122E4">
        <w:rPr>
          <w:noProof/>
        </w:rPr>
        <w:t>.</w:t>
      </w:r>
    </w:p>
    <w:p w:rsidR="004331C9" w:rsidRPr="003122E4" w:rsidRDefault="007208BC" w:rsidP="00724561">
      <w:pPr>
        <w:rPr>
          <w:noProof/>
        </w:rPr>
      </w:pPr>
      <w:r w:rsidRPr="003122E4">
        <w:rPr>
          <w:noProof/>
        </w:rPr>
        <w:t>En conclusion, le montant total disponible sur la ligne de réserve avant le 1</w:t>
      </w:r>
      <w:r w:rsidRPr="003122E4">
        <w:rPr>
          <w:noProof/>
          <w:vertAlign w:val="superscript"/>
        </w:rPr>
        <w:t>er</w:t>
      </w:r>
      <w:r w:rsidRPr="003122E4">
        <w:rPr>
          <w:noProof/>
        </w:rPr>
        <w:t> octobre s’élève à 843,25 millions d’EUR (hors avances et réserve pour la fin d’année), ce qui est suffisant pour couvrir le montant proposé pour la mobilisation.</w:t>
      </w:r>
    </w:p>
    <w:p w:rsidR="00C918DA" w:rsidRPr="003122E4" w:rsidRDefault="00C918DA">
      <w:pPr>
        <w:spacing w:before="0" w:after="200" w:line="276" w:lineRule="auto"/>
        <w:jc w:val="left"/>
        <w:rPr>
          <w:noProof/>
        </w:rPr>
      </w:pPr>
      <w:r w:rsidRPr="003122E4">
        <w:rPr>
          <w:noProof/>
        </w:rPr>
        <w:br w:type="page"/>
      </w:r>
    </w:p>
    <w:tbl>
      <w:tblPr>
        <w:tblW w:w="9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866"/>
      </w:tblGrid>
      <w:tr w:rsidR="00195C60" w:rsidRPr="003122E4">
        <w:trPr>
          <w:trHeight w:val="290"/>
        </w:trPr>
        <w:tc>
          <w:tcPr>
            <w:tcW w:w="9232" w:type="dxa"/>
            <w:gridSpan w:val="2"/>
            <w:noWrap/>
            <w:vAlign w:val="bottom"/>
            <w:hideMark/>
          </w:tcPr>
          <w:p w:rsidR="00195C60" w:rsidRPr="003122E4" w:rsidRDefault="00195C60">
            <w:pPr>
              <w:jc w:val="left"/>
              <w:rPr>
                <w:b/>
                <w:bCs/>
                <w:noProof/>
                <w:color w:val="000000"/>
                <w:sz w:val="20"/>
                <w:szCs w:val="20"/>
              </w:rPr>
            </w:pPr>
            <w:r w:rsidRPr="003122E4">
              <w:rPr>
                <w:b/>
                <w:noProof/>
                <w:color w:val="000000"/>
                <w:sz w:val="20"/>
              </w:rPr>
              <w:lastRenderedPageBreak/>
              <w:t>Ressources disponibles du FSUE en 2026 (en EUR) </w:t>
            </w:r>
          </w:p>
        </w:tc>
      </w:tr>
      <w:tr w:rsidR="00195C60" w:rsidRPr="003122E4">
        <w:trPr>
          <w:trHeight w:val="290"/>
        </w:trPr>
        <w:tc>
          <w:tcPr>
            <w:tcW w:w="7366" w:type="dxa"/>
            <w:noWrap/>
            <w:vAlign w:val="bottom"/>
            <w:hideMark/>
          </w:tcPr>
          <w:p w:rsidR="00195C60" w:rsidRPr="003122E4" w:rsidRDefault="00195C60">
            <w:pPr>
              <w:spacing w:before="0" w:after="0"/>
              <w:jc w:val="left"/>
              <w:rPr>
                <w:noProof/>
                <w:color w:val="000000"/>
                <w:sz w:val="20"/>
                <w:szCs w:val="20"/>
              </w:rPr>
            </w:pPr>
            <w:r w:rsidRPr="003122E4">
              <w:rPr>
                <w:noProof/>
                <w:color w:val="000000" w:themeColor="text1"/>
                <w:sz w:val="20"/>
              </w:rPr>
              <w:t>Dotation annuelle totale en 2026</w:t>
            </w:r>
          </w:p>
        </w:tc>
        <w:tc>
          <w:tcPr>
            <w:tcW w:w="1866" w:type="dxa"/>
            <w:noWrap/>
            <w:vAlign w:val="bottom"/>
            <w:hideMark/>
          </w:tcPr>
          <w:p w:rsidR="00195C60" w:rsidRPr="003122E4" w:rsidRDefault="00195C60">
            <w:pPr>
              <w:spacing w:before="0" w:after="0"/>
              <w:jc w:val="right"/>
              <w:rPr>
                <w:noProof/>
                <w:color w:val="000000"/>
                <w:sz w:val="20"/>
                <w:szCs w:val="20"/>
              </w:rPr>
            </w:pPr>
            <w:r w:rsidRPr="003122E4">
              <w:rPr>
                <w:noProof/>
                <w:color w:val="000000"/>
                <w:sz w:val="20"/>
              </w:rPr>
              <w:t>1 190 405 931</w:t>
            </w:r>
          </w:p>
        </w:tc>
      </w:tr>
      <w:tr w:rsidR="00195C60" w:rsidRPr="003122E4">
        <w:trPr>
          <w:trHeight w:val="290"/>
        </w:trPr>
        <w:tc>
          <w:tcPr>
            <w:tcW w:w="7366" w:type="dxa"/>
            <w:noWrap/>
            <w:vAlign w:val="bottom"/>
            <w:hideMark/>
          </w:tcPr>
          <w:p w:rsidR="00195C60" w:rsidRPr="003122E4" w:rsidRDefault="00195C60">
            <w:pPr>
              <w:spacing w:before="0" w:after="0"/>
              <w:jc w:val="left"/>
              <w:rPr>
                <w:noProof/>
                <w:color w:val="000000"/>
                <w:sz w:val="20"/>
                <w:szCs w:val="20"/>
              </w:rPr>
            </w:pPr>
            <w:r w:rsidRPr="003122E4">
              <w:rPr>
                <w:noProof/>
                <w:color w:val="000000"/>
                <w:sz w:val="20"/>
              </w:rPr>
              <w:t>Report de l’exercice 2025 (y compris avances non utilisées) (+)</w:t>
            </w:r>
          </w:p>
        </w:tc>
        <w:tc>
          <w:tcPr>
            <w:tcW w:w="1866" w:type="dxa"/>
            <w:noWrap/>
            <w:vAlign w:val="bottom"/>
            <w:hideMark/>
          </w:tcPr>
          <w:p w:rsidR="00195C60" w:rsidRPr="003122E4" w:rsidRDefault="00195C60">
            <w:pPr>
              <w:spacing w:before="0" w:after="0"/>
              <w:jc w:val="right"/>
              <w:rPr>
                <w:noProof/>
                <w:color w:val="000000"/>
                <w:sz w:val="20"/>
                <w:szCs w:val="20"/>
              </w:rPr>
            </w:pPr>
            <w:r w:rsidRPr="003122E4">
              <w:rPr>
                <w:noProof/>
                <w:color w:val="000000"/>
                <w:sz w:val="20"/>
              </w:rPr>
              <w:t>21 304 355</w:t>
            </w:r>
          </w:p>
        </w:tc>
      </w:tr>
      <w:tr w:rsidR="00195C60" w:rsidRPr="003122E4">
        <w:trPr>
          <w:trHeight w:val="290"/>
        </w:trPr>
        <w:tc>
          <w:tcPr>
            <w:tcW w:w="7366" w:type="dxa"/>
            <w:noWrap/>
            <w:vAlign w:val="bottom"/>
            <w:hideMark/>
          </w:tcPr>
          <w:p w:rsidR="00195C60" w:rsidRPr="003122E4" w:rsidRDefault="00195C60">
            <w:pPr>
              <w:spacing w:before="0" w:after="0"/>
              <w:jc w:val="left"/>
              <w:rPr>
                <w:noProof/>
                <w:color w:val="000000"/>
                <w:sz w:val="20"/>
                <w:szCs w:val="20"/>
              </w:rPr>
            </w:pPr>
            <w:r w:rsidRPr="003122E4">
              <w:rPr>
                <w:noProof/>
                <w:color w:val="000000"/>
                <w:sz w:val="20"/>
              </w:rPr>
              <w:t>Réserve pour la fin d’année, disponible après le 1</w:t>
            </w:r>
            <w:r w:rsidRPr="003122E4">
              <w:rPr>
                <w:noProof/>
                <w:color w:val="000000"/>
                <w:sz w:val="20"/>
                <w:vertAlign w:val="superscript"/>
              </w:rPr>
              <w:t>er</w:t>
            </w:r>
            <w:r w:rsidRPr="003122E4">
              <w:rPr>
                <w:noProof/>
                <w:color w:val="000000"/>
                <w:sz w:val="20"/>
              </w:rPr>
              <w:t> octobre (−)</w:t>
            </w:r>
          </w:p>
        </w:tc>
        <w:tc>
          <w:tcPr>
            <w:tcW w:w="1866" w:type="dxa"/>
            <w:noWrap/>
            <w:vAlign w:val="bottom"/>
            <w:hideMark/>
          </w:tcPr>
          <w:p w:rsidR="00195C60" w:rsidRPr="003122E4" w:rsidRDefault="00195C60">
            <w:pPr>
              <w:spacing w:before="0" w:after="0"/>
              <w:jc w:val="right"/>
              <w:rPr>
                <w:noProof/>
                <w:color w:val="000000"/>
                <w:sz w:val="20"/>
                <w:szCs w:val="20"/>
              </w:rPr>
            </w:pPr>
            <w:r w:rsidRPr="003122E4">
              <w:rPr>
                <w:noProof/>
                <w:color w:val="000000"/>
                <w:sz w:val="20"/>
              </w:rPr>
              <w:t>297 601 483</w:t>
            </w:r>
          </w:p>
        </w:tc>
      </w:tr>
      <w:tr w:rsidR="00195C60" w:rsidRPr="003122E4">
        <w:trPr>
          <w:trHeight w:val="290"/>
        </w:trPr>
        <w:tc>
          <w:tcPr>
            <w:tcW w:w="7366" w:type="dxa"/>
            <w:noWrap/>
            <w:vAlign w:val="bottom"/>
          </w:tcPr>
          <w:p w:rsidR="00195C60" w:rsidRPr="003122E4" w:rsidRDefault="00195C60">
            <w:pPr>
              <w:spacing w:before="0" w:after="0"/>
              <w:jc w:val="left"/>
              <w:rPr>
                <w:noProof/>
                <w:color w:val="000000"/>
                <w:sz w:val="20"/>
                <w:szCs w:val="20"/>
              </w:rPr>
            </w:pPr>
            <w:r w:rsidRPr="003122E4">
              <w:rPr>
                <w:noProof/>
                <w:color w:val="000000"/>
                <w:sz w:val="20"/>
              </w:rPr>
              <w:t>Montant total actuellement disponible avant le 1</w:t>
            </w:r>
            <w:r w:rsidRPr="003122E4">
              <w:rPr>
                <w:noProof/>
                <w:color w:val="000000"/>
                <w:sz w:val="20"/>
                <w:vertAlign w:val="superscript"/>
              </w:rPr>
              <w:t>er</w:t>
            </w:r>
            <w:r w:rsidRPr="003122E4">
              <w:rPr>
                <w:noProof/>
                <w:color w:val="000000"/>
                <w:sz w:val="20"/>
              </w:rPr>
              <w:t> octobre, dont:</w:t>
            </w:r>
          </w:p>
        </w:tc>
        <w:tc>
          <w:tcPr>
            <w:tcW w:w="1866" w:type="dxa"/>
            <w:noWrap/>
            <w:vAlign w:val="bottom"/>
          </w:tcPr>
          <w:p w:rsidR="00195C60" w:rsidRPr="003122E4" w:rsidRDefault="00195C60">
            <w:pPr>
              <w:spacing w:before="0" w:after="0"/>
              <w:jc w:val="right"/>
              <w:rPr>
                <w:noProof/>
                <w:color w:val="000000"/>
                <w:sz w:val="20"/>
                <w:szCs w:val="20"/>
              </w:rPr>
            </w:pPr>
            <w:r w:rsidRPr="003122E4">
              <w:rPr>
                <w:noProof/>
                <w:color w:val="000000"/>
                <w:sz w:val="20"/>
              </w:rPr>
              <w:t>914 108 803</w:t>
            </w:r>
          </w:p>
        </w:tc>
      </w:tr>
      <w:tr w:rsidR="00195C60" w:rsidRPr="003122E4">
        <w:trPr>
          <w:trHeight w:val="290"/>
        </w:trPr>
        <w:tc>
          <w:tcPr>
            <w:tcW w:w="7366" w:type="dxa"/>
            <w:noWrap/>
            <w:vAlign w:val="bottom"/>
          </w:tcPr>
          <w:p w:rsidR="00195C60" w:rsidRPr="003122E4" w:rsidRDefault="00195C60" w:rsidP="0069722F">
            <w:pPr>
              <w:pStyle w:val="ListParagraph"/>
              <w:numPr>
                <w:ilvl w:val="0"/>
                <w:numId w:val="10"/>
              </w:numPr>
              <w:spacing w:before="0" w:after="0"/>
              <w:ind w:left="697" w:hanging="357"/>
              <w:jc w:val="left"/>
              <w:rPr>
                <w:noProof/>
                <w:color w:val="000000"/>
                <w:sz w:val="20"/>
                <w:szCs w:val="20"/>
              </w:rPr>
            </w:pPr>
            <w:r w:rsidRPr="003122E4">
              <w:rPr>
                <w:noProof/>
                <w:color w:val="000000" w:themeColor="text1"/>
                <w:sz w:val="20"/>
              </w:rPr>
              <w:t>montant à utiliser pour d’éventuelles avances</w:t>
            </w:r>
            <w:r w:rsidRPr="003122E4">
              <w:rPr>
                <w:rStyle w:val="FootnoteReference"/>
                <w:noProof/>
                <w:color w:val="000000" w:themeColor="text1"/>
                <w:sz w:val="20"/>
                <w:szCs w:val="20"/>
                <w:lang w:eastAsia="en-IE"/>
              </w:rPr>
              <w:footnoteReference w:id="11"/>
            </w:r>
          </w:p>
        </w:tc>
        <w:tc>
          <w:tcPr>
            <w:tcW w:w="1866" w:type="dxa"/>
            <w:noWrap/>
            <w:vAlign w:val="bottom"/>
          </w:tcPr>
          <w:p w:rsidR="00195C60" w:rsidRPr="003122E4" w:rsidRDefault="00195C60">
            <w:pPr>
              <w:spacing w:before="0" w:after="0"/>
              <w:jc w:val="right"/>
              <w:rPr>
                <w:noProof/>
                <w:color w:val="000000"/>
                <w:sz w:val="20"/>
                <w:szCs w:val="20"/>
              </w:rPr>
            </w:pPr>
            <w:r w:rsidRPr="003122E4">
              <w:rPr>
                <w:noProof/>
                <w:color w:val="000000"/>
                <w:sz w:val="20"/>
              </w:rPr>
              <w:t>70 854 849</w:t>
            </w:r>
          </w:p>
        </w:tc>
      </w:tr>
      <w:tr w:rsidR="00195C60" w:rsidRPr="003122E4">
        <w:trPr>
          <w:trHeight w:val="290"/>
        </w:trPr>
        <w:tc>
          <w:tcPr>
            <w:tcW w:w="7366" w:type="dxa"/>
            <w:noWrap/>
            <w:vAlign w:val="bottom"/>
          </w:tcPr>
          <w:p w:rsidR="00195C60" w:rsidRPr="003122E4" w:rsidRDefault="00195C60" w:rsidP="0069722F">
            <w:pPr>
              <w:pStyle w:val="ListParagraph"/>
              <w:numPr>
                <w:ilvl w:val="0"/>
                <w:numId w:val="10"/>
              </w:numPr>
              <w:spacing w:before="0" w:after="0"/>
              <w:ind w:left="697" w:hanging="357"/>
              <w:jc w:val="left"/>
              <w:rPr>
                <w:b/>
                <w:bCs/>
                <w:noProof/>
                <w:color w:val="000000"/>
                <w:sz w:val="20"/>
                <w:szCs w:val="20"/>
              </w:rPr>
            </w:pPr>
            <w:r w:rsidRPr="003122E4">
              <w:rPr>
                <w:b/>
                <w:noProof/>
                <w:color w:val="000000" w:themeColor="text1"/>
                <w:sz w:val="20"/>
              </w:rPr>
              <w:t>montant disponible pour la présente décision de mobilisation</w:t>
            </w:r>
          </w:p>
        </w:tc>
        <w:tc>
          <w:tcPr>
            <w:tcW w:w="1866" w:type="dxa"/>
            <w:noWrap/>
            <w:vAlign w:val="bottom"/>
          </w:tcPr>
          <w:p w:rsidR="00195C60" w:rsidRPr="003122E4" w:rsidRDefault="00195C60">
            <w:pPr>
              <w:spacing w:before="0" w:after="0"/>
              <w:jc w:val="right"/>
              <w:rPr>
                <w:b/>
                <w:bCs/>
                <w:noProof/>
                <w:color w:val="000000"/>
                <w:sz w:val="20"/>
                <w:szCs w:val="20"/>
              </w:rPr>
            </w:pPr>
            <w:r w:rsidRPr="003122E4">
              <w:rPr>
                <w:b/>
                <w:noProof/>
                <w:color w:val="000000"/>
                <w:sz w:val="20"/>
              </w:rPr>
              <w:t>843 253 954</w:t>
            </w:r>
          </w:p>
        </w:tc>
      </w:tr>
      <w:tr w:rsidR="00195C60" w:rsidRPr="003122E4">
        <w:trPr>
          <w:trHeight w:val="290"/>
        </w:trPr>
        <w:tc>
          <w:tcPr>
            <w:tcW w:w="7366" w:type="dxa"/>
            <w:noWrap/>
            <w:vAlign w:val="bottom"/>
            <w:hideMark/>
          </w:tcPr>
          <w:p w:rsidR="00195C60" w:rsidRPr="003122E4" w:rsidRDefault="00195C60">
            <w:pPr>
              <w:spacing w:before="0" w:after="0"/>
              <w:jc w:val="left"/>
              <w:rPr>
                <w:b/>
                <w:bCs/>
                <w:noProof/>
                <w:color w:val="000000"/>
                <w:sz w:val="20"/>
                <w:szCs w:val="20"/>
              </w:rPr>
            </w:pPr>
            <w:r w:rsidRPr="003122E4">
              <w:rPr>
                <w:b/>
                <w:noProof/>
                <w:color w:val="000000"/>
                <w:sz w:val="20"/>
              </w:rPr>
              <w:t>Montant proposé pour mobilisation (uniquement solde à payer)</w:t>
            </w:r>
          </w:p>
        </w:tc>
        <w:tc>
          <w:tcPr>
            <w:tcW w:w="1866" w:type="dxa"/>
            <w:noWrap/>
            <w:vAlign w:val="bottom"/>
            <w:hideMark/>
          </w:tcPr>
          <w:p w:rsidR="00195C60" w:rsidRPr="003122E4" w:rsidRDefault="00195C60">
            <w:pPr>
              <w:spacing w:before="0" w:after="0"/>
              <w:jc w:val="right"/>
              <w:rPr>
                <w:b/>
                <w:bCs/>
                <w:noProof/>
                <w:color w:val="000000"/>
                <w:sz w:val="20"/>
                <w:szCs w:val="20"/>
              </w:rPr>
            </w:pPr>
            <w:r w:rsidRPr="003122E4">
              <w:rPr>
                <w:b/>
                <w:noProof/>
                <w:color w:val="000000"/>
                <w:sz w:val="20"/>
              </w:rPr>
              <w:t>111 644 577</w:t>
            </w:r>
          </w:p>
        </w:tc>
      </w:tr>
      <w:tr w:rsidR="00195C60" w:rsidRPr="003122E4">
        <w:trPr>
          <w:trHeight w:val="290"/>
        </w:trPr>
        <w:tc>
          <w:tcPr>
            <w:tcW w:w="7366" w:type="dxa"/>
            <w:noWrap/>
            <w:vAlign w:val="bottom"/>
          </w:tcPr>
          <w:p w:rsidR="00195C60" w:rsidRPr="003122E4" w:rsidRDefault="00195C60">
            <w:pPr>
              <w:spacing w:before="0" w:after="0"/>
              <w:jc w:val="left"/>
              <w:rPr>
                <w:b/>
                <w:bCs/>
                <w:noProof/>
                <w:color w:val="000000"/>
                <w:sz w:val="20"/>
                <w:szCs w:val="20"/>
                <w:lang w:eastAsia="en-IE"/>
              </w:rPr>
            </w:pPr>
          </w:p>
        </w:tc>
        <w:tc>
          <w:tcPr>
            <w:tcW w:w="1866" w:type="dxa"/>
            <w:noWrap/>
            <w:vAlign w:val="bottom"/>
          </w:tcPr>
          <w:p w:rsidR="00195C60" w:rsidRPr="003122E4" w:rsidRDefault="00195C60">
            <w:pPr>
              <w:spacing w:before="0" w:after="0"/>
              <w:jc w:val="right"/>
              <w:rPr>
                <w:b/>
                <w:bCs/>
                <w:noProof/>
                <w:color w:val="000000"/>
                <w:sz w:val="20"/>
                <w:szCs w:val="20"/>
                <w:lang w:eastAsia="en-IE"/>
              </w:rPr>
            </w:pPr>
          </w:p>
        </w:tc>
      </w:tr>
      <w:tr w:rsidR="00195C60" w:rsidRPr="003122E4">
        <w:trPr>
          <w:trHeight w:val="290"/>
        </w:trPr>
        <w:tc>
          <w:tcPr>
            <w:tcW w:w="7366" w:type="dxa"/>
            <w:noWrap/>
            <w:vAlign w:val="bottom"/>
            <w:hideMark/>
          </w:tcPr>
          <w:p w:rsidR="00195C60" w:rsidRPr="003122E4" w:rsidRDefault="00195C60">
            <w:pPr>
              <w:spacing w:before="0" w:after="0"/>
              <w:jc w:val="left"/>
              <w:rPr>
                <w:b/>
                <w:bCs/>
                <w:noProof/>
                <w:color w:val="000000"/>
                <w:sz w:val="20"/>
                <w:szCs w:val="20"/>
              </w:rPr>
            </w:pPr>
            <w:r w:rsidRPr="003122E4">
              <w:rPr>
                <w:b/>
                <w:noProof/>
                <w:color w:val="000000"/>
                <w:sz w:val="20"/>
              </w:rPr>
              <w:t>Montant restant pour les demandes futures (y compris les avances et la réserve pour la fin d’année)</w:t>
            </w:r>
            <w:r w:rsidRPr="003122E4">
              <w:rPr>
                <w:rStyle w:val="FootnoteReference"/>
                <w:b/>
                <w:bCs/>
                <w:noProof/>
                <w:color w:val="000000"/>
                <w:sz w:val="20"/>
                <w:szCs w:val="20"/>
                <w:lang w:eastAsia="en-IE"/>
              </w:rPr>
              <w:footnoteReference w:id="12"/>
            </w:r>
          </w:p>
        </w:tc>
        <w:tc>
          <w:tcPr>
            <w:tcW w:w="1866" w:type="dxa"/>
            <w:noWrap/>
            <w:vAlign w:val="bottom"/>
            <w:hideMark/>
          </w:tcPr>
          <w:p w:rsidR="00195C60" w:rsidRPr="003122E4" w:rsidRDefault="00195C60">
            <w:pPr>
              <w:spacing w:before="0" w:after="0"/>
              <w:jc w:val="right"/>
              <w:rPr>
                <w:b/>
                <w:bCs/>
                <w:noProof/>
                <w:color w:val="000000"/>
                <w:sz w:val="20"/>
                <w:szCs w:val="20"/>
              </w:rPr>
            </w:pPr>
            <w:r w:rsidRPr="003122E4">
              <w:rPr>
                <w:b/>
                <w:noProof/>
                <w:color w:val="000000"/>
                <w:sz w:val="20"/>
              </w:rPr>
              <w:t>1 100 065 709</w:t>
            </w:r>
          </w:p>
        </w:tc>
      </w:tr>
    </w:tbl>
    <w:p w:rsidR="004331C9" w:rsidRPr="003122E4" w:rsidRDefault="004331C9" w:rsidP="00724561">
      <w:pPr>
        <w:rPr>
          <w:noProof/>
        </w:rPr>
      </w:pPr>
    </w:p>
    <w:p w:rsidR="009E62E0" w:rsidRPr="003122E4" w:rsidRDefault="009E62E0" w:rsidP="00724561">
      <w:pPr>
        <w:rPr>
          <w:noProof/>
        </w:rPr>
      </w:pPr>
    </w:p>
    <w:p w:rsidR="006E04CE" w:rsidRPr="003122E4" w:rsidRDefault="006E04CE" w:rsidP="0099685F">
      <w:pPr>
        <w:rPr>
          <w:noProof/>
          <w:snapToGrid w:val="0"/>
        </w:rPr>
        <w:sectPr w:rsidR="006E04CE" w:rsidRPr="003122E4" w:rsidSect="00F91A19">
          <w:headerReference w:type="even" r:id="rId14"/>
          <w:footerReference w:type="even" r:id="rId15"/>
          <w:footerReference w:type="default" r:id="rId16"/>
          <w:headerReference w:type="first" r:id="rId17"/>
          <w:footerReference w:type="first" r:id="rId18"/>
          <w:pgSz w:w="11907" w:h="16839"/>
          <w:pgMar w:top="1276" w:right="1417" w:bottom="1134" w:left="1417" w:header="709" w:footer="709" w:gutter="0"/>
          <w:pgNumType w:start="1"/>
          <w:cols w:space="720"/>
          <w:docGrid w:linePitch="360"/>
        </w:sectPr>
      </w:pPr>
    </w:p>
    <w:p w:rsidR="00EC5146" w:rsidRDefault="008547A3">
      <w:pPr>
        <w:pStyle w:val="Rfrenceinterinstitutionnelle"/>
        <w:rPr>
          <w:noProof/>
        </w:rPr>
      </w:pPr>
      <w:r>
        <w:rPr>
          <w:noProof/>
        </w:rPr>
        <w:lastRenderedPageBreak/>
        <w:t>2026/0120 (BUD)</w:t>
      </w:r>
    </w:p>
    <w:p w:rsidR="0099685F" w:rsidRPr="003122E4" w:rsidRDefault="003122E4" w:rsidP="003122E4">
      <w:pPr>
        <w:pStyle w:val="Statut"/>
        <w:rPr>
          <w:noProof/>
        </w:rPr>
      </w:pPr>
      <w:r w:rsidRPr="003122E4">
        <w:rPr>
          <w:noProof/>
        </w:rPr>
        <w:t>Proposition de</w:t>
      </w:r>
    </w:p>
    <w:p w:rsidR="0099685F" w:rsidRPr="003122E4" w:rsidRDefault="003122E4" w:rsidP="003122E4">
      <w:pPr>
        <w:pStyle w:val="Typedudocument"/>
        <w:rPr>
          <w:noProof/>
        </w:rPr>
      </w:pPr>
      <w:r w:rsidRPr="003122E4">
        <w:rPr>
          <w:noProof/>
        </w:rPr>
        <w:t>DÉCISION DU PARLEMENT EUROPÉEN ET DU CONSEIL</w:t>
      </w:r>
    </w:p>
    <w:p w:rsidR="0099685F" w:rsidRPr="003122E4" w:rsidRDefault="003122E4" w:rsidP="003122E4">
      <w:pPr>
        <w:pStyle w:val="Titreobjet"/>
        <w:rPr>
          <w:noProof/>
        </w:rPr>
      </w:pPr>
      <w:r w:rsidRPr="003122E4">
        <w:rPr>
          <w:noProof/>
        </w:rPr>
        <w:t>relative à la mobilisation du Fonds de solidarité de l’Union européenne pour venir en aide à la Roumanie dans le contexte des inondations survenues à la fin du mois de mai 2025, à Chypre à la suite des incendies de forêt survenus en juillet 2025 et à l’Espagne à la suite des incendies de forêt survenus en août 2025 </w:t>
      </w:r>
    </w:p>
    <w:p w:rsidR="0099685F" w:rsidRPr="003122E4" w:rsidRDefault="0099685F" w:rsidP="00AE3367">
      <w:pPr>
        <w:pStyle w:val="Institutionquiagit"/>
        <w:rPr>
          <w:noProof/>
        </w:rPr>
      </w:pPr>
      <w:r w:rsidRPr="003122E4">
        <w:rPr>
          <w:noProof/>
        </w:rPr>
        <w:t>LE PARLEMENT EUROPÉEN ET LE CONSEIL DE L’UNION EUROPÉENNE,</w:t>
      </w:r>
    </w:p>
    <w:p w:rsidR="0099685F" w:rsidRPr="003122E4" w:rsidRDefault="0099685F" w:rsidP="0099685F">
      <w:pPr>
        <w:rPr>
          <w:noProof/>
        </w:rPr>
      </w:pPr>
      <w:r w:rsidRPr="003122E4">
        <w:rPr>
          <w:noProof/>
        </w:rPr>
        <w:t>vu le traité sur le fonctionnement de l’Union européenne,</w:t>
      </w:r>
    </w:p>
    <w:p w:rsidR="0099685F" w:rsidRPr="003122E4" w:rsidRDefault="0099685F" w:rsidP="0099685F">
      <w:pPr>
        <w:rPr>
          <w:noProof/>
        </w:rPr>
      </w:pPr>
      <w:r w:rsidRPr="003122E4">
        <w:rPr>
          <w:noProof/>
        </w:rPr>
        <w:t>vu le règlement (CE) nº 2012/2002 du Conseil du 11 novembre 2002 instituant le Fonds de solidarité de l’Union européenne</w:t>
      </w:r>
      <w:r w:rsidRPr="003122E4">
        <w:rPr>
          <w:rStyle w:val="FootnoteReference"/>
          <w:noProof/>
        </w:rPr>
        <w:footnoteReference w:id="13"/>
      </w:r>
      <w:r w:rsidRPr="003122E4">
        <w:rPr>
          <w:noProof/>
        </w:rPr>
        <w:t>, et notamment son article 4, paragraphe 3,</w:t>
      </w:r>
    </w:p>
    <w:p w:rsidR="00087274" w:rsidRPr="003122E4" w:rsidRDefault="00087274" w:rsidP="0099685F">
      <w:pPr>
        <w:rPr>
          <w:noProof/>
        </w:rPr>
      </w:pPr>
      <w:r w:rsidRPr="003122E4">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3122E4">
        <w:rPr>
          <w:rStyle w:val="FootnoteReference"/>
          <w:noProof/>
        </w:rPr>
        <w:footnoteReference w:id="14"/>
      </w:r>
      <w:r w:rsidRPr="003122E4">
        <w:rPr>
          <w:noProof/>
        </w:rPr>
        <w:t xml:space="preserve"> (AII), et notamment son point 10,</w:t>
      </w:r>
    </w:p>
    <w:p w:rsidR="0099685F" w:rsidRPr="003122E4" w:rsidRDefault="0099685F" w:rsidP="0099685F">
      <w:pPr>
        <w:rPr>
          <w:noProof/>
        </w:rPr>
      </w:pPr>
      <w:r w:rsidRPr="003122E4">
        <w:rPr>
          <w:noProof/>
        </w:rPr>
        <w:t>vu la proposition de la Commission européenne,</w:t>
      </w:r>
    </w:p>
    <w:p w:rsidR="0099685F" w:rsidRPr="003122E4" w:rsidRDefault="0099685F" w:rsidP="0099685F">
      <w:pPr>
        <w:spacing w:after="360"/>
        <w:rPr>
          <w:noProof/>
        </w:rPr>
      </w:pPr>
      <w:r w:rsidRPr="003122E4">
        <w:rPr>
          <w:noProof/>
        </w:rPr>
        <w:t>considérant ce qui suit:</w:t>
      </w:r>
    </w:p>
    <w:p w:rsidR="007208BC" w:rsidRPr="003122E4" w:rsidRDefault="007208BC" w:rsidP="0069722F">
      <w:pPr>
        <w:pStyle w:val="ManualConsidrant"/>
        <w:rPr>
          <w:noProof/>
        </w:rPr>
      </w:pPr>
      <w:r>
        <w:rPr>
          <w:noProof/>
        </w:rPr>
        <w:t>(1)</w:t>
      </w:r>
      <w:r>
        <w:rPr>
          <w:noProof/>
        </w:rPr>
        <w:tab/>
      </w:r>
      <w:r w:rsidRPr="003122E4">
        <w:rPr>
          <w:noProof/>
        </w:rPr>
        <w:t>Le Fonds de solidarité de l’Union européenne (ci-après dénommé le «Fonds») vise à permettre à l’Union de répondre de façon rapide, efficace et souple à des situations d’urgence pour exprimer sa solidarité à l’égard de la population de régions touchées par des catastrophes naturelles majeures ou régionales ou par une urgence de santé publique majeure.</w:t>
      </w:r>
    </w:p>
    <w:p w:rsidR="007208BC" w:rsidRPr="003122E4" w:rsidRDefault="007208BC" w:rsidP="007208BC">
      <w:pPr>
        <w:pStyle w:val="ManualConsidrant"/>
        <w:rPr>
          <w:noProof/>
        </w:rPr>
      </w:pPr>
      <w:r>
        <w:rPr>
          <w:noProof/>
        </w:rPr>
        <w:t>(2)</w:t>
      </w:r>
      <w:r>
        <w:rPr>
          <w:noProof/>
        </w:rPr>
        <w:tab/>
      </w:r>
      <w:r w:rsidRPr="003122E4">
        <w:rPr>
          <w:noProof/>
        </w:rPr>
        <w:t>Le Fonds ne doit pas dépasser les plafonds fixés par l’article 9 du règlement (UE, Euratom) 2020/2093 du Conseil</w:t>
      </w:r>
      <w:r w:rsidRPr="003122E4">
        <w:rPr>
          <w:rStyle w:val="FootnoteReference"/>
          <w:noProof/>
        </w:rPr>
        <w:footnoteReference w:id="15"/>
      </w:r>
      <w:r w:rsidRPr="003122E4">
        <w:rPr>
          <w:noProof/>
        </w:rPr>
        <w:t>.</w:t>
      </w:r>
    </w:p>
    <w:p w:rsidR="007208BC" w:rsidRPr="003122E4" w:rsidRDefault="007208BC" w:rsidP="007208BC">
      <w:pPr>
        <w:pStyle w:val="ManualConsidrant"/>
        <w:rPr>
          <w:noProof/>
        </w:rPr>
      </w:pPr>
      <w:r>
        <w:rPr>
          <w:noProof/>
        </w:rPr>
        <w:t>(3)</w:t>
      </w:r>
      <w:r>
        <w:rPr>
          <w:noProof/>
        </w:rPr>
        <w:tab/>
      </w:r>
      <w:r w:rsidRPr="003122E4">
        <w:rPr>
          <w:noProof/>
        </w:rPr>
        <w:t>Le 14 août 2025, la Roumanie a présenté une demande d’intervention du Fonds à la suite des inondations survenues à la fin du mois de mai et au début du mois de juin 2025.</w:t>
      </w:r>
    </w:p>
    <w:p w:rsidR="007208BC" w:rsidRPr="003122E4" w:rsidRDefault="007208BC" w:rsidP="007208BC">
      <w:pPr>
        <w:pStyle w:val="ManualConsidrant"/>
        <w:rPr>
          <w:noProof/>
        </w:rPr>
      </w:pPr>
      <w:r>
        <w:rPr>
          <w:noProof/>
        </w:rPr>
        <w:t>(4)</w:t>
      </w:r>
      <w:r>
        <w:rPr>
          <w:noProof/>
        </w:rPr>
        <w:tab/>
      </w:r>
      <w:r w:rsidRPr="003122E4">
        <w:rPr>
          <w:noProof/>
        </w:rPr>
        <w:t>Le 14 octobre 2025, Chypre a présenté une demande d’intervention du Fonds à la suite des incendies de forêt survenus en juillet 2025.</w:t>
      </w:r>
    </w:p>
    <w:p w:rsidR="007208BC" w:rsidRPr="003122E4" w:rsidRDefault="007208BC" w:rsidP="007208BC">
      <w:pPr>
        <w:pStyle w:val="ManualConsidrant"/>
        <w:rPr>
          <w:noProof/>
        </w:rPr>
      </w:pPr>
      <w:r>
        <w:rPr>
          <w:noProof/>
        </w:rPr>
        <w:t>(5)</w:t>
      </w:r>
      <w:r>
        <w:rPr>
          <w:noProof/>
        </w:rPr>
        <w:tab/>
      </w:r>
      <w:r w:rsidRPr="003122E4">
        <w:rPr>
          <w:noProof/>
        </w:rPr>
        <w:t>Le 30 octobre 2025, l’Espagne a présenté une demande d’intervention du Fonds à la suite des incendies de forêt survenus en août 2025.</w:t>
      </w:r>
    </w:p>
    <w:p w:rsidR="007208BC" w:rsidRPr="003122E4" w:rsidRDefault="007208BC" w:rsidP="007208BC">
      <w:pPr>
        <w:pStyle w:val="ManualConsidrant"/>
        <w:rPr>
          <w:noProof/>
        </w:rPr>
      </w:pPr>
      <w:r>
        <w:rPr>
          <w:noProof/>
        </w:rPr>
        <w:lastRenderedPageBreak/>
        <w:t>(6)</w:t>
      </w:r>
      <w:r>
        <w:rPr>
          <w:noProof/>
        </w:rPr>
        <w:tab/>
      </w:r>
      <w:r w:rsidRPr="003122E4">
        <w:rPr>
          <w:noProof/>
        </w:rPr>
        <w:t>Ces demandes remplissent les conditions d’octroi d’une contribution financière au titre du Fonds, telles qu’énoncées à l’article 4 du règlement (CE) nº 2012/2002.</w:t>
      </w:r>
    </w:p>
    <w:p w:rsidR="007208BC" w:rsidRPr="003122E4" w:rsidRDefault="007208BC" w:rsidP="007208BC">
      <w:pPr>
        <w:pStyle w:val="ManualConsidrant"/>
        <w:rPr>
          <w:noProof/>
        </w:rPr>
      </w:pPr>
      <w:r>
        <w:rPr>
          <w:noProof/>
        </w:rPr>
        <w:t>(7)</w:t>
      </w:r>
      <w:r>
        <w:rPr>
          <w:noProof/>
        </w:rPr>
        <w:tab/>
      </w:r>
      <w:r w:rsidRPr="003122E4">
        <w:rPr>
          <w:noProof/>
        </w:rPr>
        <w:t>Il convient par conséquent de mobiliser le Fonds en vue d’octroyer une contribution financière à la Roumanie, à Chypre et à l’Espagne.</w:t>
      </w:r>
    </w:p>
    <w:p w:rsidR="0087132A" w:rsidRPr="003122E4" w:rsidRDefault="001B1A99" w:rsidP="001B1A99">
      <w:pPr>
        <w:pStyle w:val="ManualConsidrant"/>
        <w:rPr>
          <w:noProof/>
        </w:rPr>
      </w:pPr>
      <w:r>
        <w:rPr>
          <w:noProof/>
        </w:rPr>
        <w:t>(8)</w:t>
      </w:r>
      <w:r>
        <w:rPr>
          <w:noProof/>
        </w:rPr>
        <w:tab/>
      </w:r>
      <w:bookmarkStart w:id="7" w:name="_Hlk228958840"/>
      <w:r w:rsidRPr="003122E4">
        <w:rPr>
          <w:noProof/>
        </w:rPr>
        <w:t xml:space="preserve">Afin de garantir que l’aide financière de l’Union puisse être mise à la disposition des États membres touchés le plus rapidement possible et d’éviter tout retard dans la mobilisation du Fonds de solidarité de l’Union européenne, il convient que la présente décision entre en vigueur de manière urgente, le jour de sa publication au </w:t>
      </w:r>
      <w:r w:rsidRPr="003122E4">
        <w:rPr>
          <w:i/>
          <w:noProof/>
        </w:rPr>
        <w:t>Journal officiel de l’Union européenne</w:t>
      </w:r>
      <w:r w:rsidRPr="003122E4">
        <w:rPr>
          <w:noProof/>
        </w:rPr>
        <w:t>, et qu’elle soit applicable à partir de la date de son adoption,</w:t>
      </w:r>
    </w:p>
    <w:bookmarkEnd w:id="7"/>
    <w:p w:rsidR="0099685F" w:rsidRPr="003122E4" w:rsidRDefault="0099685F" w:rsidP="00AE3367">
      <w:pPr>
        <w:pStyle w:val="Formuledadoption"/>
        <w:rPr>
          <w:noProof/>
        </w:rPr>
      </w:pPr>
      <w:r w:rsidRPr="003122E4">
        <w:rPr>
          <w:noProof/>
        </w:rPr>
        <w:t>ONT ADOPTÉ LA PRÉSENTE DÉCISION:</w:t>
      </w:r>
    </w:p>
    <w:p w:rsidR="0099685F" w:rsidRPr="003122E4" w:rsidRDefault="0099685F" w:rsidP="00AE3367">
      <w:pPr>
        <w:pStyle w:val="Titrearticle"/>
        <w:rPr>
          <w:noProof/>
        </w:rPr>
      </w:pPr>
      <w:r w:rsidRPr="003122E4">
        <w:rPr>
          <w:noProof/>
        </w:rPr>
        <w:t>Article premier</w:t>
      </w:r>
    </w:p>
    <w:p w:rsidR="0099685F" w:rsidRPr="003122E4" w:rsidRDefault="0099685F" w:rsidP="0099685F">
      <w:pPr>
        <w:rPr>
          <w:noProof/>
          <w:szCs w:val="24"/>
        </w:rPr>
      </w:pPr>
      <w:r w:rsidRPr="003122E4">
        <w:rPr>
          <w:noProof/>
        </w:rPr>
        <w:t>Dans le cadre du budget général de l’Union, les sommes suivantes, en crédits d’engagement et de paiement, sont mobilisées au titre du Fonds de solidarité de l’Union européenne en rapport avec des catastrophes naturelles:</w:t>
      </w:r>
    </w:p>
    <w:p w:rsidR="007208BC" w:rsidRPr="003122E4" w:rsidRDefault="007208BC" w:rsidP="003C6DBC">
      <w:pPr>
        <w:pStyle w:val="Point1"/>
        <w:rPr>
          <w:noProof/>
        </w:rPr>
      </w:pPr>
      <w:r>
        <w:rPr>
          <w:noProof/>
        </w:rPr>
        <w:t>(a)</w:t>
      </w:r>
      <w:r>
        <w:rPr>
          <w:noProof/>
        </w:rPr>
        <w:tab/>
      </w:r>
      <w:bookmarkStart w:id="8" w:name="DQCNUMB_1"/>
      <w:bookmarkEnd w:id="8"/>
      <w:r w:rsidRPr="003122E4">
        <w:rPr>
          <w:noProof/>
        </w:rPr>
        <w:t>un montant de 14 339 675 EUR en faveur de la Roumanie à la suite des inondations survenues à la fin du mois de mai et au début du mois de juin 2025;</w:t>
      </w:r>
    </w:p>
    <w:p w:rsidR="007208BC" w:rsidRPr="003122E4" w:rsidRDefault="007208BC" w:rsidP="007208BC">
      <w:pPr>
        <w:pStyle w:val="Point1"/>
        <w:rPr>
          <w:noProof/>
        </w:rPr>
      </w:pPr>
      <w:r>
        <w:rPr>
          <w:noProof/>
        </w:rPr>
        <w:t>(b)</w:t>
      </w:r>
      <w:r>
        <w:rPr>
          <w:noProof/>
        </w:rPr>
        <w:tab/>
      </w:r>
      <w:bookmarkStart w:id="9" w:name="DQCNUMB_2"/>
      <w:bookmarkEnd w:id="9"/>
      <w:r w:rsidRPr="003122E4">
        <w:rPr>
          <w:noProof/>
        </w:rPr>
        <w:t>un montant de 9 209 223 EUR en faveur de Chypre à la suite des incendies de forêt survenus en juillet 2025;</w:t>
      </w:r>
    </w:p>
    <w:p w:rsidR="007208BC" w:rsidRPr="003122E4" w:rsidRDefault="007208BC" w:rsidP="007208BC">
      <w:pPr>
        <w:pStyle w:val="Point1"/>
        <w:rPr>
          <w:noProof/>
        </w:rPr>
      </w:pPr>
      <w:r>
        <w:rPr>
          <w:noProof/>
        </w:rPr>
        <w:t>(c)</w:t>
      </w:r>
      <w:r>
        <w:rPr>
          <w:noProof/>
        </w:rPr>
        <w:tab/>
      </w:r>
      <w:bookmarkStart w:id="10" w:name="DQCNUMB_3"/>
      <w:bookmarkEnd w:id="10"/>
      <w:r w:rsidRPr="003122E4">
        <w:rPr>
          <w:noProof/>
        </w:rPr>
        <w:t>un montant de 120 550 858 EUR en faveur de l’Espagne à la suite des incendies de forêt survenus en août 2025.</w:t>
      </w:r>
    </w:p>
    <w:p w:rsidR="0099685F" w:rsidRPr="003122E4" w:rsidRDefault="0099685F" w:rsidP="00107149">
      <w:pPr>
        <w:pStyle w:val="Titrearticle"/>
        <w:rPr>
          <w:noProof/>
        </w:rPr>
      </w:pPr>
      <w:r w:rsidRPr="003122E4">
        <w:rPr>
          <w:noProof/>
        </w:rPr>
        <w:t>Article 2</w:t>
      </w:r>
    </w:p>
    <w:p w:rsidR="0099685F" w:rsidRPr="003122E4" w:rsidRDefault="0099685F" w:rsidP="0099685F">
      <w:pPr>
        <w:rPr>
          <w:noProof/>
        </w:rPr>
      </w:pPr>
      <w:r w:rsidRPr="003122E4">
        <w:rPr>
          <w:noProof/>
        </w:rPr>
        <w:t xml:space="preserve">La présente décision entre en vigueur le jour de sa publication au </w:t>
      </w:r>
      <w:r w:rsidRPr="003122E4">
        <w:rPr>
          <w:i/>
          <w:noProof/>
        </w:rPr>
        <w:t>Journal officiel de l’Union européenne</w:t>
      </w:r>
      <w:r w:rsidRPr="003122E4">
        <w:rPr>
          <w:noProof/>
        </w:rPr>
        <w:t>.</w:t>
      </w:r>
    </w:p>
    <w:p w:rsidR="0099685F" w:rsidRPr="003122E4" w:rsidRDefault="0099685F" w:rsidP="00095A09">
      <w:pPr>
        <w:keepNext/>
        <w:keepLines/>
        <w:rPr>
          <w:i/>
          <w:noProof/>
        </w:rPr>
      </w:pPr>
      <w:r w:rsidRPr="003122E4">
        <w:rPr>
          <w:noProof/>
        </w:rPr>
        <w:t>Elle est applicable à partir de [</w:t>
      </w:r>
      <w:r w:rsidRPr="003122E4">
        <w:rPr>
          <w:i/>
          <w:noProof/>
        </w:rPr>
        <w:t>la date de son adoption</w:t>
      </w:r>
      <w:r w:rsidRPr="003122E4">
        <w:rPr>
          <w:noProof/>
        </w:rPr>
        <w:t>]</w:t>
      </w:r>
      <w:r w:rsidRPr="003122E4">
        <w:rPr>
          <w:i/>
          <w:noProof/>
        </w:rPr>
        <w:t>.</w:t>
      </w:r>
    </w:p>
    <w:p w:rsidR="00EE5EB2" w:rsidRPr="003122E4" w:rsidRDefault="00EE5EB2" w:rsidP="00095A09">
      <w:pPr>
        <w:keepNext/>
        <w:keepLines/>
        <w:rPr>
          <w:i/>
          <w:noProof/>
        </w:rPr>
      </w:pPr>
    </w:p>
    <w:p w:rsidR="0099685F" w:rsidRPr="003122E4" w:rsidRDefault="003122E4" w:rsidP="000C1768">
      <w:pPr>
        <w:pStyle w:val="Fait"/>
        <w:rPr>
          <w:noProof/>
        </w:rPr>
      </w:pPr>
      <w:r>
        <w:rPr>
          <w:noProof/>
        </w:rPr>
        <w:t>Fait à Bruxelles, le</w:t>
      </w:r>
    </w:p>
    <w:p w:rsidR="0099685F" w:rsidRPr="003122E4" w:rsidRDefault="0099685F" w:rsidP="000C1768">
      <w:pPr>
        <w:pStyle w:val="Institutionquisigne"/>
        <w:jc w:val="left"/>
        <w:rPr>
          <w:noProof/>
        </w:rPr>
      </w:pPr>
      <w:r w:rsidRPr="003122E4">
        <w:rPr>
          <w:noProof/>
        </w:rPr>
        <w:t>Par le Parlement européen</w:t>
      </w:r>
      <w:r w:rsidRPr="003122E4">
        <w:rPr>
          <w:noProof/>
        </w:rPr>
        <w:tab/>
        <w:t>Par le Conseil</w:t>
      </w:r>
    </w:p>
    <w:p w:rsidR="0099685F" w:rsidRPr="003122E4" w:rsidRDefault="008A664A" w:rsidP="00AE3367">
      <w:pPr>
        <w:pStyle w:val="Institutionquisigne"/>
        <w:rPr>
          <w:noProof/>
        </w:rPr>
      </w:pPr>
      <w:r w:rsidRPr="003122E4">
        <w:rPr>
          <w:noProof/>
        </w:rPr>
        <w:t>La présidente</w:t>
      </w:r>
      <w:r w:rsidRPr="003122E4">
        <w:rPr>
          <w:noProof/>
        </w:rPr>
        <w:tab/>
      </w:r>
      <w:r w:rsidRPr="003122E4">
        <w:rPr>
          <w:noProof/>
        </w:rPr>
        <w:tab/>
        <w:t>Le président</w:t>
      </w:r>
    </w:p>
    <w:sectPr w:rsidR="0099685F" w:rsidRPr="003122E4" w:rsidSect="00F91A19">
      <w:footnotePr>
        <w:numRestart w:val="eachSect"/>
      </w:footnotePr>
      <w:pgSz w:w="11907" w:h="1683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658" w:rsidRDefault="00392658">
      <w:pPr>
        <w:spacing w:before="0" w:after="0"/>
      </w:pPr>
      <w:r>
        <w:separator/>
      </w:r>
    </w:p>
  </w:endnote>
  <w:endnote w:type="continuationSeparator" w:id="0">
    <w:p w:rsidR="00392658" w:rsidRDefault="00392658">
      <w:pPr>
        <w:spacing w:before="0" w:after="0"/>
      </w:pPr>
      <w:r>
        <w:continuationSeparator/>
      </w:r>
    </w:p>
  </w:endnote>
  <w:endnote w:type="continuationNotice" w:id="1">
    <w:p w:rsidR="00392658" w:rsidRDefault="0039265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19" w:rsidRPr="00F91A19" w:rsidRDefault="00F91A19" w:rsidP="00F91A19">
    <w:pPr>
      <w:pStyle w:val="Footer"/>
      <w:rPr>
        <w:rFonts w:ascii="Arial" w:hAnsi="Arial" w:cs="Arial"/>
        <w:b/>
        <w:sz w:val="48"/>
      </w:rPr>
    </w:pPr>
    <w:r w:rsidRPr="00F91A19">
      <w:rPr>
        <w:rFonts w:ascii="Arial" w:hAnsi="Arial" w:cs="Arial"/>
        <w:b/>
        <w:sz w:val="48"/>
      </w:rPr>
      <w:t>FR</w:t>
    </w:r>
    <w:r w:rsidRPr="00F91A19">
      <w:rPr>
        <w:rFonts w:ascii="Arial" w:hAnsi="Arial" w:cs="Arial"/>
        <w:b/>
        <w:sz w:val="48"/>
      </w:rPr>
      <w:tab/>
    </w:r>
    <w:r w:rsidRPr="00F91A19">
      <w:rPr>
        <w:rFonts w:ascii="Arial" w:hAnsi="Arial" w:cs="Arial"/>
        <w:b/>
        <w:sz w:val="48"/>
      </w:rPr>
      <w:tab/>
    </w:r>
    <w:r w:rsidRPr="00F91A19">
      <w:tab/>
    </w:r>
    <w:r w:rsidRPr="00F91A1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19" w:rsidRPr="00F91A19" w:rsidRDefault="00F91A19" w:rsidP="00F91A19">
    <w:pPr>
      <w:pStyle w:val="Footer"/>
      <w:rPr>
        <w:rFonts w:ascii="Arial" w:hAnsi="Arial" w:cs="Arial"/>
        <w:b/>
        <w:sz w:val="48"/>
      </w:rPr>
    </w:pPr>
    <w:r w:rsidRPr="00F91A19">
      <w:rPr>
        <w:rFonts w:ascii="Arial" w:hAnsi="Arial" w:cs="Arial"/>
        <w:b/>
        <w:sz w:val="48"/>
      </w:rPr>
      <w:t>FR</w:t>
    </w:r>
    <w:r w:rsidRPr="00F91A19">
      <w:rPr>
        <w:rFonts w:ascii="Arial" w:hAnsi="Arial" w:cs="Arial"/>
        <w:b/>
        <w:sz w:val="48"/>
      </w:rPr>
      <w:tab/>
    </w:r>
    <w:r w:rsidRPr="00F91A19">
      <w:rPr>
        <w:rFonts w:ascii="Arial" w:hAnsi="Arial" w:cs="Arial"/>
        <w:b/>
        <w:sz w:val="48"/>
      </w:rPr>
      <w:tab/>
    </w:r>
    <w:r w:rsidRPr="00F91A19">
      <w:tab/>
    </w:r>
    <w:r w:rsidRPr="00F91A1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19" w:rsidRDefault="00F91A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19" w:rsidRPr="00F91A19" w:rsidRDefault="00F91A19" w:rsidP="00F91A19">
    <w:pPr>
      <w:pStyle w:val="Footer"/>
      <w:rPr>
        <w:rFonts w:ascii="Arial" w:hAnsi="Arial" w:cs="Arial"/>
        <w:b/>
        <w:sz w:val="48"/>
      </w:rPr>
    </w:pPr>
    <w:r w:rsidRPr="00F91A19">
      <w:rPr>
        <w:rFonts w:ascii="Arial" w:hAnsi="Arial" w:cs="Arial"/>
        <w:b/>
        <w:sz w:val="48"/>
      </w:rPr>
      <w:t>FR</w:t>
    </w:r>
    <w:r w:rsidRPr="00F91A19">
      <w:rPr>
        <w:rFonts w:ascii="Arial" w:hAnsi="Arial" w:cs="Arial"/>
        <w:b/>
        <w:sz w:val="48"/>
      </w:rPr>
      <w:tab/>
    </w:r>
    <w:r>
      <w:fldChar w:fldCharType="begin"/>
    </w:r>
    <w:r>
      <w:instrText xml:space="preserve"> PAGE  \* MERGEFORMAT </w:instrText>
    </w:r>
    <w:r>
      <w:fldChar w:fldCharType="separate"/>
    </w:r>
    <w:r w:rsidR="000C1768">
      <w:rPr>
        <w:noProof/>
      </w:rPr>
      <w:t>10</w:t>
    </w:r>
    <w:r>
      <w:fldChar w:fldCharType="end"/>
    </w:r>
    <w:r>
      <w:tab/>
    </w:r>
    <w:r w:rsidRPr="00F91A19">
      <w:tab/>
    </w:r>
    <w:r w:rsidRPr="00F91A1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19" w:rsidRDefault="00F91A19" w:rsidP="00F91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658" w:rsidRDefault="00392658">
      <w:pPr>
        <w:spacing w:before="0" w:after="0"/>
      </w:pPr>
      <w:r>
        <w:separator/>
      </w:r>
    </w:p>
  </w:footnote>
  <w:footnote w:type="continuationSeparator" w:id="0">
    <w:p w:rsidR="00392658" w:rsidRDefault="00392658">
      <w:pPr>
        <w:spacing w:before="0" w:after="0"/>
      </w:pPr>
      <w:r>
        <w:continuationSeparator/>
      </w:r>
    </w:p>
  </w:footnote>
  <w:footnote w:type="continuationNotice" w:id="1">
    <w:p w:rsidR="00392658" w:rsidRDefault="00392658">
      <w:pPr>
        <w:spacing w:before="0" w:after="0"/>
      </w:pPr>
    </w:p>
  </w:footnote>
  <w:footnote w:id="2">
    <w:p w:rsidR="00D60206" w:rsidRPr="00D60206" w:rsidRDefault="00D60206">
      <w:pPr>
        <w:pStyle w:val="FootnoteText"/>
      </w:pPr>
      <w:r>
        <w:rPr>
          <w:rStyle w:val="FootnoteReference"/>
        </w:rPr>
        <w:footnoteRef/>
      </w:r>
      <w:r>
        <w:tab/>
        <w:t>Règlement (CE) nº 2012/2002 du Conseil du 11 novembre 2002 instituant le Fonds de solidarité de l’Union européenne (JO L 311 du 14.11.2002, p. 3, ELI: http://data.europa.eu/eli/reg/2002/2012/oj).</w:t>
      </w:r>
    </w:p>
  </w:footnote>
  <w:footnote w:id="3">
    <w:p w:rsidR="00D60206" w:rsidRPr="00D60206" w:rsidRDefault="00D60206">
      <w:pPr>
        <w:pStyle w:val="FootnoteText"/>
      </w:pPr>
      <w:r>
        <w:rPr>
          <w:rStyle w:val="FootnoteReference"/>
        </w:rPr>
        <w:footnoteRef/>
      </w:r>
      <w:r>
        <w:tab/>
        <w:t>La demande ayant été présentée en 2025, le seuil applicable est celui de 2025.</w:t>
      </w:r>
    </w:p>
  </w:footnote>
  <w:footnote w:id="4">
    <w:p w:rsidR="007208BC" w:rsidRPr="00087274" w:rsidRDefault="007208BC">
      <w:pPr>
        <w:pStyle w:val="FootnoteText"/>
      </w:pPr>
      <w:r>
        <w:rPr>
          <w:rStyle w:val="FootnoteReference"/>
        </w:rPr>
        <w:footnoteRef/>
      </w:r>
      <w:r>
        <w:tab/>
        <w:t>La demande ayant été présentée en 2025, le seuil applicable est celui de 2025.</w:t>
      </w:r>
    </w:p>
  </w:footnote>
  <w:footnote w:id="5">
    <w:p w:rsidR="007208BC" w:rsidRPr="00047080" w:rsidRDefault="007208BC">
      <w:pPr>
        <w:pStyle w:val="FootnoteText"/>
      </w:pPr>
      <w:r>
        <w:rPr>
          <w:rStyle w:val="FootnoteReference"/>
        </w:rPr>
        <w:footnoteRef/>
      </w:r>
      <w:r>
        <w:tab/>
        <w:t>La demande ayant été présentée en 2025, le seuil applicable est celui de 2025.</w:t>
      </w:r>
    </w:p>
  </w:footnote>
  <w:footnote w:id="6">
    <w:p w:rsidR="007208BC" w:rsidRPr="00047080" w:rsidRDefault="007208BC">
      <w:pPr>
        <w:pStyle w:val="FootnoteText"/>
      </w:pPr>
      <w:r>
        <w:rPr>
          <w:rStyle w:val="FootnoteReference"/>
        </w:rPr>
        <w:footnoteRef/>
      </w:r>
      <w:r>
        <w:tab/>
        <w:t>JO L 433I du 22.12.2020, p. 11, ELI: http://data.europa.eu/eli/reg/2020/2093/oj.</w:t>
      </w:r>
    </w:p>
  </w:footnote>
  <w:footnote w:id="7">
    <w:p w:rsidR="007208BC" w:rsidRPr="00815EE7" w:rsidRDefault="007208BC">
      <w:pPr>
        <w:pStyle w:val="FootnoteText"/>
      </w:pPr>
      <w:r>
        <w:rPr>
          <w:rStyle w:val="FootnoteReference"/>
        </w:rPr>
        <w:footnoteRef/>
      </w:r>
      <w:r>
        <w:tab/>
        <w:t>Règlement (UE, Euratom) 2024/765 du Conseil du 29 février 2024 modifiant le règlement (UE, Euratom) 2020/2093 fixant le cadre financier pluriannuel pour les années 2021 à 2027. JO C 433I du 22.12.2020, p. 28.</w:t>
      </w:r>
    </w:p>
  </w:footnote>
  <w:footnote w:id="8">
    <w:p w:rsidR="0011337C" w:rsidRPr="0011337C" w:rsidRDefault="0011337C">
      <w:pPr>
        <w:pStyle w:val="FootnoteText"/>
      </w:pPr>
      <w:r>
        <w:rPr>
          <w:rStyle w:val="FootnoteReference"/>
        </w:rPr>
        <w:footnoteRef/>
      </w:r>
      <w:r>
        <w:tab/>
        <w:t>JO C 433I du 22.12.2020, p. 28.</w:t>
      </w:r>
    </w:p>
  </w:footnote>
  <w:footnote w:id="9">
    <w:p w:rsidR="008B2F57" w:rsidRPr="008B2F57" w:rsidRDefault="008B2F57">
      <w:pPr>
        <w:pStyle w:val="FootnoteText"/>
      </w:pPr>
      <w:r>
        <w:rPr>
          <w:rStyle w:val="FootnoteReference"/>
        </w:rPr>
        <w:footnoteRef/>
      </w:r>
      <w:r>
        <w:tab/>
        <w:t>L’avance en faveur de Chypre a été versée sur la dotation pour 2025, le 29 décembre 2025.</w:t>
      </w:r>
    </w:p>
  </w:footnote>
  <w:footnote w:id="10">
    <w:p w:rsidR="00047080" w:rsidRPr="00047080" w:rsidRDefault="00047080">
      <w:pPr>
        <w:pStyle w:val="FootnoteText"/>
      </w:pPr>
      <w:r>
        <w:rPr>
          <w:rStyle w:val="FootnoteReference"/>
        </w:rPr>
        <w:footnoteRef/>
      </w:r>
      <w:r>
        <w:tab/>
        <w:t>En outre, 976 millions d’EUR ont été reportés de 2025 et sont déjà mobilisés pour la Slovaquie, la Moldavie, la Bosnie</w:t>
      </w:r>
      <w:r>
        <w:noBreakHyphen/>
        <w:t xml:space="preserve">Herzégovine, l’Espagne et la France conformément à la </w:t>
      </w:r>
      <w:hyperlink r:id="rId1" w:tgtFrame="_blank" w:history="1">
        <w:r>
          <w:rPr>
            <w:rStyle w:val="Hyperlink"/>
          </w:rPr>
          <w:t>décision (UE) 2025/1525</w:t>
        </w:r>
      </w:hyperlink>
      <w:r>
        <w:t xml:space="preserve"> et à la </w:t>
      </w:r>
      <w:hyperlink r:id="rId2" w:tgtFrame="_blank" w:tooltip="Vers EUR-Lex" w:history="1">
        <w:r>
          <w:rPr>
            <w:rStyle w:val="Hyperlink"/>
          </w:rPr>
          <w:t>décision (UE) 2025/2403</w:t>
        </w:r>
      </w:hyperlink>
      <w:r>
        <w:t>. Les paiements correspondants seront effectués dans le courant de l’année 2026. Les paiements en faveur de la Slovaquie, de l’Espagne et de la France sont prévus pour le deuxième trimestre de 2026, et ceux en faveur de la Moldavie et de la Bosnie</w:t>
      </w:r>
      <w:r>
        <w:noBreakHyphen/>
        <w:t>Herzégovine en décembre 2026.</w:t>
      </w:r>
    </w:p>
  </w:footnote>
  <w:footnote w:id="11">
    <w:p w:rsidR="00195C60" w:rsidRPr="005636D2" w:rsidRDefault="00195C60" w:rsidP="00195C60">
      <w:pPr>
        <w:pStyle w:val="FootnoteText"/>
      </w:pPr>
      <w:r>
        <w:rPr>
          <w:rStyle w:val="FootnoteReference"/>
        </w:rPr>
        <w:footnoteRef/>
      </w:r>
      <w:r>
        <w:tab/>
        <w:t>Les 70,85 millions d’EUR disponibles pour d’éventuelles avances comprennent 50 millions d’EUR inscrits au budget général 2026 pour les avances et 20,85 millions d’EUR d’avances non utilisées reportées de 2025 à 2026. Sur ce montant, une avance de 30,14 millions d’EUR sera accordée à l’Espagne au moyen de la décision d’exécution de la Commission en cours d’adoption.</w:t>
      </w:r>
    </w:p>
  </w:footnote>
  <w:footnote w:id="12">
    <w:p w:rsidR="00195C60" w:rsidRPr="00357C38" w:rsidRDefault="00195C60" w:rsidP="00195C60">
      <w:pPr>
        <w:pStyle w:val="FootnoteText"/>
      </w:pPr>
      <w:r>
        <w:rPr>
          <w:rStyle w:val="FootnoteReference"/>
        </w:rPr>
        <w:footnoteRef/>
      </w:r>
      <w:r>
        <w:tab/>
        <w:t>Ce montant comprend 30,14 millions d’EUR pour l’avance en faveur de l’Espagne.</w:t>
      </w:r>
    </w:p>
  </w:footnote>
  <w:footnote w:id="13">
    <w:p w:rsidR="00087274" w:rsidRPr="00294293" w:rsidRDefault="00087274" w:rsidP="00646E3F">
      <w:pPr>
        <w:pStyle w:val="FootnoteText"/>
      </w:pPr>
      <w:r>
        <w:rPr>
          <w:rStyle w:val="FootnoteReference"/>
        </w:rPr>
        <w:footnoteRef/>
      </w:r>
      <w:r>
        <w:tab/>
        <w:t>JO L 311 du 14.11.2002, p. 3, ELI: http://data.europa.eu/eli/reg/2002/2012/oj.</w:t>
      </w:r>
    </w:p>
  </w:footnote>
  <w:footnote w:id="14">
    <w:p w:rsidR="00087274" w:rsidRPr="00023469" w:rsidRDefault="00087274">
      <w:pPr>
        <w:pStyle w:val="FootnoteText"/>
      </w:pPr>
      <w:r>
        <w:rPr>
          <w:rStyle w:val="FootnoteReference"/>
        </w:rPr>
        <w:footnoteRef/>
      </w:r>
      <w:r>
        <w:tab/>
        <w:t>JO L 433I du 22.12.2020, p. 28, ELI: http://data.europa.eu/eli/agree_interinstit/2020/1222/oj.</w:t>
      </w:r>
    </w:p>
  </w:footnote>
  <w:footnote w:id="15">
    <w:p w:rsidR="00023469" w:rsidRPr="00023469" w:rsidRDefault="00023469">
      <w:pPr>
        <w:pStyle w:val="FootnoteText"/>
      </w:pPr>
      <w:r>
        <w:rPr>
          <w:rStyle w:val="FootnoteReference"/>
        </w:rPr>
        <w:footnoteRef/>
      </w:r>
      <w:r>
        <w:tab/>
        <w:t>Règlement (UE, Euratom) 2020/2093 du Conseil du 17 décembre 2020 fixant le cadre financier pluriannuel pour les années 2021 à 2027 (JO L 433I du 22.12.2020, p. 11, ELI: http://data.europa.eu/eli/reg/2020/2093/oj).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19" w:rsidRDefault="00F91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A19" w:rsidRDefault="00F91A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C06B78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6A31A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86A1C2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086FAD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D7C86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E0C06F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6A607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E7C532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6950838"/>
    <w:multiLevelType w:val="hybridMultilevel"/>
    <w:tmpl w:val="2372324C"/>
    <w:lvl w:ilvl="0" w:tplc="B476C474">
      <w:start w:val="1"/>
      <w:numFmt w:val="bullet"/>
      <w:lvlText w:val="o"/>
      <w:lvlJc w:val="left"/>
      <w:pPr>
        <w:ind w:left="927" w:hanging="360"/>
      </w:pPr>
      <w:rPr>
        <w:rFonts w:ascii="Courier New" w:hAnsi="Courier New" w:hint="default"/>
        <w:sz w:val="16"/>
        <w:szCs w:val="16"/>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num>
  <w:num w:numId="13">
    <w:abstractNumId w:val="19"/>
  </w:num>
  <w:num w:numId="14">
    <w:abstractNumId w:val="12"/>
  </w:num>
  <w:num w:numId="15">
    <w:abstractNumId w:val="21"/>
  </w:num>
  <w:num w:numId="16">
    <w:abstractNumId w:val="11"/>
  </w:num>
  <w:num w:numId="17">
    <w:abstractNumId w:val="13"/>
  </w:num>
  <w:num w:numId="18">
    <w:abstractNumId w:val="14"/>
  </w:num>
  <w:num w:numId="19">
    <w:abstractNumId w:val="9"/>
  </w:num>
  <w:num w:numId="20">
    <w:abstractNumId w:val="20"/>
  </w:num>
  <w:num w:numId="21">
    <w:abstractNumId w:val="8"/>
  </w:num>
  <w:num w:numId="22">
    <w:abstractNumId w:val="15"/>
  </w:num>
  <w:num w:numId="23">
    <w:abstractNumId w:val="17"/>
  </w:num>
  <w:num w:numId="24">
    <w:abstractNumId w:val="18"/>
  </w:num>
  <w:num w:numId="25">
    <w:abstractNumId w:val="10"/>
  </w:num>
  <w:num w:numId="26">
    <w:abstractNumId w:val="16"/>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2 07:41:26"/>
    <w:docVar w:name="DQCNUMB_1" w:val="170"/>
    <w:docVar w:name="DQCNUMB_2" w:val="171"/>
    <w:docVar w:name="DQCNUMB_3" w:val="17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420FBFC-A540-43D5-9EDF-087D43213CF0"/>
    <w:docVar w:name="LW_COVERPAGE_TYPE" w:val="1"/>
    <w:docVar w:name="LW_CROSSREFERENCE" w:val="&lt;UNUSED&gt;"/>
    <w:docVar w:name="LW_DocType" w:val="COM"/>
    <w:docVar w:name="LW_EMISSION" w:val="18.5.2026"/>
    <w:docVar w:name="LW_EMISSION_ISODATE" w:val="2026-05-18"/>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120"/>
    <w:docVar w:name="LW_REF.II.NEW.CP_YEAR" w:val="2026"/>
    <w:docVar w:name="LW_REF.INST.NEW" w:val="COM"/>
    <w:docVar w:name="LW_REF.INST.NEW_ADOPTED" w:val="final"/>
    <w:docVar w:name="LW_REF.INST.NEW_TEXT" w:val="(2026) 100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de solidarité de l\u8217?Union européenne pour venir en aide à la Roumanie dans le contexte des inondations survenues à la fin du mois de mai 2025, à Chypre à la suite des incendies de forêt survenus en juillet 2025 et à l\u8217?Espagne à la suite des incendies de forêt survenus en août 2025 "/>
    <w:docVar w:name="LW_TYPE.DOC.CP" w:val="DÉCISION DU PARLEMENT EUROPÉEN ET DU CONSEIL"/>
    <w:docVar w:name="LwApiVersions" w:val="LW4CoDe 1.24.5.0; LW 9.2, Build 20251112"/>
  </w:docVars>
  <w:rsids>
    <w:rsidRoot w:val="0070239B"/>
    <w:rsid w:val="0000064B"/>
    <w:rsid w:val="00000AB5"/>
    <w:rsid w:val="00007AE0"/>
    <w:rsid w:val="000110F9"/>
    <w:rsid w:val="00011A4E"/>
    <w:rsid w:val="00012873"/>
    <w:rsid w:val="00012AFF"/>
    <w:rsid w:val="00015426"/>
    <w:rsid w:val="000172FC"/>
    <w:rsid w:val="00017860"/>
    <w:rsid w:val="00017B6A"/>
    <w:rsid w:val="00023469"/>
    <w:rsid w:val="0002493C"/>
    <w:rsid w:val="00026AFC"/>
    <w:rsid w:val="00027391"/>
    <w:rsid w:val="00027E45"/>
    <w:rsid w:val="00033255"/>
    <w:rsid w:val="00034EEA"/>
    <w:rsid w:val="000435E4"/>
    <w:rsid w:val="00045F1C"/>
    <w:rsid w:val="00047080"/>
    <w:rsid w:val="0005016D"/>
    <w:rsid w:val="00051E37"/>
    <w:rsid w:val="000520FF"/>
    <w:rsid w:val="00052297"/>
    <w:rsid w:val="00052654"/>
    <w:rsid w:val="0005493C"/>
    <w:rsid w:val="00055E0E"/>
    <w:rsid w:val="000573AD"/>
    <w:rsid w:val="00065614"/>
    <w:rsid w:val="000656B1"/>
    <w:rsid w:val="000739F0"/>
    <w:rsid w:val="00076162"/>
    <w:rsid w:val="00082A70"/>
    <w:rsid w:val="00086DBF"/>
    <w:rsid w:val="00087274"/>
    <w:rsid w:val="00087680"/>
    <w:rsid w:val="0009086D"/>
    <w:rsid w:val="0009506A"/>
    <w:rsid w:val="000950B4"/>
    <w:rsid w:val="00095A09"/>
    <w:rsid w:val="00096192"/>
    <w:rsid w:val="000A3C97"/>
    <w:rsid w:val="000A404E"/>
    <w:rsid w:val="000B310F"/>
    <w:rsid w:val="000B57EF"/>
    <w:rsid w:val="000B7178"/>
    <w:rsid w:val="000B7D52"/>
    <w:rsid w:val="000C1768"/>
    <w:rsid w:val="000C3381"/>
    <w:rsid w:val="000C3803"/>
    <w:rsid w:val="000C482C"/>
    <w:rsid w:val="000C4DC6"/>
    <w:rsid w:val="000C4F4E"/>
    <w:rsid w:val="000D1901"/>
    <w:rsid w:val="000D3E5F"/>
    <w:rsid w:val="000E014C"/>
    <w:rsid w:val="000E0C0E"/>
    <w:rsid w:val="000E13DE"/>
    <w:rsid w:val="000E430B"/>
    <w:rsid w:val="000E526B"/>
    <w:rsid w:val="000E59D3"/>
    <w:rsid w:val="000F002C"/>
    <w:rsid w:val="000F08C5"/>
    <w:rsid w:val="000F0D7A"/>
    <w:rsid w:val="000F0E98"/>
    <w:rsid w:val="000F1E25"/>
    <w:rsid w:val="000F3165"/>
    <w:rsid w:val="000F458A"/>
    <w:rsid w:val="00103798"/>
    <w:rsid w:val="00107149"/>
    <w:rsid w:val="00107A20"/>
    <w:rsid w:val="00112CDB"/>
    <w:rsid w:val="0011337C"/>
    <w:rsid w:val="00116A7E"/>
    <w:rsid w:val="001172C3"/>
    <w:rsid w:val="00121AA0"/>
    <w:rsid w:val="00124071"/>
    <w:rsid w:val="00125CA0"/>
    <w:rsid w:val="00126320"/>
    <w:rsid w:val="00127399"/>
    <w:rsid w:val="00133770"/>
    <w:rsid w:val="0013381C"/>
    <w:rsid w:val="00134307"/>
    <w:rsid w:val="0013591D"/>
    <w:rsid w:val="00136329"/>
    <w:rsid w:val="00137B2E"/>
    <w:rsid w:val="00141607"/>
    <w:rsid w:val="001435BF"/>
    <w:rsid w:val="001435E5"/>
    <w:rsid w:val="00143C6E"/>
    <w:rsid w:val="00146B3A"/>
    <w:rsid w:val="00147998"/>
    <w:rsid w:val="00147A4D"/>
    <w:rsid w:val="0015339D"/>
    <w:rsid w:val="00154EDC"/>
    <w:rsid w:val="00154F3A"/>
    <w:rsid w:val="00165AE4"/>
    <w:rsid w:val="001706FD"/>
    <w:rsid w:val="001744C8"/>
    <w:rsid w:val="00176035"/>
    <w:rsid w:val="00176376"/>
    <w:rsid w:val="00180FA1"/>
    <w:rsid w:val="001851CD"/>
    <w:rsid w:val="00187D99"/>
    <w:rsid w:val="0019296F"/>
    <w:rsid w:val="00195C60"/>
    <w:rsid w:val="001963EE"/>
    <w:rsid w:val="001A1D0E"/>
    <w:rsid w:val="001A3378"/>
    <w:rsid w:val="001A5BA0"/>
    <w:rsid w:val="001A70CB"/>
    <w:rsid w:val="001B10C8"/>
    <w:rsid w:val="001B1282"/>
    <w:rsid w:val="001B1A99"/>
    <w:rsid w:val="001B1D8E"/>
    <w:rsid w:val="001B25C1"/>
    <w:rsid w:val="001B2E37"/>
    <w:rsid w:val="001B34CF"/>
    <w:rsid w:val="001B3909"/>
    <w:rsid w:val="001B5723"/>
    <w:rsid w:val="001C1CED"/>
    <w:rsid w:val="001C1FE7"/>
    <w:rsid w:val="001C58DF"/>
    <w:rsid w:val="001D1903"/>
    <w:rsid w:val="001D245B"/>
    <w:rsid w:val="001D27EE"/>
    <w:rsid w:val="001D3F91"/>
    <w:rsid w:val="001D6C72"/>
    <w:rsid w:val="001E1BB4"/>
    <w:rsid w:val="001E1EF0"/>
    <w:rsid w:val="001E23E1"/>
    <w:rsid w:val="001E37F3"/>
    <w:rsid w:val="001E65AD"/>
    <w:rsid w:val="001F059C"/>
    <w:rsid w:val="001F2BBE"/>
    <w:rsid w:val="001F3A2F"/>
    <w:rsid w:val="001F6E1A"/>
    <w:rsid w:val="00200059"/>
    <w:rsid w:val="00201798"/>
    <w:rsid w:val="00202787"/>
    <w:rsid w:val="0020330F"/>
    <w:rsid w:val="00203F35"/>
    <w:rsid w:val="00203FB5"/>
    <w:rsid w:val="0020419A"/>
    <w:rsid w:val="00205470"/>
    <w:rsid w:val="00205C14"/>
    <w:rsid w:val="002066BB"/>
    <w:rsid w:val="00206B77"/>
    <w:rsid w:val="00207DA6"/>
    <w:rsid w:val="00212E8C"/>
    <w:rsid w:val="002165D5"/>
    <w:rsid w:val="00227374"/>
    <w:rsid w:val="00230142"/>
    <w:rsid w:val="00230E56"/>
    <w:rsid w:val="0023228B"/>
    <w:rsid w:val="002375DE"/>
    <w:rsid w:val="002410A6"/>
    <w:rsid w:val="002438C1"/>
    <w:rsid w:val="00245744"/>
    <w:rsid w:val="002469F9"/>
    <w:rsid w:val="00247851"/>
    <w:rsid w:val="00254CDC"/>
    <w:rsid w:val="002558C7"/>
    <w:rsid w:val="002673F6"/>
    <w:rsid w:val="00267527"/>
    <w:rsid w:val="00267BAB"/>
    <w:rsid w:val="002711C7"/>
    <w:rsid w:val="002734BE"/>
    <w:rsid w:val="0027390F"/>
    <w:rsid w:val="002803CB"/>
    <w:rsid w:val="00282546"/>
    <w:rsid w:val="0028334F"/>
    <w:rsid w:val="00283892"/>
    <w:rsid w:val="00283FD5"/>
    <w:rsid w:val="00286C82"/>
    <w:rsid w:val="00287A20"/>
    <w:rsid w:val="00290428"/>
    <w:rsid w:val="00290446"/>
    <w:rsid w:val="0029160D"/>
    <w:rsid w:val="00292E76"/>
    <w:rsid w:val="00292F3E"/>
    <w:rsid w:val="00294293"/>
    <w:rsid w:val="00294707"/>
    <w:rsid w:val="00294A03"/>
    <w:rsid w:val="00294DBC"/>
    <w:rsid w:val="00295308"/>
    <w:rsid w:val="00295A74"/>
    <w:rsid w:val="002A0CFF"/>
    <w:rsid w:val="002A5DD7"/>
    <w:rsid w:val="002A6C43"/>
    <w:rsid w:val="002B14C4"/>
    <w:rsid w:val="002B2195"/>
    <w:rsid w:val="002B6F8C"/>
    <w:rsid w:val="002B7B18"/>
    <w:rsid w:val="002C096B"/>
    <w:rsid w:val="002C16BB"/>
    <w:rsid w:val="002C327D"/>
    <w:rsid w:val="002C4014"/>
    <w:rsid w:val="002C5941"/>
    <w:rsid w:val="002C59E5"/>
    <w:rsid w:val="002C5E1B"/>
    <w:rsid w:val="002D0759"/>
    <w:rsid w:val="002D4A16"/>
    <w:rsid w:val="002D53FB"/>
    <w:rsid w:val="002D5C75"/>
    <w:rsid w:val="002D741F"/>
    <w:rsid w:val="002E0534"/>
    <w:rsid w:val="002E1111"/>
    <w:rsid w:val="002E2C7D"/>
    <w:rsid w:val="002E463F"/>
    <w:rsid w:val="002E6209"/>
    <w:rsid w:val="002E62DE"/>
    <w:rsid w:val="002F260F"/>
    <w:rsid w:val="002F26F9"/>
    <w:rsid w:val="002F613D"/>
    <w:rsid w:val="002F7424"/>
    <w:rsid w:val="00301AB5"/>
    <w:rsid w:val="00301B52"/>
    <w:rsid w:val="00302F78"/>
    <w:rsid w:val="00310490"/>
    <w:rsid w:val="003110C6"/>
    <w:rsid w:val="0031169A"/>
    <w:rsid w:val="00311AC3"/>
    <w:rsid w:val="003122E4"/>
    <w:rsid w:val="0031389C"/>
    <w:rsid w:val="003138C6"/>
    <w:rsid w:val="00313FCB"/>
    <w:rsid w:val="00315A5E"/>
    <w:rsid w:val="00316270"/>
    <w:rsid w:val="00321BAD"/>
    <w:rsid w:val="00322CCD"/>
    <w:rsid w:val="00334480"/>
    <w:rsid w:val="0033581E"/>
    <w:rsid w:val="003361DF"/>
    <w:rsid w:val="00337853"/>
    <w:rsid w:val="003410EA"/>
    <w:rsid w:val="0034176B"/>
    <w:rsid w:val="00341D39"/>
    <w:rsid w:val="003434E6"/>
    <w:rsid w:val="003451F2"/>
    <w:rsid w:val="0034553F"/>
    <w:rsid w:val="00350927"/>
    <w:rsid w:val="00353555"/>
    <w:rsid w:val="00353F7F"/>
    <w:rsid w:val="00356947"/>
    <w:rsid w:val="00357279"/>
    <w:rsid w:val="00357AC5"/>
    <w:rsid w:val="00357C38"/>
    <w:rsid w:val="003625CE"/>
    <w:rsid w:val="00364001"/>
    <w:rsid w:val="003643FD"/>
    <w:rsid w:val="003665A0"/>
    <w:rsid w:val="003713BA"/>
    <w:rsid w:val="00374B90"/>
    <w:rsid w:val="00374BC9"/>
    <w:rsid w:val="0038076F"/>
    <w:rsid w:val="003815A3"/>
    <w:rsid w:val="0038192D"/>
    <w:rsid w:val="00382403"/>
    <w:rsid w:val="00383663"/>
    <w:rsid w:val="00383DAB"/>
    <w:rsid w:val="00384153"/>
    <w:rsid w:val="003844BE"/>
    <w:rsid w:val="00384737"/>
    <w:rsid w:val="003851E2"/>
    <w:rsid w:val="003864FE"/>
    <w:rsid w:val="00392658"/>
    <w:rsid w:val="003A1ECE"/>
    <w:rsid w:val="003A5207"/>
    <w:rsid w:val="003A6B5B"/>
    <w:rsid w:val="003A726D"/>
    <w:rsid w:val="003A7561"/>
    <w:rsid w:val="003A773D"/>
    <w:rsid w:val="003B2118"/>
    <w:rsid w:val="003B23BE"/>
    <w:rsid w:val="003B3505"/>
    <w:rsid w:val="003B450C"/>
    <w:rsid w:val="003B6D07"/>
    <w:rsid w:val="003B77A3"/>
    <w:rsid w:val="003C09E7"/>
    <w:rsid w:val="003C174A"/>
    <w:rsid w:val="003C1ADF"/>
    <w:rsid w:val="003C252E"/>
    <w:rsid w:val="003C6144"/>
    <w:rsid w:val="003C6DBC"/>
    <w:rsid w:val="003D0D67"/>
    <w:rsid w:val="003D26E8"/>
    <w:rsid w:val="003D3DF9"/>
    <w:rsid w:val="003D526A"/>
    <w:rsid w:val="003D5D61"/>
    <w:rsid w:val="003E2E00"/>
    <w:rsid w:val="003E3F67"/>
    <w:rsid w:val="003E48D0"/>
    <w:rsid w:val="003E54AD"/>
    <w:rsid w:val="003E56F5"/>
    <w:rsid w:val="003E6649"/>
    <w:rsid w:val="003F075B"/>
    <w:rsid w:val="003F0945"/>
    <w:rsid w:val="003F21F5"/>
    <w:rsid w:val="003F5ED5"/>
    <w:rsid w:val="00400789"/>
    <w:rsid w:val="00401FF0"/>
    <w:rsid w:val="004026C7"/>
    <w:rsid w:val="00403A06"/>
    <w:rsid w:val="00404428"/>
    <w:rsid w:val="0040649C"/>
    <w:rsid w:val="00410F8A"/>
    <w:rsid w:val="00414EB0"/>
    <w:rsid w:val="00415C3B"/>
    <w:rsid w:val="00425FB2"/>
    <w:rsid w:val="00426897"/>
    <w:rsid w:val="00426ADE"/>
    <w:rsid w:val="004331C9"/>
    <w:rsid w:val="0043604F"/>
    <w:rsid w:val="00440906"/>
    <w:rsid w:val="00443A6E"/>
    <w:rsid w:val="00445711"/>
    <w:rsid w:val="00445814"/>
    <w:rsid w:val="0044590E"/>
    <w:rsid w:val="00452920"/>
    <w:rsid w:val="00452F79"/>
    <w:rsid w:val="004533B8"/>
    <w:rsid w:val="004541F2"/>
    <w:rsid w:val="00454FB7"/>
    <w:rsid w:val="0045501A"/>
    <w:rsid w:val="004553B2"/>
    <w:rsid w:val="00456614"/>
    <w:rsid w:val="00457554"/>
    <w:rsid w:val="00460105"/>
    <w:rsid w:val="00461A6F"/>
    <w:rsid w:val="00466CD8"/>
    <w:rsid w:val="004671B6"/>
    <w:rsid w:val="004703D7"/>
    <w:rsid w:val="00471790"/>
    <w:rsid w:val="0047261E"/>
    <w:rsid w:val="004764B5"/>
    <w:rsid w:val="004850DF"/>
    <w:rsid w:val="0048585D"/>
    <w:rsid w:val="004867A1"/>
    <w:rsid w:val="00486D9F"/>
    <w:rsid w:val="00486E50"/>
    <w:rsid w:val="00487EC8"/>
    <w:rsid w:val="004931DE"/>
    <w:rsid w:val="00493DAC"/>
    <w:rsid w:val="00493F9C"/>
    <w:rsid w:val="00495B60"/>
    <w:rsid w:val="004A2F26"/>
    <w:rsid w:val="004A3B12"/>
    <w:rsid w:val="004A6C03"/>
    <w:rsid w:val="004B0370"/>
    <w:rsid w:val="004B488B"/>
    <w:rsid w:val="004C0D6B"/>
    <w:rsid w:val="004C14AD"/>
    <w:rsid w:val="004C2966"/>
    <w:rsid w:val="004C4ED9"/>
    <w:rsid w:val="004E0CE0"/>
    <w:rsid w:val="004E14CA"/>
    <w:rsid w:val="004E1801"/>
    <w:rsid w:val="004E3115"/>
    <w:rsid w:val="004E624B"/>
    <w:rsid w:val="004E716A"/>
    <w:rsid w:val="004F0436"/>
    <w:rsid w:val="004F2DC7"/>
    <w:rsid w:val="004F3327"/>
    <w:rsid w:val="004F449E"/>
    <w:rsid w:val="004F6089"/>
    <w:rsid w:val="00500EB0"/>
    <w:rsid w:val="00501F4F"/>
    <w:rsid w:val="00503B86"/>
    <w:rsid w:val="00506206"/>
    <w:rsid w:val="00506BF2"/>
    <w:rsid w:val="0050715F"/>
    <w:rsid w:val="005077B8"/>
    <w:rsid w:val="005102F4"/>
    <w:rsid w:val="00511B62"/>
    <w:rsid w:val="00512102"/>
    <w:rsid w:val="00516A6B"/>
    <w:rsid w:val="00517F0E"/>
    <w:rsid w:val="00521D90"/>
    <w:rsid w:val="00523DA2"/>
    <w:rsid w:val="005258B8"/>
    <w:rsid w:val="0053198D"/>
    <w:rsid w:val="005333B7"/>
    <w:rsid w:val="00533A4D"/>
    <w:rsid w:val="00536B61"/>
    <w:rsid w:val="0054115F"/>
    <w:rsid w:val="0054140A"/>
    <w:rsid w:val="005414DF"/>
    <w:rsid w:val="00541A68"/>
    <w:rsid w:val="00543603"/>
    <w:rsid w:val="0054556E"/>
    <w:rsid w:val="0054760A"/>
    <w:rsid w:val="00552224"/>
    <w:rsid w:val="00553104"/>
    <w:rsid w:val="005539E3"/>
    <w:rsid w:val="00553C60"/>
    <w:rsid w:val="00553E62"/>
    <w:rsid w:val="0055449B"/>
    <w:rsid w:val="00554CC7"/>
    <w:rsid w:val="00554D75"/>
    <w:rsid w:val="005617AB"/>
    <w:rsid w:val="0056367A"/>
    <w:rsid w:val="005636D2"/>
    <w:rsid w:val="005647B3"/>
    <w:rsid w:val="00566385"/>
    <w:rsid w:val="005672B2"/>
    <w:rsid w:val="005819B4"/>
    <w:rsid w:val="00581C63"/>
    <w:rsid w:val="0058246B"/>
    <w:rsid w:val="00582916"/>
    <w:rsid w:val="00585A74"/>
    <w:rsid w:val="005937AC"/>
    <w:rsid w:val="00594CE3"/>
    <w:rsid w:val="00595537"/>
    <w:rsid w:val="00597D48"/>
    <w:rsid w:val="005A2B4F"/>
    <w:rsid w:val="005A32CE"/>
    <w:rsid w:val="005A3EFA"/>
    <w:rsid w:val="005A7E4D"/>
    <w:rsid w:val="005B0125"/>
    <w:rsid w:val="005B7AA0"/>
    <w:rsid w:val="005C1A53"/>
    <w:rsid w:val="005C63E7"/>
    <w:rsid w:val="005C70E4"/>
    <w:rsid w:val="005D0049"/>
    <w:rsid w:val="005D05E7"/>
    <w:rsid w:val="005D2451"/>
    <w:rsid w:val="005D2466"/>
    <w:rsid w:val="005D3DE5"/>
    <w:rsid w:val="005D6FD4"/>
    <w:rsid w:val="005D6FFB"/>
    <w:rsid w:val="005E22CC"/>
    <w:rsid w:val="005E42B1"/>
    <w:rsid w:val="005E51A7"/>
    <w:rsid w:val="005E7B5F"/>
    <w:rsid w:val="005E7F6E"/>
    <w:rsid w:val="005F098E"/>
    <w:rsid w:val="005F1156"/>
    <w:rsid w:val="005F1FA6"/>
    <w:rsid w:val="005F4257"/>
    <w:rsid w:val="006004D3"/>
    <w:rsid w:val="00602B35"/>
    <w:rsid w:val="00610816"/>
    <w:rsid w:val="00612AE6"/>
    <w:rsid w:val="00614691"/>
    <w:rsid w:val="00617878"/>
    <w:rsid w:val="006178E5"/>
    <w:rsid w:val="00622DDF"/>
    <w:rsid w:val="0062392E"/>
    <w:rsid w:val="00623F16"/>
    <w:rsid w:val="00624EAA"/>
    <w:rsid w:val="0062792F"/>
    <w:rsid w:val="00631594"/>
    <w:rsid w:val="00631831"/>
    <w:rsid w:val="00631B47"/>
    <w:rsid w:val="00635107"/>
    <w:rsid w:val="00636494"/>
    <w:rsid w:val="00641F95"/>
    <w:rsid w:val="00644691"/>
    <w:rsid w:val="00646E3F"/>
    <w:rsid w:val="00647000"/>
    <w:rsid w:val="00647191"/>
    <w:rsid w:val="006505E0"/>
    <w:rsid w:val="0065113D"/>
    <w:rsid w:val="00653105"/>
    <w:rsid w:val="00653331"/>
    <w:rsid w:val="00654CE3"/>
    <w:rsid w:val="00661774"/>
    <w:rsid w:val="0066656E"/>
    <w:rsid w:val="006667AB"/>
    <w:rsid w:val="00666B4B"/>
    <w:rsid w:val="0066793F"/>
    <w:rsid w:val="00670EAC"/>
    <w:rsid w:val="00671571"/>
    <w:rsid w:val="0067286C"/>
    <w:rsid w:val="00672C38"/>
    <w:rsid w:val="00684AEB"/>
    <w:rsid w:val="00686C3A"/>
    <w:rsid w:val="00686E2A"/>
    <w:rsid w:val="00687BE9"/>
    <w:rsid w:val="0069004F"/>
    <w:rsid w:val="00691747"/>
    <w:rsid w:val="00693654"/>
    <w:rsid w:val="0069722F"/>
    <w:rsid w:val="006A1E87"/>
    <w:rsid w:val="006A2314"/>
    <w:rsid w:val="006A3050"/>
    <w:rsid w:val="006B0FBD"/>
    <w:rsid w:val="006B5855"/>
    <w:rsid w:val="006B6D05"/>
    <w:rsid w:val="006C00F4"/>
    <w:rsid w:val="006C580A"/>
    <w:rsid w:val="006D502F"/>
    <w:rsid w:val="006E04CE"/>
    <w:rsid w:val="006E12B4"/>
    <w:rsid w:val="006E2794"/>
    <w:rsid w:val="006E4418"/>
    <w:rsid w:val="006E79F1"/>
    <w:rsid w:val="006E7C58"/>
    <w:rsid w:val="006F2403"/>
    <w:rsid w:val="006F6FAC"/>
    <w:rsid w:val="007006BB"/>
    <w:rsid w:val="00701B6C"/>
    <w:rsid w:val="0070239B"/>
    <w:rsid w:val="00703F72"/>
    <w:rsid w:val="007043F4"/>
    <w:rsid w:val="007110A8"/>
    <w:rsid w:val="00712D6D"/>
    <w:rsid w:val="00713F6D"/>
    <w:rsid w:val="007208BC"/>
    <w:rsid w:val="00720BCC"/>
    <w:rsid w:val="007221BD"/>
    <w:rsid w:val="00722506"/>
    <w:rsid w:val="007234AA"/>
    <w:rsid w:val="00723CDB"/>
    <w:rsid w:val="00724561"/>
    <w:rsid w:val="00726D4D"/>
    <w:rsid w:val="00726D6C"/>
    <w:rsid w:val="0072719E"/>
    <w:rsid w:val="007322EF"/>
    <w:rsid w:val="0073281F"/>
    <w:rsid w:val="00733D38"/>
    <w:rsid w:val="00736BF7"/>
    <w:rsid w:val="00737B80"/>
    <w:rsid w:val="00737FA0"/>
    <w:rsid w:val="0074215A"/>
    <w:rsid w:val="00742F4A"/>
    <w:rsid w:val="00744862"/>
    <w:rsid w:val="007469C2"/>
    <w:rsid w:val="007476F6"/>
    <w:rsid w:val="00752261"/>
    <w:rsid w:val="00752FE7"/>
    <w:rsid w:val="00756347"/>
    <w:rsid w:val="007569EC"/>
    <w:rsid w:val="00761CD0"/>
    <w:rsid w:val="00762E35"/>
    <w:rsid w:val="00762E36"/>
    <w:rsid w:val="00765760"/>
    <w:rsid w:val="00770D01"/>
    <w:rsid w:val="007723BD"/>
    <w:rsid w:val="00772F1A"/>
    <w:rsid w:val="007737CB"/>
    <w:rsid w:val="00776821"/>
    <w:rsid w:val="007777BB"/>
    <w:rsid w:val="00785EC9"/>
    <w:rsid w:val="007917D7"/>
    <w:rsid w:val="00793BC6"/>
    <w:rsid w:val="00794C2E"/>
    <w:rsid w:val="007953BE"/>
    <w:rsid w:val="007961AA"/>
    <w:rsid w:val="007A0D4B"/>
    <w:rsid w:val="007A230F"/>
    <w:rsid w:val="007A4BBB"/>
    <w:rsid w:val="007B4158"/>
    <w:rsid w:val="007C0180"/>
    <w:rsid w:val="007C68D1"/>
    <w:rsid w:val="007C7128"/>
    <w:rsid w:val="007D0D1A"/>
    <w:rsid w:val="007D14FF"/>
    <w:rsid w:val="007D2179"/>
    <w:rsid w:val="007D3246"/>
    <w:rsid w:val="007D59D0"/>
    <w:rsid w:val="007E0189"/>
    <w:rsid w:val="007E172C"/>
    <w:rsid w:val="007E17F6"/>
    <w:rsid w:val="007E3C0B"/>
    <w:rsid w:val="007E5784"/>
    <w:rsid w:val="007E69AE"/>
    <w:rsid w:val="007F05C1"/>
    <w:rsid w:val="007F249D"/>
    <w:rsid w:val="007F347E"/>
    <w:rsid w:val="007F3A40"/>
    <w:rsid w:val="007F3F6D"/>
    <w:rsid w:val="007F6DFC"/>
    <w:rsid w:val="00800AF3"/>
    <w:rsid w:val="00801791"/>
    <w:rsid w:val="00803148"/>
    <w:rsid w:val="00803AFF"/>
    <w:rsid w:val="008104DF"/>
    <w:rsid w:val="00812DA5"/>
    <w:rsid w:val="00813194"/>
    <w:rsid w:val="00815EE7"/>
    <w:rsid w:val="00816F8B"/>
    <w:rsid w:val="008225F5"/>
    <w:rsid w:val="00830480"/>
    <w:rsid w:val="00831B36"/>
    <w:rsid w:val="00832C31"/>
    <w:rsid w:val="008330BE"/>
    <w:rsid w:val="00835863"/>
    <w:rsid w:val="00835D8C"/>
    <w:rsid w:val="00836F10"/>
    <w:rsid w:val="0084056F"/>
    <w:rsid w:val="008455E3"/>
    <w:rsid w:val="008476A4"/>
    <w:rsid w:val="00851D2E"/>
    <w:rsid w:val="00852EA1"/>
    <w:rsid w:val="00854B35"/>
    <w:rsid w:val="00855FEA"/>
    <w:rsid w:val="0085633A"/>
    <w:rsid w:val="0085668D"/>
    <w:rsid w:val="00861625"/>
    <w:rsid w:val="008616B0"/>
    <w:rsid w:val="00861C1F"/>
    <w:rsid w:val="00863617"/>
    <w:rsid w:val="008657E7"/>
    <w:rsid w:val="00865E73"/>
    <w:rsid w:val="0087132A"/>
    <w:rsid w:val="0088039D"/>
    <w:rsid w:val="008807BD"/>
    <w:rsid w:val="00882BB9"/>
    <w:rsid w:val="0088376D"/>
    <w:rsid w:val="0088418B"/>
    <w:rsid w:val="00884414"/>
    <w:rsid w:val="00884BCF"/>
    <w:rsid w:val="00885A3C"/>
    <w:rsid w:val="00886532"/>
    <w:rsid w:val="0088692D"/>
    <w:rsid w:val="00887B62"/>
    <w:rsid w:val="00891EA4"/>
    <w:rsid w:val="00892F91"/>
    <w:rsid w:val="0089303D"/>
    <w:rsid w:val="008935C9"/>
    <w:rsid w:val="00893A70"/>
    <w:rsid w:val="008A2C5F"/>
    <w:rsid w:val="008A5665"/>
    <w:rsid w:val="008A664A"/>
    <w:rsid w:val="008B0B35"/>
    <w:rsid w:val="008B2544"/>
    <w:rsid w:val="008B2752"/>
    <w:rsid w:val="008B2F57"/>
    <w:rsid w:val="008B5601"/>
    <w:rsid w:val="008B7C9B"/>
    <w:rsid w:val="008C0A54"/>
    <w:rsid w:val="008C20AB"/>
    <w:rsid w:val="008C21C8"/>
    <w:rsid w:val="008C471E"/>
    <w:rsid w:val="008C59E2"/>
    <w:rsid w:val="008C60D5"/>
    <w:rsid w:val="008D0313"/>
    <w:rsid w:val="008D123E"/>
    <w:rsid w:val="008D125C"/>
    <w:rsid w:val="008D63E3"/>
    <w:rsid w:val="008D7D23"/>
    <w:rsid w:val="008E1443"/>
    <w:rsid w:val="008E2437"/>
    <w:rsid w:val="008E2739"/>
    <w:rsid w:val="008E3AF6"/>
    <w:rsid w:val="008E5F47"/>
    <w:rsid w:val="008E67A3"/>
    <w:rsid w:val="008F013D"/>
    <w:rsid w:val="008F375A"/>
    <w:rsid w:val="008F65E2"/>
    <w:rsid w:val="008F7880"/>
    <w:rsid w:val="009004F1"/>
    <w:rsid w:val="009034D0"/>
    <w:rsid w:val="00904FBC"/>
    <w:rsid w:val="00907F47"/>
    <w:rsid w:val="0091110E"/>
    <w:rsid w:val="009114B5"/>
    <w:rsid w:val="00914797"/>
    <w:rsid w:val="0091587D"/>
    <w:rsid w:val="009212D5"/>
    <w:rsid w:val="00922E2E"/>
    <w:rsid w:val="0092529F"/>
    <w:rsid w:val="00925333"/>
    <w:rsid w:val="009326F4"/>
    <w:rsid w:val="0093461C"/>
    <w:rsid w:val="00934EE5"/>
    <w:rsid w:val="00935111"/>
    <w:rsid w:val="0094074E"/>
    <w:rsid w:val="00941D1D"/>
    <w:rsid w:val="00941E0F"/>
    <w:rsid w:val="009431C3"/>
    <w:rsid w:val="009442AF"/>
    <w:rsid w:val="00944EA9"/>
    <w:rsid w:val="00953741"/>
    <w:rsid w:val="00960C59"/>
    <w:rsid w:val="009627BE"/>
    <w:rsid w:val="00962B8F"/>
    <w:rsid w:val="00963AE6"/>
    <w:rsid w:val="0096453B"/>
    <w:rsid w:val="009659D3"/>
    <w:rsid w:val="00965E81"/>
    <w:rsid w:val="00971848"/>
    <w:rsid w:val="00971DF1"/>
    <w:rsid w:val="00975D86"/>
    <w:rsid w:val="009770AD"/>
    <w:rsid w:val="00977428"/>
    <w:rsid w:val="0098010B"/>
    <w:rsid w:val="009815CB"/>
    <w:rsid w:val="00983037"/>
    <w:rsid w:val="009917DC"/>
    <w:rsid w:val="00996531"/>
    <w:rsid w:val="0099685F"/>
    <w:rsid w:val="009A0AB2"/>
    <w:rsid w:val="009A6A08"/>
    <w:rsid w:val="009A7F69"/>
    <w:rsid w:val="009C0495"/>
    <w:rsid w:val="009C19AC"/>
    <w:rsid w:val="009C582F"/>
    <w:rsid w:val="009D0694"/>
    <w:rsid w:val="009D29BC"/>
    <w:rsid w:val="009D3C7C"/>
    <w:rsid w:val="009D5E6E"/>
    <w:rsid w:val="009D7895"/>
    <w:rsid w:val="009E278E"/>
    <w:rsid w:val="009E31B4"/>
    <w:rsid w:val="009E37B3"/>
    <w:rsid w:val="009E62E0"/>
    <w:rsid w:val="009E7BBB"/>
    <w:rsid w:val="009F016D"/>
    <w:rsid w:val="009F3F42"/>
    <w:rsid w:val="009F5008"/>
    <w:rsid w:val="009F6146"/>
    <w:rsid w:val="009F733E"/>
    <w:rsid w:val="00A00CB4"/>
    <w:rsid w:val="00A02EB1"/>
    <w:rsid w:val="00A03D3F"/>
    <w:rsid w:val="00A05679"/>
    <w:rsid w:val="00A0622B"/>
    <w:rsid w:val="00A06B12"/>
    <w:rsid w:val="00A11B9F"/>
    <w:rsid w:val="00A11BAF"/>
    <w:rsid w:val="00A176D2"/>
    <w:rsid w:val="00A201FB"/>
    <w:rsid w:val="00A23D73"/>
    <w:rsid w:val="00A23F9E"/>
    <w:rsid w:val="00A25530"/>
    <w:rsid w:val="00A27EEF"/>
    <w:rsid w:val="00A32EA0"/>
    <w:rsid w:val="00A365ED"/>
    <w:rsid w:val="00A36714"/>
    <w:rsid w:val="00A367CA"/>
    <w:rsid w:val="00A372F8"/>
    <w:rsid w:val="00A37CBB"/>
    <w:rsid w:val="00A4266C"/>
    <w:rsid w:val="00A42AF5"/>
    <w:rsid w:val="00A4571A"/>
    <w:rsid w:val="00A458EA"/>
    <w:rsid w:val="00A5083C"/>
    <w:rsid w:val="00A50C7A"/>
    <w:rsid w:val="00A523AD"/>
    <w:rsid w:val="00A54252"/>
    <w:rsid w:val="00A55263"/>
    <w:rsid w:val="00A65EE9"/>
    <w:rsid w:val="00A66247"/>
    <w:rsid w:val="00A70191"/>
    <w:rsid w:val="00A75499"/>
    <w:rsid w:val="00A77256"/>
    <w:rsid w:val="00A77D07"/>
    <w:rsid w:val="00A81E95"/>
    <w:rsid w:val="00A828A5"/>
    <w:rsid w:val="00A86EDE"/>
    <w:rsid w:val="00A93F08"/>
    <w:rsid w:val="00A94190"/>
    <w:rsid w:val="00A954C3"/>
    <w:rsid w:val="00A97B80"/>
    <w:rsid w:val="00AA2B5C"/>
    <w:rsid w:val="00AB0CE8"/>
    <w:rsid w:val="00AB1C4A"/>
    <w:rsid w:val="00AB3F81"/>
    <w:rsid w:val="00AB45A8"/>
    <w:rsid w:val="00AB579C"/>
    <w:rsid w:val="00AB7E50"/>
    <w:rsid w:val="00AC1009"/>
    <w:rsid w:val="00AC3402"/>
    <w:rsid w:val="00AC50D8"/>
    <w:rsid w:val="00AC550E"/>
    <w:rsid w:val="00AC638B"/>
    <w:rsid w:val="00AC72C7"/>
    <w:rsid w:val="00AD2A3E"/>
    <w:rsid w:val="00AD319B"/>
    <w:rsid w:val="00AD3DBB"/>
    <w:rsid w:val="00AD5784"/>
    <w:rsid w:val="00AD59D2"/>
    <w:rsid w:val="00AE2705"/>
    <w:rsid w:val="00AE3367"/>
    <w:rsid w:val="00AE4EAA"/>
    <w:rsid w:val="00AE5F52"/>
    <w:rsid w:val="00AE797B"/>
    <w:rsid w:val="00AE7A72"/>
    <w:rsid w:val="00AF05FA"/>
    <w:rsid w:val="00AF09EE"/>
    <w:rsid w:val="00AF327F"/>
    <w:rsid w:val="00AF697E"/>
    <w:rsid w:val="00AF6CAE"/>
    <w:rsid w:val="00B01D17"/>
    <w:rsid w:val="00B05056"/>
    <w:rsid w:val="00B052AD"/>
    <w:rsid w:val="00B05785"/>
    <w:rsid w:val="00B05CE3"/>
    <w:rsid w:val="00B067D1"/>
    <w:rsid w:val="00B1404E"/>
    <w:rsid w:val="00B162E0"/>
    <w:rsid w:val="00B2456E"/>
    <w:rsid w:val="00B265E6"/>
    <w:rsid w:val="00B31BBA"/>
    <w:rsid w:val="00B334A8"/>
    <w:rsid w:val="00B34977"/>
    <w:rsid w:val="00B34ECF"/>
    <w:rsid w:val="00B35C19"/>
    <w:rsid w:val="00B42258"/>
    <w:rsid w:val="00B444BD"/>
    <w:rsid w:val="00B448CE"/>
    <w:rsid w:val="00B45631"/>
    <w:rsid w:val="00B462FE"/>
    <w:rsid w:val="00B4747A"/>
    <w:rsid w:val="00B47588"/>
    <w:rsid w:val="00B47672"/>
    <w:rsid w:val="00B55043"/>
    <w:rsid w:val="00B55DD1"/>
    <w:rsid w:val="00B65E26"/>
    <w:rsid w:val="00B66E09"/>
    <w:rsid w:val="00B71DBE"/>
    <w:rsid w:val="00B71E74"/>
    <w:rsid w:val="00B73C02"/>
    <w:rsid w:val="00B748D9"/>
    <w:rsid w:val="00B74D85"/>
    <w:rsid w:val="00B81959"/>
    <w:rsid w:val="00B825FD"/>
    <w:rsid w:val="00B82972"/>
    <w:rsid w:val="00B90FD1"/>
    <w:rsid w:val="00B91619"/>
    <w:rsid w:val="00B9332F"/>
    <w:rsid w:val="00B9789C"/>
    <w:rsid w:val="00BA0545"/>
    <w:rsid w:val="00BA08BF"/>
    <w:rsid w:val="00BA23DE"/>
    <w:rsid w:val="00BA393D"/>
    <w:rsid w:val="00BA4B27"/>
    <w:rsid w:val="00BA4D13"/>
    <w:rsid w:val="00BA7423"/>
    <w:rsid w:val="00BB3118"/>
    <w:rsid w:val="00BC0057"/>
    <w:rsid w:val="00BC3361"/>
    <w:rsid w:val="00BC5AB1"/>
    <w:rsid w:val="00BC5B24"/>
    <w:rsid w:val="00BC61FA"/>
    <w:rsid w:val="00BD06D9"/>
    <w:rsid w:val="00BD26CE"/>
    <w:rsid w:val="00BD3DA8"/>
    <w:rsid w:val="00BD465D"/>
    <w:rsid w:val="00BD5C5A"/>
    <w:rsid w:val="00BE2543"/>
    <w:rsid w:val="00BE5368"/>
    <w:rsid w:val="00BF04EA"/>
    <w:rsid w:val="00BF18B3"/>
    <w:rsid w:val="00BF3AB3"/>
    <w:rsid w:val="00BF3D43"/>
    <w:rsid w:val="00BF5ED1"/>
    <w:rsid w:val="00C0139B"/>
    <w:rsid w:val="00C0140F"/>
    <w:rsid w:val="00C031A1"/>
    <w:rsid w:val="00C057EC"/>
    <w:rsid w:val="00C06781"/>
    <w:rsid w:val="00C12043"/>
    <w:rsid w:val="00C138DF"/>
    <w:rsid w:val="00C165BB"/>
    <w:rsid w:val="00C20169"/>
    <w:rsid w:val="00C21425"/>
    <w:rsid w:val="00C25FC7"/>
    <w:rsid w:val="00C311F2"/>
    <w:rsid w:val="00C324AA"/>
    <w:rsid w:val="00C32AD3"/>
    <w:rsid w:val="00C32C8B"/>
    <w:rsid w:val="00C332F7"/>
    <w:rsid w:val="00C346FC"/>
    <w:rsid w:val="00C3619D"/>
    <w:rsid w:val="00C408A1"/>
    <w:rsid w:val="00C44914"/>
    <w:rsid w:val="00C462C4"/>
    <w:rsid w:val="00C47497"/>
    <w:rsid w:val="00C53325"/>
    <w:rsid w:val="00C54399"/>
    <w:rsid w:val="00C555FE"/>
    <w:rsid w:val="00C6236A"/>
    <w:rsid w:val="00C64166"/>
    <w:rsid w:val="00C643C7"/>
    <w:rsid w:val="00C70F85"/>
    <w:rsid w:val="00C7114D"/>
    <w:rsid w:val="00C725FB"/>
    <w:rsid w:val="00C7380F"/>
    <w:rsid w:val="00C73EC7"/>
    <w:rsid w:val="00C744B9"/>
    <w:rsid w:val="00C77DAD"/>
    <w:rsid w:val="00C827DC"/>
    <w:rsid w:val="00C82BBC"/>
    <w:rsid w:val="00C844C1"/>
    <w:rsid w:val="00C84631"/>
    <w:rsid w:val="00C84F17"/>
    <w:rsid w:val="00C918DA"/>
    <w:rsid w:val="00C92E4D"/>
    <w:rsid w:val="00CA3182"/>
    <w:rsid w:val="00CA440A"/>
    <w:rsid w:val="00CB5A66"/>
    <w:rsid w:val="00CB5D18"/>
    <w:rsid w:val="00CB663F"/>
    <w:rsid w:val="00CB71B9"/>
    <w:rsid w:val="00CC4A46"/>
    <w:rsid w:val="00CC50A7"/>
    <w:rsid w:val="00CC551B"/>
    <w:rsid w:val="00CD0689"/>
    <w:rsid w:val="00CD13EB"/>
    <w:rsid w:val="00CD2A95"/>
    <w:rsid w:val="00CD4729"/>
    <w:rsid w:val="00CD48D6"/>
    <w:rsid w:val="00CD5762"/>
    <w:rsid w:val="00CD5B0C"/>
    <w:rsid w:val="00CD688D"/>
    <w:rsid w:val="00CE00B8"/>
    <w:rsid w:val="00CE2455"/>
    <w:rsid w:val="00CF0CBA"/>
    <w:rsid w:val="00CF26F4"/>
    <w:rsid w:val="00CF48CD"/>
    <w:rsid w:val="00CF48CE"/>
    <w:rsid w:val="00CF6F1A"/>
    <w:rsid w:val="00CF796D"/>
    <w:rsid w:val="00D01350"/>
    <w:rsid w:val="00D01DC3"/>
    <w:rsid w:val="00D03D09"/>
    <w:rsid w:val="00D04441"/>
    <w:rsid w:val="00D04787"/>
    <w:rsid w:val="00D076DC"/>
    <w:rsid w:val="00D11250"/>
    <w:rsid w:val="00D124AB"/>
    <w:rsid w:val="00D1269E"/>
    <w:rsid w:val="00D16DAA"/>
    <w:rsid w:val="00D2140A"/>
    <w:rsid w:val="00D24523"/>
    <w:rsid w:val="00D247A5"/>
    <w:rsid w:val="00D257C4"/>
    <w:rsid w:val="00D25ADD"/>
    <w:rsid w:val="00D31823"/>
    <w:rsid w:val="00D36DD8"/>
    <w:rsid w:val="00D40074"/>
    <w:rsid w:val="00D40616"/>
    <w:rsid w:val="00D42606"/>
    <w:rsid w:val="00D43424"/>
    <w:rsid w:val="00D47EA2"/>
    <w:rsid w:val="00D47FE8"/>
    <w:rsid w:val="00D509B4"/>
    <w:rsid w:val="00D575A5"/>
    <w:rsid w:val="00D60206"/>
    <w:rsid w:val="00D646B9"/>
    <w:rsid w:val="00D6548D"/>
    <w:rsid w:val="00D67A4A"/>
    <w:rsid w:val="00D67B56"/>
    <w:rsid w:val="00D7293B"/>
    <w:rsid w:val="00D72A93"/>
    <w:rsid w:val="00D74610"/>
    <w:rsid w:val="00D74E6D"/>
    <w:rsid w:val="00D7542E"/>
    <w:rsid w:val="00D76626"/>
    <w:rsid w:val="00D779BE"/>
    <w:rsid w:val="00D83BC8"/>
    <w:rsid w:val="00D958DC"/>
    <w:rsid w:val="00D97427"/>
    <w:rsid w:val="00D97C22"/>
    <w:rsid w:val="00DA2128"/>
    <w:rsid w:val="00DA320C"/>
    <w:rsid w:val="00DA49CA"/>
    <w:rsid w:val="00DA4F64"/>
    <w:rsid w:val="00DA54C2"/>
    <w:rsid w:val="00DA750D"/>
    <w:rsid w:val="00DB0235"/>
    <w:rsid w:val="00DB2507"/>
    <w:rsid w:val="00DB6029"/>
    <w:rsid w:val="00DB796A"/>
    <w:rsid w:val="00DC1509"/>
    <w:rsid w:val="00DC2061"/>
    <w:rsid w:val="00DC5B59"/>
    <w:rsid w:val="00DC7112"/>
    <w:rsid w:val="00DC7419"/>
    <w:rsid w:val="00DD3837"/>
    <w:rsid w:val="00DD4EDC"/>
    <w:rsid w:val="00DD52AD"/>
    <w:rsid w:val="00DD62A6"/>
    <w:rsid w:val="00DD6641"/>
    <w:rsid w:val="00DE0F65"/>
    <w:rsid w:val="00DE4F58"/>
    <w:rsid w:val="00DF13A8"/>
    <w:rsid w:val="00DF1761"/>
    <w:rsid w:val="00DF2264"/>
    <w:rsid w:val="00DF3191"/>
    <w:rsid w:val="00E02388"/>
    <w:rsid w:val="00E05A53"/>
    <w:rsid w:val="00E07CEF"/>
    <w:rsid w:val="00E1233D"/>
    <w:rsid w:val="00E149CA"/>
    <w:rsid w:val="00E15344"/>
    <w:rsid w:val="00E17600"/>
    <w:rsid w:val="00E21D4A"/>
    <w:rsid w:val="00E23242"/>
    <w:rsid w:val="00E253EB"/>
    <w:rsid w:val="00E268C5"/>
    <w:rsid w:val="00E30C06"/>
    <w:rsid w:val="00E3275E"/>
    <w:rsid w:val="00E34C3F"/>
    <w:rsid w:val="00E35BBA"/>
    <w:rsid w:val="00E362AA"/>
    <w:rsid w:val="00E41852"/>
    <w:rsid w:val="00E43777"/>
    <w:rsid w:val="00E43EB7"/>
    <w:rsid w:val="00E462C7"/>
    <w:rsid w:val="00E47771"/>
    <w:rsid w:val="00E50449"/>
    <w:rsid w:val="00E51D4E"/>
    <w:rsid w:val="00E529A9"/>
    <w:rsid w:val="00E52CBC"/>
    <w:rsid w:val="00E53721"/>
    <w:rsid w:val="00E55D43"/>
    <w:rsid w:val="00E563F6"/>
    <w:rsid w:val="00E57233"/>
    <w:rsid w:val="00E57555"/>
    <w:rsid w:val="00E6029C"/>
    <w:rsid w:val="00E60335"/>
    <w:rsid w:val="00E61B68"/>
    <w:rsid w:val="00E62D62"/>
    <w:rsid w:val="00E64508"/>
    <w:rsid w:val="00E66455"/>
    <w:rsid w:val="00E701C0"/>
    <w:rsid w:val="00E70CA9"/>
    <w:rsid w:val="00E74588"/>
    <w:rsid w:val="00E74DB0"/>
    <w:rsid w:val="00E76C2D"/>
    <w:rsid w:val="00E77A46"/>
    <w:rsid w:val="00E81696"/>
    <w:rsid w:val="00E819A9"/>
    <w:rsid w:val="00E81CCA"/>
    <w:rsid w:val="00E93351"/>
    <w:rsid w:val="00EA14B3"/>
    <w:rsid w:val="00EA1CC7"/>
    <w:rsid w:val="00EA2D3B"/>
    <w:rsid w:val="00EA4004"/>
    <w:rsid w:val="00EA4386"/>
    <w:rsid w:val="00EA4D6D"/>
    <w:rsid w:val="00EA5DE7"/>
    <w:rsid w:val="00EA5FC6"/>
    <w:rsid w:val="00EB16D7"/>
    <w:rsid w:val="00EB26C4"/>
    <w:rsid w:val="00EB43F5"/>
    <w:rsid w:val="00EB534C"/>
    <w:rsid w:val="00EB5F53"/>
    <w:rsid w:val="00EC4D5F"/>
    <w:rsid w:val="00EC5146"/>
    <w:rsid w:val="00EC709E"/>
    <w:rsid w:val="00EC7AE5"/>
    <w:rsid w:val="00ED1898"/>
    <w:rsid w:val="00ED2531"/>
    <w:rsid w:val="00ED5F88"/>
    <w:rsid w:val="00ED6D6F"/>
    <w:rsid w:val="00ED7DD9"/>
    <w:rsid w:val="00EE1449"/>
    <w:rsid w:val="00EE20E1"/>
    <w:rsid w:val="00EE3221"/>
    <w:rsid w:val="00EE5EB2"/>
    <w:rsid w:val="00EE68E4"/>
    <w:rsid w:val="00EF2884"/>
    <w:rsid w:val="00EF3244"/>
    <w:rsid w:val="00EF3C1D"/>
    <w:rsid w:val="00F00A47"/>
    <w:rsid w:val="00F0189B"/>
    <w:rsid w:val="00F02097"/>
    <w:rsid w:val="00F03988"/>
    <w:rsid w:val="00F03B5D"/>
    <w:rsid w:val="00F050CF"/>
    <w:rsid w:val="00F0565C"/>
    <w:rsid w:val="00F05926"/>
    <w:rsid w:val="00F05CE4"/>
    <w:rsid w:val="00F15935"/>
    <w:rsid w:val="00F17C5F"/>
    <w:rsid w:val="00F23E32"/>
    <w:rsid w:val="00F26A41"/>
    <w:rsid w:val="00F30683"/>
    <w:rsid w:val="00F30E6C"/>
    <w:rsid w:val="00F32176"/>
    <w:rsid w:val="00F32A41"/>
    <w:rsid w:val="00F350CF"/>
    <w:rsid w:val="00F3678C"/>
    <w:rsid w:val="00F36AC9"/>
    <w:rsid w:val="00F37476"/>
    <w:rsid w:val="00F400BA"/>
    <w:rsid w:val="00F4086C"/>
    <w:rsid w:val="00F4145A"/>
    <w:rsid w:val="00F41BCB"/>
    <w:rsid w:val="00F42B3E"/>
    <w:rsid w:val="00F4419D"/>
    <w:rsid w:val="00F47B70"/>
    <w:rsid w:val="00F506C5"/>
    <w:rsid w:val="00F5092F"/>
    <w:rsid w:val="00F51679"/>
    <w:rsid w:val="00F51AD8"/>
    <w:rsid w:val="00F52608"/>
    <w:rsid w:val="00F56F76"/>
    <w:rsid w:val="00F574DB"/>
    <w:rsid w:val="00F6226F"/>
    <w:rsid w:val="00F627BB"/>
    <w:rsid w:val="00F6419E"/>
    <w:rsid w:val="00F66317"/>
    <w:rsid w:val="00F70B6F"/>
    <w:rsid w:val="00F7123B"/>
    <w:rsid w:val="00F72191"/>
    <w:rsid w:val="00F749CF"/>
    <w:rsid w:val="00F76D09"/>
    <w:rsid w:val="00F80869"/>
    <w:rsid w:val="00F81BB7"/>
    <w:rsid w:val="00F840E2"/>
    <w:rsid w:val="00F87307"/>
    <w:rsid w:val="00F9014D"/>
    <w:rsid w:val="00F91A19"/>
    <w:rsid w:val="00F91DE4"/>
    <w:rsid w:val="00F92170"/>
    <w:rsid w:val="00F9222A"/>
    <w:rsid w:val="00F93382"/>
    <w:rsid w:val="00F96EFD"/>
    <w:rsid w:val="00FA0388"/>
    <w:rsid w:val="00FA2C56"/>
    <w:rsid w:val="00FA41AC"/>
    <w:rsid w:val="00FA45D0"/>
    <w:rsid w:val="00FA70F9"/>
    <w:rsid w:val="00FA7EEA"/>
    <w:rsid w:val="00FB0F2C"/>
    <w:rsid w:val="00FB12AB"/>
    <w:rsid w:val="00FB1B8D"/>
    <w:rsid w:val="00FB40EF"/>
    <w:rsid w:val="00FB48A3"/>
    <w:rsid w:val="00FB6E32"/>
    <w:rsid w:val="00FC16C4"/>
    <w:rsid w:val="00FC38F9"/>
    <w:rsid w:val="00FC4B94"/>
    <w:rsid w:val="00FC5801"/>
    <w:rsid w:val="00FC6DDC"/>
    <w:rsid w:val="00FC7722"/>
    <w:rsid w:val="00FC78BB"/>
    <w:rsid w:val="00FC7EA5"/>
    <w:rsid w:val="00FD11FB"/>
    <w:rsid w:val="00FD36A4"/>
    <w:rsid w:val="00FD43DB"/>
    <w:rsid w:val="00FD527F"/>
    <w:rsid w:val="00FD5E91"/>
    <w:rsid w:val="00FD74D6"/>
    <w:rsid w:val="00FD7D00"/>
    <w:rsid w:val="00FE23F7"/>
    <w:rsid w:val="00FE4EA0"/>
    <w:rsid w:val="00FE7371"/>
    <w:rsid w:val="00FF22A2"/>
    <w:rsid w:val="00FF4FFF"/>
    <w:rsid w:val="00FF50CC"/>
    <w:rsid w:val="00FF7516"/>
    <w:rsid w:val="00FF7DE4"/>
    <w:rsid w:val="13A273C7"/>
    <w:rsid w:val="1F5B3474"/>
    <w:rsid w:val="233B4F2D"/>
    <w:rsid w:val="268C9E71"/>
    <w:rsid w:val="2BF8151A"/>
    <w:rsid w:val="2CE4DDFD"/>
    <w:rsid w:val="2E90B587"/>
    <w:rsid w:val="30039970"/>
    <w:rsid w:val="378B1171"/>
    <w:rsid w:val="4C824D8F"/>
    <w:rsid w:val="514C0825"/>
    <w:rsid w:val="54E0F281"/>
    <w:rsid w:val="5ACD34EE"/>
    <w:rsid w:val="60C65327"/>
    <w:rsid w:val="6781A9C1"/>
    <w:rsid w:val="67E40CC7"/>
    <w:rsid w:val="6DAD0AC8"/>
    <w:rsid w:val="7FC0DC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A3E2585-78D2-475F-841D-729D6A266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rt-commentedtext">
    <w:name w:val="rt-commentedtext"/>
    <w:basedOn w:val="DefaultParagraphFont"/>
    <w:rsid w:val="0009086D"/>
  </w:style>
  <w:style w:type="paragraph" w:customStyle="1" w:styleId="BVIfnrCarCarCarCarCharCharCharChar">
    <w:name w:val="BVI fnr Car Car Car Car Char Char Char Char"/>
    <w:basedOn w:val="Normal"/>
    <w:link w:val="FootnoteReference"/>
    <w:rsid w:val="00F32176"/>
    <w:pPr>
      <w:spacing w:before="0" w:after="160" w:line="240" w:lineRule="exact"/>
      <w:jc w:val="left"/>
    </w:pPr>
    <w:rPr>
      <w:rFonts w:asciiTheme="minorHAnsi" w:hAnsiTheme="minorHAnsi" w:cstheme="minorBidi"/>
      <w:sz w:val="22"/>
      <w:vertAlign w:val="superscript"/>
    </w:rPr>
  </w:style>
  <w:style w:type="paragraph" w:customStyle="1" w:styleId="ListNumber3Level2">
    <w:name w:val="List Number 3 (Level 2)"/>
    <w:basedOn w:val="Text3"/>
    <w:rsid w:val="00B05CE3"/>
    <w:pPr>
      <w:tabs>
        <w:tab w:val="num" w:pos="2268"/>
      </w:tabs>
      <w:ind w:left="2268" w:hanging="708"/>
    </w:pPr>
    <w:rPr>
      <w:rFonts w:eastAsia="Times New Roman"/>
      <w:lang w:eastAsia="de-DE"/>
    </w:rPr>
  </w:style>
  <w:style w:type="paragraph" w:customStyle="1" w:styleId="ListNumber3Level3">
    <w:name w:val="List Number 3 (Level 3)"/>
    <w:basedOn w:val="Text3"/>
    <w:rsid w:val="00B05CE3"/>
    <w:pPr>
      <w:tabs>
        <w:tab w:val="num" w:pos="2977"/>
      </w:tabs>
      <w:ind w:left="2977" w:hanging="709"/>
    </w:pPr>
    <w:rPr>
      <w:rFonts w:eastAsia="Times New Roman"/>
      <w:lang w:eastAsia="de-DE"/>
    </w:rPr>
  </w:style>
  <w:style w:type="paragraph" w:customStyle="1" w:styleId="ListNumber3Level4">
    <w:name w:val="List Number 3 (Level 4)"/>
    <w:basedOn w:val="Text3"/>
    <w:rsid w:val="00B05CE3"/>
    <w:pPr>
      <w:tabs>
        <w:tab w:val="num" w:pos="3686"/>
      </w:tabs>
      <w:ind w:left="3686" w:hanging="709"/>
    </w:pPr>
    <w:rPr>
      <w:rFonts w:eastAsia="Times New Roman"/>
      <w:lang w:eastAsia="de-DE"/>
    </w:rPr>
  </w:style>
  <w:style w:type="character" w:customStyle="1" w:styleId="UnresolvedMention">
    <w:name w:val="Unresolved Mention"/>
    <w:basedOn w:val="DefaultParagraphFont"/>
    <w:uiPriority w:val="99"/>
    <w:semiHidden/>
    <w:unhideWhenUsed/>
    <w:rsid w:val="006A3050"/>
    <w:rPr>
      <w:color w:val="605E5C"/>
      <w:shd w:val="clear" w:color="auto" w:fill="E1DFDD"/>
    </w:rPr>
  </w:style>
  <w:style w:type="character" w:customStyle="1" w:styleId="HeaderChar">
    <w:name w:val="Header Char"/>
    <w:basedOn w:val="DefaultParagraphFont"/>
    <w:link w:val="Header"/>
    <w:uiPriority w:val="99"/>
    <w:rsid w:val="00F91A19"/>
    <w:rPr>
      <w:rFonts w:ascii="Times New Roman" w:hAnsi="Times New Roman" w:cs="Times New Roman"/>
      <w:sz w:val="24"/>
      <w:lang w:val="fr-FR"/>
    </w:rPr>
  </w:style>
  <w:style w:type="character" w:customStyle="1" w:styleId="FooterChar">
    <w:name w:val="Footer Char"/>
    <w:basedOn w:val="DefaultParagraphFont"/>
    <w:link w:val="Footer"/>
    <w:uiPriority w:val="99"/>
    <w:rsid w:val="00F91A1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CarCarCarCarCharCharCharChar"/>
    <w:uiPriority w:val="99"/>
    <w:semiHidden/>
    <w:unhideWhenUsed/>
    <w:rPr>
      <w:shd w:val="clear" w:color="auto" w:fill="auto"/>
      <w:vertAlign w:val="superscript"/>
    </w:rPr>
  </w:style>
  <w:style w:type="paragraph" w:customStyle="1" w:styleId="HeaderSensitivity">
    <w:name w:val="Header Sensitivity"/>
    <w:basedOn w:val="Normal"/>
    <w:rsid w:val="00F91A1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91A19"/>
    <w:pPr>
      <w:spacing w:before="0"/>
      <w:jc w:val="right"/>
    </w:pPr>
    <w:rPr>
      <w:sz w:val="28"/>
    </w:rPr>
  </w:style>
  <w:style w:type="paragraph" w:customStyle="1" w:styleId="FooterSensitivity">
    <w:name w:val="Footer Sensitivity"/>
    <w:basedOn w:val="Normal"/>
    <w:rsid w:val="00F91A1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91A19"/>
    <w:pPr>
      <w:tabs>
        <w:tab w:val="center" w:pos="4535"/>
        <w:tab w:val="right" w:pos="9071"/>
      </w:tabs>
      <w:spacing w:before="0"/>
    </w:pPr>
  </w:style>
  <w:style w:type="paragraph" w:customStyle="1" w:styleId="HeaderLandscape">
    <w:name w:val="HeaderLandscape"/>
    <w:basedOn w:val="Normal"/>
    <w:rsid w:val="00F91A19"/>
    <w:pPr>
      <w:tabs>
        <w:tab w:val="center" w:pos="7285"/>
        <w:tab w:val="right" w:pos="14003"/>
      </w:tabs>
      <w:spacing w:before="0"/>
    </w:pPr>
  </w:style>
  <w:style w:type="paragraph" w:styleId="Footer">
    <w:name w:val="footer"/>
    <w:basedOn w:val="Normal"/>
    <w:link w:val="FooterChar"/>
    <w:uiPriority w:val="99"/>
    <w:unhideWhenUsed/>
    <w:rsid w:val="00F91A1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91A1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48416">
      <w:bodyDiv w:val="1"/>
      <w:marLeft w:val="0"/>
      <w:marRight w:val="0"/>
      <w:marTop w:val="0"/>
      <w:marBottom w:val="0"/>
      <w:divBdr>
        <w:top w:val="none" w:sz="0" w:space="0" w:color="auto"/>
        <w:left w:val="none" w:sz="0" w:space="0" w:color="auto"/>
        <w:bottom w:val="none" w:sz="0" w:space="0" w:color="auto"/>
        <w:right w:val="none" w:sz="0" w:space="0" w:color="auto"/>
      </w:divBdr>
    </w:div>
    <w:div w:id="711611223">
      <w:bodyDiv w:val="1"/>
      <w:marLeft w:val="0"/>
      <w:marRight w:val="0"/>
      <w:marTop w:val="0"/>
      <w:marBottom w:val="0"/>
      <w:divBdr>
        <w:top w:val="none" w:sz="0" w:space="0" w:color="auto"/>
        <w:left w:val="none" w:sz="0" w:space="0" w:color="auto"/>
        <w:bottom w:val="none" w:sz="0" w:space="0" w:color="auto"/>
        <w:right w:val="none" w:sz="0" w:space="0" w:color="auto"/>
      </w:divBdr>
    </w:div>
    <w:div w:id="729697649">
      <w:bodyDiv w:val="1"/>
      <w:marLeft w:val="0"/>
      <w:marRight w:val="0"/>
      <w:marTop w:val="0"/>
      <w:marBottom w:val="0"/>
      <w:divBdr>
        <w:top w:val="none" w:sz="0" w:space="0" w:color="auto"/>
        <w:left w:val="none" w:sz="0" w:space="0" w:color="auto"/>
        <w:bottom w:val="none" w:sz="0" w:space="0" w:color="auto"/>
        <w:right w:val="none" w:sz="0" w:space="0" w:color="auto"/>
      </w:divBdr>
    </w:div>
    <w:div w:id="740518435">
      <w:bodyDiv w:val="1"/>
      <w:marLeft w:val="0"/>
      <w:marRight w:val="0"/>
      <w:marTop w:val="0"/>
      <w:marBottom w:val="0"/>
      <w:divBdr>
        <w:top w:val="none" w:sz="0" w:space="0" w:color="auto"/>
        <w:left w:val="none" w:sz="0" w:space="0" w:color="auto"/>
        <w:bottom w:val="none" w:sz="0" w:space="0" w:color="auto"/>
        <w:right w:val="none" w:sz="0" w:space="0" w:color="auto"/>
      </w:divBdr>
    </w:div>
    <w:div w:id="1034887127">
      <w:bodyDiv w:val="1"/>
      <w:marLeft w:val="0"/>
      <w:marRight w:val="0"/>
      <w:marTop w:val="0"/>
      <w:marBottom w:val="0"/>
      <w:divBdr>
        <w:top w:val="none" w:sz="0" w:space="0" w:color="auto"/>
        <w:left w:val="none" w:sz="0" w:space="0" w:color="auto"/>
        <w:bottom w:val="none" w:sz="0" w:space="0" w:color="auto"/>
        <w:right w:val="none" w:sz="0" w:space="0" w:color="auto"/>
      </w:divBdr>
    </w:div>
    <w:div w:id="1151827816">
      <w:bodyDiv w:val="1"/>
      <w:marLeft w:val="0"/>
      <w:marRight w:val="0"/>
      <w:marTop w:val="0"/>
      <w:marBottom w:val="0"/>
      <w:divBdr>
        <w:top w:val="none" w:sz="0" w:space="0" w:color="auto"/>
        <w:left w:val="none" w:sz="0" w:space="0" w:color="auto"/>
        <w:bottom w:val="none" w:sz="0" w:space="0" w:color="auto"/>
        <w:right w:val="none" w:sz="0" w:space="0" w:color="auto"/>
      </w:divBdr>
    </w:div>
    <w:div w:id="1552031841">
      <w:bodyDiv w:val="1"/>
      <w:marLeft w:val="0"/>
      <w:marRight w:val="0"/>
      <w:marTop w:val="0"/>
      <w:marBottom w:val="0"/>
      <w:divBdr>
        <w:top w:val="none" w:sz="0" w:space="0" w:color="auto"/>
        <w:left w:val="none" w:sz="0" w:space="0" w:color="auto"/>
        <w:bottom w:val="none" w:sz="0" w:space="0" w:color="auto"/>
        <w:right w:val="none" w:sz="0" w:space="0" w:color="auto"/>
      </w:divBdr>
    </w:div>
    <w:div w:id="1598559586">
      <w:bodyDiv w:val="1"/>
      <w:marLeft w:val="0"/>
      <w:marRight w:val="0"/>
      <w:marTop w:val="0"/>
      <w:marBottom w:val="0"/>
      <w:divBdr>
        <w:top w:val="none" w:sz="0" w:space="0" w:color="auto"/>
        <w:left w:val="none" w:sz="0" w:space="0" w:color="auto"/>
        <w:bottom w:val="none" w:sz="0" w:space="0" w:color="auto"/>
        <w:right w:val="none" w:sz="0" w:space="0" w:color="auto"/>
      </w:divBdr>
    </w:div>
    <w:div w:id="1845706332">
      <w:bodyDiv w:val="1"/>
      <w:marLeft w:val="0"/>
      <w:marRight w:val="0"/>
      <w:marTop w:val="0"/>
      <w:marBottom w:val="0"/>
      <w:divBdr>
        <w:top w:val="none" w:sz="0" w:space="0" w:color="auto"/>
        <w:left w:val="none" w:sz="0" w:space="0" w:color="auto"/>
        <w:bottom w:val="none" w:sz="0" w:space="0" w:color="auto"/>
        <w:right w:val="none" w:sz="0" w:space="0" w:color="auto"/>
      </w:divBdr>
    </w:div>
    <w:div w:id="2042125643">
      <w:bodyDiv w:val="1"/>
      <w:marLeft w:val="0"/>
      <w:marRight w:val="0"/>
      <w:marTop w:val="0"/>
      <w:marBottom w:val="0"/>
      <w:divBdr>
        <w:top w:val="none" w:sz="0" w:space="0" w:color="auto"/>
        <w:left w:val="none" w:sz="0" w:space="0" w:color="auto"/>
        <w:bottom w:val="none" w:sz="0" w:space="0" w:color="auto"/>
        <w:right w:val="none" w:sz="0" w:space="0" w:color="auto"/>
      </w:divBdr>
    </w:div>
    <w:div w:id="2047632757">
      <w:bodyDiv w:val="1"/>
      <w:marLeft w:val="0"/>
      <w:marRight w:val="0"/>
      <w:marTop w:val="0"/>
      <w:marBottom w:val="0"/>
      <w:divBdr>
        <w:top w:val="none" w:sz="0" w:space="0" w:color="auto"/>
        <w:left w:val="none" w:sz="0" w:space="0" w:color="auto"/>
        <w:bottom w:val="none" w:sz="0" w:space="0" w:color="auto"/>
        <w:right w:val="none" w:sz="0" w:space="0" w:color="auto"/>
      </w:divBdr>
    </w:div>
    <w:div w:id="206655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25/2403/oj" TargetMode="External"/><Relationship Id="rId1" Type="http://schemas.openxmlformats.org/officeDocument/2006/relationships/hyperlink" Target="http://data.europa.eu/eli/dec/2025/15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d3db0c3-9325-49a3-a314-b2835b638b83">
      <Terms xmlns="http://schemas.microsoft.com/office/infopath/2007/PartnerControls"/>
    </lcf76f155ced4ddcb4097134ff3c332f>
    <TaxCatchAll xmlns="013aa35d-30e5-41d1-9a7b-1c862c539650" xsi:nil="true"/>
    <Step xmlns="ed3db0c3-9325-49a3-a314-b2835b638b83" xsi:nil="true"/>
    <FreeText xmlns="ed3db0c3-9325-49a3-a314-b2835b638b83" xsi:nil="true"/>
    <Sensitive xmlns="ed3db0c3-9325-49a3-a314-b2835b638b83">false</Sensitive>
    <Year xmlns="ed3db0c3-9325-49a3-a314-b2835b638b83" xsi:nil="true"/>
    <Accesslevel xmlns="ed3db0c3-9325-49a3-a314-b2835b638b83">A.1 only</Accesslevel>
    <Openpoints xmlns="ed3db0c3-9325-49a3-a314-b2835b638b83">false</Openpoints>
    <Author0 xmlns="ed3db0c3-9325-49a3-a314-b2835b638b83">
      <UserInfo>
        <DisplayName/>
        <AccountId xsi:nil="true"/>
        <AccountType/>
      </UserInfo>
    </Author0>
    <Date xmlns="ed3db0c3-9325-49a3-a314-b2835b638b8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668AA-A246-4721-86EF-18772F8A59B1}">
  <ds:schemaRefs>
    <ds:schemaRef ds:uri="http://schemas.microsoft.com/sharepoint/v3/contenttype/forms"/>
  </ds:schemaRefs>
</ds:datastoreItem>
</file>

<file path=customXml/itemProps2.xml><?xml version="1.0" encoding="utf-8"?>
<ds:datastoreItem xmlns:ds="http://schemas.openxmlformats.org/officeDocument/2006/customXml" ds:itemID="{77DF5D4A-1E8D-48D1-A1A1-D0E8B3B37683}">
  <ds:schemaRefs>
    <ds:schemaRef ds:uri="http://purl.org/dc/elements/1.1/"/>
    <ds:schemaRef ds:uri="http://schemas.microsoft.com/office/2006/metadata/properties"/>
    <ds:schemaRef ds:uri="013aa35d-30e5-41d1-9a7b-1c862c539650"/>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ed3db0c3-9325-49a3-a314-b2835b638b83"/>
    <ds:schemaRef ds:uri="http://www.w3.org/XML/1998/namespace"/>
  </ds:schemaRefs>
</ds:datastoreItem>
</file>

<file path=customXml/itemProps3.xml><?xml version="1.0" encoding="utf-8"?>
<ds:datastoreItem xmlns:ds="http://schemas.openxmlformats.org/officeDocument/2006/customXml" ds:itemID="{33BF1DA2-0FBE-4CE9-9A42-2A5C360CC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833847-7295-4F99-AC40-34534449F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11</Pages>
  <Words>3540</Words>
  <Characters>20182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23675</CharactersWithSpaces>
  <SharedDoc>false</SharedDoc>
  <HLinks>
    <vt:vector size="12" baseType="variant">
      <vt:variant>
        <vt:i4>7274617</vt:i4>
      </vt:variant>
      <vt:variant>
        <vt:i4>3</vt:i4>
      </vt:variant>
      <vt:variant>
        <vt:i4>0</vt:i4>
      </vt:variant>
      <vt:variant>
        <vt:i4>5</vt:i4>
      </vt:variant>
      <vt:variant>
        <vt:lpwstr>http://data.europa.eu/eli/dec/2025/2403/oj</vt:lpwstr>
      </vt:variant>
      <vt:variant>
        <vt:lpwstr/>
      </vt:variant>
      <vt:variant>
        <vt:i4>7209086</vt:i4>
      </vt:variant>
      <vt:variant>
        <vt:i4>0</vt:i4>
      </vt:variant>
      <vt:variant>
        <vt:i4>0</vt:i4>
      </vt:variant>
      <vt:variant>
        <vt:i4>5</vt:i4>
      </vt:variant>
      <vt:variant>
        <vt:lpwstr>http://data.europa.eu/eli/dec/2025/1525/oj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cp:lastPrinted>2026-04-25T08:01:00Z</cp:lastPrinted>
  <dcterms:created xsi:type="dcterms:W3CDTF">2026-05-08T12:19:00Z</dcterms:created>
  <dcterms:modified xsi:type="dcterms:W3CDTF">2026-05-22T05:41:00Z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2022-09-30T17:04:04Z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5c823862-67af-45e0-bec6-febb547b10cd</vt:lpwstr>
  </property>
  <property fmtid="{D5CDD505-2E9C-101B-9397-08002B2CF9AE}" pid="16" name="MSIP_Label_6bd9ddd1-4d20-43f6-abfa-fc3c07406f94_ContentBits">
    <vt:lpwstr>0</vt:lpwstr>
  </property>
  <property fmtid="{D5CDD505-2E9C-101B-9397-08002B2CF9AE}" pid="17" name="MediaServiceImageTags">
    <vt:lpwstr/>
  </property>
  <property fmtid="{D5CDD505-2E9C-101B-9397-08002B2CF9AE}" pid="18" name="ContentTypeId">
    <vt:lpwstr>0x010100E4F93C8C3BBABA488B15057D292843ED</vt:lpwstr>
  </property>
  <property fmtid="{D5CDD505-2E9C-101B-9397-08002B2CF9AE}" pid="19" name="DQCStatus">
    <vt:lpwstr>Green (DQC version 03)</vt:lpwstr>
  </property>
</Properties>
</file>