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D867F" w14:textId="0AAF20B1" w:rsidR="00440ED7" w:rsidRDefault="00BE01C1" w:rsidP="003007D8">
      <w:pPr>
        <w:pStyle w:val="Pagedecouverture"/>
        <w:rPr>
          <w:noProof/>
        </w:rPr>
      </w:pPr>
      <w:r>
        <w:rPr>
          <w:noProof/>
        </w:rPr>
        <w:pict w14:anchorId="756BD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EB80209-95E2-4528-88CA-43B1FE829068" style="width:455pt;height:416.5pt">
            <v:imagedata r:id="rId11" o:title=""/>
          </v:shape>
        </w:pict>
      </w:r>
    </w:p>
    <w:p w14:paraId="6ADDB67D" w14:textId="77777777" w:rsidR="005C559A" w:rsidRPr="005C559A" w:rsidRDefault="005C559A" w:rsidP="005C559A">
      <w:pPr>
        <w:pStyle w:val="Pagedecouverture"/>
        <w:rPr>
          <w:noProof/>
        </w:rPr>
        <w:sectPr w:rsidR="005C559A" w:rsidRPr="005C559A" w:rsidSect="00052996">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6AEB918" w14:textId="77777777" w:rsidR="00440ED7" w:rsidRPr="00AD21FF" w:rsidRDefault="00440ED7">
      <w:pPr>
        <w:pStyle w:val="Exposdesmotifstitre"/>
        <w:rPr>
          <w:noProof/>
        </w:rPr>
      </w:pPr>
      <w:r w:rsidRPr="00AD21FF">
        <w:rPr>
          <w:noProof/>
        </w:rPr>
        <w:lastRenderedPageBreak/>
        <w:t>EXPLANATORY MEMORANDUM</w:t>
      </w:r>
    </w:p>
    <w:p w14:paraId="07FFA5EA" w14:textId="77777777" w:rsidR="00FE7970" w:rsidRPr="00FF5211" w:rsidRDefault="00FF5211" w:rsidP="00FF5211">
      <w:pPr>
        <w:pStyle w:val="ManualHeading1"/>
        <w:rPr>
          <w:bCs/>
          <w:noProof/>
        </w:rPr>
      </w:pPr>
      <w:r w:rsidRPr="00FF5211">
        <w:rPr>
          <w:bCs/>
          <w:smallCaps w:val="0"/>
          <w:noProof/>
        </w:rPr>
        <w:t>1.</w:t>
      </w:r>
      <w:r w:rsidRPr="00FF5211">
        <w:rPr>
          <w:bCs/>
          <w:noProof/>
        </w:rPr>
        <w:tab/>
      </w:r>
      <w:r w:rsidR="00440ED7" w:rsidRPr="00FF5211">
        <w:rPr>
          <w:bCs/>
          <w:noProof/>
        </w:rPr>
        <w:t>CONTEXT OF THE PROPOSAL</w:t>
      </w:r>
    </w:p>
    <w:p w14:paraId="758CAD77" w14:textId="77777777" w:rsidR="00440ED7" w:rsidRPr="00AD21FF" w:rsidRDefault="00440ED7">
      <w:pPr>
        <w:pStyle w:val="ManualHeading2"/>
        <w:rPr>
          <w:rFonts w:eastAsia="Arial Unicode MS"/>
          <w:noProof/>
        </w:rPr>
      </w:pPr>
      <w:r w:rsidRPr="00AD21FF">
        <w:rPr>
          <w:rFonts w:eastAsia="Arial Unicode MS"/>
          <w:noProof/>
          <w:color w:val="000000"/>
          <w:u w:color="000000"/>
          <w:bdr w:val="nil"/>
          <w:lang w:val="en-US" w:eastAsia="en-GB"/>
        </w:rPr>
        <w:t>•</w:t>
      </w:r>
      <w:r w:rsidRPr="00AD21FF">
        <w:rPr>
          <w:rFonts w:eastAsia="Arial Unicode MS"/>
          <w:noProof/>
          <w:color w:val="000000"/>
          <w:u w:color="000000"/>
          <w:bdr w:val="nil"/>
          <w:lang w:val="en-US" w:eastAsia="en-GB"/>
        </w:rPr>
        <w:tab/>
      </w:r>
      <w:r w:rsidRPr="00AD21FF">
        <w:rPr>
          <w:rFonts w:eastAsia="Arial Unicode MS"/>
          <w:noProof/>
        </w:rPr>
        <w:t>Reasons for and objectives of the proposal</w:t>
      </w:r>
    </w:p>
    <w:p w14:paraId="30E7958F" w14:textId="77777777" w:rsidR="00FE7970" w:rsidRPr="00AD21FF" w:rsidRDefault="00FE7970" w:rsidP="00717932">
      <w:pPr>
        <w:rPr>
          <w:rFonts w:eastAsia="Arial Unicode MS"/>
          <w:noProof/>
        </w:rPr>
      </w:pPr>
      <w:r w:rsidRPr="00AD21FF">
        <w:rPr>
          <w:rFonts w:eastAsia="Arial Unicode MS"/>
          <w:noProof/>
        </w:rPr>
        <w:t xml:space="preserve">This explanatory memorandum accompanies the proposal for a Regulation establishing a framework of measures for </w:t>
      </w:r>
      <w:r w:rsidR="006E76A7">
        <w:rPr>
          <w:rFonts w:eastAsia="Arial Unicode MS"/>
          <w:noProof/>
        </w:rPr>
        <w:t>the</w:t>
      </w:r>
      <w:r w:rsidRPr="00AD21FF">
        <w:rPr>
          <w:rFonts w:eastAsia="Arial Unicode MS"/>
          <w:noProof/>
        </w:rPr>
        <w:t xml:space="preserve"> accelerati</w:t>
      </w:r>
      <w:r w:rsidR="006E76A7">
        <w:rPr>
          <w:rFonts w:eastAsia="Arial Unicode MS"/>
          <w:noProof/>
        </w:rPr>
        <w:t>on of</w:t>
      </w:r>
      <w:r w:rsidRPr="00AD21FF">
        <w:rPr>
          <w:rFonts w:eastAsia="Arial Unicode MS"/>
          <w:noProof/>
        </w:rPr>
        <w:t xml:space="preserve"> industrial capacity and decarbonisation in strategic sectors: the ‘Industrial Accelerator Act’.</w:t>
      </w:r>
    </w:p>
    <w:p w14:paraId="3F615502" w14:textId="77777777" w:rsidR="00FE7970" w:rsidRPr="00AD21FF" w:rsidRDefault="00FE7970" w:rsidP="00717932">
      <w:pPr>
        <w:rPr>
          <w:rFonts w:eastAsia="Times New Roman"/>
          <w:noProof/>
        </w:rPr>
      </w:pPr>
      <w:r w:rsidRPr="00AD21FF">
        <w:rPr>
          <w:rFonts w:eastAsia="Times New Roman"/>
          <w:noProof/>
        </w:rPr>
        <w:t>In today’s geopolitical landscape, the frequent and targeted use of economic tools to advance strategic objectives poses a</w:t>
      </w:r>
      <w:r w:rsidR="00B6557F">
        <w:rPr>
          <w:rFonts w:eastAsia="Times New Roman"/>
          <w:noProof/>
        </w:rPr>
        <w:t xml:space="preserve"> serious</w:t>
      </w:r>
      <w:r w:rsidRPr="00AD21FF">
        <w:rPr>
          <w:rFonts w:eastAsia="Times New Roman"/>
          <w:noProof/>
        </w:rPr>
        <w:t xml:space="preserve"> threat to the Union’s resilience, competitiveness, economic security and strategic autonomy. As highlighted in the Draghi report on European Competitiveness, the weaponisation of EU dependencies of trading partners in strategic sectors puts the EU’s security, competitiveness and economy at risk.</w:t>
      </w:r>
      <w:r w:rsidRPr="00AD21FF">
        <w:rPr>
          <w:rStyle w:val="FootnoteReference"/>
          <w:rFonts w:eastAsia="Times New Roman"/>
          <w:noProof/>
        </w:rPr>
        <w:footnoteReference w:id="1"/>
      </w:r>
      <w:r w:rsidRPr="00AD21FF">
        <w:rPr>
          <w:rFonts w:eastAsia="Times New Roman"/>
          <w:noProof/>
        </w:rPr>
        <w:t xml:space="preserve"> The Union’s capacity to respond and reduce third country dependencies lies in the strength of its industrial base, innovation capacity and integrity of the Single Market.</w:t>
      </w:r>
    </w:p>
    <w:p w14:paraId="14070133" w14:textId="77777777" w:rsidR="00FE7970" w:rsidRPr="00AD21FF" w:rsidRDefault="00FE7970" w:rsidP="00717932">
      <w:pPr>
        <w:rPr>
          <w:rFonts w:eastAsia="Arial Unicode MS"/>
          <w:noProof/>
        </w:rPr>
      </w:pPr>
      <w:r w:rsidRPr="00AD21FF">
        <w:rPr>
          <w:rFonts w:eastAsia="Arial Unicode MS"/>
          <w:noProof/>
        </w:rPr>
        <w:t xml:space="preserve">The transition to a clean and digital economy presents a major opportunity to strengthen the EU’s industrial base, as outlined, </w:t>
      </w:r>
      <w:r w:rsidRPr="00B12887">
        <w:rPr>
          <w:rFonts w:eastAsia="Arial Unicode MS"/>
          <w:i/>
          <w:iCs/>
          <w:noProof/>
        </w:rPr>
        <w:t>inter alia</w:t>
      </w:r>
      <w:r w:rsidRPr="00AD21FF">
        <w:rPr>
          <w:rFonts w:eastAsia="Arial Unicode MS"/>
          <w:noProof/>
        </w:rPr>
        <w:t>, in the Commission Communication on Clean Industrial Deal</w:t>
      </w:r>
      <w:r w:rsidR="00862074">
        <w:rPr>
          <w:rStyle w:val="FootnoteReference"/>
          <w:rFonts w:eastAsia="Arial Unicode MS"/>
          <w:noProof/>
        </w:rPr>
        <w:footnoteReference w:id="2"/>
      </w:r>
      <w:r w:rsidRPr="00AD21FF">
        <w:rPr>
          <w:rFonts w:eastAsia="Arial Unicode MS"/>
          <w:noProof/>
        </w:rPr>
        <w:t xml:space="preserve">. Global competition, </w:t>
      </w:r>
      <w:r w:rsidR="009E4C40" w:rsidRPr="00AD21FF">
        <w:rPr>
          <w:rFonts w:eastAsia="Times New Roman"/>
          <w:noProof/>
        </w:rPr>
        <w:t xml:space="preserve">rapid technological </w:t>
      </w:r>
      <w:r w:rsidR="009E4C40">
        <w:rPr>
          <w:rFonts w:eastAsia="Times New Roman"/>
          <w:noProof/>
        </w:rPr>
        <w:t xml:space="preserve">change, </w:t>
      </w:r>
      <w:r w:rsidR="009E4C40" w:rsidRPr="00AD21FF">
        <w:rPr>
          <w:rFonts w:eastAsia="Arial Unicode MS"/>
          <w:noProof/>
        </w:rPr>
        <w:t>structural cost disadvantages</w:t>
      </w:r>
      <w:r w:rsidR="00F736EE">
        <w:rPr>
          <w:rFonts w:eastAsia="Arial Unicode MS"/>
          <w:noProof/>
        </w:rPr>
        <w:t>,</w:t>
      </w:r>
      <w:r w:rsidR="009E4C40" w:rsidRPr="00AD21FF">
        <w:rPr>
          <w:rFonts w:eastAsia="Arial Unicode MS"/>
          <w:noProof/>
        </w:rPr>
        <w:t xml:space="preserve"> </w:t>
      </w:r>
      <w:r w:rsidRPr="00AD21FF">
        <w:rPr>
          <w:rFonts w:eastAsia="Arial Unicode MS"/>
          <w:noProof/>
        </w:rPr>
        <w:t xml:space="preserve">unfair </w:t>
      </w:r>
      <w:r w:rsidR="00511306">
        <w:rPr>
          <w:rFonts w:eastAsia="Arial Unicode MS"/>
          <w:noProof/>
        </w:rPr>
        <w:t xml:space="preserve">global </w:t>
      </w:r>
      <w:r w:rsidRPr="00AD21FF">
        <w:rPr>
          <w:rFonts w:eastAsia="Arial Unicode MS"/>
          <w:noProof/>
        </w:rPr>
        <w:t>market distortions</w:t>
      </w:r>
      <w:r w:rsidR="003220F2">
        <w:rPr>
          <w:rFonts w:eastAsia="Arial Unicode MS"/>
          <w:noProof/>
        </w:rPr>
        <w:t xml:space="preserve"> such as the increasing use of </w:t>
      </w:r>
      <w:r w:rsidR="003F2350">
        <w:rPr>
          <w:rFonts w:eastAsia="Arial Unicode MS"/>
          <w:noProof/>
        </w:rPr>
        <w:t xml:space="preserve">foreign </w:t>
      </w:r>
      <w:r w:rsidR="003220F2">
        <w:rPr>
          <w:rFonts w:eastAsia="Arial Unicode MS"/>
          <w:noProof/>
        </w:rPr>
        <w:t>subsidies to create a competitive edge</w:t>
      </w:r>
      <w:r w:rsidRPr="00AD21FF">
        <w:rPr>
          <w:rFonts w:eastAsia="Times New Roman"/>
          <w:noProof/>
        </w:rPr>
        <w:t xml:space="preserve">, </w:t>
      </w:r>
      <w:r w:rsidR="003F2350">
        <w:rPr>
          <w:rFonts w:eastAsia="Times New Roman"/>
          <w:noProof/>
        </w:rPr>
        <w:t xml:space="preserve">and </w:t>
      </w:r>
      <w:r w:rsidRPr="00AD21FF">
        <w:rPr>
          <w:rFonts w:eastAsia="Times New Roman"/>
          <w:noProof/>
        </w:rPr>
        <w:t xml:space="preserve">the weaponisation of economic dependencies </w:t>
      </w:r>
      <w:r w:rsidRPr="00AD21FF">
        <w:rPr>
          <w:rFonts w:eastAsia="Arial Unicode MS"/>
          <w:noProof/>
        </w:rPr>
        <w:t xml:space="preserve">are reshaping </w:t>
      </w:r>
      <w:r w:rsidR="003F2350">
        <w:rPr>
          <w:rFonts w:eastAsia="Arial Unicode MS"/>
          <w:noProof/>
        </w:rPr>
        <w:t>global</w:t>
      </w:r>
      <w:r w:rsidR="003F2350" w:rsidRPr="00AD21FF">
        <w:rPr>
          <w:rFonts w:eastAsia="Arial Unicode MS"/>
          <w:noProof/>
        </w:rPr>
        <w:t xml:space="preserve"> </w:t>
      </w:r>
      <w:r w:rsidRPr="00AD21FF">
        <w:rPr>
          <w:rFonts w:eastAsia="Arial Unicode MS"/>
          <w:noProof/>
        </w:rPr>
        <w:t>value chains</w:t>
      </w:r>
      <w:r w:rsidR="00B13677">
        <w:rPr>
          <w:rFonts w:eastAsia="Arial Unicode MS"/>
          <w:noProof/>
        </w:rPr>
        <w:t>.</w:t>
      </w:r>
      <w:r w:rsidRPr="00AD21FF">
        <w:rPr>
          <w:rFonts w:eastAsia="Arial Unicode MS"/>
          <w:noProof/>
        </w:rPr>
        <w:t xml:space="preserve"> </w:t>
      </w:r>
      <w:r w:rsidR="00B13677">
        <w:rPr>
          <w:rFonts w:eastAsia="Arial Unicode MS"/>
          <w:noProof/>
        </w:rPr>
        <w:t>At the same time,</w:t>
      </w:r>
      <w:r w:rsidR="00B13677" w:rsidRPr="00AD21FF">
        <w:rPr>
          <w:rFonts w:eastAsia="Arial Unicode MS"/>
          <w:noProof/>
        </w:rPr>
        <w:t xml:space="preserve"> </w:t>
      </w:r>
      <w:r w:rsidR="00B13677">
        <w:rPr>
          <w:rFonts w:eastAsia="Arial Unicode MS"/>
          <w:noProof/>
        </w:rPr>
        <w:t xml:space="preserve">rising </w:t>
      </w:r>
      <w:r w:rsidRPr="00AD21FF">
        <w:rPr>
          <w:rFonts w:eastAsia="Arial Unicode MS"/>
          <w:noProof/>
        </w:rPr>
        <w:t xml:space="preserve">geopolitical tensions </w:t>
      </w:r>
      <w:r w:rsidR="00AA01AA">
        <w:rPr>
          <w:rFonts w:eastAsia="Arial Unicode MS"/>
          <w:noProof/>
        </w:rPr>
        <w:t>are intensifying existing vulnerabilities and creating new ones</w:t>
      </w:r>
      <w:r w:rsidRPr="00AD21FF" w:rsidDel="003A1EAC">
        <w:rPr>
          <w:rFonts w:eastAsia="Arial Unicode MS"/>
          <w:noProof/>
        </w:rPr>
        <w:t>.</w:t>
      </w:r>
      <w:r w:rsidRPr="00AD21FF">
        <w:rPr>
          <w:rFonts w:eastAsia="Arial Unicode MS"/>
          <w:noProof/>
        </w:rPr>
        <w:t xml:space="preserve"> Against this backdrop, the EU must act strategically to secure and further strengthen its resilience and industrial base, long-term competitiveness and ensure that the climate transition becomes an engine of industrial </w:t>
      </w:r>
      <w:r w:rsidR="00130161">
        <w:rPr>
          <w:rFonts w:eastAsia="Arial Unicode MS"/>
          <w:noProof/>
        </w:rPr>
        <w:t>growth</w:t>
      </w:r>
      <w:r w:rsidRPr="00AD21FF">
        <w:rPr>
          <w:rFonts w:eastAsia="Arial Unicode MS"/>
          <w:noProof/>
        </w:rPr>
        <w:t>.</w:t>
      </w:r>
    </w:p>
    <w:p w14:paraId="6BC5C257" w14:textId="77777777" w:rsidR="00FE7970" w:rsidRPr="007437B2" w:rsidRDefault="00FE7970" w:rsidP="007437B2">
      <w:pPr>
        <w:rPr>
          <w:rFonts w:eastAsia="Arial Unicode MS"/>
          <w:i/>
          <w:iCs/>
          <w:noProof/>
        </w:rPr>
      </w:pPr>
      <w:r w:rsidRPr="00AD21FF">
        <w:rPr>
          <w:rFonts w:eastAsia="Arial Unicode MS"/>
          <w:noProof/>
        </w:rPr>
        <w:t xml:space="preserve">The manufacturing sector is essential for safeguarding and boosting the EU’s long-term economic resilience and to meet its climate neutrality goal. </w:t>
      </w:r>
      <w:r w:rsidR="00DF5D0F">
        <w:rPr>
          <w:rFonts w:eastAsia="Arial Unicode MS"/>
          <w:noProof/>
        </w:rPr>
        <w:t xml:space="preserve">In 2024, it </w:t>
      </w:r>
      <w:r w:rsidR="00DF5D0F" w:rsidRPr="00DF5D0F">
        <w:rPr>
          <w:rFonts w:eastAsia="Arial Unicode MS"/>
          <w:noProof/>
        </w:rPr>
        <w:t xml:space="preserve">accounted for 18.3% of </w:t>
      </w:r>
      <w:r w:rsidRPr="00AD21FF">
        <w:rPr>
          <w:rFonts w:eastAsia="Arial Unicode MS"/>
          <w:noProof/>
        </w:rPr>
        <w:t xml:space="preserve">employment </w:t>
      </w:r>
      <w:r w:rsidR="00DF5D0F" w:rsidRPr="00DF5D0F">
        <w:rPr>
          <w:rFonts w:eastAsia="Arial Unicode MS"/>
          <w:noProof/>
        </w:rPr>
        <w:t>in the EU business economy</w:t>
      </w:r>
      <w:r w:rsidR="00D36B32">
        <w:rPr>
          <w:rStyle w:val="FootnoteReference"/>
          <w:rFonts w:eastAsia="Arial Unicode MS"/>
          <w:noProof/>
        </w:rPr>
        <w:footnoteReference w:id="3"/>
      </w:r>
      <w:r w:rsidR="00DF5D0F" w:rsidRPr="00DF5D0F">
        <w:rPr>
          <w:rFonts w:eastAsia="Arial Unicode MS"/>
          <w:noProof/>
        </w:rPr>
        <w:t xml:space="preserve"> </w:t>
      </w:r>
      <w:r w:rsidR="0074292F">
        <w:rPr>
          <w:rFonts w:eastAsia="Arial Unicode MS"/>
          <w:noProof/>
        </w:rPr>
        <w:t xml:space="preserve">and </w:t>
      </w:r>
      <w:r w:rsidR="006C1CE4" w:rsidRPr="00DF5D0F">
        <w:rPr>
          <w:rFonts w:eastAsia="Arial Unicode MS"/>
          <w:noProof/>
        </w:rPr>
        <w:t>14</w:t>
      </w:r>
      <w:r w:rsidR="00862074">
        <w:rPr>
          <w:rFonts w:eastAsia="Arial Unicode MS"/>
          <w:noProof/>
        </w:rPr>
        <w:t>,</w:t>
      </w:r>
      <w:r w:rsidR="006C1CE4" w:rsidRPr="00DF5D0F">
        <w:rPr>
          <w:rFonts w:eastAsia="Arial Unicode MS"/>
          <w:noProof/>
        </w:rPr>
        <w:t xml:space="preserve">3% </w:t>
      </w:r>
      <w:r w:rsidR="003178E2">
        <w:rPr>
          <w:rFonts w:eastAsia="Arial Unicode MS"/>
          <w:noProof/>
        </w:rPr>
        <w:t xml:space="preserve">of the EU’s total </w:t>
      </w:r>
      <w:r w:rsidR="001225BF">
        <w:rPr>
          <w:rFonts w:eastAsia="Arial Unicode MS"/>
          <w:noProof/>
        </w:rPr>
        <w:t>GDP</w:t>
      </w:r>
      <w:r w:rsidR="008230D8">
        <w:rPr>
          <w:rFonts w:eastAsia="Arial Unicode MS"/>
          <w:noProof/>
        </w:rPr>
        <w:t>,</w:t>
      </w:r>
      <w:r w:rsidR="006C1CE4">
        <w:rPr>
          <w:rStyle w:val="FootnoteReference"/>
          <w:rFonts w:eastAsia="Arial Unicode MS"/>
          <w:noProof/>
        </w:rPr>
        <w:footnoteReference w:id="4"/>
      </w:r>
      <w:r w:rsidR="006C1CE4" w:rsidRPr="00DF5D0F">
        <w:rPr>
          <w:rFonts w:eastAsia="Arial Unicode MS"/>
          <w:noProof/>
        </w:rPr>
        <w:t xml:space="preserve"> </w:t>
      </w:r>
      <w:r w:rsidRPr="00AD21FF">
        <w:rPr>
          <w:rFonts w:eastAsia="Arial Unicode MS"/>
          <w:noProof/>
        </w:rPr>
        <w:t xml:space="preserve">while </w:t>
      </w:r>
      <w:r w:rsidR="006C1CE4">
        <w:rPr>
          <w:rFonts w:eastAsia="Arial Unicode MS"/>
          <w:noProof/>
        </w:rPr>
        <w:t>generating</w:t>
      </w:r>
      <w:r w:rsidRPr="00AD21FF">
        <w:rPr>
          <w:rFonts w:eastAsia="Arial Unicode MS"/>
          <w:noProof/>
        </w:rPr>
        <w:t xml:space="preserve"> 26</w:t>
      </w:r>
      <w:r w:rsidR="00862074">
        <w:rPr>
          <w:rFonts w:eastAsia="Arial Unicode MS"/>
          <w:noProof/>
        </w:rPr>
        <w:t>,</w:t>
      </w:r>
      <w:r w:rsidR="00DE5390">
        <w:rPr>
          <w:rFonts w:eastAsia="Arial Unicode MS"/>
          <w:noProof/>
        </w:rPr>
        <w:t>2</w:t>
      </w:r>
      <w:r w:rsidRPr="00AD21FF">
        <w:rPr>
          <w:rFonts w:eastAsia="Arial Unicode MS"/>
          <w:noProof/>
        </w:rPr>
        <w:t>% of EU’s greenhouse gas emissions</w:t>
      </w:r>
      <w:r w:rsidRPr="00AD21FF">
        <w:rPr>
          <w:rStyle w:val="FootnoteReference"/>
          <w:rFonts w:eastAsia="Arial Unicode MS"/>
          <w:noProof/>
        </w:rPr>
        <w:footnoteReference w:id="5"/>
      </w:r>
      <w:bookmarkStart w:id="0" w:name="_Hlk221696192"/>
      <w:r w:rsidR="00103F8A">
        <w:rPr>
          <w:rFonts w:eastAsia="Arial Unicode MS"/>
          <w:noProof/>
        </w:rPr>
        <w:t>.</w:t>
      </w:r>
      <w:r w:rsidR="003B7464" w:rsidRPr="007437B2">
        <w:rPr>
          <w:rFonts w:eastAsia="Arial Unicode MS"/>
          <w:noProof/>
        </w:rPr>
        <w:t xml:space="preserve"> </w:t>
      </w:r>
      <w:r w:rsidR="006C1CE4" w:rsidRPr="00DF5D0F">
        <w:rPr>
          <w:rFonts w:eastAsia="Arial Unicode MS"/>
          <w:noProof/>
        </w:rPr>
        <w:t>Despite its continued economic importance,</w:t>
      </w:r>
      <w:r w:rsidR="003B7464" w:rsidRPr="007437B2">
        <w:rPr>
          <w:rFonts w:eastAsia="Arial Unicode MS"/>
          <w:noProof/>
        </w:rPr>
        <w:t xml:space="preserve"> </w:t>
      </w:r>
      <w:r w:rsidR="006C1CE4" w:rsidRPr="00DF5D0F">
        <w:rPr>
          <w:rFonts w:eastAsia="Arial Unicode MS"/>
          <w:noProof/>
        </w:rPr>
        <w:t xml:space="preserve">the </w:t>
      </w:r>
      <w:r w:rsidR="006C1CE4" w:rsidRPr="1F61B8F2">
        <w:rPr>
          <w:rFonts w:eastAsia="Arial Unicode MS"/>
          <w:noProof/>
        </w:rPr>
        <w:t>sector</w:t>
      </w:r>
      <w:r w:rsidR="0C90F350" w:rsidRPr="1F61B8F2">
        <w:rPr>
          <w:rFonts w:eastAsia="Arial Unicode MS"/>
          <w:noProof/>
        </w:rPr>
        <w:t>’</w:t>
      </w:r>
      <w:r w:rsidR="006C1CE4" w:rsidRPr="00DF5D0F">
        <w:rPr>
          <w:rFonts w:eastAsia="Arial Unicode MS"/>
          <w:noProof/>
        </w:rPr>
        <w:t xml:space="preserve">s share of </w:t>
      </w:r>
      <w:r w:rsidR="003B7464" w:rsidRPr="007437B2">
        <w:rPr>
          <w:rFonts w:eastAsia="Arial Unicode MS"/>
          <w:noProof/>
        </w:rPr>
        <w:t xml:space="preserve">GDP has declined </w:t>
      </w:r>
      <w:r w:rsidR="006C1CE4">
        <w:rPr>
          <w:rFonts w:eastAsia="Arial Unicode MS"/>
          <w:noProof/>
        </w:rPr>
        <w:t>over the past decades</w:t>
      </w:r>
      <w:r w:rsidR="003B7464" w:rsidRPr="007437B2">
        <w:rPr>
          <w:rFonts w:eastAsia="Arial Unicode MS"/>
          <w:noProof/>
        </w:rPr>
        <w:t xml:space="preserve"> from 17.4% </w:t>
      </w:r>
      <w:r w:rsidR="006C1CE4">
        <w:rPr>
          <w:rFonts w:eastAsia="Arial Unicode MS"/>
          <w:noProof/>
        </w:rPr>
        <w:t xml:space="preserve">in 2000 </w:t>
      </w:r>
      <w:r w:rsidR="003B7464" w:rsidRPr="007437B2">
        <w:rPr>
          <w:rFonts w:eastAsia="Arial Unicode MS"/>
          <w:noProof/>
        </w:rPr>
        <w:t xml:space="preserve">to </w:t>
      </w:r>
      <w:r w:rsidR="006C1CE4" w:rsidRPr="00DF5D0F">
        <w:rPr>
          <w:rFonts w:eastAsia="Arial Unicode MS"/>
          <w:noProof/>
        </w:rPr>
        <w:t>its current level of</w:t>
      </w:r>
      <w:r w:rsidR="003B7464" w:rsidRPr="007437B2">
        <w:rPr>
          <w:rFonts w:eastAsia="Arial Unicode MS"/>
          <w:noProof/>
        </w:rPr>
        <w:t xml:space="preserve"> 14</w:t>
      </w:r>
      <w:r w:rsidR="00862074">
        <w:rPr>
          <w:rFonts w:eastAsia="Arial Unicode MS"/>
          <w:noProof/>
        </w:rPr>
        <w:t>,</w:t>
      </w:r>
      <w:r w:rsidR="003B7464" w:rsidRPr="007437B2">
        <w:rPr>
          <w:rFonts w:eastAsia="Arial Unicode MS"/>
          <w:noProof/>
        </w:rPr>
        <w:t>3%</w:t>
      </w:r>
      <w:bookmarkEnd w:id="0"/>
      <w:r w:rsidRPr="00AD21FF">
        <w:rPr>
          <w:rStyle w:val="FootnoteReference"/>
          <w:rFonts w:eastAsia="Arial Unicode MS"/>
          <w:noProof/>
        </w:rPr>
        <w:footnoteReference w:id="6"/>
      </w:r>
      <w:r w:rsidR="00103F8A">
        <w:rPr>
          <w:rFonts w:eastAsia="Arial Unicode MS"/>
          <w:noProof/>
        </w:rPr>
        <w:t>.</w:t>
      </w:r>
      <w:r w:rsidRPr="00AD21FF">
        <w:rPr>
          <w:rFonts w:eastAsia="Arial Unicode MS"/>
          <w:noProof/>
        </w:rPr>
        <w:t xml:space="preserve"> This regression is not only an economic reality, but a strategic warning signal </w:t>
      </w:r>
      <w:r w:rsidRPr="00AD21FF">
        <w:rPr>
          <w:rFonts w:eastAsia="Times New Roman"/>
          <w:noProof/>
        </w:rPr>
        <w:t>with potentially structural impacts to the EU’s prosperity and social cohesion</w:t>
      </w:r>
      <w:r w:rsidRPr="00AD21FF">
        <w:rPr>
          <w:rFonts w:eastAsia="Arial Unicode MS"/>
          <w:noProof/>
        </w:rPr>
        <w:t>. At the same time, the manufacturing sector increasingly faces challenges, such as high energy prices, global overcapacities, high capital and operational costs for decarbonisation and new technology deployment, low investment compared to other regions, as well as regulatory hurdles</w:t>
      </w:r>
      <w:r w:rsidRPr="00AD21FF">
        <w:rPr>
          <w:rStyle w:val="FootnoteReference"/>
          <w:rFonts w:eastAsia="Arial Unicode MS"/>
          <w:noProof/>
        </w:rPr>
        <w:footnoteReference w:id="7"/>
      </w:r>
      <w:r w:rsidR="00862074">
        <w:rPr>
          <w:rFonts w:eastAsia="Arial Unicode MS"/>
          <w:noProof/>
        </w:rPr>
        <w:t>.</w:t>
      </w:r>
    </w:p>
    <w:p w14:paraId="1CBD6205" w14:textId="77777777" w:rsidR="00FE7970" w:rsidRPr="00AD21FF" w:rsidRDefault="00FE7970" w:rsidP="00717932">
      <w:pPr>
        <w:rPr>
          <w:rFonts w:eastAsia="Arial Unicode MS"/>
          <w:noProof/>
        </w:rPr>
      </w:pPr>
      <w:r w:rsidRPr="00AD21FF">
        <w:rPr>
          <w:rFonts w:eastAsia="Times New Roman"/>
          <w:noProof/>
          <w:color w:val="000000" w:themeColor="text1"/>
        </w:rPr>
        <w:lastRenderedPageBreak/>
        <w:t xml:space="preserve">That is why the </w:t>
      </w:r>
      <w:r w:rsidRPr="00F649CF">
        <w:rPr>
          <w:rFonts w:eastAsia="Times New Roman"/>
          <w:noProof/>
        </w:rPr>
        <w:t>Industrial</w:t>
      </w:r>
      <w:r w:rsidRPr="00AD21FF">
        <w:rPr>
          <w:rFonts w:eastAsia="Times New Roman"/>
          <w:noProof/>
          <w:color w:val="000000" w:themeColor="text1"/>
        </w:rPr>
        <w:t xml:space="preserve"> Accelerator Act aims to ensure that </w:t>
      </w:r>
      <w:r w:rsidRPr="00AD21FF">
        <w:rPr>
          <w:rFonts w:eastAsia="Times New Roman"/>
          <w:b/>
          <w:bCs/>
          <w:noProof/>
          <w:color w:val="000000" w:themeColor="text1"/>
        </w:rPr>
        <w:t>by 2035, this trend is reversed and that manufacturing represents 20% of the EU GDP</w:t>
      </w:r>
      <w:r w:rsidR="00025A04">
        <w:rPr>
          <w:rFonts w:eastAsia="Times New Roman"/>
          <w:b/>
          <w:bCs/>
          <w:noProof/>
          <w:color w:val="000000" w:themeColor="text1"/>
        </w:rPr>
        <w:t>.</w:t>
      </w:r>
      <w:r w:rsidRPr="00AD21FF">
        <w:rPr>
          <w:rFonts w:eastAsia="Times New Roman"/>
          <w:b/>
          <w:bCs/>
          <w:noProof/>
          <w:color w:val="000000" w:themeColor="text1"/>
        </w:rPr>
        <w:t xml:space="preserve"> </w:t>
      </w:r>
      <w:r w:rsidRPr="00AD21FF">
        <w:rPr>
          <w:rFonts w:eastAsia="Times New Roman"/>
          <w:noProof/>
          <w:color w:val="000000" w:themeColor="text1"/>
        </w:rPr>
        <w:t>It will do so by accelerating permitting for all manufacturing projects, and by providing a toolbox to provide access to the European single market in a way that prevents strategic dependencies, creates manufacturing jobs, boosts decarbonisation and climate performance and secure access of European citizens and companies to vital commodities and products at all times.</w:t>
      </w:r>
    </w:p>
    <w:p w14:paraId="28660833" w14:textId="77777777" w:rsidR="00FE7970" w:rsidRPr="00AD21FF" w:rsidRDefault="00FE7970" w:rsidP="00717932">
      <w:pPr>
        <w:rPr>
          <w:rFonts w:eastAsia="Arial Unicode MS"/>
          <w:noProof/>
        </w:rPr>
      </w:pPr>
      <w:r w:rsidRPr="00AD21FF">
        <w:rPr>
          <w:rFonts w:eastAsia="Arial Unicode MS"/>
          <w:noProof/>
        </w:rPr>
        <w:t xml:space="preserve">Achieving the EU’s strategic autonomy while maintaining industrial competitiveness and, at the same time, decarbonising requires a strong business case. In that context, strengthening the competitiveness of </w:t>
      </w:r>
      <w:r w:rsidR="00862074">
        <w:rPr>
          <w:rFonts w:eastAsia="Arial Unicode MS"/>
          <w:noProof/>
        </w:rPr>
        <w:t xml:space="preserve">certain </w:t>
      </w:r>
      <w:r w:rsidRPr="00AD21FF">
        <w:rPr>
          <w:rFonts w:eastAsia="Arial Unicode MS"/>
          <w:noProof/>
        </w:rPr>
        <w:t>strategic sectors and technologies, notably net-zero technologies as well as energy</w:t>
      </w:r>
      <w:r w:rsidR="00BE6E8B">
        <w:rPr>
          <w:rFonts w:eastAsia="Arial Unicode MS"/>
          <w:noProof/>
        </w:rPr>
        <w:t>-</w:t>
      </w:r>
      <w:r w:rsidRPr="00AD21FF">
        <w:rPr>
          <w:rFonts w:eastAsia="Arial Unicode MS"/>
          <w:noProof/>
        </w:rPr>
        <w:t xml:space="preserve">intensive industries, and the automotive supply chain, is essential for the EU’s resilience, strategic autonomy and climate objectives. A failure to secure </w:t>
      </w:r>
      <w:r w:rsidR="000B2C6F">
        <w:rPr>
          <w:rFonts w:eastAsia="Arial Unicode MS"/>
          <w:noProof/>
        </w:rPr>
        <w:t>and diversify</w:t>
      </w:r>
      <w:r w:rsidRPr="00AD21FF">
        <w:rPr>
          <w:rFonts w:eastAsia="Arial Unicode MS"/>
          <w:noProof/>
        </w:rPr>
        <w:t xml:space="preserve"> crucial supply chains would create significant economic and societal risks, leading to potential disruption of public order in the Union. </w:t>
      </w:r>
      <w:r w:rsidR="00DF717C">
        <w:rPr>
          <w:rFonts w:eastAsia="Arial Unicode MS"/>
          <w:noProof/>
        </w:rPr>
        <w:t>Reducing external vulnerabilities could contribut</w:t>
      </w:r>
      <w:r w:rsidR="00144B9E">
        <w:rPr>
          <w:rFonts w:eastAsia="Arial Unicode MS"/>
          <w:noProof/>
        </w:rPr>
        <w:t>e</w:t>
      </w:r>
      <w:r w:rsidR="00DF717C">
        <w:rPr>
          <w:rFonts w:eastAsia="Arial Unicode MS"/>
          <w:noProof/>
        </w:rPr>
        <w:t xml:space="preserve"> to </w:t>
      </w:r>
      <w:r w:rsidR="00144B9E">
        <w:rPr>
          <w:rFonts w:eastAsia="Arial Unicode MS"/>
          <w:noProof/>
        </w:rPr>
        <w:t>strengthen</w:t>
      </w:r>
      <w:r w:rsidR="00262D14">
        <w:rPr>
          <w:rFonts w:eastAsia="Arial Unicode MS"/>
          <w:noProof/>
        </w:rPr>
        <w:t>ing</w:t>
      </w:r>
      <w:r w:rsidR="00144B9E">
        <w:rPr>
          <w:rFonts w:eastAsia="Arial Unicode MS"/>
          <w:noProof/>
        </w:rPr>
        <w:t xml:space="preserve"> </w:t>
      </w:r>
      <w:r w:rsidRPr="00AD21FF">
        <w:rPr>
          <w:rFonts w:eastAsia="Arial Unicode MS"/>
          <w:noProof/>
        </w:rPr>
        <w:t xml:space="preserve">our economy, </w:t>
      </w:r>
      <w:r w:rsidR="00144B9E">
        <w:rPr>
          <w:rFonts w:eastAsia="Arial Unicode MS"/>
          <w:noProof/>
        </w:rPr>
        <w:t>boost</w:t>
      </w:r>
      <w:r w:rsidR="00262D14">
        <w:rPr>
          <w:rFonts w:eastAsia="Arial Unicode MS"/>
          <w:noProof/>
        </w:rPr>
        <w:t>ing</w:t>
      </w:r>
      <w:r w:rsidRPr="00AD21FF">
        <w:rPr>
          <w:rFonts w:eastAsia="Arial Unicode MS"/>
          <w:noProof/>
        </w:rPr>
        <w:t xml:space="preserve"> investments and </w:t>
      </w:r>
      <w:r w:rsidR="00262D14">
        <w:rPr>
          <w:rFonts w:eastAsia="Arial Unicode MS"/>
          <w:noProof/>
        </w:rPr>
        <w:t xml:space="preserve">supporting </w:t>
      </w:r>
      <w:r w:rsidRPr="00AD21FF">
        <w:rPr>
          <w:rFonts w:eastAsia="Arial Unicode MS"/>
          <w:noProof/>
        </w:rPr>
        <w:t xml:space="preserve">the business case for the ongoing deep industrial transformation process. </w:t>
      </w:r>
    </w:p>
    <w:p w14:paraId="6D5550B6" w14:textId="77777777" w:rsidR="00FE7970" w:rsidRPr="00AD21FF" w:rsidRDefault="00FE7970" w:rsidP="00717932">
      <w:pPr>
        <w:rPr>
          <w:rFonts w:eastAsia="Times New Roman"/>
          <w:noProof/>
        </w:rPr>
      </w:pPr>
      <w:r w:rsidRPr="00AD21FF">
        <w:rPr>
          <w:rFonts w:eastAsia="Times New Roman"/>
          <w:noProof/>
        </w:rPr>
        <w:t xml:space="preserve">The sectors covered by the Industrial Accelerator Act – </w:t>
      </w:r>
      <w:r w:rsidR="00236C5C">
        <w:rPr>
          <w:rFonts w:eastAsia="Times New Roman"/>
          <w:noProof/>
        </w:rPr>
        <w:t xml:space="preserve">in particular </w:t>
      </w:r>
      <w:r w:rsidRPr="00AD21FF">
        <w:rPr>
          <w:rFonts w:eastAsia="Times New Roman"/>
          <w:noProof/>
          <w:color w:val="000000" w:themeColor="text1"/>
        </w:rPr>
        <w:t>energy</w:t>
      </w:r>
      <w:r w:rsidR="00862074">
        <w:rPr>
          <w:rFonts w:eastAsia="Times New Roman"/>
          <w:noProof/>
          <w:color w:val="000000" w:themeColor="text1"/>
        </w:rPr>
        <w:t>-</w:t>
      </w:r>
      <w:r w:rsidRPr="00AD21FF">
        <w:rPr>
          <w:rFonts w:eastAsia="Times New Roman"/>
          <w:noProof/>
          <w:color w:val="000000" w:themeColor="text1"/>
        </w:rPr>
        <w:t xml:space="preserve">intensive industries, net-zero technologies manufacturing, and automotive industry – </w:t>
      </w:r>
      <w:r w:rsidRPr="00AD21FF">
        <w:rPr>
          <w:rFonts w:eastAsia="Times New Roman"/>
          <w:noProof/>
        </w:rPr>
        <w:t xml:space="preserve">account for a limited share of EU manufacturing output but play a disproportionate strategic role. </w:t>
      </w:r>
      <w:r w:rsidRPr="00AD21FF">
        <w:rPr>
          <w:rFonts w:eastAsia="Times New Roman"/>
          <w:b/>
          <w:bCs/>
          <w:noProof/>
        </w:rPr>
        <w:t>Taken together, the strategic sectors targeted by the Industrial Accelerator Act account for around 15% of EU manufacturing production</w:t>
      </w:r>
      <w:r w:rsidRPr="00AD21FF">
        <w:rPr>
          <w:rFonts w:eastAsia="Times New Roman"/>
          <w:noProof/>
        </w:rPr>
        <w:t xml:space="preserve">. Their importance therefore lies less in their aggregate size than in their central role as upstream suppliers and enablers of downstream </w:t>
      </w:r>
      <w:r w:rsidR="00F3702B">
        <w:rPr>
          <w:rFonts w:eastAsia="Times New Roman"/>
          <w:noProof/>
        </w:rPr>
        <w:t>industrial ecosystems</w:t>
      </w:r>
      <w:r w:rsidRPr="00AD21FF">
        <w:rPr>
          <w:rFonts w:eastAsia="Times New Roman"/>
          <w:noProof/>
        </w:rPr>
        <w:t xml:space="preserve">, including construction, </w:t>
      </w:r>
      <w:r w:rsidR="00F3702B" w:rsidRPr="00F649CF">
        <w:rPr>
          <w:rFonts w:eastAsia="Arial Unicode MS"/>
          <w:noProof/>
        </w:rPr>
        <w:t>mobility</w:t>
      </w:r>
      <w:r w:rsidRPr="00AD21FF">
        <w:rPr>
          <w:rFonts w:eastAsia="Times New Roman"/>
          <w:noProof/>
        </w:rPr>
        <w:t>, energy a</w:t>
      </w:r>
      <w:r w:rsidR="006D1262">
        <w:rPr>
          <w:rFonts w:eastAsia="Times New Roman"/>
          <w:noProof/>
        </w:rPr>
        <w:t>s well as space and</w:t>
      </w:r>
      <w:r w:rsidRPr="00AD21FF">
        <w:rPr>
          <w:rFonts w:eastAsia="Times New Roman"/>
          <w:noProof/>
        </w:rPr>
        <w:t xml:space="preserve"> defence. </w:t>
      </w:r>
    </w:p>
    <w:p w14:paraId="7D063B31" w14:textId="77777777" w:rsidR="00FE7970" w:rsidRPr="00AD21FF" w:rsidRDefault="00FE7970" w:rsidP="00717932">
      <w:pPr>
        <w:rPr>
          <w:rFonts w:eastAsia="Arial Unicode MS"/>
          <w:noProof/>
        </w:rPr>
      </w:pPr>
      <w:r w:rsidRPr="00AD21FF">
        <w:rPr>
          <w:rFonts w:eastAsia="Arial Unicode MS"/>
          <w:noProof/>
        </w:rPr>
        <w:t>Delayed or insufficient progress on climate action could intensify the economic and social impacts of climate change, with implications for social stability. Action is especially needed in the following sectors:</w:t>
      </w:r>
    </w:p>
    <w:p w14:paraId="7319C859" w14:textId="77777777" w:rsidR="00150EA5" w:rsidRDefault="00FE7970" w:rsidP="00717932">
      <w:pPr>
        <w:rPr>
          <w:rFonts w:eastAsia="Arial Unicode MS"/>
          <w:noProof/>
        </w:rPr>
      </w:pPr>
      <w:r w:rsidRPr="00AD21FF">
        <w:rPr>
          <w:rFonts w:eastAsia="Arial Unicode MS"/>
          <w:b/>
          <w:bCs/>
          <w:noProof/>
        </w:rPr>
        <w:t>Energy</w:t>
      </w:r>
      <w:r w:rsidR="00862074">
        <w:rPr>
          <w:rFonts w:eastAsia="Arial Unicode MS"/>
          <w:b/>
          <w:bCs/>
          <w:noProof/>
        </w:rPr>
        <w:t>-</w:t>
      </w:r>
      <w:r w:rsidRPr="00AD21FF">
        <w:rPr>
          <w:rFonts w:eastAsia="Arial Unicode MS"/>
          <w:b/>
          <w:bCs/>
          <w:noProof/>
        </w:rPr>
        <w:t>intensive industries</w:t>
      </w:r>
      <w:r w:rsidRPr="00AD21FF">
        <w:rPr>
          <w:rFonts w:eastAsia="Arial Unicode MS"/>
          <w:noProof/>
        </w:rPr>
        <w:t xml:space="preserve"> (EIIs) are a key pillar of European prosperity and a cornerstone of the continent’s industrial base, underpinning most industrial ecosystems. Yet, production volumes in EIIs have substantially decreased since 2021, compared to other manufacturing sectors</w:t>
      </w:r>
      <w:r w:rsidRPr="00AD21FF">
        <w:rPr>
          <w:rStyle w:val="FootnoteReference"/>
          <w:rFonts w:eastAsia="Arial Unicode MS"/>
          <w:noProof/>
        </w:rPr>
        <w:footnoteReference w:id="8"/>
      </w:r>
      <w:r w:rsidR="00862074">
        <w:rPr>
          <w:rFonts w:eastAsia="Arial Unicode MS"/>
          <w:noProof/>
        </w:rPr>
        <w:t>.</w:t>
      </w:r>
      <w:r w:rsidRPr="00AD21FF">
        <w:rPr>
          <w:rFonts w:eastAsia="Arial Unicode MS"/>
          <w:noProof/>
        </w:rPr>
        <w:t xml:space="preserve"> Cost gaps with other world regions have widened and import shares have increased, in particular for basic metals and chemicals</w:t>
      </w:r>
      <w:r w:rsidRPr="00AD21FF">
        <w:rPr>
          <w:rStyle w:val="FootnoteReference"/>
          <w:rFonts w:eastAsia="Arial Unicode MS"/>
          <w:noProof/>
        </w:rPr>
        <w:footnoteReference w:id="9"/>
      </w:r>
      <w:r w:rsidR="00862074">
        <w:rPr>
          <w:rFonts w:eastAsia="Arial Unicode MS"/>
          <w:noProof/>
        </w:rPr>
        <w:t>.</w:t>
      </w:r>
      <w:r w:rsidRPr="00AD21FF">
        <w:rPr>
          <w:rFonts w:eastAsia="Arial Unicode MS"/>
          <w:noProof/>
        </w:rPr>
        <w:t xml:space="preserve"> Capacity utilisation rates remain at unsustainably low levels</w:t>
      </w:r>
      <w:r w:rsidRPr="00AD21FF">
        <w:rPr>
          <w:rStyle w:val="FootnoteReference"/>
          <w:rFonts w:eastAsia="Arial Unicode MS"/>
          <w:noProof/>
        </w:rPr>
        <w:footnoteReference w:id="10"/>
      </w:r>
      <w:r w:rsidR="00862074">
        <w:rPr>
          <w:rFonts w:eastAsia="Arial Unicode MS"/>
          <w:noProof/>
        </w:rPr>
        <w:t>.</w:t>
      </w:r>
      <w:r w:rsidRPr="00AD21FF">
        <w:rPr>
          <w:rFonts w:eastAsia="Arial Unicode MS"/>
          <w:noProof/>
        </w:rPr>
        <w:t xml:space="preserve"> Decarbonising these industries requires substantial investments</w:t>
      </w:r>
      <w:r w:rsidRPr="00AD21FF">
        <w:rPr>
          <w:rStyle w:val="FootnoteReference"/>
          <w:rFonts w:eastAsia="Arial Unicode MS"/>
          <w:noProof/>
        </w:rPr>
        <w:footnoteReference w:id="11"/>
      </w:r>
      <w:r w:rsidR="00862074">
        <w:rPr>
          <w:rFonts w:eastAsia="Arial Unicode MS"/>
          <w:noProof/>
        </w:rPr>
        <w:t>,</w:t>
      </w:r>
      <w:r w:rsidRPr="00AD21FF">
        <w:rPr>
          <w:rFonts w:eastAsia="Arial Unicode MS"/>
          <w:noProof/>
        </w:rPr>
        <w:t xml:space="preserve"> however, the pace of decarbonisation is not fast enough to reach the EU climate objectives. Although many decarbonisation projects have been announced and some are on the way, since 2023 more than half of the projects remain unimplemented</w:t>
      </w:r>
      <w:r w:rsidRPr="00AD21FF">
        <w:rPr>
          <w:rStyle w:val="FootnoteReference"/>
          <w:rFonts w:eastAsia="Arial Unicode MS"/>
          <w:noProof/>
        </w:rPr>
        <w:footnoteReference w:id="12"/>
      </w:r>
      <w:r w:rsidR="00862074">
        <w:rPr>
          <w:rFonts w:eastAsia="Arial Unicode MS"/>
          <w:noProof/>
        </w:rPr>
        <w:t>.</w:t>
      </w:r>
      <w:r w:rsidRPr="00AD21FF">
        <w:rPr>
          <w:rFonts w:eastAsia="Arial Unicode MS"/>
          <w:noProof/>
        </w:rPr>
        <w:t xml:space="preserve"> Modernising these sectors is fundamental not only to achieving our climate objectives, but also for Europe’s ability to anchor industrial value chains and provide high- quality jobs.</w:t>
      </w:r>
      <w:r w:rsidR="00563F02">
        <w:rPr>
          <w:rFonts w:eastAsia="Arial Unicode MS"/>
          <w:noProof/>
        </w:rPr>
        <w:t xml:space="preserve"> Among </w:t>
      </w:r>
      <w:r w:rsidR="00096424" w:rsidRPr="00096424">
        <w:rPr>
          <w:rFonts w:eastAsia="Arial Unicode MS"/>
          <w:noProof/>
        </w:rPr>
        <w:t>energy-intensive industries, steel and cement are the largest emitters</w:t>
      </w:r>
      <w:r w:rsidR="00C4759B">
        <w:rPr>
          <w:rFonts w:eastAsia="Arial Unicode MS"/>
          <w:noProof/>
        </w:rPr>
        <w:t xml:space="preserve">, </w:t>
      </w:r>
      <w:r w:rsidR="001B5872">
        <w:rPr>
          <w:rFonts w:eastAsia="Arial Unicode MS"/>
          <w:noProof/>
        </w:rPr>
        <w:t xml:space="preserve">while the </w:t>
      </w:r>
      <w:r w:rsidR="00096424" w:rsidRPr="00096424">
        <w:rPr>
          <w:rFonts w:eastAsia="Arial Unicode MS"/>
          <w:noProof/>
        </w:rPr>
        <w:t>chemical industr</w:t>
      </w:r>
      <w:r w:rsidR="001B5872">
        <w:rPr>
          <w:rFonts w:eastAsia="Arial Unicode MS"/>
          <w:noProof/>
        </w:rPr>
        <w:t>y</w:t>
      </w:r>
      <w:r w:rsidR="00096424" w:rsidRPr="00096424">
        <w:rPr>
          <w:rFonts w:eastAsia="Arial Unicode MS"/>
          <w:noProof/>
        </w:rPr>
        <w:t xml:space="preserve"> is the third-largest contributor t</w:t>
      </w:r>
      <w:r w:rsidR="001B5872">
        <w:rPr>
          <w:rFonts w:eastAsia="Arial Unicode MS"/>
          <w:noProof/>
        </w:rPr>
        <w:t xml:space="preserve">o the EU GHG </w:t>
      </w:r>
      <w:r w:rsidR="00096424" w:rsidRPr="00096424">
        <w:rPr>
          <w:rFonts w:eastAsia="Arial Unicode MS"/>
          <w:noProof/>
        </w:rPr>
        <w:t xml:space="preserve">emissions. Aluminium </w:t>
      </w:r>
      <w:r w:rsidR="006D5666">
        <w:rPr>
          <w:rFonts w:eastAsia="Arial Unicode MS"/>
          <w:noProof/>
        </w:rPr>
        <w:t>i</w:t>
      </w:r>
      <w:r w:rsidR="00096424" w:rsidRPr="00096424">
        <w:rPr>
          <w:rFonts w:eastAsia="Arial Unicode MS"/>
          <w:noProof/>
        </w:rPr>
        <w:t xml:space="preserve">s also highly </w:t>
      </w:r>
      <w:r w:rsidR="006D5666">
        <w:rPr>
          <w:rFonts w:eastAsia="Arial Unicode MS"/>
          <w:noProof/>
        </w:rPr>
        <w:t>electro</w:t>
      </w:r>
      <w:r w:rsidR="00096424" w:rsidRPr="00096424">
        <w:rPr>
          <w:rFonts w:eastAsia="Arial Unicode MS"/>
          <w:noProof/>
        </w:rPr>
        <w:t xml:space="preserve">-intensive </w:t>
      </w:r>
      <w:r w:rsidR="00150EA5">
        <w:rPr>
          <w:rFonts w:eastAsia="Arial Unicode MS"/>
          <w:noProof/>
        </w:rPr>
        <w:t xml:space="preserve">and </w:t>
      </w:r>
      <w:r w:rsidR="00096424" w:rsidRPr="00096424">
        <w:rPr>
          <w:rFonts w:eastAsia="Arial Unicode MS"/>
          <w:noProof/>
        </w:rPr>
        <w:t>is recognised as a strategic raw material, with demand expected to increase by 33</w:t>
      </w:r>
      <w:r w:rsidR="00862074">
        <w:rPr>
          <w:rFonts w:eastAsia="Arial Unicode MS"/>
          <w:noProof/>
        </w:rPr>
        <w:t xml:space="preserve"> </w:t>
      </w:r>
      <w:r w:rsidR="00096424" w:rsidRPr="00096424">
        <w:rPr>
          <w:rFonts w:eastAsia="Arial Unicode MS"/>
          <w:noProof/>
        </w:rPr>
        <w:t>% until 2050.</w:t>
      </w:r>
      <w:r w:rsidR="00646354">
        <w:rPr>
          <w:rFonts w:eastAsia="Arial Unicode MS"/>
          <w:noProof/>
        </w:rPr>
        <w:t xml:space="preserve"> </w:t>
      </w:r>
      <w:r w:rsidR="00646354" w:rsidRPr="00096424">
        <w:rPr>
          <w:rFonts w:eastAsia="Arial Unicode MS"/>
          <w:noProof/>
        </w:rPr>
        <w:t xml:space="preserve">At the same time, these industries </w:t>
      </w:r>
      <w:r w:rsidR="00771A6A">
        <w:rPr>
          <w:rFonts w:eastAsia="Arial Unicode MS"/>
          <w:noProof/>
        </w:rPr>
        <w:t xml:space="preserve">have lost </w:t>
      </w:r>
      <w:r w:rsidR="00646354" w:rsidRPr="00096424">
        <w:rPr>
          <w:rFonts w:eastAsia="Arial Unicode MS"/>
          <w:noProof/>
        </w:rPr>
        <w:t xml:space="preserve">significant </w:t>
      </w:r>
      <w:r w:rsidR="00150EA5">
        <w:rPr>
          <w:rFonts w:eastAsia="Arial Unicode MS"/>
          <w:noProof/>
        </w:rPr>
        <w:t xml:space="preserve">EU’s market share in the </w:t>
      </w:r>
      <w:r w:rsidR="00B46A03">
        <w:rPr>
          <w:rFonts w:eastAsia="Arial Unicode MS"/>
          <w:noProof/>
        </w:rPr>
        <w:t xml:space="preserve">past </w:t>
      </w:r>
      <w:r w:rsidR="00AD5A95">
        <w:rPr>
          <w:rFonts w:eastAsia="Arial Unicode MS"/>
          <w:noProof/>
        </w:rPr>
        <w:t>decade</w:t>
      </w:r>
      <w:r w:rsidR="00646354" w:rsidRPr="00096424">
        <w:rPr>
          <w:rFonts w:eastAsia="Arial Unicode MS"/>
          <w:noProof/>
        </w:rPr>
        <w:t xml:space="preserve">. </w:t>
      </w:r>
      <w:r w:rsidR="00096424" w:rsidRPr="00096424">
        <w:rPr>
          <w:rFonts w:eastAsia="Arial Unicode MS"/>
          <w:noProof/>
        </w:rPr>
        <w:t xml:space="preserve">In view of their high emissions </w:t>
      </w:r>
      <w:r w:rsidR="00646354">
        <w:rPr>
          <w:rFonts w:eastAsia="Arial Unicode MS"/>
          <w:noProof/>
        </w:rPr>
        <w:t>intensity</w:t>
      </w:r>
      <w:r w:rsidR="00AD5A95">
        <w:rPr>
          <w:rFonts w:eastAsia="Arial Unicode MS"/>
          <w:noProof/>
        </w:rPr>
        <w:t xml:space="preserve"> and</w:t>
      </w:r>
      <w:r w:rsidR="00646354">
        <w:rPr>
          <w:rFonts w:eastAsia="Arial Unicode MS"/>
          <w:noProof/>
        </w:rPr>
        <w:t xml:space="preserve"> </w:t>
      </w:r>
      <w:r w:rsidR="001B5872">
        <w:rPr>
          <w:rFonts w:eastAsia="Arial Unicode MS"/>
          <w:noProof/>
        </w:rPr>
        <w:t xml:space="preserve">strategic role for the </w:t>
      </w:r>
      <w:r w:rsidR="00A523CC">
        <w:rPr>
          <w:rFonts w:eastAsia="Arial Unicode MS"/>
          <w:noProof/>
        </w:rPr>
        <w:t>clean and digital transition</w:t>
      </w:r>
      <w:r w:rsidR="00096424" w:rsidRPr="00096424">
        <w:rPr>
          <w:rFonts w:eastAsia="Arial Unicode MS"/>
          <w:noProof/>
        </w:rPr>
        <w:t>,</w:t>
      </w:r>
      <w:r w:rsidR="000E43FA">
        <w:rPr>
          <w:rFonts w:eastAsia="Arial Unicode MS"/>
          <w:noProof/>
        </w:rPr>
        <w:t xml:space="preserve"> </w:t>
      </w:r>
      <w:r w:rsidR="00096424" w:rsidRPr="00096424">
        <w:rPr>
          <w:rFonts w:eastAsia="Arial Unicode MS"/>
          <w:noProof/>
        </w:rPr>
        <w:t xml:space="preserve">these sectors </w:t>
      </w:r>
      <w:r w:rsidR="00CA1C9F">
        <w:rPr>
          <w:rFonts w:eastAsia="Arial Unicode MS"/>
          <w:noProof/>
        </w:rPr>
        <w:t xml:space="preserve">are </w:t>
      </w:r>
      <w:r w:rsidR="000E43FA">
        <w:rPr>
          <w:rFonts w:eastAsia="Arial Unicode MS"/>
          <w:noProof/>
        </w:rPr>
        <w:t xml:space="preserve">considered </w:t>
      </w:r>
      <w:r w:rsidR="00CA1C9F">
        <w:rPr>
          <w:rFonts w:eastAsia="Arial Unicode MS"/>
          <w:noProof/>
        </w:rPr>
        <w:t xml:space="preserve">priority </w:t>
      </w:r>
      <w:r w:rsidR="000E43FA">
        <w:rPr>
          <w:rFonts w:eastAsia="Arial Unicode MS"/>
          <w:noProof/>
        </w:rPr>
        <w:t xml:space="preserve">to establish </w:t>
      </w:r>
      <w:r w:rsidR="00096424" w:rsidRPr="00096424">
        <w:rPr>
          <w:rFonts w:eastAsia="Arial Unicode MS"/>
          <w:noProof/>
        </w:rPr>
        <w:t xml:space="preserve">demand-side </w:t>
      </w:r>
      <w:r w:rsidR="000E43FA">
        <w:rPr>
          <w:rFonts w:eastAsia="Arial Unicode MS"/>
          <w:noProof/>
        </w:rPr>
        <w:t>measures</w:t>
      </w:r>
      <w:r w:rsidR="00E31E96">
        <w:rPr>
          <w:rFonts w:eastAsia="Arial Unicode MS"/>
          <w:noProof/>
        </w:rPr>
        <w:t>.</w:t>
      </w:r>
      <w:r w:rsidR="00150EA5">
        <w:rPr>
          <w:rFonts w:eastAsia="Arial Unicode MS"/>
          <w:noProof/>
        </w:rPr>
        <w:t xml:space="preserve"> </w:t>
      </w:r>
      <w:r w:rsidR="00CE304E">
        <w:rPr>
          <w:rFonts w:eastAsia="Arial Unicode MS"/>
          <w:noProof/>
        </w:rPr>
        <w:t>T</w:t>
      </w:r>
      <w:r w:rsidR="00AD5A95">
        <w:rPr>
          <w:rFonts w:eastAsia="Arial Unicode MS"/>
          <w:noProof/>
        </w:rPr>
        <w:t>hey</w:t>
      </w:r>
      <w:r w:rsidR="00150EA5" w:rsidRPr="001266B7">
        <w:rPr>
          <w:rFonts w:eastAsia="Arial Unicode MS"/>
          <w:noProof/>
        </w:rPr>
        <w:t xml:space="preserve"> are </w:t>
      </w:r>
      <w:r w:rsidR="00CE304E">
        <w:rPr>
          <w:rFonts w:eastAsia="Arial Unicode MS"/>
          <w:noProof/>
        </w:rPr>
        <w:t xml:space="preserve">also </w:t>
      </w:r>
      <w:r w:rsidR="00150EA5" w:rsidRPr="001266B7">
        <w:rPr>
          <w:rFonts w:eastAsia="Arial Unicode MS"/>
          <w:noProof/>
        </w:rPr>
        <w:t>characterised by a limited cost impact on downstream industries.</w:t>
      </w:r>
    </w:p>
    <w:p w14:paraId="3F2800C8" w14:textId="77777777" w:rsidR="00FE7970" w:rsidRPr="00AD21FF" w:rsidRDefault="00FE7970" w:rsidP="00717932">
      <w:pPr>
        <w:rPr>
          <w:rFonts w:eastAsia="Arial Unicode MS"/>
          <w:noProof/>
        </w:rPr>
      </w:pPr>
      <w:r w:rsidRPr="00AD21FF">
        <w:rPr>
          <w:rFonts w:eastAsia="Arial Unicode MS"/>
          <w:b/>
          <w:bCs/>
          <w:noProof/>
        </w:rPr>
        <w:t>Net-zero technologies</w:t>
      </w:r>
      <w:r w:rsidRPr="00AD21FF">
        <w:rPr>
          <w:rFonts w:eastAsia="Arial Unicode MS"/>
          <w:noProof/>
        </w:rPr>
        <w:t xml:space="preserve"> face competitiveness challenges and significant supply chain vulnerabilities</w:t>
      </w:r>
      <w:r w:rsidRPr="00AD21FF">
        <w:rPr>
          <w:rStyle w:val="FootnoteReference"/>
          <w:rFonts w:eastAsia="Arial Unicode MS"/>
          <w:noProof/>
        </w:rPr>
        <w:footnoteReference w:id="13"/>
      </w:r>
      <w:r w:rsidR="00862074">
        <w:rPr>
          <w:rFonts w:eastAsia="Arial Unicode MS"/>
          <w:noProof/>
        </w:rPr>
        <w:t>.</w:t>
      </w:r>
      <w:r w:rsidRPr="00AD21FF">
        <w:rPr>
          <w:rFonts w:eastAsia="Arial Unicode MS"/>
          <w:noProof/>
        </w:rPr>
        <w:t xml:space="preserve"> While deployment in the EU – and the world - is progressing, the EU’s manufacturing global market share of these technologies is declining. Production is highly concentrated in China, which accounts for over 80</w:t>
      </w:r>
      <w:r w:rsidR="00862074">
        <w:rPr>
          <w:rFonts w:eastAsia="Arial Unicode MS"/>
          <w:noProof/>
        </w:rPr>
        <w:t xml:space="preserve"> </w:t>
      </w:r>
      <w:r w:rsidRPr="00AD21FF">
        <w:rPr>
          <w:rFonts w:eastAsia="Arial Unicode MS"/>
          <w:noProof/>
        </w:rPr>
        <w:t>% of battery manufacturing capacity and solar photovoltaic, including solar inverters which carry an essential function in the Union’s critical infrastructure. In other net zero technologies, such as heat pumps and geothermal, EU production depends heavily on components from non-EU suppliers. Wind power technologies are experiencing cost pressures from low-priced Chinese imports, while carbon capture technologies lag in CO2 transport and storage. Without decisive action, the EU risks becoming even more dependent on imported clean technologies, precisely at the moment when global partners are accelerating their industrial strategies</w:t>
      </w:r>
      <w:r w:rsidRPr="00AD21FF">
        <w:rPr>
          <w:rStyle w:val="FootnoteReference"/>
          <w:rFonts w:eastAsia="Arial Unicode MS"/>
          <w:noProof/>
        </w:rPr>
        <w:footnoteReference w:id="14"/>
      </w:r>
      <w:r w:rsidRPr="00AD21FF">
        <w:rPr>
          <w:rFonts w:eastAsia="Arial Unicode MS"/>
          <w:noProof/>
        </w:rPr>
        <w:t xml:space="preserve"> and weaponising their industrial </w:t>
      </w:r>
      <w:r w:rsidR="00912570">
        <w:rPr>
          <w:rFonts w:eastAsia="Arial Unicode MS"/>
          <w:noProof/>
        </w:rPr>
        <w:t>strengths</w:t>
      </w:r>
      <w:r w:rsidRPr="00AD21FF">
        <w:rPr>
          <w:rFonts w:eastAsia="Arial Unicode MS"/>
          <w:noProof/>
        </w:rPr>
        <w:t>. At the same time, net-zero technologies are a source of EU’s industrial strength and should be granted a global level-playing field in light of unfairly subsidised overcapacities</w:t>
      </w:r>
      <w:r w:rsidR="009A60C4">
        <w:rPr>
          <w:rFonts w:eastAsia="Arial Unicode MS"/>
          <w:noProof/>
        </w:rPr>
        <w:t xml:space="preserve"> by third countries</w:t>
      </w:r>
      <w:r w:rsidRPr="00AD21FF">
        <w:rPr>
          <w:rFonts w:eastAsia="Arial Unicode MS"/>
          <w:noProof/>
        </w:rPr>
        <w:t xml:space="preserve">. </w:t>
      </w:r>
    </w:p>
    <w:p w14:paraId="7CB2DBA2" w14:textId="77777777" w:rsidR="00FE7970" w:rsidRPr="00AD21FF" w:rsidRDefault="00FE7970" w:rsidP="00717932">
      <w:pPr>
        <w:rPr>
          <w:rFonts w:eastAsia="Arial Unicode MS"/>
          <w:noProof/>
        </w:rPr>
      </w:pPr>
      <w:r w:rsidRPr="00AD21FF">
        <w:rPr>
          <w:rFonts w:eastAsia="Arial Unicode MS"/>
          <w:noProof/>
        </w:rPr>
        <w:t xml:space="preserve">Downstream industries are also under pressure. The competitiveness of the </w:t>
      </w:r>
      <w:r w:rsidRPr="00AD21FF">
        <w:rPr>
          <w:rFonts w:eastAsia="Arial Unicode MS"/>
          <w:b/>
          <w:bCs/>
          <w:noProof/>
        </w:rPr>
        <w:t>European automotive industry</w:t>
      </w:r>
      <w:r w:rsidRPr="00AD21FF">
        <w:rPr>
          <w:rFonts w:eastAsia="Arial Unicode MS"/>
          <w:noProof/>
        </w:rPr>
        <w:t xml:space="preserve"> – a symbol of Union industrial leadership - has significantly decreased, with the average profitability of European automotive suppliers dropping from 7.4</w:t>
      </w:r>
      <w:r w:rsidR="00862074">
        <w:rPr>
          <w:rFonts w:eastAsia="Arial Unicode MS"/>
          <w:noProof/>
        </w:rPr>
        <w:t xml:space="preserve"> </w:t>
      </w:r>
      <w:r w:rsidRPr="00AD21FF">
        <w:rPr>
          <w:rFonts w:eastAsia="Arial Unicode MS"/>
          <w:noProof/>
        </w:rPr>
        <w:t>% in 2017 to 5</w:t>
      </w:r>
      <w:r w:rsidR="00862074">
        <w:rPr>
          <w:rFonts w:eastAsia="Arial Unicode MS"/>
          <w:noProof/>
        </w:rPr>
        <w:t xml:space="preserve"> </w:t>
      </w:r>
      <w:r w:rsidRPr="00AD21FF">
        <w:rPr>
          <w:rFonts w:eastAsia="Arial Unicode MS"/>
          <w:noProof/>
        </w:rPr>
        <w:t>% in 2023</w:t>
      </w:r>
      <w:r w:rsidR="1B60E2D4" w:rsidRPr="0FA144AA">
        <w:rPr>
          <w:rFonts w:eastAsia="Arial Unicode MS"/>
          <w:noProof/>
        </w:rPr>
        <w:t xml:space="preserve"> and </w:t>
      </w:r>
      <w:r w:rsidR="5B0CE308" w:rsidRPr="0FA144AA">
        <w:rPr>
          <w:rFonts w:eastAsia="Arial Unicode MS"/>
          <w:noProof/>
        </w:rPr>
        <w:t xml:space="preserve">more than 100,000 job </w:t>
      </w:r>
      <w:r w:rsidR="5B0CE308" w:rsidRPr="476E6070">
        <w:rPr>
          <w:rFonts w:eastAsia="Arial Unicode MS"/>
          <w:noProof/>
        </w:rPr>
        <w:t>cuts announced in 2024/25</w:t>
      </w:r>
      <w:r w:rsidRPr="00AD21FF">
        <w:rPr>
          <w:rStyle w:val="FootnoteReference"/>
          <w:rFonts w:eastAsia="Arial Unicode MS"/>
          <w:noProof/>
        </w:rPr>
        <w:footnoteReference w:id="15"/>
      </w:r>
      <w:r w:rsidR="00862074">
        <w:rPr>
          <w:rFonts w:eastAsia="Arial Unicode MS"/>
          <w:noProof/>
        </w:rPr>
        <w:t>.</w:t>
      </w:r>
      <w:r w:rsidRPr="00AD21FF">
        <w:rPr>
          <w:rFonts w:eastAsia="Arial Unicode MS"/>
          <w:noProof/>
        </w:rPr>
        <w:t xml:space="preserve"> </w:t>
      </w:r>
      <w:r w:rsidR="517F8FB1" w:rsidRPr="00AD21FF">
        <w:rPr>
          <w:rFonts w:eastAsia="Arial Unicode MS"/>
          <w:noProof/>
        </w:rPr>
        <w:t>Recent surveys show that half of</w:t>
      </w:r>
      <w:r w:rsidRPr="00AD21FF">
        <w:rPr>
          <w:rFonts w:eastAsia="Arial Unicode MS"/>
          <w:noProof/>
        </w:rPr>
        <w:t xml:space="preserve"> the European automotive component </w:t>
      </w:r>
      <w:r w:rsidR="1F47F0DA" w:rsidRPr="00AD21FF">
        <w:rPr>
          <w:rFonts w:eastAsia="Arial Unicode MS"/>
          <w:noProof/>
        </w:rPr>
        <w:t>suppliers</w:t>
      </w:r>
      <w:r w:rsidRPr="00AD21FF">
        <w:rPr>
          <w:rFonts w:eastAsia="Arial Unicode MS"/>
          <w:noProof/>
        </w:rPr>
        <w:t xml:space="preserve"> </w:t>
      </w:r>
      <w:r w:rsidR="2A16668E" w:rsidRPr="00AD21FF">
        <w:rPr>
          <w:rFonts w:eastAsia="Arial Unicode MS"/>
          <w:noProof/>
        </w:rPr>
        <w:t>plan to reduce production capacity in the EU in the next years</w:t>
      </w:r>
      <w:r w:rsidR="004C78B0">
        <w:rPr>
          <w:rFonts w:eastAsia="Arial Unicode MS"/>
          <w:noProof/>
        </w:rPr>
        <w:t xml:space="preserve">. </w:t>
      </w:r>
      <w:r w:rsidRPr="00AD21FF">
        <w:rPr>
          <w:rFonts w:eastAsia="Arial Unicode MS"/>
          <w:noProof/>
        </w:rPr>
        <w:t xml:space="preserve">This decline threatens </w:t>
      </w:r>
      <w:r w:rsidR="77D40CF3" w:rsidRPr="00AD21FF">
        <w:rPr>
          <w:rFonts w:eastAsia="Arial Unicode MS"/>
          <w:noProof/>
        </w:rPr>
        <w:t>hundreds of thousands</w:t>
      </w:r>
      <w:r w:rsidRPr="00AD21FF">
        <w:rPr>
          <w:rFonts w:eastAsia="Arial Unicode MS"/>
          <w:noProof/>
        </w:rPr>
        <w:t xml:space="preserve"> of jobs and the integrity of Europe’s industrial future.</w:t>
      </w:r>
    </w:p>
    <w:p w14:paraId="74A0D407" w14:textId="77777777" w:rsidR="00FE7970" w:rsidRPr="00AD21FF" w:rsidRDefault="00FE7970" w:rsidP="00FE7970">
      <w:pPr>
        <w:pBdr>
          <w:top w:val="nil"/>
          <w:left w:val="nil"/>
          <w:bottom w:val="nil"/>
          <w:right w:val="nil"/>
          <w:between w:val="nil"/>
          <w:bar w:val="nil"/>
        </w:pBdr>
        <w:spacing w:before="0" w:after="240"/>
        <w:rPr>
          <w:rFonts w:eastAsia="Arial Unicode MS"/>
          <w:noProof/>
        </w:rPr>
      </w:pPr>
      <w:r w:rsidRPr="00AD21FF">
        <w:rPr>
          <w:rFonts w:eastAsia="Arial Unicode MS"/>
          <w:noProof/>
        </w:rPr>
        <w:t xml:space="preserve">Against this backdrop, the proposal addresses three main sub-problems: </w:t>
      </w:r>
    </w:p>
    <w:p w14:paraId="58F30C40" w14:textId="77777777" w:rsidR="00FE7970" w:rsidRPr="00AD21FF" w:rsidRDefault="00FE7970" w:rsidP="007234F4">
      <w:pPr>
        <w:pStyle w:val="Point0"/>
        <w:rPr>
          <w:noProof/>
        </w:rPr>
      </w:pPr>
      <w:r>
        <w:rPr>
          <w:noProof/>
        </w:rPr>
        <w:t>(1)</w:t>
      </w:r>
      <w:r>
        <w:rPr>
          <w:noProof/>
        </w:rPr>
        <w:tab/>
      </w:r>
      <w:r w:rsidRPr="00FF5211">
        <w:rPr>
          <w:noProof/>
          <w:u w:val="single"/>
        </w:rPr>
        <w:t>Supply chain vulnerabilities in strategic sectors and technologies.</w:t>
      </w:r>
      <w:r w:rsidRPr="00AD21FF">
        <w:rPr>
          <w:noProof/>
        </w:rPr>
        <w:t xml:space="preserve"> Global, not always fair, competition and international value chain dependencies undermine Europe’s ability to increase or retain production</w:t>
      </w:r>
      <w:r w:rsidR="00BD2DC8">
        <w:rPr>
          <w:noProof/>
        </w:rPr>
        <w:t xml:space="preserve"> </w:t>
      </w:r>
      <w:r w:rsidR="00AF2F05">
        <w:rPr>
          <w:noProof/>
        </w:rPr>
        <w:t>in strategic sectors and technologies</w:t>
      </w:r>
      <w:r w:rsidRPr="00AD21FF">
        <w:rPr>
          <w:noProof/>
        </w:rPr>
        <w:t>. An area of concern is the lack of technology know-how and manufacturing expertise in the EU for certain key net-zero and digital technologies. This concern</w:t>
      </w:r>
      <w:r w:rsidRPr="00AD21FF" w:rsidDel="00813ACE">
        <w:rPr>
          <w:noProof/>
        </w:rPr>
        <w:t xml:space="preserve"> is</w:t>
      </w:r>
      <w:r w:rsidRPr="00AD21FF">
        <w:rPr>
          <w:noProof/>
        </w:rPr>
        <w:t xml:space="preserve"> exacerbated by a fragmented EU approach towards foreign investments, which </w:t>
      </w:r>
      <w:r w:rsidRPr="00FF5211">
        <w:rPr>
          <w:rFonts w:eastAsia="Times New Roman"/>
          <w:noProof/>
          <w:color w:val="000000" w:themeColor="text1"/>
        </w:rPr>
        <w:t>oftentimes do not come with technology transfer, job creation and value chain integration in the EU.</w:t>
      </w:r>
    </w:p>
    <w:p w14:paraId="7F29C8E4" w14:textId="77777777" w:rsidR="00FE7970" w:rsidRPr="00AD21FF" w:rsidRDefault="00FE7970" w:rsidP="00914DE2">
      <w:pPr>
        <w:pStyle w:val="Point0"/>
        <w:rPr>
          <w:noProof/>
        </w:rPr>
      </w:pPr>
      <w:r>
        <w:rPr>
          <w:noProof/>
        </w:rPr>
        <w:t>(2)</w:t>
      </w:r>
      <w:r>
        <w:rPr>
          <w:noProof/>
        </w:rPr>
        <w:tab/>
      </w:r>
      <w:r w:rsidRPr="00AD21FF">
        <w:rPr>
          <w:noProof/>
          <w:u w:val="single"/>
        </w:rPr>
        <w:t>Limited demand/no lead markets for European low-carbon industrial products</w:t>
      </w:r>
      <w:r w:rsidRPr="00AD21FF">
        <w:rPr>
          <w:noProof/>
        </w:rPr>
        <w:t>. High production costs, different levels of technological readiness and a lack of industrial scaling effects limit the development and market uptake of low-carbon products in energy</w:t>
      </w:r>
      <w:r w:rsidR="00862074">
        <w:rPr>
          <w:noProof/>
        </w:rPr>
        <w:t>-</w:t>
      </w:r>
      <w:r w:rsidRPr="00AD21FF">
        <w:rPr>
          <w:noProof/>
        </w:rPr>
        <w:t>intensive industries, therefore undermining or delaying the decarbonisation investments. This is further accentuated by the challenges in distinguishing low-carbon industrial products from high-carbon equivalents and the limited willingness of downstream sectors to pay a low-carbon premium.</w:t>
      </w:r>
    </w:p>
    <w:p w14:paraId="010CC446" w14:textId="77777777" w:rsidR="00FE7970" w:rsidRPr="00AD21FF" w:rsidRDefault="00FE7970" w:rsidP="00914DE2">
      <w:pPr>
        <w:pStyle w:val="Point0"/>
        <w:rPr>
          <w:noProof/>
        </w:rPr>
      </w:pPr>
      <w:r>
        <w:rPr>
          <w:noProof/>
        </w:rPr>
        <w:t>(3)</w:t>
      </w:r>
      <w:r>
        <w:rPr>
          <w:noProof/>
        </w:rPr>
        <w:tab/>
      </w:r>
      <w:r w:rsidRPr="00AD21FF">
        <w:rPr>
          <w:noProof/>
          <w:u w:val="single"/>
        </w:rPr>
        <w:t>Industrial</w:t>
      </w:r>
      <w:r w:rsidRPr="00AD21FF" w:rsidDel="007E3657">
        <w:rPr>
          <w:noProof/>
          <w:u w:val="single"/>
        </w:rPr>
        <w:t xml:space="preserve"> </w:t>
      </w:r>
      <w:r w:rsidRPr="00AD21FF">
        <w:rPr>
          <w:noProof/>
          <w:u w:val="single"/>
        </w:rPr>
        <w:t>technologies are not deployed at scale</w:t>
      </w:r>
      <w:r w:rsidRPr="00AD21FF">
        <w:rPr>
          <w:noProof/>
        </w:rPr>
        <w:t xml:space="preserve">. Lengthy, fragmented and uncertain permitting procedures for industrial decarbonisation projects, including infrastructure connection, delay the deployment and scale-up of new technologies. Decarbonising industrial processes requires deep and costly transformation of assets and operations, entailing substantial investments, which may become frozen throughout lengthy permitting processes. Difficulties in de-risking investment and accessing funding represent a major bottleneck. </w:t>
      </w:r>
    </w:p>
    <w:p w14:paraId="61D26534" w14:textId="77777777" w:rsidR="00FE7970" w:rsidRPr="00AD21FF" w:rsidRDefault="00FE7970" w:rsidP="00FE7970">
      <w:pPr>
        <w:rPr>
          <w:noProof/>
        </w:rPr>
      </w:pPr>
      <w:r w:rsidRPr="00AD21FF">
        <w:rPr>
          <w:noProof/>
        </w:rPr>
        <w:t>Against this scenario, the Clean Industrial Deal announced a new regulatory initiative to address permitting bottlenecks, introduce resilience and sustainability criteria, and</w:t>
      </w:r>
      <w:r w:rsidRPr="00AD21FF" w:rsidDel="00712BFD">
        <w:rPr>
          <w:noProof/>
        </w:rPr>
        <w:t xml:space="preserve"> </w:t>
      </w:r>
      <w:r w:rsidRPr="00AD21FF">
        <w:rPr>
          <w:noProof/>
        </w:rPr>
        <w:t>create lead markets for European clean and resilient industrial products and technologies</w:t>
      </w:r>
      <w:r w:rsidR="0015187D">
        <w:rPr>
          <w:noProof/>
        </w:rPr>
        <w:t>.</w:t>
      </w:r>
    </w:p>
    <w:p w14:paraId="5F81696F" w14:textId="77777777" w:rsidR="00FE7970" w:rsidRPr="00AD21FF" w:rsidRDefault="00FE7970" w:rsidP="00FE7970">
      <w:pPr>
        <w:rPr>
          <w:noProof/>
        </w:rPr>
      </w:pPr>
      <w:r w:rsidRPr="00AD21FF">
        <w:rPr>
          <w:noProof/>
        </w:rPr>
        <w:t xml:space="preserve">This proposal delivers on the political commitment made by President von der Leyen, who announced in the 2025 State of the Union Address an </w:t>
      </w:r>
      <w:r w:rsidRPr="00AD21FF">
        <w:rPr>
          <w:b/>
          <w:noProof/>
        </w:rPr>
        <w:t>Industrial Accelerator Act (IAA</w:t>
      </w:r>
      <w:r w:rsidRPr="00AD21FF">
        <w:rPr>
          <w:noProof/>
        </w:rPr>
        <w:t>) to boost demand for clean and Made in EU products in strategic sectors and technologies.</w:t>
      </w:r>
      <w:r w:rsidRPr="00AD21FF" w:rsidDel="00CE7829">
        <w:rPr>
          <w:noProof/>
        </w:rPr>
        <w:t xml:space="preserve"> </w:t>
      </w:r>
      <w:r w:rsidRPr="00AD21FF">
        <w:rPr>
          <w:noProof/>
        </w:rPr>
        <w:t xml:space="preserve">It is also announced in the European Economic Strategy Communication of 3 December 2025. </w:t>
      </w:r>
    </w:p>
    <w:p w14:paraId="02B6C210" w14:textId="77777777" w:rsidR="00FE7970" w:rsidRPr="00AD21FF" w:rsidRDefault="00FE7970" w:rsidP="00FE7970">
      <w:pPr>
        <w:rPr>
          <w:noProof/>
        </w:rPr>
      </w:pPr>
      <w:r w:rsidRPr="00AD21FF">
        <w:rPr>
          <w:noProof/>
        </w:rPr>
        <w:t xml:space="preserve">The legislative proposal aims to strengthen the EU’s long-term economic resilience, prosperity and strategic autonomy by supporting industrial production and accelerating decarbonisation. It has the following objectives: </w:t>
      </w:r>
    </w:p>
    <w:p w14:paraId="383F8128" w14:textId="77777777" w:rsidR="00FE7970" w:rsidRPr="00AD21FF" w:rsidRDefault="00FE7970" w:rsidP="001B0BEE">
      <w:pPr>
        <w:pStyle w:val="Bullet0"/>
        <w:numPr>
          <w:ilvl w:val="0"/>
          <w:numId w:val="17"/>
        </w:numPr>
        <w:rPr>
          <w:b/>
          <w:noProof/>
        </w:rPr>
      </w:pPr>
      <w:r w:rsidRPr="00AD21FF">
        <w:rPr>
          <w:noProof/>
        </w:rPr>
        <w:t>Leverage access to and the scale of the Single Market to boost demand for European low-carbon industrial products and net-zero technologies, including by facilitating differentiation for low-carbon steel to increase its value and marketability.</w:t>
      </w:r>
    </w:p>
    <w:p w14:paraId="774AAEDA" w14:textId="77777777" w:rsidR="00FE7970" w:rsidRPr="00AD21FF" w:rsidRDefault="00FE7970" w:rsidP="00FE7970">
      <w:pPr>
        <w:pStyle w:val="Bullet0"/>
        <w:rPr>
          <w:noProof/>
        </w:rPr>
      </w:pPr>
      <w:r w:rsidRPr="00AD21FF">
        <w:rPr>
          <w:noProof/>
        </w:rPr>
        <w:t xml:space="preserve">Maximise the quality and benefits for the Single Market of foreign investment in the EU in the most strategic sectors. </w:t>
      </w:r>
    </w:p>
    <w:p w14:paraId="0722D171" w14:textId="77777777" w:rsidR="00FE7970" w:rsidRPr="00AD21FF" w:rsidRDefault="00FE7970" w:rsidP="00FE7970">
      <w:pPr>
        <w:pStyle w:val="Bullet0"/>
        <w:rPr>
          <w:b/>
          <w:noProof/>
        </w:rPr>
      </w:pPr>
      <w:r w:rsidRPr="00AD21FF">
        <w:rPr>
          <w:noProof/>
        </w:rPr>
        <w:t xml:space="preserve">Deploy manufacturing projects at scale by speeding-up and simplifying permits for manufacturing projects, as well as by facilitating the development of industrial clusters in </w:t>
      </w:r>
      <w:r w:rsidR="00055878">
        <w:rPr>
          <w:noProof/>
        </w:rPr>
        <w:t>industrial manufacturing acceleration areas</w:t>
      </w:r>
      <w:r w:rsidRPr="00AD21FF">
        <w:rPr>
          <w:noProof/>
        </w:rPr>
        <w:t xml:space="preserve"> (‘acceleration areas’).</w:t>
      </w:r>
    </w:p>
    <w:p w14:paraId="5DC9936C" w14:textId="77777777" w:rsidR="00FE7970" w:rsidRPr="00AD21FF" w:rsidRDefault="00FE7970" w:rsidP="00FE7970">
      <w:pPr>
        <w:rPr>
          <w:noProof/>
        </w:rPr>
      </w:pPr>
      <w:r w:rsidRPr="00AD21FF">
        <w:rPr>
          <w:noProof/>
        </w:rPr>
        <w:t>To achieve these objectives, the proposal</w:t>
      </w:r>
      <w:r w:rsidRPr="00AD21FF" w:rsidDel="00B00FBC">
        <w:rPr>
          <w:noProof/>
        </w:rPr>
        <w:t xml:space="preserve"> </w:t>
      </w:r>
      <w:r w:rsidRPr="00AD21FF">
        <w:rPr>
          <w:noProof/>
        </w:rPr>
        <w:t xml:space="preserve">introduces a balanced regulatory approach to enhance the competitiveness of the industry and mitigate, as well as prevent, strategic dependencies in key sectors. It is limited to the set of minimum requirements necessary to address the problems currently faced by a </w:t>
      </w:r>
      <w:r w:rsidR="00DE1D71">
        <w:rPr>
          <w:noProof/>
        </w:rPr>
        <w:t>selected</w:t>
      </w:r>
      <w:r w:rsidR="00DE1D71" w:rsidRPr="00AD21FF">
        <w:rPr>
          <w:noProof/>
        </w:rPr>
        <w:t xml:space="preserve"> </w:t>
      </w:r>
      <w:r w:rsidRPr="00AD21FF">
        <w:rPr>
          <w:noProof/>
        </w:rPr>
        <w:t xml:space="preserve">number of strategic sectors, without unduly constraining the market and technological development or disproportionately increasing the cost of specific materials and products. Moreover, the proposal sets a framework to streamline permitting procedures and promote a coordinated approach to investment projects across the Union. </w:t>
      </w:r>
    </w:p>
    <w:p w14:paraId="192978FE" w14:textId="77777777" w:rsidR="00440ED7" w:rsidRPr="00AD21FF" w:rsidRDefault="00440ED7">
      <w:pPr>
        <w:pStyle w:val="ManualHeading2"/>
        <w:rPr>
          <w:rFonts w:eastAsia="Arial Unicode MS"/>
          <w:noProof/>
        </w:rPr>
      </w:pPr>
      <w:r w:rsidRPr="00AD21FF">
        <w:rPr>
          <w:rFonts w:eastAsia="Arial Unicode MS"/>
          <w:noProof/>
          <w:color w:val="000000"/>
          <w:u w:color="000000"/>
          <w:bdr w:val="nil"/>
          <w:lang w:val="en-US" w:eastAsia="en-GB"/>
        </w:rPr>
        <w:t>•</w:t>
      </w:r>
      <w:r w:rsidRPr="00AD21FF">
        <w:rPr>
          <w:rFonts w:eastAsia="Arial Unicode MS"/>
          <w:noProof/>
          <w:color w:val="000000"/>
          <w:u w:color="000000"/>
          <w:bdr w:val="nil"/>
          <w:lang w:val="en-US" w:eastAsia="en-GB"/>
        </w:rPr>
        <w:tab/>
      </w:r>
      <w:r w:rsidRPr="00AD21FF">
        <w:rPr>
          <w:rFonts w:eastAsia="Arial Unicode MS"/>
          <w:noProof/>
        </w:rPr>
        <w:t>Consistency with existing policy provisions in the policy area</w:t>
      </w:r>
    </w:p>
    <w:p w14:paraId="67136B2F" w14:textId="77777777" w:rsidR="006F68D9" w:rsidRDefault="00FE7970" w:rsidP="00FE7970">
      <w:pPr>
        <w:rPr>
          <w:noProof/>
        </w:rPr>
      </w:pPr>
      <w:r w:rsidRPr="00AD21FF">
        <w:rPr>
          <w:noProof/>
        </w:rPr>
        <w:t>The proposal responds to the Clean Industrial Deal, the ‘Competitiveness Compass for the EU’ and the Joint Communication on Strengthening EU Economic Security, all of which acknowledge the need for urgent action to safeguard the EU’s future as an economic powerhouse, an investment destination and a manufacturing centre. It</w:t>
      </w:r>
      <w:r w:rsidRPr="00AD21FF" w:rsidDel="0070635C">
        <w:rPr>
          <w:noProof/>
        </w:rPr>
        <w:t xml:space="preserve"> </w:t>
      </w:r>
      <w:r w:rsidRPr="00AD21FF">
        <w:rPr>
          <w:noProof/>
        </w:rPr>
        <w:t xml:space="preserve">delivers on the Automotive Action Plan, which states that public support benefiting the automotive industry will be made conditional on resilience and sustainability criteria and calls on the Industrial Accelerator Act to promote Made in EU requirements on battery cells and components in EVs sold in the EU, in line with the Union’s international commitments. </w:t>
      </w:r>
    </w:p>
    <w:p w14:paraId="6F03CBC7" w14:textId="77777777" w:rsidR="00C872C3" w:rsidRDefault="00D47F72" w:rsidP="00C872C3">
      <w:pPr>
        <w:rPr>
          <w:noProof/>
          <w:lang w:val="en-IE"/>
        </w:rPr>
      </w:pPr>
      <w:r w:rsidRPr="00D47F72">
        <w:rPr>
          <w:noProof/>
        </w:rPr>
        <w:t xml:space="preserve">It also delivers on the </w:t>
      </w:r>
      <w:r>
        <w:rPr>
          <w:noProof/>
        </w:rPr>
        <w:t>A</w:t>
      </w:r>
      <w:r w:rsidRPr="00D47F72">
        <w:rPr>
          <w:noProof/>
        </w:rPr>
        <w:t xml:space="preserve">utomotive package, adopted on 16 December 2025, which, </w:t>
      </w:r>
      <w:r w:rsidRPr="00D47F72">
        <w:rPr>
          <w:i/>
          <w:noProof/>
        </w:rPr>
        <w:t>inter alia</w:t>
      </w:r>
      <w:r w:rsidRPr="00D47F72">
        <w:rPr>
          <w:noProof/>
        </w:rPr>
        <w:t xml:space="preserve">, provides for the granting of super-credits for small affordable electric vehicles made in the Union prior to 2035 and </w:t>
      </w:r>
      <w:r w:rsidR="00862074">
        <w:rPr>
          <w:noProof/>
        </w:rPr>
        <w:t>amends the</w:t>
      </w:r>
      <w:r w:rsidRPr="00D47F72">
        <w:rPr>
          <w:noProof/>
        </w:rPr>
        <w:t xml:space="preserve"> 2035 emissions reduction target, with the remaining emissions to be compensated through the use of low-carbon steel made in the Union or renewable and low-carbon fuels.</w:t>
      </w:r>
      <w:r w:rsidR="00F45BB7">
        <w:rPr>
          <w:noProof/>
        </w:rPr>
        <w:t xml:space="preserve"> This proposal</w:t>
      </w:r>
      <w:r w:rsidR="008B1393">
        <w:rPr>
          <w:rStyle w:val="FootnoteReference"/>
          <w:noProof/>
        </w:rPr>
        <w:footnoteReference w:id="16"/>
      </w:r>
      <w:r w:rsidR="00D10609">
        <w:rPr>
          <w:noProof/>
        </w:rPr>
        <w:t>,</w:t>
      </w:r>
      <w:r w:rsidR="00F45BB7">
        <w:rPr>
          <w:noProof/>
        </w:rPr>
        <w:t xml:space="preserve"> which amends </w:t>
      </w:r>
      <w:r w:rsidR="00A027C1">
        <w:rPr>
          <w:noProof/>
        </w:rPr>
        <w:t xml:space="preserve">Regulation </w:t>
      </w:r>
      <w:r w:rsidR="00D10609">
        <w:rPr>
          <w:noProof/>
        </w:rPr>
        <w:t>(</w:t>
      </w:r>
      <w:r w:rsidR="00A027C1">
        <w:rPr>
          <w:noProof/>
        </w:rPr>
        <w:t xml:space="preserve">EU) 2019/631, </w:t>
      </w:r>
      <w:r w:rsidR="00C872C3" w:rsidRPr="00C872C3">
        <w:rPr>
          <w:noProof/>
          <w:lang w:val="en-IE"/>
        </w:rPr>
        <w:t xml:space="preserve">empowers the Commission </w:t>
      </w:r>
      <w:r w:rsidR="00862074">
        <w:rPr>
          <w:noProof/>
          <w:lang w:val="en-IE"/>
        </w:rPr>
        <w:t xml:space="preserve">to adopt delegated </w:t>
      </w:r>
      <w:r w:rsidR="00C872C3" w:rsidRPr="00C872C3">
        <w:rPr>
          <w:noProof/>
          <w:lang w:val="en-IE"/>
        </w:rPr>
        <w:t>lay</w:t>
      </w:r>
      <w:r w:rsidR="00862074">
        <w:rPr>
          <w:noProof/>
          <w:lang w:val="en-IE"/>
        </w:rPr>
        <w:t>ing</w:t>
      </w:r>
      <w:r w:rsidR="00C872C3" w:rsidRPr="00C872C3">
        <w:rPr>
          <w:noProof/>
          <w:lang w:val="en-IE"/>
        </w:rPr>
        <w:t xml:space="preserve"> down the criteria under which products within its scope may qualify as ‘small zero-emission vehicles</w:t>
      </w:r>
      <w:r w:rsidR="00C872C3">
        <w:rPr>
          <w:noProof/>
          <w:lang w:val="en-IE"/>
        </w:rPr>
        <w:t xml:space="preserve"> </w:t>
      </w:r>
      <w:r w:rsidR="00C872C3" w:rsidRPr="00C872C3">
        <w:rPr>
          <w:noProof/>
          <w:lang w:val="en-IE"/>
        </w:rPr>
        <w:t>made in the Union’</w:t>
      </w:r>
      <w:r w:rsidR="00862074">
        <w:rPr>
          <w:noProof/>
          <w:lang w:val="en-IE"/>
        </w:rPr>
        <w:t xml:space="preserve"> or</w:t>
      </w:r>
      <w:r w:rsidR="00C872C3" w:rsidRPr="00C872C3">
        <w:rPr>
          <w:noProof/>
          <w:lang w:val="en-IE"/>
        </w:rPr>
        <w:t xml:space="preserve"> ‘low-carbon steel made in the Union’. </w:t>
      </w:r>
      <w:r w:rsidR="008B1393">
        <w:rPr>
          <w:noProof/>
          <w:lang w:val="en-IE"/>
        </w:rPr>
        <w:t xml:space="preserve">The </w:t>
      </w:r>
      <w:r>
        <w:rPr>
          <w:noProof/>
          <w:lang w:val="en-IE"/>
        </w:rPr>
        <w:t>A</w:t>
      </w:r>
      <w:r w:rsidR="008B1393">
        <w:rPr>
          <w:noProof/>
          <w:lang w:val="en-IE"/>
        </w:rPr>
        <w:t>utomotive package also includes a proposal for a Regulation</w:t>
      </w:r>
      <w:r w:rsidR="004B765D">
        <w:rPr>
          <w:noProof/>
          <w:lang w:val="en-IE"/>
        </w:rPr>
        <w:t xml:space="preserve"> on clean corporate vehicles</w:t>
      </w:r>
      <w:r w:rsidR="00520353">
        <w:rPr>
          <w:rStyle w:val="FootnoteReference"/>
          <w:noProof/>
          <w:lang w:val="en-IE"/>
        </w:rPr>
        <w:footnoteReference w:id="17"/>
      </w:r>
      <w:r w:rsidR="00F13287">
        <w:rPr>
          <w:noProof/>
          <w:lang w:val="en-IE"/>
        </w:rPr>
        <w:t>. This proposal</w:t>
      </w:r>
      <w:r w:rsidR="004B765D">
        <w:rPr>
          <w:noProof/>
          <w:lang w:val="en-IE"/>
        </w:rPr>
        <w:t xml:space="preserve"> </w:t>
      </w:r>
      <w:r>
        <w:rPr>
          <w:noProof/>
          <w:lang w:val="en-IE"/>
        </w:rPr>
        <w:t>limits</w:t>
      </w:r>
      <w:r w:rsidR="00D00B37" w:rsidRPr="00D00B37">
        <w:rPr>
          <w:noProof/>
        </w:rPr>
        <w:t xml:space="preserve"> financial support for </w:t>
      </w:r>
      <w:r>
        <w:rPr>
          <w:noProof/>
        </w:rPr>
        <w:t xml:space="preserve">corporate vehicles to </w:t>
      </w:r>
      <w:r w:rsidR="00D00B37" w:rsidRPr="00D00B37">
        <w:rPr>
          <w:noProof/>
        </w:rPr>
        <w:t xml:space="preserve">zero- and low-emissions corporate vehicles and empowers the Commission to adopt delegated acts </w:t>
      </w:r>
      <w:r w:rsidR="00702392">
        <w:rPr>
          <w:noProof/>
        </w:rPr>
        <w:t>sett</w:t>
      </w:r>
      <w:r w:rsidR="0009042B">
        <w:rPr>
          <w:noProof/>
        </w:rPr>
        <w:t>ing out the</w:t>
      </w:r>
      <w:r w:rsidR="00D00B37" w:rsidRPr="00D00B37">
        <w:rPr>
          <w:noProof/>
        </w:rPr>
        <w:t xml:space="preserve"> methodology for determining the criteria for ’made in the European Union’</w:t>
      </w:r>
      <w:r w:rsidR="00D00B37">
        <w:rPr>
          <w:noProof/>
        </w:rPr>
        <w:t>.</w:t>
      </w:r>
      <w:r w:rsidR="00D00B37">
        <w:rPr>
          <w:noProof/>
          <w:lang w:val="en-IE"/>
        </w:rPr>
        <w:t xml:space="preserve"> </w:t>
      </w:r>
      <w:r w:rsidR="00C872C3" w:rsidRPr="00C872C3">
        <w:rPr>
          <w:noProof/>
          <w:lang w:val="en-IE"/>
        </w:rPr>
        <w:t xml:space="preserve">To ensure coherence across the </w:t>
      </w:r>
      <w:r w:rsidR="00D00B37">
        <w:rPr>
          <w:noProof/>
          <w:lang w:val="en-IE"/>
        </w:rPr>
        <w:t>three</w:t>
      </w:r>
      <w:r w:rsidR="00D00B37" w:rsidRPr="00C872C3">
        <w:rPr>
          <w:noProof/>
          <w:lang w:val="en-IE"/>
        </w:rPr>
        <w:t xml:space="preserve"> </w:t>
      </w:r>
      <w:r w:rsidR="00C872C3" w:rsidRPr="00C872C3">
        <w:rPr>
          <w:noProof/>
          <w:lang w:val="en-IE"/>
        </w:rPr>
        <w:t>instruments</w:t>
      </w:r>
      <w:r w:rsidR="00862074" w:rsidRPr="00862074">
        <w:rPr>
          <w:noProof/>
          <w:lang w:val="en-IE"/>
        </w:rPr>
        <w:t xml:space="preserve"> </w:t>
      </w:r>
      <w:r w:rsidR="00862074" w:rsidRPr="00C872C3">
        <w:rPr>
          <w:noProof/>
          <w:lang w:val="en-IE"/>
        </w:rPr>
        <w:t>and legal certainty</w:t>
      </w:r>
      <w:r w:rsidR="00C872C3" w:rsidRPr="00C872C3">
        <w:rPr>
          <w:noProof/>
          <w:lang w:val="en-IE"/>
        </w:rPr>
        <w:t>, this Regulation provides harmonised definitions of ‘small affordable electric vehicles made in the Union’ ‘low-carbon steel made in the Union’</w:t>
      </w:r>
      <w:r w:rsidR="00D00B37">
        <w:rPr>
          <w:noProof/>
          <w:lang w:val="en-IE"/>
        </w:rPr>
        <w:t xml:space="preserve"> and </w:t>
      </w:r>
      <w:r w:rsidR="00B2540C">
        <w:rPr>
          <w:noProof/>
          <w:lang w:val="en-IE"/>
        </w:rPr>
        <w:t>‘corporate cars and vans made in the European Union’</w:t>
      </w:r>
      <w:r w:rsidR="00C872C3" w:rsidRPr="00C872C3">
        <w:rPr>
          <w:noProof/>
          <w:lang w:val="en-IE"/>
        </w:rPr>
        <w:t>.</w:t>
      </w:r>
      <w:r w:rsidR="00C872C3">
        <w:rPr>
          <w:noProof/>
          <w:lang w:val="en-IE"/>
        </w:rPr>
        <w:t xml:space="preserve"> </w:t>
      </w:r>
      <w:r w:rsidR="00C872C3" w:rsidRPr="00C872C3">
        <w:rPr>
          <w:noProof/>
          <w:lang w:val="en-IE"/>
        </w:rPr>
        <w:t>Accordingly, the proposal</w:t>
      </w:r>
      <w:r w:rsidR="0009042B">
        <w:rPr>
          <w:noProof/>
          <w:lang w:val="en-IE"/>
        </w:rPr>
        <w:t>s</w:t>
      </w:r>
      <w:r w:rsidR="00C872C3" w:rsidRPr="00C872C3">
        <w:rPr>
          <w:noProof/>
          <w:lang w:val="en-IE"/>
        </w:rPr>
        <w:t xml:space="preserve"> of 16 December </w:t>
      </w:r>
      <w:r w:rsidR="00862074">
        <w:rPr>
          <w:noProof/>
          <w:lang w:val="en-IE"/>
        </w:rPr>
        <w:t xml:space="preserve">2025 </w:t>
      </w:r>
      <w:r w:rsidR="00C872C3" w:rsidRPr="00C872C3">
        <w:rPr>
          <w:noProof/>
          <w:lang w:val="en-IE"/>
        </w:rPr>
        <w:t xml:space="preserve">should be </w:t>
      </w:r>
      <w:r w:rsidR="00605B5F">
        <w:rPr>
          <w:noProof/>
          <w:lang w:val="en-IE"/>
        </w:rPr>
        <w:t>adapted</w:t>
      </w:r>
      <w:r w:rsidR="00C872C3" w:rsidRPr="00C872C3">
        <w:rPr>
          <w:noProof/>
          <w:lang w:val="en-IE"/>
        </w:rPr>
        <w:t xml:space="preserve"> to refer to </w:t>
      </w:r>
      <w:r w:rsidR="00C872C3" w:rsidRPr="00EE54C7">
        <w:rPr>
          <w:noProof/>
          <w:lang w:val="en-IE"/>
        </w:rPr>
        <w:t>the</w:t>
      </w:r>
      <w:r w:rsidR="00997727" w:rsidRPr="00EE54C7">
        <w:rPr>
          <w:noProof/>
          <w:lang w:val="en-IE"/>
        </w:rPr>
        <w:t xml:space="preserve"> horizontal approach</w:t>
      </w:r>
      <w:r w:rsidR="00997727">
        <w:rPr>
          <w:noProof/>
          <w:lang w:val="en-IE"/>
        </w:rPr>
        <w:t xml:space="preserve"> adopted </w:t>
      </w:r>
      <w:r w:rsidR="00862074">
        <w:rPr>
          <w:noProof/>
          <w:lang w:val="en-IE"/>
        </w:rPr>
        <w:t>in</w:t>
      </w:r>
      <w:r w:rsidR="00997727">
        <w:rPr>
          <w:noProof/>
          <w:lang w:val="en-IE"/>
        </w:rPr>
        <w:t xml:space="preserve"> this Regulation</w:t>
      </w:r>
      <w:r w:rsidR="00C872C3" w:rsidRPr="00C872C3">
        <w:rPr>
          <w:noProof/>
          <w:lang w:val="en-IE"/>
        </w:rPr>
        <w:t>, rather than to delegated acts, in order to ensure consistency of the legal framework.</w:t>
      </w:r>
    </w:p>
    <w:p w14:paraId="7FAD8C19" w14:textId="77777777" w:rsidR="002F4157" w:rsidRPr="00387240" w:rsidRDefault="00387240" w:rsidP="00FE7970">
      <w:pPr>
        <w:rPr>
          <w:noProof/>
          <w:highlight w:val="yellow"/>
        </w:rPr>
      </w:pPr>
      <w:r w:rsidRPr="00387240">
        <w:rPr>
          <w:noProof/>
        </w:rPr>
        <w:t>This Regulation is consistent with the Union Customs Code, which lays down the Union’s non-preferential rules of origin. For the purpose</w:t>
      </w:r>
      <w:r w:rsidR="00856011">
        <w:rPr>
          <w:noProof/>
        </w:rPr>
        <w:t>s</w:t>
      </w:r>
      <w:r w:rsidRPr="00387240">
        <w:rPr>
          <w:noProof/>
        </w:rPr>
        <w:t xml:space="preserve"> of determining the origin of products covered by this Regulation, the Union’s non-preferential rules of origin, as established under that Code, apply.</w:t>
      </w:r>
    </w:p>
    <w:p w14:paraId="3FE49032" w14:textId="77777777" w:rsidR="00440ED7" w:rsidRPr="00AD21FF" w:rsidRDefault="00440ED7">
      <w:pPr>
        <w:pStyle w:val="ManualHeading2"/>
        <w:rPr>
          <w:rFonts w:eastAsia="Arial Unicode MS"/>
          <w:noProof/>
        </w:rPr>
      </w:pPr>
      <w:r w:rsidRPr="00AD21FF">
        <w:rPr>
          <w:rFonts w:eastAsia="Arial Unicode MS"/>
          <w:noProof/>
          <w:color w:val="000000"/>
          <w:u w:color="000000"/>
          <w:bdr w:val="nil"/>
          <w:lang w:val="en-US" w:eastAsia="en-GB"/>
        </w:rPr>
        <w:t>•</w:t>
      </w:r>
      <w:r w:rsidRPr="00AD21FF">
        <w:rPr>
          <w:rFonts w:eastAsia="Arial Unicode MS"/>
          <w:noProof/>
          <w:color w:val="000000"/>
          <w:u w:color="000000"/>
          <w:bdr w:val="nil"/>
          <w:lang w:val="en-US" w:eastAsia="en-GB"/>
        </w:rPr>
        <w:tab/>
      </w:r>
      <w:r w:rsidRPr="00AD21FF">
        <w:rPr>
          <w:rFonts w:eastAsia="Arial Unicode MS"/>
          <w:noProof/>
        </w:rPr>
        <w:t>Consistency with other Union policies</w:t>
      </w:r>
    </w:p>
    <w:p w14:paraId="3E7CA468" w14:textId="77777777" w:rsidR="00FE7970" w:rsidRPr="00AD21FF" w:rsidRDefault="00FE7970" w:rsidP="00FE7970">
      <w:pPr>
        <w:rPr>
          <w:noProof/>
        </w:rPr>
      </w:pPr>
      <w:r w:rsidRPr="00AD21FF">
        <w:rPr>
          <w:noProof/>
        </w:rPr>
        <w:t xml:space="preserve">The IAA </w:t>
      </w:r>
      <w:r w:rsidR="00AA01AA">
        <w:rPr>
          <w:noProof/>
        </w:rPr>
        <w:t>contributes to</w:t>
      </w:r>
      <w:r w:rsidRPr="00AD21FF">
        <w:rPr>
          <w:noProof/>
        </w:rPr>
        <w:t xml:space="preserve"> the legislation relevant for EU economic security, industrial competitiveness and decarbonisation. Given the role of energy</w:t>
      </w:r>
      <w:r w:rsidR="008A6FDA">
        <w:rPr>
          <w:noProof/>
        </w:rPr>
        <w:t>-</w:t>
      </w:r>
      <w:r w:rsidRPr="00AD21FF">
        <w:rPr>
          <w:noProof/>
        </w:rPr>
        <w:t>intensive</w:t>
      </w:r>
      <w:r w:rsidR="008A6FDA">
        <w:rPr>
          <w:noProof/>
        </w:rPr>
        <w:t xml:space="preserve"> </w:t>
      </w:r>
      <w:r w:rsidRPr="00AD21FF">
        <w:rPr>
          <w:noProof/>
        </w:rPr>
        <w:t>industries and net-zero technologies in many sectors of the economy and industrial value chains, several sets of European policies and legislation are relevant.</w:t>
      </w:r>
    </w:p>
    <w:p w14:paraId="4EBC063E" w14:textId="77777777" w:rsidR="00FE7970" w:rsidRPr="00AD21FF" w:rsidRDefault="00FE7970" w:rsidP="00FE7970">
      <w:pPr>
        <w:rPr>
          <w:noProof/>
        </w:rPr>
      </w:pPr>
      <w:r w:rsidRPr="00AD21FF">
        <w:rPr>
          <w:noProof/>
        </w:rPr>
        <w:t>First, the IAA is consistent with and complements the Net Zero Industry Act (NZIA) by extending streamlined permitting provisions, such as single points of contact and time limits to all energy</w:t>
      </w:r>
      <w:r w:rsidR="00862074">
        <w:rPr>
          <w:noProof/>
        </w:rPr>
        <w:t>-</w:t>
      </w:r>
      <w:r w:rsidRPr="00AD21FF">
        <w:rPr>
          <w:noProof/>
        </w:rPr>
        <w:t>intensive industrial decarbonisation projects, and by introducing Made in EU requirements for some specific net-zero technologies components, in order to prevent circumvention, further build EU manufacturing capacity as well as resilient and competitive domestic value chains.</w:t>
      </w:r>
    </w:p>
    <w:p w14:paraId="1E4857E9" w14:textId="77777777" w:rsidR="00FE7970" w:rsidRPr="00AD21FF" w:rsidRDefault="00FE7970" w:rsidP="00FE7970">
      <w:pPr>
        <w:rPr>
          <w:noProof/>
        </w:rPr>
      </w:pPr>
      <w:r w:rsidRPr="00AD21FF">
        <w:rPr>
          <w:noProof/>
        </w:rPr>
        <w:t>Second, the proposal is consistent with the European Climate Law, as it aims to contribute to achieving the climate neutrality goal by supporting investments in the decarbonisation of industry and in net-zero technologies.</w:t>
      </w:r>
    </w:p>
    <w:p w14:paraId="586141E3" w14:textId="77777777" w:rsidR="00FE7970" w:rsidRPr="00AD21FF" w:rsidRDefault="00FE7970" w:rsidP="00FE7970">
      <w:pPr>
        <w:rPr>
          <w:rFonts w:eastAsia="Times New Roman"/>
          <w:noProof/>
        </w:rPr>
      </w:pPr>
      <w:r w:rsidRPr="00AD21FF">
        <w:rPr>
          <w:noProof/>
        </w:rPr>
        <w:t xml:space="preserve">Third, the proposal is consistent with the most recent initiatives to streamline permitting procedures and enhance the competitiveness of the automotive sector. In particular, the IAA aims to streamline key permitting processes, notably through digitalisation and the reuse of data. It builds on the menu of measures made available under the Environmental Permitting proposal, applying it to the specific needs of the sector. </w:t>
      </w:r>
    </w:p>
    <w:p w14:paraId="26297CCE" w14:textId="77777777" w:rsidR="00BF3A9F" w:rsidRDefault="00FE7970" w:rsidP="00FE7970">
      <w:pPr>
        <w:rPr>
          <w:noProof/>
        </w:rPr>
      </w:pPr>
      <w:r w:rsidRPr="00AD21FF">
        <w:rPr>
          <w:noProof/>
        </w:rPr>
        <w:t xml:space="preserve">The </w:t>
      </w:r>
      <w:r w:rsidR="008D0473">
        <w:rPr>
          <w:noProof/>
        </w:rPr>
        <w:t>proposal</w:t>
      </w:r>
      <w:r w:rsidRPr="00AD21FF">
        <w:rPr>
          <w:noProof/>
        </w:rPr>
        <w:t xml:space="preserve"> is also consistent with </w:t>
      </w:r>
      <w:r w:rsidR="008D0473">
        <w:rPr>
          <w:noProof/>
        </w:rPr>
        <w:t xml:space="preserve">other EU legislation aimed at supporting the transformation of the European </w:t>
      </w:r>
      <w:r w:rsidR="00ED5040">
        <w:rPr>
          <w:noProof/>
        </w:rPr>
        <w:t>i</w:t>
      </w:r>
      <w:r w:rsidR="008D0473">
        <w:rPr>
          <w:noProof/>
        </w:rPr>
        <w:t xml:space="preserve">ndustry to a clean, circular and </w:t>
      </w:r>
      <w:r w:rsidR="00DE1D71">
        <w:rPr>
          <w:noProof/>
        </w:rPr>
        <w:t>climate</w:t>
      </w:r>
      <w:r w:rsidR="008D0473">
        <w:rPr>
          <w:noProof/>
        </w:rPr>
        <w:t xml:space="preserve"> neutral economy.</w:t>
      </w:r>
      <w:r w:rsidR="00E57238">
        <w:rPr>
          <w:noProof/>
        </w:rPr>
        <w:t xml:space="preserve"> For example,</w:t>
      </w:r>
      <w:r w:rsidR="008D0473">
        <w:rPr>
          <w:noProof/>
        </w:rPr>
        <w:t xml:space="preserve"> </w:t>
      </w:r>
      <w:r w:rsidR="00E57238">
        <w:rPr>
          <w:noProof/>
        </w:rPr>
        <w:t>t</w:t>
      </w:r>
      <w:r w:rsidRPr="00AD21FF">
        <w:rPr>
          <w:noProof/>
        </w:rPr>
        <w:t xml:space="preserve">he IAA is consistent with and complements forthcoming product-specific environmental legislation. In the construction sector, </w:t>
      </w:r>
      <w:r w:rsidR="203B75C9">
        <w:rPr>
          <w:noProof/>
        </w:rPr>
        <w:t>it complements</w:t>
      </w:r>
      <w:r w:rsidRPr="00AD21FF">
        <w:rPr>
          <w:noProof/>
        </w:rPr>
        <w:t xml:space="preserve"> the Construction Products Regulation (CPR), including the harmonised standard for GHG emissions and the planned low-carbon concrete label</w:t>
      </w:r>
      <w:r w:rsidR="002426B2">
        <w:rPr>
          <w:noProof/>
        </w:rPr>
        <w:t>.</w:t>
      </w:r>
      <w:r w:rsidR="00862074">
        <w:rPr>
          <w:noProof/>
        </w:rPr>
        <w:t xml:space="preserve"> </w:t>
      </w:r>
      <w:r w:rsidRPr="00AD21FF">
        <w:rPr>
          <w:noProof/>
        </w:rPr>
        <w:t xml:space="preserve">In the steel sector, the forthcoming delegated act on steel </w:t>
      </w:r>
      <w:r w:rsidR="007252DC">
        <w:rPr>
          <w:noProof/>
        </w:rPr>
        <w:t xml:space="preserve">products </w:t>
      </w:r>
      <w:r w:rsidRPr="00AD21FF">
        <w:rPr>
          <w:noProof/>
        </w:rPr>
        <w:t xml:space="preserve">under the Ecodesign for Sustainable Products Regulation (ESPR) will </w:t>
      </w:r>
      <w:r w:rsidR="00481FC1">
        <w:rPr>
          <w:noProof/>
        </w:rPr>
        <w:t>provide the necessary elements to implement the lead market provisions for steel taking into account the differing decarbonisation characteristics of primary and secondary steel producers and rewarding circularity. In designing labelling and information requirements based on performance thresholds</w:t>
      </w:r>
      <w:r w:rsidR="00862074">
        <w:rPr>
          <w:noProof/>
        </w:rPr>
        <w:t xml:space="preserve"> for different products</w:t>
      </w:r>
      <w:r w:rsidR="00481FC1">
        <w:rPr>
          <w:noProof/>
        </w:rPr>
        <w:t>, such thresholds should take account of the recycled content of the industrial product, the threshold decreasing with the increase of recycled content in the products</w:t>
      </w:r>
      <w:r w:rsidR="00862074">
        <w:rPr>
          <w:noProof/>
        </w:rPr>
        <w:t>, where relevant</w:t>
      </w:r>
      <w:r w:rsidR="00481FC1">
        <w:rPr>
          <w:noProof/>
        </w:rPr>
        <w:t>.</w:t>
      </w:r>
      <w:r w:rsidR="00481FC1" w:rsidRPr="004B3F99">
        <w:rPr>
          <w:noProof/>
        </w:rPr>
        <w:t xml:space="preserve"> </w:t>
      </w:r>
      <w:r w:rsidRPr="00AD21FF">
        <w:rPr>
          <w:noProof/>
        </w:rPr>
        <w:t xml:space="preserve">Similarly, the IAA complements the Batteries Regulation, which sets the framework for environmental ambition for EU battery manufacturing, allowing lead market provisions under the Accelerator Act to focus on Made in EU requirements. </w:t>
      </w:r>
      <w:r w:rsidR="00FA7D73">
        <w:rPr>
          <w:noProof/>
        </w:rPr>
        <w:t>I</w:t>
      </w:r>
      <w:r w:rsidRPr="00AD21FF">
        <w:rPr>
          <w:noProof/>
        </w:rPr>
        <w:t>t complements the upcoming environmental performance rules for PV modules under the Ecodesign and Energy Labelling by promoting EU manufacturing of compliant products.</w:t>
      </w:r>
      <w:r w:rsidR="00C74CFF">
        <w:rPr>
          <w:noProof/>
        </w:rPr>
        <w:t xml:space="preserve"> </w:t>
      </w:r>
      <w:r w:rsidR="00C74CFF" w:rsidRPr="00DE1D71">
        <w:rPr>
          <w:noProof/>
        </w:rPr>
        <w:t>In terms of boosting low-carbon and bio-based solutions it aligns with the new EU Bioeconomy Strategy.</w:t>
      </w:r>
    </w:p>
    <w:p w14:paraId="20A5AE6C" w14:textId="77777777" w:rsidR="00FE7970" w:rsidRPr="00AD21FF" w:rsidRDefault="00FE7970" w:rsidP="00FE7970">
      <w:pPr>
        <w:rPr>
          <w:noProof/>
        </w:rPr>
      </w:pPr>
      <w:r w:rsidRPr="00AD21FF">
        <w:rPr>
          <w:noProof/>
        </w:rPr>
        <w:t>The proposal is also consistent with the rest of the EU climate legislation. The EU Emission Trading System (EU ETS) is the main climate policy instrument to reduce GHG emissions and plays a central role in incentivising emission reductions in energy</w:t>
      </w:r>
      <w:r w:rsidR="008A6FDA">
        <w:rPr>
          <w:noProof/>
        </w:rPr>
        <w:t>-</w:t>
      </w:r>
      <w:r w:rsidRPr="00AD21FF">
        <w:rPr>
          <w:noProof/>
        </w:rPr>
        <w:t>intensive industries as well as power generation. This proposal complements the price signal provided by the EU ETS, supporting the creation of lead markets for low</w:t>
      </w:r>
      <w:r w:rsidR="007F4816">
        <w:rPr>
          <w:noProof/>
        </w:rPr>
        <w:t>-</w:t>
      </w:r>
      <w:r w:rsidRPr="00AD21FF">
        <w:rPr>
          <w:noProof/>
        </w:rPr>
        <w:t xml:space="preserve">carbon industrial products. It is also aligned with the Carbon Border Adjustment Mechanism Regulation (CBAM). </w:t>
      </w:r>
    </w:p>
    <w:p w14:paraId="0F2138EF" w14:textId="77777777" w:rsidR="00FE7970" w:rsidRPr="00AD21FF" w:rsidRDefault="00FE7970" w:rsidP="00FE7970">
      <w:pPr>
        <w:rPr>
          <w:noProof/>
        </w:rPr>
      </w:pPr>
      <w:r w:rsidRPr="00AD21FF">
        <w:rPr>
          <w:noProof/>
        </w:rPr>
        <w:t xml:space="preserve">In terms of upcoming initiatives, the Circular Economy Act proposal </w:t>
      </w:r>
      <w:r w:rsidR="00AC32CA">
        <w:rPr>
          <w:noProof/>
        </w:rPr>
        <w:t>will complement the IAA by boosting recycling and access to secondary raw materials</w:t>
      </w:r>
      <w:r w:rsidR="00C12645">
        <w:rPr>
          <w:noProof/>
        </w:rPr>
        <w:t xml:space="preserve">, </w:t>
      </w:r>
      <w:r w:rsidR="0070122C">
        <w:rPr>
          <w:noProof/>
        </w:rPr>
        <w:t>reducing dependencies and vulnerabilities</w:t>
      </w:r>
      <w:r w:rsidR="00D51021">
        <w:rPr>
          <w:noProof/>
        </w:rPr>
        <w:t xml:space="preserve"> </w:t>
      </w:r>
      <w:r w:rsidR="00B2415A">
        <w:rPr>
          <w:noProof/>
        </w:rPr>
        <w:t>also</w:t>
      </w:r>
      <w:r w:rsidR="00D51021">
        <w:rPr>
          <w:noProof/>
        </w:rPr>
        <w:t xml:space="preserve"> for </w:t>
      </w:r>
      <w:r w:rsidRPr="00AD21FF">
        <w:rPr>
          <w:noProof/>
        </w:rPr>
        <w:t>energy</w:t>
      </w:r>
      <w:r w:rsidR="008A6FDA">
        <w:rPr>
          <w:noProof/>
        </w:rPr>
        <w:t>-</w:t>
      </w:r>
      <w:r w:rsidRPr="00AD21FF">
        <w:rPr>
          <w:noProof/>
        </w:rPr>
        <w:t xml:space="preserve">intensive industrial products. Consistency between the sector specific measures in the Accelerator Act and </w:t>
      </w:r>
      <w:r w:rsidRPr="00AD21FF" w:rsidDel="001C503B">
        <w:rPr>
          <w:noProof/>
        </w:rPr>
        <w:t xml:space="preserve">the </w:t>
      </w:r>
      <w:r w:rsidRPr="00AD21FF">
        <w:rPr>
          <w:noProof/>
        </w:rPr>
        <w:t xml:space="preserve">overarching framework of the upcoming Public Procurement revision will also be ensured. </w:t>
      </w:r>
    </w:p>
    <w:p w14:paraId="0891D82F" w14:textId="77777777" w:rsidR="00771EF6" w:rsidRPr="00CE1486" w:rsidRDefault="003A5A30" w:rsidP="003A5A30">
      <w:pPr>
        <w:rPr>
          <w:noProof/>
        </w:rPr>
      </w:pPr>
      <w:r w:rsidRPr="00CE1486">
        <w:rPr>
          <w:noProof/>
        </w:rPr>
        <w:t>The proposal takes into account the Union’s international commitments in</w:t>
      </w:r>
      <w:r w:rsidR="00A7445B" w:rsidRPr="00CE1486">
        <w:rPr>
          <w:noProof/>
        </w:rPr>
        <w:t xml:space="preserve"> public procurement under the WTO Agreement on Government Procurement (GPA), and relevant bilateral EU trade agreements</w:t>
      </w:r>
      <w:r w:rsidR="003B47B4" w:rsidRPr="00CE1486">
        <w:rPr>
          <w:noProof/>
        </w:rPr>
        <w:t>. O</w:t>
      </w:r>
      <w:r w:rsidRPr="00CE1486">
        <w:rPr>
          <w:noProof/>
        </w:rPr>
        <w:t>perators established in countries covered by</w:t>
      </w:r>
      <w:r w:rsidR="00463672" w:rsidRPr="00CE1486">
        <w:rPr>
          <w:noProof/>
        </w:rPr>
        <w:t xml:space="preserve"> </w:t>
      </w:r>
      <w:r w:rsidR="003B47B4" w:rsidRPr="00CE1486">
        <w:rPr>
          <w:noProof/>
        </w:rPr>
        <w:t xml:space="preserve">such </w:t>
      </w:r>
      <w:r w:rsidR="00463672" w:rsidRPr="00CE1486">
        <w:rPr>
          <w:noProof/>
        </w:rPr>
        <w:t xml:space="preserve">commitments </w:t>
      </w:r>
      <w:r w:rsidR="003B47B4" w:rsidRPr="00CE1486">
        <w:rPr>
          <w:noProof/>
        </w:rPr>
        <w:t>can</w:t>
      </w:r>
      <w:r w:rsidR="00463672" w:rsidRPr="00CE1486">
        <w:rPr>
          <w:noProof/>
        </w:rPr>
        <w:t xml:space="preserve"> </w:t>
      </w:r>
      <w:r w:rsidRPr="00CE1486">
        <w:rPr>
          <w:noProof/>
        </w:rPr>
        <w:t xml:space="preserve">benefit from enforceable access to specific procurement procedures defined in the relevant coverage schedules. These commitments are structured across categories of contracting authorities, including central government, sub-central authorities, bodies governed by public law and utilities, and across procurement types such as goods, services and construction works. Their applicability therefore depends on the contracting authority conducting the procurement and the subject matter of the contract. </w:t>
      </w:r>
      <w:r w:rsidR="001929B2" w:rsidRPr="00CE1486">
        <w:rPr>
          <w:noProof/>
        </w:rPr>
        <w:t xml:space="preserve">Besides, the Union retains the right to apply general or security exceptions. </w:t>
      </w:r>
    </w:p>
    <w:p w14:paraId="5E1F2EC2" w14:textId="77777777" w:rsidR="002E1D5D" w:rsidRPr="00AD21FF" w:rsidRDefault="003A5A30" w:rsidP="003A5A30">
      <w:pPr>
        <w:rPr>
          <w:noProof/>
        </w:rPr>
      </w:pPr>
      <w:r w:rsidRPr="00CE1486">
        <w:rPr>
          <w:noProof/>
        </w:rPr>
        <w:t>As a result, the Union’s procurement commitments do not confer uniform or comprehensive access to all partners, and it is not possible to establish a single list of third countries with fully secured access to the entire EU procurement market. Detailed information on procurement commitments and supplier eligibility is available to contracting authorities</w:t>
      </w:r>
      <w:r w:rsidR="002A7B9E" w:rsidRPr="00CE1486">
        <w:rPr>
          <w:rStyle w:val="FootnoteReference"/>
          <w:noProof/>
        </w:rPr>
        <w:footnoteReference w:id="18"/>
      </w:r>
      <w:r w:rsidRPr="00CE1486">
        <w:rPr>
          <w:noProof/>
        </w:rPr>
        <w:t xml:space="preserve">, which supports the consistent application of international procurement obligations while preserving the Union’s ability to pursue its </w:t>
      </w:r>
      <w:r w:rsidR="00BB7723" w:rsidRPr="00CE1486">
        <w:rPr>
          <w:noProof/>
        </w:rPr>
        <w:t>policy</w:t>
      </w:r>
      <w:r w:rsidRPr="00CE1486">
        <w:rPr>
          <w:noProof/>
        </w:rPr>
        <w:t xml:space="preserve"> objectives</w:t>
      </w:r>
      <w:r w:rsidR="00BB7723" w:rsidRPr="00CE1486">
        <w:rPr>
          <w:noProof/>
        </w:rPr>
        <w:t xml:space="preserve"> as </w:t>
      </w:r>
      <w:r w:rsidR="00C66FA4" w:rsidRPr="00CE1486">
        <w:rPr>
          <w:noProof/>
        </w:rPr>
        <w:t xml:space="preserve">set </w:t>
      </w:r>
      <w:r w:rsidR="00BB7723" w:rsidRPr="00CE1486">
        <w:rPr>
          <w:noProof/>
        </w:rPr>
        <w:t>out in this proposal</w:t>
      </w:r>
      <w:r w:rsidRPr="00CE1486">
        <w:rPr>
          <w:noProof/>
        </w:rPr>
        <w:t>.</w:t>
      </w:r>
    </w:p>
    <w:p w14:paraId="6D519E58" w14:textId="77777777" w:rsidR="003C43F8" w:rsidRDefault="00AE481B" w:rsidP="00FE7970">
      <w:pPr>
        <w:rPr>
          <w:noProof/>
        </w:rPr>
      </w:pPr>
      <w:r>
        <w:rPr>
          <w:noProof/>
        </w:rPr>
        <w:t xml:space="preserve">While the IAA </w:t>
      </w:r>
      <w:r w:rsidR="00216A9C">
        <w:rPr>
          <w:noProof/>
        </w:rPr>
        <w:t>establishes the</w:t>
      </w:r>
      <w:r>
        <w:rPr>
          <w:noProof/>
        </w:rPr>
        <w:t xml:space="preserve"> framework </w:t>
      </w:r>
      <w:r w:rsidR="00216A9C">
        <w:rPr>
          <w:noProof/>
        </w:rPr>
        <w:t>for</w:t>
      </w:r>
      <w:r>
        <w:rPr>
          <w:noProof/>
        </w:rPr>
        <w:t xml:space="preserve"> </w:t>
      </w:r>
      <w:r w:rsidR="00216A9C">
        <w:rPr>
          <w:i/>
          <w:iCs/>
          <w:noProof/>
        </w:rPr>
        <w:t>what</w:t>
      </w:r>
      <w:r>
        <w:rPr>
          <w:noProof/>
        </w:rPr>
        <w:t xml:space="preserve"> </w:t>
      </w:r>
      <w:r w:rsidR="00216A9C">
        <w:rPr>
          <w:noProof/>
        </w:rPr>
        <w:t>‘</w:t>
      </w:r>
      <w:r>
        <w:rPr>
          <w:noProof/>
        </w:rPr>
        <w:t>Made in Europe</w:t>
      </w:r>
      <w:r w:rsidR="00216A9C">
        <w:rPr>
          <w:noProof/>
        </w:rPr>
        <w:t>’</w:t>
      </w:r>
      <w:r>
        <w:rPr>
          <w:noProof/>
        </w:rPr>
        <w:t xml:space="preserve"> procurement</w:t>
      </w:r>
      <w:r w:rsidR="00FF7BFA">
        <w:rPr>
          <w:noProof/>
        </w:rPr>
        <w:t xml:space="preserve"> entails</w:t>
      </w:r>
      <w:r w:rsidR="00216A9C">
        <w:rPr>
          <w:noProof/>
        </w:rPr>
        <w:t>, covering</w:t>
      </w:r>
      <w:r w:rsidR="00FF7BFA" w:rsidRPr="00FF7BFA">
        <w:rPr>
          <w:noProof/>
        </w:rPr>
        <w:t xml:space="preserve"> energy-intensive </w:t>
      </w:r>
      <w:r w:rsidR="00FF7BFA">
        <w:rPr>
          <w:noProof/>
        </w:rPr>
        <w:t>industrial products</w:t>
      </w:r>
      <w:r w:rsidR="00FF7BFA" w:rsidRPr="00FF7BFA">
        <w:rPr>
          <w:noProof/>
        </w:rPr>
        <w:t>, net-zero</w:t>
      </w:r>
      <w:r w:rsidR="007A766A">
        <w:rPr>
          <w:noProof/>
        </w:rPr>
        <w:t xml:space="preserve"> </w:t>
      </w:r>
      <w:r w:rsidR="00FF7BFA" w:rsidRPr="00FF7BFA">
        <w:rPr>
          <w:noProof/>
        </w:rPr>
        <w:t>technologies</w:t>
      </w:r>
      <w:r w:rsidR="007A766A">
        <w:rPr>
          <w:noProof/>
        </w:rPr>
        <w:t xml:space="preserve"> </w:t>
      </w:r>
      <w:r w:rsidR="00FF7BFA" w:rsidRPr="00FF7BFA">
        <w:rPr>
          <w:noProof/>
        </w:rPr>
        <w:t xml:space="preserve">and </w:t>
      </w:r>
      <w:r w:rsidR="00FF7BFA">
        <w:rPr>
          <w:noProof/>
        </w:rPr>
        <w:t>automotive components, t</w:t>
      </w:r>
      <w:r w:rsidR="00FF7BFA" w:rsidRPr="00FF7BFA">
        <w:rPr>
          <w:noProof/>
        </w:rPr>
        <w:t xml:space="preserve">he </w:t>
      </w:r>
      <w:r w:rsidR="00216A9C">
        <w:rPr>
          <w:noProof/>
        </w:rPr>
        <w:t>forthcoming</w:t>
      </w:r>
      <w:r w:rsidR="00FF7BFA" w:rsidRPr="00FF7BFA">
        <w:rPr>
          <w:noProof/>
        </w:rPr>
        <w:t xml:space="preserve"> revision of </w:t>
      </w:r>
      <w:r w:rsidR="00216A9C">
        <w:rPr>
          <w:noProof/>
        </w:rPr>
        <w:t xml:space="preserve">the </w:t>
      </w:r>
      <w:r w:rsidR="00FF7BFA" w:rsidRPr="00FF7BFA">
        <w:rPr>
          <w:noProof/>
        </w:rPr>
        <w:t xml:space="preserve">public procurement legal framework will </w:t>
      </w:r>
      <w:r w:rsidR="00216A9C">
        <w:rPr>
          <w:noProof/>
        </w:rPr>
        <w:t xml:space="preserve">clarify </w:t>
      </w:r>
      <w:r w:rsidR="00216A9C">
        <w:rPr>
          <w:i/>
          <w:iCs/>
          <w:noProof/>
        </w:rPr>
        <w:t>how</w:t>
      </w:r>
      <w:r w:rsidR="00FF7BFA" w:rsidRPr="00FF7BFA">
        <w:rPr>
          <w:noProof/>
        </w:rPr>
        <w:t xml:space="preserve"> </w:t>
      </w:r>
      <w:r w:rsidR="007A65DE">
        <w:rPr>
          <w:noProof/>
        </w:rPr>
        <w:t>such procurement is to be carried out. In particular, it will integrate</w:t>
      </w:r>
      <w:r w:rsidR="00FF7BFA" w:rsidRPr="00FF7BFA">
        <w:rPr>
          <w:noProof/>
        </w:rPr>
        <w:t xml:space="preserve"> and </w:t>
      </w:r>
      <w:r w:rsidR="007A65DE">
        <w:rPr>
          <w:noProof/>
        </w:rPr>
        <w:t>implement sector-specific</w:t>
      </w:r>
      <w:r w:rsidR="00FF7BFA" w:rsidRPr="00FF7BFA">
        <w:rPr>
          <w:noProof/>
        </w:rPr>
        <w:t xml:space="preserve"> requirements </w:t>
      </w:r>
      <w:r w:rsidR="007A65DE">
        <w:rPr>
          <w:noProof/>
        </w:rPr>
        <w:t>set out in relevant legislative</w:t>
      </w:r>
      <w:r w:rsidR="00FF7BFA" w:rsidRPr="00FF7BFA">
        <w:rPr>
          <w:noProof/>
        </w:rPr>
        <w:t xml:space="preserve"> acts </w:t>
      </w:r>
      <w:r w:rsidR="007A65DE">
        <w:rPr>
          <w:noProof/>
        </w:rPr>
        <w:t>with</w:t>
      </w:r>
      <w:r w:rsidR="00FF7BFA" w:rsidRPr="00FF7BFA">
        <w:rPr>
          <w:noProof/>
        </w:rPr>
        <w:t xml:space="preserve">in </w:t>
      </w:r>
      <w:r w:rsidR="007A65DE">
        <w:rPr>
          <w:noProof/>
        </w:rPr>
        <w:t>a</w:t>
      </w:r>
      <w:r w:rsidR="00FF7BFA" w:rsidRPr="00FF7BFA">
        <w:rPr>
          <w:noProof/>
        </w:rPr>
        <w:t xml:space="preserve"> common </w:t>
      </w:r>
      <w:r w:rsidR="007A65DE">
        <w:rPr>
          <w:noProof/>
        </w:rPr>
        <w:t xml:space="preserve">procurement </w:t>
      </w:r>
      <w:r w:rsidR="00FF7BFA" w:rsidRPr="00FF7BFA">
        <w:rPr>
          <w:noProof/>
        </w:rPr>
        <w:t>framework and</w:t>
      </w:r>
      <w:r w:rsidR="007A65DE">
        <w:rPr>
          <w:noProof/>
        </w:rPr>
        <w:t>,</w:t>
      </w:r>
      <w:r w:rsidR="00FF7BFA" w:rsidRPr="00FF7BFA">
        <w:rPr>
          <w:noProof/>
        </w:rPr>
        <w:t xml:space="preserve"> for key sectors, provid</w:t>
      </w:r>
      <w:r w:rsidR="007A65DE">
        <w:rPr>
          <w:noProof/>
        </w:rPr>
        <w:t>e</w:t>
      </w:r>
      <w:r w:rsidR="00FF7BFA" w:rsidRPr="00FF7BFA">
        <w:rPr>
          <w:noProof/>
        </w:rPr>
        <w:t xml:space="preserve"> contracting authorities with </w:t>
      </w:r>
      <w:r w:rsidR="007A65DE">
        <w:rPr>
          <w:noProof/>
        </w:rPr>
        <w:t xml:space="preserve">clear </w:t>
      </w:r>
      <w:r w:rsidR="00FF7BFA" w:rsidRPr="00FF7BFA">
        <w:rPr>
          <w:noProof/>
        </w:rPr>
        <w:t xml:space="preserve">tools to </w:t>
      </w:r>
      <w:r w:rsidR="007A65DE">
        <w:rPr>
          <w:noProof/>
        </w:rPr>
        <w:t>give preference to tenders</w:t>
      </w:r>
      <w:r w:rsidR="00FF7BFA" w:rsidRPr="00FF7BFA">
        <w:rPr>
          <w:noProof/>
        </w:rPr>
        <w:t xml:space="preserve"> composed mainly of European products. This approach ensures </w:t>
      </w:r>
      <w:r w:rsidR="00E10E19">
        <w:rPr>
          <w:noProof/>
        </w:rPr>
        <w:t>coherence and legal certainty</w:t>
      </w:r>
      <w:r w:rsidR="00FF7BFA" w:rsidRPr="00FF7BFA">
        <w:rPr>
          <w:noProof/>
        </w:rPr>
        <w:t xml:space="preserve"> for </w:t>
      </w:r>
      <w:r w:rsidR="00E10E19">
        <w:rPr>
          <w:noProof/>
        </w:rPr>
        <w:t>both</w:t>
      </w:r>
      <w:r w:rsidR="00FF7BFA" w:rsidRPr="00FF7BFA">
        <w:rPr>
          <w:noProof/>
        </w:rPr>
        <w:t xml:space="preserve"> public buyers and economic operators.</w:t>
      </w:r>
      <w:r>
        <w:rPr>
          <w:noProof/>
        </w:rPr>
        <w:t xml:space="preserve"> </w:t>
      </w:r>
    </w:p>
    <w:p w14:paraId="6F3475F3" w14:textId="77777777" w:rsidR="00FE7970" w:rsidRPr="00AD21FF" w:rsidRDefault="00FE7970" w:rsidP="00FE7970">
      <w:pPr>
        <w:rPr>
          <w:noProof/>
        </w:rPr>
      </w:pPr>
      <w:r w:rsidRPr="00AD21FF">
        <w:rPr>
          <w:noProof/>
        </w:rPr>
        <w:t xml:space="preserve">The proposed Regulation also </w:t>
      </w:r>
      <w:r w:rsidR="000F155C">
        <w:rPr>
          <w:noProof/>
        </w:rPr>
        <w:t xml:space="preserve">takes account of </w:t>
      </w:r>
      <w:r w:rsidRPr="00AD21FF">
        <w:rPr>
          <w:noProof/>
        </w:rPr>
        <w:t xml:space="preserve">the Union’s trade defence instruments, including the recently proposed measure addressing the negative effects of global overcapacity on the EU steel market. In addition, it operates in complementarity to the existing Foreign Direct Investment framework, which is </w:t>
      </w:r>
      <w:r w:rsidR="000F155C">
        <w:rPr>
          <w:noProof/>
        </w:rPr>
        <w:t xml:space="preserve">about </w:t>
      </w:r>
      <w:r w:rsidRPr="00AD21FF">
        <w:rPr>
          <w:noProof/>
        </w:rPr>
        <w:t>security</w:t>
      </w:r>
      <w:r w:rsidR="000F155C">
        <w:rPr>
          <w:noProof/>
        </w:rPr>
        <w:t xml:space="preserve"> and public order</w:t>
      </w:r>
      <w:r w:rsidRPr="00AD21FF">
        <w:rPr>
          <w:noProof/>
        </w:rPr>
        <w:t xml:space="preserve">. </w:t>
      </w:r>
      <w:r w:rsidR="00A51CC6">
        <w:rPr>
          <w:noProof/>
        </w:rPr>
        <w:t>Finally, the proposal is without prejudice to the application of the EU’s competition rules.</w:t>
      </w:r>
    </w:p>
    <w:p w14:paraId="4A9DDF57" w14:textId="77777777" w:rsidR="00440ED7" w:rsidRPr="00AD21FF" w:rsidRDefault="00440ED7">
      <w:pPr>
        <w:pStyle w:val="ManualHeading1"/>
        <w:rPr>
          <w:noProof/>
        </w:rPr>
      </w:pPr>
      <w:r w:rsidRPr="00AD21FF">
        <w:rPr>
          <w:noProof/>
        </w:rPr>
        <w:t>2.</w:t>
      </w:r>
      <w:r w:rsidRPr="00AD21FF">
        <w:rPr>
          <w:noProof/>
        </w:rPr>
        <w:tab/>
        <w:t>LEGAL BASIS, SUBSIDIARITY AND PROPORTIONALITY</w:t>
      </w:r>
    </w:p>
    <w:p w14:paraId="258DF462"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Legal basis</w:t>
      </w:r>
    </w:p>
    <w:p w14:paraId="51E51D08" w14:textId="77777777" w:rsidR="00FE7970" w:rsidRPr="00AD21FF" w:rsidRDefault="00FE7970" w:rsidP="00FE7970">
      <w:pPr>
        <w:rPr>
          <w:noProof/>
        </w:rPr>
      </w:pPr>
      <w:r w:rsidRPr="00AD21FF">
        <w:rPr>
          <w:noProof/>
        </w:rPr>
        <w:t>The appropriate legal basis is Article 114 of the Treaty on the Functioning of the European Union (‘the Treaty’) which allows the Union to adopt harmonisation measures.</w:t>
      </w:r>
      <w:r w:rsidRPr="00AD21FF">
        <w:rPr>
          <w:rFonts w:eastAsia="Times New Roman"/>
          <w:noProof/>
          <w:lang w:eastAsia="en-GB"/>
        </w:rPr>
        <w:t xml:space="preserve"> Given the complexity and transnational character of resilience and industrial decarbonisation, such measures are needed to ensure the proper functioning of the Single Market</w:t>
      </w:r>
      <w:r w:rsidR="00FF6AD4">
        <w:rPr>
          <w:rFonts w:eastAsia="Times New Roman"/>
          <w:noProof/>
          <w:lang w:eastAsia="en-GB"/>
        </w:rPr>
        <w:t xml:space="preserve"> in particular for strategic sectors</w:t>
      </w:r>
      <w:r w:rsidRPr="00AD21FF">
        <w:rPr>
          <w:rFonts w:eastAsia="Times New Roman"/>
          <w:noProof/>
          <w:lang w:eastAsia="en-GB"/>
        </w:rPr>
        <w:t xml:space="preserve">. </w:t>
      </w:r>
    </w:p>
    <w:p w14:paraId="5D97960B" w14:textId="77777777" w:rsidR="00FE7970" w:rsidRPr="00AD21FF" w:rsidRDefault="00FE7970" w:rsidP="00FE7970">
      <w:pPr>
        <w:rPr>
          <w:noProof/>
        </w:rPr>
      </w:pPr>
      <w:r w:rsidRPr="00AD21FF">
        <w:rPr>
          <w:noProof/>
        </w:rPr>
        <w:t>Moreover, it is also necessary to use Article 207 of the Treaty on the EU common commercial policy as an additional legal basis regarding certain measures introduced under this Regulation. Provisions on</w:t>
      </w:r>
      <w:r w:rsidRPr="00AD21FF" w:rsidDel="006F2D41">
        <w:rPr>
          <w:noProof/>
        </w:rPr>
        <w:t xml:space="preserve"> </w:t>
      </w:r>
      <w:r w:rsidRPr="00AD21FF">
        <w:rPr>
          <w:noProof/>
        </w:rPr>
        <w:t>foreign investments capture a specific set of sectors to ensure minimum investment conditions, and value</w:t>
      </w:r>
      <w:r w:rsidR="006A6870">
        <w:rPr>
          <w:noProof/>
        </w:rPr>
        <w:t>-</w:t>
      </w:r>
      <w:r w:rsidRPr="00AD21FF">
        <w:rPr>
          <w:noProof/>
        </w:rPr>
        <w:t xml:space="preserve">added production in the Union. Therefore, the provisions are primarily aimed at the proper functioning of the Single Market. Nevertheless, foreign direct investments are explicitly included in the scope of the EU common commercial policy. </w:t>
      </w:r>
    </w:p>
    <w:p w14:paraId="1B64118B"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 xml:space="preserve">Subsidiarity (for non-exclusive competence) </w:t>
      </w:r>
    </w:p>
    <w:p w14:paraId="6901CA66" w14:textId="77777777" w:rsidR="00FE7970" w:rsidRPr="00AD21FF" w:rsidRDefault="00FE7970" w:rsidP="00FE7970">
      <w:pPr>
        <w:rPr>
          <w:noProof/>
        </w:rPr>
      </w:pPr>
      <w:r w:rsidRPr="00AD21FF">
        <w:rPr>
          <w:noProof/>
        </w:rPr>
        <w:t xml:space="preserve">Competitiveness, sustainable prosperity, economic security and decarbonisation are matters of high EU relevance. No single Member State alone is capable of effectively addressing industrial decarbonisation due to the integrated nature of the challenge: energy markets, climate change mitigation efforts and the need for </w:t>
      </w:r>
      <w:r w:rsidR="00FF6AD4">
        <w:rPr>
          <w:noProof/>
        </w:rPr>
        <w:t>the proper functioning of</w:t>
      </w:r>
      <w:r w:rsidRPr="00AD21FF">
        <w:rPr>
          <w:noProof/>
        </w:rPr>
        <w:t xml:space="preserve"> the Single Market for energy-intensive industrial products and net-zero technologies. The competitiveness challenges currently facing industry are likely to prompt Member States to implement unilateral measures. While such efforts may be justified, leaving them uncoordinated</w:t>
      </w:r>
      <w:r w:rsidR="00BC1E32">
        <w:rPr>
          <w:noProof/>
        </w:rPr>
        <w:t xml:space="preserve"> </w:t>
      </w:r>
      <w:r w:rsidRPr="00AD21FF">
        <w:rPr>
          <w:noProof/>
        </w:rPr>
        <w:t xml:space="preserve">risks </w:t>
      </w:r>
      <w:r w:rsidR="00961561">
        <w:rPr>
          <w:noProof/>
        </w:rPr>
        <w:t>negatively impacting the functioning of</w:t>
      </w:r>
      <w:r w:rsidRPr="00AD21FF">
        <w:rPr>
          <w:noProof/>
        </w:rPr>
        <w:t xml:space="preserve"> and fragmenting the Single Market, making the EU more vulnerable to external shocks and unable to leverage the assets of the Single Market to deliver benefits to local and European ecosystems.</w:t>
      </w:r>
    </w:p>
    <w:p w14:paraId="04BEA125" w14:textId="77777777" w:rsidR="00FE7970" w:rsidRPr="00AD21FF" w:rsidRDefault="00FE7970" w:rsidP="00FE7970">
      <w:pPr>
        <w:rPr>
          <w:noProof/>
        </w:rPr>
      </w:pPr>
      <w:r w:rsidRPr="00AD21FF">
        <w:rPr>
          <w:noProof/>
        </w:rPr>
        <w:t xml:space="preserve">A harmonised EU-level approach is therefore necessary under Article 114 TFEU to ensure the well-functioning of the Single Market and to address the challenges of resilience and industrial decarbonisation, while safeguarding the EU’s competitiveness. The measures included in this initiative would not be as effective (if at all) if implemented by Member States acting alone, as the challenges they address concern the Single Market. They are not limited to individual Member States or to a subset of Member States, but they relate to the EU industrial base and EU-wide value chains. In addition, measures implemented </w:t>
      </w:r>
      <w:r w:rsidRPr="00AD21FF" w:rsidDel="009A7733">
        <w:rPr>
          <w:noProof/>
        </w:rPr>
        <w:t xml:space="preserve">at </w:t>
      </w:r>
      <w:r w:rsidRPr="00AD21FF">
        <w:rPr>
          <w:noProof/>
        </w:rPr>
        <w:t>Member States’ level only are unlikely to adequately meet the needs of closely interconnected supply chains within the Single Market and could lead to further market fragmentation and risks of supply chain disruption.</w:t>
      </w:r>
    </w:p>
    <w:p w14:paraId="2038C61C" w14:textId="77777777" w:rsidR="00FE7970" w:rsidRPr="00AD21FF" w:rsidRDefault="00FE7970" w:rsidP="00FE7970">
      <w:pPr>
        <w:rPr>
          <w:noProof/>
        </w:rPr>
      </w:pPr>
      <w:r w:rsidRPr="00AD21FF">
        <w:rPr>
          <w:noProof/>
        </w:rPr>
        <w:t xml:space="preserve">Furthermore, climate change is a trans-boundary challenge requiring both international and </w:t>
      </w:r>
      <w:r w:rsidRPr="00AD21FF" w:rsidDel="00643441">
        <w:rPr>
          <w:noProof/>
        </w:rPr>
        <w:t>EU</w:t>
      </w:r>
      <w:r w:rsidRPr="00AD21FF">
        <w:rPr>
          <w:noProof/>
        </w:rPr>
        <w:t>-level action to effectively complement and reinforce measures taken at regional, national and local levels. The cost of inaction is pan-European. The necessary industrial transformation</w:t>
      </w:r>
      <w:r w:rsidRPr="00AD21FF" w:rsidDel="004D0576">
        <w:rPr>
          <w:noProof/>
        </w:rPr>
        <w:t xml:space="preserve"> will impact many sectors across the </w:t>
      </w:r>
      <w:r w:rsidRPr="00AD21FF" w:rsidDel="00FB1F18">
        <w:rPr>
          <w:noProof/>
        </w:rPr>
        <w:t xml:space="preserve">EU </w:t>
      </w:r>
      <w:r w:rsidRPr="00AD21FF" w:rsidDel="004D0576">
        <w:rPr>
          <w:noProof/>
        </w:rPr>
        <w:t xml:space="preserve">economy, making coordinated action at the </w:t>
      </w:r>
      <w:r w:rsidRPr="00AD21FF" w:rsidDel="00FB1F18">
        <w:rPr>
          <w:noProof/>
        </w:rPr>
        <w:t>EU</w:t>
      </w:r>
      <w:r w:rsidRPr="00AD21FF" w:rsidDel="004D0576">
        <w:rPr>
          <w:noProof/>
        </w:rPr>
        <w:t xml:space="preserve">-level indispensable to drive transformative, just and cost-effective transition and upward convergence. Uncoordinated national measures risk imposing diverging rules on market operators, </w:t>
      </w:r>
      <w:r w:rsidR="00383FE4">
        <w:rPr>
          <w:noProof/>
        </w:rPr>
        <w:t xml:space="preserve">non-harmonised </w:t>
      </w:r>
      <w:r w:rsidR="001B56BF">
        <w:rPr>
          <w:noProof/>
        </w:rPr>
        <w:t xml:space="preserve">public </w:t>
      </w:r>
      <w:r w:rsidRPr="00AD21FF" w:rsidDel="004D0576">
        <w:rPr>
          <w:noProof/>
        </w:rPr>
        <w:t xml:space="preserve">procurement </w:t>
      </w:r>
      <w:r w:rsidR="001B56BF">
        <w:rPr>
          <w:noProof/>
        </w:rPr>
        <w:t>practices, such as under green public procurement practices,</w:t>
      </w:r>
      <w:r w:rsidRPr="00AD21FF" w:rsidDel="004D0576">
        <w:rPr>
          <w:noProof/>
        </w:rPr>
        <w:t xml:space="preserve"> and permitting procedures, </w:t>
      </w:r>
      <w:r w:rsidRPr="00AD21FF">
        <w:rPr>
          <w:noProof/>
        </w:rPr>
        <w:t xml:space="preserve">and </w:t>
      </w:r>
      <w:r w:rsidRPr="00AD21FF" w:rsidDel="004D0576">
        <w:rPr>
          <w:noProof/>
        </w:rPr>
        <w:t xml:space="preserve">ultimately undermining the functioning of the Single Market. </w:t>
      </w:r>
    </w:p>
    <w:p w14:paraId="3D14E675" w14:textId="77777777" w:rsidR="00FE7970" w:rsidRPr="00AD21FF" w:rsidRDefault="00FE7970" w:rsidP="00FE7970">
      <w:pPr>
        <w:rPr>
          <w:noProof/>
        </w:rPr>
      </w:pPr>
      <w:r w:rsidRPr="00AD21FF">
        <w:rPr>
          <w:noProof/>
        </w:rPr>
        <w:t xml:space="preserve">Without further </w:t>
      </w:r>
      <w:r w:rsidRPr="00AD21FF" w:rsidDel="00FB1F18">
        <w:rPr>
          <w:noProof/>
        </w:rPr>
        <w:t xml:space="preserve">EU </w:t>
      </w:r>
      <w:r w:rsidRPr="00AD21FF">
        <w:rPr>
          <w:noProof/>
        </w:rPr>
        <w:t xml:space="preserve">action, the status quo is likely to persist, increasing the risk of the </w:t>
      </w:r>
      <w:r w:rsidRPr="00AD21FF" w:rsidDel="00FB1F18">
        <w:rPr>
          <w:noProof/>
        </w:rPr>
        <w:t xml:space="preserve">EU </w:t>
      </w:r>
      <w:r w:rsidRPr="00AD21FF">
        <w:rPr>
          <w:noProof/>
        </w:rPr>
        <w:t>losing strategic industrial capacities and capabilities, of the Single Market</w:t>
      </w:r>
      <w:r w:rsidRPr="00AD21FF" w:rsidDel="00C625D7">
        <w:rPr>
          <w:noProof/>
        </w:rPr>
        <w:t xml:space="preserve"> to be further fragmented</w:t>
      </w:r>
      <w:r w:rsidRPr="00AD21FF">
        <w:rPr>
          <w:noProof/>
        </w:rPr>
        <w:t xml:space="preserve">, and of the </w:t>
      </w:r>
      <w:r w:rsidRPr="00AD21FF" w:rsidDel="00C625D7">
        <w:rPr>
          <w:noProof/>
        </w:rPr>
        <w:t xml:space="preserve">EU </w:t>
      </w:r>
      <w:r w:rsidRPr="00AD21FF">
        <w:rPr>
          <w:noProof/>
        </w:rPr>
        <w:t>becoming critically dependent on third countries for green, digital, defence, and economic security objectives. This in turn</w:t>
      </w:r>
      <w:r w:rsidRPr="00AD21FF" w:rsidDel="00DF0A7C">
        <w:rPr>
          <w:noProof/>
        </w:rPr>
        <w:t xml:space="preserve"> </w:t>
      </w:r>
      <w:r w:rsidRPr="00AD21FF">
        <w:rPr>
          <w:noProof/>
        </w:rPr>
        <w:t>could have negative implications on the Union’s economic security, social and territorial cohesion, primarily through impacts on employment, regional development, and equitable access to industrial opportunities</w:t>
      </w:r>
      <w:r w:rsidRPr="00AD21FF" w:rsidDel="00DF0A7C">
        <w:rPr>
          <w:noProof/>
        </w:rPr>
        <w:t>.</w:t>
      </w:r>
      <w:r w:rsidRPr="00AD21FF">
        <w:rPr>
          <w:noProof/>
        </w:rPr>
        <w:t xml:space="preserve"> </w:t>
      </w:r>
    </w:p>
    <w:p w14:paraId="65D9D884" w14:textId="77777777" w:rsidR="00FE7970" w:rsidRPr="00AD21FF" w:rsidRDefault="00FE7970" w:rsidP="00FE7970">
      <w:pPr>
        <w:rPr>
          <w:noProof/>
        </w:rPr>
      </w:pPr>
      <w:r w:rsidRPr="00AD21FF">
        <w:rPr>
          <w:noProof/>
        </w:rPr>
        <w:t xml:space="preserve">In line with this logic, the proposed actions focus on areas where there is a demonstrable value added in acting at Union level due to the scale, speed and scope of the efforts needed - actions aimed at improving the business case for EIIs to invest in decarbonisation and for </w:t>
      </w:r>
      <w:r w:rsidRPr="00AD21FF" w:rsidDel="001F72E0">
        <w:rPr>
          <w:noProof/>
        </w:rPr>
        <w:t xml:space="preserve">EU </w:t>
      </w:r>
      <w:r w:rsidRPr="00AD21FF">
        <w:rPr>
          <w:noProof/>
        </w:rPr>
        <w:t xml:space="preserve">strategic sectors and technologies to strengthen their competitiveness. </w:t>
      </w:r>
    </w:p>
    <w:p w14:paraId="71541AC3" w14:textId="77777777" w:rsidR="00FE7970" w:rsidRPr="00AD21FF" w:rsidRDefault="00FE7970" w:rsidP="00FE7970">
      <w:pPr>
        <w:rPr>
          <w:rFonts w:eastAsia="Arial Unicode MS"/>
          <w:noProof/>
          <w:lang w:eastAsia="en-GB"/>
        </w:rPr>
      </w:pPr>
      <w:r w:rsidRPr="00AD21FF">
        <w:rPr>
          <w:noProof/>
        </w:rPr>
        <w:t>Article 5(3) TEU provides that the principle of subsidiarity applies in areas which do not fall within the exclusive competence of the Union. Article 3(1)(e) TFEU provides that the Union has exclusive competence in the area of common commercial policy. Article 207(2) TFEU falls into the category of exclusive competences. Therefore, the question of subsidiarity does not arise insofar Article 207 TFEU is used as an additional legal base for measures implementing the Union’s common commercial policy.</w:t>
      </w:r>
    </w:p>
    <w:p w14:paraId="4293B0BD"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Proportionality</w:t>
      </w:r>
    </w:p>
    <w:p w14:paraId="36F00CEA" w14:textId="77777777" w:rsidR="00FE7970" w:rsidRPr="00AD21FF" w:rsidRDefault="00FE7970" w:rsidP="00FE7970">
      <w:pPr>
        <w:rPr>
          <w:noProof/>
          <w:color w:val="FF0000"/>
        </w:rPr>
      </w:pPr>
      <w:r w:rsidRPr="00AD21FF">
        <w:rPr>
          <w:noProof/>
        </w:rPr>
        <w:t xml:space="preserve">The proposed measures meet the principle of proportionality, demonstrating added value in acting at the EU level due to the scale, urgency and scope of the efforts needed. </w:t>
      </w:r>
    </w:p>
    <w:p w14:paraId="322C4713" w14:textId="77777777" w:rsidR="00FE7970" w:rsidRPr="00AD21FF" w:rsidRDefault="00FE7970" w:rsidP="00FE7970">
      <w:pPr>
        <w:rPr>
          <w:noProof/>
        </w:rPr>
      </w:pPr>
      <w:r w:rsidRPr="00AD21FF">
        <w:rPr>
          <w:noProof/>
        </w:rPr>
        <w:t xml:space="preserve">The measures on permitting will impose obligations on Member States to streamline processes. The digitalisation of the permitting procedures will lead in the long term to time and cost savings for both authorities and businesses, enabling the acceleration of clean manufacturing and industrial deployment across the EU. </w:t>
      </w:r>
    </w:p>
    <w:p w14:paraId="67AF641D" w14:textId="77777777" w:rsidR="00FE7970" w:rsidRPr="00AD21FF" w:rsidRDefault="00FE7970" w:rsidP="00FE7970">
      <w:pPr>
        <w:rPr>
          <w:noProof/>
        </w:rPr>
      </w:pPr>
      <w:r w:rsidRPr="00AD21FF">
        <w:rPr>
          <w:noProof/>
        </w:rPr>
        <w:t>The low-carbon and made in EU requirements are proportionate to the European industrial production capacities and designed as to not place significant financial burdens on the Member States’ administrative budgets. Establishing lead markets is pivotal to</w:t>
      </w:r>
      <w:r w:rsidRPr="00AD21FF" w:rsidDel="007F0A83">
        <w:rPr>
          <w:noProof/>
        </w:rPr>
        <w:t xml:space="preserve"> </w:t>
      </w:r>
      <w:r w:rsidRPr="00AD21FF">
        <w:rPr>
          <w:noProof/>
        </w:rPr>
        <w:t>increasing the competitiveness of the key sectors and technologies, thereby strengthening the EU’s industrial base and ensuring autonomy in these strategic sectors.</w:t>
      </w:r>
    </w:p>
    <w:p w14:paraId="4EA09FED" w14:textId="77777777" w:rsidR="00FE7970" w:rsidRPr="00AD21FF" w:rsidRDefault="00FE7970" w:rsidP="00FE7970">
      <w:pPr>
        <w:rPr>
          <w:noProof/>
        </w:rPr>
      </w:pPr>
      <w:r w:rsidRPr="00AD21FF">
        <w:rPr>
          <w:noProof/>
        </w:rPr>
        <w:t>Mandatory conditions on foreign direct investment are necessary to achieve the objective of maximising the benefits of these investments across Member States, strengthening the Single Market benefits and leveraging the access to the Single Market. They will ensure investment comes with know-how development, job creation, and value chain integration.</w:t>
      </w:r>
    </w:p>
    <w:p w14:paraId="03241673" w14:textId="77777777" w:rsidR="00FE7970" w:rsidRPr="00AD21FF" w:rsidRDefault="00FE7970" w:rsidP="00FE7970">
      <w:pPr>
        <w:rPr>
          <w:noProof/>
        </w:rPr>
      </w:pPr>
      <w:r w:rsidRPr="00AD21FF">
        <w:rPr>
          <w:noProof/>
        </w:rPr>
        <w:t xml:space="preserve">The measures on </w:t>
      </w:r>
      <w:r w:rsidR="00055878">
        <w:rPr>
          <w:noProof/>
        </w:rPr>
        <w:t>industrial manufacturing acceleration areas</w:t>
      </w:r>
      <w:r w:rsidRPr="00AD21FF">
        <w:rPr>
          <w:noProof/>
        </w:rPr>
        <w:t xml:space="preserve"> leave Member States responsible for identifying and designating such areas, while providing benefits aimed at enabling better and more competitive conditions for the manufacturing industry. </w:t>
      </w:r>
    </w:p>
    <w:p w14:paraId="1A7DFAF8"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Choice of the instrument</w:t>
      </w:r>
    </w:p>
    <w:p w14:paraId="6E11B09E" w14:textId="77777777" w:rsidR="00FE7970" w:rsidRPr="00AD21FF" w:rsidRDefault="00FE7970" w:rsidP="00FE7970">
      <w:pPr>
        <w:rPr>
          <w:rFonts w:eastAsia="Times New Roman"/>
          <w:noProof/>
          <w:color w:val="000000" w:themeColor="text1"/>
        </w:rPr>
      </w:pPr>
      <w:r w:rsidRPr="00AD21FF">
        <w:rPr>
          <w:rFonts w:eastAsia="Times New Roman"/>
          <w:noProof/>
          <w:color w:val="000000" w:themeColor="text1"/>
        </w:rPr>
        <w:t>A regulation is considered the most appropriate instrument as it makes it possible to set requirements that apply directly to national authorities and relevant economic operators. This will help ensure that the requirements are implemented in a timely and harmonised way, leading to greater legal certainty.</w:t>
      </w:r>
    </w:p>
    <w:p w14:paraId="37B19AE7" w14:textId="77777777" w:rsidR="00440ED7" w:rsidRPr="00AD21FF" w:rsidRDefault="00440ED7">
      <w:pPr>
        <w:pStyle w:val="ManualHeading1"/>
        <w:rPr>
          <w:noProof/>
        </w:rPr>
      </w:pPr>
      <w:r w:rsidRPr="00AD21FF">
        <w:rPr>
          <w:noProof/>
        </w:rPr>
        <w:t>3.</w:t>
      </w:r>
      <w:r w:rsidRPr="00AD21FF">
        <w:rPr>
          <w:noProof/>
        </w:rPr>
        <w:tab/>
        <w:t>RESULTS OF EX-POST EVALUATIONS, STAKEHOLDER CONSULTATIONS AND IMPACT ASSESSMENTS</w:t>
      </w:r>
    </w:p>
    <w:p w14:paraId="33907359"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Ex-post evaluations/fitness checks of existing legislation</w:t>
      </w:r>
    </w:p>
    <w:p w14:paraId="47A5F898" w14:textId="77777777" w:rsidR="00F201FB" w:rsidRPr="00AD21FF" w:rsidRDefault="00F201FB" w:rsidP="00F201FB">
      <w:pPr>
        <w:rPr>
          <w:noProof/>
          <w:lang w:val="en-US" w:eastAsia="en-GB"/>
        </w:rPr>
      </w:pPr>
      <w:r w:rsidRPr="00AD21FF">
        <w:rPr>
          <w:noProof/>
          <w:lang w:val="en-US" w:eastAsia="en-GB"/>
        </w:rPr>
        <w:t>Not applicable.</w:t>
      </w:r>
    </w:p>
    <w:p w14:paraId="453EC233"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Stakeholder consultations</w:t>
      </w:r>
    </w:p>
    <w:p w14:paraId="13ACF659" w14:textId="77777777" w:rsidR="00F201FB" w:rsidRPr="00AD21FF" w:rsidRDefault="00F201FB" w:rsidP="00F201FB">
      <w:pPr>
        <w:rPr>
          <w:noProof/>
          <w:lang w:eastAsia="en-GB"/>
        </w:rPr>
      </w:pPr>
      <w:r w:rsidRPr="00AD21FF">
        <w:rPr>
          <w:noProof/>
          <w:lang w:eastAsia="en-GB"/>
        </w:rPr>
        <w:t>In line with the Better Regulation Guidelines, the Commission carried out a comprehensive stakeholder consultation process, with the aim of collecting reliable information using a range of methods, consulted parties and tools. The Commission ran multiple activities: an online open consultation between April 15th and July 8th 2025 (314 responses and 133 attached position papers); a call for evidence for the impact assessment</w:t>
      </w:r>
      <w:r w:rsidR="1C0B263A" w:rsidRPr="75C9D5BF">
        <w:rPr>
          <w:noProof/>
          <w:lang w:eastAsia="en-GB"/>
        </w:rPr>
        <w:t xml:space="preserve"> (295 replies)</w:t>
      </w:r>
      <w:r w:rsidRPr="75C9D5BF">
        <w:rPr>
          <w:noProof/>
          <w:lang w:eastAsia="en-GB"/>
        </w:rPr>
        <w:t>;</w:t>
      </w:r>
      <w:r w:rsidRPr="00AD21FF">
        <w:rPr>
          <w:noProof/>
          <w:lang w:eastAsia="en-GB"/>
        </w:rPr>
        <w:t xml:space="preserve"> a targeted consultation open to associations and companies from the EIIs sector (62 responses);</w:t>
      </w:r>
      <w:r w:rsidR="00862074">
        <w:rPr>
          <w:noProof/>
          <w:lang w:eastAsia="en-GB"/>
        </w:rPr>
        <w:t xml:space="preserve"> </w:t>
      </w:r>
      <w:r w:rsidRPr="00AD21FF">
        <w:rPr>
          <w:noProof/>
          <w:lang w:eastAsia="en-GB"/>
        </w:rPr>
        <w:t>a reality check workshop open to companies from the EIIs sector (40 participants); a reality check workshop on EU low-carbon steel label, open only to steel companies (34 participants); a reality check workshop open to Member States (46 participants), with all three reality checks including the possibility to submit position papers; and a targeted consultation open for the battery ecosystem and its downstream sectors (63 respondents). The results of the public consultation are summarised in the factual summary report published with the answers to the call for evidence on the ‘Have your say’ portal.</w:t>
      </w:r>
    </w:p>
    <w:p w14:paraId="6D73634F" w14:textId="77777777" w:rsidR="00F201FB" w:rsidRPr="00AD21FF" w:rsidRDefault="00F201FB" w:rsidP="00F201FB">
      <w:pPr>
        <w:rPr>
          <w:noProof/>
          <w:lang w:eastAsia="en-GB"/>
        </w:rPr>
      </w:pPr>
      <w:r w:rsidRPr="00AD21FF">
        <w:rPr>
          <w:noProof/>
          <w:lang w:eastAsia="en-GB"/>
        </w:rPr>
        <w:t xml:space="preserve">Overall, stakeholders </w:t>
      </w:r>
      <w:r w:rsidR="00916AD3">
        <w:rPr>
          <w:noProof/>
          <w:lang w:eastAsia="en-GB"/>
        </w:rPr>
        <w:t>argued</w:t>
      </w:r>
      <w:r w:rsidR="00916AD3" w:rsidRPr="00AD21FF">
        <w:rPr>
          <w:noProof/>
          <w:lang w:eastAsia="en-GB"/>
        </w:rPr>
        <w:t xml:space="preserve"> </w:t>
      </w:r>
      <w:r w:rsidRPr="00AD21FF">
        <w:rPr>
          <w:noProof/>
          <w:lang w:eastAsia="en-GB"/>
        </w:rPr>
        <w:t xml:space="preserve">the challenges faced by the EU </w:t>
      </w:r>
      <w:r w:rsidR="009F7A8A">
        <w:rPr>
          <w:noProof/>
          <w:lang w:eastAsia="en-GB"/>
        </w:rPr>
        <w:t xml:space="preserve">energy-intensive </w:t>
      </w:r>
      <w:r w:rsidRPr="00AD21FF">
        <w:rPr>
          <w:noProof/>
          <w:lang w:eastAsia="en-GB"/>
        </w:rPr>
        <w:t xml:space="preserve">industries as being the lack of </w:t>
      </w:r>
      <w:r w:rsidR="009F7A8A">
        <w:rPr>
          <w:noProof/>
          <w:lang w:eastAsia="en-GB"/>
        </w:rPr>
        <w:t>sufficiently</w:t>
      </w:r>
      <w:r w:rsidR="009F7A8A" w:rsidRPr="00AD21FF">
        <w:rPr>
          <w:noProof/>
          <w:lang w:eastAsia="en-GB"/>
        </w:rPr>
        <w:t xml:space="preserve"> </w:t>
      </w:r>
      <w:r w:rsidRPr="00AD21FF">
        <w:rPr>
          <w:noProof/>
          <w:lang w:eastAsia="en-GB"/>
        </w:rPr>
        <w:t>affordable, renewable energy, unfair international competition, high capital and operational costs attributed to decarbonisation, low willingness for downstream sectors to pay for green premium, complex, long permitting procedures and difficulty accessing funding for decarbonisation projects.</w:t>
      </w:r>
    </w:p>
    <w:p w14:paraId="7EB5C9A1" w14:textId="77777777" w:rsidR="00F201FB" w:rsidRPr="00AD21FF" w:rsidRDefault="00F201FB" w:rsidP="00F201FB">
      <w:pPr>
        <w:rPr>
          <w:noProof/>
          <w:lang w:eastAsia="en-GB"/>
        </w:rPr>
      </w:pPr>
      <w:r w:rsidRPr="00AD21FF">
        <w:rPr>
          <w:noProof/>
          <w:lang w:eastAsia="en-GB"/>
        </w:rPr>
        <w:t>The Commission received broad support for the idea of creating and protecting lead markets for low-carbon, EU made industrial products, as a key mechanism to stimulate demand and foster investment in decarbonisation. Similarly, stakeholders agreed that the creation of lead markets will serve to protect the competitiveness of EU clean tech and automotive industries. They further confirmed that Made in EU requirements are important for ensuring that the market for low-carbon industry products and clean tech products is not undermined by non-EU competition. The majority of stakeholders from the batteries sector also supported Made in EU requirements in various policy measures, for both public procurement and products placed on the market. Streamlining and speeding up permitting procedures saw a high support, in particular from SMEs, which have less resources to manage the administrative workload. Stakeholders viewed provisions for foreign investment positively, noting that such measures could attract much-needed capital along with additional benefits.</w:t>
      </w:r>
    </w:p>
    <w:p w14:paraId="1F05101D"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Impact assessment</w:t>
      </w:r>
    </w:p>
    <w:p w14:paraId="2047EE4C" w14:textId="77777777" w:rsidR="00F201FB" w:rsidRPr="00AD21FF" w:rsidRDefault="00F201FB" w:rsidP="00F201FB">
      <w:pPr>
        <w:pBdr>
          <w:top w:val="nil"/>
          <w:left w:val="nil"/>
          <w:bottom w:val="nil"/>
          <w:right w:val="nil"/>
          <w:between w:val="nil"/>
          <w:bar w:val="nil"/>
        </w:pBdr>
        <w:spacing w:before="0" w:after="240"/>
        <w:rPr>
          <w:rFonts w:eastAsia="Arial Unicode MS"/>
          <w:noProof/>
        </w:rPr>
      </w:pPr>
      <w:r w:rsidRPr="00AD21FF">
        <w:rPr>
          <w:rFonts w:eastAsia="Arial Unicode MS"/>
          <w:noProof/>
        </w:rPr>
        <w:t xml:space="preserve">In line with the Better Regulation Guidelines, this regulatory proposal is based on an impact assessment that analyses the problem and sub-problems related to the need for the EU industry to accelerate the decarbonisation of processes and products, in a global context of competitiveness challenges. The impact assessment identifies possible policy options to address problem-drivers and assesses their likely impacts. The impact assessment was structured to reflect the consultation of the Commission’s Inter-Service Steering Group on the Industrial Accelerator Act. </w:t>
      </w:r>
    </w:p>
    <w:p w14:paraId="028D9136" w14:textId="77777777" w:rsidR="00F201FB" w:rsidRPr="00AD21FF" w:rsidRDefault="00F201FB" w:rsidP="00F201FB">
      <w:pPr>
        <w:pBdr>
          <w:top w:val="nil"/>
          <w:left w:val="nil"/>
          <w:bottom w:val="nil"/>
          <w:right w:val="nil"/>
          <w:between w:val="nil"/>
          <w:bar w:val="nil"/>
        </w:pBdr>
        <w:spacing w:before="0" w:after="240"/>
        <w:rPr>
          <w:rFonts w:eastAsia="Arial Unicode MS"/>
          <w:noProof/>
        </w:rPr>
      </w:pPr>
      <w:r w:rsidRPr="00AD21FF">
        <w:rPr>
          <w:rFonts w:eastAsia="Arial Unicode MS"/>
          <w:noProof/>
        </w:rPr>
        <w:t>The impact assessment received a negative opinion from the Regulatory Scrutiny Board (RSB) on 26 September 2025. The Board recommended to:</w:t>
      </w:r>
    </w:p>
    <w:p w14:paraId="0C086F8E" w14:textId="77777777" w:rsidR="00F201FB" w:rsidRPr="00AD21FF" w:rsidRDefault="00F201FB" w:rsidP="005260AB">
      <w:pPr>
        <w:pStyle w:val="Bullet0"/>
        <w:numPr>
          <w:ilvl w:val="0"/>
          <w:numId w:val="14"/>
        </w:numPr>
        <w:rPr>
          <w:noProof/>
        </w:rPr>
      </w:pPr>
      <w:r w:rsidRPr="00AD21FF">
        <w:rPr>
          <w:noProof/>
        </w:rPr>
        <w:t>Develop the dynamic baseline, including a better explanation of the magnitude of decarbonisation investment slowdown and decarbonisation speed gap.</w:t>
      </w:r>
    </w:p>
    <w:p w14:paraId="3AAC5123" w14:textId="77777777" w:rsidR="00F201FB" w:rsidRPr="00AD21FF" w:rsidRDefault="00F201FB" w:rsidP="00F201FB">
      <w:pPr>
        <w:pStyle w:val="Bullet0"/>
        <w:rPr>
          <w:noProof/>
        </w:rPr>
      </w:pPr>
      <w:r w:rsidRPr="00AD21FF">
        <w:rPr>
          <w:noProof/>
        </w:rPr>
        <w:t>Improve analysis on problem drivers, including drivers related to permitting and FDIs, and, based on this, revise the general and specific objectives in a S.M.A.R.T manner, as well as improve the measures.</w:t>
      </w:r>
    </w:p>
    <w:p w14:paraId="7FB17F2C" w14:textId="77777777" w:rsidR="00F201FB" w:rsidRPr="00AD21FF" w:rsidRDefault="00F201FB" w:rsidP="00F201FB">
      <w:pPr>
        <w:pStyle w:val="Bullet0"/>
        <w:rPr>
          <w:noProof/>
        </w:rPr>
      </w:pPr>
      <w:r w:rsidRPr="00AD21FF">
        <w:rPr>
          <w:noProof/>
        </w:rPr>
        <w:t xml:space="preserve">Conduct a more in-depth analysis of the availability and economic viability of industrial decarbonisation technologies, and the demand for low-carbon alternatives, including price elasticity and substitutability. </w:t>
      </w:r>
    </w:p>
    <w:p w14:paraId="5768B93D" w14:textId="77777777" w:rsidR="00F201FB" w:rsidRPr="00AD21FF" w:rsidRDefault="00F201FB" w:rsidP="00F201FB">
      <w:pPr>
        <w:pStyle w:val="Bullet0"/>
        <w:rPr>
          <w:noProof/>
        </w:rPr>
      </w:pPr>
      <w:r w:rsidRPr="00AD21FF">
        <w:rPr>
          <w:noProof/>
        </w:rPr>
        <w:t>Improve, by better quantifying, the costs and benefits analysis, including the improvement of Annex 3.</w:t>
      </w:r>
    </w:p>
    <w:p w14:paraId="6797358B" w14:textId="77777777" w:rsidR="00F201FB" w:rsidRPr="00AD21FF" w:rsidRDefault="00F201FB" w:rsidP="00F201FB">
      <w:pPr>
        <w:pStyle w:val="Bullet0"/>
        <w:rPr>
          <w:noProof/>
        </w:rPr>
      </w:pPr>
      <w:r w:rsidRPr="00AD21FF">
        <w:rPr>
          <w:noProof/>
        </w:rPr>
        <w:t>Acknowledge the robustness of the modelling for the costs and benefits analysis, and transparently report the assumptions used for the calculation.</w:t>
      </w:r>
    </w:p>
    <w:p w14:paraId="2EEE1447" w14:textId="77777777" w:rsidR="00F201FB" w:rsidRPr="00AD21FF" w:rsidRDefault="00F201FB" w:rsidP="00F201FB">
      <w:pPr>
        <w:pBdr>
          <w:top w:val="nil"/>
          <w:left w:val="nil"/>
          <w:bottom w:val="nil"/>
          <w:right w:val="nil"/>
          <w:between w:val="nil"/>
          <w:bar w:val="nil"/>
        </w:pBdr>
        <w:spacing w:before="0" w:after="240"/>
        <w:rPr>
          <w:rFonts w:eastAsia="Arial Unicode MS"/>
          <w:noProof/>
        </w:rPr>
      </w:pPr>
      <w:r w:rsidRPr="00AD21FF">
        <w:rPr>
          <w:rFonts w:eastAsia="Arial Unicode MS"/>
          <w:noProof/>
        </w:rPr>
        <w:t xml:space="preserve">All the above-mentioned points were addressed to the best extent possible. When the revised impact assessment was resubmitted, the Board issued a positive opinion with reservations on 20 November 2025. The reservations pointed at the need to improve the analysis on the expected impacts of the general objective, as well as the interplay with economic security implications. It also noticed the need to further explain the limitations related to the modelling, as well as the cost benefit calculations and impacts on consumers and downstream sectors. The comments have been addressed via an improved analysis and to the extent feasible. The Board’s opinions as well as the final impact assessment and its executive summary are published together with this proposal. </w:t>
      </w:r>
    </w:p>
    <w:p w14:paraId="7E8CA827" w14:textId="77777777" w:rsidR="00F201FB" w:rsidRPr="00AD21FF" w:rsidRDefault="00F201FB" w:rsidP="00F201FB">
      <w:pPr>
        <w:pBdr>
          <w:top w:val="nil"/>
          <w:left w:val="nil"/>
          <w:bottom w:val="nil"/>
          <w:right w:val="nil"/>
          <w:between w:val="nil"/>
          <w:bar w:val="nil"/>
        </w:pBdr>
        <w:spacing w:before="0" w:after="240"/>
        <w:rPr>
          <w:rFonts w:eastAsia="Arial Unicode MS"/>
          <w:noProof/>
        </w:rPr>
      </w:pPr>
      <w:r w:rsidRPr="00AD21FF">
        <w:rPr>
          <w:rFonts w:eastAsia="Arial Unicode MS"/>
          <w:noProof/>
        </w:rPr>
        <w:t>The impact assessment is built around a set of 5 specific objectives that tackle the problem drivers identified. It sets out three policy options for each specific objective, based on the level of policy intervention, the scope, the efficiency and coherence, as well as the proportionality and subsidiarity principles.</w:t>
      </w:r>
    </w:p>
    <w:p w14:paraId="751BE17E" w14:textId="77777777" w:rsidR="00F201FB" w:rsidRPr="00AD21FF" w:rsidRDefault="00F201FB" w:rsidP="00F201FB">
      <w:pPr>
        <w:pBdr>
          <w:top w:val="nil"/>
          <w:left w:val="nil"/>
          <w:bottom w:val="nil"/>
          <w:right w:val="nil"/>
          <w:between w:val="nil"/>
          <w:bar w:val="nil"/>
        </w:pBdr>
        <w:spacing w:before="0" w:after="240"/>
        <w:rPr>
          <w:rFonts w:eastAsia="Arial Unicode MS"/>
          <w:noProof/>
        </w:rPr>
      </w:pPr>
      <w:r w:rsidRPr="00AD21FF">
        <w:rPr>
          <w:rFonts w:eastAsia="Arial Unicode MS"/>
          <w:b/>
          <w:bCs/>
          <w:noProof/>
        </w:rPr>
        <w:t>Policy option 1 (PO1)</w:t>
      </w:r>
      <w:r w:rsidRPr="00AD21FF">
        <w:rPr>
          <w:rFonts w:eastAsia="Arial Unicode MS"/>
          <w:noProof/>
        </w:rPr>
        <w:t xml:space="preserve"> proposes a carbon intensity label for all energy-intensive sectors.</w:t>
      </w:r>
      <w:r w:rsidR="00BD0488" w:rsidRPr="00BD0488">
        <w:rPr>
          <w:rFonts w:eastAsia="Arial Unicode MS"/>
          <w:noProof/>
        </w:rPr>
        <w:t> </w:t>
      </w:r>
      <w:r w:rsidRPr="00AD21FF">
        <w:rPr>
          <w:rFonts w:eastAsia="Arial Unicode MS"/>
          <w:noProof/>
        </w:rPr>
        <w:t>It aims to create lead markets, by introducing low-carbon requirements for energy</w:t>
      </w:r>
      <w:r w:rsidR="008A6FDA">
        <w:rPr>
          <w:rFonts w:eastAsia="Arial Unicode MS"/>
          <w:noProof/>
        </w:rPr>
        <w:t>-</w:t>
      </w:r>
      <w:r w:rsidRPr="00AD21FF">
        <w:rPr>
          <w:rFonts w:eastAsia="Arial Unicode MS"/>
          <w:noProof/>
        </w:rPr>
        <w:t>intensive materials (steel, cement</w:t>
      </w:r>
      <w:r w:rsidR="007161E1">
        <w:rPr>
          <w:rStyle w:val="FootnoteReference"/>
          <w:rFonts w:eastAsia="Arial Unicode MS"/>
          <w:noProof/>
        </w:rPr>
        <w:footnoteReference w:id="19"/>
      </w:r>
      <w:r w:rsidRPr="00AD21FF">
        <w:rPr>
          <w:rFonts w:eastAsia="Arial Unicode MS"/>
          <w:noProof/>
        </w:rPr>
        <w:t xml:space="preserve"> and aluminium) in selected downstream sectors (automotive and construction) in public procurement and support schemes. It also proposes introducing minimum Made in EU requirements for batteries, solar PV systems and vehicle components in public procurement procedures and for public support schemes. Regarding the objective of maximising benefits for FDIs, it introduces voluntary conditions for investments above a specified threshold for battery supply chain and potentially for relevant EIIs. To streamline permitting, the option proposes a unified digital procedure for all permits, applicable to the entire manufacturing sector. Lastly, it recommends Member States to facilitate public funding for projects in industrial areas. </w:t>
      </w:r>
    </w:p>
    <w:p w14:paraId="49A68C65" w14:textId="77777777" w:rsidR="00F201FB" w:rsidRPr="00AD21FF" w:rsidRDefault="00F201FB" w:rsidP="00F201FB">
      <w:pPr>
        <w:pBdr>
          <w:top w:val="nil"/>
          <w:left w:val="nil"/>
          <w:bottom w:val="nil"/>
          <w:right w:val="nil"/>
          <w:between w:val="nil"/>
          <w:bar w:val="nil"/>
        </w:pBdr>
        <w:spacing w:before="0" w:after="240"/>
        <w:rPr>
          <w:rFonts w:eastAsia="Arial Unicode MS"/>
          <w:noProof/>
        </w:rPr>
      </w:pPr>
      <w:r w:rsidRPr="00AD21FF">
        <w:rPr>
          <w:rFonts w:eastAsia="Arial Unicode MS"/>
          <w:b/>
          <w:bCs/>
          <w:noProof/>
        </w:rPr>
        <w:t>Policy Option 2 (PO2)</w:t>
      </w:r>
      <w:r w:rsidRPr="00AD21FF">
        <w:rPr>
          <w:rFonts w:eastAsia="Arial Unicode MS"/>
          <w:noProof/>
        </w:rPr>
        <w:t xml:space="preserve"> builds upon the first option by broadening the scope and requirements. Regarding lead markets, under PO2, low-carbon and Made in EU requirements are introduced for steel, cement and aluminium used in selected downstream sectors (automotive and construction) in public procurement and support schemes. Conditions for specific investments are mandatory rather than voluntary. PO2 increases support for the permitting process by introducing additional measures dedicated to EIIs. Lastly, it requires, instead of recommends, Member States to designate industrial areas. The label decreases however its scope by mandating a specific carbon intensity label for steel, with detailed rules that can later be expanded to include other energy-intensive materials.</w:t>
      </w:r>
    </w:p>
    <w:p w14:paraId="1564CEA5" w14:textId="77777777" w:rsidR="00F201FB" w:rsidRPr="00AD21FF" w:rsidRDefault="00F201FB" w:rsidP="00F201FB">
      <w:pPr>
        <w:pBdr>
          <w:top w:val="nil"/>
          <w:left w:val="nil"/>
          <w:bottom w:val="nil"/>
          <w:right w:val="nil"/>
          <w:between w:val="nil"/>
          <w:bar w:val="nil"/>
        </w:pBdr>
        <w:spacing w:before="0" w:after="240"/>
        <w:rPr>
          <w:rFonts w:eastAsia="Arial Unicode MS"/>
          <w:noProof/>
        </w:rPr>
      </w:pPr>
      <w:r w:rsidRPr="00AD21FF">
        <w:rPr>
          <w:rFonts w:eastAsia="Arial Unicode MS"/>
          <w:b/>
          <w:bCs/>
          <w:noProof/>
        </w:rPr>
        <w:t>Policy Option 3 (PO3)</w:t>
      </w:r>
      <w:r w:rsidRPr="00AD21FF">
        <w:rPr>
          <w:rFonts w:eastAsia="Arial Unicode MS"/>
          <w:noProof/>
        </w:rPr>
        <w:t xml:space="preserve"> further extends the previous two options. On lead markets, it introduces low-carbon and Made in EU requirements for all steel, cement and aluminium placed on the market for use in automotive and construction It also extends Made in EU requirements to all batteries, solar PVs and key vehicle components placed on the market. On permitting, it introduces dedicated measures for industrial areas. </w:t>
      </w:r>
    </w:p>
    <w:p w14:paraId="57583C26" w14:textId="77777777" w:rsidR="00F201FB" w:rsidRPr="00AD21FF" w:rsidRDefault="00F201FB" w:rsidP="00F201FB">
      <w:pPr>
        <w:pBdr>
          <w:top w:val="nil"/>
          <w:left w:val="nil"/>
          <w:bottom w:val="nil"/>
          <w:right w:val="nil"/>
          <w:between w:val="nil"/>
          <w:bar w:val="nil"/>
        </w:pBdr>
        <w:spacing w:before="0" w:after="240"/>
        <w:rPr>
          <w:rFonts w:eastAsia="Arial Unicode MS"/>
          <w:noProof/>
        </w:rPr>
      </w:pPr>
      <w:r w:rsidRPr="00AD21FF">
        <w:rPr>
          <w:rFonts w:eastAsia="Arial Unicode MS"/>
          <w:noProof/>
        </w:rPr>
        <w:t>Overall, the preferred option is PO2, as it would meet the objectives in the most effective and efficient way. It also has a more positive impacts in terms of proportionality that the other two options, as it suggests introducing low-carbon and made in EU for public procurement and public support only, while also showing the most coherence. PO2 could bring about one-off net reductions of about EUR 240 million in terms of administrative burden for businesses, mainly from permitting provisions (see Annex 4 of the impact assessment). The costs and benefits analysis concluded that PO2 results in overall net benefits of about EUR 8 billion for the economy</w:t>
      </w:r>
      <w:r w:rsidR="00E12E09">
        <w:rPr>
          <w:rFonts w:eastAsia="Arial Unicode MS"/>
          <w:noProof/>
        </w:rPr>
        <w:t xml:space="preserve"> in 2030</w:t>
      </w:r>
      <w:r w:rsidRPr="00AD21FF">
        <w:rPr>
          <w:rFonts w:eastAsia="Arial Unicode MS"/>
          <w:noProof/>
        </w:rPr>
        <w:t>, despite showing some adjustment costs for downstream sectors impacted by the low-carbon and/or Made in EU requirements. However, these losses are largely offset by long-term benefits in terms of value-added creation enhanced economic security, resilience and job creation of the European strategic industries, which ultimately provide stability and sustainable economic prosperity. PO3 would be more effective in achieving certain objectives, especially concerning the lead market provisions, but it would disproportionately increase the costs for the economy.</w:t>
      </w:r>
    </w:p>
    <w:p w14:paraId="6F085E16" w14:textId="77777777" w:rsidR="00F201FB" w:rsidRPr="00AD21FF" w:rsidRDefault="00F201FB" w:rsidP="00F201FB">
      <w:pPr>
        <w:rPr>
          <w:b/>
          <w:bCs/>
          <w:noProof/>
        </w:rPr>
      </w:pPr>
      <w:r w:rsidRPr="00AD21FF">
        <w:rPr>
          <w:b/>
          <w:bCs/>
          <w:noProof/>
        </w:rPr>
        <w:t xml:space="preserve">Differences compared to the preferred option in the impact assessment </w:t>
      </w:r>
    </w:p>
    <w:p w14:paraId="2F0E5B7E" w14:textId="77777777" w:rsidR="00F201FB" w:rsidRPr="00AD21FF" w:rsidRDefault="00F201FB" w:rsidP="00F201FB">
      <w:pPr>
        <w:shd w:val="clear" w:color="auto" w:fill="FFFFFF" w:themeFill="background1"/>
        <w:rPr>
          <w:noProof/>
        </w:rPr>
      </w:pPr>
      <w:r w:rsidRPr="00AD21FF">
        <w:rPr>
          <w:rFonts w:eastAsia="Times New Roman"/>
          <w:noProof/>
          <w:color w:val="000000" w:themeColor="text1"/>
        </w:rPr>
        <w:t xml:space="preserve">The proposal for the Regulation contains measures that </w:t>
      </w:r>
      <w:r w:rsidRPr="00AD21FF">
        <w:rPr>
          <w:noProof/>
        </w:rPr>
        <w:t>diverge from the preferred policy option presented in the impact assessment, namely:</w:t>
      </w:r>
    </w:p>
    <w:p w14:paraId="54D8C105" w14:textId="77777777" w:rsidR="00F201FB" w:rsidRPr="00AD21FF" w:rsidRDefault="00F201FB" w:rsidP="00F201FB">
      <w:pPr>
        <w:pStyle w:val="Bullet0"/>
        <w:rPr>
          <w:noProof/>
        </w:rPr>
      </w:pPr>
      <w:bookmarkStart w:id="3" w:name="_Hlk214886765"/>
      <w:bookmarkStart w:id="4" w:name="_Hlk214886802"/>
      <w:r w:rsidRPr="00AD21FF">
        <w:rPr>
          <w:noProof/>
          <w:color w:val="000000" w:themeColor="text1"/>
        </w:rPr>
        <w:t>Concerning permitting procedures, s</w:t>
      </w:r>
      <w:r w:rsidRPr="00AD21FF">
        <w:rPr>
          <w:noProof/>
        </w:rPr>
        <w:t xml:space="preserve">pecific measures for industrial manufacturing clusters (namely, tacit approval at intermediate stages and priority assessment of connection requests), which were not in the preferred policy option, have been introduced, in view of the synergetic benefits expected with the rest of the provisions on </w:t>
      </w:r>
      <w:r w:rsidR="00055878">
        <w:rPr>
          <w:noProof/>
        </w:rPr>
        <w:t>industrial manufacturing acceleration areas</w:t>
      </w:r>
      <w:r w:rsidRPr="00AD21FF">
        <w:rPr>
          <w:noProof/>
        </w:rPr>
        <w:t>.</w:t>
      </w:r>
    </w:p>
    <w:bookmarkEnd w:id="3"/>
    <w:p w14:paraId="1A71CB43" w14:textId="77777777" w:rsidR="00F201FB" w:rsidRPr="00AD21FF" w:rsidRDefault="00F201FB" w:rsidP="00F201FB">
      <w:pPr>
        <w:pStyle w:val="Bullet0"/>
        <w:rPr>
          <w:noProof/>
        </w:rPr>
      </w:pPr>
      <w:r w:rsidRPr="00AD21FF">
        <w:rPr>
          <w:noProof/>
        </w:rPr>
        <w:t xml:space="preserve">In terms of scope, the provisions on public procurement procedures, auctions and support schemes cover additional net-zero technologies than those analysed in the impact assessment. The proposal introduces Made in EU requirements also for solar thermal, heat pumps, wind, nuclear fission, and hydrogen, in line with the goal of increasing EU’s economic security, resilience, sustainability and security of supply. A dedicated annex </w:t>
      </w:r>
      <w:r w:rsidR="00C659DE">
        <w:rPr>
          <w:noProof/>
        </w:rPr>
        <w:t>in the impact assessment</w:t>
      </w:r>
      <w:r w:rsidRPr="00AD21FF">
        <w:rPr>
          <w:noProof/>
        </w:rPr>
        <w:t xml:space="preserve"> has been added to present the key impacts of these measures. While batteries and solar PV already today face a unique combination of high global overcapacities and high EU dependencies on single sources of supply, the other net-zero technologies in scope face intense (not always fair) global competition and could experience similar market developments. Therefore, the Commission has decided to introduce such provisions, in order to anticipate and mitigate potential future supply and market risks. </w:t>
      </w:r>
    </w:p>
    <w:p w14:paraId="1A8F9924" w14:textId="77777777" w:rsidR="00F201FB" w:rsidRPr="00AD21FF" w:rsidRDefault="00F201FB" w:rsidP="00380972">
      <w:pPr>
        <w:ind w:left="850"/>
        <w:rPr>
          <w:noProof/>
        </w:rPr>
      </w:pPr>
      <w:r w:rsidRPr="00AD21FF">
        <w:rPr>
          <w:noProof/>
        </w:rPr>
        <w:t>Regarding steel, the proposal limits requirements for steel used in the automotive and construction sectors to low-carbon criteria (rather than combining low-carbon and EU-origin requirements) within the framework of public procurement and support schemes. In light of the recently proposed trade measure addressing the negative trade-related effects of global overcapacity on the Union steel market, introducing a European preference for steel is not considered necessary.</w:t>
      </w:r>
    </w:p>
    <w:p w14:paraId="11F2BEB7" w14:textId="77777777" w:rsidR="00F201FB" w:rsidRPr="00AD21FF" w:rsidRDefault="00F201FB" w:rsidP="00F201FB">
      <w:pPr>
        <w:pStyle w:val="Bullet0"/>
        <w:rPr>
          <w:noProof/>
        </w:rPr>
      </w:pPr>
      <w:r w:rsidRPr="00AD21FF">
        <w:rPr>
          <w:noProof/>
        </w:rPr>
        <w:t xml:space="preserve">For the purposes of compliance with the low-carbon requirements, concrete will be considered low-carbon where it meets the criteria </w:t>
      </w:r>
      <w:r w:rsidR="00445589">
        <w:rPr>
          <w:noProof/>
        </w:rPr>
        <w:t>for “low</w:t>
      </w:r>
      <w:r w:rsidR="007F4816">
        <w:rPr>
          <w:noProof/>
        </w:rPr>
        <w:t>-</w:t>
      </w:r>
      <w:r w:rsidR="00445589">
        <w:rPr>
          <w:noProof/>
        </w:rPr>
        <w:t xml:space="preserve">carbon concrete” </w:t>
      </w:r>
      <w:r w:rsidRPr="00AD21FF">
        <w:rPr>
          <w:noProof/>
        </w:rPr>
        <w:t xml:space="preserve">laid down in the implementing measures adopted under the Construction Products Regulation (CPR). Likewise, </w:t>
      </w:r>
      <w:r w:rsidR="00445589">
        <w:rPr>
          <w:noProof/>
        </w:rPr>
        <w:t>low</w:t>
      </w:r>
      <w:r w:rsidR="007F4816">
        <w:rPr>
          <w:noProof/>
        </w:rPr>
        <w:t>-</w:t>
      </w:r>
      <w:r w:rsidR="00445589">
        <w:rPr>
          <w:noProof/>
        </w:rPr>
        <w:t>carbon</w:t>
      </w:r>
      <w:r w:rsidRPr="00AD21FF">
        <w:rPr>
          <w:noProof/>
        </w:rPr>
        <w:t xml:space="preserve"> steel products used in construction and </w:t>
      </w:r>
      <w:r w:rsidRPr="00AD21FF">
        <w:rPr>
          <w:rFonts w:eastAsia="Times"/>
          <w:noProof/>
        </w:rPr>
        <w:t>covered by a harmonised technical</w:t>
      </w:r>
      <w:r w:rsidRPr="00AD21FF">
        <w:rPr>
          <w:noProof/>
        </w:rPr>
        <w:t xml:space="preserve"> specification must comply with the low-carbon definition established under the CPR framework. Steel products falling outside the scope of the CPR will be considered low-carbon where they meet the </w:t>
      </w:r>
      <w:r w:rsidR="00445589">
        <w:rPr>
          <w:noProof/>
        </w:rPr>
        <w:t xml:space="preserve">conditions for </w:t>
      </w:r>
      <w:r w:rsidR="00022D1D">
        <w:rPr>
          <w:noProof/>
        </w:rPr>
        <w:t>“low</w:t>
      </w:r>
      <w:r w:rsidR="007F4816">
        <w:rPr>
          <w:noProof/>
        </w:rPr>
        <w:t>-</w:t>
      </w:r>
      <w:r w:rsidR="00022D1D">
        <w:rPr>
          <w:noProof/>
        </w:rPr>
        <w:t xml:space="preserve">carbon steel” </w:t>
      </w:r>
      <w:r w:rsidRPr="00AD21FF">
        <w:rPr>
          <w:noProof/>
        </w:rPr>
        <w:t xml:space="preserve">to be set out in the </w:t>
      </w:r>
      <w:r w:rsidR="004801DC">
        <w:rPr>
          <w:noProof/>
        </w:rPr>
        <w:t>delegated</w:t>
      </w:r>
      <w:r w:rsidR="004801DC" w:rsidRPr="00AD21FF">
        <w:rPr>
          <w:noProof/>
        </w:rPr>
        <w:t xml:space="preserve"> </w:t>
      </w:r>
      <w:r w:rsidR="005D4427">
        <w:rPr>
          <w:noProof/>
        </w:rPr>
        <w:t>acts</w:t>
      </w:r>
      <w:r w:rsidR="005D4427" w:rsidRPr="00AD21FF">
        <w:rPr>
          <w:noProof/>
        </w:rPr>
        <w:t xml:space="preserve"> </w:t>
      </w:r>
      <w:r w:rsidRPr="00AD21FF">
        <w:rPr>
          <w:noProof/>
        </w:rPr>
        <w:t xml:space="preserve">under the ESPR. This approach will ensure regulatory consistency with the existing product specific legislation. </w:t>
      </w:r>
    </w:p>
    <w:p w14:paraId="288B34A5" w14:textId="77777777" w:rsidR="00F201FB" w:rsidRPr="00AD21FF" w:rsidRDefault="00F201FB" w:rsidP="00F201FB">
      <w:pPr>
        <w:pStyle w:val="Bullet0"/>
        <w:rPr>
          <w:noProof/>
        </w:rPr>
      </w:pPr>
      <w:r w:rsidRPr="00AD21FF">
        <w:rPr>
          <w:noProof/>
        </w:rPr>
        <w:t xml:space="preserve">In addition, the proposal includes amendments to Article 25 of NZIA on public procurement to clarify the technology scope in including only technologies that are commonly publicly procured. It also includes </w:t>
      </w:r>
      <w:r w:rsidR="000E7044">
        <w:rPr>
          <w:noProof/>
        </w:rPr>
        <w:t xml:space="preserve">changes in </w:t>
      </w:r>
      <w:r w:rsidRPr="00AD21FF">
        <w:rPr>
          <w:noProof/>
        </w:rPr>
        <w:t xml:space="preserve">Article 26 of NZIA </w:t>
      </w:r>
      <w:r w:rsidR="000E7044">
        <w:rPr>
          <w:noProof/>
        </w:rPr>
        <w:t>in relation to</w:t>
      </w:r>
      <w:r w:rsidRPr="00AD21FF">
        <w:rPr>
          <w:noProof/>
        </w:rPr>
        <w:t xml:space="preserve"> auctions. This is to take account</w:t>
      </w:r>
      <w:r w:rsidRPr="00AD21FF" w:rsidDel="000828C7">
        <w:rPr>
          <w:noProof/>
        </w:rPr>
        <w:t xml:space="preserve"> </w:t>
      </w:r>
      <w:r w:rsidRPr="00AD21FF">
        <w:rPr>
          <w:noProof/>
        </w:rPr>
        <w:t xml:space="preserve">of the growing importance of auctions for securing the Union’s energy supply and safeguarding its technological sovereignty. It also includes amendments to Article 1 and 22 of the Construction Products Regulation. </w:t>
      </w:r>
      <w:bookmarkEnd w:id="4"/>
    </w:p>
    <w:p w14:paraId="7F6F6053" w14:textId="77777777" w:rsidR="00480FDA" w:rsidRPr="00AD21FF" w:rsidRDefault="00480FDA" w:rsidP="00480FDA">
      <w:pPr>
        <w:pStyle w:val="Bullet0"/>
        <w:rPr>
          <w:noProof/>
        </w:rPr>
      </w:pPr>
      <w:r>
        <w:rPr>
          <w:noProof/>
        </w:rPr>
        <w:t xml:space="preserve">The proposal does not follow </w:t>
      </w:r>
      <w:r w:rsidR="00902CB6">
        <w:rPr>
          <w:noProof/>
        </w:rPr>
        <w:t xml:space="preserve">the </w:t>
      </w:r>
      <w:r>
        <w:rPr>
          <w:noProof/>
        </w:rPr>
        <w:t>preferred policy option to adopt a voluntary steel label in support of low-carbon steel investment decisions. Instead, the focus is put on implementing rapidly existing commitments, such as in the context of the ESPR, and to design an empowerment to be able to supplement the lead market provisions with the development of voluntary labels on the low-carbon performance classes of energy</w:t>
      </w:r>
      <w:r w:rsidR="00BE6E8B">
        <w:rPr>
          <w:noProof/>
        </w:rPr>
        <w:t>-</w:t>
      </w:r>
      <w:r>
        <w:rPr>
          <w:noProof/>
        </w:rPr>
        <w:t xml:space="preserve">intensive industrial products. </w:t>
      </w:r>
    </w:p>
    <w:p w14:paraId="6ECF4DCE" w14:textId="77777777" w:rsidR="00F201FB" w:rsidRPr="00AD21FF" w:rsidRDefault="00F201FB" w:rsidP="00EB053C">
      <w:pPr>
        <w:ind w:left="850"/>
        <w:rPr>
          <w:noProof/>
        </w:rPr>
      </w:pPr>
      <w:r w:rsidRPr="00AD21FF">
        <w:rPr>
          <w:noProof/>
        </w:rPr>
        <w:t>All these measures remain within the overall framework assessed in the impact assessment and do not significantly affect the comparison of options.</w:t>
      </w:r>
      <w:r w:rsidRPr="00AD21FF" w:rsidDel="00131AE3">
        <w:rPr>
          <w:noProof/>
        </w:rPr>
        <w:t xml:space="preserve"> </w:t>
      </w:r>
      <w:r w:rsidRPr="00AD21FF">
        <w:rPr>
          <w:noProof/>
        </w:rPr>
        <w:t xml:space="preserve">For clean technologies, the scope extension implies that </w:t>
      </w:r>
      <w:r w:rsidR="00C64016">
        <w:rPr>
          <w:noProof/>
        </w:rPr>
        <w:t xml:space="preserve">the resulting </w:t>
      </w:r>
      <w:r w:rsidR="00A96370">
        <w:rPr>
          <w:noProof/>
        </w:rPr>
        <w:t xml:space="preserve">impacts on electricity markets </w:t>
      </w:r>
      <w:r w:rsidR="00C07D53">
        <w:rPr>
          <w:noProof/>
        </w:rPr>
        <w:t xml:space="preserve">could be </w:t>
      </w:r>
      <w:r w:rsidR="00166B74">
        <w:rPr>
          <w:noProof/>
        </w:rPr>
        <w:t>of higher magnitude, including for downstream users</w:t>
      </w:r>
      <w:r w:rsidRPr="00AD21FF">
        <w:rPr>
          <w:noProof/>
        </w:rPr>
        <w:t>. However, the same safeguards that were analysed in detail for batteries and solar apply as well to other net zero technologies.</w:t>
      </w:r>
    </w:p>
    <w:p w14:paraId="21E8C934"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Regulatory fitness and simplification</w:t>
      </w:r>
    </w:p>
    <w:p w14:paraId="7A7BA2FC" w14:textId="77777777" w:rsidR="00F201FB" w:rsidRPr="00AD21FF" w:rsidRDefault="000862B2" w:rsidP="00F201FB">
      <w:pPr>
        <w:rPr>
          <w:noProof/>
          <w:lang w:eastAsia="en-GB"/>
        </w:rPr>
      </w:pPr>
      <w:r>
        <w:rPr>
          <w:noProof/>
          <w:lang w:eastAsia="en-GB"/>
        </w:rPr>
        <w:t>T</w:t>
      </w:r>
      <w:r w:rsidR="0082297D">
        <w:rPr>
          <w:noProof/>
          <w:lang w:eastAsia="en-GB"/>
        </w:rPr>
        <w:t xml:space="preserve">his </w:t>
      </w:r>
      <w:r w:rsidR="00F201FB" w:rsidRPr="00AD21FF">
        <w:rPr>
          <w:noProof/>
          <w:lang w:eastAsia="en-GB"/>
        </w:rPr>
        <w:t xml:space="preserve">proposal </w:t>
      </w:r>
      <w:r>
        <w:rPr>
          <w:noProof/>
          <w:lang w:eastAsia="en-GB"/>
        </w:rPr>
        <w:t xml:space="preserve">is designed </w:t>
      </w:r>
      <w:r w:rsidR="0082297D">
        <w:rPr>
          <w:noProof/>
          <w:lang w:eastAsia="en-GB"/>
        </w:rPr>
        <w:t xml:space="preserve">to </w:t>
      </w:r>
      <w:r w:rsidR="00EE104E">
        <w:rPr>
          <w:noProof/>
          <w:lang w:eastAsia="en-GB"/>
        </w:rPr>
        <w:t>mitigate</w:t>
      </w:r>
      <w:r w:rsidR="0082297D">
        <w:rPr>
          <w:noProof/>
          <w:lang w:eastAsia="en-GB"/>
        </w:rPr>
        <w:t xml:space="preserve"> the impacts </w:t>
      </w:r>
      <w:r w:rsidR="00EE104E">
        <w:rPr>
          <w:noProof/>
          <w:lang w:eastAsia="en-GB"/>
        </w:rPr>
        <w:t>of</w:t>
      </w:r>
      <w:r w:rsidR="0082297D">
        <w:rPr>
          <w:noProof/>
          <w:lang w:eastAsia="en-GB"/>
        </w:rPr>
        <w:t xml:space="preserve"> </w:t>
      </w:r>
      <w:r w:rsidR="00AE1DC5">
        <w:rPr>
          <w:noProof/>
          <w:lang w:eastAsia="en-GB"/>
        </w:rPr>
        <w:t>Union origin and low</w:t>
      </w:r>
      <w:r w:rsidR="007F4816">
        <w:rPr>
          <w:noProof/>
          <w:lang w:eastAsia="en-GB"/>
        </w:rPr>
        <w:t>-</w:t>
      </w:r>
      <w:r w:rsidR="00AE1DC5">
        <w:rPr>
          <w:noProof/>
          <w:lang w:eastAsia="en-GB"/>
        </w:rPr>
        <w:t>carbon requirements, and foreign direct investment conditionalities</w:t>
      </w:r>
      <w:r w:rsidR="00EE104E">
        <w:rPr>
          <w:noProof/>
          <w:lang w:eastAsia="en-GB"/>
        </w:rPr>
        <w:t>,</w:t>
      </w:r>
      <w:r w:rsidR="00371EC3">
        <w:rPr>
          <w:noProof/>
          <w:lang w:eastAsia="en-GB"/>
        </w:rPr>
        <w:t xml:space="preserve"> </w:t>
      </w:r>
      <w:r w:rsidR="00EE104E">
        <w:rPr>
          <w:noProof/>
          <w:lang w:eastAsia="en-GB"/>
        </w:rPr>
        <w:t>on regulatory burden.</w:t>
      </w:r>
      <w:r w:rsidR="004E3432">
        <w:rPr>
          <w:noProof/>
          <w:lang w:eastAsia="en-GB"/>
        </w:rPr>
        <w:t xml:space="preserve"> Other parts</w:t>
      </w:r>
      <w:r w:rsidR="00C94E0D">
        <w:rPr>
          <w:noProof/>
          <w:lang w:eastAsia="en-GB"/>
        </w:rPr>
        <w:t xml:space="preserve"> e.g. on permitting </w:t>
      </w:r>
      <w:r w:rsidR="00C70DA1">
        <w:rPr>
          <w:noProof/>
          <w:lang w:eastAsia="en-GB"/>
        </w:rPr>
        <w:t xml:space="preserve">directly </w:t>
      </w:r>
      <w:r w:rsidR="00C94E0D">
        <w:rPr>
          <w:noProof/>
          <w:lang w:eastAsia="en-GB"/>
        </w:rPr>
        <w:t>reduce it</w:t>
      </w:r>
      <w:r w:rsidR="00C70DA1">
        <w:rPr>
          <w:noProof/>
          <w:lang w:eastAsia="en-GB"/>
        </w:rPr>
        <w:t xml:space="preserve"> for economic operators</w:t>
      </w:r>
      <w:r w:rsidR="00C94E0D">
        <w:rPr>
          <w:noProof/>
          <w:lang w:eastAsia="en-GB"/>
        </w:rPr>
        <w:t>.</w:t>
      </w:r>
    </w:p>
    <w:p w14:paraId="7428883E" w14:textId="77777777" w:rsidR="00F201FB" w:rsidRPr="00AD21FF" w:rsidRDefault="00F201FB" w:rsidP="00F201FB">
      <w:pPr>
        <w:rPr>
          <w:noProof/>
          <w:lang w:eastAsia="en-GB"/>
        </w:rPr>
      </w:pPr>
      <w:r w:rsidRPr="00AD21FF">
        <w:rPr>
          <w:noProof/>
          <w:lang w:eastAsia="en-GB"/>
        </w:rPr>
        <w:t>The administrative costs for businesses that will apply directly with this Regulation are expected to be offset by efficiency gains from streamlined permitting</w:t>
      </w:r>
      <w:r w:rsidR="004F1C6F">
        <w:rPr>
          <w:noProof/>
          <w:lang w:eastAsia="en-GB"/>
        </w:rPr>
        <w:t xml:space="preserve"> and long-term benefits in terms of greater resilience of supply chains</w:t>
      </w:r>
      <w:r w:rsidRPr="00AD21FF">
        <w:rPr>
          <w:noProof/>
          <w:lang w:eastAsia="en-GB"/>
        </w:rPr>
        <w:t xml:space="preserve">. They relate to obligations to demonstrate compliance for lead market provisions for companies operating in relevant downstream sectors. In terms of conditionalities on investments, the uniform application of the conditions across the Union would largely prevent forum shopping and race to the bottom in attracting foreign investments, while harmonising and simplifying the business conditions. </w:t>
      </w:r>
    </w:p>
    <w:p w14:paraId="51FFA58A" w14:textId="77777777" w:rsidR="00F201FB" w:rsidRPr="00AD21FF" w:rsidRDefault="00F201FB" w:rsidP="00F201FB">
      <w:pPr>
        <w:rPr>
          <w:noProof/>
          <w:lang w:eastAsia="en-GB"/>
        </w:rPr>
      </w:pPr>
      <w:r w:rsidRPr="00AD21FF">
        <w:rPr>
          <w:noProof/>
          <w:lang w:eastAsia="en-GB"/>
        </w:rPr>
        <w:t xml:space="preserve">For Member States, </w:t>
      </w:r>
      <w:r w:rsidR="00CC085B">
        <w:rPr>
          <w:noProof/>
          <w:lang w:eastAsia="en-GB"/>
        </w:rPr>
        <w:t xml:space="preserve">additional </w:t>
      </w:r>
      <w:r w:rsidRPr="00AD21FF">
        <w:rPr>
          <w:noProof/>
          <w:lang w:eastAsia="en-GB"/>
        </w:rPr>
        <w:t xml:space="preserve">administrative costs </w:t>
      </w:r>
      <w:r w:rsidR="00CC085B">
        <w:rPr>
          <w:noProof/>
          <w:lang w:eastAsia="en-GB"/>
        </w:rPr>
        <w:t>are</w:t>
      </w:r>
      <w:r w:rsidR="00CC085B" w:rsidRPr="00AD21FF">
        <w:rPr>
          <w:noProof/>
          <w:lang w:eastAsia="en-GB"/>
        </w:rPr>
        <w:t xml:space="preserve"> </w:t>
      </w:r>
      <w:r w:rsidRPr="00AD21FF">
        <w:rPr>
          <w:noProof/>
          <w:lang w:eastAsia="en-GB"/>
        </w:rPr>
        <w:t xml:space="preserve">expected, connected to the monitoring </w:t>
      </w:r>
      <w:r w:rsidR="00260288">
        <w:rPr>
          <w:noProof/>
          <w:lang w:eastAsia="en-GB"/>
        </w:rPr>
        <w:t xml:space="preserve">and implementation </w:t>
      </w:r>
      <w:r w:rsidRPr="00AD21FF">
        <w:rPr>
          <w:noProof/>
          <w:lang w:eastAsia="en-GB"/>
        </w:rPr>
        <w:t>of lead markets provisions</w:t>
      </w:r>
      <w:r w:rsidR="00260288">
        <w:rPr>
          <w:noProof/>
          <w:lang w:eastAsia="en-GB"/>
        </w:rPr>
        <w:t xml:space="preserve"> </w:t>
      </w:r>
      <w:r w:rsidR="008951EB">
        <w:rPr>
          <w:noProof/>
          <w:lang w:eastAsia="en-GB"/>
        </w:rPr>
        <w:t>in</w:t>
      </w:r>
      <w:r w:rsidR="00260288">
        <w:rPr>
          <w:noProof/>
          <w:lang w:eastAsia="en-GB"/>
        </w:rPr>
        <w:t xml:space="preserve"> public procurement and support sche</w:t>
      </w:r>
      <w:r w:rsidR="009C4E6A">
        <w:rPr>
          <w:noProof/>
          <w:lang w:eastAsia="en-GB"/>
        </w:rPr>
        <w:t>m</w:t>
      </w:r>
      <w:r w:rsidR="00260288">
        <w:rPr>
          <w:noProof/>
          <w:lang w:eastAsia="en-GB"/>
        </w:rPr>
        <w:t>es</w:t>
      </w:r>
      <w:r w:rsidRPr="00AD21FF">
        <w:rPr>
          <w:noProof/>
          <w:lang w:eastAsia="en-GB"/>
        </w:rPr>
        <w:t>. Similarly, the implementation of conditions on foreign investment, including prescription, monitoring and penalising, will add to the administrative costs. Permitting provisions are also expected to increase costs for public authorities in the short term, while, on the other hand, digitalisation and simplification will deliver substantial cost and time savings in the medium and long term, for both the industry and public authorities. Lastly, the designation of acceleration areas as well as implementation of benefits for industrial areas will come with an additional administrative cost for Member States, against the benefits for individual companies operating within the areas.</w:t>
      </w:r>
    </w:p>
    <w:p w14:paraId="577E7214"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Fundamental rights</w:t>
      </w:r>
    </w:p>
    <w:p w14:paraId="28EB4607" w14:textId="77777777" w:rsidR="00F201FB" w:rsidRPr="00AD21FF" w:rsidRDefault="00F201FB" w:rsidP="00F201FB">
      <w:pPr>
        <w:rPr>
          <w:noProof/>
          <w:lang w:eastAsia="en-GB"/>
        </w:rPr>
      </w:pPr>
      <w:r w:rsidRPr="00AD21FF">
        <w:rPr>
          <w:noProof/>
          <w:lang w:eastAsia="en-GB"/>
        </w:rPr>
        <w:t>Article 16 of the Charter of Fundamental Rights of the European Union (‘the Charter’) provides for the freedom to conduct a business. The measures under this proposal create innovation capacity and foster demand for energy</w:t>
      </w:r>
      <w:r w:rsidR="00BE6E8B">
        <w:rPr>
          <w:noProof/>
          <w:lang w:eastAsia="en-GB"/>
        </w:rPr>
        <w:t>-</w:t>
      </w:r>
      <w:r w:rsidRPr="00AD21FF">
        <w:rPr>
          <w:noProof/>
          <w:lang w:eastAsia="en-GB"/>
        </w:rPr>
        <w:t>intensive industr</w:t>
      </w:r>
      <w:r w:rsidR="00862074">
        <w:rPr>
          <w:noProof/>
          <w:lang w:eastAsia="en-GB"/>
        </w:rPr>
        <w:t>ial</w:t>
      </w:r>
      <w:r w:rsidRPr="00AD21FF">
        <w:rPr>
          <w:noProof/>
          <w:lang w:eastAsia="en-GB"/>
        </w:rPr>
        <w:t xml:space="preserve"> products in the Union, which can reinforce the freedom to conduct a business in accordance with Union law and national laws and practices.</w:t>
      </w:r>
    </w:p>
    <w:p w14:paraId="64EA4F6F" w14:textId="77777777" w:rsidR="00440ED7" w:rsidRPr="00AD21FF" w:rsidRDefault="00440ED7">
      <w:pPr>
        <w:pStyle w:val="ManualHeading1"/>
        <w:rPr>
          <w:noProof/>
        </w:rPr>
      </w:pPr>
      <w:r w:rsidRPr="00AD21FF">
        <w:rPr>
          <w:noProof/>
        </w:rPr>
        <w:t>4.</w:t>
      </w:r>
      <w:r w:rsidRPr="00AD21FF">
        <w:rPr>
          <w:noProof/>
        </w:rPr>
        <w:tab/>
        <w:t>BUDGETARY IMPLICATIONS</w:t>
      </w:r>
    </w:p>
    <w:p w14:paraId="0BF64DD0" w14:textId="77777777" w:rsidR="00F201FB" w:rsidRPr="00AD21FF" w:rsidRDefault="00F201FB" w:rsidP="00F201FB">
      <w:pPr>
        <w:rPr>
          <w:noProof/>
        </w:rPr>
      </w:pPr>
      <w:r w:rsidRPr="00AD21FF">
        <w:rPr>
          <w:noProof/>
        </w:rPr>
        <w:t>The proposal has budgetary implications for the Commission. Specifically, it will require approximately 6 full-time equivalents per year to implement, an additional recurring cost of EUR 20 000 per section for the expansion of Annex 1 of the SGDR with the envisioned permitting provisions and a one-off cost of EUR 20 000 for investment in the back-end of the Single Digital Gateway (SDG) system. Compared to the Impact assessment report, the figures have been adjusted to reflect to wider scope of the measures proposed in the Act.</w:t>
      </w:r>
    </w:p>
    <w:p w14:paraId="0313DB0A" w14:textId="77777777" w:rsidR="00F201FB" w:rsidRPr="00AD21FF" w:rsidRDefault="00F201FB" w:rsidP="00F201FB">
      <w:pPr>
        <w:rPr>
          <w:noProof/>
        </w:rPr>
      </w:pPr>
      <w:r w:rsidRPr="00AD21FF">
        <w:rPr>
          <w:noProof/>
        </w:rPr>
        <w:t xml:space="preserve">The budget implications are mainly to carry out the work foreseen to </w:t>
      </w:r>
      <w:r w:rsidR="007463D4">
        <w:rPr>
          <w:noProof/>
        </w:rPr>
        <w:t>(</w:t>
      </w:r>
      <w:r w:rsidRPr="00AD21FF">
        <w:rPr>
          <w:noProof/>
        </w:rPr>
        <w:t xml:space="preserve">i) review foreign direct investment notifications submitted by the Investment Authorities within Member States; </w:t>
      </w:r>
      <w:r w:rsidR="007463D4">
        <w:rPr>
          <w:noProof/>
        </w:rPr>
        <w:t>(</w:t>
      </w:r>
      <w:r w:rsidRPr="00AD21FF">
        <w:rPr>
          <w:noProof/>
        </w:rPr>
        <w:t>ii) monitor enforcement of Member States’ obligations on lead market provisions</w:t>
      </w:r>
      <w:r w:rsidR="00862074">
        <w:rPr>
          <w:noProof/>
        </w:rPr>
        <w:t>;</w:t>
      </w:r>
      <w:r w:rsidRPr="00AD21FF">
        <w:rPr>
          <w:noProof/>
        </w:rPr>
        <w:t xml:space="preserve"> and </w:t>
      </w:r>
      <w:r w:rsidR="007463D4">
        <w:rPr>
          <w:noProof/>
        </w:rPr>
        <w:t>(iii</w:t>
      </w:r>
      <w:r w:rsidRPr="00AD21FF">
        <w:rPr>
          <w:noProof/>
        </w:rPr>
        <w:t xml:space="preserve">) implement the expansion of Annex </w:t>
      </w:r>
      <w:r w:rsidR="00A70983">
        <w:rPr>
          <w:noProof/>
        </w:rPr>
        <w:t>II</w:t>
      </w:r>
      <w:r w:rsidRPr="00AD21FF">
        <w:rPr>
          <w:noProof/>
        </w:rPr>
        <w:t xml:space="preserve"> of the SGDR and the back-end SDG system to meet permitting provisions.</w:t>
      </w:r>
    </w:p>
    <w:p w14:paraId="2BC6C422" w14:textId="77777777" w:rsidR="00440ED7" w:rsidRPr="00AD21FF" w:rsidRDefault="00440ED7">
      <w:pPr>
        <w:pStyle w:val="ManualHeading1"/>
        <w:rPr>
          <w:noProof/>
        </w:rPr>
      </w:pPr>
      <w:r w:rsidRPr="00AD21FF">
        <w:rPr>
          <w:noProof/>
        </w:rPr>
        <w:t>5.</w:t>
      </w:r>
      <w:r w:rsidRPr="00AD21FF">
        <w:rPr>
          <w:noProof/>
        </w:rPr>
        <w:tab/>
        <w:t>OTHER ELEMENTS</w:t>
      </w:r>
    </w:p>
    <w:p w14:paraId="035F1A5C"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Implementation plans and monitoring, evaluation and reporting arrangements</w:t>
      </w:r>
    </w:p>
    <w:p w14:paraId="7282E2E8" w14:textId="77777777" w:rsidR="00F201FB" w:rsidRPr="00AD21FF" w:rsidRDefault="00F201FB" w:rsidP="00F201FB">
      <w:pPr>
        <w:rPr>
          <w:noProof/>
          <w:lang w:val="en-US" w:eastAsia="en-GB"/>
        </w:rPr>
      </w:pPr>
      <w:r w:rsidRPr="00AD21FF">
        <w:rPr>
          <w:noProof/>
          <w:lang w:val="en-US" w:eastAsia="en-GB"/>
        </w:rPr>
        <w:t xml:space="preserve">The Commission will evaluate the coherence, results, impacts, proportionality and subsidiarity of this proposal three years after the date on which it becomes applicable. A review clause is proposed after five years, to assess whether lead market provisions remain necessary in light of market developments, or whether such measures should be considered for other sectors critical to the EU’s economic security. The measures proposed are conceived as targeted and time-bound interventions to accelerate the Union’s industrial capacity and boost economic security of strategic sectors only. This guarantees that the tailor-made approach remains flexible, evidence-based and can be adapted to the evolving needs of Europe’s industrial base. </w:t>
      </w:r>
    </w:p>
    <w:p w14:paraId="2247D3EC" w14:textId="77777777" w:rsidR="00F201FB" w:rsidRPr="00AD21FF" w:rsidRDefault="00F201FB" w:rsidP="00F201FB">
      <w:pPr>
        <w:rPr>
          <w:noProof/>
          <w:lang w:val="en-US" w:eastAsia="en-GB"/>
        </w:rPr>
      </w:pPr>
      <w:r w:rsidRPr="00AD21FF">
        <w:rPr>
          <w:noProof/>
          <w:lang w:val="en-US" w:eastAsia="en-GB"/>
        </w:rPr>
        <w:t xml:space="preserve">In order to conduct the evaluation, Member States and national competent authorities will provide necessary and relevant information to the Commission, as appropriate, </w:t>
      </w:r>
      <w:r w:rsidR="0014713C">
        <w:rPr>
          <w:noProof/>
          <w:lang w:val="en-US" w:eastAsia="en-GB"/>
        </w:rPr>
        <w:t>at</w:t>
      </w:r>
      <w:r w:rsidRPr="00AD21FF">
        <w:rPr>
          <w:noProof/>
          <w:lang w:val="en-US" w:eastAsia="en-GB"/>
        </w:rPr>
        <w:t xml:space="preserve"> its request.</w:t>
      </w:r>
    </w:p>
    <w:p w14:paraId="3899BF1B" w14:textId="77777777" w:rsidR="00440ED7" w:rsidRPr="00AD21FF" w:rsidRDefault="00440ED7">
      <w:pPr>
        <w:pStyle w:val="ManualHeading2"/>
        <w:rPr>
          <w:rFonts w:eastAsia="Arial Unicode MS"/>
          <w:noProof/>
          <w:u w:color="000000"/>
          <w:bdr w:val="nil"/>
          <w:lang w:val="en-US" w:eastAsia="en-GB"/>
        </w:rPr>
      </w:pPr>
      <w:r w:rsidRPr="00AD21FF">
        <w:rPr>
          <w:rFonts w:eastAsia="Arial Unicode MS"/>
          <w:noProof/>
          <w:u w:color="000000"/>
          <w:bdr w:val="nil"/>
          <w:lang w:val="en-US" w:eastAsia="en-GB"/>
        </w:rPr>
        <w:t>•</w:t>
      </w:r>
      <w:r w:rsidRPr="00AD21FF">
        <w:rPr>
          <w:rFonts w:eastAsia="Arial Unicode MS"/>
          <w:noProof/>
          <w:u w:color="000000"/>
          <w:bdr w:val="nil"/>
          <w:lang w:val="en-US" w:eastAsia="en-GB"/>
        </w:rPr>
        <w:tab/>
        <w:t>Detailed explanation of the specific provisions of the proposal</w:t>
      </w:r>
    </w:p>
    <w:p w14:paraId="7D453563" w14:textId="77777777" w:rsidR="00F201FB" w:rsidRPr="00AD21FF" w:rsidRDefault="00F201FB" w:rsidP="00F201FB">
      <w:pPr>
        <w:rPr>
          <w:noProof/>
          <w:lang w:eastAsia="en-GB"/>
        </w:rPr>
      </w:pPr>
      <w:r w:rsidRPr="00AD21FF">
        <w:rPr>
          <w:noProof/>
          <w:lang w:eastAsia="en-GB"/>
        </w:rPr>
        <w:t>Chapter I of the Regulation outlines the general provisions of the Regulation, including the subject matter, namely the improvement of the functioning of the internal market by establishing a framework to ensure the Union’s access to a secure, sustainable, and resilient supply of relevant manufacturing products and their supply chains</w:t>
      </w:r>
      <w:r w:rsidR="00862074">
        <w:rPr>
          <w:noProof/>
          <w:lang w:eastAsia="en-GB"/>
        </w:rPr>
        <w:t>,</w:t>
      </w:r>
      <w:r w:rsidRPr="00AD21FF">
        <w:rPr>
          <w:noProof/>
          <w:lang w:eastAsia="en-GB"/>
        </w:rPr>
        <w:t xml:space="preserve"> the scope of the Regulation, the industrialisation objective and the definitions needed for the purposes of this Regulation. </w:t>
      </w:r>
    </w:p>
    <w:p w14:paraId="631E1B36" w14:textId="77777777" w:rsidR="00F201FB" w:rsidRPr="00AD21FF" w:rsidRDefault="00F201FB" w:rsidP="00F201FB">
      <w:pPr>
        <w:rPr>
          <w:noProof/>
          <w:lang w:eastAsia="en-GB"/>
        </w:rPr>
      </w:pPr>
      <w:r w:rsidRPr="00AD21FF">
        <w:rPr>
          <w:noProof/>
          <w:lang w:eastAsia="en-GB"/>
        </w:rPr>
        <w:t>Chapter II outlines the enabling conditions for industrial production and decarbonisation. It sets out provisions that ensure streamlined, efficient and digital permit-granting procedures for industrial manufacturing projects. It also introduces provisions on permit-granting procedures for energy</w:t>
      </w:r>
      <w:r w:rsidR="00BE6E8B">
        <w:rPr>
          <w:noProof/>
          <w:lang w:eastAsia="en-GB"/>
        </w:rPr>
        <w:t>-</w:t>
      </w:r>
      <w:r w:rsidRPr="00AD21FF">
        <w:rPr>
          <w:noProof/>
          <w:lang w:eastAsia="en-GB"/>
        </w:rPr>
        <w:t xml:space="preserve">intensive </w:t>
      </w:r>
      <w:r w:rsidR="00AF00FA">
        <w:rPr>
          <w:noProof/>
          <w:lang w:eastAsia="en-GB"/>
        </w:rPr>
        <w:t xml:space="preserve">industry </w:t>
      </w:r>
      <w:r w:rsidRPr="00AD21FF">
        <w:rPr>
          <w:noProof/>
          <w:lang w:eastAsia="en-GB"/>
        </w:rPr>
        <w:t>decarbonisation projects and net zero industry projects.</w:t>
      </w:r>
    </w:p>
    <w:p w14:paraId="1506D763" w14:textId="77777777" w:rsidR="00F201FB" w:rsidRPr="00AD21FF" w:rsidRDefault="00F201FB" w:rsidP="00F201FB">
      <w:pPr>
        <w:rPr>
          <w:noProof/>
          <w:lang w:eastAsia="en-GB"/>
        </w:rPr>
      </w:pPr>
      <w:r w:rsidRPr="00AD21FF">
        <w:rPr>
          <w:noProof/>
          <w:lang w:eastAsia="en-GB"/>
        </w:rPr>
        <w:t>Chapter III establishes a framework for the application of Union origin and low-carbon requirements to certain products and services from strategic sectors in the context of public procurement and public support schemes.</w:t>
      </w:r>
    </w:p>
    <w:p w14:paraId="4281B29A" w14:textId="77777777" w:rsidR="00F201FB" w:rsidRPr="00AD21FF" w:rsidRDefault="00F201FB" w:rsidP="00F201FB">
      <w:pPr>
        <w:rPr>
          <w:noProof/>
          <w:lang w:eastAsia="en-GB"/>
        </w:rPr>
      </w:pPr>
      <w:r w:rsidRPr="00AD21FF">
        <w:rPr>
          <w:noProof/>
          <w:lang w:eastAsia="en-GB"/>
        </w:rPr>
        <w:t xml:space="preserve">It sets out low-carbon requirements for steel, and Union origin and low-carbon requirements for </w:t>
      </w:r>
      <w:r w:rsidR="0065433F" w:rsidRPr="00AD21FF">
        <w:rPr>
          <w:noProof/>
          <w:lang w:eastAsia="en-GB"/>
        </w:rPr>
        <w:t>c</w:t>
      </w:r>
      <w:r w:rsidR="0065433F">
        <w:rPr>
          <w:noProof/>
          <w:lang w:eastAsia="en-GB"/>
        </w:rPr>
        <w:t xml:space="preserve">oncrete and </w:t>
      </w:r>
      <w:r w:rsidR="00B97304">
        <w:rPr>
          <w:noProof/>
          <w:lang w:eastAsia="en-GB"/>
        </w:rPr>
        <w:t>mortar</w:t>
      </w:r>
      <w:r w:rsidR="00D407F8">
        <w:rPr>
          <w:noProof/>
          <w:lang w:eastAsia="en-GB"/>
        </w:rPr>
        <w:t xml:space="preserve"> and</w:t>
      </w:r>
      <w:r w:rsidRPr="00AD21FF">
        <w:rPr>
          <w:noProof/>
          <w:lang w:eastAsia="en-GB"/>
        </w:rPr>
        <w:t xml:space="preserve"> aluminium used in specific downstream sectors, namely buildings, infrastructure and transport, as well as Union origin requirements for vehicles. In addition, it provides an empowerment for </w:t>
      </w:r>
      <w:r w:rsidR="00B53952">
        <w:rPr>
          <w:noProof/>
          <w:lang w:eastAsia="en-GB"/>
        </w:rPr>
        <w:t>laying down demand-side measures</w:t>
      </w:r>
      <w:r w:rsidRPr="00AD21FF">
        <w:rPr>
          <w:noProof/>
          <w:lang w:eastAsia="en-GB"/>
        </w:rPr>
        <w:t xml:space="preserve"> </w:t>
      </w:r>
      <w:r w:rsidR="00B53952">
        <w:rPr>
          <w:noProof/>
          <w:lang w:eastAsia="en-GB"/>
        </w:rPr>
        <w:t>concerning products from</w:t>
      </w:r>
      <w:r w:rsidR="00B53952" w:rsidRPr="00AD21FF">
        <w:rPr>
          <w:noProof/>
          <w:lang w:eastAsia="en-GB"/>
        </w:rPr>
        <w:t xml:space="preserve"> </w:t>
      </w:r>
      <w:r w:rsidRPr="00AD21FF">
        <w:rPr>
          <w:noProof/>
          <w:lang w:eastAsia="en-GB"/>
        </w:rPr>
        <w:t>the chemical industry.</w:t>
      </w:r>
    </w:p>
    <w:p w14:paraId="04AD9C49" w14:textId="77777777" w:rsidR="00F201FB" w:rsidRPr="00AD21FF" w:rsidRDefault="00F201FB" w:rsidP="00F201FB">
      <w:pPr>
        <w:rPr>
          <w:noProof/>
          <w:lang w:eastAsia="en-GB"/>
        </w:rPr>
      </w:pPr>
      <w:r w:rsidRPr="00AD21FF">
        <w:rPr>
          <w:noProof/>
          <w:lang w:eastAsia="en-GB"/>
        </w:rPr>
        <w:t xml:space="preserve">Chapter </w:t>
      </w:r>
      <w:r w:rsidR="00461D83">
        <w:rPr>
          <w:noProof/>
          <w:lang w:eastAsia="en-GB"/>
        </w:rPr>
        <w:t>I</w:t>
      </w:r>
      <w:r w:rsidRPr="00AD21FF">
        <w:rPr>
          <w:noProof/>
          <w:lang w:eastAsia="en-GB"/>
        </w:rPr>
        <w:t>V establishes the framework for the imposition of conditions on foreign direct investments in emerging strategic sectors, where the investment value exceeds EUR 100 million. Such investment will not take effect until the relevant conditions have been fully complied with. The Investment Authorities designated by Member States will be responsible for reviewing and monitoring compliance with those conditions, with the Commission playing a coordinating role.</w:t>
      </w:r>
    </w:p>
    <w:p w14:paraId="135143EF" w14:textId="77777777" w:rsidR="00F201FB" w:rsidRPr="00AD21FF" w:rsidRDefault="00F201FB" w:rsidP="00F201FB">
      <w:pPr>
        <w:rPr>
          <w:noProof/>
          <w:lang w:eastAsia="en-GB"/>
        </w:rPr>
      </w:pPr>
      <w:r w:rsidRPr="00AD21FF">
        <w:rPr>
          <w:noProof/>
          <w:lang w:eastAsia="en-GB"/>
        </w:rPr>
        <w:t xml:space="preserve">Chapter V establishes a framework for the designation of </w:t>
      </w:r>
      <w:r w:rsidR="00055878">
        <w:rPr>
          <w:noProof/>
          <w:lang w:eastAsia="en-GB"/>
        </w:rPr>
        <w:t>industrial manufacturing acceleration areas</w:t>
      </w:r>
      <w:r w:rsidRPr="00AD21FF">
        <w:rPr>
          <w:noProof/>
          <w:lang w:eastAsia="en-GB"/>
        </w:rPr>
        <w:t xml:space="preserve"> by Member States based on a defined set of criteria. These areas are intended to facilitate the geographical clustering industrial activities and to promote favourable conditions for the industries established therein. </w:t>
      </w:r>
      <w:r w:rsidR="00055878">
        <w:rPr>
          <w:noProof/>
          <w:lang w:eastAsia="en-GB"/>
        </w:rPr>
        <w:t>Industrial manufacturing acceleration areas</w:t>
      </w:r>
      <w:r w:rsidRPr="00AD21FF">
        <w:rPr>
          <w:noProof/>
          <w:lang w:eastAsia="en-GB"/>
        </w:rPr>
        <w:t xml:space="preserve"> will be developed in synergy with other Union initiatives.</w:t>
      </w:r>
    </w:p>
    <w:p w14:paraId="2FA7F022" w14:textId="77777777" w:rsidR="00F201FB" w:rsidRPr="00AD21FF" w:rsidRDefault="00F201FB" w:rsidP="00F201FB">
      <w:pPr>
        <w:rPr>
          <w:noProof/>
          <w:lang w:eastAsia="en-GB"/>
        </w:rPr>
      </w:pPr>
      <w:r w:rsidRPr="00AD21FF">
        <w:rPr>
          <w:noProof/>
          <w:lang w:eastAsia="en-GB"/>
        </w:rPr>
        <w:t>Chapter VI establishes the common, final provisions of the Regulation by setting out implementation rules, including evaluation, monitoring, review, exercising the delegation power and penalties. It also includes amendments to Regulation (EU) 2018/1724 [Single Digital Gateway Regulation]; Regulation (EU) 2024/1735 [Net-Zero Industry Act], including provisions on origin requirements for public procurement procedures; cybersecurity requirements for public procurement and strengthened cybersecurity provisions for auctions; origin requirements for auctions and for other types of public intervention. Finally, it includes amendments to Regulation (EU) 2024/3110 [Construction Products Regulation] in order to ensure coherence and synergies with, and to support the objectives of, this proposal.</w:t>
      </w:r>
    </w:p>
    <w:p w14:paraId="58B406B1" w14:textId="77777777" w:rsidR="00F201FB" w:rsidRPr="00AD21FF" w:rsidRDefault="00F201FB" w:rsidP="00F201FB">
      <w:pPr>
        <w:rPr>
          <w:noProof/>
          <w:lang w:eastAsia="en-GB"/>
        </w:rPr>
      </w:pPr>
      <w:r w:rsidRPr="00AD21FF">
        <w:rPr>
          <w:noProof/>
          <w:lang w:eastAsia="en-GB"/>
        </w:rPr>
        <w:t>Annex I sets out the list of sectors</w:t>
      </w:r>
      <w:r w:rsidR="00862074">
        <w:rPr>
          <w:noProof/>
          <w:lang w:eastAsia="en-GB"/>
        </w:rPr>
        <w:t xml:space="preserve"> for industrial manufacturing acceleration areas</w:t>
      </w:r>
      <w:r w:rsidRPr="00AD21FF">
        <w:rPr>
          <w:noProof/>
          <w:lang w:eastAsia="en-GB"/>
        </w:rPr>
        <w:t>.</w:t>
      </w:r>
    </w:p>
    <w:p w14:paraId="0D7192F0" w14:textId="77777777" w:rsidR="00F201FB" w:rsidRPr="00AD21FF" w:rsidRDefault="00F201FB" w:rsidP="00F201FB">
      <w:pPr>
        <w:rPr>
          <w:noProof/>
          <w:lang w:eastAsia="en-GB"/>
        </w:rPr>
      </w:pPr>
      <w:r w:rsidRPr="00AD21FF">
        <w:rPr>
          <w:noProof/>
          <w:lang w:eastAsia="en-GB"/>
        </w:rPr>
        <w:t>Annex II defines low-carbon content requirements, Union origin requirements, or both, for certain products of energy</w:t>
      </w:r>
      <w:r w:rsidR="00BE6E8B">
        <w:rPr>
          <w:noProof/>
          <w:lang w:eastAsia="en-GB"/>
        </w:rPr>
        <w:t>-</w:t>
      </w:r>
      <w:r w:rsidRPr="00AD21FF">
        <w:rPr>
          <w:noProof/>
          <w:lang w:eastAsia="en-GB"/>
        </w:rPr>
        <w:t>intensive industries in the context of public procurement procedures and public support schemes.</w:t>
      </w:r>
    </w:p>
    <w:p w14:paraId="591EC479" w14:textId="77777777" w:rsidR="00F201FB" w:rsidRPr="00AD21FF" w:rsidRDefault="00F201FB" w:rsidP="00F201FB">
      <w:pPr>
        <w:rPr>
          <w:noProof/>
          <w:lang w:eastAsia="en-GB"/>
        </w:rPr>
      </w:pPr>
      <w:r w:rsidRPr="00AD21FF">
        <w:rPr>
          <w:noProof/>
          <w:lang w:eastAsia="en-GB"/>
        </w:rPr>
        <w:t>Annex III sets out Union origin requirements for vehicles for public procurement procedures and public support schemes. It also sets the criteria for a small zero-emission vehicle to be considered ‘made in the EU’ for the purposes of Article 5 of Regulation 2019/631.</w:t>
      </w:r>
    </w:p>
    <w:p w14:paraId="0C643425" w14:textId="77777777" w:rsidR="00440ED7" w:rsidRPr="00AD21FF" w:rsidRDefault="00315A65" w:rsidP="00F201FB">
      <w:pPr>
        <w:rPr>
          <w:noProof/>
          <w:lang w:eastAsia="en-GB"/>
        </w:rPr>
        <w:sectPr w:rsidR="00440ED7" w:rsidRPr="00AD21FF" w:rsidSect="00052996">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r>
        <w:rPr>
          <w:noProof/>
          <w:lang w:eastAsia="en-GB"/>
        </w:rPr>
        <w:t xml:space="preserve">Annex </w:t>
      </w:r>
      <w:r w:rsidR="0016041B">
        <w:rPr>
          <w:noProof/>
          <w:lang w:eastAsia="en-GB"/>
        </w:rPr>
        <w:t>I</w:t>
      </w:r>
      <w:r>
        <w:rPr>
          <w:noProof/>
          <w:lang w:eastAsia="en-GB"/>
        </w:rPr>
        <w:t xml:space="preserve">V </w:t>
      </w:r>
      <w:r w:rsidR="00B95476">
        <w:rPr>
          <w:noProof/>
          <w:lang w:eastAsia="en-GB"/>
        </w:rPr>
        <w:t>sets out</w:t>
      </w:r>
      <w:r>
        <w:rPr>
          <w:noProof/>
          <w:lang w:eastAsia="en-GB"/>
        </w:rPr>
        <w:t xml:space="preserve"> the amendment </w:t>
      </w:r>
      <w:r w:rsidR="00B95476">
        <w:rPr>
          <w:noProof/>
          <w:lang w:eastAsia="en-GB"/>
        </w:rPr>
        <w:t>to Annex II to Regulation (EU) 2018/1724.</w:t>
      </w:r>
    </w:p>
    <w:p w14:paraId="7B312F47" w14:textId="59B4816E" w:rsidR="00525FC9" w:rsidRDefault="003007D8" w:rsidP="003007D8">
      <w:pPr>
        <w:pStyle w:val="Rfrenceinterinstitutionnelle"/>
        <w:rPr>
          <w:noProof/>
        </w:rPr>
      </w:pPr>
      <w:r w:rsidRPr="003007D8">
        <w:t>2026/0068 (COD)</w:t>
      </w:r>
    </w:p>
    <w:p w14:paraId="28EFADB5" w14:textId="400038CD" w:rsidR="00440ED7" w:rsidRPr="00AD21FF" w:rsidRDefault="003007D8" w:rsidP="003007D8">
      <w:pPr>
        <w:pStyle w:val="Statut"/>
        <w:rPr>
          <w:noProof/>
        </w:rPr>
      </w:pPr>
      <w:r w:rsidRPr="003007D8">
        <w:t>Proposal for a</w:t>
      </w:r>
    </w:p>
    <w:p w14:paraId="0DE7B66C" w14:textId="224DDA0C" w:rsidR="00440ED7" w:rsidRPr="00036081" w:rsidRDefault="003007D8" w:rsidP="003007D8">
      <w:pPr>
        <w:pStyle w:val="Typedudocument"/>
        <w:rPr>
          <w:noProof/>
        </w:rPr>
      </w:pPr>
      <w:r w:rsidRPr="003007D8">
        <w:t>REGULATION OF THE EUROPEAN PARLIAMENT AND OF THE COUNCIL</w:t>
      </w:r>
    </w:p>
    <w:p w14:paraId="0D4E1385" w14:textId="49A47394" w:rsidR="00440ED7" w:rsidRPr="00AD21FF" w:rsidRDefault="003007D8" w:rsidP="003007D8">
      <w:pPr>
        <w:pStyle w:val="Titreobjet"/>
        <w:rPr>
          <w:noProof/>
        </w:rPr>
      </w:pPr>
      <w:bookmarkStart w:id="5" w:name="_Hlk222937386"/>
      <w:r w:rsidRPr="003007D8">
        <w:t>establishing a framework of measures for the acceleration of industrial capacity and</w:t>
      </w:r>
      <w:r w:rsidRPr="003007D8">
        <w:br/>
        <w:t>decarbonisation in strategic sectors and amending Regulations (EU) 2018/1724,</w:t>
      </w:r>
      <w:r w:rsidRPr="003007D8">
        <w:br/>
        <w:t>(EU) 2024/1735 and (EU) 2024/3110</w:t>
      </w:r>
    </w:p>
    <w:bookmarkEnd w:id="5"/>
    <w:p w14:paraId="074F9755" w14:textId="34682567" w:rsidR="002B14CF" w:rsidRPr="00AD21FF" w:rsidRDefault="003007D8" w:rsidP="003007D8">
      <w:pPr>
        <w:pStyle w:val="IntrtEEE"/>
        <w:rPr>
          <w:noProof/>
        </w:rPr>
      </w:pPr>
      <w:r w:rsidRPr="003007D8">
        <w:t>(Text with EEA relevance)</w:t>
      </w:r>
    </w:p>
    <w:p w14:paraId="136D4C55" w14:textId="77777777" w:rsidR="00440ED7" w:rsidRPr="00AD21FF" w:rsidRDefault="00440ED7">
      <w:pPr>
        <w:pStyle w:val="Institutionquiagit"/>
        <w:rPr>
          <w:noProof/>
        </w:rPr>
      </w:pPr>
      <w:r w:rsidRPr="00AD21FF">
        <w:rPr>
          <w:noProof/>
        </w:rPr>
        <w:t xml:space="preserve">THE EUROPEAN PARLIAMENT AND THE COUNCIL OF THE EUROPEAN </w:t>
      </w:r>
      <w:smartTag w:uri="urn:schemas-microsoft-com:office:smarttags" w:element="place">
        <w:r w:rsidRPr="00AD21FF">
          <w:rPr>
            <w:noProof/>
          </w:rPr>
          <w:t>UNION</w:t>
        </w:r>
      </w:smartTag>
      <w:r w:rsidRPr="00AD21FF">
        <w:rPr>
          <w:noProof/>
        </w:rPr>
        <w:t>,</w:t>
      </w:r>
    </w:p>
    <w:p w14:paraId="6316120C" w14:textId="77777777" w:rsidR="004B6605" w:rsidRPr="00AD21FF" w:rsidRDefault="004B6605" w:rsidP="004B6605">
      <w:pPr>
        <w:rPr>
          <w:noProof/>
        </w:rPr>
      </w:pPr>
      <w:r w:rsidRPr="00AD21FF">
        <w:rPr>
          <w:noProof/>
        </w:rPr>
        <w:t>Having regard to the Treaty on the Functioning of the European Union, and in particular Article 114 and 207(2) thereof,</w:t>
      </w:r>
    </w:p>
    <w:p w14:paraId="60BF46E6" w14:textId="77777777" w:rsidR="00440ED7" w:rsidRPr="00AD21FF" w:rsidRDefault="00440ED7">
      <w:pPr>
        <w:rPr>
          <w:noProof/>
        </w:rPr>
      </w:pPr>
      <w:r w:rsidRPr="00AD21FF">
        <w:rPr>
          <w:noProof/>
        </w:rPr>
        <w:t>Having regard to the proposal from the European Commission,</w:t>
      </w:r>
    </w:p>
    <w:p w14:paraId="250FDF04" w14:textId="77777777" w:rsidR="00440ED7" w:rsidRPr="00AD21FF" w:rsidRDefault="00440ED7">
      <w:pPr>
        <w:rPr>
          <w:noProof/>
        </w:rPr>
      </w:pPr>
      <w:r w:rsidRPr="00AD21FF">
        <w:rPr>
          <w:noProof/>
        </w:rPr>
        <w:t>After transmission of the draft legislative act to the national parliaments,</w:t>
      </w:r>
    </w:p>
    <w:p w14:paraId="6CEB60C9" w14:textId="77777777" w:rsidR="00440ED7" w:rsidRPr="00AD21FF" w:rsidRDefault="00440ED7">
      <w:pPr>
        <w:rPr>
          <w:noProof/>
        </w:rPr>
      </w:pPr>
      <w:r w:rsidRPr="00AD21FF">
        <w:rPr>
          <w:noProof/>
        </w:rPr>
        <w:t>Having regard to the opinion of the European Economic and Social Committee</w:t>
      </w:r>
      <w:r w:rsidR="0090184F">
        <w:rPr>
          <w:rStyle w:val="FootnoteReference"/>
          <w:noProof/>
        </w:rPr>
        <w:footnoteReference w:id="20"/>
      </w:r>
      <w:r w:rsidR="004B6605" w:rsidRPr="00AD21FF">
        <w:rPr>
          <w:noProof/>
        </w:rPr>
        <w:t>,</w:t>
      </w:r>
    </w:p>
    <w:p w14:paraId="1CECF209" w14:textId="77777777" w:rsidR="00440ED7" w:rsidRPr="00AD21FF" w:rsidRDefault="00440ED7">
      <w:pPr>
        <w:rPr>
          <w:noProof/>
        </w:rPr>
      </w:pPr>
      <w:r w:rsidRPr="00AD21FF">
        <w:rPr>
          <w:noProof/>
        </w:rPr>
        <w:t>Having regard to the opinion of the Committee of the Regions</w:t>
      </w:r>
      <w:r w:rsidR="001603DB">
        <w:rPr>
          <w:rStyle w:val="FootnoteReference"/>
          <w:noProof/>
        </w:rPr>
        <w:footnoteReference w:id="21"/>
      </w:r>
      <w:r w:rsidR="004B6605" w:rsidRPr="00AD21FF">
        <w:rPr>
          <w:noProof/>
        </w:rPr>
        <w:t>,</w:t>
      </w:r>
    </w:p>
    <w:p w14:paraId="490E1637" w14:textId="77777777" w:rsidR="00440ED7" w:rsidRPr="00AD21FF" w:rsidRDefault="00440ED7">
      <w:pPr>
        <w:rPr>
          <w:noProof/>
        </w:rPr>
      </w:pPr>
      <w:r w:rsidRPr="00AD21FF">
        <w:rPr>
          <w:noProof/>
        </w:rPr>
        <w:t>Acting in accordance with the ordinary legislative procedure,</w:t>
      </w:r>
    </w:p>
    <w:p w14:paraId="3C7718BE" w14:textId="77777777" w:rsidR="00440ED7" w:rsidRPr="00AD21FF" w:rsidRDefault="00440ED7">
      <w:pPr>
        <w:rPr>
          <w:noProof/>
        </w:rPr>
      </w:pPr>
      <w:r w:rsidRPr="00AD21FF">
        <w:rPr>
          <w:noProof/>
        </w:rPr>
        <w:t>Whereas:</w:t>
      </w:r>
    </w:p>
    <w:p w14:paraId="3FFD05EB" w14:textId="77777777" w:rsidR="002B14CF" w:rsidRPr="00AD21FF" w:rsidRDefault="002B14CF" w:rsidP="007234F4">
      <w:pPr>
        <w:pStyle w:val="ManualConsidrant"/>
        <w:rPr>
          <w:noProof/>
        </w:rPr>
      </w:pPr>
      <w:r>
        <w:rPr>
          <w:noProof/>
        </w:rPr>
        <w:t>(1)</w:t>
      </w:r>
      <w:r>
        <w:rPr>
          <w:noProof/>
        </w:rPr>
        <w:tab/>
      </w:r>
      <w:r w:rsidRPr="00AD21FF">
        <w:rPr>
          <w:noProof/>
        </w:rPr>
        <w:t>The global COVID-19 pandemic, Russia’s illegal and unprovoked war of aggression against Ukraine, hostile economic actions, cyberattacks, foreign interference, the weaponisation of Union economic dependencies, arbitrary deployment of trade measures</w:t>
      </w:r>
      <w:r w:rsidR="005B437A">
        <w:rPr>
          <w:noProof/>
        </w:rPr>
        <w:t>, the increa</w:t>
      </w:r>
      <w:r w:rsidR="003E0BBB">
        <w:rPr>
          <w:noProof/>
        </w:rPr>
        <w:t xml:space="preserve">sing effects of climate </w:t>
      </w:r>
      <w:r w:rsidR="001603DB">
        <w:rPr>
          <w:noProof/>
        </w:rPr>
        <w:t>chan</w:t>
      </w:r>
      <w:r w:rsidR="003E0BBB">
        <w:rPr>
          <w:noProof/>
        </w:rPr>
        <w:t>ge</w:t>
      </w:r>
      <w:r w:rsidRPr="00AD21FF">
        <w:rPr>
          <w:noProof/>
        </w:rPr>
        <w:t xml:space="preserve"> and rising geopolitical tensions have exposed the Union’s</w:t>
      </w:r>
      <w:r w:rsidRPr="00AD21FF" w:rsidDel="007D7D6E">
        <w:rPr>
          <w:noProof/>
        </w:rPr>
        <w:t xml:space="preserve"> </w:t>
      </w:r>
      <w:r w:rsidRPr="00AD21FF">
        <w:rPr>
          <w:noProof/>
        </w:rPr>
        <w:t xml:space="preserve">vulnerabilities and pose a serious threat to the Union’s societies, economies, and undertakings. The Union’s economic security is therefore inextricably linked to its capacity to strengthen resilience and mitigate risks arising from </w:t>
      </w:r>
      <w:r w:rsidR="005B226F">
        <w:rPr>
          <w:noProof/>
        </w:rPr>
        <w:t xml:space="preserve">hostile </w:t>
      </w:r>
      <w:r w:rsidRPr="00AD21FF">
        <w:rPr>
          <w:noProof/>
        </w:rPr>
        <w:t>economic interconnections. The Union is committed to protecting its economic security and addressing threats to its supply chains, infrastructure, key technologies and threats coming from the weaponisation of its economic dependencies</w:t>
      </w:r>
      <w:r w:rsidRPr="00AD21FF">
        <w:rPr>
          <w:rStyle w:val="FootnoteReference"/>
          <w:noProof/>
        </w:rPr>
        <w:footnoteReference w:id="22"/>
      </w:r>
      <w:r w:rsidR="00862074">
        <w:rPr>
          <w:noProof/>
        </w:rPr>
        <w:t>.</w:t>
      </w:r>
      <w:r w:rsidRPr="00AD21FF">
        <w:rPr>
          <w:noProof/>
        </w:rPr>
        <w:t xml:space="preserve"> </w:t>
      </w:r>
      <w:r w:rsidR="008750E1">
        <w:rPr>
          <w:noProof/>
        </w:rPr>
        <w:t>The Union’s economic security</w:t>
      </w:r>
      <w:r w:rsidR="00862074">
        <w:rPr>
          <w:noProof/>
        </w:rPr>
        <w:t xml:space="preserve"> and social cohesion</w:t>
      </w:r>
      <w:r w:rsidR="008750E1">
        <w:rPr>
          <w:noProof/>
        </w:rPr>
        <w:t xml:space="preserve"> </w:t>
      </w:r>
      <w:r w:rsidR="00862074">
        <w:rPr>
          <w:noProof/>
        </w:rPr>
        <w:t xml:space="preserve">are </w:t>
      </w:r>
      <w:r w:rsidR="008750E1">
        <w:rPr>
          <w:noProof/>
        </w:rPr>
        <w:t xml:space="preserve">inextricably linked to its capacity to strengthen its resilience and mitigate the risks arising from economic interconnections. That requires the strengthening of the resilience of its supply chains and the safeguarding of its internal market and industrial capacity, </w:t>
      </w:r>
      <w:r w:rsidR="00801130">
        <w:rPr>
          <w:noProof/>
        </w:rPr>
        <w:t>while maintaining territorial, social and economic cohesion,</w:t>
      </w:r>
      <w:r w:rsidR="008750E1">
        <w:rPr>
          <w:noProof/>
        </w:rPr>
        <w:t xml:space="preserve"> including by fostering a strong and competitive industrial base in </w:t>
      </w:r>
      <w:r w:rsidR="00862074">
        <w:rPr>
          <w:noProof/>
        </w:rPr>
        <w:t xml:space="preserve">selected </w:t>
      </w:r>
      <w:r w:rsidR="008750E1">
        <w:rPr>
          <w:noProof/>
        </w:rPr>
        <w:t>strategic sectors, such as clean and digital technologies, energy</w:t>
      </w:r>
      <w:r w:rsidR="00862074">
        <w:rPr>
          <w:noProof/>
        </w:rPr>
        <w:t>-</w:t>
      </w:r>
      <w:r w:rsidR="008750E1">
        <w:rPr>
          <w:noProof/>
        </w:rPr>
        <w:t>intensive industries and the automotive sector, to secure access to strategic materials and technologies and retain high-quality jobs in the Union.</w:t>
      </w:r>
    </w:p>
    <w:p w14:paraId="68D8DA7E" w14:textId="77777777" w:rsidR="002B14CF" w:rsidRPr="00AD21FF" w:rsidRDefault="002B14CF" w:rsidP="002B14CF">
      <w:pPr>
        <w:pStyle w:val="ManualConsidrant"/>
        <w:rPr>
          <w:rFonts w:eastAsia="Times New Roman"/>
          <w:noProof/>
          <w:lang w:eastAsia="en-GB"/>
        </w:rPr>
      </w:pPr>
      <w:r>
        <w:rPr>
          <w:noProof/>
        </w:rPr>
        <w:t>(2)</w:t>
      </w:r>
      <w:r>
        <w:rPr>
          <w:noProof/>
        </w:rPr>
        <w:tab/>
      </w:r>
      <w:r w:rsidRPr="00AD21FF">
        <w:rPr>
          <w:rFonts w:eastAsia="Times New Roman"/>
          <w:noProof/>
          <w:lang w:eastAsia="en-GB"/>
        </w:rPr>
        <w:t>The European Economic Security Strategy</w:t>
      </w:r>
      <w:r w:rsidR="00862074">
        <w:rPr>
          <w:rStyle w:val="FootnoteReference"/>
          <w:rFonts w:eastAsia="Times New Roman"/>
          <w:noProof/>
          <w:lang w:eastAsia="en-GB"/>
        </w:rPr>
        <w:footnoteReference w:id="23"/>
      </w:r>
      <w:r w:rsidRPr="00AD21FF">
        <w:rPr>
          <w:rFonts w:eastAsia="Times New Roman"/>
          <w:noProof/>
          <w:lang w:eastAsia="en-GB"/>
        </w:rPr>
        <w:t xml:space="preserve">, and the Economic Security Communication </w:t>
      </w:r>
      <w:r w:rsidRPr="00AD21FF" w:rsidDel="00935D26">
        <w:rPr>
          <w:rFonts w:eastAsia="Times New Roman"/>
          <w:noProof/>
          <w:lang w:eastAsia="en-GB"/>
        </w:rPr>
        <w:t>of 3 December 2025</w:t>
      </w:r>
      <w:r w:rsidR="00862074">
        <w:rPr>
          <w:rStyle w:val="FootnoteReference"/>
          <w:rFonts w:eastAsia="Times New Roman"/>
          <w:noProof/>
          <w:lang w:eastAsia="en-GB"/>
        </w:rPr>
        <w:footnoteReference w:id="24"/>
      </w:r>
      <w:r w:rsidRPr="00AD21FF" w:rsidDel="00935D26">
        <w:rPr>
          <w:rFonts w:eastAsia="Times New Roman"/>
          <w:noProof/>
          <w:lang w:eastAsia="en-GB"/>
        </w:rPr>
        <w:t xml:space="preserve"> </w:t>
      </w:r>
      <w:r w:rsidRPr="00AD21FF">
        <w:rPr>
          <w:rFonts w:eastAsia="Times New Roman"/>
          <w:noProof/>
          <w:lang w:eastAsia="en-GB"/>
        </w:rPr>
        <w:t>clearly set the Union’s pathway towards addressing geo-economic tensions and technological shifts</w:t>
      </w:r>
      <w:r w:rsidR="00E328FD">
        <w:rPr>
          <w:rFonts w:eastAsia="Times New Roman"/>
          <w:noProof/>
          <w:lang w:eastAsia="en-GB"/>
        </w:rPr>
        <w:t xml:space="preserve"> </w:t>
      </w:r>
      <w:r w:rsidR="00E328FD" w:rsidRPr="32764A22">
        <w:rPr>
          <w:rFonts w:eastAsia="Times New Roman"/>
          <w:noProof/>
          <w:lang w:eastAsia="en-GB"/>
        </w:rPr>
        <w:t xml:space="preserve">to avoid economic dependencies in critical industrial supply chains, technologies and infrastructures </w:t>
      </w:r>
      <w:r w:rsidR="00E328FD" w:rsidRPr="2B92F9FC">
        <w:rPr>
          <w:rFonts w:eastAsia="Times New Roman"/>
          <w:noProof/>
          <w:lang w:eastAsia="en-GB"/>
        </w:rPr>
        <w:t>which can</w:t>
      </w:r>
      <w:r w:rsidR="00E328FD" w:rsidRPr="32764A22">
        <w:rPr>
          <w:rFonts w:eastAsia="Times New Roman"/>
          <w:noProof/>
          <w:lang w:eastAsia="en-GB"/>
        </w:rPr>
        <w:t xml:space="preserve"> lead to local shortages and threat</w:t>
      </w:r>
      <w:r w:rsidR="00862074">
        <w:rPr>
          <w:rFonts w:eastAsia="Times New Roman"/>
          <w:noProof/>
          <w:lang w:eastAsia="en-GB"/>
        </w:rPr>
        <w:t>en</w:t>
      </w:r>
      <w:r w:rsidR="00E328FD" w:rsidRPr="32764A22">
        <w:rPr>
          <w:rFonts w:eastAsia="Times New Roman"/>
          <w:noProof/>
          <w:lang w:eastAsia="en-GB"/>
        </w:rPr>
        <w:t xml:space="preserve"> </w:t>
      </w:r>
      <w:r w:rsidR="00E328FD" w:rsidRPr="5DCCA1A4">
        <w:rPr>
          <w:rFonts w:eastAsia="Times New Roman"/>
          <w:noProof/>
          <w:lang w:eastAsia="en-GB"/>
        </w:rPr>
        <w:t xml:space="preserve">the </w:t>
      </w:r>
      <w:r w:rsidR="00E328FD" w:rsidRPr="51407FA6">
        <w:rPr>
          <w:rFonts w:eastAsia="Times New Roman"/>
          <w:noProof/>
          <w:lang w:eastAsia="en-GB"/>
        </w:rPr>
        <w:t>Union’s</w:t>
      </w:r>
      <w:r w:rsidR="00E328FD" w:rsidRPr="5DCCA1A4">
        <w:rPr>
          <w:rFonts w:eastAsia="Times New Roman"/>
          <w:noProof/>
          <w:lang w:eastAsia="en-GB"/>
        </w:rPr>
        <w:t xml:space="preserve"> </w:t>
      </w:r>
      <w:r w:rsidR="00E328FD" w:rsidRPr="32764A22">
        <w:rPr>
          <w:rFonts w:eastAsia="Times New Roman"/>
          <w:noProof/>
          <w:lang w:eastAsia="en-GB"/>
        </w:rPr>
        <w:t xml:space="preserve">competitiveness, economy and ultimately </w:t>
      </w:r>
      <w:r w:rsidR="00E328FD" w:rsidRPr="5F07616F">
        <w:rPr>
          <w:rFonts w:eastAsia="Times New Roman"/>
          <w:noProof/>
          <w:lang w:eastAsia="en-GB"/>
        </w:rPr>
        <w:t>its social</w:t>
      </w:r>
      <w:r w:rsidR="00E328FD" w:rsidRPr="32764A22">
        <w:rPr>
          <w:rFonts w:eastAsia="Times New Roman"/>
          <w:noProof/>
          <w:lang w:eastAsia="en-GB"/>
        </w:rPr>
        <w:t xml:space="preserve"> cohesion</w:t>
      </w:r>
      <w:r w:rsidR="00CC1A2C">
        <w:rPr>
          <w:rFonts w:eastAsia="Times New Roman"/>
          <w:noProof/>
          <w:lang w:eastAsia="en-GB"/>
        </w:rPr>
        <w:t>.</w:t>
      </w:r>
    </w:p>
    <w:p w14:paraId="6242F09C" w14:textId="77777777" w:rsidR="002B14CF" w:rsidRPr="00AD21FF" w:rsidRDefault="00866C59" w:rsidP="002B14CF">
      <w:pPr>
        <w:pStyle w:val="ManualConsidrant"/>
        <w:rPr>
          <w:noProof/>
        </w:rPr>
      </w:pPr>
      <w:r>
        <w:rPr>
          <w:noProof/>
        </w:rPr>
        <w:t>(3)</w:t>
      </w:r>
      <w:r>
        <w:rPr>
          <w:noProof/>
        </w:rPr>
        <w:tab/>
        <w:t>Despite t</w:t>
      </w:r>
      <w:r w:rsidR="002B14CF" w:rsidRPr="00AD21FF">
        <w:rPr>
          <w:noProof/>
        </w:rPr>
        <w:t>he Union</w:t>
      </w:r>
      <w:r w:rsidR="00126550">
        <w:rPr>
          <w:noProof/>
        </w:rPr>
        <w:t>’s</w:t>
      </w:r>
      <w:r w:rsidR="002B14CF" w:rsidRPr="00AD21FF" w:rsidDel="00737B76">
        <w:rPr>
          <w:noProof/>
        </w:rPr>
        <w:t xml:space="preserve"> </w:t>
      </w:r>
      <w:r w:rsidR="002B14CF" w:rsidRPr="00AD21FF">
        <w:rPr>
          <w:noProof/>
        </w:rPr>
        <w:t>objectives of economic security, resilience, quality jobs and climate neutrality</w:t>
      </w:r>
      <w:r w:rsidR="002B14CF" w:rsidRPr="00AD21FF" w:rsidDel="00737B76">
        <w:rPr>
          <w:noProof/>
        </w:rPr>
        <w:t>,</w:t>
      </w:r>
      <w:r w:rsidR="002B14CF" w:rsidRPr="00AD21FF">
        <w:rPr>
          <w:noProof/>
        </w:rPr>
        <w:t xml:space="preserve"> manufacturing capacity has decreased over the </w:t>
      </w:r>
      <w:r w:rsidR="002B14CF" w:rsidRPr="00AD21FF" w:rsidDel="008425E6">
        <w:rPr>
          <w:noProof/>
        </w:rPr>
        <w:t xml:space="preserve">last </w:t>
      </w:r>
      <w:r w:rsidR="00444184">
        <w:rPr>
          <w:noProof/>
        </w:rPr>
        <w:t>20</w:t>
      </w:r>
      <w:r w:rsidR="00444184" w:rsidRPr="00AD21FF" w:rsidDel="008425E6">
        <w:rPr>
          <w:noProof/>
        </w:rPr>
        <w:t xml:space="preserve"> </w:t>
      </w:r>
      <w:r w:rsidR="002B14CF" w:rsidRPr="00AD21FF" w:rsidDel="008425E6">
        <w:rPr>
          <w:noProof/>
        </w:rPr>
        <w:t>years</w:t>
      </w:r>
      <w:r w:rsidR="002B14CF" w:rsidRPr="00AD21FF">
        <w:rPr>
          <w:noProof/>
        </w:rPr>
        <w:t>.</w:t>
      </w:r>
      <w:r w:rsidR="00F81650">
        <w:rPr>
          <w:noProof/>
        </w:rPr>
        <w:t xml:space="preserve"> </w:t>
      </w:r>
      <w:r w:rsidR="00E75025">
        <w:rPr>
          <w:noProof/>
        </w:rPr>
        <w:t>The share of</w:t>
      </w:r>
      <w:r w:rsidR="00D12F72">
        <w:rPr>
          <w:noProof/>
        </w:rPr>
        <w:t xml:space="preserve"> manufacturing in</w:t>
      </w:r>
      <w:r w:rsidR="00F81650">
        <w:rPr>
          <w:noProof/>
        </w:rPr>
        <w:t xml:space="preserve"> total GDP has declined from 17</w:t>
      </w:r>
      <w:r w:rsidR="002F7652">
        <w:rPr>
          <w:noProof/>
        </w:rPr>
        <w:t>.</w:t>
      </w:r>
      <w:r w:rsidR="00F81650">
        <w:rPr>
          <w:noProof/>
        </w:rPr>
        <w:t>4% to 14</w:t>
      </w:r>
      <w:r w:rsidR="002F7652">
        <w:rPr>
          <w:noProof/>
        </w:rPr>
        <w:t>.</w:t>
      </w:r>
      <w:r w:rsidR="00F81650">
        <w:rPr>
          <w:noProof/>
        </w:rPr>
        <w:t>3% between 2000 and 2024</w:t>
      </w:r>
      <w:r w:rsidR="002B14CF" w:rsidRPr="00B26F01">
        <w:rPr>
          <w:noProof/>
        </w:rPr>
        <w:t>.</w:t>
      </w:r>
      <w:r w:rsidR="002B14CF" w:rsidRPr="00AD21FF">
        <w:rPr>
          <w:noProof/>
        </w:rPr>
        <w:t xml:space="preserve"> It is therefore necessary to strengthen economic resilience, competitiveness and job </w:t>
      </w:r>
      <w:r w:rsidR="002B14CF" w:rsidRPr="00B26F01">
        <w:rPr>
          <w:noProof/>
        </w:rPr>
        <w:t xml:space="preserve">creation, while also ensuring that the Union’s climate and energy targets are met. The Union’s manufacturing capacity should aim to account for at least 20% of the Union’s gross </w:t>
      </w:r>
      <w:r w:rsidR="001B529A" w:rsidRPr="00B26F01">
        <w:rPr>
          <w:noProof/>
        </w:rPr>
        <w:t>domestic product</w:t>
      </w:r>
      <w:r w:rsidR="002B14CF" w:rsidRPr="00B26F01">
        <w:rPr>
          <w:noProof/>
        </w:rPr>
        <w:t xml:space="preserve"> by 2035.</w:t>
      </w:r>
      <w:r w:rsidR="00963816">
        <w:rPr>
          <w:noProof/>
        </w:rPr>
        <w:t xml:space="preserve"> </w:t>
      </w:r>
      <w:r w:rsidR="002B14CF" w:rsidRPr="00B26F01">
        <w:rPr>
          <w:noProof/>
        </w:rPr>
        <w:t xml:space="preserve">The development of industrial manufacturing projects within the Union should be facilitated to contribute to </w:t>
      </w:r>
      <w:r w:rsidR="00862074">
        <w:rPr>
          <w:noProof/>
        </w:rPr>
        <w:t>that</w:t>
      </w:r>
      <w:r w:rsidR="00862074" w:rsidRPr="00B26F01">
        <w:rPr>
          <w:noProof/>
        </w:rPr>
        <w:t xml:space="preserve"> </w:t>
      </w:r>
      <w:r w:rsidR="002B14CF" w:rsidRPr="00B26F01">
        <w:rPr>
          <w:noProof/>
        </w:rPr>
        <w:t>objective.</w:t>
      </w:r>
    </w:p>
    <w:p w14:paraId="3D156C89" w14:textId="77777777" w:rsidR="002B14CF" w:rsidRPr="00AD21FF" w:rsidDel="009D59CD" w:rsidRDefault="00862074" w:rsidP="002B14CF">
      <w:pPr>
        <w:pStyle w:val="ManualConsidrant"/>
        <w:rPr>
          <w:b/>
          <w:noProof/>
        </w:rPr>
      </w:pPr>
      <w:r>
        <w:rPr>
          <w:noProof/>
        </w:rPr>
        <w:t>(4)</w:t>
      </w:r>
      <w:r>
        <w:rPr>
          <w:noProof/>
        </w:rPr>
        <w:tab/>
        <w:t>The challenges posed by the need for industrial decarbonisation and for a resilient industrial production are complex and transcend national borders. Fragmented national measures aimed at tackling those challenges risk undermining the functioning of the internal market. Measures adopted by individual Member States could lead to divergent requirements imposed on market operators, inconsistent procurement practices and d</w:t>
      </w:r>
      <w:r w:rsidR="00D14F85" w:rsidRPr="00D14F85">
        <w:rPr>
          <w:noProof/>
        </w:rPr>
        <w:t>ivergent permit-granting procedures across Member States</w:t>
      </w:r>
      <w:r>
        <w:rPr>
          <w:noProof/>
        </w:rPr>
        <w:t>. Such measures</w:t>
      </w:r>
      <w:r w:rsidRPr="00D14F85">
        <w:rPr>
          <w:noProof/>
        </w:rPr>
        <w:t xml:space="preserve"> </w:t>
      </w:r>
      <w:r>
        <w:rPr>
          <w:noProof/>
        </w:rPr>
        <w:t xml:space="preserve">could create obstacles to cross-border trade within the Union and distortions on the internal market, </w:t>
      </w:r>
      <w:r w:rsidR="00D14F85" w:rsidRPr="00D14F85">
        <w:rPr>
          <w:noProof/>
        </w:rPr>
        <w:t>undermin</w:t>
      </w:r>
      <w:r>
        <w:rPr>
          <w:noProof/>
        </w:rPr>
        <w:t>ing</w:t>
      </w:r>
      <w:r w:rsidR="00D14F85" w:rsidRPr="00D14F85">
        <w:rPr>
          <w:noProof/>
        </w:rPr>
        <w:t xml:space="preserve"> investor confidence, increas</w:t>
      </w:r>
      <w:r>
        <w:rPr>
          <w:noProof/>
        </w:rPr>
        <w:t>ing</w:t>
      </w:r>
      <w:r w:rsidR="00D14F85" w:rsidRPr="00D14F85">
        <w:rPr>
          <w:noProof/>
        </w:rPr>
        <w:t xml:space="preserve"> costs, and redirecting investment flows within the Union. </w:t>
      </w:r>
      <w:r>
        <w:rPr>
          <w:noProof/>
        </w:rPr>
        <w:t xml:space="preserve">It is therefore necessary to </w:t>
      </w:r>
      <w:r w:rsidR="00D14F85" w:rsidRPr="00D14F85">
        <w:rPr>
          <w:noProof/>
        </w:rPr>
        <w:t>establish harmonised measures to ensure the proper functioning of the internal market.</w:t>
      </w:r>
      <w:r w:rsidR="00D14F85" w:rsidRPr="00D14F85">
        <w:rPr>
          <w:b/>
          <w:bCs/>
          <w:noProof/>
        </w:rPr>
        <w:t> </w:t>
      </w:r>
    </w:p>
    <w:p w14:paraId="79F191C4" w14:textId="77777777" w:rsidR="00517CCA" w:rsidRDefault="002B14CF" w:rsidP="00517CCA">
      <w:pPr>
        <w:pStyle w:val="ManualConsidrant"/>
        <w:rPr>
          <w:noProof/>
        </w:rPr>
      </w:pPr>
      <w:r>
        <w:rPr>
          <w:noProof/>
        </w:rPr>
        <w:t>(5)</w:t>
      </w:r>
      <w:r>
        <w:rPr>
          <w:noProof/>
        </w:rPr>
        <w:tab/>
      </w:r>
      <w:r w:rsidRPr="00AD21FF" w:rsidDel="009D59CD">
        <w:rPr>
          <w:noProof/>
        </w:rPr>
        <w:t>To ensure legal certainty, reference should be made to the most recent revision of the European Classification of Economic Activity</w:t>
      </w:r>
      <w:r w:rsidR="008B4321">
        <w:rPr>
          <w:noProof/>
        </w:rPr>
        <w:t xml:space="preserve"> (</w:t>
      </w:r>
      <w:r w:rsidRPr="00AD21FF" w:rsidDel="009D59CD">
        <w:rPr>
          <w:noProof/>
        </w:rPr>
        <w:t>NACE, Rev. 2</w:t>
      </w:r>
      <w:r w:rsidR="008B4321">
        <w:rPr>
          <w:noProof/>
        </w:rPr>
        <w:t>)</w:t>
      </w:r>
      <w:r w:rsidRPr="00AD21FF" w:rsidDel="009D59CD">
        <w:rPr>
          <w:noProof/>
        </w:rPr>
        <w:t xml:space="preserve">. </w:t>
      </w:r>
      <w:r w:rsidR="00C80FE0">
        <w:rPr>
          <w:noProof/>
        </w:rPr>
        <w:t xml:space="preserve">In order to </w:t>
      </w:r>
      <w:r w:rsidRPr="00AD21FF" w:rsidDel="009D59CD">
        <w:rPr>
          <w:noProof/>
        </w:rPr>
        <w:t xml:space="preserve">ensure consistency with existing </w:t>
      </w:r>
      <w:r w:rsidRPr="00AD21FF">
        <w:rPr>
          <w:noProof/>
        </w:rPr>
        <w:t xml:space="preserve">Union </w:t>
      </w:r>
      <w:r w:rsidRPr="00AD21FF" w:rsidDel="009D59CD">
        <w:rPr>
          <w:noProof/>
        </w:rPr>
        <w:t xml:space="preserve">legislation and enable the uniform application of this Regulation across the </w:t>
      </w:r>
      <w:r w:rsidRPr="00AD21FF">
        <w:rPr>
          <w:noProof/>
        </w:rPr>
        <w:t>Union</w:t>
      </w:r>
      <w:r w:rsidR="00464DC2">
        <w:rPr>
          <w:noProof/>
        </w:rPr>
        <w:t xml:space="preserve">, </w:t>
      </w:r>
      <w:r w:rsidR="00464DC2" w:rsidRPr="00AD21FF" w:rsidDel="009D59CD">
        <w:rPr>
          <w:noProof/>
        </w:rPr>
        <w:t>industrial manufacturing as well as energy</w:t>
      </w:r>
      <w:r w:rsidR="00BE6E8B">
        <w:rPr>
          <w:noProof/>
        </w:rPr>
        <w:t>-</w:t>
      </w:r>
      <w:r w:rsidR="00464DC2" w:rsidRPr="00AD21FF" w:rsidDel="009D59CD">
        <w:rPr>
          <w:noProof/>
        </w:rPr>
        <w:t xml:space="preserve">intensive industries </w:t>
      </w:r>
      <w:r w:rsidR="00464DC2">
        <w:rPr>
          <w:noProof/>
        </w:rPr>
        <w:t xml:space="preserve">should be defined </w:t>
      </w:r>
      <w:r w:rsidR="00464DC2" w:rsidRPr="00AD21FF" w:rsidDel="009D59CD">
        <w:rPr>
          <w:noProof/>
        </w:rPr>
        <w:t xml:space="preserve">by </w:t>
      </w:r>
      <w:r w:rsidR="00464DC2">
        <w:rPr>
          <w:noProof/>
        </w:rPr>
        <w:t>referring</w:t>
      </w:r>
      <w:r w:rsidR="00464DC2" w:rsidRPr="00AD21FF" w:rsidDel="009D59CD">
        <w:rPr>
          <w:noProof/>
        </w:rPr>
        <w:t xml:space="preserve"> to the NACE classification codes</w:t>
      </w:r>
      <w:r w:rsidR="00862074">
        <w:rPr>
          <w:rStyle w:val="FootnoteReference"/>
          <w:noProof/>
        </w:rPr>
        <w:footnoteReference w:id="25"/>
      </w:r>
      <w:r w:rsidR="00464DC2" w:rsidRPr="00AD21FF" w:rsidDel="009D59CD">
        <w:rPr>
          <w:noProof/>
        </w:rPr>
        <w:t xml:space="preserve">. </w:t>
      </w:r>
    </w:p>
    <w:p w14:paraId="43720FC7" w14:textId="77777777" w:rsidR="002B14CF" w:rsidRPr="00AD21FF" w:rsidRDefault="002B14CF" w:rsidP="002B14CF">
      <w:pPr>
        <w:pStyle w:val="ManualConsidrant"/>
        <w:rPr>
          <w:noProof/>
        </w:rPr>
      </w:pPr>
      <w:r>
        <w:rPr>
          <w:noProof/>
        </w:rPr>
        <w:t>(6)</w:t>
      </w:r>
      <w:r>
        <w:rPr>
          <w:noProof/>
        </w:rPr>
        <w:tab/>
      </w:r>
      <w:r w:rsidRPr="00AD21FF">
        <w:rPr>
          <w:noProof/>
        </w:rPr>
        <w:t>Energy</w:t>
      </w:r>
      <w:r w:rsidR="00BE6E8B">
        <w:rPr>
          <w:noProof/>
        </w:rPr>
        <w:t>-</w:t>
      </w:r>
      <w:r w:rsidRPr="00AD21FF">
        <w:rPr>
          <w:noProof/>
        </w:rPr>
        <w:t xml:space="preserve">intensive industries are a key pillar of the Union’s prosperity. They enable a wide range of downstream industries and contribute to the Union’s economy by creating jobs, supporting growth and fostering innovation. However, they also account for around 22.3% of the Union’s greenhouse gas emissions and require substantial investments </w:t>
      </w:r>
      <w:r w:rsidRPr="00AD21FF" w:rsidDel="00862F2B">
        <w:rPr>
          <w:noProof/>
        </w:rPr>
        <w:t>in decarbonisation</w:t>
      </w:r>
      <w:r w:rsidR="001B5AC5">
        <w:rPr>
          <w:noProof/>
        </w:rPr>
        <w:t>, leading also to reduce</w:t>
      </w:r>
      <w:r w:rsidR="007A66A6">
        <w:rPr>
          <w:noProof/>
        </w:rPr>
        <w:t>d</w:t>
      </w:r>
      <w:r w:rsidR="001B5AC5">
        <w:rPr>
          <w:noProof/>
        </w:rPr>
        <w:t xml:space="preserve"> pollution</w:t>
      </w:r>
      <w:r w:rsidRPr="00AD21FF">
        <w:rPr>
          <w:noProof/>
        </w:rPr>
        <w:t>. The combination of</w:t>
      </w:r>
      <w:r>
        <w:rPr>
          <w:noProof/>
        </w:rPr>
        <w:t xml:space="preserve"> </w:t>
      </w:r>
      <w:r w:rsidRPr="00AD21FF">
        <w:rPr>
          <w:noProof/>
        </w:rPr>
        <w:t>high energy prices, the need for large-scale decarbonisation investments and unfair global competition places energy</w:t>
      </w:r>
      <w:r w:rsidR="00BE6E8B">
        <w:rPr>
          <w:noProof/>
        </w:rPr>
        <w:t>-</w:t>
      </w:r>
      <w:r w:rsidRPr="00AD21FF">
        <w:rPr>
          <w:noProof/>
        </w:rPr>
        <w:t xml:space="preserve">intensive industries at a competitive disadvantage, and there are growing signs of industrial decline. </w:t>
      </w:r>
    </w:p>
    <w:p w14:paraId="09D41DA3" w14:textId="77777777" w:rsidR="002B14CF" w:rsidRPr="00AD21FF" w:rsidRDefault="002B14CF" w:rsidP="002B14CF">
      <w:pPr>
        <w:pStyle w:val="ManualConsidrant"/>
        <w:rPr>
          <w:noProof/>
        </w:rPr>
      </w:pPr>
      <w:r>
        <w:rPr>
          <w:noProof/>
        </w:rPr>
        <w:t>(7)</w:t>
      </w:r>
      <w:r>
        <w:rPr>
          <w:noProof/>
        </w:rPr>
        <w:tab/>
      </w:r>
      <w:r w:rsidRPr="00AD21FF">
        <w:rPr>
          <w:noProof/>
        </w:rPr>
        <w:t>Net-zero technologies are pivotal to achieving the Union’s energy and climate targets. They play a crucial role in reducing greenhouse gas emissions and enabling the decarbonisation of a wide range of economic sectors, including building, transport and the industry. They are also key in advancing sustainable energy solutions, by enabling the decarbonisation of the energy supply and providing innovative solutions to enable the needed expansion and digitalisation of electricity grids and the energy system</w:t>
      </w:r>
      <w:r w:rsidRPr="00AD21FF" w:rsidDel="00720FAD">
        <w:rPr>
          <w:noProof/>
        </w:rPr>
        <w:t xml:space="preserve"> as a whole</w:t>
      </w:r>
      <w:r w:rsidRPr="00AD21FF">
        <w:rPr>
          <w:noProof/>
        </w:rPr>
        <w:t>. However, the Union’s net-zero technology manufacturing sector faces significant challenges, including increasing global competitive pressures and supply chain vulnerabilities</w:t>
      </w:r>
      <w:r w:rsidR="00650792">
        <w:rPr>
          <w:noProof/>
        </w:rPr>
        <w:t xml:space="preserve"> which</w:t>
      </w:r>
      <w:r w:rsidRPr="00AD21FF">
        <w:rPr>
          <w:noProof/>
        </w:rPr>
        <w:t xml:space="preserve"> endangers the Union’s competitiveness and economic resilience.</w:t>
      </w:r>
    </w:p>
    <w:p w14:paraId="2981AF9D" w14:textId="77777777" w:rsidR="0011523A" w:rsidRPr="00AD21FF" w:rsidRDefault="0011523A" w:rsidP="002B14CF">
      <w:pPr>
        <w:pStyle w:val="ManualConsidrant"/>
        <w:rPr>
          <w:noProof/>
        </w:rPr>
      </w:pPr>
      <w:r>
        <w:rPr>
          <w:noProof/>
        </w:rPr>
        <w:t>(8)</w:t>
      </w:r>
      <w:r>
        <w:rPr>
          <w:noProof/>
        </w:rPr>
        <w:tab/>
      </w:r>
      <w:r w:rsidRPr="7590F088">
        <w:rPr>
          <w:noProof/>
        </w:rPr>
        <w:t>The bioeconomy is able to provide sustainable biomass and bio-based solutions for industrial production. The Commission communication “A Strategic Framework for a Competitive and Sustainable EU Bioeconomy”</w:t>
      </w:r>
      <w:r w:rsidR="00BB6AA8" w:rsidRPr="7590F088">
        <w:rPr>
          <w:rStyle w:val="FootnoteReference"/>
          <w:noProof/>
        </w:rPr>
        <w:footnoteReference w:id="26"/>
      </w:r>
      <w:r w:rsidRPr="7590F088">
        <w:rPr>
          <w:noProof/>
        </w:rPr>
        <w:t xml:space="preserve"> identifies lead markets, such as bio-based plastics and polymers, bio-based chemicals and biobased construction products, as well as lead technologies</w:t>
      </w:r>
      <w:r w:rsidR="001B529A">
        <w:rPr>
          <w:noProof/>
          <w:szCs w:val="24"/>
        </w:rPr>
        <w:t xml:space="preserve"> </w:t>
      </w:r>
      <w:r w:rsidRPr="7590F088">
        <w:rPr>
          <w:noProof/>
        </w:rPr>
        <w:t xml:space="preserve">that can support </w:t>
      </w:r>
      <w:r w:rsidR="00862074">
        <w:rPr>
          <w:noProof/>
        </w:rPr>
        <w:t>the Union’s</w:t>
      </w:r>
      <w:r w:rsidR="00862074" w:rsidRPr="7590F088">
        <w:rPr>
          <w:noProof/>
        </w:rPr>
        <w:t xml:space="preserve"> </w:t>
      </w:r>
      <w:r w:rsidRPr="7590F088">
        <w:rPr>
          <w:noProof/>
        </w:rPr>
        <w:t>strategic autonomy and the decarbonisation of the industrial sectors identified in this initiative.</w:t>
      </w:r>
    </w:p>
    <w:p w14:paraId="6F3AD2C1" w14:textId="77777777" w:rsidR="002B14CF" w:rsidRPr="00AD21FF" w:rsidRDefault="002B14CF" w:rsidP="002B14CF">
      <w:pPr>
        <w:pStyle w:val="ManualConsidrant"/>
        <w:rPr>
          <w:noProof/>
          <w:lang w:val="en-IE"/>
        </w:rPr>
      </w:pPr>
      <w:r>
        <w:rPr>
          <w:noProof/>
        </w:rPr>
        <w:t>(9)</w:t>
      </w:r>
      <w:r>
        <w:rPr>
          <w:noProof/>
        </w:rPr>
        <w:tab/>
      </w:r>
      <w:r w:rsidRPr="00AD21FF">
        <w:rPr>
          <w:noProof/>
        </w:rPr>
        <w:t>The automotive industry is a cornerstone of the Union economy</w:t>
      </w:r>
      <w:r w:rsidR="001B529A">
        <w:rPr>
          <w:noProof/>
        </w:rPr>
        <w:t xml:space="preserve">. </w:t>
      </w:r>
      <w:r w:rsidRPr="00AD21FF">
        <w:rPr>
          <w:noProof/>
          <w:lang w:val="en-US"/>
        </w:rPr>
        <w:t xml:space="preserve">With a view to </w:t>
      </w:r>
      <w:r w:rsidR="00A63B94" w:rsidRPr="00AD21FF">
        <w:rPr>
          <w:noProof/>
          <w:lang w:val="en-US"/>
        </w:rPr>
        <w:t>delivering</w:t>
      </w:r>
      <w:r w:rsidRPr="00AD21FF">
        <w:rPr>
          <w:noProof/>
          <w:lang w:val="en-US"/>
        </w:rPr>
        <w:t xml:space="preserve"> on the Union’s climate policy objectives, over the past years, the European automotive industry has been investing heavily in the development of cleaner vehicles and innovative components. </w:t>
      </w:r>
      <w:r w:rsidRPr="00AD21FF">
        <w:rPr>
          <w:noProof/>
          <w:lang w:val="en-IE"/>
        </w:rPr>
        <w:t>Electric vehicles and electric vehicle components, including traction batteries, e-powertrain components and electronic systems, are essential technologies for advancing the decarbonisation of road transport.</w:t>
      </w:r>
      <w:r w:rsidRPr="00AD21FF">
        <w:rPr>
          <w:noProof/>
        </w:rPr>
        <w:t xml:space="preserve"> However, as a result of costs disadvantage and the transformation of the value chain with an increasing value share for batteries, e-powertrain and electronics, the level of Union content in vehicles produced in the Union is decreasing. </w:t>
      </w:r>
      <w:r w:rsidR="0068072A">
        <w:rPr>
          <w:noProof/>
        </w:rPr>
        <w:t>It</w:t>
      </w:r>
      <w:r w:rsidR="00D22E03">
        <w:rPr>
          <w:noProof/>
        </w:rPr>
        <w:t xml:space="preserve"> is no longer possible to postpone e</w:t>
      </w:r>
      <w:r w:rsidRPr="00AD21FF">
        <w:rPr>
          <w:noProof/>
        </w:rPr>
        <w:t xml:space="preserve">ffective measures </w:t>
      </w:r>
      <w:r w:rsidR="000D2C94">
        <w:rPr>
          <w:noProof/>
        </w:rPr>
        <w:t xml:space="preserve">to avoid the risk of </w:t>
      </w:r>
      <w:r w:rsidR="00BF4039">
        <w:rPr>
          <w:noProof/>
        </w:rPr>
        <w:t>local production being displaced.</w:t>
      </w:r>
      <w:r w:rsidR="000D2C94">
        <w:rPr>
          <w:noProof/>
        </w:rPr>
        <w:t xml:space="preserve"> </w:t>
      </w:r>
      <w:r w:rsidRPr="00AD21FF">
        <w:rPr>
          <w:noProof/>
          <w:lang w:val="en-IE"/>
        </w:rPr>
        <w:t xml:space="preserve">In the absence of such measures, the current circumstances would lead to a full reliance on third countries for key vehicle components. </w:t>
      </w:r>
      <w:r w:rsidR="00BF427C">
        <w:rPr>
          <w:noProof/>
          <w:lang w:val="en-IE"/>
        </w:rPr>
        <w:t>That would be</w:t>
      </w:r>
      <w:r w:rsidRPr="00AD21FF">
        <w:rPr>
          <w:noProof/>
          <w:lang w:val="en-IE"/>
        </w:rPr>
        <w:t xml:space="preserve"> a serious threat to the Union’s economic security and future resilience, as well as for its climate goals. </w:t>
      </w:r>
    </w:p>
    <w:p w14:paraId="3EB42336" w14:textId="77777777" w:rsidR="002B14CF" w:rsidRPr="00B603F7" w:rsidRDefault="002B14CF" w:rsidP="00BF1969">
      <w:pPr>
        <w:pStyle w:val="ManualConsidrant"/>
        <w:rPr>
          <w:noProof/>
        </w:rPr>
      </w:pPr>
      <w:r>
        <w:rPr>
          <w:noProof/>
        </w:rPr>
        <w:t>(10)</w:t>
      </w:r>
      <w:r>
        <w:rPr>
          <w:noProof/>
        </w:rPr>
        <w:tab/>
      </w:r>
      <w:r w:rsidRPr="00AD21FF">
        <w:rPr>
          <w:noProof/>
        </w:rPr>
        <w:t xml:space="preserve">The unpredictability, complexity and, at times, excessive length of national permit-granting procedures undermine the </w:t>
      </w:r>
      <w:r w:rsidR="00BC385A">
        <w:rPr>
          <w:noProof/>
        </w:rPr>
        <w:t>cost</w:t>
      </w:r>
      <w:r w:rsidR="00E603F5">
        <w:rPr>
          <w:noProof/>
        </w:rPr>
        <w:t>-effectiveness of</w:t>
      </w:r>
      <w:r w:rsidRPr="00AD21FF">
        <w:rPr>
          <w:noProof/>
        </w:rPr>
        <w:t xml:space="preserve"> investments necessary for the development of industrial activities. </w:t>
      </w:r>
      <w:r w:rsidR="0033353D">
        <w:rPr>
          <w:noProof/>
        </w:rPr>
        <w:t>T</w:t>
      </w:r>
      <w:r w:rsidR="0033353D" w:rsidRPr="00AD21FF">
        <w:rPr>
          <w:noProof/>
        </w:rPr>
        <w:t>herefore</w:t>
      </w:r>
      <w:r w:rsidR="0033353D">
        <w:rPr>
          <w:noProof/>
        </w:rPr>
        <w:t>, and</w:t>
      </w:r>
      <w:r w:rsidR="0033353D" w:rsidRPr="00AD21FF">
        <w:rPr>
          <w:noProof/>
        </w:rPr>
        <w:t xml:space="preserve"> in order to ensure and speed up </w:t>
      </w:r>
      <w:r w:rsidR="0033353D">
        <w:rPr>
          <w:noProof/>
        </w:rPr>
        <w:t>the</w:t>
      </w:r>
      <w:r w:rsidR="0033353D" w:rsidRPr="00AD21FF">
        <w:rPr>
          <w:noProof/>
        </w:rPr>
        <w:t xml:space="preserve"> effective implementation </w:t>
      </w:r>
      <w:r w:rsidR="0033353D">
        <w:rPr>
          <w:noProof/>
        </w:rPr>
        <w:t>of</w:t>
      </w:r>
      <w:r w:rsidR="006F56ED">
        <w:rPr>
          <w:noProof/>
        </w:rPr>
        <w:t xml:space="preserve"> industrial manufacturing activities</w:t>
      </w:r>
      <w:r w:rsidR="0033353D">
        <w:rPr>
          <w:noProof/>
        </w:rPr>
        <w:t>,</w:t>
      </w:r>
      <w:r w:rsidR="0033353D" w:rsidRPr="00AD21FF">
        <w:rPr>
          <w:noProof/>
        </w:rPr>
        <w:t xml:space="preserve"> </w:t>
      </w:r>
      <w:r w:rsidRPr="00AD21FF">
        <w:rPr>
          <w:noProof/>
        </w:rPr>
        <w:t>Member States should apply streamlined and digitalised permit-granting processes. A competent authority should coordinate all permit granting processes and issue a comprehensive decision within the applicable time limit.</w:t>
      </w:r>
      <w:r w:rsidR="6DE0D675">
        <w:rPr>
          <w:noProof/>
        </w:rPr>
        <w:t xml:space="preserve"> </w:t>
      </w:r>
    </w:p>
    <w:p w14:paraId="1FB79414" w14:textId="77777777" w:rsidR="002D1331" w:rsidRPr="00862074" w:rsidRDefault="002D1331" w:rsidP="00862074">
      <w:pPr>
        <w:pStyle w:val="ManualConsidrant"/>
        <w:rPr>
          <w:rFonts w:ascii="Times" w:eastAsia="Times New Roman" w:hAnsi="Times" w:cs="Times"/>
          <w:noProof/>
          <w:lang w:eastAsia="en-GB"/>
        </w:rPr>
      </w:pPr>
      <w:r>
        <w:rPr>
          <w:noProof/>
        </w:rPr>
        <w:t>(11)</w:t>
      </w:r>
      <w:r>
        <w:rPr>
          <w:noProof/>
        </w:rPr>
        <w:tab/>
        <w:t xml:space="preserve">The implementation of single </w:t>
      </w:r>
      <w:r w:rsidR="00BD0A33">
        <w:rPr>
          <w:noProof/>
        </w:rPr>
        <w:t>access points</w:t>
      </w:r>
      <w:r>
        <w:rPr>
          <w:noProof/>
        </w:rPr>
        <w:t xml:space="preserve"> should be based on the European Business Wallets established pursuant to [Proposal </w:t>
      </w:r>
      <w:r w:rsidR="00862074">
        <w:rPr>
          <w:noProof/>
        </w:rPr>
        <w:t>for a</w:t>
      </w:r>
      <w:r>
        <w:rPr>
          <w:noProof/>
        </w:rPr>
        <w:t xml:space="preserve"> Regulation on the establishment of European Business Wallets</w:t>
      </w:r>
      <w:r w:rsidR="00862074">
        <w:rPr>
          <w:rStyle w:val="FootnoteReference"/>
          <w:noProof/>
        </w:rPr>
        <w:footnoteReference w:id="27"/>
      </w:r>
      <w:r>
        <w:rPr>
          <w:noProof/>
        </w:rPr>
        <w:t>], as they provide a secure, standardised, and interoperable platform for businesses to interact with public sector bodies. This should enable the efficient and effective submission of applications, while ensuring a high level of data protection, cybersecurity, and integrity of information. The European Business Wallets will also enable the streamlining of investments that were made and the avoidance of unnecessary duplications, allowing for the optimisation of resources and the reduction of administrative burdens for businesses.</w:t>
      </w:r>
      <w:r w:rsidR="00862074">
        <w:rPr>
          <w:noProof/>
        </w:rPr>
        <w:t xml:space="preserve"> </w:t>
      </w:r>
      <w:r w:rsidR="00862074" w:rsidRPr="00241211">
        <w:rPr>
          <w:rFonts w:ascii="Times" w:eastAsia="Times New Roman" w:hAnsi="Times" w:cs="Times"/>
          <w:noProof/>
          <w:lang w:eastAsia="en-GB"/>
        </w:rPr>
        <w:t>The implementation of single access points should also, to the extent possible, use existing Union digital infrastructures, catalogues and building blocks, including those developed under the Once-Only Technical System and its implementing acts. This would promote complementarity, interoperability and the efficient use of public resources, while avoiding duplication of existing digital solutions.</w:t>
      </w:r>
      <w:r w:rsidR="00862074" w:rsidRPr="00AD21FF">
        <w:rPr>
          <w:rFonts w:ascii="Times" w:eastAsia="Times New Roman" w:hAnsi="Times" w:cs="Times"/>
          <w:noProof/>
          <w:lang w:eastAsia="en-GB"/>
        </w:rPr>
        <w:t xml:space="preserve"> </w:t>
      </w:r>
    </w:p>
    <w:p w14:paraId="60B8855A" w14:textId="77777777" w:rsidR="00050789" w:rsidRPr="003C62A0" w:rsidDel="00DB733D" w:rsidRDefault="0051450E">
      <w:pPr>
        <w:pStyle w:val="ManualConsidrant"/>
        <w:rPr>
          <w:noProof/>
        </w:rPr>
      </w:pPr>
      <w:r>
        <w:rPr>
          <w:noProof/>
        </w:rPr>
        <w:t>(12)</w:t>
      </w:r>
      <w:r>
        <w:rPr>
          <w:noProof/>
        </w:rPr>
        <w:tab/>
      </w:r>
      <w:r w:rsidRPr="003C62A0">
        <w:rPr>
          <w:noProof/>
        </w:rPr>
        <w:t xml:space="preserve">In </w:t>
      </w:r>
      <w:r w:rsidR="00730A27" w:rsidRPr="003C62A0">
        <w:rPr>
          <w:noProof/>
        </w:rPr>
        <w:t xml:space="preserve">order to ensure streamlined and simplified permit-granting procedures, a </w:t>
      </w:r>
      <w:r w:rsidR="00730A27" w:rsidRPr="003C62A0" w:rsidDel="00E74695">
        <w:rPr>
          <w:noProof/>
        </w:rPr>
        <w:t>single</w:t>
      </w:r>
      <w:r w:rsidR="00730A27" w:rsidRPr="003C62A0">
        <w:rPr>
          <w:noProof/>
        </w:rPr>
        <w:t xml:space="preserve"> application covering all necessary permits </w:t>
      </w:r>
      <w:r w:rsidR="00730A27">
        <w:rPr>
          <w:noProof/>
        </w:rPr>
        <w:t>should be</w:t>
      </w:r>
      <w:r w:rsidR="00730A27" w:rsidRPr="003C62A0">
        <w:rPr>
          <w:noProof/>
        </w:rPr>
        <w:t xml:space="preserve"> </w:t>
      </w:r>
      <w:r w:rsidR="00730A27">
        <w:rPr>
          <w:noProof/>
        </w:rPr>
        <w:t>provided</w:t>
      </w:r>
      <w:r w:rsidR="00730A27" w:rsidRPr="003C62A0">
        <w:rPr>
          <w:noProof/>
        </w:rPr>
        <w:t xml:space="preserve"> for all industrial manufacturing projects</w:t>
      </w:r>
      <w:r w:rsidR="00730A27">
        <w:rPr>
          <w:noProof/>
        </w:rPr>
        <w:t xml:space="preserve"> except for the manufacturing sector under the C12 code.</w:t>
      </w:r>
      <w:r w:rsidR="00730A27" w:rsidRPr="003C62A0">
        <w:rPr>
          <w:noProof/>
        </w:rPr>
        <w:t xml:space="preserve"> </w:t>
      </w:r>
      <w:r w:rsidR="00730A27">
        <w:rPr>
          <w:noProof/>
        </w:rPr>
        <w:t>It</w:t>
      </w:r>
      <w:r w:rsidR="00730A27" w:rsidRPr="003C62A0">
        <w:rPr>
          <w:noProof/>
        </w:rPr>
        <w:t xml:space="preserve"> should </w:t>
      </w:r>
      <w:r w:rsidR="00730A27">
        <w:rPr>
          <w:noProof/>
        </w:rPr>
        <w:t xml:space="preserve">not </w:t>
      </w:r>
      <w:r w:rsidR="00730A27" w:rsidRPr="003C62A0">
        <w:rPr>
          <w:noProof/>
        </w:rPr>
        <w:t>apply w</w:t>
      </w:r>
      <w:r w:rsidR="00730A27" w:rsidRPr="003C62A0">
        <w:rPr>
          <w:noProof/>
          <w:lang w:val="en-IE"/>
        </w:rPr>
        <w:t>here specific permit-granting or licensing procedures or requirements are established in Union harmonisation legislation for industrial manufacturing projects, such as pursuant to Regulation</w:t>
      </w:r>
      <w:r w:rsidR="00730A27">
        <w:rPr>
          <w:noProof/>
          <w:lang w:val="en-IE"/>
        </w:rPr>
        <w:t>s</w:t>
      </w:r>
      <w:r w:rsidR="00730A27" w:rsidRPr="003C62A0">
        <w:rPr>
          <w:noProof/>
          <w:lang w:val="en-IE"/>
        </w:rPr>
        <w:t xml:space="preserve"> (EU) 2024/1735</w:t>
      </w:r>
      <w:r w:rsidR="00730A27">
        <w:rPr>
          <w:rStyle w:val="FootnoteReference"/>
          <w:noProof/>
          <w:lang w:val="en-IE"/>
        </w:rPr>
        <w:footnoteReference w:id="28"/>
      </w:r>
      <w:r w:rsidR="00730A27" w:rsidRPr="003C62A0">
        <w:rPr>
          <w:noProof/>
          <w:lang w:val="en-IE"/>
        </w:rPr>
        <w:t xml:space="preserve"> and </w:t>
      </w:r>
      <w:r w:rsidR="00730A27">
        <w:rPr>
          <w:noProof/>
          <w:lang w:val="en-IE"/>
        </w:rPr>
        <w:t>(</w:t>
      </w:r>
      <w:r w:rsidR="00730A27" w:rsidRPr="003C62A0">
        <w:rPr>
          <w:noProof/>
          <w:lang w:val="en-IE"/>
        </w:rPr>
        <w:t>EU</w:t>
      </w:r>
      <w:r w:rsidR="00730A27">
        <w:rPr>
          <w:noProof/>
          <w:lang w:val="en-IE"/>
        </w:rPr>
        <w:t>)</w:t>
      </w:r>
      <w:r w:rsidR="00730A27" w:rsidRPr="003C62A0">
        <w:rPr>
          <w:noProof/>
          <w:lang w:val="en-IE"/>
        </w:rPr>
        <w:t xml:space="preserve"> 2024/1252</w:t>
      </w:r>
      <w:r w:rsidR="00730A27">
        <w:rPr>
          <w:rStyle w:val="FootnoteReference"/>
          <w:noProof/>
          <w:lang w:val="en-IE"/>
        </w:rPr>
        <w:footnoteReference w:id="29"/>
      </w:r>
      <w:r w:rsidR="00730A27">
        <w:rPr>
          <w:noProof/>
          <w:lang w:val="en-IE"/>
        </w:rPr>
        <w:t xml:space="preserve"> </w:t>
      </w:r>
      <w:r w:rsidR="00730A27" w:rsidRPr="00833106">
        <w:rPr>
          <w:noProof/>
          <w:lang w:val="en-IE"/>
        </w:rPr>
        <w:t>of the European Parliament and of the Council</w:t>
      </w:r>
      <w:r w:rsidR="00730A27" w:rsidRPr="003C62A0">
        <w:rPr>
          <w:noProof/>
        </w:rPr>
        <w:t>.</w:t>
      </w:r>
      <w:r w:rsidR="00730A27">
        <w:rPr>
          <w:noProof/>
        </w:rPr>
        <w:t xml:space="preserve"> </w:t>
      </w:r>
      <w:r w:rsidR="00730A27" w:rsidRPr="00B603F7">
        <w:rPr>
          <w:noProof/>
        </w:rPr>
        <w:t xml:space="preserve">Sectorial </w:t>
      </w:r>
      <w:r w:rsidR="00730A27">
        <w:rPr>
          <w:noProof/>
        </w:rPr>
        <w:t>Union</w:t>
      </w:r>
      <w:r w:rsidR="00730A27" w:rsidRPr="00B603F7">
        <w:rPr>
          <w:noProof/>
        </w:rPr>
        <w:t xml:space="preserve"> legislation governing medicines and medical devices has recently undergone or is undergoing further streamlining of harmonised rules and timelines for authorisations and certifications, with options to speed up the process if necessary. Those rules should therefore not be considered permit-granting procedures within the context of this initiative.</w:t>
      </w:r>
    </w:p>
    <w:p w14:paraId="21E0AF7B" w14:textId="77777777" w:rsidR="00730A27" w:rsidRDefault="00730A27" w:rsidP="00730A27">
      <w:pPr>
        <w:pStyle w:val="ManualConsidrant"/>
        <w:rPr>
          <w:noProof/>
        </w:rPr>
      </w:pPr>
      <w:r>
        <w:rPr>
          <w:noProof/>
        </w:rPr>
        <w:t>(13)</w:t>
      </w:r>
      <w:r>
        <w:rPr>
          <w:noProof/>
        </w:rPr>
        <w:tab/>
      </w:r>
      <w:r w:rsidRPr="003C62A0">
        <w:rPr>
          <w:noProof/>
        </w:rPr>
        <w:t>Regulation (EU) [202X/XX]</w:t>
      </w:r>
      <w:r>
        <w:rPr>
          <w:noProof/>
        </w:rPr>
        <w:t xml:space="preserve"> </w:t>
      </w:r>
      <w:r w:rsidRPr="003C62A0">
        <w:rPr>
          <w:noProof/>
        </w:rPr>
        <w:t>of […]</w:t>
      </w:r>
      <w:r>
        <w:rPr>
          <w:rStyle w:val="FootnoteReference"/>
          <w:noProof/>
        </w:rPr>
        <w:footnoteReference w:id="30"/>
      </w:r>
      <w:r>
        <w:rPr>
          <w:noProof/>
        </w:rPr>
        <w:t xml:space="preserve"> </w:t>
      </w:r>
      <w:r w:rsidRPr="003C62A0">
        <w:rPr>
          <w:noProof/>
        </w:rPr>
        <w:t xml:space="preserve">establishes a common acceleration framework for environmental assessments in order to boost the Union’s roll out of key technologies, reduce dependencies and strengthen competitiveness. Procedures linked to environmental assessments should be accelerated and streamlined for plans, programmes and projects across all sectors of the economy while maintaining high levels of protection of human health and of the environment. Some sectors may, however, require yet faster environmental assessments. Therefore, and in order to safeguard the coherence of the legal framework of environmental assessments, while allowing for the additional needs for acceleration in certain strategic sectors, Regulation (EU) [202X/XX] establishes a dedicated toolbox that should therefore be used in the context of this Regulation. </w:t>
      </w:r>
      <w:r w:rsidRPr="00522F62">
        <w:rPr>
          <w:noProof/>
          <w:lang w:val="en-IE"/>
        </w:rPr>
        <w:t>Given their essential role in ensuring the achievement of the Union’s climate objectives, and their contribution to the Union’s resilience and economic security, energy-intensive industry decarbonisation projects, industrial manufacturing projects located in industrial manufacturing acceleration areas, and net-zero technology projects should be considered strategic projects within the meaning of Regulation (EU) [202X/XX</w:t>
      </w:r>
      <w:r w:rsidRPr="003C62A0">
        <w:rPr>
          <w:noProof/>
        </w:rPr>
        <w:t xml:space="preserve">] </w:t>
      </w:r>
      <w:r w:rsidRPr="00522F62">
        <w:rPr>
          <w:noProof/>
          <w:lang w:val="en-IE"/>
        </w:rPr>
        <w:t>and therefore benefit from the dedicated toolbox established under that Regulation.</w:t>
      </w:r>
    </w:p>
    <w:p w14:paraId="43B8B6BC" w14:textId="77777777" w:rsidR="00730A27" w:rsidRPr="00A318D3" w:rsidRDefault="00730A27" w:rsidP="00730A27">
      <w:pPr>
        <w:pStyle w:val="ManualConsidrant"/>
        <w:rPr>
          <w:rFonts w:ascii="Times" w:eastAsia="Times New Roman" w:hAnsi="Times" w:cs="Times"/>
          <w:noProof/>
          <w:lang w:eastAsia="en-GB"/>
        </w:rPr>
      </w:pPr>
      <w:r>
        <w:rPr>
          <w:noProof/>
        </w:rPr>
        <w:t>(14)</w:t>
      </w:r>
      <w:r>
        <w:rPr>
          <w:noProof/>
        </w:rPr>
        <w:tab/>
      </w:r>
      <w:r w:rsidRPr="00AD21FF">
        <w:rPr>
          <w:rFonts w:ascii="Times" w:eastAsia="Times New Roman" w:hAnsi="Times" w:cs="Times"/>
          <w:noProof/>
          <w:lang w:eastAsia="en-GB"/>
        </w:rPr>
        <w:t>Regulation (EU) 2024/1735</w:t>
      </w:r>
      <w:r>
        <w:rPr>
          <w:rFonts w:ascii="Times" w:eastAsia="Times New Roman" w:hAnsi="Times" w:cs="Times"/>
          <w:noProof/>
          <w:lang w:eastAsia="en-GB"/>
        </w:rPr>
        <w:t xml:space="preserve"> </w:t>
      </w:r>
      <w:r w:rsidRPr="00AD21FF">
        <w:rPr>
          <w:rFonts w:ascii="Times" w:eastAsia="Times New Roman" w:hAnsi="Times" w:cs="Times"/>
          <w:noProof/>
          <w:lang w:eastAsia="en-GB"/>
        </w:rPr>
        <w:t>sets out provisions that streamline administrative and permit-granting processes for net-zero technology manufacturing projects. Some specific components in the supply chain of net-zero technologies are produced through energy</w:t>
      </w:r>
      <w:r w:rsidRPr="00AD21FF" w:rsidDel="00D56BFE">
        <w:rPr>
          <w:rFonts w:ascii="Times" w:eastAsia="Times New Roman" w:hAnsi="Times" w:cs="Times"/>
          <w:noProof/>
          <w:lang w:eastAsia="en-GB"/>
        </w:rPr>
        <w:t>-</w:t>
      </w:r>
      <w:r w:rsidRPr="00AD21FF">
        <w:rPr>
          <w:rFonts w:ascii="Times" w:eastAsia="Times New Roman" w:hAnsi="Times" w:cs="Times"/>
          <w:noProof/>
          <w:lang w:eastAsia="en-GB"/>
        </w:rPr>
        <w:t>intensive production processes. Energy</w:t>
      </w:r>
      <w:r w:rsidRPr="00AD21FF" w:rsidDel="00D56BFE">
        <w:rPr>
          <w:rFonts w:ascii="Times" w:eastAsia="Times New Roman" w:hAnsi="Times" w:cs="Times"/>
          <w:noProof/>
          <w:lang w:eastAsia="en-GB"/>
        </w:rPr>
        <w:t>-</w:t>
      </w:r>
      <w:r w:rsidRPr="00AD21FF">
        <w:rPr>
          <w:rFonts w:ascii="Times" w:eastAsia="Times New Roman" w:hAnsi="Times" w:cs="Times"/>
          <w:noProof/>
          <w:lang w:eastAsia="en-GB"/>
        </w:rPr>
        <w:t>intensive industry decarbonisation projects fall within the scope of Regulation (EU) 2024/1735 where the relevant facilities produce components that are part of the supply chain of a net-zero technology. However, energy</w:t>
      </w:r>
      <w:r w:rsidRPr="00AD21FF" w:rsidDel="00D56BFE">
        <w:rPr>
          <w:rFonts w:ascii="Times" w:eastAsia="Times New Roman" w:hAnsi="Times" w:cs="Times"/>
          <w:noProof/>
          <w:lang w:eastAsia="en-GB"/>
        </w:rPr>
        <w:t>-</w:t>
      </w:r>
      <w:r w:rsidRPr="00AD21FF">
        <w:rPr>
          <w:rFonts w:ascii="Times" w:eastAsia="Times New Roman" w:hAnsi="Times" w:cs="Times"/>
          <w:noProof/>
          <w:lang w:eastAsia="en-GB"/>
        </w:rPr>
        <w:t>intensive facilities that do not produce components that are used in net-zero technologies are currently excluded from the scope of Regulation (EU) 2024/1735. Th</w:t>
      </w:r>
      <w:r>
        <w:rPr>
          <w:rFonts w:ascii="Times" w:eastAsia="Times New Roman" w:hAnsi="Times" w:cs="Times"/>
          <w:noProof/>
          <w:lang w:eastAsia="en-GB"/>
        </w:rPr>
        <w:t>is</w:t>
      </w:r>
      <w:r w:rsidRPr="00AD21FF">
        <w:rPr>
          <w:rFonts w:ascii="Times" w:eastAsia="Times New Roman" w:hAnsi="Times" w:cs="Times"/>
          <w:noProof/>
          <w:lang w:eastAsia="en-GB"/>
        </w:rPr>
        <w:t xml:space="preserve"> creates the risk of </w:t>
      </w:r>
      <w:r>
        <w:rPr>
          <w:rFonts w:ascii="Times" w:eastAsia="Times New Roman" w:hAnsi="Times" w:cs="Times"/>
          <w:noProof/>
          <w:lang w:eastAsia="en-GB"/>
        </w:rPr>
        <w:t xml:space="preserve">uneven conditions of </w:t>
      </w:r>
      <w:r w:rsidRPr="00AD21FF">
        <w:rPr>
          <w:rFonts w:ascii="Times" w:eastAsia="Times New Roman" w:hAnsi="Times" w:cs="Times"/>
          <w:noProof/>
          <w:lang w:eastAsia="en-GB"/>
        </w:rPr>
        <w:t>between energy</w:t>
      </w:r>
      <w:r>
        <w:rPr>
          <w:rFonts w:ascii="Times" w:eastAsia="Times New Roman" w:hAnsi="Times" w:cs="Times"/>
          <w:noProof/>
          <w:lang w:eastAsia="en-GB"/>
        </w:rPr>
        <w:t>-</w:t>
      </w:r>
      <w:r w:rsidRPr="00AD21FF">
        <w:rPr>
          <w:rFonts w:ascii="Times" w:eastAsia="Times New Roman" w:hAnsi="Times" w:cs="Times"/>
          <w:noProof/>
          <w:lang w:eastAsia="en-GB"/>
        </w:rPr>
        <w:t>intensive industries and slows down decarbonisation efforts</w:t>
      </w:r>
      <w:bookmarkStart w:id="6" w:name="_Hlk221969963"/>
      <w:r w:rsidRPr="00AD21FF">
        <w:rPr>
          <w:rFonts w:ascii="Times" w:eastAsia="Times New Roman" w:hAnsi="Times" w:cs="Times"/>
          <w:noProof/>
          <w:lang w:eastAsia="en-GB"/>
        </w:rPr>
        <w:t>.</w:t>
      </w:r>
      <w:r>
        <w:rPr>
          <w:rFonts w:ascii="Times" w:eastAsia="Times New Roman" w:hAnsi="Times" w:cs="Times"/>
          <w:noProof/>
          <w:lang w:eastAsia="en-GB"/>
        </w:rPr>
        <w:t xml:space="preserve"> All energy-intensive decarbonisation projects should therefore be subject to the same permit-granting processes. </w:t>
      </w:r>
      <w:bookmarkEnd w:id="6"/>
    </w:p>
    <w:p w14:paraId="204714DA" w14:textId="77777777" w:rsidR="00730A27" w:rsidRPr="00AD21FF" w:rsidRDefault="00730A27" w:rsidP="00730A27">
      <w:pPr>
        <w:pStyle w:val="ManualConsidrant"/>
        <w:rPr>
          <w:rFonts w:eastAsia="Times New Roman"/>
          <w:noProof/>
        </w:rPr>
      </w:pPr>
      <w:r>
        <w:rPr>
          <w:noProof/>
        </w:rPr>
        <w:t>(15)</w:t>
      </w:r>
      <w:r>
        <w:rPr>
          <w:noProof/>
        </w:rPr>
        <w:tab/>
        <w:t>T</w:t>
      </w:r>
      <w:r w:rsidRPr="00AD21FF">
        <w:rPr>
          <w:noProof/>
        </w:rPr>
        <w:t xml:space="preserve">he Union should adopt a more strategic approach in leveraging its economic weight and the value of access to its internal market. In </w:t>
      </w:r>
      <w:r>
        <w:rPr>
          <w:noProof/>
        </w:rPr>
        <w:t>that</w:t>
      </w:r>
      <w:r w:rsidRPr="00AD21FF">
        <w:rPr>
          <w:noProof/>
        </w:rPr>
        <w:t xml:space="preserve"> context, </w:t>
      </w:r>
      <w:r>
        <w:rPr>
          <w:noProof/>
        </w:rPr>
        <w:t>t</w:t>
      </w:r>
      <w:r w:rsidRPr="00AD21FF">
        <w:rPr>
          <w:noProof/>
        </w:rPr>
        <w:t xml:space="preserve">he strategic use of public intervention is </w:t>
      </w:r>
      <w:r>
        <w:rPr>
          <w:noProof/>
        </w:rPr>
        <w:t>essential to prevent critical dependencies in the Union</w:t>
      </w:r>
      <w:r w:rsidRPr="00AD21FF">
        <w:rPr>
          <w:noProof/>
        </w:rPr>
        <w:t xml:space="preserve">. Public procurement amounts to 15% of the Union’s GDP. Contracting authorities and entities should therefore, where appropriate, ensure that public procurement requirements foster economic security and resilience of supply chains. Public support schemes also play an important role in stimulating demand in downstream sectors that account for a significant share of demand for certain strategic products and technologies. </w:t>
      </w:r>
      <w:r>
        <w:rPr>
          <w:noProof/>
        </w:rPr>
        <w:t>Such</w:t>
      </w:r>
      <w:r w:rsidRPr="00AD21FF">
        <w:rPr>
          <w:noProof/>
        </w:rPr>
        <w:t xml:space="preserve"> schemes should therefore favour beneficiaries that make a greater contribution to strengthening the Union’s resilience and advancing its decarbonisation objectives. Auctions are </w:t>
      </w:r>
      <w:r>
        <w:rPr>
          <w:noProof/>
        </w:rPr>
        <w:t>crucial</w:t>
      </w:r>
      <w:r w:rsidRPr="00AD21FF">
        <w:rPr>
          <w:noProof/>
        </w:rPr>
        <w:t xml:space="preserve"> for the deployment of net-zero technologies and should be designed to foster demand for such technologies including components originating from the Union.</w:t>
      </w:r>
    </w:p>
    <w:p w14:paraId="61F7BEC4" w14:textId="77777777" w:rsidR="002B14CF" w:rsidRDefault="002B14CF" w:rsidP="00BD2094">
      <w:pPr>
        <w:pStyle w:val="ManualConsidrant"/>
        <w:rPr>
          <w:noProof/>
        </w:rPr>
      </w:pPr>
      <w:r>
        <w:rPr>
          <w:noProof/>
        </w:rPr>
        <w:t>(16)</w:t>
      </w:r>
      <w:r>
        <w:rPr>
          <w:noProof/>
        </w:rPr>
        <w:tab/>
      </w:r>
      <w:r w:rsidRPr="00AD21FF">
        <w:rPr>
          <w:noProof/>
        </w:rPr>
        <w:t xml:space="preserve">The </w:t>
      </w:r>
      <w:r w:rsidR="00D76DF6" w:rsidRPr="00AD21FF">
        <w:rPr>
          <w:noProof/>
        </w:rPr>
        <w:t xml:space="preserve">Union and Member States maintain an open investment environment, as enshrined in the Treaty on the Functioning of the European Union </w:t>
      </w:r>
      <w:r w:rsidR="00D76DF6" w:rsidRPr="00AD21FF" w:rsidDel="00CE4550">
        <w:rPr>
          <w:noProof/>
        </w:rPr>
        <w:t>(TFEU)</w:t>
      </w:r>
      <w:r w:rsidR="00D76DF6" w:rsidRPr="00AD21FF">
        <w:rPr>
          <w:noProof/>
        </w:rPr>
        <w:t xml:space="preserve"> and embedded in their international commitments. </w:t>
      </w:r>
      <w:r w:rsidR="00D76DF6">
        <w:rPr>
          <w:noProof/>
        </w:rPr>
        <w:t>This includes commitments u</w:t>
      </w:r>
      <w:r w:rsidR="00D76DF6" w:rsidRPr="00AD21FF">
        <w:rPr>
          <w:noProof/>
        </w:rPr>
        <w:t>nder the</w:t>
      </w:r>
      <w:r w:rsidR="00D76DF6">
        <w:rPr>
          <w:noProof/>
        </w:rPr>
        <w:t xml:space="preserve"> </w:t>
      </w:r>
      <w:r w:rsidR="00D76DF6" w:rsidRPr="00AD21FF">
        <w:rPr>
          <w:noProof/>
        </w:rPr>
        <w:t>World Trade Organisation</w:t>
      </w:r>
      <w:r w:rsidR="00D76DF6">
        <w:rPr>
          <w:noProof/>
        </w:rPr>
        <w:t xml:space="preserve"> Agreement on</w:t>
      </w:r>
      <w:r w:rsidR="00D76DF6" w:rsidRPr="00AD21FF">
        <w:rPr>
          <w:noProof/>
        </w:rPr>
        <w:t xml:space="preserve"> Government Procurement (GPA)</w:t>
      </w:r>
      <w:r w:rsidR="00D76DF6">
        <w:rPr>
          <w:rStyle w:val="FootnoteReference"/>
          <w:noProof/>
        </w:rPr>
        <w:footnoteReference w:id="31"/>
      </w:r>
      <w:r w:rsidR="00D76DF6" w:rsidRPr="00AD21FF">
        <w:rPr>
          <w:noProof/>
        </w:rPr>
        <w:t xml:space="preserve">, as well as bilateral trade agreements, </w:t>
      </w:r>
      <w:r w:rsidR="00D76DF6">
        <w:rPr>
          <w:noProof/>
        </w:rPr>
        <w:t xml:space="preserve">to open public procurement procedures and other forms of public intervention. At the same time, </w:t>
      </w:r>
      <w:r w:rsidR="00D76DF6" w:rsidRPr="00AD21FF">
        <w:rPr>
          <w:noProof/>
        </w:rPr>
        <w:t xml:space="preserve">the Union retains the right to apply general or security exceptions. </w:t>
      </w:r>
      <w:r>
        <w:rPr>
          <w:iCs/>
          <w:noProof/>
        </w:rPr>
        <w:t xml:space="preserve">The Commission will regularly assess whether the conditions for excluding a third country from the scope of the provisions deeming content originating in third countries to be equivalent to Union origin, are in place, and will take appropriate action. </w:t>
      </w:r>
      <w:r w:rsidR="00D76DF6" w:rsidRPr="00EF07EF">
        <w:rPr>
          <w:noProof/>
        </w:rPr>
        <w:t>Economic security aims at protecting and strengthening the internal market. Member States cannot rely on economic security to prevent, condition, or otherwise hinder in any way investments coming from other Member States</w:t>
      </w:r>
      <w:r w:rsidR="00D76DF6">
        <w:rPr>
          <w:noProof/>
        </w:rPr>
        <w:t xml:space="preserve">. </w:t>
      </w:r>
    </w:p>
    <w:p w14:paraId="785E61A8" w14:textId="77777777" w:rsidR="000954D7" w:rsidRPr="000954D7" w:rsidRDefault="7D7299AE" w:rsidP="00E177DC">
      <w:pPr>
        <w:pStyle w:val="ManualConsidrant"/>
        <w:rPr>
          <w:noProof/>
          <w:lang w:val="en-IE"/>
        </w:rPr>
      </w:pPr>
      <w:r>
        <w:rPr>
          <w:noProof/>
        </w:rPr>
        <w:t>(17)</w:t>
      </w:r>
      <w:r>
        <w:rPr>
          <w:noProof/>
        </w:rPr>
        <w:tab/>
        <w:t xml:space="preserve">The </w:t>
      </w:r>
      <w:r w:rsidR="00D76DF6">
        <w:rPr>
          <w:noProof/>
        </w:rPr>
        <w:t xml:space="preserve">progressive integration of candidate countries and potential candidates into the Union’s internal market, including through their gradual participation in Union policies and programmes, is essential to support their alignment with the acquis, strengthen their competitiveness, promote their deeper integration into Union value chains and enhance the Union’s economic security. This Regulation should therefore contribute to fostering such gradual integration, including by facilitating the participation of economic operators from those countries in Union-wide value chains, Union public procurement, public support schemes and auctions where appropriate and in line with the Union’s interests and objectives. </w:t>
      </w:r>
    </w:p>
    <w:p w14:paraId="57D55EEB" w14:textId="77777777" w:rsidR="00D76DF6" w:rsidRPr="00E177DC" w:rsidRDefault="00D76DF6" w:rsidP="00D76DF6">
      <w:pPr>
        <w:pStyle w:val="ManualConsidrant"/>
        <w:rPr>
          <w:noProof/>
          <w:lang w:val="en-IE"/>
        </w:rPr>
      </w:pPr>
      <w:r>
        <w:rPr>
          <w:noProof/>
        </w:rPr>
        <w:t>(18)</w:t>
      </w:r>
      <w:r>
        <w:rPr>
          <w:noProof/>
        </w:rPr>
        <w:tab/>
        <w:t xml:space="preserve">Acknowledging the importance of the Union’s advancing towards greater strategic autonomy and resilience, the Union should also </w:t>
      </w:r>
      <w:r w:rsidRPr="00E177DC">
        <w:rPr>
          <w:noProof/>
        </w:rPr>
        <w:t>recognise for reasons of coherence the proactive efforts of partner countries to prioritise domestic</w:t>
      </w:r>
      <w:r>
        <w:rPr>
          <w:noProof/>
        </w:rPr>
        <w:t xml:space="preserve"> participation in economic activities, similar to the measures established within this </w:t>
      </w:r>
      <w:r w:rsidRPr="00157AD2">
        <w:rPr>
          <w:noProof/>
        </w:rPr>
        <w:t xml:space="preserve">Regulation. In the context of implementing </w:t>
      </w:r>
      <w:r>
        <w:rPr>
          <w:noProof/>
        </w:rPr>
        <w:t>Union origin</w:t>
      </w:r>
      <w:r w:rsidRPr="00157AD2">
        <w:rPr>
          <w:noProof/>
        </w:rPr>
        <w:t xml:space="preserve"> requirements within certain categories of public procurement and public schemes procedures, the Union should thoughtfully consider partner countries’ content conditions</w:t>
      </w:r>
      <w:r>
        <w:rPr>
          <w:noProof/>
        </w:rPr>
        <w:t xml:space="preserve"> for strategic Union-funded or supported investments in these partner countries, accepting its presence. This strategic approach is expected to enhance mutual economic benefits, strengthen strategic partnerships, and align with the Union’s overarching objectives of international partnerships.</w:t>
      </w:r>
    </w:p>
    <w:p w14:paraId="2FA74500" w14:textId="77777777" w:rsidR="00D76DF6" w:rsidRPr="00AD21FF" w:rsidRDefault="00D76DF6" w:rsidP="00D76DF6">
      <w:pPr>
        <w:pStyle w:val="ManualConsidrant"/>
        <w:rPr>
          <w:noProof/>
        </w:rPr>
      </w:pPr>
      <w:r>
        <w:rPr>
          <w:noProof/>
        </w:rPr>
        <w:t>(19)</w:t>
      </w:r>
      <w:r>
        <w:rPr>
          <w:noProof/>
        </w:rPr>
        <w:tab/>
        <w:t xml:space="preserve">Demand-side measures </w:t>
      </w:r>
      <w:r w:rsidRPr="00AD21FF">
        <w:rPr>
          <w:noProof/>
        </w:rPr>
        <w:t>should focus on establishing low-carbon requirements</w:t>
      </w:r>
      <w:r>
        <w:rPr>
          <w:noProof/>
        </w:rPr>
        <w:t xml:space="preserve"> </w:t>
      </w:r>
      <w:r w:rsidRPr="00AD21FF">
        <w:rPr>
          <w:noProof/>
        </w:rPr>
        <w:t xml:space="preserve">for steel, cement </w:t>
      </w:r>
      <w:r>
        <w:rPr>
          <w:noProof/>
        </w:rPr>
        <w:t>and</w:t>
      </w:r>
      <w:r w:rsidRPr="00AD21FF">
        <w:rPr>
          <w:noProof/>
        </w:rPr>
        <w:t xml:space="preserve"> aluminium used in buildings, infrastructure and</w:t>
      </w:r>
      <w:r>
        <w:rPr>
          <w:noProof/>
        </w:rPr>
        <w:t xml:space="preserve"> motor vehicles</w:t>
      </w:r>
      <w:r w:rsidRPr="00AD21FF">
        <w:rPr>
          <w:noProof/>
        </w:rPr>
        <w:t>, where appropriate</w:t>
      </w:r>
      <w:r>
        <w:rPr>
          <w:noProof/>
        </w:rPr>
        <w:t xml:space="preserve">, since those sectors are the most energy-intensive </w:t>
      </w:r>
      <w:r w:rsidRPr="00AF66C2">
        <w:rPr>
          <w:noProof/>
        </w:rPr>
        <w:t>industries. Targeted</w:t>
      </w:r>
      <w:r w:rsidRPr="00AD21FF">
        <w:rPr>
          <w:noProof/>
        </w:rPr>
        <w:t xml:space="preserve"> </w:t>
      </w:r>
      <w:r>
        <w:rPr>
          <w:noProof/>
        </w:rPr>
        <w:t xml:space="preserve">Union wide </w:t>
      </w:r>
      <w:r w:rsidRPr="00AD21FF">
        <w:rPr>
          <w:noProof/>
        </w:rPr>
        <w:t>demand-side measures can help create lead markets for low-carbon and Union-produced energy-intensive industrial products, supporting decarbonisation while strengthening the Union’s industrial base.</w:t>
      </w:r>
    </w:p>
    <w:p w14:paraId="3F0ECC7E" w14:textId="77777777" w:rsidR="00D76DF6" w:rsidRPr="00AD21FF" w:rsidRDefault="00D76DF6" w:rsidP="00D76DF6">
      <w:pPr>
        <w:pStyle w:val="ManualConsidrant"/>
        <w:rPr>
          <w:rStyle w:val="normaltextrun"/>
          <w:rFonts w:eastAsia="Times New Roman"/>
          <w:noProof/>
        </w:rPr>
      </w:pPr>
      <w:r>
        <w:rPr>
          <w:noProof/>
        </w:rPr>
        <w:t>(20)</w:t>
      </w:r>
      <w:r>
        <w:rPr>
          <w:noProof/>
        </w:rPr>
        <w:tab/>
      </w:r>
      <w:r w:rsidRPr="7590F088">
        <w:rPr>
          <w:rFonts w:eastAsiaTheme="minorEastAsia"/>
          <w:noProof/>
        </w:rPr>
        <w:t>Downstream sectors that account for a large share of demand for certain energy-intensive materials, such as the construction and automotive sectors, should be prioritised under this Regulation when establishing low-carbon requirements, Union origin requirements, or both. Th</w:t>
      </w:r>
      <w:r>
        <w:rPr>
          <w:rFonts w:eastAsiaTheme="minorEastAsia"/>
          <w:noProof/>
        </w:rPr>
        <w:t>at</w:t>
      </w:r>
      <w:r w:rsidRPr="7590F088">
        <w:rPr>
          <w:rFonts w:eastAsiaTheme="minorEastAsia"/>
          <w:noProof/>
        </w:rPr>
        <w:t xml:space="preserve"> is particularly appropriate given that </w:t>
      </w:r>
      <w:r>
        <w:rPr>
          <w:rFonts w:eastAsiaTheme="minorEastAsia"/>
          <w:noProof/>
        </w:rPr>
        <w:t>such</w:t>
      </w:r>
      <w:r w:rsidRPr="7590F088">
        <w:rPr>
          <w:rFonts w:eastAsiaTheme="minorEastAsia"/>
          <w:noProof/>
        </w:rPr>
        <w:t xml:space="preserve"> sectors are significantly subject to public procurement and support schemes, </w:t>
      </w:r>
      <w:r w:rsidRPr="00FF63D1">
        <w:rPr>
          <w:rStyle w:val="normaltextrun"/>
          <w:rFonts w:eastAsia="Times New Roman"/>
          <w:noProof/>
        </w:rPr>
        <w:t>wh</w:t>
      </w:r>
      <w:r>
        <w:rPr>
          <w:rStyle w:val="normaltextrun"/>
          <w:rFonts w:eastAsia="Times New Roman"/>
          <w:noProof/>
        </w:rPr>
        <w:t>ile</w:t>
      </w:r>
      <w:r w:rsidRPr="00FF63D1">
        <w:rPr>
          <w:rStyle w:val="normaltextrun"/>
          <w:rFonts w:eastAsia="Times New Roman"/>
          <w:noProof/>
        </w:rPr>
        <w:t xml:space="preserve"> the </w:t>
      </w:r>
      <w:r w:rsidRPr="00766605">
        <w:rPr>
          <w:noProof/>
        </w:rPr>
        <w:t>share</w:t>
      </w:r>
      <w:r w:rsidRPr="00FF63D1">
        <w:rPr>
          <w:rStyle w:val="normaltextrun"/>
          <w:rFonts w:eastAsia="Times New Roman"/>
          <w:noProof/>
        </w:rPr>
        <w:t xml:space="preserve"> of energy-intensive input in total production value is relatively small </w:t>
      </w:r>
      <w:r>
        <w:rPr>
          <w:rStyle w:val="normaltextrun"/>
          <w:rFonts w:eastAsia="Times New Roman"/>
          <w:noProof/>
        </w:rPr>
        <w:t>and therefore</w:t>
      </w:r>
      <w:r w:rsidRPr="00FF63D1">
        <w:rPr>
          <w:rStyle w:val="normaltextrun"/>
          <w:rFonts w:eastAsia="Times New Roman"/>
          <w:noProof/>
        </w:rPr>
        <w:t xml:space="preserve"> </w:t>
      </w:r>
      <w:r>
        <w:rPr>
          <w:rStyle w:val="normaltextrun"/>
          <w:rFonts w:eastAsia="Times New Roman"/>
          <w:noProof/>
        </w:rPr>
        <w:t>minimises</w:t>
      </w:r>
      <w:r w:rsidRPr="00FF63D1">
        <w:rPr>
          <w:rStyle w:val="normaltextrun"/>
          <w:rFonts w:eastAsia="Times New Roman"/>
          <w:noProof/>
        </w:rPr>
        <w:t xml:space="preserve"> the impact of any price premium</w:t>
      </w:r>
      <w:r>
        <w:rPr>
          <w:rStyle w:val="normaltextrun"/>
          <w:rFonts w:eastAsia="Times New Roman"/>
          <w:noProof/>
        </w:rPr>
        <w:t>.</w:t>
      </w:r>
    </w:p>
    <w:p w14:paraId="35C7E028" w14:textId="77777777" w:rsidR="00D76DF6" w:rsidRPr="00E51ED5" w:rsidRDefault="00D76DF6" w:rsidP="00D76DF6">
      <w:pPr>
        <w:pStyle w:val="ManualConsidrant"/>
        <w:rPr>
          <w:noProof/>
        </w:rPr>
      </w:pPr>
      <w:r>
        <w:rPr>
          <w:noProof/>
        </w:rPr>
        <w:t>(21)</w:t>
      </w:r>
      <w:r>
        <w:rPr>
          <w:noProof/>
        </w:rPr>
        <w:tab/>
      </w:r>
      <w:r w:rsidRPr="7590F088">
        <w:rPr>
          <w:rFonts w:eastAsiaTheme="minorEastAsia"/>
          <w:noProof/>
        </w:rPr>
        <w:t xml:space="preserve">In order to ensure regulatory consistency with existing Union product legislation, steel, concrete and aluminium in construction should be considered low-carbon in </w:t>
      </w:r>
      <w:r w:rsidRPr="7590F088" w:rsidDel="00497F34">
        <w:rPr>
          <w:rFonts w:eastAsiaTheme="minorEastAsia"/>
          <w:noProof/>
        </w:rPr>
        <w:t xml:space="preserve">compliance </w:t>
      </w:r>
      <w:r w:rsidRPr="7590F088">
        <w:rPr>
          <w:rFonts w:eastAsiaTheme="minorEastAsia"/>
          <w:noProof/>
        </w:rPr>
        <w:t>with the requirements set out in the implementing measures adopted pursuant to Regulation</w:t>
      </w:r>
      <w:r>
        <w:rPr>
          <w:rFonts w:eastAsiaTheme="minorEastAsia"/>
          <w:noProof/>
        </w:rPr>
        <w:t>s</w:t>
      </w:r>
      <w:r w:rsidRPr="7590F088">
        <w:rPr>
          <w:rFonts w:eastAsiaTheme="minorEastAsia"/>
          <w:noProof/>
        </w:rPr>
        <w:t xml:space="preserve"> (EU) 2024/3110</w:t>
      </w:r>
      <w:r w:rsidRPr="7590F088">
        <w:rPr>
          <w:rStyle w:val="FootnoteReference"/>
          <w:rFonts w:eastAsiaTheme="minorEastAsia"/>
          <w:noProof/>
        </w:rPr>
        <w:footnoteReference w:id="32"/>
      </w:r>
      <w:r>
        <w:rPr>
          <w:rFonts w:eastAsiaTheme="minorEastAsia"/>
          <w:noProof/>
        </w:rPr>
        <w:t xml:space="preserve"> </w:t>
      </w:r>
      <w:r w:rsidRPr="7590F088">
        <w:rPr>
          <w:rFonts w:eastAsiaTheme="minorEastAsia"/>
          <w:noProof/>
        </w:rPr>
        <w:t>and (EU) 2024/1781</w:t>
      </w:r>
      <w:r w:rsidRPr="7590F088">
        <w:rPr>
          <w:rStyle w:val="FootnoteReference"/>
          <w:rFonts w:eastAsiaTheme="minorEastAsia"/>
          <w:noProof/>
        </w:rPr>
        <w:footnoteReference w:id="33"/>
      </w:r>
      <w:r>
        <w:rPr>
          <w:rFonts w:eastAsiaTheme="minorEastAsia"/>
          <w:noProof/>
        </w:rPr>
        <w:t xml:space="preserve"> </w:t>
      </w:r>
      <w:r w:rsidRPr="003D11EA">
        <w:rPr>
          <w:rFonts w:eastAsiaTheme="minorEastAsia"/>
          <w:noProof/>
        </w:rPr>
        <w:t>of the European Parliament and of the Council</w:t>
      </w:r>
      <w:r>
        <w:rPr>
          <w:rFonts w:eastAsiaTheme="minorEastAsia"/>
          <w:noProof/>
        </w:rPr>
        <w:t>.</w:t>
      </w:r>
    </w:p>
    <w:p w14:paraId="4FEF24F7" w14:textId="77777777" w:rsidR="00D76DF6" w:rsidRPr="00AD21FF" w:rsidRDefault="00D76DF6" w:rsidP="00D76DF6">
      <w:pPr>
        <w:pStyle w:val="ManualConsidrant"/>
        <w:rPr>
          <w:noProof/>
        </w:rPr>
      </w:pPr>
      <w:r>
        <w:rPr>
          <w:noProof/>
        </w:rPr>
        <w:t>(22)</w:t>
      </w:r>
      <w:r>
        <w:rPr>
          <w:noProof/>
        </w:rPr>
        <w:tab/>
      </w:r>
      <w:bookmarkStart w:id="7" w:name="_Hlk222143860"/>
      <w:r w:rsidRPr="001C2F28">
        <w:rPr>
          <w:noProof/>
        </w:rPr>
        <w:t>The Clean Industrial Deal Communication</w:t>
      </w:r>
      <w:r>
        <w:rPr>
          <w:rStyle w:val="FootnoteReference"/>
          <w:noProof/>
        </w:rPr>
        <w:footnoteReference w:id="34"/>
      </w:r>
      <w:r>
        <w:rPr>
          <w:noProof/>
        </w:rPr>
        <w:t xml:space="preserve"> </w:t>
      </w:r>
      <w:r w:rsidRPr="001C2F28">
        <w:rPr>
          <w:noProof/>
        </w:rPr>
        <w:t>highlighted the need to create lead markets for industrial products with a low greenhouse gas emissions intensity, including by promoting such products on the internal market through</w:t>
      </w:r>
      <w:r>
        <w:rPr>
          <w:noProof/>
        </w:rPr>
        <w:t xml:space="preserve"> </w:t>
      </w:r>
      <w:r w:rsidRPr="001C2F28">
        <w:rPr>
          <w:noProof/>
        </w:rPr>
        <w:t>the establishment of a Union labelling scheme, starting with the steel sector. Th</w:t>
      </w:r>
      <w:r>
        <w:rPr>
          <w:noProof/>
        </w:rPr>
        <w:t>at</w:t>
      </w:r>
      <w:r w:rsidRPr="001C2F28">
        <w:rPr>
          <w:noProof/>
        </w:rPr>
        <w:t xml:space="preserve"> should be seen in the context of Union products legislation already designed to introduce labelling and information requirements, including comprehensive product labelling requirements to be established under the delegated acts pursuant to Regulation</w:t>
      </w:r>
      <w:r>
        <w:rPr>
          <w:noProof/>
        </w:rPr>
        <w:t>s</w:t>
      </w:r>
      <w:r w:rsidRPr="001C2F28">
        <w:rPr>
          <w:noProof/>
        </w:rPr>
        <w:t xml:space="preserve"> (EU) 2024/3110 and (EU) 2024/1781.</w:t>
      </w:r>
      <w:r>
        <w:rPr>
          <w:noProof/>
        </w:rPr>
        <w:t xml:space="preserve"> </w:t>
      </w:r>
      <w:r w:rsidRPr="001C2F28">
        <w:rPr>
          <w:noProof/>
        </w:rPr>
        <w:t xml:space="preserve">Considering the importance of both primary and secondary steel production for the long-term </w:t>
      </w:r>
      <w:r w:rsidRPr="00CA49CE">
        <w:rPr>
          <w:noProof/>
        </w:rPr>
        <w:t>resilience of the Union industrial base, such requirements should be based on classes of performance that acknowledge the different decarbonisation effort of the technologies</w:t>
      </w:r>
      <w:r>
        <w:rPr>
          <w:noProof/>
        </w:rPr>
        <w:t>’</w:t>
      </w:r>
      <w:r w:rsidRPr="00CA49CE">
        <w:rPr>
          <w:noProof/>
        </w:rPr>
        <w:t xml:space="preserve"> routes,</w:t>
      </w:r>
      <w:r w:rsidRPr="00CA49CE" w:rsidDel="007D3948">
        <w:rPr>
          <w:noProof/>
        </w:rPr>
        <w:t xml:space="preserve"> </w:t>
      </w:r>
      <w:r w:rsidRPr="00CA49CE">
        <w:rPr>
          <w:noProof/>
        </w:rPr>
        <w:t xml:space="preserve">also rewarding circularity, adjusting </w:t>
      </w:r>
      <w:r w:rsidRPr="00241211">
        <w:rPr>
          <w:noProof/>
        </w:rPr>
        <w:t>emission intensity thresholds based on percentage of scrap metal used in production for those product categories that typically require primary steel production, as necessary.</w:t>
      </w:r>
      <w:r w:rsidRPr="00241211" w:rsidDel="007D3948">
        <w:rPr>
          <w:noProof/>
        </w:rPr>
        <w:t xml:space="preserve"> </w:t>
      </w:r>
      <w:r w:rsidRPr="00241211">
        <w:rPr>
          <w:noProof/>
        </w:rPr>
        <w:t>It should also be possible to complement the delegated acts adopted pursuant to Regulations (EU) 2024/3110 and (EU) 2024/1781 in order to support</w:t>
      </w:r>
      <w:r>
        <w:rPr>
          <w:noProof/>
        </w:rPr>
        <w:t xml:space="preserve"> </w:t>
      </w:r>
      <w:r w:rsidRPr="00241211">
        <w:rPr>
          <w:noProof/>
        </w:rPr>
        <w:t xml:space="preserve">the creation of lead markets by informing investment decisions towards products granted a lower greenhouse gas intensity performance class, for industrial products not yet regulated by a Delegated Act under Regulation (EU) 2024/1781, or covered in the scope of products included in the working plan adopted in accordance with </w:t>
      </w:r>
      <w:r>
        <w:rPr>
          <w:noProof/>
        </w:rPr>
        <w:t xml:space="preserve">that </w:t>
      </w:r>
      <w:r w:rsidRPr="00241211">
        <w:rPr>
          <w:noProof/>
        </w:rPr>
        <w:t>Regulation. To do so, it should be possible to establish voluntary classification systems based on the greenhouse gas intensity of industrial products. To provide</w:t>
      </w:r>
      <w:r w:rsidRPr="007D3948">
        <w:rPr>
          <w:noProof/>
        </w:rPr>
        <w:t xml:space="preserve"> environmental integrity</w:t>
      </w:r>
      <w:r>
        <w:rPr>
          <w:noProof/>
        </w:rPr>
        <w:t xml:space="preserve"> </w:t>
      </w:r>
      <w:r w:rsidRPr="007D3948">
        <w:rPr>
          <w:noProof/>
        </w:rPr>
        <w:t>and administrative feasib</w:t>
      </w:r>
      <w:r>
        <w:rPr>
          <w:noProof/>
        </w:rPr>
        <w:t>ility</w:t>
      </w:r>
      <w:r w:rsidRPr="007D3948">
        <w:rPr>
          <w:noProof/>
        </w:rPr>
        <w:t xml:space="preserve">, it is </w:t>
      </w:r>
      <w:r>
        <w:rPr>
          <w:noProof/>
        </w:rPr>
        <w:t>important to</w:t>
      </w:r>
      <w:r w:rsidRPr="007D3948">
        <w:rPr>
          <w:noProof/>
        </w:rPr>
        <w:t xml:space="preserve"> rely on well-established and monitored emissions accounting methodologies. For domestic installations and sub-installations, the EU Emissions Trading System (EU ETS) provides relevant products benchmarks and system boundaries in Annex I to Commission Delegated Regulation (EU) 2019/331</w:t>
      </w:r>
      <w:r>
        <w:rPr>
          <w:rStyle w:val="FootnoteReference"/>
          <w:noProof/>
        </w:rPr>
        <w:footnoteReference w:id="35"/>
      </w:r>
      <w:r w:rsidRPr="007D3948">
        <w:rPr>
          <w:noProof/>
        </w:rPr>
        <w:t xml:space="preserve"> and sound emissions accounting rules in Commission Implementing Regulation (EU) 2018/2066</w:t>
      </w:r>
      <w:r>
        <w:rPr>
          <w:rStyle w:val="FootnoteReference"/>
          <w:noProof/>
        </w:rPr>
        <w:footnoteReference w:id="36"/>
      </w:r>
      <w:r w:rsidRPr="007D3948">
        <w:rPr>
          <w:noProof/>
        </w:rPr>
        <w:t>. Concerning imported products, in order to limit administrative burden, it is appropriate to enable the use of data already verified in the context of the Carbon Border Adjustments Mechanism (CBAM), in accordance with implementing rules adopted pursuant to Article 7(a) of Regulation (EU) 2023/956 of the European Parliament and of the Council</w:t>
      </w:r>
      <w:r>
        <w:rPr>
          <w:rStyle w:val="FootnoteReference"/>
          <w:noProof/>
        </w:rPr>
        <w:footnoteReference w:id="37"/>
      </w:r>
      <w:r w:rsidRPr="007D3948">
        <w:rPr>
          <w:noProof/>
        </w:rPr>
        <w:t>. In view of reflecting accurately the greenhouse gas intensity of the industrial product, in addition to covering the direct emissions typically related to the installation’s activities covered by Annex I of Directive 2003/87/EC of the European Parliament and of the Council</w:t>
      </w:r>
      <w:r>
        <w:rPr>
          <w:rStyle w:val="FootnoteReference"/>
          <w:noProof/>
        </w:rPr>
        <w:footnoteReference w:id="38"/>
      </w:r>
      <w:r w:rsidRPr="007D3948">
        <w:rPr>
          <w:noProof/>
        </w:rPr>
        <w:t>, it is appropriate to also account for the most important sources of indirect emissions, including those from electricity, hydrogen and heat production used in the manufacturing process.</w:t>
      </w:r>
      <w:r>
        <w:rPr>
          <w:noProof/>
        </w:rPr>
        <w:t xml:space="preserve"> </w:t>
      </w:r>
      <w:r w:rsidRPr="00F7725F">
        <w:rPr>
          <w:noProof/>
        </w:rPr>
        <w:t xml:space="preserve">To ensure consistency and limit administrative burden, methodologies </w:t>
      </w:r>
      <w:r>
        <w:rPr>
          <w:noProof/>
        </w:rPr>
        <w:t xml:space="preserve">used to define low-carbon requirements under this Regulation </w:t>
      </w:r>
      <w:r w:rsidRPr="00F7725F">
        <w:rPr>
          <w:noProof/>
        </w:rPr>
        <w:t xml:space="preserve">should make use of emissions </w:t>
      </w:r>
      <w:r>
        <w:rPr>
          <w:noProof/>
        </w:rPr>
        <w:t xml:space="preserve">of data </w:t>
      </w:r>
      <w:r w:rsidRPr="00F7725F">
        <w:rPr>
          <w:noProof/>
        </w:rPr>
        <w:t>reported under t</w:t>
      </w:r>
      <w:r>
        <w:rPr>
          <w:noProof/>
        </w:rPr>
        <w:t>he</w:t>
      </w:r>
      <w:r w:rsidRPr="00F7725F">
        <w:rPr>
          <w:noProof/>
        </w:rPr>
        <w:t xml:space="preserve"> </w:t>
      </w:r>
      <w:r>
        <w:rPr>
          <w:noProof/>
        </w:rPr>
        <w:t>EU ETS and CBAM</w:t>
      </w:r>
      <w:r w:rsidRPr="00F7725F">
        <w:rPr>
          <w:noProof/>
        </w:rPr>
        <w:t>, where available and relevant</w:t>
      </w:r>
      <w:r>
        <w:rPr>
          <w:noProof/>
        </w:rPr>
        <w:t>.</w:t>
      </w:r>
    </w:p>
    <w:p w14:paraId="2469E7AE" w14:textId="77777777" w:rsidR="002B14CF" w:rsidRPr="00D76DF6" w:rsidRDefault="00120CA1" w:rsidP="00586B4A">
      <w:pPr>
        <w:pStyle w:val="ManualConsidrant"/>
        <w:rPr>
          <w:noProof/>
        </w:rPr>
      </w:pPr>
      <w:r>
        <w:rPr>
          <w:noProof/>
        </w:rPr>
        <w:t>(23)</w:t>
      </w:r>
      <w:r>
        <w:rPr>
          <w:noProof/>
        </w:rPr>
        <w:tab/>
        <w:t xml:space="preserve">In order to </w:t>
      </w:r>
      <w:r w:rsidR="00F36824">
        <w:rPr>
          <w:noProof/>
        </w:rPr>
        <w:t xml:space="preserve">ensure </w:t>
      </w:r>
      <w:r w:rsidR="00C03A90" w:rsidRPr="00C03A90">
        <w:rPr>
          <w:noProof/>
        </w:rPr>
        <w:t xml:space="preserve">the attainment of </w:t>
      </w:r>
      <w:r w:rsidR="00F36824">
        <w:rPr>
          <w:noProof/>
        </w:rPr>
        <w:t>the objectives of this Regulation</w:t>
      </w:r>
      <w:r w:rsidR="00C03A90" w:rsidRPr="00C03A90">
        <w:rPr>
          <w:noProof/>
        </w:rPr>
        <w:t>, in particular</w:t>
      </w:r>
      <w:r w:rsidR="005E6AA2">
        <w:rPr>
          <w:noProof/>
        </w:rPr>
        <w:t xml:space="preserve"> the creation of lead markets </w:t>
      </w:r>
      <w:r w:rsidR="00A13EED">
        <w:rPr>
          <w:noProof/>
        </w:rPr>
        <w:t xml:space="preserve">for European </w:t>
      </w:r>
      <w:r w:rsidR="005E6AA2">
        <w:rPr>
          <w:noProof/>
        </w:rPr>
        <w:t>low-</w:t>
      </w:r>
      <w:r w:rsidR="00A767FA">
        <w:rPr>
          <w:noProof/>
        </w:rPr>
        <w:t>carbon</w:t>
      </w:r>
      <w:r w:rsidR="00B766CA">
        <w:rPr>
          <w:noProof/>
        </w:rPr>
        <w:t xml:space="preserve"> </w:t>
      </w:r>
      <w:r w:rsidR="00A13EED">
        <w:rPr>
          <w:noProof/>
        </w:rPr>
        <w:t>industrial</w:t>
      </w:r>
      <w:r w:rsidR="00C03A90" w:rsidRPr="00C03A90">
        <w:rPr>
          <w:noProof/>
        </w:rPr>
        <w:t xml:space="preserve"> </w:t>
      </w:r>
      <w:r w:rsidR="00B766CA">
        <w:rPr>
          <w:noProof/>
        </w:rPr>
        <w:t>prod</w:t>
      </w:r>
      <w:r w:rsidR="00A767FA">
        <w:rPr>
          <w:noProof/>
        </w:rPr>
        <w:t>u</w:t>
      </w:r>
      <w:r w:rsidR="00B766CA">
        <w:rPr>
          <w:noProof/>
        </w:rPr>
        <w:t>cts</w:t>
      </w:r>
      <w:r w:rsidR="00C03A90" w:rsidRPr="00C03A90">
        <w:rPr>
          <w:noProof/>
        </w:rPr>
        <w:t xml:space="preserve">, </w:t>
      </w:r>
      <w:r>
        <w:rPr>
          <w:noProof/>
        </w:rPr>
        <w:t xml:space="preserve">minimum mandatory technical specifications should be provided for </w:t>
      </w:r>
      <w:r w:rsidR="009D3BA8">
        <w:rPr>
          <w:noProof/>
        </w:rPr>
        <w:t>l</w:t>
      </w:r>
      <w:r>
        <w:rPr>
          <w:noProof/>
        </w:rPr>
        <w:t>ow</w:t>
      </w:r>
      <w:r w:rsidRPr="00AD21FF">
        <w:rPr>
          <w:noProof/>
        </w:rPr>
        <w:t xml:space="preserve">-carbon </w:t>
      </w:r>
      <w:r w:rsidR="002B14CF" w:rsidRPr="00AD21FF">
        <w:rPr>
          <w:noProof/>
        </w:rPr>
        <w:t xml:space="preserve">and Union origin requirements in public procurement procedures </w:t>
      </w:r>
      <w:r w:rsidR="00576340">
        <w:rPr>
          <w:noProof/>
        </w:rPr>
        <w:t>Those requirements should apply to the procurement of</w:t>
      </w:r>
      <w:r w:rsidR="00A60D4A">
        <w:rPr>
          <w:noProof/>
        </w:rPr>
        <w:t xml:space="preserve"> </w:t>
      </w:r>
      <w:r w:rsidR="002B14CF" w:rsidRPr="00AD21FF">
        <w:rPr>
          <w:noProof/>
        </w:rPr>
        <w:t xml:space="preserve">those products in public supply contracts </w:t>
      </w:r>
      <w:r w:rsidR="00A60D4A">
        <w:rPr>
          <w:noProof/>
        </w:rPr>
        <w:t xml:space="preserve">and </w:t>
      </w:r>
      <w:r w:rsidR="002B14CF" w:rsidRPr="00AD21FF">
        <w:rPr>
          <w:noProof/>
        </w:rPr>
        <w:t>in public works, public services contracts and concessions, where those products will be used for activities conducted under those contracts. In compliance with the public procurement framework, those minimum mandatory technical specifications should avoid artificially restricting competition and avoid favouring a specific economic operator. Contracting authorities and contracting entities should conduct the public procurement procedures in compliance with Directives 2014/23/EU</w:t>
      </w:r>
      <w:r w:rsidR="002B14CF" w:rsidRPr="00AD21FF">
        <w:rPr>
          <w:rStyle w:val="FootnoteReference"/>
          <w:noProof/>
        </w:rPr>
        <w:footnoteReference w:id="39"/>
      </w:r>
      <w:r w:rsidR="002B14CF" w:rsidRPr="00AD21FF">
        <w:rPr>
          <w:noProof/>
        </w:rPr>
        <w:t>, 2014/24/EU</w:t>
      </w:r>
      <w:r w:rsidR="002B14CF" w:rsidRPr="00AD21FF">
        <w:rPr>
          <w:rStyle w:val="FootnoteReference"/>
          <w:noProof/>
        </w:rPr>
        <w:footnoteReference w:id="40"/>
      </w:r>
      <w:r w:rsidR="002B14CF" w:rsidRPr="00AD21FF">
        <w:rPr>
          <w:noProof/>
        </w:rPr>
        <w:t xml:space="preserve"> and 2014/25/EU</w:t>
      </w:r>
      <w:r w:rsidR="002B14CF" w:rsidRPr="00AD21FF">
        <w:rPr>
          <w:rStyle w:val="FootnoteReference"/>
          <w:noProof/>
        </w:rPr>
        <w:footnoteReference w:id="41"/>
      </w:r>
      <w:r w:rsidR="002B14CF" w:rsidRPr="00AD21FF">
        <w:rPr>
          <w:noProof/>
        </w:rPr>
        <w:t xml:space="preserve"> </w:t>
      </w:r>
      <w:r w:rsidR="00615200" w:rsidRPr="005F0384">
        <w:rPr>
          <w:noProof/>
        </w:rPr>
        <w:t xml:space="preserve">of the European Parliament and of the Council </w:t>
      </w:r>
      <w:r w:rsidR="002B14CF" w:rsidRPr="00AD21FF">
        <w:rPr>
          <w:noProof/>
        </w:rPr>
        <w:t xml:space="preserve">and applicable sectoral legislation. </w:t>
      </w:r>
      <w:r w:rsidR="006B56BA">
        <w:rPr>
          <w:rFonts w:ascii="Times" w:hAnsi="Times" w:cs="Times"/>
          <w:noProof/>
        </w:rPr>
        <w:t xml:space="preserve">The Union origin of products and components should be determined in accordance with the Union customs legislation. </w:t>
      </w:r>
    </w:p>
    <w:bookmarkEnd w:id="7"/>
    <w:p w14:paraId="0DE9D0C9" w14:textId="77777777" w:rsidR="00D76DF6" w:rsidRPr="00AD21FF" w:rsidRDefault="00D76DF6" w:rsidP="00D76DF6">
      <w:pPr>
        <w:pStyle w:val="ManualConsidrant"/>
        <w:rPr>
          <w:noProof/>
        </w:rPr>
      </w:pPr>
      <w:r>
        <w:rPr>
          <w:noProof/>
        </w:rPr>
        <w:t>(24)</w:t>
      </w:r>
      <w:r>
        <w:rPr>
          <w:noProof/>
        </w:rPr>
        <w:tab/>
        <w:t>In order to ensure the feasibility of the requirements at reasonable cost and avoid restricting competition, it is necessary to</w:t>
      </w:r>
      <w:r w:rsidRPr="00AD21FF">
        <w:rPr>
          <w:noProof/>
        </w:rPr>
        <w:t xml:space="preserve"> lay down the conditions under which contracting authorities may, on an exceptional basis, decide not to apply the </w:t>
      </w:r>
      <w:r>
        <w:rPr>
          <w:noProof/>
        </w:rPr>
        <w:t>low-carbon and Union origin</w:t>
      </w:r>
      <w:r w:rsidRPr="00AD21FF">
        <w:rPr>
          <w:noProof/>
        </w:rPr>
        <w:t xml:space="preserve"> requirements. Those conditions should cover cases where the application of such requirements would result in technical incompatibilities in the operation or maintenance of a project</w:t>
      </w:r>
      <w:r>
        <w:rPr>
          <w:noProof/>
        </w:rPr>
        <w:t xml:space="preserve"> such as </w:t>
      </w:r>
      <w:r w:rsidRPr="00AD21FF">
        <w:rPr>
          <w:noProof/>
        </w:rPr>
        <w:t xml:space="preserve">situations where </w:t>
      </w:r>
      <w:r>
        <w:rPr>
          <w:noProof/>
        </w:rPr>
        <w:t>the</w:t>
      </w:r>
      <w:r w:rsidRPr="00AD21FF">
        <w:rPr>
          <w:noProof/>
        </w:rPr>
        <w:t xml:space="preserve"> use </w:t>
      </w:r>
      <w:r>
        <w:rPr>
          <w:noProof/>
        </w:rPr>
        <w:t>of such products</w:t>
      </w:r>
      <w:r w:rsidRPr="00AD21FF">
        <w:rPr>
          <w:noProof/>
        </w:rPr>
        <w:t xml:space="preserve"> would risk compromising the fulfilment of basic requirements for construction works </w:t>
      </w:r>
      <w:r>
        <w:rPr>
          <w:noProof/>
        </w:rPr>
        <w:t xml:space="preserve">of the building or infrastructure, </w:t>
      </w:r>
      <w:r w:rsidRPr="00AD21FF">
        <w:rPr>
          <w:noProof/>
        </w:rPr>
        <w:t>set out in Regulation (EU) 2024/3110.</w:t>
      </w:r>
      <w:r>
        <w:rPr>
          <w:noProof/>
        </w:rPr>
        <w:t xml:space="preserve"> </w:t>
      </w:r>
      <w:r w:rsidRPr="00091F73">
        <w:rPr>
          <w:noProof/>
        </w:rPr>
        <w:t>The requirements laid down in this Regulation should apply exclusively to procurement procedures falling within</w:t>
      </w:r>
      <w:r w:rsidRPr="004E4D2E">
        <w:rPr>
          <w:noProof/>
        </w:rPr>
        <w:t xml:space="preserve"> the </w:t>
      </w:r>
      <w:r w:rsidRPr="00091F73">
        <w:rPr>
          <w:noProof/>
        </w:rPr>
        <w:t>scope of Directive</w:t>
      </w:r>
      <w:r w:rsidRPr="004E4D2E">
        <w:rPr>
          <w:noProof/>
        </w:rPr>
        <w:t xml:space="preserve"> 2014/23/EU, </w:t>
      </w:r>
      <w:r w:rsidRPr="00091F73">
        <w:rPr>
          <w:noProof/>
        </w:rPr>
        <w:t xml:space="preserve">Directive </w:t>
      </w:r>
      <w:r w:rsidRPr="004E4D2E">
        <w:rPr>
          <w:noProof/>
        </w:rPr>
        <w:t xml:space="preserve">2014/24/EU and </w:t>
      </w:r>
      <w:r w:rsidRPr="00091F73">
        <w:rPr>
          <w:noProof/>
        </w:rPr>
        <w:t xml:space="preserve">Directive </w:t>
      </w:r>
      <w:r w:rsidRPr="004E4D2E">
        <w:rPr>
          <w:noProof/>
        </w:rPr>
        <w:t xml:space="preserve">2014/25/EU, </w:t>
      </w:r>
      <w:r w:rsidRPr="00091F73">
        <w:rPr>
          <w:noProof/>
        </w:rPr>
        <w:t>that is,</w:t>
      </w:r>
      <w:r w:rsidRPr="004E4D2E">
        <w:rPr>
          <w:noProof/>
        </w:rPr>
        <w:t xml:space="preserve"> to procedures whose estimated value reaches </w:t>
      </w:r>
      <w:r w:rsidRPr="00091F73">
        <w:rPr>
          <w:noProof/>
        </w:rPr>
        <w:t xml:space="preserve">or exceeds the </w:t>
      </w:r>
      <w:r w:rsidRPr="004E4D2E">
        <w:rPr>
          <w:noProof/>
        </w:rPr>
        <w:t>thresholds</w:t>
      </w:r>
      <w:r>
        <w:rPr>
          <w:noProof/>
        </w:rPr>
        <w:t xml:space="preserve"> </w:t>
      </w:r>
      <w:r w:rsidRPr="00091F73">
        <w:rPr>
          <w:noProof/>
        </w:rPr>
        <w:t>set out in those Directives. Accordingly,</w:t>
      </w:r>
      <w:r w:rsidRPr="004E4D2E">
        <w:rPr>
          <w:noProof/>
        </w:rPr>
        <w:t xml:space="preserve"> procurement procedures </w:t>
      </w:r>
      <w:r w:rsidRPr="00091F73">
        <w:rPr>
          <w:noProof/>
        </w:rPr>
        <w:t>not covered by those Directives, including those below the applicable thresholds, should not be subject to the requirements established by this Regulation</w:t>
      </w:r>
      <w:r w:rsidRPr="004E4D2E">
        <w:rPr>
          <w:noProof/>
        </w:rPr>
        <w:t>, thereby avoiding disproportionate obligations for low-value procurements carried out by contracting authorities, including at local leve</w:t>
      </w:r>
      <w:r>
        <w:rPr>
          <w:noProof/>
        </w:rPr>
        <w:t>l</w:t>
      </w:r>
      <w:r w:rsidRPr="004E4D2E">
        <w:rPr>
          <w:noProof/>
        </w:rPr>
        <w:t>.</w:t>
      </w:r>
    </w:p>
    <w:p w14:paraId="5DFB68F0" w14:textId="77777777" w:rsidR="00D76DF6" w:rsidRPr="00C93C80" w:rsidRDefault="00D76DF6" w:rsidP="00D76DF6">
      <w:pPr>
        <w:pStyle w:val="ManualConsidrant"/>
        <w:rPr>
          <w:noProof/>
        </w:rPr>
      </w:pPr>
      <w:r>
        <w:rPr>
          <w:noProof/>
        </w:rPr>
        <w:t>(25)</w:t>
      </w:r>
      <w:r>
        <w:rPr>
          <w:noProof/>
        </w:rPr>
        <w:tab/>
      </w:r>
      <w:r w:rsidRPr="00C93C80">
        <w:rPr>
          <w:noProof/>
        </w:rPr>
        <w:t xml:space="preserve">The </w:t>
      </w:r>
      <w:r w:rsidR="007436D9">
        <w:rPr>
          <w:noProof/>
        </w:rPr>
        <w:t>Automotive package adopted on</w:t>
      </w:r>
      <w:r w:rsidRPr="00C93C80">
        <w:rPr>
          <w:noProof/>
        </w:rPr>
        <w:t xml:space="preserve"> 16 December 2025 </w:t>
      </w:r>
      <w:r w:rsidR="00206B0D">
        <w:rPr>
          <w:noProof/>
        </w:rPr>
        <w:t>includes a proposal to</w:t>
      </w:r>
      <w:r w:rsidR="00206B0D" w:rsidRPr="00C93C80">
        <w:rPr>
          <w:noProof/>
        </w:rPr>
        <w:t xml:space="preserve"> </w:t>
      </w:r>
      <w:r w:rsidRPr="00C93C80">
        <w:rPr>
          <w:noProof/>
        </w:rPr>
        <w:t>amend Regulation (EU) 2019/631</w:t>
      </w:r>
      <w:r w:rsidR="000B1194" w:rsidRPr="000B1194">
        <w:rPr>
          <w:noProof/>
        </w:rPr>
        <w:t xml:space="preserve"> </w:t>
      </w:r>
      <w:r w:rsidR="000B1194" w:rsidRPr="00904879">
        <w:rPr>
          <w:noProof/>
        </w:rPr>
        <w:t>of the European Parliament and of the Council</w:t>
      </w:r>
      <w:r w:rsidR="000B1194">
        <w:rPr>
          <w:rStyle w:val="FootnoteReference"/>
          <w:noProof/>
        </w:rPr>
        <w:footnoteReference w:id="42"/>
      </w:r>
      <w:r w:rsidRPr="00C93C80">
        <w:rPr>
          <w:noProof/>
        </w:rPr>
        <w:t xml:space="preserve"> </w:t>
      </w:r>
      <w:r w:rsidR="000B1194">
        <w:rPr>
          <w:noProof/>
        </w:rPr>
        <w:t>to provide</w:t>
      </w:r>
      <w:r w:rsidRPr="00C93C80">
        <w:rPr>
          <w:noProof/>
        </w:rPr>
        <w:t xml:space="preserve">, </w:t>
      </w:r>
      <w:r w:rsidRPr="00C93C80">
        <w:rPr>
          <w:i/>
          <w:iCs/>
          <w:noProof/>
        </w:rPr>
        <w:t>inter alia</w:t>
      </w:r>
      <w:r w:rsidRPr="00C93C80">
        <w:rPr>
          <w:noProof/>
        </w:rPr>
        <w:t xml:space="preserve">, for the granting of super-credits for small affordable electric vehicles made in the Union prior to 2035 and </w:t>
      </w:r>
      <w:r>
        <w:rPr>
          <w:noProof/>
        </w:rPr>
        <w:t>amends</w:t>
      </w:r>
      <w:r w:rsidRPr="00C93C80">
        <w:rPr>
          <w:noProof/>
        </w:rPr>
        <w:t xml:space="preserve"> </w:t>
      </w:r>
      <w:r>
        <w:rPr>
          <w:noProof/>
        </w:rPr>
        <w:t>the</w:t>
      </w:r>
      <w:r w:rsidRPr="00C93C80">
        <w:rPr>
          <w:noProof/>
        </w:rPr>
        <w:t xml:space="preserve"> 2035 emissions reduction target, with the remaining emissions to be compensated through the use of low-carbon steel made in the Union or renewable and low-carbon fuels. </w:t>
      </w:r>
      <w:r w:rsidR="008909FB">
        <w:rPr>
          <w:noProof/>
        </w:rPr>
        <w:t xml:space="preserve">The Automotive package also includes a </w:t>
      </w:r>
      <w:r w:rsidR="00DE611A" w:rsidRPr="00DE611A">
        <w:rPr>
          <w:noProof/>
        </w:rPr>
        <w:t>[</w:t>
      </w:r>
      <w:r w:rsidR="008909FB">
        <w:rPr>
          <w:noProof/>
        </w:rPr>
        <w:t xml:space="preserve">proposal </w:t>
      </w:r>
      <w:r w:rsidR="00DE611A">
        <w:rPr>
          <w:noProof/>
        </w:rPr>
        <w:t xml:space="preserve">for a Regulation </w:t>
      </w:r>
      <w:r w:rsidR="008909FB">
        <w:rPr>
          <w:noProof/>
        </w:rPr>
        <w:t>on clean corporate vehicles</w:t>
      </w:r>
      <w:r w:rsidR="00921D6F" w:rsidRPr="00921D6F">
        <w:rPr>
          <w:noProof/>
        </w:rPr>
        <w:t>]</w:t>
      </w:r>
      <w:r>
        <w:rPr>
          <w:noProof/>
        </w:rPr>
        <w:t xml:space="preserve"> </w:t>
      </w:r>
      <w:r w:rsidR="00921D6F">
        <w:rPr>
          <w:noProof/>
        </w:rPr>
        <w:t xml:space="preserve">which </w:t>
      </w:r>
      <w:r>
        <w:rPr>
          <w:noProof/>
        </w:rPr>
        <w:t>limits</w:t>
      </w:r>
      <w:r w:rsidR="00921D6F">
        <w:rPr>
          <w:noProof/>
        </w:rPr>
        <w:t xml:space="preserve"> </w:t>
      </w:r>
      <w:r w:rsidR="00327996" w:rsidRPr="00D00B37">
        <w:rPr>
          <w:noProof/>
        </w:rPr>
        <w:t>financial support for</w:t>
      </w:r>
      <w:r>
        <w:rPr>
          <w:noProof/>
        </w:rPr>
        <w:t xml:space="preserve"> corporate vehicles to</w:t>
      </w:r>
      <w:r w:rsidR="00327996" w:rsidRPr="00D00B37">
        <w:rPr>
          <w:noProof/>
        </w:rPr>
        <w:t xml:space="preserve"> zero- and low-emissions corporate vehicles</w:t>
      </w:r>
      <w:r w:rsidR="00327996">
        <w:rPr>
          <w:noProof/>
        </w:rPr>
        <w:t xml:space="preserve"> </w:t>
      </w:r>
      <w:r>
        <w:rPr>
          <w:noProof/>
        </w:rPr>
        <w:t>‘</w:t>
      </w:r>
      <w:r w:rsidR="00327996" w:rsidRPr="00D00B37">
        <w:rPr>
          <w:noProof/>
        </w:rPr>
        <w:t>made in the European Union’</w:t>
      </w:r>
      <w:r w:rsidR="00327996">
        <w:rPr>
          <w:noProof/>
        </w:rPr>
        <w:t xml:space="preserve">. </w:t>
      </w:r>
      <w:r w:rsidRPr="00C93C80">
        <w:rPr>
          <w:noProof/>
        </w:rPr>
        <w:t>In order to ensure legal certainty and consistency with Regulation (EU) 2019/631</w:t>
      </w:r>
      <w:r>
        <w:rPr>
          <w:noProof/>
        </w:rPr>
        <w:t xml:space="preserve"> </w:t>
      </w:r>
      <w:r w:rsidRPr="00C93C80">
        <w:rPr>
          <w:noProof/>
        </w:rPr>
        <w:t>as amended</w:t>
      </w:r>
      <w:r w:rsidR="00327996">
        <w:rPr>
          <w:noProof/>
        </w:rPr>
        <w:t xml:space="preserve"> and the </w:t>
      </w:r>
      <w:r w:rsidR="006E3BDA" w:rsidRPr="00DE611A">
        <w:rPr>
          <w:noProof/>
        </w:rPr>
        <w:t>[</w:t>
      </w:r>
      <w:r w:rsidR="006E3BDA">
        <w:rPr>
          <w:noProof/>
        </w:rPr>
        <w:t>proposal for a Regulation on clean corporate vehicles</w:t>
      </w:r>
      <w:r w:rsidR="006E3BDA" w:rsidRPr="00921D6F">
        <w:rPr>
          <w:noProof/>
        </w:rPr>
        <w:t>]</w:t>
      </w:r>
      <w:r w:rsidRPr="00C93C80">
        <w:rPr>
          <w:noProof/>
        </w:rPr>
        <w:t>, this Regulation should lay down definitions of ‘small affordable electric vehicles made in the Union’</w:t>
      </w:r>
      <w:r w:rsidR="006E3BDA">
        <w:rPr>
          <w:noProof/>
        </w:rPr>
        <w:t xml:space="preserve">, </w:t>
      </w:r>
      <w:r w:rsidRPr="00C93C80">
        <w:rPr>
          <w:noProof/>
        </w:rPr>
        <w:t>‘low-carbon steel made in the Union’</w:t>
      </w:r>
      <w:r w:rsidR="006E3BDA">
        <w:rPr>
          <w:noProof/>
        </w:rPr>
        <w:t xml:space="preserve"> and ‘corporate cars</w:t>
      </w:r>
      <w:r w:rsidR="005F5DE6">
        <w:rPr>
          <w:noProof/>
        </w:rPr>
        <w:t xml:space="preserve"> and vans made in the European Union’</w:t>
      </w:r>
      <w:r w:rsidRPr="00C93C80">
        <w:rPr>
          <w:noProof/>
        </w:rPr>
        <w:t>.</w:t>
      </w:r>
    </w:p>
    <w:p w14:paraId="10F5A8B1" w14:textId="77777777" w:rsidR="00E6738E" w:rsidRDefault="00E6738E" w:rsidP="00E6738E">
      <w:pPr>
        <w:pStyle w:val="ManualConsidrant"/>
        <w:rPr>
          <w:noProof/>
        </w:rPr>
      </w:pPr>
      <w:r>
        <w:rPr>
          <w:noProof/>
        </w:rPr>
        <w:t>(26)</w:t>
      </w:r>
      <w:r>
        <w:rPr>
          <w:noProof/>
        </w:rPr>
        <w:tab/>
      </w:r>
      <w:r w:rsidRPr="0043444C">
        <w:rPr>
          <w:rFonts w:ascii="Times" w:hAnsi="Times" w:cs="Times"/>
          <w:noProof/>
        </w:rPr>
        <w:t xml:space="preserve">In order to simplify procedures and reduce administrative burden, the verification of </w:t>
      </w:r>
      <w:r w:rsidRPr="00622FD3">
        <w:rPr>
          <w:rFonts w:ascii="Times" w:eastAsia="Calibri" w:hAnsi="Times" w:cs="Times"/>
          <w:noProof/>
        </w:rPr>
        <w:t>compliance</w:t>
      </w:r>
      <w:r w:rsidRPr="0043444C">
        <w:rPr>
          <w:rFonts w:ascii="Times" w:hAnsi="Times" w:cs="Times"/>
          <w:noProof/>
        </w:rPr>
        <w:t xml:space="preserve"> with the requirements laid </w:t>
      </w:r>
      <w:r w:rsidRPr="007148E1">
        <w:rPr>
          <w:noProof/>
        </w:rPr>
        <w:t>down</w:t>
      </w:r>
      <w:r w:rsidRPr="0043444C">
        <w:rPr>
          <w:rFonts w:ascii="Times" w:hAnsi="Times" w:cs="Times"/>
          <w:noProof/>
        </w:rPr>
        <w:t xml:space="preserve"> in this Regulation should not impose a disproportionate burden on economic operators or contracting authorities. The verification system should therefore be based on a self-declaration by economic operators. </w:t>
      </w:r>
      <w:r>
        <w:rPr>
          <w:rFonts w:ascii="Times" w:hAnsi="Times" w:cs="Times"/>
          <w:noProof/>
        </w:rPr>
        <w:t>Such</w:t>
      </w:r>
      <w:r w:rsidRPr="0043444C">
        <w:rPr>
          <w:rFonts w:ascii="Times" w:hAnsi="Times" w:cs="Times"/>
          <w:noProof/>
        </w:rPr>
        <w:t xml:space="preserve"> approach is consistent with the general framework for public procurement established by Directive 2014/24/EU, in particular Article 59 thereof, which provides for self-declaration of compliance, subject to subsequent verification</w:t>
      </w:r>
      <w:r>
        <w:rPr>
          <w:rFonts w:ascii="Times" w:hAnsi="Times" w:cs="Times"/>
          <w:noProof/>
        </w:rPr>
        <w:t xml:space="preserve"> of the successful tenderer</w:t>
      </w:r>
      <w:r w:rsidRPr="0043444C">
        <w:rPr>
          <w:rFonts w:ascii="Times" w:hAnsi="Times" w:cs="Times"/>
          <w:noProof/>
        </w:rPr>
        <w:t>.</w:t>
      </w:r>
      <w:r>
        <w:rPr>
          <w:rFonts w:ascii="Times" w:hAnsi="Times" w:cs="Times"/>
          <w:noProof/>
        </w:rPr>
        <w:t xml:space="preserve"> </w:t>
      </w:r>
      <w:r>
        <w:rPr>
          <w:noProof/>
        </w:rPr>
        <w:t xml:space="preserve">For vehicles, </w:t>
      </w:r>
      <w:r w:rsidRPr="003501E6">
        <w:rPr>
          <w:noProof/>
        </w:rPr>
        <w:t xml:space="preserve">manufacturers should, at the time of issuing the certificate of conformity </w:t>
      </w:r>
      <w:r>
        <w:rPr>
          <w:noProof/>
        </w:rPr>
        <w:t>in accordance with</w:t>
      </w:r>
      <w:r w:rsidRPr="003501E6">
        <w:rPr>
          <w:noProof/>
        </w:rPr>
        <w:t xml:space="preserve"> Regulation (EU) 2018/858</w:t>
      </w:r>
      <w:r>
        <w:rPr>
          <w:noProof/>
        </w:rPr>
        <w:t xml:space="preserve"> </w:t>
      </w:r>
      <w:r w:rsidRPr="00A55B96">
        <w:rPr>
          <w:noProof/>
        </w:rPr>
        <w:t>of the European Parliament and of the Council</w:t>
      </w:r>
      <w:r w:rsidRPr="00781B63">
        <w:rPr>
          <w:rStyle w:val="FootnoteReference"/>
          <w:noProof/>
        </w:rPr>
        <w:footnoteReference w:id="43"/>
      </w:r>
      <w:r w:rsidRPr="003501E6">
        <w:rPr>
          <w:noProof/>
        </w:rPr>
        <w:t xml:space="preserve">, provide an accompanying document certifying </w:t>
      </w:r>
      <w:r>
        <w:rPr>
          <w:noProof/>
        </w:rPr>
        <w:t>for the vehicles that comply</w:t>
      </w:r>
      <w:r w:rsidRPr="003501E6">
        <w:rPr>
          <w:noProof/>
        </w:rPr>
        <w:t xml:space="preserve"> with the relevant Union origin requirements. </w:t>
      </w:r>
      <w:r>
        <w:rPr>
          <w:noProof/>
        </w:rPr>
        <w:t>This document should be equivalent to a self-declaration and form part of the documentary evidence demonstrating compliance with the requirements set out in this Regulation.</w:t>
      </w:r>
    </w:p>
    <w:p w14:paraId="3B553830" w14:textId="77777777" w:rsidR="00E6738E" w:rsidRPr="000E40B8" w:rsidRDefault="00E6738E" w:rsidP="00E6738E">
      <w:pPr>
        <w:pStyle w:val="ManualConsidrant"/>
        <w:rPr>
          <w:noProof/>
        </w:rPr>
      </w:pPr>
      <w:r>
        <w:rPr>
          <w:noProof/>
        </w:rPr>
        <w:t>(27)</w:t>
      </w:r>
      <w:r>
        <w:rPr>
          <w:noProof/>
        </w:rPr>
        <w:tab/>
      </w:r>
      <w:r w:rsidRPr="00AD21FF">
        <w:rPr>
          <w:noProof/>
        </w:rPr>
        <w:t xml:space="preserve">To ensure that the requirements established by this Regulation remain appropriate even as market conditions, technological developments and the climate and </w:t>
      </w:r>
      <w:r>
        <w:rPr>
          <w:noProof/>
        </w:rPr>
        <w:t>internal</w:t>
      </w:r>
      <w:r w:rsidRPr="00AD21FF" w:rsidDel="001F72E0">
        <w:rPr>
          <w:noProof/>
        </w:rPr>
        <w:t xml:space="preserve"> m</w:t>
      </w:r>
      <w:r w:rsidRPr="00AD21FF">
        <w:rPr>
          <w:noProof/>
        </w:rPr>
        <w:t xml:space="preserve">arket policy objectives </w:t>
      </w:r>
      <w:r>
        <w:rPr>
          <w:noProof/>
        </w:rPr>
        <w:t xml:space="preserve">of the Union </w:t>
      </w:r>
      <w:r w:rsidRPr="00AD21FF">
        <w:rPr>
          <w:noProof/>
        </w:rPr>
        <w:t xml:space="preserve">continue to evolve, the Commission should be empowered to revise the requirements based on objective criteria and monitoring results. When assessing whether to revise Union origin requirements, low-carbon requirements, or both, the Commission should take into account developments in the relevant legislative frameworks, including the </w:t>
      </w:r>
      <w:r>
        <w:rPr>
          <w:noProof/>
        </w:rPr>
        <w:t xml:space="preserve">customs legislation on rules of origin, </w:t>
      </w:r>
      <w:r w:rsidRPr="00AD21FF">
        <w:rPr>
          <w:noProof/>
        </w:rPr>
        <w:t>Emissions Trading System</w:t>
      </w:r>
      <w:r>
        <w:rPr>
          <w:noProof/>
        </w:rPr>
        <w:t xml:space="preserve"> laid down in </w:t>
      </w:r>
      <w:r w:rsidRPr="002623E5">
        <w:rPr>
          <w:noProof/>
        </w:rPr>
        <w:t>Directive 2003/87/EC</w:t>
      </w:r>
      <w:r w:rsidRPr="00AD21FF">
        <w:rPr>
          <w:noProof/>
        </w:rPr>
        <w:t xml:space="preserve"> the Carbon Border Adjustment Mechanism</w:t>
      </w:r>
      <w:r w:rsidRPr="00270379">
        <w:rPr>
          <w:noProof/>
        </w:rPr>
        <w:t xml:space="preserve"> </w:t>
      </w:r>
      <w:r>
        <w:rPr>
          <w:noProof/>
        </w:rPr>
        <w:t xml:space="preserve">laid down in </w:t>
      </w:r>
      <w:r w:rsidRPr="00697156">
        <w:rPr>
          <w:noProof/>
        </w:rPr>
        <w:t>Regulation (EU) 2023/956</w:t>
      </w:r>
      <w:r w:rsidRPr="00AD21FF">
        <w:rPr>
          <w:noProof/>
        </w:rPr>
        <w:t>, and trade defence instruments.</w:t>
      </w:r>
    </w:p>
    <w:p w14:paraId="4F595185" w14:textId="77777777" w:rsidR="00E6738E" w:rsidRPr="00AD21FF" w:rsidRDefault="00E6738E" w:rsidP="00E6738E">
      <w:pPr>
        <w:pStyle w:val="ManualConsidrant"/>
        <w:rPr>
          <w:noProof/>
        </w:rPr>
      </w:pPr>
      <w:r>
        <w:rPr>
          <w:noProof/>
        </w:rPr>
        <w:t>(28)</w:t>
      </w:r>
      <w:r>
        <w:rPr>
          <w:noProof/>
        </w:rPr>
        <w:tab/>
      </w:r>
      <w:r w:rsidRPr="00AD21FF">
        <w:rPr>
          <w:noProof/>
        </w:rPr>
        <w:t>Investment, including from foreign entities, plays a critical role in fostering a strong internal market</w:t>
      </w:r>
      <w:r>
        <w:rPr>
          <w:noProof/>
        </w:rPr>
        <w:t xml:space="preserve"> and territorial cohesion</w:t>
      </w:r>
      <w:r w:rsidRPr="00AD21FF">
        <w:rPr>
          <w:noProof/>
        </w:rPr>
        <w:t>, particularly by promoting innovation and driving economic growth in the Union which is essential for its competitiveness. However,</w:t>
      </w:r>
      <w:r>
        <w:rPr>
          <w:noProof/>
        </w:rPr>
        <w:t xml:space="preserve"> in exceptional circumstances, particularly large investments originating from third countries that hold a very significant market position in the global risk disrupting important supply chains and the security of emerging strategic sectors that are of particular importance in the development of the internal market.</w:t>
      </w:r>
      <w:r w:rsidRPr="00AD21FF">
        <w:rPr>
          <w:noProof/>
        </w:rPr>
        <w:t xml:space="preserve"> </w:t>
      </w:r>
      <w:r>
        <w:rPr>
          <w:noProof/>
        </w:rPr>
        <w:t>D</w:t>
      </w:r>
      <w:r w:rsidRPr="00AD21FF">
        <w:rPr>
          <w:noProof/>
        </w:rPr>
        <w:t xml:space="preserve">ivergent conditions applied by Member States </w:t>
      </w:r>
      <w:r>
        <w:rPr>
          <w:noProof/>
        </w:rPr>
        <w:t xml:space="preserve">for such investments </w:t>
      </w:r>
      <w:r w:rsidRPr="00AD21FF">
        <w:rPr>
          <w:noProof/>
        </w:rPr>
        <w:t>fragment the internal market by creating unequal conditions for investors allowing investments that do not contribute genuine added value to the Union economy</w:t>
      </w:r>
      <w:r>
        <w:rPr>
          <w:noProof/>
        </w:rPr>
        <w:t xml:space="preserve"> while creating significant risk for the development and supply security in these sectors</w:t>
      </w:r>
      <w:r w:rsidRPr="00AD21FF">
        <w:rPr>
          <w:noProof/>
        </w:rPr>
        <w:t xml:space="preserve"> and </w:t>
      </w:r>
      <w:r>
        <w:rPr>
          <w:noProof/>
        </w:rPr>
        <w:t xml:space="preserve">creating </w:t>
      </w:r>
      <w:r w:rsidRPr="00AD21FF">
        <w:rPr>
          <w:noProof/>
        </w:rPr>
        <w:t>an incentive for “</w:t>
      </w:r>
      <w:r>
        <w:rPr>
          <w:noProof/>
        </w:rPr>
        <w:t>regulatory arbitrage</w:t>
      </w:r>
      <w:r w:rsidRPr="00AD21FF">
        <w:rPr>
          <w:noProof/>
        </w:rPr>
        <w:t xml:space="preserve">” by investors. </w:t>
      </w:r>
      <w:r>
        <w:rPr>
          <w:noProof/>
        </w:rPr>
        <w:t>Allowing such investments to proceed without any conditions</w:t>
      </w:r>
      <w:r w:rsidRPr="00AD21FF">
        <w:rPr>
          <w:noProof/>
        </w:rPr>
        <w:t xml:space="preserve"> </w:t>
      </w:r>
      <w:r>
        <w:rPr>
          <w:noProof/>
        </w:rPr>
        <w:t>could mean that</w:t>
      </w:r>
      <w:r w:rsidRPr="00AD21FF">
        <w:rPr>
          <w:noProof/>
        </w:rPr>
        <w:t xml:space="preserve"> the added value creation associated with </w:t>
      </w:r>
      <w:r>
        <w:rPr>
          <w:noProof/>
        </w:rPr>
        <w:t>selected</w:t>
      </w:r>
      <w:r w:rsidRPr="00AD21FF">
        <w:rPr>
          <w:noProof/>
        </w:rPr>
        <w:t xml:space="preserve"> strategic technologies and innovative </w:t>
      </w:r>
      <w:r>
        <w:rPr>
          <w:noProof/>
        </w:rPr>
        <w:t>manufacturing</w:t>
      </w:r>
      <w:r w:rsidRPr="00AD21FF">
        <w:rPr>
          <w:noProof/>
        </w:rPr>
        <w:t xml:space="preserve"> activities remains outside the Union</w:t>
      </w:r>
      <w:r>
        <w:rPr>
          <w:noProof/>
        </w:rPr>
        <w:t>, which have detrimental effect for the Union’s supply security and technological development in emerging strategic sectors</w:t>
      </w:r>
      <w:r w:rsidRPr="00AD21FF">
        <w:rPr>
          <w:noProof/>
        </w:rPr>
        <w:t xml:space="preserve">. </w:t>
      </w:r>
      <w:r>
        <w:rPr>
          <w:noProof/>
        </w:rPr>
        <w:t>Moreover, unconditional exposure of the internal market to such large investments risks putting into question the Union’s technological advancements necessary for its twin transition and defence capabilities. Therefore, the provisions of this Regulation should ensure that such large investments coming from third countries that hold a particularly significant market position do not disrupt the Union’s supply security and economic security, and ensure its technological advancement in emerging strategic sectors. If such investments do not provide for sufficient Union participation and technology transfer, the long-term supply security of emerging strategic sectors is hampered due to lack of Union capacities independent from the country holding a significant share of relevant global supply. Furthermore, it has been observed that certain of such investments do not involve meaningful employment of Union workers, which jeopardizes the development of skills crucial for the development of emerging strategic sectors in the internal market.</w:t>
      </w:r>
    </w:p>
    <w:p w14:paraId="30992B1E" w14:textId="77777777" w:rsidR="00901E2C" w:rsidRDefault="00901E2C" w:rsidP="00901E2C">
      <w:pPr>
        <w:pStyle w:val="ManualConsidrant"/>
        <w:rPr>
          <w:noProof/>
        </w:rPr>
      </w:pPr>
      <w:r>
        <w:rPr>
          <w:noProof/>
        </w:rPr>
        <w:t>(29)</w:t>
      </w:r>
      <w:r>
        <w:rPr>
          <w:noProof/>
        </w:rPr>
        <w:tab/>
        <w:t>In order to ensure that the internal market remains attractive for investment, and that investment adds value to the Union’s economy and society, it is necessary to</w:t>
      </w:r>
      <w:r w:rsidRPr="00AD21FF">
        <w:rPr>
          <w:noProof/>
        </w:rPr>
        <w:t xml:space="preserve"> establish common c</w:t>
      </w:r>
      <w:r>
        <w:rPr>
          <w:noProof/>
        </w:rPr>
        <w:t>onditions</w:t>
      </w:r>
      <w:r w:rsidRPr="00AD21FF">
        <w:rPr>
          <w:noProof/>
        </w:rPr>
        <w:t xml:space="preserve"> for foreign direct investment in </w:t>
      </w:r>
      <w:r>
        <w:rPr>
          <w:noProof/>
        </w:rPr>
        <w:t>manufacturing</w:t>
      </w:r>
      <w:r w:rsidRPr="00AD21FF">
        <w:rPr>
          <w:noProof/>
        </w:rPr>
        <w:t xml:space="preserve"> emerging strategic sectors. </w:t>
      </w:r>
      <w:r>
        <w:rPr>
          <w:noProof/>
        </w:rPr>
        <w:t>Those sectors</w:t>
      </w:r>
      <w:r w:rsidRPr="00AD21FF">
        <w:rPr>
          <w:noProof/>
        </w:rPr>
        <w:t xml:space="preserve"> should be</w:t>
      </w:r>
      <w:r>
        <w:rPr>
          <w:noProof/>
        </w:rPr>
        <w:t xml:space="preserve"> manufacturing</w:t>
      </w:r>
      <w:r w:rsidRPr="00AD21FF">
        <w:rPr>
          <w:noProof/>
        </w:rPr>
        <w:t xml:space="preserve"> sectors with innovative potential where Union entities are not at or near the global innovation frontier</w:t>
      </w:r>
      <w:r>
        <w:rPr>
          <w:noProof/>
        </w:rPr>
        <w:t>, and where appropriate Union capacities and participation should be ensured. Harmonised</w:t>
      </w:r>
      <w:r w:rsidRPr="00AD21FF">
        <w:rPr>
          <w:noProof/>
        </w:rPr>
        <w:t xml:space="preserve"> criteria</w:t>
      </w:r>
      <w:r w:rsidRPr="00AD21FF" w:rsidDel="00C43BEA">
        <w:rPr>
          <w:noProof/>
        </w:rPr>
        <w:t xml:space="preserve"> </w:t>
      </w:r>
      <w:r w:rsidRPr="00AD21FF">
        <w:rPr>
          <w:noProof/>
        </w:rPr>
        <w:t xml:space="preserve">should apply to foreign investors of a third country which holds over 40% of the global manufacturing capacity in emerging strategic sectors. </w:t>
      </w:r>
      <w:r>
        <w:rPr>
          <w:noProof/>
        </w:rPr>
        <w:t>To ensure the effectiveness of the provisions of this Regulation, t</w:t>
      </w:r>
      <w:r w:rsidRPr="00AD21FF">
        <w:rPr>
          <w:noProof/>
        </w:rPr>
        <w:t>he Commission should monitor the global manufacturing capacity of th</w:t>
      </w:r>
      <w:r>
        <w:rPr>
          <w:noProof/>
        </w:rPr>
        <w:t>o</w:t>
      </w:r>
      <w:r w:rsidRPr="00AD21FF">
        <w:rPr>
          <w:noProof/>
        </w:rPr>
        <w:t xml:space="preserve">se sectors and publish </w:t>
      </w:r>
      <w:r>
        <w:rPr>
          <w:noProof/>
        </w:rPr>
        <w:t>the results</w:t>
      </w:r>
      <w:r w:rsidRPr="00AD21FF">
        <w:rPr>
          <w:noProof/>
        </w:rPr>
        <w:t>.</w:t>
      </w:r>
    </w:p>
    <w:p w14:paraId="7F17E287" w14:textId="77777777" w:rsidR="00901E2C" w:rsidRPr="003C62A0" w:rsidRDefault="00901E2C" w:rsidP="00901E2C">
      <w:pPr>
        <w:pStyle w:val="ManualConsidrant"/>
        <w:rPr>
          <w:noProof/>
        </w:rPr>
      </w:pPr>
      <w:r>
        <w:rPr>
          <w:noProof/>
        </w:rPr>
        <w:t>(30)</w:t>
      </w:r>
      <w:r>
        <w:rPr>
          <w:noProof/>
        </w:rPr>
        <w:tab/>
      </w:r>
      <w:r w:rsidRPr="00AD21FF">
        <w:rPr>
          <w:noProof/>
        </w:rPr>
        <w:t xml:space="preserve">Greenfield foreign </w:t>
      </w:r>
      <w:r w:rsidRPr="003C62A0">
        <w:rPr>
          <w:noProof/>
        </w:rPr>
        <w:t>investments occur where the foreign investor or a foreign investor’s subsidiary in the Union sets up new facilities or a new undertaking in the Union. Both Greenfield and Brownfield foreign investments should fall within the scope of this Regulation</w:t>
      </w:r>
      <w:r>
        <w:rPr>
          <w:noProof/>
        </w:rPr>
        <w:t xml:space="preserve"> to the extent that they involve the acquisition of control over a Union target or Union asset</w:t>
      </w:r>
      <w:r w:rsidRPr="003C62A0">
        <w:rPr>
          <w:noProof/>
        </w:rPr>
        <w:t>, as they both have the possibility to impact the well-functioning internal market.</w:t>
      </w:r>
    </w:p>
    <w:p w14:paraId="525A63EE" w14:textId="77777777" w:rsidR="00901E2C" w:rsidRPr="003C62A0" w:rsidRDefault="00901E2C" w:rsidP="00901E2C">
      <w:pPr>
        <w:pStyle w:val="ManualConsidrant"/>
        <w:rPr>
          <w:noProof/>
        </w:rPr>
      </w:pPr>
      <w:r>
        <w:rPr>
          <w:noProof/>
        </w:rPr>
        <w:t>(31)</w:t>
      </w:r>
      <w:r>
        <w:rPr>
          <w:noProof/>
        </w:rPr>
        <w:tab/>
      </w:r>
      <w:r w:rsidRPr="003C62A0">
        <w:rPr>
          <w:noProof/>
        </w:rPr>
        <w:t xml:space="preserve">The review of the investments and application of the harmonised conditions should be carried out in accordance with this Regulation. It should take into account all information available and adhere to the principle of proportionality. Moreover, </w:t>
      </w:r>
      <w:r>
        <w:rPr>
          <w:noProof/>
        </w:rPr>
        <w:t>all measures taken by national authorities or the Commission with respect to</w:t>
      </w:r>
      <w:r w:rsidRPr="003C62A0">
        <w:rPr>
          <w:noProof/>
        </w:rPr>
        <w:t xml:space="preserve"> the </w:t>
      </w:r>
      <w:r>
        <w:rPr>
          <w:noProof/>
        </w:rPr>
        <w:t>review</w:t>
      </w:r>
      <w:r w:rsidRPr="003C62A0">
        <w:rPr>
          <w:noProof/>
        </w:rPr>
        <w:t xml:space="preserve"> of foreign investments should comply with Union law, and in particular with Articles 49 and 63 TFEU. </w:t>
      </w:r>
    </w:p>
    <w:p w14:paraId="70B88A48" w14:textId="77777777" w:rsidR="00901E2C" w:rsidRPr="003C62A0" w:rsidRDefault="00901E2C" w:rsidP="00901E2C">
      <w:pPr>
        <w:pStyle w:val="ManualConsidrant"/>
        <w:rPr>
          <w:noProof/>
        </w:rPr>
      </w:pPr>
      <w:r>
        <w:rPr>
          <w:noProof/>
        </w:rPr>
        <w:t>(32)</w:t>
      </w:r>
      <w:r>
        <w:rPr>
          <w:noProof/>
        </w:rPr>
        <w:tab/>
      </w:r>
      <w:r w:rsidRPr="003C62A0">
        <w:rPr>
          <w:noProof/>
        </w:rPr>
        <w:t>The</w:t>
      </w:r>
      <w:r>
        <w:rPr>
          <w:noProof/>
        </w:rPr>
        <w:t>refore, the</w:t>
      </w:r>
      <w:r w:rsidRPr="003C62A0">
        <w:rPr>
          <w:noProof/>
        </w:rPr>
        <w:t xml:space="preserve"> provisions of this Regulation should apply to foreign direct investments in emerging strategic sectors </w:t>
      </w:r>
      <w:r>
        <w:rPr>
          <w:noProof/>
        </w:rPr>
        <w:t>in accordance with</w:t>
      </w:r>
      <w:r w:rsidRPr="003C62A0">
        <w:rPr>
          <w:noProof/>
        </w:rPr>
        <w:t xml:space="preserve"> the thresholds established by this Regulation, notwithstanding the screening mechanism established under Regulation (EU) 2019/452</w:t>
      </w:r>
      <w:r>
        <w:rPr>
          <w:noProof/>
        </w:rPr>
        <w:t xml:space="preserve"> </w:t>
      </w:r>
      <w:r w:rsidRPr="000C2028">
        <w:rPr>
          <w:noProof/>
        </w:rPr>
        <w:t>of the European Parliament and of the Council</w:t>
      </w:r>
      <w:r w:rsidRPr="00B105F9">
        <w:rPr>
          <w:rStyle w:val="FootnoteReference"/>
          <w:rFonts w:eastAsia="Times New Roman"/>
          <w:noProof/>
          <w:lang w:eastAsia="en-GB"/>
        </w:rPr>
        <w:footnoteReference w:id="44"/>
      </w:r>
      <w:r w:rsidRPr="003C62A0">
        <w:rPr>
          <w:noProof/>
        </w:rPr>
        <w:t xml:space="preserve">. Moreover, the provisions of this Regulation should </w:t>
      </w:r>
      <w:r>
        <w:rPr>
          <w:noProof/>
        </w:rPr>
        <w:t xml:space="preserve">also </w:t>
      </w:r>
      <w:r w:rsidRPr="003C62A0">
        <w:rPr>
          <w:noProof/>
        </w:rPr>
        <w:t xml:space="preserve">apply without prejudice to Union competition law instruments, including Regulation (EU) 2022/2560 </w:t>
      </w:r>
      <w:r w:rsidRPr="00FC1046">
        <w:rPr>
          <w:noProof/>
        </w:rPr>
        <w:t>of the European Parliament and of the Council</w:t>
      </w:r>
      <w:r>
        <w:rPr>
          <w:rStyle w:val="FootnoteReference"/>
          <w:noProof/>
        </w:rPr>
        <w:footnoteReference w:id="45"/>
      </w:r>
      <w:r>
        <w:rPr>
          <w:noProof/>
        </w:rPr>
        <w:t xml:space="preserve"> </w:t>
      </w:r>
      <w:r w:rsidRPr="003C62A0">
        <w:rPr>
          <w:noProof/>
        </w:rPr>
        <w:t>and Council Regulation (EC) No 139/2004</w:t>
      </w:r>
      <w:r>
        <w:rPr>
          <w:rStyle w:val="FootnoteReference"/>
          <w:noProof/>
        </w:rPr>
        <w:footnoteReference w:id="46"/>
      </w:r>
      <w:r w:rsidRPr="003C62A0">
        <w:rPr>
          <w:noProof/>
        </w:rPr>
        <w:t xml:space="preserve">. </w:t>
      </w:r>
    </w:p>
    <w:p w14:paraId="729DF0C7" w14:textId="77777777" w:rsidR="00BD6DCE" w:rsidRPr="00AD21FF" w:rsidRDefault="00BD6DCE" w:rsidP="00BD6DCE">
      <w:pPr>
        <w:pStyle w:val="ManualConsidrant"/>
        <w:rPr>
          <w:rFonts w:ascii="Times" w:eastAsia="Times New Roman" w:hAnsi="Times" w:cs="Times"/>
          <w:noProof/>
          <w:lang w:eastAsia="en-GB"/>
        </w:rPr>
      </w:pPr>
      <w:r>
        <w:rPr>
          <w:noProof/>
        </w:rPr>
        <w:t>(33)</w:t>
      </w:r>
      <w:r>
        <w:rPr>
          <w:noProof/>
        </w:rPr>
        <w:tab/>
      </w:r>
      <w:r w:rsidRPr="003C62A0">
        <w:rPr>
          <w:rFonts w:ascii="Times" w:eastAsia="Times New Roman" w:hAnsi="Times" w:cs="Times"/>
          <w:noProof/>
          <w:lang w:eastAsia="en-GB"/>
        </w:rPr>
        <w:t xml:space="preserve">The foreign direct investment criteria should capture emerging strategic sector investments in the Union by third-country investors (‘foreign investors’) in the Union. However, it could also be necessary to include investments in the Union by entities that are controlled, directly or indirectly, by a third-country person or entity regardless of the ultimate owner’s location (‘foreign investor’s subsidiary’), as they are equally capable of disrupting the functioning of the internal market, including its supply and economic security, due to the control exercised from the third country having a </w:t>
      </w:r>
      <w:r>
        <w:rPr>
          <w:rFonts w:ascii="Times" w:eastAsia="Times New Roman" w:hAnsi="Times" w:cs="Times"/>
          <w:noProof/>
          <w:lang w:eastAsia="en-GB"/>
        </w:rPr>
        <w:t>significant</w:t>
      </w:r>
      <w:r w:rsidRPr="003C62A0">
        <w:rPr>
          <w:rFonts w:ascii="Times" w:eastAsia="Times New Roman" w:hAnsi="Times" w:cs="Times"/>
          <w:noProof/>
          <w:lang w:eastAsia="en-GB"/>
        </w:rPr>
        <w:t xml:space="preserve"> market share</w:t>
      </w:r>
      <w:r w:rsidRPr="003C62A0" w:rsidDel="006E4C6D">
        <w:rPr>
          <w:rFonts w:ascii="Times" w:eastAsia="Times New Roman" w:hAnsi="Times" w:cs="Times"/>
          <w:noProof/>
          <w:lang w:eastAsia="en-GB"/>
        </w:rPr>
        <w:t xml:space="preserve"> </w:t>
      </w:r>
      <w:r w:rsidRPr="003C62A0">
        <w:rPr>
          <w:rFonts w:ascii="Times" w:eastAsia="Times New Roman" w:hAnsi="Times" w:cs="Times"/>
          <w:noProof/>
          <w:lang w:eastAsia="en-GB"/>
        </w:rPr>
        <w:t>Therefore, Investment Authorities should apply the investment criteria where they are clearly needed to effectively ensure the protection of public security, the supply and economic security, and environmental sustainability in the Union, and where it is essential for the technological advancements of the internal market for the green and digital transition and defence purposes. Moreover, to prevent the circumvention of the Regulation’s provisions, where no alternative</w:t>
      </w:r>
      <w:r>
        <w:rPr>
          <w:rFonts w:ascii="Times" w:eastAsia="Times New Roman" w:hAnsi="Times" w:cs="Times"/>
          <w:noProof/>
          <w:lang w:eastAsia="en-GB"/>
        </w:rPr>
        <w:t xml:space="preserve"> measures are reasonably available</w:t>
      </w:r>
      <w:r w:rsidRPr="00AD21FF">
        <w:rPr>
          <w:rFonts w:ascii="Times" w:eastAsia="Times New Roman" w:hAnsi="Times" w:cs="Times"/>
          <w:noProof/>
          <w:lang w:eastAsia="en-GB"/>
        </w:rPr>
        <w:t>.</w:t>
      </w:r>
      <w:r>
        <w:rPr>
          <w:rFonts w:ascii="Times" w:eastAsia="Times New Roman" w:hAnsi="Times" w:cs="Times"/>
          <w:noProof/>
          <w:lang w:eastAsia="en-GB"/>
        </w:rPr>
        <w:t xml:space="preserve"> To ensure the proportional application of conditions prescribed to investments made by the foreign investor’s subsidiary, the Commission should have the opportunity to assess the notification and request the Investment Authority to prescribe certain conditions. Apart from review of foreign direct investments made by the foreign investor’s subsidiary as established by this Regulation, investments coming from other Union Member States should not be conditioned or deterred.</w:t>
      </w:r>
    </w:p>
    <w:p w14:paraId="302AEF9D" w14:textId="77777777" w:rsidR="00BD6DCE" w:rsidRPr="00AD21FF" w:rsidRDefault="00BD6DCE" w:rsidP="00BD6DCE">
      <w:pPr>
        <w:pStyle w:val="ManualConsidrant"/>
        <w:rPr>
          <w:noProof/>
        </w:rPr>
      </w:pPr>
      <w:r>
        <w:rPr>
          <w:noProof/>
        </w:rPr>
        <w:t>(34)</w:t>
      </w:r>
      <w:r>
        <w:rPr>
          <w:noProof/>
        </w:rPr>
        <w:tab/>
      </w:r>
      <w:r>
        <w:rPr>
          <w:rFonts w:ascii="Times" w:eastAsia="Times New Roman" w:hAnsi="Times" w:cs="Times"/>
          <w:noProof/>
          <w:lang w:eastAsia="en-GB"/>
        </w:rPr>
        <w:t xml:space="preserve">It is necessary to </w:t>
      </w:r>
      <w:r w:rsidRPr="00AD21FF">
        <w:rPr>
          <w:rFonts w:ascii="Times" w:eastAsia="Times New Roman" w:hAnsi="Times" w:cs="Times"/>
          <w:noProof/>
          <w:lang w:eastAsia="en-GB"/>
        </w:rPr>
        <w:t xml:space="preserve">ensure a lasting link between the foreign investor and the Union target, whether it is carried out directly by a foreign investor or through an entity established in the Union and controlled by a foreign investor. </w:t>
      </w:r>
      <w:r w:rsidRPr="00AD21FF">
        <w:rPr>
          <w:noProof/>
        </w:rPr>
        <w:t xml:space="preserve">However, </w:t>
      </w:r>
      <w:r>
        <w:rPr>
          <w:noProof/>
        </w:rPr>
        <w:t>that</w:t>
      </w:r>
      <w:r w:rsidRPr="00AD21FF">
        <w:rPr>
          <w:noProof/>
        </w:rPr>
        <w:t xml:space="preserve"> should not apply to the acquisition of company securities that are intended purely for financial investment and without any intention to influence the management or control of the company (‘portfolio investments’).</w:t>
      </w:r>
    </w:p>
    <w:p w14:paraId="7A373478" w14:textId="77777777" w:rsidR="00BD6DCE" w:rsidRPr="00AD21FF" w:rsidRDefault="00BD6DCE" w:rsidP="00BD6DCE">
      <w:pPr>
        <w:pStyle w:val="ManualConsidrant"/>
        <w:rPr>
          <w:noProof/>
        </w:rPr>
      </w:pPr>
      <w:r>
        <w:rPr>
          <w:noProof/>
        </w:rPr>
        <w:t>(35)</w:t>
      </w:r>
      <w:r>
        <w:rPr>
          <w:noProof/>
        </w:rPr>
        <w:tab/>
      </w:r>
      <w:r w:rsidRPr="00AD21FF">
        <w:rPr>
          <w:noProof/>
        </w:rPr>
        <w:t xml:space="preserve">Restructuring operations within a corporate group and investments made in financial institutions in application of a resolution tool as well as of write down and conversion powers should fall outside of the scope of this Regulation. Internal restructurings should only be excluded from the scope of application to the extent that they are conducted solely for the purpose of the internal reorganisation of a Union target or of the corporate group to which the Union target belongs, without resulting in any changes in the beneficial ownership </w:t>
      </w:r>
      <w:bookmarkStart w:id="8" w:name="_Hlk222061593"/>
      <w:r>
        <w:rPr>
          <w:noProof/>
        </w:rPr>
        <w:t xml:space="preserve">or control </w:t>
      </w:r>
      <w:bookmarkEnd w:id="8"/>
      <w:r w:rsidRPr="00AD21FF">
        <w:rPr>
          <w:noProof/>
        </w:rPr>
        <w:t>of the Union target. In particular, internal restructurings should be excluded where they do not result in a situation where a new foreign investor acquires ownership or control over the Union target or over a company that directly or indirectly owns or controls that Union target, where there is an increase in the shares held by foreign investors, or where the transaction results in additional rights for foreign investors that may lead to a change in the effective participation of one or more foreign investors in the management or control of the Union target.</w:t>
      </w:r>
    </w:p>
    <w:p w14:paraId="32E4E903" w14:textId="77777777" w:rsidR="00BD6DCE" w:rsidRPr="00AD21FF" w:rsidRDefault="00BD6DCE" w:rsidP="00BD6DCE">
      <w:pPr>
        <w:pStyle w:val="ManualConsidrant"/>
        <w:rPr>
          <w:noProof/>
        </w:rPr>
      </w:pPr>
      <w:r>
        <w:rPr>
          <w:noProof/>
        </w:rPr>
        <w:t>(36)</w:t>
      </w:r>
      <w:r>
        <w:rPr>
          <w:noProof/>
        </w:rPr>
        <w:tab/>
      </w:r>
      <w:r w:rsidRPr="00AD21FF">
        <w:rPr>
          <w:noProof/>
        </w:rPr>
        <w:t xml:space="preserve">The </w:t>
      </w:r>
      <w:r>
        <w:rPr>
          <w:noProof/>
        </w:rPr>
        <w:t>foreign direct investment criteria</w:t>
      </w:r>
      <w:r w:rsidRPr="00AD21FF">
        <w:rPr>
          <w:noProof/>
        </w:rPr>
        <w:t xml:space="preserve"> should only apply to emerging strategic sector foreign direct investments reaching an investment value threshold that is able to disrupt the functioning of the internal market. A threshold of EUR 100 million should be considered as having potential for </w:t>
      </w:r>
      <w:r>
        <w:rPr>
          <w:noProof/>
        </w:rPr>
        <w:t xml:space="preserve">to impact the well-functioning of </w:t>
      </w:r>
      <w:r w:rsidRPr="00AD21FF">
        <w:rPr>
          <w:noProof/>
        </w:rPr>
        <w:t>the internal market</w:t>
      </w:r>
      <w:r w:rsidRPr="00AD21FF" w:rsidDel="00FD77D8">
        <w:rPr>
          <w:noProof/>
        </w:rPr>
        <w:t xml:space="preserve"> </w:t>
      </w:r>
      <w:r w:rsidRPr="00AD21FF">
        <w:rPr>
          <w:noProof/>
        </w:rPr>
        <w:t xml:space="preserve">in emerging strategic sectors. Such foreign direct investment covered by the scope of this Regulation would bear high risk </w:t>
      </w:r>
      <w:r>
        <w:rPr>
          <w:noProof/>
        </w:rPr>
        <w:t>on the security and environmental sustainability of the Union, while</w:t>
      </w:r>
      <w:r w:rsidRPr="00AD21FF">
        <w:rPr>
          <w:noProof/>
        </w:rPr>
        <w:t xml:space="preserve"> not producing enough added value </w:t>
      </w:r>
      <w:r>
        <w:rPr>
          <w:noProof/>
        </w:rPr>
        <w:t>including ensuring Union contribution in the investment, enhancement of the Union’s technological development, employment of Union workers and contribution to Union value chains</w:t>
      </w:r>
      <w:r w:rsidRPr="00AD21FF">
        <w:rPr>
          <w:noProof/>
        </w:rPr>
        <w:t xml:space="preserve"> for the internal market</w:t>
      </w:r>
      <w:r w:rsidRPr="00AD21FF" w:rsidDel="00FD77D8">
        <w:rPr>
          <w:noProof/>
        </w:rPr>
        <w:t xml:space="preserve"> </w:t>
      </w:r>
      <w:r w:rsidRPr="00AD21FF">
        <w:rPr>
          <w:noProof/>
        </w:rPr>
        <w:t xml:space="preserve">without compliance with the </w:t>
      </w:r>
      <w:r>
        <w:rPr>
          <w:noProof/>
        </w:rPr>
        <w:t>harmonised</w:t>
      </w:r>
      <w:r w:rsidRPr="00AD21FF">
        <w:rPr>
          <w:noProof/>
        </w:rPr>
        <w:t xml:space="preserve"> conditions. </w:t>
      </w:r>
    </w:p>
    <w:p w14:paraId="12CBF707" w14:textId="77777777" w:rsidR="00BD6DCE" w:rsidRPr="009F00A7" w:rsidRDefault="00BD6DCE" w:rsidP="00BD6DCE">
      <w:pPr>
        <w:pStyle w:val="ManualConsidrant"/>
        <w:rPr>
          <w:rFonts w:ascii="Times" w:eastAsia="Times New Roman" w:hAnsi="Times" w:cs="Times"/>
          <w:noProof/>
          <w:lang w:eastAsia="en-GB"/>
        </w:rPr>
      </w:pPr>
      <w:r>
        <w:rPr>
          <w:noProof/>
        </w:rPr>
        <w:t>(37)</w:t>
      </w:r>
      <w:r>
        <w:rPr>
          <w:noProof/>
        </w:rPr>
        <w:tab/>
      </w:r>
      <w:r w:rsidRPr="009F00A7">
        <w:rPr>
          <w:rFonts w:ascii="Times" w:eastAsia="Times New Roman" w:hAnsi="Times" w:cs="Times"/>
          <w:noProof/>
          <w:lang w:eastAsia="en-GB"/>
        </w:rPr>
        <w:t xml:space="preserve">In order to ensure the effective application of this Regulation, each Member State should designate an investment authority responsible for assessing the conditions of investment by foreign entities in emerging strategic sectors. Moreover, it should be equipped with the legal, administrative, and financial resources to carry out its tasks effectively and independently, with due regard to the authorities already responsible for implementing </w:t>
      </w:r>
      <w:r>
        <w:rPr>
          <w:rFonts w:ascii="Times" w:eastAsia="Times New Roman" w:hAnsi="Times" w:cs="Times"/>
          <w:noProof/>
          <w:lang w:eastAsia="en-GB"/>
        </w:rPr>
        <w:t>Regulation (EU) 2019/452</w:t>
      </w:r>
      <w:r w:rsidRPr="00AD21FF">
        <w:rPr>
          <w:rFonts w:ascii="Times" w:eastAsia="Times New Roman" w:hAnsi="Times" w:cs="Times"/>
          <w:noProof/>
          <w:lang w:eastAsia="en-GB"/>
        </w:rPr>
        <w:t>.</w:t>
      </w:r>
    </w:p>
    <w:p w14:paraId="35D08057" w14:textId="77777777" w:rsidR="00BD6DCE" w:rsidRPr="00AD21FF" w:rsidRDefault="00BD6DCE" w:rsidP="00BD6DCE">
      <w:pPr>
        <w:pStyle w:val="ManualConsidrant"/>
        <w:rPr>
          <w:noProof/>
        </w:rPr>
      </w:pPr>
      <w:r>
        <w:rPr>
          <w:noProof/>
        </w:rPr>
        <w:t>(38)</w:t>
      </w:r>
      <w:r>
        <w:rPr>
          <w:noProof/>
        </w:rPr>
        <w:tab/>
      </w:r>
      <w:r w:rsidRPr="00AD21FF">
        <w:rPr>
          <w:noProof/>
        </w:rPr>
        <w:t xml:space="preserve">To enable Member States to effectively identify </w:t>
      </w:r>
      <w:r>
        <w:rPr>
          <w:noProof/>
        </w:rPr>
        <w:t xml:space="preserve">the </w:t>
      </w:r>
      <w:r w:rsidRPr="00AD21FF">
        <w:rPr>
          <w:noProof/>
        </w:rPr>
        <w:t>investments</w:t>
      </w:r>
      <w:r>
        <w:rPr>
          <w:noProof/>
        </w:rPr>
        <w:t xml:space="preserve"> defined in this Regulation</w:t>
      </w:r>
      <w:r w:rsidRPr="00AD21FF">
        <w:rPr>
          <w:noProof/>
        </w:rPr>
        <w:t xml:space="preserve">, foreign investors should notify competent authorities prior to acquiring or establishing significant stakes in undertakings or assets within the Union. Setting a threshold at </w:t>
      </w:r>
      <w:r>
        <w:rPr>
          <w:noProof/>
        </w:rPr>
        <w:t>3</w:t>
      </w:r>
      <w:r w:rsidRPr="00AD21FF">
        <w:rPr>
          <w:noProof/>
        </w:rPr>
        <w:t xml:space="preserve">0 percent </w:t>
      </w:r>
      <w:r>
        <w:rPr>
          <w:noProof/>
        </w:rPr>
        <w:t>ownership or other rights establishing control</w:t>
      </w:r>
      <w:r w:rsidRPr="00AD21FF">
        <w:rPr>
          <w:noProof/>
        </w:rPr>
        <w:t xml:space="preserve"> for both undertakings and assets should ensure that the mechanism captures investments capable of </w:t>
      </w:r>
      <w:r>
        <w:rPr>
          <w:noProof/>
        </w:rPr>
        <w:t xml:space="preserve">impacting the well-functioning of </w:t>
      </w:r>
      <w:r w:rsidRPr="00AD21FF">
        <w:rPr>
          <w:noProof/>
        </w:rPr>
        <w:t xml:space="preserve">the internal market. </w:t>
      </w:r>
    </w:p>
    <w:p w14:paraId="1AD8574F" w14:textId="77777777" w:rsidR="00BD6DCE" w:rsidRPr="00AD21FF" w:rsidRDefault="00BD6DCE" w:rsidP="00BD6DCE">
      <w:pPr>
        <w:pStyle w:val="ManualConsidrant"/>
        <w:rPr>
          <w:noProof/>
        </w:rPr>
      </w:pPr>
      <w:r>
        <w:rPr>
          <w:noProof/>
        </w:rPr>
        <w:t>(39)</w:t>
      </w:r>
      <w:r>
        <w:rPr>
          <w:noProof/>
        </w:rPr>
        <w:tab/>
      </w:r>
      <w:r w:rsidRPr="00AD21FF">
        <w:rPr>
          <w:noProof/>
        </w:rPr>
        <w:t xml:space="preserve">To minimise the risk of circumvention through fragmented or indirect acquisitions, where several foreign investors act in concert, or where investments are made through affiliated entities or complex ownership structures, their respective interests should be aggregated </w:t>
      </w:r>
      <w:r>
        <w:rPr>
          <w:noProof/>
        </w:rPr>
        <w:t xml:space="preserve">by the Investment Authority </w:t>
      </w:r>
      <w:r w:rsidRPr="00AD21FF">
        <w:rPr>
          <w:noProof/>
        </w:rPr>
        <w:t xml:space="preserve">for the purpose of determining the investment value and the notification threshold. Aggregation should also apply to existing holdings in the same Union undertaking or asset, whether direct or indirect, individual or joint, to ensure that successive transactions leading to significant influence or control are duly notified. </w:t>
      </w:r>
    </w:p>
    <w:p w14:paraId="789A3309" w14:textId="77777777" w:rsidR="00BD6DCE" w:rsidRPr="00AD21FF" w:rsidRDefault="00BD6DCE" w:rsidP="00BD6DCE">
      <w:pPr>
        <w:pStyle w:val="ManualConsidrant"/>
        <w:rPr>
          <w:noProof/>
        </w:rPr>
      </w:pPr>
      <w:r>
        <w:rPr>
          <w:noProof/>
        </w:rPr>
        <w:t>(40)</w:t>
      </w:r>
      <w:r>
        <w:rPr>
          <w:noProof/>
        </w:rPr>
        <w:tab/>
      </w:r>
      <w:r w:rsidRPr="00AD21FF">
        <w:rPr>
          <w:noProof/>
        </w:rPr>
        <w:t>In order</w:t>
      </w:r>
      <w:r>
        <w:rPr>
          <w:noProof/>
        </w:rPr>
        <w:t xml:space="preserve"> to</w:t>
      </w:r>
      <w:r w:rsidRPr="00AD21FF">
        <w:rPr>
          <w:noProof/>
        </w:rPr>
        <w:t xml:space="preserve"> </w:t>
      </w:r>
      <w:r>
        <w:rPr>
          <w:noProof/>
        </w:rPr>
        <w:t xml:space="preserve">ensure Union participation in large foreign direct investments originating from third countries having a significant global position, </w:t>
      </w:r>
      <w:r w:rsidRPr="00AD21FF">
        <w:rPr>
          <w:noProof/>
        </w:rPr>
        <w:t xml:space="preserve">this Regulation should establish limits on the extent of ownership and control that foreign investors </w:t>
      </w:r>
      <w:r>
        <w:rPr>
          <w:noProof/>
        </w:rPr>
        <w:t>can</w:t>
      </w:r>
      <w:r w:rsidRPr="00AD21FF">
        <w:rPr>
          <w:noProof/>
        </w:rPr>
        <w:t xml:space="preserve"> acquire in Union undertakings and assets. Accordingly, foreign investors should not, whether directly or indirectly, establish, acquire, hold, or exercise ownership interests exceeding 49% of the share capital, voting rights, or equivalent ownership interests in any Union target, nor establish or obtain equivalent ownership, leasehold, or other rights conferring control over a Union asset.</w:t>
      </w:r>
    </w:p>
    <w:p w14:paraId="4EA4C918" w14:textId="77777777" w:rsidR="00BD6DCE" w:rsidRPr="00AD21FF" w:rsidRDefault="00BD6DCE" w:rsidP="00BD6DCE">
      <w:pPr>
        <w:pStyle w:val="ManualConsidrant"/>
        <w:rPr>
          <w:noProof/>
        </w:rPr>
      </w:pPr>
      <w:r>
        <w:rPr>
          <w:noProof/>
        </w:rPr>
        <w:t>(41)</w:t>
      </w:r>
      <w:r>
        <w:rPr>
          <w:noProof/>
        </w:rPr>
        <w:tab/>
      </w:r>
      <w:r w:rsidRPr="00AD21FF">
        <w:rPr>
          <w:noProof/>
        </w:rPr>
        <w:t>To ensure that foreign investors and Union entities cooperate in emerging strategic sectors while ensuring sufficient participation of Union partners, joint venture requirements should be prescribed</w:t>
      </w:r>
      <w:r>
        <w:rPr>
          <w:noProof/>
        </w:rPr>
        <w:t>, which should include contractual arrangements</w:t>
      </w:r>
      <w:r w:rsidRPr="00AD21FF">
        <w:rPr>
          <w:noProof/>
        </w:rPr>
        <w:t xml:space="preserve">. </w:t>
      </w:r>
      <w:r>
        <w:rPr>
          <w:noProof/>
        </w:rPr>
        <w:t>In the joint venture, the</w:t>
      </w:r>
      <w:r w:rsidRPr="00AD21FF">
        <w:rPr>
          <w:noProof/>
        </w:rPr>
        <w:t xml:space="preserve"> foreign investor should not </w:t>
      </w:r>
      <w:r>
        <w:rPr>
          <w:noProof/>
        </w:rPr>
        <w:t xml:space="preserve">hold more than 49 % </w:t>
      </w:r>
      <w:r w:rsidRPr="00AD21FF">
        <w:rPr>
          <w:noProof/>
        </w:rPr>
        <w:t>of the</w:t>
      </w:r>
      <w:r>
        <w:rPr>
          <w:noProof/>
        </w:rPr>
        <w:t xml:space="preserve"> share capital, voting rights, or equivalent ownership interests or other rights conferring control in any of the Union entities participating in the joint venture.</w:t>
      </w:r>
      <w:r w:rsidRPr="00AD21FF">
        <w:rPr>
          <w:noProof/>
        </w:rPr>
        <w:t xml:space="preserve"> Th</w:t>
      </w:r>
      <w:r>
        <w:rPr>
          <w:noProof/>
        </w:rPr>
        <w:t>at</w:t>
      </w:r>
      <w:r w:rsidRPr="00AD21FF">
        <w:rPr>
          <w:noProof/>
        </w:rPr>
        <w:t xml:space="preserve"> condition should also contribute to the strategic autonomy of the Union and ensure value added to the internal market.</w:t>
      </w:r>
    </w:p>
    <w:p w14:paraId="22C37C0E" w14:textId="77777777" w:rsidR="002970A5" w:rsidRPr="00AD21FF" w:rsidRDefault="002970A5" w:rsidP="002970A5">
      <w:pPr>
        <w:pStyle w:val="ManualConsidrant"/>
        <w:rPr>
          <w:noProof/>
          <w:lang w:eastAsia="en-GB"/>
        </w:rPr>
      </w:pPr>
      <w:r>
        <w:rPr>
          <w:noProof/>
        </w:rPr>
        <w:t>(42)</w:t>
      </w:r>
      <w:r>
        <w:rPr>
          <w:noProof/>
        </w:rPr>
        <w:tab/>
      </w:r>
      <w:r w:rsidRPr="00AD21FF">
        <w:rPr>
          <w:noProof/>
          <w:lang w:eastAsia="en-GB"/>
        </w:rPr>
        <w:t xml:space="preserve">It is necessary to assess, as part of the conditions </w:t>
      </w:r>
      <w:r>
        <w:rPr>
          <w:noProof/>
          <w:lang w:eastAsia="en-GB"/>
        </w:rPr>
        <w:t>for approval of</w:t>
      </w:r>
      <w:r w:rsidRPr="00AD21FF">
        <w:rPr>
          <w:noProof/>
          <w:lang w:eastAsia="en-GB"/>
        </w:rPr>
        <w:t xml:space="preserve"> a foreign direct investment, whether the transfer of technology </w:t>
      </w:r>
      <w:r>
        <w:rPr>
          <w:noProof/>
          <w:lang w:eastAsia="en-GB"/>
        </w:rPr>
        <w:t xml:space="preserve">can contribute to achieving </w:t>
      </w:r>
      <w:r w:rsidRPr="00AD21FF">
        <w:rPr>
          <w:noProof/>
          <w:lang w:eastAsia="en-GB"/>
        </w:rPr>
        <w:t xml:space="preserve">the objectives of this Regulation. </w:t>
      </w:r>
      <w:r w:rsidRPr="54487596">
        <w:rPr>
          <w:noProof/>
          <w:lang w:eastAsia="en-GB"/>
        </w:rPr>
        <w:t>To that end</w:t>
      </w:r>
      <w:r w:rsidRPr="00AD21FF">
        <w:rPr>
          <w:noProof/>
          <w:lang w:eastAsia="en-GB"/>
        </w:rPr>
        <w:t xml:space="preserve">, the foreign investors </w:t>
      </w:r>
      <w:r w:rsidRPr="2A7A4121">
        <w:rPr>
          <w:noProof/>
          <w:lang w:eastAsia="en-GB"/>
        </w:rPr>
        <w:t>shou</w:t>
      </w:r>
      <w:r w:rsidRPr="0D3F85E3">
        <w:rPr>
          <w:noProof/>
          <w:lang w:eastAsia="en-GB"/>
        </w:rPr>
        <w:t>ld</w:t>
      </w:r>
      <w:r w:rsidRPr="00AD21FF">
        <w:rPr>
          <w:noProof/>
          <w:lang w:eastAsia="en-GB"/>
        </w:rPr>
        <w:t xml:space="preserve"> </w:t>
      </w:r>
      <w:r>
        <w:rPr>
          <w:noProof/>
          <w:lang w:eastAsia="en-GB"/>
        </w:rPr>
        <w:t>be encouraged to</w:t>
      </w:r>
      <w:r w:rsidRPr="00AD21FF">
        <w:rPr>
          <w:noProof/>
          <w:lang w:eastAsia="en-GB"/>
        </w:rPr>
        <w:t xml:space="preserve"> license to the Union Target, the joint venture or the legal entity acquiring or owning the Union asset the relevant intellectual property rights,</w:t>
      </w:r>
      <w:r w:rsidRPr="00AD21FF">
        <w:rPr>
          <w:noProof/>
        </w:rPr>
        <w:t xml:space="preserve"> and </w:t>
      </w:r>
      <w:r w:rsidRPr="00AD21FF">
        <w:rPr>
          <w:noProof/>
          <w:lang w:eastAsia="en-GB"/>
        </w:rPr>
        <w:t xml:space="preserve">know-how, </w:t>
      </w:r>
      <w:r>
        <w:rPr>
          <w:noProof/>
          <w:lang w:eastAsia="en-GB"/>
        </w:rPr>
        <w:t xml:space="preserve">which are </w:t>
      </w:r>
      <w:r w:rsidRPr="00AD21FF">
        <w:rPr>
          <w:noProof/>
          <w:lang w:eastAsia="en-GB"/>
        </w:rPr>
        <w:t xml:space="preserve">necessary for carrying out the concerned economic activity in the context of the foreign direct investment. Appropriate intellectual property licensing agreement(s) should therefore be </w:t>
      </w:r>
      <w:r>
        <w:rPr>
          <w:noProof/>
          <w:lang w:eastAsia="en-GB"/>
        </w:rPr>
        <w:t>granted</w:t>
      </w:r>
      <w:r w:rsidRPr="00AD21FF">
        <w:rPr>
          <w:noProof/>
          <w:lang w:eastAsia="en-GB"/>
        </w:rPr>
        <w:t xml:space="preserve"> by the foreign investor to the Union Target, the joint venture or the legal entity acquiring or owning the Union asset. The scope and conditions of these agreements, such as the exact IP rights concerned, the exclusive nature of the license, the duration of the license or confidentiality-preserving measures, should be appropriate to the circumstances and to the objective pursued under this Regulation and the relevant investment. The foreign investor should </w:t>
      </w:r>
      <w:r>
        <w:rPr>
          <w:noProof/>
          <w:lang w:eastAsia="en-GB"/>
        </w:rPr>
        <w:t>commit to granting</w:t>
      </w:r>
      <w:r w:rsidRPr="00AD21FF">
        <w:rPr>
          <w:noProof/>
          <w:lang w:eastAsia="en-GB"/>
        </w:rPr>
        <w:t xml:space="preserve"> the appropriate </w:t>
      </w:r>
      <w:r w:rsidRPr="4C7A478E">
        <w:rPr>
          <w:noProof/>
          <w:lang w:eastAsia="en-GB"/>
        </w:rPr>
        <w:t>licens</w:t>
      </w:r>
      <w:r>
        <w:rPr>
          <w:noProof/>
          <w:lang w:eastAsia="en-GB"/>
        </w:rPr>
        <w:t>es</w:t>
      </w:r>
      <w:r w:rsidRPr="00AD21FF">
        <w:rPr>
          <w:noProof/>
          <w:lang w:eastAsia="en-GB"/>
        </w:rPr>
        <w:t xml:space="preserve"> of intellectual property rights and </w:t>
      </w:r>
      <w:r>
        <w:rPr>
          <w:noProof/>
          <w:lang w:eastAsia="en-GB"/>
        </w:rPr>
        <w:t>relevant</w:t>
      </w:r>
      <w:r w:rsidRPr="00AD21FF">
        <w:rPr>
          <w:noProof/>
          <w:lang w:eastAsia="en-GB"/>
        </w:rPr>
        <w:t xml:space="preserve"> know-how</w:t>
      </w:r>
      <w:r>
        <w:rPr>
          <w:noProof/>
          <w:lang w:eastAsia="en-GB"/>
        </w:rPr>
        <w:t xml:space="preserve"> they hold, as required for the economic activity concerned</w:t>
      </w:r>
      <w:r w:rsidRPr="4C7A478E">
        <w:rPr>
          <w:noProof/>
          <w:lang w:eastAsia="en-GB"/>
        </w:rPr>
        <w:t>.</w:t>
      </w:r>
      <w:r w:rsidRPr="00AD21FF">
        <w:rPr>
          <w:noProof/>
          <w:lang w:eastAsia="en-GB"/>
        </w:rPr>
        <w:t xml:space="preserve"> </w:t>
      </w:r>
      <w:r w:rsidRPr="571F0EB6">
        <w:rPr>
          <w:noProof/>
          <w:lang w:eastAsia="en-GB"/>
        </w:rPr>
        <w:t>That</w:t>
      </w:r>
      <w:r w:rsidRPr="00AD21FF">
        <w:rPr>
          <w:noProof/>
          <w:lang w:eastAsia="en-GB"/>
        </w:rPr>
        <w:t xml:space="preserve"> could be achieved by providing a description of the main aspects of the </w:t>
      </w:r>
      <w:r>
        <w:rPr>
          <w:noProof/>
          <w:lang w:eastAsia="en-GB"/>
        </w:rPr>
        <w:t xml:space="preserve">possible </w:t>
      </w:r>
      <w:r w:rsidRPr="00AD21FF">
        <w:rPr>
          <w:noProof/>
          <w:lang w:eastAsia="en-GB"/>
        </w:rPr>
        <w:t xml:space="preserve">licensing agreements, on a confidential basis, with the </w:t>
      </w:r>
      <w:r>
        <w:rPr>
          <w:noProof/>
          <w:lang w:eastAsia="en-GB"/>
        </w:rPr>
        <w:t>Investment</w:t>
      </w:r>
      <w:r w:rsidRPr="00AD21FF">
        <w:rPr>
          <w:noProof/>
          <w:lang w:eastAsia="en-GB"/>
        </w:rPr>
        <w:t xml:space="preserve"> Authority. </w:t>
      </w:r>
    </w:p>
    <w:p w14:paraId="407AF2DD" w14:textId="77777777" w:rsidR="00B23782" w:rsidRPr="00AD21FF" w:rsidRDefault="00B23782" w:rsidP="00B23782">
      <w:pPr>
        <w:pStyle w:val="ManualConsidrant"/>
        <w:rPr>
          <w:noProof/>
          <w:lang w:eastAsia="en-GB"/>
        </w:rPr>
      </w:pPr>
      <w:r>
        <w:rPr>
          <w:noProof/>
        </w:rPr>
        <w:t>(43)</w:t>
      </w:r>
      <w:r>
        <w:rPr>
          <w:noProof/>
        </w:rPr>
        <w:tab/>
      </w:r>
      <w:r w:rsidRPr="00AD21FF">
        <w:rPr>
          <w:noProof/>
          <w:lang w:eastAsia="en-GB"/>
        </w:rPr>
        <w:t xml:space="preserve">Where the Union Target or the legal entity acquiring or owning the Union asset </w:t>
      </w:r>
      <w:r>
        <w:rPr>
          <w:noProof/>
          <w:lang w:eastAsia="en-GB"/>
        </w:rPr>
        <w:t>owns intellectual property rights in</w:t>
      </w:r>
      <w:r w:rsidRPr="4C7A478E">
        <w:rPr>
          <w:noProof/>
          <w:lang w:eastAsia="en-GB"/>
        </w:rPr>
        <w:t xml:space="preserve"> </w:t>
      </w:r>
      <w:r w:rsidRPr="00AD21FF">
        <w:rPr>
          <w:noProof/>
          <w:lang w:eastAsia="en-GB"/>
        </w:rPr>
        <w:t>an invention, a work or any other asset subject to intellectual property protection</w:t>
      </w:r>
      <w:r>
        <w:rPr>
          <w:noProof/>
          <w:lang w:eastAsia="en-GB"/>
        </w:rPr>
        <w:t xml:space="preserve"> prior to the foreign investment</w:t>
      </w:r>
      <w:r w:rsidRPr="00AD21FF">
        <w:rPr>
          <w:noProof/>
          <w:lang w:eastAsia="en-GB"/>
        </w:rPr>
        <w:t xml:space="preserve">, </w:t>
      </w:r>
      <w:r>
        <w:rPr>
          <w:noProof/>
          <w:lang w:eastAsia="en-GB"/>
        </w:rPr>
        <w:t>those</w:t>
      </w:r>
      <w:r w:rsidRPr="00AD21FF">
        <w:rPr>
          <w:noProof/>
          <w:lang w:eastAsia="en-GB"/>
        </w:rPr>
        <w:t xml:space="preserve"> intellectual property rights should fully and exclusively </w:t>
      </w:r>
      <w:r>
        <w:rPr>
          <w:noProof/>
          <w:lang w:eastAsia="en-GB"/>
        </w:rPr>
        <w:t>remain under the control of</w:t>
      </w:r>
      <w:r w:rsidRPr="00AD21FF">
        <w:rPr>
          <w:noProof/>
          <w:lang w:eastAsia="en-GB"/>
        </w:rPr>
        <w:t xml:space="preserve"> the Union Target or the legal entity acquiring or owning the Union asset. The foreign investor should not claim any intellectual property right nor undertake any activity that would affect the ability of the Union Target or the legal entity acquiring or owning the Union asset to </w:t>
      </w:r>
      <w:r>
        <w:rPr>
          <w:noProof/>
          <w:lang w:eastAsia="en-GB"/>
        </w:rPr>
        <w:t>own and exercise the</w:t>
      </w:r>
      <w:r w:rsidRPr="4C7A478E">
        <w:rPr>
          <w:noProof/>
          <w:lang w:eastAsia="en-GB"/>
        </w:rPr>
        <w:t xml:space="preserve"> </w:t>
      </w:r>
      <w:r w:rsidRPr="00AD21FF">
        <w:rPr>
          <w:noProof/>
          <w:lang w:eastAsia="en-GB"/>
        </w:rPr>
        <w:t xml:space="preserve">intellectual property rights on </w:t>
      </w:r>
      <w:r>
        <w:rPr>
          <w:noProof/>
          <w:lang w:eastAsia="en-GB"/>
        </w:rPr>
        <w:t>their</w:t>
      </w:r>
      <w:r w:rsidRPr="4C7A478E">
        <w:rPr>
          <w:noProof/>
          <w:lang w:eastAsia="en-GB"/>
        </w:rPr>
        <w:t xml:space="preserve"> </w:t>
      </w:r>
      <w:r w:rsidRPr="00AD21FF">
        <w:rPr>
          <w:noProof/>
          <w:lang w:eastAsia="en-GB"/>
        </w:rPr>
        <w:t>inventions, works, trademarks, designs or any other relevant asset</w:t>
      </w:r>
      <w:r>
        <w:rPr>
          <w:noProof/>
          <w:lang w:eastAsia="en-GB"/>
        </w:rPr>
        <w:t xml:space="preserve"> obtained prior to the foreign investment</w:t>
      </w:r>
      <w:r w:rsidRPr="4C7A478E">
        <w:rPr>
          <w:noProof/>
          <w:lang w:eastAsia="en-GB"/>
        </w:rPr>
        <w:t>.</w:t>
      </w:r>
      <w:r w:rsidRPr="00AD21FF">
        <w:rPr>
          <w:noProof/>
          <w:lang w:eastAsia="en-GB"/>
        </w:rPr>
        <w:t xml:space="preserve"> </w:t>
      </w:r>
      <w:r w:rsidRPr="740E27A0">
        <w:rPr>
          <w:noProof/>
          <w:lang w:eastAsia="en-GB"/>
        </w:rPr>
        <w:t>Where</w:t>
      </w:r>
      <w:r w:rsidRPr="00AD21FF">
        <w:rPr>
          <w:noProof/>
          <w:lang w:eastAsia="en-GB"/>
        </w:rPr>
        <w:t xml:space="preserve"> an invention, a work or any other asset subject to intellectual property protection is the result of a collaborative work between the Union Target or the legal entity acquiring or owning the Union asset and the foreign investor or as a result of the joint venture, the intellectual property rights should be owned jointly by the foreign investor, the Union Target or the legal entity acquiring or owning the Union asset, depending on the circumstances. The conditions accompanying the co-ownership of intellectual property rights should, to the extent possible, be defined and communicated to the </w:t>
      </w:r>
      <w:r>
        <w:rPr>
          <w:noProof/>
          <w:lang w:eastAsia="en-GB"/>
        </w:rPr>
        <w:t>Investment</w:t>
      </w:r>
      <w:r w:rsidRPr="00AD21FF">
        <w:rPr>
          <w:noProof/>
          <w:lang w:eastAsia="en-GB"/>
        </w:rPr>
        <w:t xml:space="preserve"> Authority, ahead of the approval of the foreign direct investment. These conditions should include clarifications as to the possibility for one co-owner to grant a licence and start infringement procedures as well as the financial agreements as regards the filing and registration of intellectual property rights and licensing agreements. In the case of a joint venture</w:t>
      </w:r>
      <w:r>
        <w:rPr>
          <w:noProof/>
          <w:lang w:eastAsia="en-GB"/>
        </w:rPr>
        <w:t xml:space="preserve"> without a legal personality</w:t>
      </w:r>
      <w:r w:rsidRPr="00AD21FF">
        <w:rPr>
          <w:noProof/>
          <w:lang w:eastAsia="en-GB"/>
        </w:rPr>
        <w:t xml:space="preserve">, clarifications should be provided to the </w:t>
      </w:r>
      <w:r>
        <w:rPr>
          <w:noProof/>
          <w:lang w:eastAsia="en-GB"/>
        </w:rPr>
        <w:t>Investment</w:t>
      </w:r>
      <w:r w:rsidRPr="00AD21FF">
        <w:rPr>
          <w:noProof/>
          <w:lang w:eastAsia="en-GB"/>
        </w:rPr>
        <w:t xml:space="preserve"> Authority </w:t>
      </w:r>
      <w:r>
        <w:rPr>
          <w:noProof/>
          <w:lang w:eastAsia="en-GB"/>
        </w:rPr>
        <w:t xml:space="preserve">regarding the ownership </w:t>
      </w:r>
      <w:r w:rsidRPr="00AD21FF">
        <w:rPr>
          <w:noProof/>
          <w:lang w:eastAsia="en-GB"/>
        </w:rPr>
        <w:t>of intellectual property.</w:t>
      </w:r>
    </w:p>
    <w:p w14:paraId="47C3D097" w14:textId="77777777" w:rsidR="00BF3A9F" w:rsidRDefault="00B23782" w:rsidP="00B23782">
      <w:pPr>
        <w:pStyle w:val="ManualConsidrant"/>
        <w:rPr>
          <w:rFonts w:ascii="Times" w:eastAsia="Times New Roman" w:hAnsi="Times" w:cs="Times"/>
          <w:noProof/>
          <w:lang w:eastAsia="en-GB"/>
        </w:rPr>
      </w:pPr>
      <w:r>
        <w:rPr>
          <w:noProof/>
        </w:rPr>
        <w:t>(44)</w:t>
      </w:r>
      <w:r>
        <w:rPr>
          <w:noProof/>
        </w:rPr>
        <w:tab/>
        <w:t xml:space="preserve">It is necessary to ensure </w:t>
      </w:r>
      <w:r w:rsidRPr="00AD21FF">
        <w:rPr>
          <w:noProof/>
        </w:rPr>
        <w:t xml:space="preserve">that the </w:t>
      </w:r>
      <w:r>
        <w:rPr>
          <w:noProof/>
        </w:rPr>
        <w:t xml:space="preserve">foreign </w:t>
      </w:r>
      <w:r w:rsidRPr="00AD21FF">
        <w:rPr>
          <w:noProof/>
        </w:rPr>
        <w:t>investors’ expertise</w:t>
      </w:r>
      <w:r>
        <w:rPr>
          <w:noProof/>
        </w:rPr>
        <w:t xml:space="preserve"> of the large foreign direct investment under the scope of this Regulation</w:t>
      </w:r>
      <w:r w:rsidRPr="00AD21FF">
        <w:rPr>
          <w:noProof/>
        </w:rPr>
        <w:t xml:space="preserve"> should </w:t>
      </w:r>
      <w:r>
        <w:rPr>
          <w:noProof/>
        </w:rPr>
        <w:t xml:space="preserve">contribute to </w:t>
      </w:r>
      <w:r w:rsidRPr="00AD21FF">
        <w:rPr>
          <w:noProof/>
        </w:rPr>
        <w:t xml:space="preserve">enhancing </w:t>
      </w:r>
      <w:r>
        <w:rPr>
          <w:noProof/>
        </w:rPr>
        <w:t xml:space="preserve">the Union’s </w:t>
      </w:r>
      <w:r w:rsidRPr="00AD21FF">
        <w:rPr>
          <w:noProof/>
        </w:rPr>
        <w:t xml:space="preserve">technological development both within and outside the Union Target, the joint venture or the </w:t>
      </w:r>
      <w:r w:rsidRPr="00AD21FF">
        <w:rPr>
          <w:rFonts w:ascii="Times" w:eastAsia="Times New Roman" w:hAnsi="Times" w:cs="Times"/>
          <w:noProof/>
          <w:lang w:eastAsia="en-GB"/>
        </w:rPr>
        <w:t>legal entity acquiring or owning the Union asset</w:t>
      </w:r>
      <w:r w:rsidRPr="00AD21FF">
        <w:rPr>
          <w:noProof/>
        </w:rPr>
        <w:t>. To that end, foreign investors should invest in research and development projects to be executed within the Union</w:t>
      </w:r>
      <w:r>
        <w:rPr>
          <w:noProof/>
        </w:rPr>
        <w:t xml:space="preserve"> while</w:t>
      </w:r>
      <w:r w:rsidRPr="006A0FC3">
        <w:rPr>
          <w:noProof/>
        </w:rPr>
        <w:t xml:space="preserve"> ensuring that the Union will benefit from the results produced</w:t>
      </w:r>
      <w:r w:rsidRPr="00AD21FF">
        <w:rPr>
          <w:noProof/>
        </w:rPr>
        <w:t xml:space="preserve">. </w:t>
      </w:r>
      <w:r w:rsidRPr="00AD21FF">
        <w:rPr>
          <w:rFonts w:ascii="Times" w:eastAsia="Times New Roman" w:hAnsi="Times" w:cs="Times"/>
          <w:noProof/>
          <w:lang w:eastAsia="en-GB"/>
        </w:rPr>
        <w:t xml:space="preserve">It is therefore necessary to assess, as part of the conditions to be considered for having a foreign direct investment approved, whether the </w:t>
      </w:r>
      <w:r w:rsidRPr="00AD21FF">
        <w:rPr>
          <w:noProof/>
        </w:rPr>
        <w:t xml:space="preserve">foreign </w:t>
      </w:r>
      <w:r w:rsidRPr="00FE4794">
        <w:rPr>
          <w:noProof/>
        </w:rPr>
        <w:t xml:space="preserve">investors’ research and development investments are </w:t>
      </w:r>
      <w:r w:rsidRPr="00FE4794">
        <w:rPr>
          <w:rFonts w:ascii="Times" w:eastAsia="Times New Roman" w:hAnsi="Times" w:cs="Times"/>
          <w:noProof/>
          <w:lang w:eastAsia="en-GB"/>
        </w:rPr>
        <w:t>adequate to achieve that objective</w:t>
      </w:r>
      <w:r w:rsidRPr="00FE4794">
        <w:rPr>
          <w:noProof/>
        </w:rPr>
        <w:t>. Such</w:t>
      </w:r>
      <w:r w:rsidRPr="00EB2CC3">
        <w:rPr>
          <w:noProof/>
        </w:rPr>
        <w:t xml:space="preserve"> investments </w:t>
      </w:r>
      <w:r>
        <w:rPr>
          <w:noProof/>
        </w:rPr>
        <w:t xml:space="preserve">could be directed </w:t>
      </w:r>
      <w:r w:rsidRPr="00EB2CC3">
        <w:rPr>
          <w:noProof/>
        </w:rPr>
        <w:t xml:space="preserve">to </w:t>
      </w:r>
      <w:r>
        <w:rPr>
          <w:noProof/>
        </w:rPr>
        <w:t>the benefit of</w:t>
      </w:r>
      <w:r w:rsidRPr="00EB2CC3">
        <w:rPr>
          <w:noProof/>
        </w:rPr>
        <w:t xml:space="preserve"> research institutions</w:t>
      </w:r>
      <w:r>
        <w:rPr>
          <w:noProof/>
        </w:rPr>
        <w:t xml:space="preserve"> established in the Union</w:t>
      </w:r>
      <w:r w:rsidRPr="00EB2CC3">
        <w:rPr>
          <w:noProof/>
        </w:rPr>
        <w:t>, including in</w:t>
      </w:r>
      <w:r>
        <w:rPr>
          <w:noProof/>
        </w:rPr>
        <w:t xml:space="preserve"> the context of</w:t>
      </w:r>
      <w:r w:rsidRPr="00EB2CC3">
        <w:rPr>
          <w:noProof/>
        </w:rPr>
        <w:t xml:space="preserve"> joint projects </w:t>
      </w:r>
      <w:r>
        <w:rPr>
          <w:noProof/>
        </w:rPr>
        <w:t>with</w:t>
      </w:r>
      <w:r w:rsidRPr="00EB2CC3">
        <w:rPr>
          <w:noProof/>
        </w:rPr>
        <w:t xml:space="preserve"> the </w:t>
      </w:r>
      <w:r>
        <w:rPr>
          <w:noProof/>
        </w:rPr>
        <w:t>Union</w:t>
      </w:r>
      <w:r w:rsidRPr="00EB2CC3">
        <w:rPr>
          <w:noProof/>
        </w:rPr>
        <w:t xml:space="preserve"> </w:t>
      </w:r>
      <w:r>
        <w:rPr>
          <w:noProof/>
        </w:rPr>
        <w:t>T</w:t>
      </w:r>
      <w:r w:rsidRPr="00EB2CC3">
        <w:rPr>
          <w:noProof/>
        </w:rPr>
        <w:t>arget</w:t>
      </w:r>
      <w:r>
        <w:rPr>
          <w:noProof/>
        </w:rPr>
        <w:t xml:space="preserve">, the joint venture or the </w:t>
      </w:r>
      <w:r w:rsidRPr="00F407A4">
        <w:rPr>
          <w:rFonts w:ascii="Times" w:eastAsia="Times New Roman" w:hAnsi="Times" w:cs="Times"/>
          <w:noProof/>
          <w:lang w:eastAsia="en-GB"/>
        </w:rPr>
        <w:t>legal entity acquiring or owning the Union asset</w:t>
      </w:r>
      <w:r>
        <w:rPr>
          <w:noProof/>
        </w:rPr>
        <w:t>. Those</w:t>
      </w:r>
      <w:r w:rsidRPr="00EB2CC3">
        <w:rPr>
          <w:noProof/>
        </w:rPr>
        <w:t xml:space="preserve"> investments </w:t>
      </w:r>
      <w:r>
        <w:rPr>
          <w:noProof/>
        </w:rPr>
        <w:t>could also</w:t>
      </w:r>
      <w:r w:rsidRPr="00EB2CC3">
        <w:rPr>
          <w:noProof/>
        </w:rPr>
        <w:t xml:space="preserve"> be made within the </w:t>
      </w:r>
      <w:r>
        <w:rPr>
          <w:noProof/>
        </w:rPr>
        <w:t>Union</w:t>
      </w:r>
      <w:r w:rsidRPr="00EB2CC3">
        <w:rPr>
          <w:noProof/>
        </w:rPr>
        <w:t xml:space="preserve"> target</w:t>
      </w:r>
      <w:r>
        <w:rPr>
          <w:noProof/>
        </w:rPr>
        <w:t xml:space="preserve">, the joint venture or the </w:t>
      </w:r>
      <w:r w:rsidRPr="00F407A4">
        <w:rPr>
          <w:rFonts w:ascii="Times" w:eastAsia="Times New Roman" w:hAnsi="Times" w:cs="Times"/>
          <w:noProof/>
          <w:lang w:eastAsia="en-GB"/>
        </w:rPr>
        <w:t>legal entity acquiring or owning the Union asset</w:t>
      </w:r>
      <w:r w:rsidRPr="00EB2CC3">
        <w:rPr>
          <w:noProof/>
        </w:rPr>
        <w:t xml:space="preserve">, for developing or executing specific research and development activities. These </w:t>
      </w:r>
      <w:r>
        <w:rPr>
          <w:noProof/>
        </w:rPr>
        <w:t>investments could also consist in the</w:t>
      </w:r>
      <w:r w:rsidRPr="00EB2CC3">
        <w:rPr>
          <w:noProof/>
        </w:rPr>
        <w:t xml:space="preserve"> training </w:t>
      </w:r>
      <w:r>
        <w:rPr>
          <w:noProof/>
        </w:rPr>
        <w:t>of Union</w:t>
      </w:r>
      <w:r w:rsidRPr="00EB2CC3">
        <w:rPr>
          <w:noProof/>
        </w:rPr>
        <w:t xml:space="preserve"> workers</w:t>
      </w:r>
      <w:r>
        <w:rPr>
          <w:noProof/>
        </w:rPr>
        <w:t>, or</w:t>
      </w:r>
      <w:r w:rsidRPr="00EB2CC3">
        <w:rPr>
          <w:noProof/>
        </w:rPr>
        <w:t xml:space="preserve"> direct or indirect financial support to research and </w:t>
      </w:r>
      <w:r w:rsidRPr="0036120D">
        <w:rPr>
          <w:noProof/>
        </w:rPr>
        <w:t xml:space="preserve">development projects within the Union Target, the joint venture or the </w:t>
      </w:r>
      <w:r w:rsidRPr="0036120D">
        <w:rPr>
          <w:rFonts w:ascii="Times" w:eastAsia="Times New Roman" w:hAnsi="Times" w:cs="Times"/>
          <w:noProof/>
          <w:lang w:eastAsia="en-GB"/>
        </w:rPr>
        <w:t>legal entity acquiring or owning the Union asset</w:t>
      </w:r>
      <w:r w:rsidRPr="0036120D">
        <w:rPr>
          <w:noProof/>
        </w:rPr>
        <w:t>. Any assessment performed in relation to investments in research and development projects to be executed within the Union should be without prejudice to Union competition law instruments, including Regulations (EU) 2022/2560 and (EC) No 139/2004.</w:t>
      </w:r>
    </w:p>
    <w:p w14:paraId="3E26158F" w14:textId="77777777" w:rsidR="00B23782" w:rsidRPr="00AD21FF" w:rsidRDefault="00B23782" w:rsidP="00B23782">
      <w:pPr>
        <w:pStyle w:val="ManualConsidrant"/>
        <w:rPr>
          <w:noProof/>
        </w:rPr>
      </w:pPr>
      <w:r>
        <w:rPr>
          <w:noProof/>
        </w:rPr>
        <w:t>(45)</w:t>
      </w:r>
      <w:r>
        <w:rPr>
          <w:noProof/>
        </w:rPr>
        <w:tab/>
      </w:r>
      <w:r w:rsidRPr="00AD21FF">
        <w:rPr>
          <w:noProof/>
        </w:rPr>
        <w:t>To promote sustainable integration of investments by foreign entities to the internal market</w:t>
      </w:r>
      <w:r w:rsidRPr="00AD21FF" w:rsidDel="00FD77D8">
        <w:rPr>
          <w:noProof/>
        </w:rPr>
        <w:t xml:space="preserve"> </w:t>
      </w:r>
      <w:r w:rsidRPr="00AD21FF">
        <w:rPr>
          <w:noProof/>
        </w:rPr>
        <w:t xml:space="preserve">and the development of skills in emerging strategic sectors, and to ensure meaningful social contribution at the place of the investment, such investments </w:t>
      </w:r>
      <w:r>
        <w:rPr>
          <w:noProof/>
        </w:rPr>
        <w:t xml:space="preserve">should </w:t>
      </w:r>
      <w:r w:rsidRPr="00AD21FF">
        <w:rPr>
          <w:noProof/>
        </w:rPr>
        <w:t xml:space="preserve">employ a proportion of Union workers and </w:t>
      </w:r>
      <w:r>
        <w:rPr>
          <w:noProof/>
        </w:rPr>
        <w:t>should provide</w:t>
      </w:r>
      <w:r w:rsidRPr="00AD21FF">
        <w:rPr>
          <w:noProof/>
        </w:rPr>
        <w:t xml:space="preserve"> appropriate training and capacity-building measures, involving education and training providers, as well as social partners. The foreign investor should ensure that the thresholds established in this Regulation are fulfilled across all categories of workforce, including the operational, technical, supervisory, and managerial positions. </w:t>
      </w:r>
    </w:p>
    <w:p w14:paraId="5615ED95" w14:textId="77777777" w:rsidR="00B23782" w:rsidRPr="00AD21FF" w:rsidRDefault="00B23782" w:rsidP="00B23782">
      <w:pPr>
        <w:pStyle w:val="ManualConsidrant"/>
        <w:rPr>
          <w:noProof/>
        </w:rPr>
      </w:pPr>
      <w:r>
        <w:rPr>
          <w:noProof/>
        </w:rPr>
        <w:t>(46)</w:t>
      </w:r>
      <w:r>
        <w:rPr>
          <w:noProof/>
        </w:rPr>
        <w:tab/>
      </w:r>
      <w:r w:rsidRPr="00AD21FF">
        <w:rPr>
          <w:noProof/>
        </w:rPr>
        <w:t xml:space="preserve">To strengthen the industrial capacity of emerging strategic sectors and to integrate foreign direct investment into the Union’s industrial ecosystem, </w:t>
      </w:r>
      <w:r>
        <w:rPr>
          <w:noProof/>
        </w:rPr>
        <w:t xml:space="preserve">a certain share of </w:t>
      </w:r>
      <w:r w:rsidRPr="00AD21FF">
        <w:rPr>
          <w:noProof/>
        </w:rPr>
        <w:t xml:space="preserve">inputs manufactured in the Union </w:t>
      </w:r>
      <w:r>
        <w:rPr>
          <w:noProof/>
        </w:rPr>
        <w:t>should be</w:t>
      </w:r>
      <w:r w:rsidRPr="00AD21FF">
        <w:rPr>
          <w:noProof/>
        </w:rPr>
        <w:t xml:space="preserve"> included in products placed on the Union market by such investments. </w:t>
      </w:r>
    </w:p>
    <w:p w14:paraId="224856C8" w14:textId="77777777" w:rsidR="009C5B57" w:rsidRPr="00AD21FF" w:rsidRDefault="009C5B57" w:rsidP="009C5B57">
      <w:pPr>
        <w:pStyle w:val="ManualConsidrant"/>
        <w:rPr>
          <w:noProof/>
        </w:rPr>
      </w:pPr>
      <w:r>
        <w:rPr>
          <w:noProof/>
        </w:rPr>
        <w:t>(47)</w:t>
      </w:r>
      <w:r>
        <w:rPr>
          <w:noProof/>
        </w:rPr>
        <w:tab/>
      </w:r>
      <w:r w:rsidRPr="00AD21FF">
        <w:rPr>
          <w:noProof/>
        </w:rPr>
        <w:t xml:space="preserve">In order to ensure that foreign direct investments fulfil </w:t>
      </w:r>
      <w:r>
        <w:rPr>
          <w:noProof/>
        </w:rPr>
        <w:t xml:space="preserve">at least 4 of the 6 </w:t>
      </w:r>
      <w:r w:rsidRPr="00AD21FF">
        <w:rPr>
          <w:noProof/>
        </w:rPr>
        <w:t xml:space="preserve">conditions established by this Regulation, the </w:t>
      </w:r>
      <w:r>
        <w:rPr>
          <w:noProof/>
        </w:rPr>
        <w:t xml:space="preserve">competent </w:t>
      </w:r>
      <w:r w:rsidRPr="00AD21FF">
        <w:rPr>
          <w:noProof/>
        </w:rPr>
        <w:t>Investment Authority should examine each notification and issue a reasoned decision on its approval or rejection. Investment Authorities should establish the fulfilment of the conditions, or as appropriate, the intent of the foreign investor to comply with the conditions. Such investments should not be implemented without the explicit approval of the Investment Authority. Accordingly, foreign investors should comply with a set of conditions before starting their economic activity</w:t>
      </w:r>
      <w:r>
        <w:rPr>
          <w:noProof/>
        </w:rPr>
        <w:t xml:space="preserve"> regarding the relevant foreign direct investment</w:t>
      </w:r>
      <w:r w:rsidRPr="00AD21FF">
        <w:rPr>
          <w:noProof/>
        </w:rPr>
        <w:t xml:space="preserve">. </w:t>
      </w:r>
      <w:r>
        <w:rPr>
          <w:noProof/>
        </w:rPr>
        <w:t xml:space="preserve">Investment Authorities should decide </w:t>
      </w:r>
      <w:r w:rsidRPr="00AD21FF">
        <w:rPr>
          <w:noProof/>
        </w:rPr>
        <w:t xml:space="preserve">in a timeframe ensuring both procedural efficiency and legal certainty. Where justified by the complexity of the case or the need for additional information, </w:t>
      </w:r>
      <w:r>
        <w:rPr>
          <w:noProof/>
        </w:rPr>
        <w:t>that timeframe</w:t>
      </w:r>
      <w:r w:rsidRPr="00AD21FF">
        <w:rPr>
          <w:noProof/>
        </w:rPr>
        <w:t xml:space="preserve"> </w:t>
      </w:r>
      <w:r>
        <w:rPr>
          <w:noProof/>
        </w:rPr>
        <w:t>could</w:t>
      </w:r>
      <w:r w:rsidRPr="00AD21FF">
        <w:rPr>
          <w:noProof/>
        </w:rPr>
        <w:t xml:space="preserve"> be extended, for </w:t>
      </w:r>
      <w:r>
        <w:rPr>
          <w:noProof/>
        </w:rPr>
        <w:t>justified and</w:t>
      </w:r>
      <w:r w:rsidRPr="00AD21FF">
        <w:rPr>
          <w:noProof/>
        </w:rPr>
        <w:t xml:space="preserve"> duly substantiated</w:t>
      </w:r>
      <w:r>
        <w:rPr>
          <w:noProof/>
        </w:rPr>
        <w:t xml:space="preserve"> reasons</w:t>
      </w:r>
      <w:r w:rsidRPr="00AD21FF">
        <w:rPr>
          <w:noProof/>
        </w:rPr>
        <w:t>.</w:t>
      </w:r>
    </w:p>
    <w:p w14:paraId="4C35EE7A" w14:textId="77777777" w:rsidR="00004A96" w:rsidRPr="00AD21FF" w:rsidRDefault="00004A96" w:rsidP="00004A96">
      <w:pPr>
        <w:pStyle w:val="ManualConsidrant"/>
        <w:rPr>
          <w:noProof/>
        </w:rPr>
      </w:pPr>
      <w:r>
        <w:rPr>
          <w:noProof/>
        </w:rPr>
        <w:t>(48)</w:t>
      </w:r>
      <w:r>
        <w:rPr>
          <w:noProof/>
        </w:rPr>
        <w:tab/>
      </w:r>
      <w:r w:rsidRPr="00AD21FF">
        <w:rPr>
          <w:noProof/>
        </w:rPr>
        <w:t xml:space="preserve">Member States should inform the Commission </w:t>
      </w:r>
      <w:r>
        <w:rPr>
          <w:noProof/>
        </w:rPr>
        <w:t>about</w:t>
      </w:r>
      <w:r w:rsidRPr="00AD21FF">
        <w:rPr>
          <w:noProof/>
        </w:rPr>
        <w:t xml:space="preserve"> notifications received to allow the Commission to effectively monitor the investment landscape and ensure a harmonised investment framework across the internal market. </w:t>
      </w:r>
    </w:p>
    <w:p w14:paraId="4C0AA486" w14:textId="77777777" w:rsidR="00B7763C" w:rsidRPr="00644EC8" w:rsidRDefault="00B7763C" w:rsidP="00B7763C">
      <w:pPr>
        <w:pStyle w:val="ManualConsidrant"/>
        <w:rPr>
          <w:rFonts w:ascii="Times" w:eastAsia="Calibri" w:hAnsi="Times" w:cs="Times"/>
          <w:noProof/>
        </w:rPr>
      </w:pPr>
      <w:r>
        <w:rPr>
          <w:noProof/>
        </w:rPr>
        <w:t>(49)</w:t>
      </w:r>
      <w:r>
        <w:rPr>
          <w:noProof/>
        </w:rPr>
        <w:tab/>
      </w:r>
      <w:r w:rsidRPr="00AD21FF">
        <w:rPr>
          <w:noProof/>
        </w:rPr>
        <w:t xml:space="preserve">In order to ensure the horizontal application of this Regulation </w:t>
      </w:r>
      <w:r>
        <w:rPr>
          <w:noProof/>
        </w:rPr>
        <w:t>in</w:t>
      </w:r>
      <w:r w:rsidRPr="00AD21FF">
        <w:rPr>
          <w:noProof/>
        </w:rPr>
        <w:t xml:space="preserve"> the internal market, the Commission should be </w:t>
      </w:r>
      <w:r>
        <w:rPr>
          <w:noProof/>
        </w:rPr>
        <w:t>able</w:t>
      </w:r>
      <w:r w:rsidRPr="00AD21FF">
        <w:rPr>
          <w:noProof/>
        </w:rPr>
        <w:t xml:space="preserve"> to provide an opinion on whether the investment fulfils the conditions set out in this Regulation. </w:t>
      </w:r>
      <w:r>
        <w:rPr>
          <w:noProof/>
        </w:rPr>
        <w:t>Such</w:t>
      </w:r>
      <w:r w:rsidRPr="00AD21FF">
        <w:rPr>
          <w:noProof/>
        </w:rPr>
        <w:t xml:space="preserve"> opinion </w:t>
      </w:r>
      <w:r>
        <w:rPr>
          <w:noProof/>
        </w:rPr>
        <w:t>should</w:t>
      </w:r>
      <w:r w:rsidRPr="00AD21FF">
        <w:rPr>
          <w:noProof/>
        </w:rPr>
        <w:t xml:space="preserve"> be made publicly available. If </w:t>
      </w:r>
      <w:r>
        <w:rPr>
          <w:noProof/>
        </w:rPr>
        <w:t>the Investment Authority intends to diverge from the Commission opinion in its decision, it should</w:t>
      </w:r>
      <w:r w:rsidRPr="00644EC8">
        <w:rPr>
          <w:noProof/>
          <w:lang w:val="en-IE"/>
        </w:rPr>
        <w:t xml:space="preserve"> extend the approval process for two additional months in order to properly assess the Commission's arguments. When taking a decision, Member States should justify how they took the Commission’s opinion into account. </w:t>
      </w:r>
    </w:p>
    <w:p w14:paraId="4F56793A" w14:textId="77777777" w:rsidR="00DA06CF" w:rsidRDefault="00DA06CF" w:rsidP="00DA06CF">
      <w:pPr>
        <w:pStyle w:val="ManualConsidrant"/>
        <w:rPr>
          <w:noProof/>
          <w:lang w:eastAsia="en-GB"/>
        </w:rPr>
      </w:pPr>
      <w:r>
        <w:rPr>
          <w:noProof/>
        </w:rPr>
        <w:t>(50)</w:t>
      </w:r>
      <w:r>
        <w:rPr>
          <w:noProof/>
        </w:rPr>
        <w:tab/>
      </w:r>
      <w:r w:rsidRPr="006D6C9E">
        <w:rPr>
          <w:noProof/>
          <w:lang w:eastAsia="en-GB"/>
        </w:rPr>
        <w:t xml:space="preserve">In order to ensure the horizontal application of this Regulation on the </w:t>
      </w:r>
      <w:r>
        <w:rPr>
          <w:noProof/>
          <w:lang w:eastAsia="en-GB"/>
        </w:rPr>
        <w:t>Single Market</w:t>
      </w:r>
      <w:r w:rsidRPr="006D6C9E">
        <w:rPr>
          <w:noProof/>
          <w:lang w:eastAsia="en-GB"/>
        </w:rPr>
        <w:t xml:space="preserve">, the Commission should </w:t>
      </w:r>
      <w:r>
        <w:rPr>
          <w:noProof/>
          <w:lang w:eastAsia="en-GB"/>
        </w:rPr>
        <w:t>be able</w:t>
      </w:r>
      <w:r w:rsidRPr="006D6C9E">
        <w:rPr>
          <w:noProof/>
          <w:lang w:eastAsia="en-GB"/>
        </w:rPr>
        <w:t xml:space="preserve"> to review foreign direct investments, based on its own initiative </w:t>
      </w:r>
      <w:r>
        <w:rPr>
          <w:noProof/>
          <w:lang w:eastAsia="en-GB"/>
        </w:rPr>
        <w:t>or on</w:t>
      </w:r>
      <w:r w:rsidRPr="006D6C9E">
        <w:rPr>
          <w:noProof/>
          <w:lang w:eastAsia="en-GB"/>
        </w:rPr>
        <w:t xml:space="preserve"> the initiative of a Member State affected by the foreign direct investment. </w:t>
      </w:r>
      <w:r>
        <w:rPr>
          <w:noProof/>
          <w:lang w:eastAsia="en-GB"/>
        </w:rPr>
        <w:t>That</w:t>
      </w:r>
      <w:r w:rsidRPr="006D6C9E">
        <w:rPr>
          <w:noProof/>
          <w:lang w:eastAsia="en-GB"/>
        </w:rPr>
        <w:t xml:space="preserve"> should be particularly the case for investments where several member states are impacted, as well as high value investments and investments with particular strategic importance for the Union due to their effect on the </w:t>
      </w:r>
      <w:r>
        <w:rPr>
          <w:noProof/>
          <w:lang w:eastAsia="en-GB"/>
        </w:rPr>
        <w:t>Single Market</w:t>
      </w:r>
      <w:r w:rsidRPr="006D6C9E">
        <w:rPr>
          <w:noProof/>
          <w:lang w:eastAsia="en-GB"/>
        </w:rPr>
        <w:t>.</w:t>
      </w:r>
    </w:p>
    <w:p w14:paraId="43758A06" w14:textId="77777777" w:rsidR="002660A9" w:rsidRDefault="002660A9" w:rsidP="002660A9">
      <w:pPr>
        <w:pStyle w:val="ManualConsidrant"/>
        <w:rPr>
          <w:noProof/>
        </w:rPr>
      </w:pPr>
      <w:r>
        <w:rPr>
          <w:noProof/>
        </w:rPr>
        <w:t>(51)</w:t>
      </w:r>
      <w:r>
        <w:rPr>
          <w:noProof/>
        </w:rPr>
        <w:tab/>
      </w:r>
      <w:r w:rsidRPr="00AD21FF">
        <w:rPr>
          <w:noProof/>
        </w:rPr>
        <w:t xml:space="preserve">The Investment Authorities should not only ensure compliance with the conditions at the time of </w:t>
      </w:r>
      <w:r>
        <w:rPr>
          <w:noProof/>
        </w:rPr>
        <w:t>the foreign direct investment’s</w:t>
      </w:r>
      <w:r w:rsidRPr="00AD21FF">
        <w:rPr>
          <w:noProof/>
        </w:rPr>
        <w:t xml:space="preserve"> notification, but also throughout its operation, as appropriate, to </w:t>
      </w:r>
      <w:r>
        <w:rPr>
          <w:noProof/>
        </w:rPr>
        <w:t>ensure</w:t>
      </w:r>
      <w:r w:rsidRPr="00AD21FF">
        <w:rPr>
          <w:noProof/>
        </w:rPr>
        <w:t xml:space="preserve"> that the benefits of the foreign direct investment are maximised on the internal market.</w:t>
      </w:r>
    </w:p>
    <w:p w14:paraId="0F3CEDDC" w14:textId="77777777" w:rsidR="002A08F1" w:rsidRPr="00BE6C35" w:rsidRDefault="002A08F1" w:rsidP="002A08F1">
      <w:pPr>
        <w:pStyle w:val="ManualConsidrant"/>
        <w:rPr>
          <w:noProof/>
        </w:rPr>
      </w:pPr>
      <w:r>
        <w:rPr>
          <w:noProof/>
        </w:rPr>
        <w:t>(52)</w:t>
      </w:r>
      <w:r>
        <w:rPr>
          <w:noProof/>
        </w:rPr>
        <w:tab/>
      </w:r>
      <w:r w:rsidRPr="00AD21FF">
        <w:rPr>
          <w:noProof/>
        </w:rPr>
        <w:t xml:space="preserve">To ensure that </w:t>
      </w:r>
      <w:r>
        <w:rPr>
          <w:noProof/>
        </w:rPr>
        <w:t>foreign direct</w:t>
      </w:r>
      <w:r w:rsidRPr="00AD21FF">
        <w:rPr>
          <w:noProof/>
        </w:rPr>
        <w:t xml:space="preserve"> investment criteria for the emerging strategic sectors remain appropriate even as market conditions, technological developments and the competitiveness policy objectives </w:t>
      </w:r>
      <w:r>
        <w:rPr>
          <w:noProof/>
        </w:rPr>
        <w:t xml:space="preserve">of the Union </w:t>
      </w:r>
      <w:r w:rsidRPr="00AD21FF">
        <w:rPr>
          <w:noProof/>
        </w:rPr>
        <w:t xml:space="preserve">continue to evolve, the Commission should </w:t>
      </w:r>
      <w:r w:rsidR="00BF030B">
        <w:rPr>
          <w:noProof/>
        </w:rPr>
        <w:t xml:space="preserve">monitor </w:t>
      </w:r>
      <w:r w:rsidR="009632EE">
        <w:rPr>
          <w:noProof/>
        </w:rPr>
        <w:t xml:space="preserve">the global manufacturing trends of </w:t>
      </w:r>
      <w:r w:rsidR="000C0911">
        <w:rPr>
          <w:noProof/>
        </w:rPr>
        <w:t>strategic sectors and</w:t>
      </w:r>
      <w:r w:rsidR="009632EE">
        <w:rPr>
          <w:noProof/>
        </w:rPr>
        <w:t xml:space="preserve"> </w:t>
      </w:r>
      <w:r w:rsidRPr="00AD21FF">
        <w:rPr>
          <w:noProof/>
        </w:rPr>
        <w:t>be empowered to adopt implementing acts imposing foreign investment criteria to additional strategic sectors</w:t>
      </w:r>
      <w:r>
        <w:rPr>
          <w:noProof/>
        </w:rPr>
        <w:t>.</w:t>
      </w:r>
      <w:r w:rsidRPr="00AD21FF">
        <w:rPr>
          <w:noProof/>
        </w:rPr>
        <w:t xml:space="preserve"> </w:t>
      </w:r>
      <w:r>
        <w:rPr>
          <w:noProof/>
        </w:rPr>
        <w:t>The</w:t>
      </w:r>
      <w:r w:rsidRPr="00AD21FF">
        <w:rPr>
          <w:noProof/>
        </w:rPr>
        <w:t xml:space="preserve"> Commission should assess in particular the threshold value, as well as whether all of the investment criteria referred to in this regulation are appropriate and necessary to meet the objectives of this regulation. </w:t>
      </w:r>
    </w:p>
    <w:p w14:paraId="2F7DD70E" w14:textId="77777777" w:rsidR="005503B6" w:rsidRPr="00AD21FF" w:rsidRDefault="005503B6" w:rsidP="005503B6">
      <w:pPr>
        <w:pStyle w:val="ManualConsidrant"/>
        <w:rPr>
          <w:noProof/>
        </w:rPr>
      </w:pPr>
      <w:r>
        <w:rPr>
          <w:noProof/>
        </w:rPr>
        <w:t>(53)</w:t>
      </w:r>
      <w:r>
        <w:rPr>
          <w:noProof/>
        </w:rPr>
        <w:tab/>
      </w:r>
      <w:r w:rsidRPr="00AD21FF">
        <w:rPr>
          <w:noProof/>
        </w:rPr>
        <w:t>Clustering industrial activity</w:t>
      </w:r>
      <w:r w:rsidRPr="00AD21FF" w:rsidDel="007E5521">
        <w:rPr>
          <w:noProof/>
        </w:rPr>
        <w:t xml:space="preserve"> </w:t>
      </w:r>
      <w:r w:rsidRPr="00AD21FF">
        <w:rPr>
          <w:noProof/>
        </w:rPr>
        <w:t xml:space="preserve">can contribute substantially to achieving the objectives of this Regulation and to strengthening </w:t>
      </w:r>
      <w:r>
        <w:rPr>
          <w:noProof/>
        </w:rPr>
        <w:t xml:space="preserve">certain </w:t>
      </w:r>
      <w:r w:rsidRPr="00AD21FF">
        <w:rPr>
          <w:noProof/>
        </w:rPr>
        <w:t xml:space="preserve">strategic sectors in the internal market. </w:t>
      </w:r>
      <w:r>
        <w:rPr>
          <w:noProof/>
        </w:rPr>
        <w:t xml:space="preserve">It is therefore appropriate to </w:t>
      </w:r>
      <w:r w:rsidRPr="00AD21FF">
        <w:rPr>
          <w:noProof/>
        </w:rPr>
        <w:t xml:space="preserve">promote the development of </w:t>
      </w:r>
      <w:r>
        <w:rPr>
          <w:noProof/>
        </w:rPr>
        <w:t>industrial manufacturing acceleration areas</w:t>
      </w:r>
      <w:r w:rsidRPr="00AD21FF">
        <w:rPr>
          <w:noProof/>
        </w:rPr>
        <w:t xml:space="preserve">. Such areas should be limited in geographical scope in order to foster industrial symbiosis. When designating the areas, Member States should, in cooperation with regional authorities where appropriate, take into account industrial production </w:t>
      </w:r>
      <w:r>
        <w:rPr>
          <w:noProof/>
        </w:rPr>
        <w:t>(in particular for certain strategic sectors) and their regions’ general level of</w:t>
      </w:r>
      <w:r w:rsidRPr="00AD21FF">
        <w:rPr>
          <w:noProof/>
        </w:rPr>
        <w:t xml:space="preserve"> development, </w:t>
      </w:r>
      <w:r>
        <w:rPr>
          <w:noProof/>
        </w:rPr>
        <w:t>with a focus on the less developed regions and those in transition</w:t>
      </w:r>
      <w:r w:rsidRPr="00AD21FF">
        <w:rPr>
          <w:noProof/>
        </w:rPr>
        <w:t xml:space="preserve">. </w:t>
      </w:r>
      <w:r w:rsidRPr="00526774">
        <w:rPr>
          <w:noProof/>
        </w:rPr>
        <w:t xml:space="preserve">Furthermore, in order to strengthen the resilience, strategic autonomy and competitiveness of the Union’s industrial base, the designation of </w:t>
      </w:r>
      <w:r>
        <w:rPr>
          <w:noProof/>
        </w:rPr>
        <w:t>industrial manufacturing acceleration areas</w:t>
      </w:r>
      <w:r w:rsidRPr="00526774">
        <w:rPr>
          <w:noProof/>
        </w:rPr>
        <w:t xml:space="preserve"> should align with strategic projects and other Union initiatives such as Net-Zero Acceleration Valleys</w:t>
      </w:r>
      <w:r>
        <w:rPr>
          <w:noProof/>
        </w:rPr>
        <w:t>.</w:t>
      </w:r>
    </w:p>
    <w:p w14:paraId="09B00E87" w14:textId="77777777" w:rsidR="005503B6" w:rsidRPr="00AD21FF" w:rsidRDefault="005503B6" w:rsidP="005503B6">
      <w:pPr>
        <w:pStyle w:val="ManualConsidrant"/>
        <w:rPr>
          <w:noProof/>
        </w:rPr>
      </w:pPr>
      <w:r>
        <w:rPr>
          <w:noProof/>
        </w:rPr>
        <w:t>(54)</w:t>
      </w:r>
      <w:r>
        <w:rPr>
          <w:noProof/>
        </w:rPr>
        <w:tab/>
      </w:r>
      <w:r w:rsidRPr="00AD21FF">
        <w:rPr>
          <w:noProof/>
        </w:rPr>
        <w:t xml:space="preserve">The industrial acceleration measures </w:t>
      </w:r>
      <w:r>
        <w:rPr>
          <w:noProof/>
        </w:rPr>
        <w:t>within</w:t>
      </w:r>
      <w:r w:rsidRPr="00AD21FF">
        <w:rPr>
          <w:noProof/>
        </w:rPr>
        <w:t xml:space="preserve"> the acceleration areas should seek appropriate synergies with other Union initiatives, including strategic projects recognised in Union legislation</w:t>
      </w:r>
      <w:r>
        <w:rPr>
          <w:noProof/>
        </w:rPr>
        <w:t>, Net-Zero Acceleration Valleys and Union funding opportunities,</w:t>
      </w:r>
      <w:r w:rsidRPr="00AD21FF">
        <w:rPr>
          <w:noProof/>
        </w:rPr>
        <w:t xml:space="preserve"> </w:t>
      </w:r>
      <w:r>
        <w:rPr>
          <w:noProof/>
        </w:rPr>
        <w:t>in order</w:t>
      </w:r>
      <w:r w:rsidRPr="00AD21FF">
        <w:rPr>
          <w:noProof/>
        </w:rPr>
        <w:t xml:space="preserve"> to align the strategic priorities in the internal market</w:t>
      </w:r>
      <w:r w:rsidRPr="00AD21FF" w:rsidDel="00FD77D8">
        <w:rPr>
          <w:noProof/>
        </w:rPr>
        <w:t xml:space="preserve"> </w:t>
      </w:r>
      <w:r w:rsidRPr="00AD21FF">
        <w:rPr>
          <w:noProof/>
        </w:rPr>
        <w:t>and benefit industrial installations vital for the strategic autonomy and competitiveness</w:t>
      </w:r>
      <w:r>
        <w:rPr>
          <w:noProof/>
        </w:rPr>
        <w:t xml:space="preserve"> of the Union</w:t>
      </w:r>
      <w:r w:rsidRPr="00AD21FF">
        <w:rPr>
          <w:noProof/>
        </w:rPr>
        <w:t>. Th</w:t>
      </w:r>
      <w:r>
        <w:rPr>
          <w:noProof/>
        </w:rPr>
        <w:t>o</w:t>
      </w:r>
      <w:r w:rsidRPr="00AD21FF">
        <w:rPr>
          <w:noProof/>
        </w:rPr>
        <w:t>se benefits should also apply to undertakings awarded with the competitiveness seal under Regulation (EU) XXXX/[XX]</w:t>
      </w:r>
      <w:r w:rsidRPr="00E12286">
        <w:rPr>
          <w:rStyle w:val="FootnoteReference"/>
          <w:noProof/>
        </w:rPr>
        <w:t xml:space="preserve"> </w:t>
      </w:r>
      <w:r>
        <w:rPr>
          <w:rStyle w:val="FootnoteReference"/>
          <w:noProof/>
        </w:rPr>
        <w:footnoteReference w:id="47"/>
      </w:r>
      <w:r w:rsidRPr="00AD21FF">
        <w:rPr>
          <w:noProof/>
        </w:rPr>
        <w:t xml:space="preserve"> (European Competitiveness Fund), unless specifically excluded by the Member State</w:t>
      </w:r>
      <w:r>
        <w:rPr>
          <w:noProof/>
        </w:rPr>
        <w:t>.</w:t>
      </w:r>
    </w:p>
    <w:p w14:paraId="422A0DBC" w14:textId="77777777" w:rsidR="00141992" w:rsidRPr="00AD21FF" w:rsidRDefault="00141992" w:rsidP="00141992">
      <w:pPr>
        <w:pStyle w:val="ManualConsidrant"/>
        <w:rPr>
          <w:noProof/>
        </w:rPr>
      </w:pPr>
      <w:r>
        <w:rPr>
          <w:noProof/>
        </w:rPr>
        <w:t>(55)</w:t>
      </w:r>
      <w:r>
        <w:rPr>
          <w:noProof/>
        </w:rPr>
        <w:tab/>
      </w:r>
      <w:r w:rsidRPr="00AD21FF">
        <w:rPr>
          <w:noProof/>
        </w:rPr>
        <w:t xml:space="preserve">To enable an adequate supply of critical raw materials for projects in the acceleration areas, the European Critical Raw Materials Board </w:t>
      </w:r>
      <w:r>
        <w:rPr>
          <w:noProof/>
        </w:rPr>
        <w:t>established</w:t>
      </w:r>
      <w:r w:rsidRPr="00AD21FF">
        <w:rPr>
          <w:noProof/>
        </w:rPr>
        <w:t xml:space="preserve"> by Article 35 of Regulation (EU) 2024/1252 should provide a platform to exchange information on critical raw materials related supply chain bottlenecks in the acceleration areas. </w:t>
      </w:r>
      <w:r>
        <w:rPr>
          <w:noProof/>
        </w:rPr>
        <w:t>It should be possible for p</w:t>
      </w:r>
      <w:r w:rsidRPr="00AD21FF">
        <w:rPr>
          <w:noProof/>
        </w:rPr>
        <w:t xml:space="preserve">rojects in relevant areas </w:t>
      </w:r>
      <w:r>
        <w:rPr>
          <w:noProof/>
        </w:rPr>
        <w:t>to</w:t>
      </w:r>
      <w:r w:rsidRPr="00AD21FF">
        <w:rPr>
          <w:noProof/>
        </w:rPr>
        <w:t xml:space="preserve"> benefit from the Joint purchasing mechanism established in Article 25 of Regulation (EU) 2024/1252 to aggregate their demand for strategic raw materials and increase their negotiating power with potential sellers, especially when they contain </w:t>
      </w:r>
      <w:r>
        <w:rPr>
          <w:noProof/>
        </w:rPr>
        <w:t>small or medium-sized enterprises (</w:t>
      </w:r>
      <w:r w:rsidRPr="00AD21FF">
        <w:rPr>
          <w:noProof/>
        </w:rPr>
        <w:t>SMEs</w:t>
      </w:r>
      <w:r>
        <w:rPr>
          <w:noProof/>
        </w:rPr>
        <w:t>)</w:t>
      </w:r>
      <w:r w:rsidRPr="00AD21FF">
        <w:rPr>
          <w:noProof/>
        </w:rPr>
        <w:t xml:space="preserve"> and </w:t>
      </w:r>
      <w:r>
        <w:rPr>
          <w:noProof/>
        </w:rPr>
        <w:t>small mid-cap companies (</w:t>
      </w:r>
      <w:r w:rsidRPr="00AD21FF">
        <w:rPr>
          <w:noProof/>
        </w:rPr>
        <w:t>SMCs</w:t>
      </w:r>
      <w:r>
        <w:rPr>
          <w:noProof/>
        </w:rPr>
        <w:t>)</w:t>
      </w:r>
      <w:r w:rsidRPr="00AD21FF">
        <w:rPr>
          <w:noProof/>
        </w:rPr>
        <w:t xml:space="preserve">. </w:t>
      </w:r>
    </w:p>
    <w:p w14:paraId="625DC414" w14:textId="77777777" w:rsidR="00141992" w:rsidRPr="003574C1" w:rsidRDefault="00141992" w:rsidP="00141992">
      <w:pPr>
        <w:pStyle w:val="ManualConsidrant"/>
        <w:rPr>
          <w:noProof/>
        </w:rPr>
      </w:pPr>
      <w:r>
        <w:rPr>
          <w:noProof/>
        </w:rPr>
        <w:t>(56)</w:t>
      </w:r>
      <w:r>
        <w:rPr>
          <w:noProof/>
        </w:rPr>
        <w:tab/>
      </w:r>
      <w:r w:rsidRPr="00AD21FF">
        <w:rPr>
          <w:noProof/>
        </w:rPr>
        <w:t>Sufficient and timely energy supply to the acceleration areas constitutes a fundamental enabling condition for their effective deployment and for the development of manufacturing activities. Reliable and accurate information on future energy demand contribute</w:t>
      </w:r>
      <w:r>
        <w:rPr>
          <w:noProof/>
        </w:rPr>
        <w:t>s</w:t>
      </w:r>
      <w:r w:rsidRPr="00AD21FF">
        <w:rPr>
          <w:noProof/>
        </w:rPr>
        <w:t xml:space="preserve"> to cost-effective grid development. Member States should therefore prepare an analysis for each acceleration area, identifying its future energy needs. </w:t>
      </w:r>
      <w:r>
        <w:rPr>
          <w:noProof/>
        </w:rPr>
        <w:t>Such</w:t>
      </w:r>
      <w:r w:rsidRPr="00AD21FF">
        <w:rPr>
          <w:noProof/>
        </w:rPr>
        <w:t xml:space="preserve"> analysis should serve the purpose of providing information for the national grid planning thereby contributing to purposeful anticipatory grid investments and faster energy connections for the acceleration area. When defining the scope, Member States should take into account the availability of relevant transport and network infrastructure</w:t>
      </w:r>
      <w:r>
        <w:rPr>
          <w:noProof/>
        </w:rPr>
        <w:t xml:space="preserve">. </w:t>
      </w:r>
      <w:r w:rsidRPr="00AD21FF">
        <w:rPr>
          <w:noProof/>
        </w:rPr>
        <w:t xml:space="preserve">The results of these assessments </w:t>
      </w:r>
      <w:r w:rsidRPr="003574C1">
        <w:rPr>
          <w:noProof/>
        </w:rPr>
        <w:t xml:space="preserve">should be reflected in national network development plans to adequately capture future points of energy demand in upcoming grid planning. </w:t>
      </w:r>
    </w:p>
    <w:p w14:paraId="42382ADA" w14:textId="77777777" w:rsidR="00141992" w:rsidRPr="003574C1" w:rsidRDefault="00141992" w:rsidP="00141992">
      <w:pPr>
        <w:pStyle w:val="ManualConsidrant"/>
        <w:rPr>
          <w:noProof/>
        </w:rPr>
      </w:pPr>
      <w:r>
        <w:rPr>
          <w:noProof/>
        </w:rPr>
        <w:t>(57)</w:t>
      </w:r>
      <w:r>
        <w:rPr>
          <w:noProof/>
        </w:rPr>
        <w:tab/>
        <w:t>Where</w:t>
      </w:r>
      <w:r w:rsidRPr="003574C1">
        <w:rPr>
          <w:noProof/>
        </w:rPr>
        <w:t xml:space="preserve"> </w:t>
      </w:r>
      <w:r>
        <w:rPr>
          <w:noProof/>
        </w:rPr>
        <w:t>industrial manufacturing</w:t>
      </w:r>
      <w:r w:rsidRPr="003574C1">
        <w:rPr>
          <w:noProof/>
        </w:rPr>
        <w:t xml:space="preserve"> acceleration areas</w:t>
      </w:r>
      <w:r>
        <w:rPr>
          <w:noProof/>
        </w:rPr>
        <w:t xml:space="preserve"> are set up</w:t>
      </w:r>
      <w:r w:rsidRPr="003574C1">
        <w:rPr>
          <w:noProof/>
        </w:rPr>
        <w:t xml:space="preserve">, their designation should correspond to the potential to access or organise education and training opportunities to ensure the availability of skilled labour. </w:t>
      </w:r>
    </w:p>
    <w:p w14:paraId="7FD0C322" w14:textId="77777777" w:rsidR="00E76B75" w:rsidRPr="003574C1" w:rsidRDefault="00E76B75" w:rsidP="00E76B75">
      <w:pPr>
        <w:pStyle w:val="ManualConsidrant"/>
        <w:rPr>
          <w:noProof/>
        </w:rPr>
      </w:pPr>
      <w:r>
        <w:rPr>
          <w:noProof/>
        </w:rPr>
        <w:t>(58)</w:t>
      </w:r>
      <w:r>
        <w:rPr>
          <w:noProof/>
        </w:rPr>
        <w:tab/>
      </w:r>
      <w:r w:rsidRPr="003574C1">
        <w:rPr>
          <w:noProof/>
        </w:rPr>
        <w:t xml:space="preserve">To promote the development of </w:t>
      </w:r>
      <w:r>
        <w:rPr>
          <w:noProof/>
        </w:rPr>
        <w:t>industrial manufacturing acceleration areas</w:t>
      </w:r>
      <w:r w:rsidRPr="003574C1">
        <w:rPr>
          <w:noProof/>
        </w:rPr>
        <w:t xml:space="preserve"> and to expedite the permit-granting procedures necessary for industrial activities within those areas, Member States should establish an aggregated baseline permit reflecting the specific characteristics of each identified industrial acceleration area and tailored to the industrial manufacturing sector or sectors to be deployed therein. That aggregated baseline permit </w:t>
      </w:r>
      <w:r>
        <w:rPr>
          <w:noProof/>
        </w:rPr>
        <w:t>issued by public authorities</w:t>
      </w:r>
      <w:r w:rsidRPr="003574C1">
        <w:rPr>
          <w:noProof/>
        </w:rPr>
        <w:t xml:space="preserve"> should cover the permits commonly required for such activities within the area, excluding those permits that are installation specific, such as those required under Directive</w:t>
      </w:r>
      <w:r w:rsidRPr="004B7EE0">
        <w:rPr>
          <w:noProof/>
        </w:rPr>
        <w:t xml:space="preserve"> 2010/75/EU of </w:t>
      </w:r>
      <w:r>
        <w:rPr>
          <w:noProof/>
        </w:rPr>
        <w:t xml:space="preserve">the </w:t>
      </w:r>
      <w:r w:rsidRPr="004B7EE0">
        <w:rPr>
          <w:noProof/>
        </w:rPr>
        <w:t>European Parliament</w:t>
      </w:r>
      <w:r>
        <w:rPr>
          <w:noProof/>
        </w:rPr>
        <w:t xml:space="preserve"> and </w:t>
      </w:r>
      <w:r w:rsidRPr="004B7EE0">
        <w:rPr>
          <w:noProof/>
        </w:rPr>
        <w:t>of the Council</w:t>
      </w:r>
      <w:r w:rsidRPr="003574C1">
        <w:rPr>
          <w:rStyle w:val="FootnoteReference"/>
          <w:noProof/>
        </w:rPr>
        <w:footnoteReference w:id="48"/>
      </w:r>
      <w:r>
        <w:rPr>
          <w:noProof/>
        </w:rPr>
        <w:t xml:space="preserve"> and the grid connection permit</w:t>
      </w:r>
      <w:r w:rsidRPr="003574C1">
        <w:rPr>
          <w:noProof/>
        </w:rPr>
        <w:t xml:space="preserve">. Consequently, project promoters should be required to obtain additional permits only for activities not covered by the aggregated baseline permit as well as environmental assessments where required. </w:t>
      </w:r>
      <w:r w:rsidRPr="00BE72A2">
        <w:rPr>
          <w:noProof/>
          <w:szCs w:val="24"/>
        </w:rPr>
        <w:t xml:space="preserve">In case of activities potentially affecting Union and nationally protected sites, relevant permits should be granted only after having ensured that the activities are compatible with the conservation objectives of these sites. </w:t>
      </w:r>
      <w:r w:rsidRPr="003574C1">
        <w:rPr>
          <w:noProof/>
        </w:rPr>
        <w:t>Such approach should significantly accelerate permit-granting procedures and reduce the administrative burden associated with them</w:t>
      </w:r>
      <w:r w:rsidRPr="008E3BAE">
        <w:rPr>
          <w:noProof/>
        </w:rPr>
        <w:t xml:space="preserve"> </w:t>
      </w:r>
      <w:r w:rsidRPr="00BE72A2">
        <w:rPr>
          <w:noProof/>
          <w:szCs w:val="24"/>
        </w:rPr>
        <w:t>whilst maintaining high level of environmental standards</w:t>
      </w:r>
      <w:r w:rsidRPr="003574C1">
        <w:rPr>
          <w:noProof/>
        </w:rPr>
        <w:t>.</w:t>
      </w:r>
    </w:p>
    <w:p w14:paraId="06DAFCAC" w14:textId="77777777" w:rsidR="00E76B75" w:rsidRPr="00AD21FF" w:rsidRDefault="00E76B75" w:rsidP="00E76B75">
      <w:pPr>
        <w:pStyle w:val="ManualConsidrant"/>
        <w:rPr>
          <w:noProof/>
        </w:rPr>
      </w:pPr>
      <w:r>
        <w:rPr>
          <w:noProof/>
        </w:rPr>
        <w:t>(59)</w:t>
      </w:r>
      <w:r>
        <w:rPr>
          <w:noProof/>
        </w:rPr>
        <w:tab/>
      </w:r>
      <w:r w:rsidRPr="00AD21FF">
        <w:rPr>
          <w:noProof/>
        </w:rPr>
        <w:t xml:space="preserve">In order to establish a framework to ensure the </w:t>
      </w:r>
      <w:r w:rsidRPr="00B3635F">
        <w:rPr>
          <w:noProof/>
        </w:rPr>
        <w:t xml:space="preserve">Union’s strategic autonomy and economic security through access to a secure, sustainable and resilient supply of relevant manufacturing products, the power to adopt acts in accordance with Article 290 </w:t>
      </w:r>
      <w:r w:rsidRPr="00FA5FC1">
        <w:rPr>
          <w:noProof/>
        </w:rPr>
        <w:t xml:space="preserve">TFEU should be delegated to the Commission in respect of changes to the list of </w:t>
      </w:r>
      <w:r w:rsidR="00117330">
        <w:rPr>
          <w:noProof/>
        </w:rPr>
        <w:t>third countries</w:t>
      </w:r>
      <w:r w:rsidRPr="00FA5FC1">
        <w:rPr>
          <w:noProof/>
        </w:rPr>
        <w:t xml:space="preserve"> whose content </w:t>
      </w:r>
      <w:r w:rsidR="00117330">
        <w:rPr>
          <w:noProof/>
        </w:rPr>
        <w:t>is not</w:t>
      </w:r>
      <w:r w:rsidR="00117330" w:rsidRPr="00FA5FC1">
        <w:rPr>
          <w:noProof/>
        </w:rPr>
        <w:t xml:space="preserve"> </w:t>
      </w:r>
      <w:r w:rsidRPr="00FA5FC1">
        <w:rPr>
          <w:noProof/>
        </w:rPr>
        <w:t>treated as equivalent to Union origin</w:t>
      </w:r>
      <w:r>
        <w:rPr>
          <w:noProof/>
        </w:rPr>
        <w:t>,</w:t>
      </w:r>
      <w:r w:rsidRPr="00FA5FC1">
        <w:rPr>
          <w:noProof/>
        </w:rPr>
        <w:t xml:space="preserve"> the introduction or amendment of Union origin and low-carbon requirements, including for additional net-zero technologies and for products and services listed in Annexes II and III</w:t>
      </w:r>
      <w:r>
        <w:rPr>
          <w:noProof/>
        </w:rPr>
        <w:t>,</w:t>
      </w:r>
      <w:r w:rsidRPr="00FA5FC1">
        <w:rPr>
          <w:noProof/>
        </w:rPr>
        <w:t xml:space="preserve"> </w:t>
      </w:r>
      <w:r>
        <w:rPr>
          <w:noProof/>
        </w:rPr>
        <w:t>laying</w:t>
      </w:r>
      <w:r w:rsidRPr="00113D9F">
        <w:rPr>
          <w:noProof/>
        </w:rPr>
        <w:t xml:space="preserve"> down Union-level demand-side measures for products from the chemical industry</w:t>
      </w:r>
      <w:r>
        <w:rPr>
          <w:noProof/>
        </w:rPr>
        <w:t xml:space="preserve">, taking into account, among others, recommendations from the Critical Chemicals Alliance, </w:t>
      </w:r>
      <w:r w:rsidRPr="00FA5FC1">
        <w:rPr>
          <w:noProof/>
        </w:rPr>
        <w:t>the extension of foreign direct investment criteria to additional emerging strategic sectors</w:t>
      </w:r>
      <w:r>
        <w:rPr>
          <w:noProof/>
        </w:rPr>
        <w:t>,</w:t>
      </w:r>
      <w:r w:rsidRPr="00FA5FC1">
        <w:rPr>
          <w:noProof/>
        </w:rPr>
        <w:t xml:space="preserve"> the specification of common procedural rules for foreign direct investment criteria</w:t>
      </w:r>
      <w:r>
        <w:rPr>
          <w:noProof/>
        </w:rPr>
        <w:t>, and</w:t>
      </w:r>
      <w:r w:rsidRPr="00FA5FC1">
        <w:rPr>
          <w:noProof/>
        </w:rPr>
        <w:t xml:space="preserve"> establishing </w:t>
      </w:r>
      <w:r>
        <w:rPr>
          <w:noProof/>
        </w:rPr>
        <w:t>classification systems based on</w:t>
      </w:r>
      <w:r w:rsidRPr="00FA5FC1">
        <w:rPr>
          <w:noProof/>
        </w:rPr>
        <w:t xml:space="preserve"> the greenhouse gas intensity </w:t>
      </w:r>
      <w:r>
        <w:rPr>
          <w:noProof/>
        </w:rPr>
        <w:t xml:space="preserve">for </w:t>
      </w:r>
      <w:r w:rsidRPr="00FA5FC1">
        <w:rPr>
          <w:noProof/>
        </w:rPr>
        <w:t>products</w:t>
      </w:r>
      <w:r>
        <w:rPr>
          <w:noProof/>
        </w:rPr>
        <w:t>.</w:t>
      </w:r>
      <w:r w:rsidRPr="00317852">
        <w:rPr>
          <w:noProof/>
        </w:rPr>
        <w:t> </w:t>
      </w:r>
      <w:r w:rsidRPr="00B3635F">
        <w:rPr>
          <w:noProof/>
        </w:rPr>
        <w:t>It is of particular importance that the Commission carries out appropriate consultations during its preparatory work, including at expert level, and that those consultations be conducted in accordance with the principles laid down in the Inter-institutional</w:t>
      </w:r>
      <w:r w:rsidRPr="00AD21FF">
        <w:rPr>
          <w:noProof/>
        </w:rPr>
        <w:t xml:space="preserve"> Agreement of 13 April 2016</w:t>
      </w:r>
      <w:r>
        <w:rPr>
          <w:noProof/>
        </w:rPr>
        <w:t xml:space="preserve"> </w:t>
      </w:r>
      <w:r w:rsidRPr="00AD21FF">
        <w:rPr>
          <w:noProof/>
        </w:rPr>
        <w:t>on Better Law-Making</w:t>
      </w:r>
      <w:r>
        <w:rPr>
          <w:rStyle w:val="FootnoteReference"/>
          <w:noProof/>
        </w:rPr>
        <w:footnoteReference w:id="49"/>
      </w:r>
      <w:r w:rsidRPr="00AD21FF">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1A1BF5C7" w14:textId="77777777" w:rsidR="00E15A7B" w:rsidRPr="00AD21FF" w:rsidRDefault="00E15A7B" w:rsidP="00E15A7B">
      <w:pPr>
        <w:pStyle w:val="ManualConsidrant"/>
        <w:rPr>
          <w:noProof/>
        </w:rPr>
      </w:pPr>
      <w:r>
        <w:rPr>
          <w:noProof/>
        </w:rPr>
        <w:t>(60)</w:t>
      </w:r>
      <w:r>
        <w:rPr>
          <w:noProof/>
        </w:rPr>
        <w:tab/>
      </w:r>
      <w:r w:rsidRPr="00CC3ADE">
        <w:rPr>
          <w:noProof/>
        </w:rPr>
        <w:t>In order to ensure uniform conditions for the implementation of this Regulation, implementing powers should be conferred on the Commission as regards specifying</w:t>
      </w:r>
      <w:r>
        <w:rPr>
          <w:noProof/>
        </w:rPr>
        <w:t xml:space="preserve"> </w:t>
      </w:r>
      <w:r w:rsidRPr="00AD21FF">
        <w:rPr>
          <w:noProof/>
        </w:rPr>
        <w:t xml:space="preserve">the method for calculating the proportion of </w:t>
      </w:r>
      <w:r>
        <w:rPr>
          <w:noProof/>
        </w:rPr>
        <w:t>volume of products and components</w:t>
      </w:r>
      <w:r w:rsidRPr="00AD21FF">
        <w:rPr>
          <w:noProof/>
        </w:rPr>
        <w:t xml:space="preserve"> originating in the Union</w:t>
      </w:r>
      <w:r>
        <w:rPr>
          <w:noProof/>
        </w:rPr>
        <w:t xml:space="preserve"> and </w:t>
      </w:r>
      <w:r w:rsidRPr="008D2933">
        <w:rPr>
          <w:noProof/>
        </w:rPr>
        <w:t xml:space="preserve">for verifying the </w:t>
      </w:r>
      <w:r>
        <w:rPr>
          <w:noProof/>
        </w:rPr>
        <w:t>compliance with the conditions laid down in Article 15</w:t>
      </w:r>
      <w:r w:rsidRPr="00AD21FF" w:rsidDel="00F5714B">
        <w:rPr>
          <w:noProof/>
        </w:rPr>
        <w:t>.</w:t>
      </w:r>
      <w:r w:rsidRPr="00AD21FF">
        <w:rPr>
          <w:noProof/>
        </w:rPr>
        <w:t xml:space="preserve"> Those powers should be exercised in accordance with Regulation (EU) No 182/2011 of the European Parliament and of the Council</w:t>
      </w:r>
      <w:r>
        <w:rPr>
          <w:rStyle w:val="FootnoteReference"/>
          <w:noProof/>
        </w:rPr>
        <w:footnoteReference w:id="50"/>
      </w:r>
      <w:r w:rsidRPr="00AD21FF">
        <w:rPr>
          <w:noProof/>
        </w:rPr>
        <w:t>.</w:t>
      </w:r>
    </w:p>
    <w:p w14:paraId="3DB09BF9" w14:textId="77777777" w:rsidR="00E15A7B" w:rsidRPr="00054CCE" w:rsidRDefault="00E15A7B" w:rsidP="00E15A7B">
      <w:pPr>
        <w:pStyle w:val="ManualConsidrant"/>
        <w:rPr>
          <w:noProof/>
        </w:rPr>
      </w:pPr>
      <w:r>
        <w:rPr>
          <w:noProof/>
        </w:rPr>
        <w:t>(61)</w:t>
      </w:r>
      <w:r>
        <w:rPr>
          <w:noProof/>
        </w:rPr>
        <w:tab/>
      </w:r>
      <w:r w:rsidRPr="00AD21FF">
        <w:rPr>
          <w:noProof/>
        </w:rPr>
        <w:t xml:space="preserve">The Commission should evaluate this Regulation based on the information provided by Member States. Pursuant to paragraph 22 of the Interinstitutional Agreement on Better Law-Making of 13 April 2016, </w:t>
      </w:r>
      <w:r>
        <w:rPr>
          <w:noProof/>
        </w:rPr>
        <w:t>such</w:t>
      </w:r>
      <w:r w:rsidRPr="00AD21FF">
        <w:rPr>
          <w:noProof/>
        </w:rPr>
        <w:t xml:space="preserve"> evaluation should be based on the five criteria of efficiency, effectiveness, relevance, coherence and Union value added. It should also serve as the basis for impact assessments of possible further </w:t>
      </w:r>
      <w:r w:rsidRPr="00054CCE">
        <w:rPr>
          <w:noProof/>
        </w:rPr>
        <w:t>measures.</w:t>
      </w:r>
    </w:p>
    <w:p w14:paraId="3B5C80A4" w14:textId="77777777" w:rsidR="002B14CF" w:rsidRDefault="002B14CF" w:rsidP="002B14CF">
      <w:pPr>
        <w:pStyle w:val="ManualConsidrant"/>
        <w:rPr>
          <w:noProof/>
        </w:rPr>
      </w:pPr>
      <w:r>
        <w:rPr>
          <w:noProof/>
        </w:rPr>
        <w:t>(62)</w:t>
      </w:r>
      <w:r>
        <w:rPr>
          <w:noProof/>
        </w:rPr>
        <w:tab/>
      </w:r>
      <w:r w:rsidRPr="00054CCE">
        <w:rPr>
          <w:noProof/>
        </w:rPr>
        <w:t xml:space="preserve">To ensure compliance with the obligations laid down in this Regulation, Member States should provide for penalties to be imposed on undertakings that do not comply with their obligations. </w:t>
      </w:r>
      <w:r w:rsidR="006D29D7" w:rsidRPr="00054CCE">
        <w:rPr>
          <w:noProof/>
        </w:rPr>
        <w:t>Such</w:t>
      </w:r>
      <w:r w:rsidRPr="00054CCE">
        <w:rPr>
          <w:noProof/>
        </w:rPr>
        <w:t xml:space="preserve"> penalties should be without prejudice and in addition to specific penalty requirements set out by this Regulation, for instance on </w:t>
      </w:r>
      <w:r w:rsidR="00BE5938" w:rsidRPr="00054CCE">
        <w:rPr>
          <w:noProof/>
        </w:rPr>
        <w:t xml:space="preserve">foreign </w:t>
      </w:r>
      <w:r w:rsidRPr="00054CCE">
        <w:rPr>
          <w:noProof/>
        </w:rPr>
        <w:t>direct investments. It is therefore necessary that Member States lay down effective, proportionate and dissuasive penalties in national law for failure to comply with this Regulation. It is also necessary for Member States to ensure that project promoters have access, where relevant, to administrative or judicial review in accordance with national law.</w:t>
      </w:r>
    </w:p>
    <w:p w14:paraId="66BFDD9B" w14:textId="77777777" w:rsidR="003E6F54" w:rsidRPr="00054CCE" w:rsidRDefault="003E6F54" w:rsidP="00F6687A">
      <w:pPr>
        <w:pStyle w:val="ManualConsidrant"/>
        <w:rPr>
          <w:noProof/>
        </w:rPr>
      </w:pPr>
      <w:r>
        <w:rPr>
          <w:noProof/>
        </w:rPr>
        <w:t>(63)</w:t>
      </w:r>
      <w:r>
        <w:rPr>
          <w:noProof/>
        </w:rPr>
        <w:tab/>
      </w:r>
      <w:r w:rsidRPr="00E9609B">
        <w:rPr>
          <w:noProof/>
        </w:rPr>
        <w:t xml:space="preserve">When reviewing this Regulation, the Commission should assess the need to amend the provisions </w:t>
      </w:r>
      <w:r w:rsidRPr="00264A1F">
        <w:rPr>
          <w:noProof/>
        </w:rPr>
        <w:t>included</w:t>
      </w:r>
      <w:r w:rsidRPr="00E9609B">
        <w:rPr>
          <w:noProof/>
        </w:rPr>
        <w:t xml:space="preserve"> in Chapters III and IV. In particular, it should consider </w:t>
      </w:r>
      <w:r w:rsidR="00463B19" w:rsidRPr="00E9609B">
        <w:rPr>
          <w:noProof/>
        </w:rPr>
        <w:t>introducing</w:t>
      </w:r>
      <w:r w:rsidRPr="00E9609B">
        <w:rPr>
          <w:noProof/>
        </w:rPr>
        <w:t xml:space="preserve"> targeted Union origin in transport sectors critical to the Union’s economic security, notably building of ships and building of rail rolling stock. The Commission should also consider </w:t>
      </w:r>
      <w:r w:rsidR="007A55C2" w:rsidRPr="00E9609B">
        <w:rPr>
          <w:noProof/>
        </w:rPr>
        <w:t>introducing</w:t>
      </w:r>
      <w:r w:rsidRPr="00E9609B">
        <w:rPr>
          <w:noProof/>
        </w:rPr>
        <w:t xml:space="preserve"> an enhanced review of foreign direct investments for aeronautical products and parts.</w:t>
      </w:r>
    </w:p>
    <w:p w14:paraId="69A56ED4" w14:textId="77777777" w:rsidR="00143279" w:rsidRPr="008D3A59" w:rsidRDefault="00143279" w:rsidP="00143279">
      <w:pPr>
        <w:pStyle w:val="ManualConsidrant"/>
        <w:rPr>
          <w:rFonts w:ascii="Times" w:eastAsia="Times New Roman" w:hAnsi="Times" w:cs="Times"/>
          <w:noProof/>
          <w:lang w:eastAsia="en-GB"/>
        </w:rPr>
      </w:pPr>
      <w:r>
        <w:rPr>
          <w:noProof/>
        </w:rPr>
        <w:t>(64)</w:t>
      </w:r>
      <w:r>
        <w:rPr>
          <w:noProof/>
        </w:rPr>
        <w:tab/>
      </w:r>
      <w:r w:rsidRPr="00AD21FF">
        <w:rPr>
          <w:rFonts w:ascii="Times" w:eastAsia="Times New Roman" w:hAnsi="Times" w:cs="Times"/>
          <w:noProof/>
          <w:lang w:eastAsia="en-GB"/>
        </w:rPr>
        <w:t>Regulation (EU) 2018/1724 of the European Parliament and of the Council</w:t>
      </w:r>
      <w:r>
        <w:rPr>
          <w:rStyle w:val="FootnoteReference"/>
          <w:rFonts w:ascii="Times" w:eastAsia="Times New Roman" w:hAnsi="Times" w:cs="Times"/>
          <w:noProof/>
          <w:lang w:eastAsia="en-GB"/>
        </w:rPr>
        <w:footnoteReference w:id="51"/>
      </w:r>
      <w:r w:rsidRPr="00AD21FF">
        <w:rPr>
          <w:rFonts w:ascii="Times" w:eastAsia="Times New Roman" w:hAnsi="Times" w:cs="Times"/>
          <w:noProof/>
          <w:lang w:eastAsia="en-GB"/>
        </w:rPr>
        <w:t xml:space="preserve">, which established the Single Digital Gateway, provides general rules for the online provision of information, procedures and assistance services that are relevant to the functioning of the </w:t>
      </w:r>
      <w:r w:rsidRPr="00AD21FF">
        <w:rPr>
          <w:noProof/>
        </w:rPr>
        <w:t>internal market</w:t>
      </w:r>
      <w:r w:rsidRPr="00AD21FF">
        <w:rPr>
          <w:rFonts w:ascii="Times" w:eastAsia="Times New Roman" w:hAnsi="Times" w:cs="Times"/>
          <w:noProof/>
          <w:lang w:eastAsia="en-GB"/>
        </w:rPr>
        <w:t xml:space="preserve">. In order to allow businesses and manufacturing industry project promoters, including for cross-border projects, to directly enjoy the benefits of the </w:t>
      </w:r>
      <w:r w:rsidRPr="00AD21FF">
        <w:rPr>
          <w:noProof/>
        </w:rPr>
        <w:t>internal market</w:t>
      </w:r>
      <w:r w:rsidRPr="00AD21FF" w:rsidDel="00AA01B2">
        <w:rPr>
          <w:rFonts w:ascii="Times" w:eastAsia="Times New Roman" w:hAnsi="Times" w:cs="Times"/>
          <w:noProof/>
          <w:lang w:eastAsia="en-GB"/>
        </w:rPr>
        <w:t xml:space="preserve"> </w:t>
      </w:r>
      <w:r w:rsidRPr="00AD21FF">
        <w:rPr>
          <w:rFonts w:ascii="Times" w:eastAsia="Times New Roman" w:hAnsi="Times" w:cs="Times"/>
          <w:noProof/>
          <w:lang w:eastAsia="en-GB"/>
        </w:rPr>
        <w:t>without incurring an unnecessary additional administrative burden</w:t>
      </w:r>
      <w:r>
        <w:rPr>
          <w:rFonts w:ascii="Times" w:eastAsia="Times New Roman" w:hAnsi="Times" w:cs="Times"/>
          <w:noProof/>
          <w:lang w:eastAsia="en-GB"/>
        </w:rPr>
        <w:t>, t</w:t>
      </w:r>
      <w:r w:rsidRPr="00AD21FF">
        <w:rPr>
          <w:rFonts w:ascii="Times" w:eastAsia="Times New Roman" w:hAnsi="Times" w:cs="Times"/>
          <w:noProof/>
          <w:lang w:eastAsia="en-GB"/>
        </w:rPr>
        <w:t xml:space="preserve">he information that needs to be submitted to any relevant authorities as part of the permit-granting process under this Regulation is </w:t>
      </w:r>
      <w:r>
        <w:rPr>
          <w:rFonts w:ascii="Times" w:eastAsia="Times New Roman" w:hAnsi="Times" w:cs="Times"/>
          <w:noProof/>
          <w:lang w:eastAsia="en-GB"/>
        </w:rPr>
        <w:t>that set out</w:t>
      </w:r>
      <w:r w:rsidRPr="00AD21FF">
        <w:rPr>
          <w:rFonts w:ascii="Times" w:eastAsia="Times New Roman" w:hAnsi="Times" w:cs="Times"/>
          <w:noProof/>
          <w:lang w:eastAsia="en-GB"/>
        </w:rPr>
        <w:t xml:space="preserve"> in Annex I to Regulation (EU) 2018/1724. The related procedures are included in Annex II to that Regulation to ensure that project promoters can benefit from fully online procedures and the Once-Only Technical System Services. In particular, promoters of manufacturing industry projects should be able to fully access and complete any procedure related to the permit-granting process online, in accordance with Article 6(1) of </w:t>
      </w:r>
      <w:r w:rsidRPr="4A73E6B0">
        <w:rPr>
          <w:rFonts w:ascii="Times" w:eastAsia="Times New Roman" w:hAnsi="Times" w:cs="Times"/>
          <w:noProof/>
          <w:lang w:eastAsia="en-GB"/>
        </w:rPr>
        <w:t>Regulation (EU) 2018/1724</w:t>
      </w:r>
      <w:r w:rsidRPr="241F419A" w:rsidDel="002B14CF">
        <w:rPr>
          <w:rFonts w:ascii="Times" w:eastAsia="Times New Roman" w:hAnsi="Times" w:cs="Times"/>
          <w:noProof/>
          <w:lang w:eastAsia="en-GB"/>
        </w:rPr>
        <w:t xml:space="preserve"> </w:t>
      </w:r>
      <w:r w:rsidRPr="00AD21FF">
        <w:rPr>
          <w:rFonts w:ascii="Times" w:eastAsia="Times New Roman" w:hAnsi="Times" w:cs="Times"/>
          <w:noProof/>
          <w:lang w:eastAsia="en-GB"/>
        </w:rPr>
        <w:t xml:space="preserve">and Annex II </w:t>
      </w:r>
      <w:r>
        <w:rPr>
          <w:rFonts w:ascii="Times" w:eastAsia="Times New Roman" w:hAnsi="Times" w:cs="Times"/>
          <w:noProof/>
          <w:lang w:eastAsia="en-GB"/>
        </w:rPr>
        <w:t xml:space="preserve">of that </w:t>
      </w:r>
      <w:r w:rsidRPr="00AD21FF">
        <w:rPr>
          <w:rFonts w:ascii="Times" w:eastAsia="Times New Roman" w:hAnsi="Times" w:cs="Times"/>
          <w:noProof/>
          <w:lang w:eastAsia="en-GB"/>
        </w:rPr>
        <w:t>Regulation.</w:t>
      </w:r>
      <w:r>
        <w:rPr>
          <w:rFonts w:ascii="Times" w:eastAsia="Times New Roman" w:hAnsi="Times" w:cs="Times"/>
          <w:noProof/>
          <w:lang w:eastAsia="en-GB"/>
        </w:rPr>
        <w:t xml:space="preserve"> </w:t>
      </w:r>
      <w:r w:rsidRPr="007523EE">
        <w:rPr>
          <w:noProof/>
        </w:rPr>
        <w:t>Regulation</w:t>
      </w:r>
      <w:r w:rsidRPr="008D3A59">
        <w:rPr>
          <w:rFonts w:ascii="Times" w:eastAsia="Times New Roman" w:hAnsi="Times" w:cs="Times"/>
          <w:noProof/>
          <w:lang w:eastAsia="en-GB"/>
        </w:rPr>
        <w:t xml:space="preserve"> (EU) 2018/1724 should therefore be amended accordingly.</w:t>
      </w:r>
    </w:p>
    <w:p w14:paraId="0A99ADF6" w14:textId="77777777" w:rsidR="00980176" w:rsidRPr="00AD21FF" w:rsidRDefault="00980176" w:rsidP="00980176">
      <w:pPr>
        <w:pStyle w:val="ManualConsidrant"/>
        <w:rPr>
          <w:noProof/>
        </w:rPr>
      </w:pPr>
      <w:r>
        <w:rPr>
          <w:noProof/>
        </w:rPr>
        <w:t>(65)</w:t>
      </w:r>
      <w:r>
        <w:rPr>
          <w:noProof/>
        </w:rPr>
        <w:tab/>
      </w:r>
      <w:r w:rsidRPr="00AD21FF">
        <w:rPr>
          <w:noProof/>
        </w:rPr>
        <w:t xml:space="preserve">Regulation (EU) 2024/1735 introduces resilience requirements for a range of net-zero technology final products. </w:t>
      </w:r>
      <w:r>
        <w:rPr>
          <w:noProof/>
        </w:rPr>
        <w:t>Those requirements</w:t>
      </w:r>
      <w:r w:rsidRPr="00AD21FF">
        <w:rPr>
          <w:noProof/>
        </w:rPr>
        <w:t xml:space="preserve"> </w:t>
      </w:r>
      <w:r>
        <w:rPr>
          <w:noProof/>
        </w:rPr>
        <w:t>aim at</w:t>
      </w:r>
      <w:r w:rsidRPr="00AD21FF">
        <w:rPr>
          <w:noProof/>
        </w:rPr>
        <w:t xml:space="preserve"> reduc</w:t>
      </w:r>
      <w:r>
        <w:rPr>
          <w:noProof/>
        </w:rPr>
        <w:t>ing</w:t>
      </w:r>
      <w:r w:rsidRPr="00AD21FF">
        <w:rPr>
          <w:noProof/>
        </w:rPr>
        <w:t xml:space="preserve"> dependencies on individual third countries of supply, but they are not sufficient to enable Union industries to scale up the potential of the internal market and carry a risk of circumvention. </w:t>
      </w:r>
      <w:r>
        <w:rPr>
          <w:noProof/>
        </w:rPr>
        <w:t>Therefore</w:t>
      </w:r>
      <w:r w:rsidRPr="00AD21FF">
        <w:rPr>
          <w:noProof/>
        </w:rPr>
        <w:t>,</w:t>
      </w:r>
      <w:r>
        <w:rPr>
          <w:noProof/>
        </w:rPr>
        <w:t xml:space="preserve"> in order to address such challenges</w:t>
      </w:r>
      <w:r w:rsidRPr="00AD21FF">
        <w:rPr>
          <w:noProof/>
        </w:rPr>
        <w:t>, the legislative framework should ensure the need to attract and retain technological know-how within the Union</w:t>
      </w:r>
      <w:r>
        <w:rPr>
          <w:noProof/>
        </w:rPr>
        <w:t>, through</w:t>
      </w:r>
      <w:r w:rsidRPr="00AD21FF">
        <w:rPr>
          <w:noProof/>
        </w:rPr>
        <w:t xml:space="preserve"> targeted additional intervention. </w:t>
      </w:r>
    </w:p>
    <w:p w14:paraId="44B35BE8" w14:textId="77777777" w:rsidR="002B14CF" w:rsidRPr="00AD21FF" w:rsidRDefault="002B14CF" w:rsidP="002B14CF">
      <w:pPr>
        <w:pStyle w:val="ManualConsidrant"/>
        <w:rPr>
          <w:noProof/>
        </w:rPr>
      </w:pPr>
      <w:r>
        <w:rPr>
          <w:noProof/>
        </w:rPr>
        <w:t>(66)</w:t>
      </w:r>
      <w:r>
        <w:rPr>
          <w:noProof/>
        </w:rPr>
        <w:tab/>
      </w:r>
      <w:r w:rsidRPr="00AD21FF">
        <w:rPr>
          <w:noProof/>
        </w:rPr>
        <w:t xml:space="preserve">The provisions on public procurement laid down in this Regulation should build on the provisions of Regulation (EU) 2024/1735 on resilience; and complement them by introducing additional requirements for battery energy storage systems, solar photovoltaic technologies, heat pumps, onshore and offshore wind technologies, </w:t>
      </w:r>
      <w:r w:rsidR="00747A26">
        <w:rPr>
          <w:noProof/>
        </w:rPr>
        <w:t>electrolysers</w:t>
      </w:r>
      <w:r w:rsidRPr="00AD21FF" w:rsidDel="00804185">
        <w:rPr>
          <w:noProof/>
        </w:rPr>
        <w:t xml:space="preserve"> </w:t>
      </w:r>
      <w:r w:rsidRPr="00AD21FF">
        <w:rPr>
          <w:noProof/>
        </w:rPr>
        <w:t>and nuclear fission energy technologies. Such additional requirements should ensure that a certain share of the products and their main specific components originate in the Union. Th</w:t>
      </w:r>
      <w:r w:rsidR="00F55AB2">
        <w:rPr>
          <w:noProof/>
        </w:rPr>
        <w:t>at</w:t>
      </w:r>
      <w:r w:rsidRPr="00AD21FF">
        <w:rPr>
          <w:noProof/>
        </w:rPr>
        <w:t xml:space="preserve"> approach should ensure sufficient diversification while strengthening strategic manufacturing capacity and technological sovereignty within the Union.</w:t>
      </w:r>
      <w:r w:rsidR="00DE5A35">
        <w:rPr>
          <w:noProof/>
        </w:rPr>
        <w:t xml:space="preserve"> </w:t>
      </w:r>
      <w:r w:rsidR="00D16C6E">
        <w:rPr>
          <w:noProof/>
        </w:rPr>
        <w:t xml:space="preserve">The system for verification of compliance </w:t>
      </w:r>
      <w:r w:rsidR="002A047A">
        <w:rPr>
          <w:noProof/>
        </w:rPr>
        <w:t>with the requirements</w:t>
      </w:r>
      <w:r w:rsidR="00D16C6E">
        <w:rPr>
          <w:noProof/>
        </w:rPr>
        <w:t xml:space="preserve"> should </w:t>
      </w:r>
      <w:r w:rsidR="00B2381C">
        <w:rPr>
          <w:noProof/>
        </w:rPr>
        <w:t>limit the</w:t>
      </w:r>
      <w:r w:rsidR="00C45CEE">
        <w:rPr>
          <w:noProof/>
        </w:rPr>
        <w:t xml:space="preserve"> administrative burden</w:t>
      </w:r>
      <w:r w:rsidR="00962F9F">
        <w:rPr>
          <w:noProof/>
        </w:rPr>
        <w:t xml:space="preserve"> and align with common public procurement practice </w:t>
      </w:r>
      <w:r w:rsidR="004D1BB3">
        <w:rPr>
          <w:noProof/>
        </w:rPr>
        <w:t>as well as</w:t>
      </w:r>
      <w:r w:rsidR="00DF3CBA">
        <w:rPr>
          <w:noProof/>
        </w:rPr>
        <w:t xml:space="preserve"> the </w:t>
      </w:r>
      <w:r w:rsidR="004D1BB3">
        <w:rPr>
          <w:noProof/>
        </w:rPr>
        <w:t xml:space="preserve">existing system of </w:t>
      </w:r>
      <w:r w:rsidR="00DF3CBA">
        <w:rPr>
          <w:noProof/>
        </w:rPr>
        <w:t>verification of compliance under Regulation</w:t>
      </w:r>
      <w:r w:rsidR="00962F9F">
        <w:rPr>
          <w:noProof/>
        </w:rPr>
        <w:t xml:space="preserve"> </w:t>
      </w:r>
      <w:r w:rsidR="007F41B2">
        <w:rPr>
          <w:noProof/>
        </w:rPr>
        <w:t>(EU) 2024/1735. It should therefore</w:t>
      </w:r>
      <w:r w:rsidR="002211F1">
        <w:rPr>
          <w:noProof/>
        </w:rPr>
        <w:t xml:space="preserve"> rely on a self-declaration by economic operators.</w:t>
      </w:r>
      <w:r w:rsidR="009E7D12">
        <w:rPr>
          <w:noProof/>
        </w:rPr>
        <w:t xml:space="preserve"> </w:t>
      </w:r>
    </w:p>
    <w:p w14:paraId="2FD9AD32" w14:textId="77777777" w:rsidR="005B1524" w:rsidRPr="00AD21FF" w:rsidRDefault="005B1524" w:rsidP="005B1524">
      <w:pPr>
        <w:pStyle w:val="ManualConsidrant"/>
        <w:rPr>
          <w:noProof/>
        </w:rPr>
      </w:pPr>
      <w:r>
        <w:rPr>
          <w:noProof/>
        </w:rPr>
        <w:t>(67)</w:t>
      </w:r>
      <w:r>
        <w:rPr>
          <w:noProof/>
        </w:rPr>
        <w:tab/>
      </w:r>
      <w:r w:rsidRPr="00AD21FF">
        <w:rPr>
          <w:noProof/>
        </w:rPr>
        <w:t xml:space="preserve">In addition to complementing the public procurement provisions of Regulation (EU) 2024/1735, this Regulation should also </w:t>
      </w:r>
      <w:r>
        <w:rPr>
          <w:noProof/>
        </w:rPr>
        <w:t>amend</w:t>
      </w:r>
      <w:r w:rsidRPr="00AD21FF">
        <w:rPr>
          <w:noProof/>
        </w:rPr>
        <w:t xml:space="preserve"> them</w:t>
      </w:r>
      <w:r>
        <w:rPr>
          <w:noProof/>
        </w:rPr>
        <w:t xml:space="preserve"> to provide greater legal certainty</w:t>
      </w:r>
      <w:r w:rsidRPr="00AD21FF">
        <w:rPr>
          <w:noProof/>
        </w:rPr>
        <w:t xml:space="preserve">. The scope of Article 25 of Regulation (EU) 2024/1735 should be limited to those net-zero technologies for which public procurement of a relevant scale is expected to take place, thereby enhancing the clarity of the provision. </w:t>
      </w:r>
    </w:p>
    <w:p w14:paraId="4CD62FCE" w14:textId="77777777" w:rsidR="002B14CF" w:rsidRPr="00AD21FF" w:rsidRDefault="002B14CF" w:rsidP="002B14CF">
      <w:pPr>
        <w:pStyle w:val="ManualConsidrant"/>
        <w:rPr>
          <w:noProof/>
        </w:rPr>
      </w:pPr>
      <w:r>
        <w:rPr>
          <w:noProof/>
        </w:rPr>
        <w:t>(68)</w:t>
      </w:r>
      <w:r>
        <w:rPr>
          <w:noProof/>
        </w:rPr>
        <w:tab/>
      </w:r>
      <w:r w:rsidRPr="00AD21FF">
        <w:rPr>
          <w:noProof/>
        </w:rPr>
        <w:t>In line with the same policy objective pursued for renewable energy auctions under Regulation (EU) 2024/1735, this Regulation should extend the additional Union origin requirements to renewable energy auctions</w:t>
      </w:r>
      <w:r w:rsidR="00D023C5">
        <w:rPr>
          <w:noProof/>
        </w:rPr>
        <w:t xml:space="preserve"> for certain renewable energy technologies</w:t>
      </w:r>
      <w:r w:rsidR="00122CE7">
        <w:rPr>
          <w:noProof/>
        </w:rPr>
        <w:t>,</w:t>
      </w:r>
      <w:r w:rsidR="00F55AB2">
        <w:rPr>
          <w:noProof/>
        </w:rPr>
        <w:t xml:space="preserve"> in order to</w:t>
      </w:r>
      <w:r w:rsidRPr="00AD21FF">
        <w:rPr>
          <w:noProof/>
        </w:rPr>
        <w:t xml:space="preserve"> contribute to strengthening the Union’s industrial base and ensuring resilience of net-zero technology supply chains. To reflect the specific characteristics of renewable energy auctions, the </w:t>
      </w:r>
      <w:r w:rsidR="000736DD">
        <w:rPr>
          <w:noProof/>
        </w:rPr>
        <w:t xml:space="preserve">additional </w:t>
      </w:r>
      <w:r w:rsidRPr="00AD21FF">
        <w:rPr>
          <w:noProof/>
        </w:rPr>
        <w:t xml:space="preserve">requirements should apply to the net-zero technologies that are most relevant in the context of auctions, which are battery energy storage systems, solar photovoltaic technologies, </w:t>
      </w:r>
      <w:r w:rsidR="00D81B06">
        <w:rPr>
          <w:noProof/>
        </w:rPr>
        <w:t>electrolysers</w:t>
      </w:r>
      <w:r w:rsidRPr="00AD21FF">
        <w:rPr>
          <w:noProof/>
        </w:rPr>
        <w:t>, as well as on- and offshore wind technologies. Where Union origin requirements apply to auctions, other provisions setting similar requirements for public support schemes should not apply to those auctions.</w:t>
      </w:r>
    </w:p>
    <w:p w14:paraId="4FF4C71B" w14:textId="77777777" w:rsidR="001B4AFE" w:rsidRPr="00AD21FF" w:rsidRDefault="001B4AFE" w:rsidP="001B4AFE">
      <w:pPr>
        <w:pStyle w:val="ManualConsidrant"/>
        <w:rPr>
          <w:noProof/>
        </w:rPr>
      </w:pPr>
      <w:r>
        <w:rPr>
          <w:noProof/>
        </w:rPr>
        <w:t>(69)</w:t>
      </w:r>
      <w:r>
        <w:rPr>
          <w:noProof/>
        </w:rPr>
        <w:tab/>
      </w:r>
      <w:r w:rsidRPr="00AD21FF">
        <w:rPr>
          <w:noProof/>
        </w:rPr>
        <w:t xml:space="preserve">To reinforce the effectiveness of the framework, and to reflect recent increases in geopolitical risks and global market distortions, the share of auctions covered by the requirements should be increased and a higher cost threshold for the opt-out from </w:t>
      </w:r>
      <w:r>
        <w:rPr>
          <w:noProof/>
        </w:rPr>
        <w:t>those</w:t>
      </w:r>
      <w:r w:rsidRPr="00AD21FF">
        <w:rPr>
          <w:noProof/>
        </w:rPr>
        <w:t xml:space="preserve"> requirements should be </w:t>
      </w:r>
      <w:r>
        <w:rPr>
          <w:noProof/>
        </w:rPr>
        <w:t>established</w:t>
      </w:r>
      <w:r w:rsidRPr="00AD21FF">
        <w:rPr>
          <w:noProof/>
        </w:rPr>
        <w:t xml:space="preserve">. </w:t>
      </w:r>
      <w:r>
        <w:rPr>
          <w:noProof/>
        </w:rPr>
        <w:t>That</w:t>
      </w:r>
      <w:r w:rsidRPr="00AD21FF">
        <w:rPr>
          <w:noProof/>
        </w:rPr>
        <w:t xml:space="preserve"> should also prevent excessive use of exemptions and provide an effective incentive to boost </w:t>
      </w:r>
      <w:r>
        <w:rPr>
          <w:noProof/>
        </w:rPr>
        <w:t>Union</w:t>
      </w:r>
      <w:r w:rsidRPr="00AD21FF">
        <w:rPr>
          <w:noProof/>
        </w:rPr>
        <w:t xml:space="preserve"> production of renewable energy technologies.</w:t>
      </w:r>
    </w:p>
    <w:p w14:paraId="7C872568" w14:textId="77777777" w:rsidR="002066B0" w:rsidRPr="00AD21FF" w:rsidRDefault="002066B0" w:rsidP="002066B0">
      <w:pPr>
        <w:pStyle w:val="ManualConsidrant"/>
        <w:rPr>
          <w:noProof/>
        </w:rPr>
      </w:pPr>
      <w:r>
        <w:rPr>
          <w:noProof/>
        </w:rPr>
        <w:t>(70)</w:t>
      </w:r>
      <w:r>
        <w:rPr>
          <w:noProof/>
        </w:rPr>
        <w:tab/>
      </w:r>
      <w:r w:rsidRPr="00AD21FF">
        <w:rPr>
          <w:noProof/>
        </w:rPr>
        <w:t>Businesses and households are an essential part of the demand for net-zero technologies</w:t>
      </w:r>
      <w:r>
        <w:rPr>
          <w:noProof/>
        </w:rPr>
        <w:t xml:space="preserve"> in the Union</w:t>
      </w:r>
      <w:r w:rsidRPr="00AD21FF">
        <w:rPr>
          <w:noProof/>
        </w:rPr>
        <w:t xml:space="preserve">. Public support schemes designed to support consumer demand for such products are important tools for strengthening the Union’s economic security and accelerating the green transition. </w:t>
      </w:r>
      <w:r>
        <w:rPr>
          <w:noProof/>
        </w:rPr>
        <w:t xml:space="preserve">In order to </w:t>
      </w:r>
      <w:r w:rsidRPr="00AD21FF">
        <w:rPr>
          <w:noProof/>
        </w:rPr>
        <w:t xml:space="preserve">build on the provisions </w:t>
      </w:r>
      <w:r w:rsidRPr="00C71790">
        <w:rPr>
          <w:noProof/>
        </w:rPr>
        <w:t>of Regulation (EU) 2024/1735</w:t>
      </w:r>
      <w:r w:rsidRPr="00AD21FF">
        <w:rPr>
          <w:noProof/>
        </w:rPr>
        <w:t xml:space="preserve"> on resilience</w:t>
      </w:r>
      <w:r>
        <w:rPr>
          <w:noProof/>
        </w:rPr>
        <w:t>, it is necessary to</w:t>
      </w:r>
      <w:r w:rsidRPr="00AD21FF">
        <w:rPr>
          <w:noProof/>
        </w:rPr>
        <w:t xml:space="preserve"> complement </w:t>
      </w:r>
      <w:r>
        <w:rPr>
          <w:noProof/>
        </w:rPr>
        <w:t xml:space="preserve">those provisions </w:t>
      </w:r>
      <w:r w:rsidRPr="00AD21FF">
        <w:rPr>
          <w:noProof/>
        </w:rPr>
        <w:t>introducing additional requirements for battery energy storage systems, solar photovoltaic technologies</w:t>
      </w:r>
      <w:r>
        <w:rPr>
          <w:noProof/>
        </w:rPr>
        <w:t xml:space="preserve"> and</w:t>
      </w:r>
      <w:r w:rsidRPr="00AD21FF">
        <w:rPr>
          <w:noProof/>
        </w:rPr>
        <w:t xml:space="preserve"> heat pumps. Such additional requirements should ensure that certain main specific components</w:t>
      </w:r>
      <w:r>
        <w:rPr>
          <w:noProof/>
        </w:rPr>
        <w:t xml:space="preserve"> and,</w:t>
      </w:r>
      <w:r w:rsidRPr="00AD21FF">
        <w:rPr>
          <w:noProof/>
        </w:rPr>
        <w:t xml:space="preserve"> in </w:t>
      </w:r>
      <w:r>
        <w:rPr>
          <w:noProof/>
        </w:rPr>
        <w:t xml:space="preserve">some cases, </w:t>
      </w:r>
      <w:r w:rsidRPr="00AD21FF">
        <w:rPr>
          <w:noProof/>
        </w:rPr>
        <w:t xml:space="preserve">the </w:t>
      </w:r>
      <w:r>
        <w:rPr>
          <w:noProof/>
        </w:rPr>
        <w:t>whole final product</w:t>
      </w:r>
      <w:r w:rsidRPr="00AD21FF">
        <w:rPr>
          <w:noProof/>
        </w:rPr>
        <w:t>, originate in the Union. Th</w:t>
      </w:r>
      <w:r>
        <w:rPr>
          <w:noProof/>
        </w:rPr>
        <w:t>at</w:t>
      </w:r>
      <w:r w:rsidRPr="00AD21FF">
        <w:rPr>
          <w:noProof/>
        </w:rPr>
        <w:t xml:space="preserve"> approach is in line with the general objective of support schemes to promote socially-desirable outcomes</w:t>
      </w:r>
      <w:r>
        <w:rPr>
          <w:noProof/>
        </w:rPr>
        <w:t>, in view of making progress on the ambitions of the European Pillar of Social Rights as well as environmental and climate objectives. Furthermore, it</w:t>
      </w:r>
      <w:r w:rsidRPr="00AD21FF">
        <w:rPr>
          <w:noProof/>
        </w:rPr>
        <w:t xml:space="preserve"> should ensure sufficient diversification while strengthening strategic manufacturing capacity and technological sovereignty within the Union.</w:t>
      </w:r>
      <w:r>
        <w:rPr>
          <w:noProof/>
        </w:rPr>
        <w:t xml:space="preserve"> Public authorities in charge of support schemes should have the possibility either to condition the eligibility of the scheme to the fulfilment of the requirements, or to grant additional financial compensation when the requirements are fulfilled. In the latter case, the additional financial compensation should have an incentivising effect. However, if State aid is involved, the additional financial compensation should not exceed the applicable maximum aid intensity.</w:t>
      </w:r>
    </w:p>
    <w:p w14:paraId="67B2F560" w14:textId="77777777" w:rsidR="002B14CF" w:rsidRPr="00AD21FF" w:rsidRDefault="002B14CF" w:rsidP="002B14CF">
      <w:pPr>
        <w:pStyle w:val="ManualConsidrant"/>
        <w:rPr>
          <w:noProof/>
        </w:rPr>
      </w:pPr>
      <w:r>
        <w:rPr>
          <w:noProof/>
        </w:rPr>
        <w:t>(71)</w:t>
      </w:r>
      <w:r>
        <w:rPr>
          <w:noProof/>
        </w:rPr>
        <w:tab/>
      </w:r>
      <w:r w:rsidRPr="00AD21FF">
        <w:rPr>
          <w:noProof/>
        </w:rPr>
        <w:t xml:space="preserve">Digital technologies continue to transform the way we generate, distribute, and consume energy. </w:t>
      </w:r>
      <w:r w:rsidR="00E26D5E">
        <w:rPr>
          <w:noProof/>
        </w:rPr>
        <w:t>Such</w:t>
      </w:r>
      <w:r w:rsidRPr="00AD21FF">
        <w:rPr>
          <w:noProof/>
        </w:rPr>
        <w:t xml:space="preserve"> digital evolution, while presenting unprecedented opportunities, has also introduced complexity and interdependence within modern energy systems, which are now susceptible to a growing array of cyber threats. The integration of digital technologies into energy systems increases the attack surface for malicious actors, who can exploit vulnerabilities to disrupt operations, steal sensitive data, or manipulate energy markets. Such disruptions not only threaten the security and stability of our energy infrastructure and continuous supply of energy but also have cascading effects on all sectors of the economy that rely on stable energy inputs. Furthermore, energy system disruptions could undermine investor confidence and deter investment in essential modernisation and decarbonisation efforts. Therefore, safeguarding the cybersecurity of these systems is paramount to ensuring economic security, maintaining trust, and fostering resilience against future challenges.</w:t>
      </w:r>
    </w:p>
    <w:p w14:paraId="577C419C" w14:textId="77777777" w:rsidR="00BF2C13" w:rsidRPr="00AD21FF" w:rsidRDefault="00BF2C13" w:rsidP="00BF2C13">
      <w:pPr>
        <w:pStyle w:val="ManualConsidrant"/>
        <w:rPr>
          <w:noProof/>
        </w:rPr>
      </w:pPr>
      <w:r>
        <w:rPr>
          <w:noProof/>
        </w:rPr>
        <w:t>(72)</w:t>
      </w:r>
      <w:r>
        <w:rPr>
          <w:noProof/>
        </w:rPr>
        <w:tab/>
        <w:t xml:space="preserve">To ensure a high level of cybersecurity, it is necessary to prevent </w:t>
      </w:r>
      <w:r w:rsidRPr="00AD21FF">
        <w:rPr>
          <w:noProof/>
        </w:rPr>
        <w:t>high-risk suppliers</w:t>
      </w:r>
      <w:r>
        <w:rPr>
          <w:noProof/>
        </w:rPr>
        <w:t>, as identified in accordance with [the proposal for a revised Cybersecurity Act]</w:t>
      </w:r>
      <w:r w:rsidRPr="00AD21FF">
        <w:rPr>
          <w:noProof/>
        </w:rPr>
        <w:t xml:space="preserve"> </w:t>
      </w:r>
      <w:r>
        <w:rPr>
          <w:noProof/>
        </w:rPr>
        <w:t>from</w:t>
      </w:r>
      <w:r w:rsidRPr="00AD21FF">
        <w:rPr>
          <w:noProof/>
        </w:rPr>
        <w:t xml:space="preserve"> supply</w:t>
      </w:r>
      <w:r>
        <w:rPr>
          <w:noProof/>
        </w:rPr>
        <w:t>ing critical components</w:t>
      </w:r>
      <w:r w:rsidRPr="00AD21FF">
        <w:rPr>
          <w:noProof/>
        </w:rPr>
        <w:t xml:space="preserve"> to bidders of renewable energy auctions, tenderers of public procurement procedures, and final products supported by government intervention in the scope of this Regulation. </w:t>
      </w:r>
    </w:p>
    <w:p w14:paraId="54EDE06D" w14:textId="77777777" w:rsidR="002B14CF" w:rsidRPr="00AD21FF" w:rsidRDefault="002B14CF" w:rsidP="002B14CF">
      <w:pPr>
        <w:pStyle w:val="ManualConsidrant"/>
        <w:rPr>
          <w:noProof/>
        </w:rPr>
      </w:pPr>
      <w:r>
        <w:rPr>
          <w:noProof/>
        </w:rPr>
        <w:t>(73)</w:t>
      </w:r>
      <w:r>
        <w:rPr>
          <w:noProof/>
        </w:rPr>
        <w:tab/>
      </w:r>
      <w:r w:rsidRPr="00AD21FF">
        <w:rPr>
          <w:noProof/>
        </w:rPr>
        <w:t>Furthermore, the cybersecurity provisions of Article 26 of Regulation (EU) 2024/1735 should not only apply to 30</w:t>
      </w:r>
      <w:r>
        <w:rPr>
          <w:noProof/>
        </w:rPr>
        <w:t>%,</w:t>
      </w:r>
      <w:r w:rsidRPr="00AD21FF">
        <w:rPr>
          <w:noProof/>
        </w:rPr>
        <w:t xml:space="preserve"> but to all renewable energy auctions</w:t>
      </w:r>
      <w:r w:rsidR="00F320C8">
        <w:rPr>
          <w:noProof/>
        </w:rPr>
        <w:t xml:space="preserve"> in light that</w:t>
      </w:r>
      <w:r w:rsidRPr="00AD21FF">
        <w:rPr>
          <w:noProof/>
        </w:rPr>
        <w:t xml:space="preserve"> cybersecurity is essential to the stability and integrity of the Union’s energy system as a whole. A gap even in just one element of an energy system’s cybersecurity </w:t>
      </w:r>
      <w:r w:rsidR="00815894">
        <w:rPr>
          <w:noProof/>
        </w:rPr>
        <w:t>could</w:t>
      </w:r>
      <w:r w:rsidR="00815894" w:rsidRPr="00AD21FF">
        <w:rPr>
          <w:noProof/>
        </w:rPr>
        <w:t xml:space="preserve"> </w:t>
      </w:r>
      <w:r w:rsidRPr="00AD21FF">
        <w:rPr>
          <w:noProof/>
        </w:rPr>
        <w:t xml:space="preserve">endanger the stability of the whole system. </w:t>
      </w:r>
      <w:r w:rsidR="001453EF">
        <w:rPr>
          <w:iCs/>
          <w:noProof/>
        </w:rPr>
        <w:t xml:space="preserve">In addition to the high level of cybersecurity ensured in critical sectors by </w:t>
      </w:r>
      <w:r w:rsidR="001453EF" w:rsidRPr="00CA49A2">
        <w:rPr>
          <w:iCs/>
          <w:noProof/>
        </w:rPr>
        <w:t xml:space="preserve">Directive (EU) 2022/2555 </w:t>
      </w:r>
      <w:r w:rsidR="001453EF">
        <w:rPr>
          <w:iCs/>
          <w:noProof/>
        </w:rPr>
        <w:t xml:space="preserve">and in products with digital elements under </w:t>
      </w:r>
      <w:r w:rsidR="001453EF" w:rsidRPr="008F69F4">
        <w:rPr>
          <w:iCs/>
          <w:noProof/>
        </w:rPr>
        <w:t>Regulation (EU) 2024/2847</w:t>
      </w:r>
      <w:r w:rsidR="001453EF">
        <w:rPr>
          <w:iCs/>
          <w:noProof/>
        </w:rPr>
        <w:t xml:space="preserve">, </w:t>
      </w:r>
      <w:r w:rsidR="001453EF">
        <w:rPr>
          <w:noProof/>
        </w:rPr>
        <w:t>e</w:t>
      </w:r>
      <w:r w:rsidRPr="00AD21FF">
        <w:rPr>
          <w:noProof/>
        </w:rPr>
        <w:t xml:space="preserve">xtending the scope of the cybersecurity requirements of Regulation (EU) 2024/1735 </w:t>
      </w:r>
      <w:r w:rsidR="001453EF">
        <w:rPr>
          <w:noProof/>
        </w:rPr>
        <w:t xml:space="preserve">to all renewable energy auctions </w:t>
      </w:r>
      <w:r w:rsidRPr="00AD21FF">
        <w:rPr>
          <w:noProof/>
        </w:rPr>
        <w:t xml:space="preserve">should </w:t>
      </w:r>
      <w:r w:rsidR="001453EF">
        <w:rPr>
          <w:noProof/>
        </w:rPr>
        <w:t>further</w:t>
      </w:r>
      <w:r w:rsidRPr="00AD21FF">
        <w:rPr>
          <w:noProof/>
        </w:rPr>
        <w:t xml:space="preserve"> reduce the vulnerabilities of the Union’s energy system and contribute to securing energy and economic stability.</w:t>
      </w:r>
    </w:p>
    <w:p w14:paraId="44C79EDF" w14:textId="77777777" w:rsidR="002B14CF" w:rsidRPr="00AD21FF" w:rsidRDefault="002B14CF" w:rsidP="002B14CF">
      <w:pPr>
        <w:pStyle w:val="ManualConsidrant"/>
        <w:rPr>
          <w:noProof/>
        </w:rPr>
      </w:pPr>
      <w:r>
        <w:rPr>
          <w:noProof/>
        </w:rPr>
        <w:t>(74)</w:t>
      </w:r>
      <w:r>
        <w:rPr>
          <w:noProof/>
        </w:rPr>
        <w:tab/>
      </w:r>
      <w:r w:rsidRPr="00AD21FF">
        <w:rPr>
          <w:noProof/>
        </w:rPr>
        <w:t>The</w:t>
      </w:r>
      <w:r w:rsidR="00815894">
        <w:rPr>
          <w:noProof/>
        </w:rPr>
        <w:t xml:space="preserve"> application of the</w:t>
      </w:r>
      <w:r w:rsidRPr="00AD21FF">
        <w:rPr>
          <w:noProof/>
        </w:rPr>
        <w:t xml:space="preserve"> requirements on Union origin and cybersecurity for net-zero technologies should complement t</w:t>
      </w:r>
      <w:r w:rsidR="00815894">
        <w:rPr>
          <w:noProof/>
        </w:rPr>
        <w:t>he</w:t>
      </w:r>
      <w:r w:rsidRPr="00AD21FF">
        <w:rPr>
          <w:noProof/>
        </w:rPr>
        <w:t xml:space="preserve"> requirements on sustainability and resilience </w:t>
      </w:r>
      <w:r w:rsidR="003D39B6">
        <w:rPr>
          <w:noProof/>
        </w:rPr>
        <w:t>set out</w:t>
      </w:r>
      <w:r w:rsidR="003D39B6" w:rsidRPr="00AD21FF">
        <w:rPr>
          <w:noProof/>
        </w:rPr>
        <w:t xml:space="preserve"> </w:t>
      </w:r>
      <w:r w:rsidRPr="00AD21FF">
        <w:rPr>
          <w:noProof/>
        </w:rPr>
        <w:t xml:space="preserve">in Regulation (EU) 2024/1735. They should therefore be inserted in </w:t>
      </w:r>
      <w:r w:rsidR="00F8719C">
        <w:rPr>
          <w:noProof/>
        </w:rPr>
        <w:t xml:space="preserve">that </w:t>
      </w:r>
      <w:r w:rsidRPr="00AD21FF">
        <w:rPr>
          <w:noProof/>
        </w:rPr>
        <w:t xml:space="preserve">Regulation </w:t>
      </w:r>
      <w:r w:rsidR="00F8719C">
        <w:rPr>
          <w:noProof/>
        </w:rPr>
        <w:t>to</w:t>
      </w:r>
      <w:r w:rsidRPr="00AD21FF">
        <w:rPr>
          <w:noProof/>
        </w:rPr>
        <w:t xml:space="preserve"> ensure consistency and simplify implementation by the relevant authorities.</w:t>
      </w:r>
    </w:p>
    <w:p w14:paraId="3926B2B8" w14:textId="77777777" w:rsidR="007A55C2" w:rsidRDefault="00DA70B3" w:rsidP="007A55C2">
      <w:pPr>
        <w:pStyle w:val="ManualConsidrant"/>
        <w:rPr>
          <w:noProof/>
        </w:rPr>
      </w:pPr>
      <w:r>
        <w:rPr>
          <w:noProof/>
        </w:rPr>
        <w:t>(75)</w:t>
      </w:r>
      <w:r>
        <w:rPr>
          <w:noProof/>
        </w:rPr>
        <w:tab/>
      </w:r>
      <w:r w:rsidRPr="00AD21FF">
        <w:rPr>
          <w:noProof/>
        </w:rPr>
        <w:t xml:space="preserve">In line with the measures for public procurement, auctions and public support schemes, this Regulation should also complement Regulation (EU) 2024/1735 with Union origin requirements for Member State support to the construction of nuclear power plants and to the manufacturing of hydrogen electrolysers. To secure long term </w:t>
      </w:r>
      <w:r>
        <w:rPr>
          <w:noProof/>
        </w:rPr>
        <w:t>Union</w:t>
      </w:r>
      <w:r w:rsidRPr="00AD21FF">
        <w:rPr>
          <w:noProof/>
        </w:rPr>
        <w:t xml:space="preserve"> sovereignty, energy security, and sector resilience, it is essential that the </w:t>
      </w:r>
      <w:r>
        <w:rPr>
          <w:noProof/>
        </w:rPr>
        <w:t>new</w:t>
      </w:r>
      <w:r w:rsidRPr="00AD21FF">
        <w:rPr>
          <w:noProof/>
        </w:rPr>
        <w:t xml:space="preserve"> nuclear plants, both large scale reactors and small modular reactors, prioritise as much as possible Union sourced technologies and components while maintaining the highest quality standards. </w:t>
      </w:r>
      <w:r>
        <w:rPr>
          <w:noProof/>
        </w:rPr>
        <w:t>Such</w:t>
      </w:r>
      <w:r w:rsidRPr="00AD21FF">
        <w:rPr>
          <w:noProof/>
        </w:rPr>
        <w:t xml:space="preserve"> strategy will not only boost domestic capabilities but also position the Union as a reliable, competitive player in the global nuclear market.</w:t>
      </w:r>
      <w:r>
        <w:rPr>
          <w:noProof/>
        </w:rPr>
        <w:t xml:space="preserve"> However, in order to prevent risks related to technological lock-in, the Union origin requirements for nuclear power plants should only apply to new-builds, excluding refurbishments and lifetime extensions of existing nuclear power plants. </w:t>
      </w:r>
    </w:p>
    <w:p w14:paraId="1CA3114A" w14:textId="77777777" w:rsidR="00853DEE" w:rsidRPr="00AD21FF" w:rsidRDefault="00853DEE" w:rsidP="007A55C2">
      <w:pPr>
        <w:pStyle w:val="ManualConsidrant"/>
        <w:rPr>
          <w:noProof/>
        </w:rPr>
      </w:pPr>
      <w:r>
        <w:rPr>
          <w:noProof/>
        </w:rPr>
        <w:t>(76)</w:t>
      </w:r>
      <w:r>
        <w:rPr>
          <w:noProof/>
        </w:rPr>
        <w:tab/>
        <w:t>Regulation (EU) 2024/1735 should therefore be amended accordingly.</w:t>
      </w:r>
    </w:p>
    <w:p w14:paraId="36DB128F" w14:textId="77777777" w:rsidR="002B14CF" w:rsidRPr="00AD21FF" w:rsidRDefault="002B14CF" w:rsidP="002B14CF">
      <w:pPr>
        <w:pStyle w:val="ManualConsidrant"/>
        <w:rPr>
          <w:noProof/>
        </w:rPr>
      </w:pPr>
      <w:r>
        <w:rPr>
          <w:noProof/>
        </w:rPr>
        <w:t>(77)</w:t>
      </w:r>
      <w:r>
        <w:rPr>
          <w:noProof/>
        </w:rPr>
        <w:tab/>
      </w:r>
      <w:r w:rsidRPr="00AD21FF">
        <w:rPr>
          <w:noProof/>
        </w:rPr>
        <w:t xml:space="preserve">Hydrogen is a crucial energy carrier for the energy transition in many industry applications and is instrumental in driving the transition to cleaner energy systems. To accommodate the emergence of gigawatt scale electrolyser deployments in the </w:t>
      </w:r>
      <w:r w:rsidR="008F06B2">
        <w:rPr>
          <w:noProof/>
        </w:rPr>
        <w:t>Union</w:t>
      </w:r>
      <w:r w:rsidRPr="00AD21FF">
        <w:rPr>
          <w:noProof/>
        </w:rPr>
        <w:t xml:space="preserve">, </w:t>
      </w:r>
      <w:r w:rsidR="00346E29">
        <w:rPr>
          <w:noProof/>
        </w:rPr>
        <w:t>it</w:t>
      </w:r>
      <w:r w:rsidRPr="00AD21FF">
        <w:rPr>
          <w:noProof/>
        </w:rPr>
        <w:t xml:space="preserve"> is essential</w:t>
      </w:r>
      <w:r w:rsidR="00346E29">
        <w:rPr>
          <w:noProof/>
        </w:rPr>
        <w:t xml:space="preserve"> to have </w:t>
      </w:r>
      <w:r w:rsidR="00346E29" w:rsidRPr="00AD21FF">
        <w:rPr>
          <w:noProof/>
        </w:rPr>
        <w:t>a concerted, enhanced support system is essential.</w:t>
      </w:r>
      <w:r w:rsidRPr="00AD21FF">
        <w:rPr>
          <w:noProof/>
        </w:rPr>
        <w:t xml:space="preserve"> </w:t>
      </w:r>
    </w:p>
    <w:p w14:paraId="0D63C727" w14:textId="77777777" w:rsidR="00FD27D5" w:rsidRPr="00AD21FF" w:rsidRDefault="003C510C" w:rsidP="002B14CF">
      <w:pPr>
        <w:pStyle w:val="ManualConsidrant"/>
        <w:rPr>
          <w:noProof/>
        </w:rPr>
      </w:pPr>
      <w:r>
        <w:rPr>
          <w:noProof/>
        </w:rPr>
        <w:t>(78)</w:t>
      </w:r>
      <w:r>
        <w:rPr>
          <w:noProof/>
        </w:rPr>
        <w:tab/>
        <w:t xml:space="preserve">Where Union origin requirements </w:t>
      </w:r>
      <w:r w:rsidR="00C12785">
        <w:rPr>
          <w:noProof/>
        </w:rPr>
        <w:t xml:space="preserve">require that a certain number of components should originate in the Union without specifying which </w:t>
      </w:r>
      <w:r w:rsidR="00F87CEE">
        <w:rPr>
          <w:noProof/>
        </w:rPr>
        <w:t>ones</w:t>
      </w:r>
      <w:r w:rsidR="00C12785">
        <w:rPr>
          <w:noProof/>
        </w:rPr>
        <w:t xml:space="preserve">, the choice </w:t>
      </w:r>
      <w:r w:rsidR="0017093D">
        <w:rPr>
          <w:noProof/>
        </w:rPr>
        <w:t>should be left to the economic operators</w:t>
      </w:r>
      <w:r w:rsidR="00B022BC">
        <w:rPr>
          <w:noProof/>
        </w:rPr>
        <w:t xml:space="preserve">. </w:t>
      </w:r>
      <w:r w:rsidR="0064596C">
        <w:rPr>
          <w:noProof/>
        </w:rPr>
        <w:t xml:space="preserve">This ensures sufficient competition among suppliers of the required components and enables economic </w:t>
      </w:r>
      <w:r w:rsidR="0064596C" w:rsidRPr="00FE4794">
        <w:rPr>
          <w:noProof/>
        </w:rPr>
        <w:t xml:space="preserve">operators to make the most cost-efficient choices while applying the requirements. </w:t>
      </w:r>
    </w:p>
    <w:p w14:paraId="47DBD66B" w14:textId="77777777" w:rsidR="00F66A56" w:rsidRPr="00FB1C1C" w:rsidRDefault="002B14CF" w:rsidP="007A55C2">
      <w:pPr>
        <w:pStyle w:val="ManualConsidrant"/>
        <w:rPr>
          <w:noProof/>
        </w:rPr>
      </w:pPr>
      <w:r>
        <w:rPr>
          <w:noProof/>
        </w:rPr>
        <w:t>(79)</w:t>
      </w:r>
      <w:r>
        <w:rPr>
          <w:noProof/>
        </w:rPr>
        <w:tab/>
      </w:r>
      <w:r w:rsidRPr="00AD21FF">
        <w:rPr>
          <w:noProof/>
        </w:rPr>
        <w:t xml:space="preserve">Regulation (EU) 2024/3110 empowers the Commission to adopt delegated acts to establish environmental sustainability labelling requirements for specific product categories and families of construction products, provided that a product is typically chosen by consumers and does not have a different overall environmental performance over its life cycle depending on its installation. </w:t>
      </w:r>
      <w:r w:rsidR="00EE537D">
        <w:rPr>
          <w:noProof/>
        </w:rPr>
        <w:t>Such</w:t>
      </w:r>
      <w:r w:rsidRPr="00AD21FF">
        <w:rPr>
          <w:noProof/>
        </w:rPr>
        <w:t xml:space="preserve"> strict conditions should be removed in order to enable the Commission to set requirements for the labelling of construction products on the basis of their carbon intensity, </w:t>
      </w:r>
      <w:r w:rsidR="00EE537D">
        <w:rPr>
          <w:noProof/>
        </w:rPr>
        <w:t>including</w:t>
      </w:r>
      <w:r w:rsidR="00EE537D" w:rsidRPr="00AD21FF">
        <w:rPr>
          <w:noProof/>
        </w:rPr>
        <w:t xml:space="preserve"> </w:t>
      </w:r>
      <w:r w:rsidRPr="00AD21FF">
        <w:rPr>
          <w:noProof/>
        </w:rPr>
        <w:t>for those products that are not typically sold to end consumers.</w:t>
      </w:r>
      <w:r w:rsidR="007A55C2">
        <w:rPr>
          <w:noProof/>
        </w:rPr>
        <w:t xml:space="preserve"> </w:t>
      </w:r>
      <w:r w:rsidR="00F66A56">
        <w:rPr>
          <w:noProof/>
        </w:rPr>
        <w:t>Regulation (EU) 2024/3110 should therefore be amended accordingly.</w:t>
      </w:r>
    </w:p>
    <w:p w14:paraId="57BDAA00" w14:textId="77777777" w:rsidR="002B14CF" w:rsidRPr="00AD21FF" w:rsidRDefault="002B14CF" w:rsidP="002B14CF">
      <w:pPr>
        <w:pStyle w:val="ManualConsidrant"/>
        <w:rPr>
          <w:noProof/>
        </w:rPr>
      </w:pPr>
      <w:r>
        <w:rPr>
          <w:noProof/>
        </w:rPr>
        <w:t>(80)</w:t>
      </w:r>
      <w:r>
        <w:rPr>
          <w:noProof/>
        </w:rPr>
        <w:tab/>
      </w:r>
      <w:r w:rsidRPr="00AD21FF">
        <w:rPr>
          <w:noProof/>
        </w:rPr>
        <w:t>To the extent that any of the measures envisaged by this Regulation constitute State aid, the provisions concerning such measures are without prejudice to the application of Articles 107 and 108 TFEU.</w:t>
      </w:r>
    </w:p>
    <w:p w14:paraId="222FA7C1" w14:textId="77777777" w:rsidR="002B14CF" w:rsidRPr="00AD21FF" w:rsidRDefault="002B14CF">
      <w:pPr>
        <w:pStyle w:val="ManualConsidrant"/>
        <w:rPr>
          <w:noProof/>
        </w:rPr>
      </w:pPr>
      <w:r>
        <w:rPr>
          <w:noProof/>
        </w:rPr>
        <w:t>(81)</w:t>
      </w:r>
      <w:r>
        <w:rPr>
          <w:noProof/>
        </w:rPr>
        <w:tab/>
      </w:r>
      <w:r w:rsidRPr="00AD21FF">
        <w:rPr>
          <w:noProof/>
        </w:rPr>
        <w:t>Since the objective of this Regulation, namely to support resilient and decarbonised industrial production, cannot be sufficiently achieved by the Member States and can rather, by reason of the scale or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p w14:paraId="19436438" w14:textId="77777777" w:rsidR="00290640" w:rsidRPr="00AD21FF" w:rsidRDefault="00440ED7" w:rsidP="00290640">
      <w:pPr>
        <w:pStyle w:val="Formuledadoption"/>
        <w:rPr>
          <w:noProof/>
        </w:rPr>
      </w:pPr>
      <w:r w:rsidRPr="00AD21FF">
        <w:rPr>
          <w:noProof/>
        </w:rPr>
        <w:t>HAVE ADOPTED THIS REGULATION:</w:t>
      </w:r>
    </w:p>
    <w:p w14:paraId="4968684C" w14:textId="77777777" w:rsidR="00290640" w:rsidRPr="00AD21FF" w:rsidRDefault="00290640" w:rsidP="00290640">
      <w:pPr>
        <w:pStyle w:val="ChapterTitle"/>
        <w:rPr>
          <w:noProof/>
        </w:rPr>
      </w:pPr>
      <w:r w:rsidRPr="00AD21FF">
        <w:rPr>
          <w:b w:val="0"/>
          <w:bCs/>
          <w:noProof/>
        </w:rPr>
        <w:t>CHAPTER I</w:t>
      </w:r>
      <w:r w:rsidRPr="00AD21FF">
        <w:rPr>
          <w:noProof/>
        </w:rPr>
        <w:br/>
        <w:t>GENERAL PROVISIONS</w:t>
      </w:r>
    </w:p>
    <w:p w14:paraId="45760F0A" w14:textId="77777777" w:rsidR="002D7B2F" w:rsidRPr="00AD21FF" w:rsidRDefault="002D7B2F" w:rsidP="002D7B2F">
      <w:pPr>
        <w:pStyle w:val="Titrearticle"/>
        <w:rPr>
          <w:noProof/>
        </w:rPr>
      </w:pPr>
      <w:r w:rsidRPr="00AD21FF">
        <w:rPr>
          <w:noProof/>
        </w:rPr>
        <w:t xml:space="preserve">Article </w:t>
      </w:r>
      <w:r w:rsidR="001F2422">
        <w:rPr>
          <w:noProof/>
        </w:rPr>
        <w:t>1</w:t>
      </w:r>
      <w:r w:rsidRPr="00AD21FF">
        <w:rPr>
          <w:noProof/>
        </w:rPr>
        <w:t xml:space="preserve"> </w:t>
      </w:r>
      <w:r w:rsidRPr="00AD21FF">
        <w:rPr>
          <w:noProof/>
        </w:rPr>
        <w:br/>
      </w:r>
      <w:r w:rsidRPr="00AD21FF">
        <w:rPr>
          <w:b/>
          <w:bCs/>
          <w:i w:val="0"/>
          <w:iCs/>
          <w:noProof/>
        </w:rPr>
        <w:t>S</w:t>
      </w:r>
      <w:r w:rsidR="00525F40">
        <w:rPr>
          <w:b/>
          <w:bCs/>
          <w:i w:val="0"/>
          <w:iCs/>
          <w:noProof/>
        </w:rPr>
        <w:t>ubject matter and s</w:t>
      </w:r>
      <w:r w:rsidRPr="00AD21FF">
        <w:rPr>
          <w:b/>
          <w:bCs/>
          <w:i w:val="0"/>
          <w:iCs/>
          <w:noProof/>
        </w:rPr>
        <w:t>cope</w:t>
      </w:r>
      <w:r w:rsidRPr="00AD21FF">
        <w:rPr>
          <w:noProof/>
        </w:rPr>
        <w:t xml:space="preserve"> </w:t>
      </w:r>
    </w:p>
    <w:p w14:paraId="5D2BCDE5" w14:textId="77777777" w:rsidR="00C05D61" w:rsidRPr="00E179D0" w:rsidRDefault="00C05D61" w:rsidP="007234F4">
      <w:pPr>
        <w:pStyle w:val="ManualNumPar1"/>
        <w:rPr>
          <w:noProof/>
        </w:rPr>
      </w:pPr>
      <w:r>
        <w:rPr>
          <w:noProof/>
        </w:rPr>
        <w:t>1.</w:t>
      </w:r>
      <w:r>
        <w:rPr>
          <w:noProof/>
        </w:rPr>
        <w:tab/>
      </w:r>
      <w:r w:rsidRPr="00AD21FF">
        <w:rPr>
          <w:noProof/>
        </w:rPr>
        <w:t xml:space="preserve">This Regulation </w:t>
      </w:r>
      <w:r>
        <w:rPr>
          <w:noProof/>
        </w:rPr>
        <w:t xml:space="preserve">aims at improving the functioning of the internal market by establishing a framework </w:t>
      </w:r>
      <w:r w:rsidRPr="00AD21FF">
        <w:rPr>
          <w:noProof/>
        </w:rPr>
        <w:t>to support the development</w:t>
      </w:r>
      <w:r>
        <w:rPr>
          <w:noProof/>
        </w:rPr>
        <w:t>,</w:t>
      </w:r>
      <w:r w:rsidRPr="00AD21FF">
        <w:rPr>
          <w:noProof/>
        </w:rPr>
        <w:t xml:space="preserve"> competitiveness </w:t>
      </w:r>
      <w:r>
        <w:rPr>
          <w:noProof/>
        </w:rPr>
        <w:t xml:space="preserve">and resilience </w:t>
      </w:r>
      <w:r w:rsidRPr="00AD21FF">
        <w:rPr>
          <w:noProof/>
        </w:rPr>
        <w:t xml:space="preserve">of the Union's manufacturing sector, with a focus on </w:t>
      </w:r>
      <w:r>
        <w:rPr>
          <w:noProof/>
        </w:rPr>
        <w:t xml:space="preserve">selected </w:t>
      </w:r>
      <w:r w:rsidRPr="00AD21FF">
        <w:rPr>
          <w:noProof/>
        </w:rPr>
        <w:t xml:space="preserve">strategic sectors, </w:t>
      </w:r>
      <w:r>
        <w:rPr>
          <w:noProof/>
        </w:rPr>
        <w:t>while contributing to the Union’s climate objective,</w:t>
      </w:r>
      <w:r w:rsidRPr="00210541">
        <w:rPr>
          <w:noProof/>
        </w:rPr>
        <w:t xml:space="preserve"> </w:t>
      </w:r>
      <w:r>
        <w:rPr>
          <w:noProof/>
        </w:rPr>
        <w:t xml:space="preserve">economic security and </w:t>
      </w:r>
      <w:r w:rsidRPr="00D3058C">
        <w:rPr>
          <w:noProof/>
        </w:rPr>
        <w:t>the creation, retention of, and transition into</w:t>
      </w:r>
      <w:r w:rsidRPr="00E179D0">
        <w:rPr>
          <w:noProof/>
        </w:rPr>
        <w:t xml:space="preserve"> high-quality jobs.</w:t>
      </w:r>
    </w:p>
    <w:p w14:paraId="7486AD2B" w14:textId="77777777" w:rsidR="00CC5EE0" w:rsidRPr="00AD21FF" w:rsidRDefault="00AD3ECB" w:rsidP="007234F4">
      <w:pPr>
        <w:pStyle w:val="ManualNumPar1"/>
        <w:rPr>
          <w:noProof/>
        </w:rPr>
      </w:pPr>
      <w:r>
        <w:rPr>
          <w:noProof/>
        </w:rPr>
        <w:t>2.</w:t>
      </w:r>
      <w:r>
        <w:rPr>
          <w:noProof/>
        </w:rPr>
        <w:tab/>
      </w:r>
      <w:r w:rsidRPr="00AD3ECB">
        <w:rPr>
          <w:noProof/>
        </w:rPr>
        <w:t>To achieve the general objective referred to in paragraph 1, this Regulation lays down measures aiming to</w:t>
      </w:r>
    </w:p>
    <w:p w14:paraId="6DAE48CC" w14:textId="77777777" w:rsidR="007F61F1" w:rsidRPr="00E179D0" w:rsidRDefault="007F61F1" w:rsidP="00227552">
      <w:pPr>
        <w:pStyle w:val="Point1"/>
        <w:rPr>
          <w:noProof/>
        </w:rPr>
      </w:pPr>
      <w:r>
        <w:rPr>
          <w:noProof/>
        </w:rPr>
        <w:t>(a)</w:t>
      </w:r>
      <w:r>
        <w:rPr>
          <w:noProof/>
        </w:rPr>
        <w:tab/>
      </w:r>
      <w:r w:rsidRPr="00E179D0">
        <w:rPr>
          <w:noProof/>
        </w:rPr>
        <w:t xml:space="preserve">speed-up permit-granting procedures for industrial manufacturing projects, including energy-intensive industry decarbonisation projects; </w:t>
      </w:r>
    </w:p>
    <w:p w14:paraId="522BB5D1" w14:textId="77777777" w:rsidR="002D7B2F" w:rsidRPr="00AD21FF" w:rsidRDefault="00CA202C" w:rsidP="00227552">
      <w:pPr>
        <w:pStyle w:val="Point1"/>
        <w:rPr>
          <w:noProof/>
        </w:rPr>
      </w:pPr>
      <w:r>
        <w:rPr>
          <w:noProof/>
        </w:rPr>
        <w:t>(b)</w:t>
      </w:r>
      <w:r>
        <w:rPr>
          <w:noProof/>
        </w:rPr>
        <w:tab/>
        <w:t xml:space="preserve">create lead market for </w:t>
      </w:r>
      <w:r w:rsidR="002D7B2F" w:rsidRPr="00AD21FF">
        <w:rPr>
          <w:noProof/>
        </w:rPr>
        <w:t xml:space="preserve">certain products in strategic sectors, </w:t>
      </w:r>
      <w:r>
        <w:rPr>
          <w:noProof/>
        </w:rPr>
        <w:t xml:space="preserve">by laying down </w:t>
      </w:r>
      <w:r w:rsidR="002D7B2F" w:rsidRPr="00AD21FF">
        <w:rPr>
          <w:noProof/>
        </w:rPr>
        <w:t xml:space="preserve">Union origin requirements, low-carbon requirements, or both, in the context of public procurement, public support schemes; </w:t>
      </w:r>
    </w:p>
    <w:p w14:paraId="71EAE891" w14:textId="77777777" w:rsidR="002D7B2F" w:rsidRPr="00AD21FF" w:rsidRDefault="00820EBF" w:rsidP="00227552">
      <w:pPr>
        <w:pStyle w:val="Point1"/>
        <w:rPr>
          <w:noProof/>
        </w:rPr>
      </w:pPr>
      <w:r>
        <w:rPr>
          <w:noProof/>
        </w:rPr>
        <w:t>(c)</w:t>
      </w:r>
      <w:r>
        <w:rPr>
          <w:noProof/>
        </w:rPr>
        <w:tab/>
        <w:t xml:space="preserve">set conditions on </w:t>
      </w:r>
      <w:r w:rsidR="002D7B2F" w:rsidRPr="00AD21FF">
        <w:rPr>
          <w:noProof/>
        </w:rPr>
        <w:t xml:space="preserve">foreign direct investments in emerging strategic sectors; </w:t>
      </w:r>
    </w:p>
    <w:p w14:paraId="5BE8F41E" w14:textId="77777777" w:rsidR="002D7B2F" w:rsidRPr="00AD21FF" w:rsidRDefault="00820EBF" w:rsidP="00227552">
      <w:pPr>
        <w:pStyle w:val="Point1"/>
        <w:rPr>
          <w:noProof/>
        </w:rPr>
      </w:pPr>
      <w:r>
        <w:rPr>
          <w:noProof/>
        </w:rPr>
        <w:t>(d)</w:t>
      </w:r>
      <w:r>
        <w:rPr>
          <w:noProof/>
        </w:rPr>
        <w:tab/>
        <w:t xml:space="preserve">designate </w:t>
      </w:r>
      <w:r w:rsidR="00055878">
        <w:rPr>
          <w:noProof/>
        </w:rPr>
        <w:t>industrial manufacturing acceleration areas</w:t>
      </w:r>
      <w:r w:rsidR="002D7B2F" w:rsidRPr="00AD21FF">
        <w:rPr>
          <w:noProof/>
        </w:rPr>
        <w:t xml:space="preserve"> </w:t>
      </w:r>
      <w:r w:rsidR="00B079D8">
        <w:rPr>
          <w:noProof/>
        </w:rPr>
        <w:t xml:space="preserve">by Member States </w:t>
      </w:r>
      <w:r w:rsidR="002D7B2F" w:rsidRPr="00AD21FF">
        <w:rPr>
          <w:noProof/>
        </w:rPr>
        <w:t>for the purpose</w:t>
      </w:r>
      <w:r w:rsidR="00B079D8">
        <w:rPr>
          <w:noProof/>
        </w:rPr>
        <w:t>s</w:t>
      </w:r>
      <w:r w:rsidR="002D7B2F" w:rsidRPr="00AD21FF">
        <w:rPr>
          <w:noProof/>
        </w:rPr>
        <w:t xml:space="preserve"> of boosting industrial activities</w:t>
      </w:r>
      <w:r w:rsidR="00C25950">
        <w:rPr>
          <w:noProof/>
        </w:rPr>
        <w:t>.</w:t>
      </w:r>
      <w:r w:rsidR="002D7B2F" w:rsidRPr="00AD21FF">
        <w:rPr>
          <w:noProof/>
        </w:rPr>
        <w:t xml:space="preserve"> </w:t>
      </w:r>
    </w:p>
    <w:p w14:paraId="12E9FD0A" w14:textId="77777777" w:rsidR="002D7B2F" w:rsidRPr="00AD21FF" w:rsidRDefault="002D7B2F" w:rsidP="002D7B2F">
      <w:pPr>
        <w:pStyle w:val="Titrearticle"/>
        <w:rPr>
          <w:noProof/>
        </w:rPr>
      </w:pPr>
      <w:r w:rsidRPr="00AD21FF">
        <w:rPr>
          <w:noProof/>
        </w:rPr>
        <w:t xml:space="preserve">Article </w:t>
      </w:r>
      <w:r w:rsidR="001F2422">
        <w:rPr>
          <w:noProof/>
        </w:rPr>
        <w:t>2</w:t>
      </w:r>
      <w:r w:rsidRPr="00AD21FF">
        <w:rPr>
          <w:noProof/>
        </w:rPr>
        <w:br/>
      </w:r>
      <w:r w:rsidRPr="00AD21FF">
        <w:rPr>
          <w:b/>
          <w:bCs/>
          <w:i w:val="0"/>
          <w:iCs/>
          <w:noProof/>
        </w:rPr>
        <w:t>Industrialisation objective</w:t>
      </w:r>
      <w:r w:rsidRPr="00AD21FF">
        <w:rPr>
          <w:noProof/>
        </w:rPr>
        <w:t xml:space="preserve"> </w:t>
      </w:r>
    </w:p>
    <w:p w14:paraId="359D2FD1" w14:textId="77777777" w:rsidR="00BB2070" w:rsidRPr="00B5493D" w:rsidRDefault="00BB2070" w:rsidP="00BB2070">
      <w:pPr>
        <w:pStyle w:val="Text0"/>
        <w:rPr>
          <w:noProof/>
        </w:rPr>
      </w:pPr>
      <w:r w:rsidRPr="00B5493D">
        <w:rPr>
          <w:noProof/>
        </w:rPr>
        <w:t xml:space="preserve">The </w:t>
      </w:r>
      <w:r>
        <w:rPr>
          <w:noProof/>
        </w:rPr>
        <w:t>Union</w:t>
      </w:r>
      <w:r w:rsidRPr="00B5493D">
        <w:rPr>
          <w:noProof/>
        </w:rPr>
        <w:t xml:space="preserve"> and</w:t>
      </w:r>
      <w:r>
        <w:rPr>
          <w:noProof/>
        </w:rPr>
        <w:t xml:space="preserve"> </w:t>
      </w:r>
      <w:r w:rsidRPr="00B5493D">
        <w:rPr>
          <w:noProof/>
        </w:rPr>
        <w:t xml:space="preserve">Member States shall seek to ensure that by 2035 the manufacturing industry of the Union accounts for at least 20% of the Union’s gross domestic product. </w:t>
      </w:r>
    </w:p>
    <w:p w14:paraId="6A402DD4" w14:textId="77777777" w:rsidR="0065557B" w:rsidRPr="00AD21FF" w:rsidRDefault="0065557B" w:rsidP="0065557B">
      <w:pPr>
        <w:pStyle w:val="Titrearticle"/>
        <w:rPr>
          <w:b/>
          <w:bCs/>
          <w:i w:val="0"/>
          <w:iCs/>
          <w:noProof/>
        </w:rPr>
      </w:pPr>
      <w:r w:rsidRPr="001D6BE3">
        <w:rPr>
          <w:noProof/>
        </w:rPr>
        <w:t xml:space="preserve">Article </w:t>
      </w:r>
      <w:r w:rsidR="001F2422" w:rsidRPr="001D6BE3">
        <w:rPr>
          <w:noProof/>
        </w:rPr>
        <w:t>3</w:t>
      </w:r>
      <w:r w:rsidRPr="001D6BE3">
        <w:rPr>
          <w:noProof/>
        </w:rPr>
        <w:br/>
      </w:r>
      <w:r w:rsidRPr="001D6BE3">
        <w:rPr>
          <w:b/>
          <w:i w:val="0"/>
          <w:noProof/>
        </w:rPr>
        <w:t>Definitions</w:t>
      </w:r>
    </w:p>
    <w:p w14:paraId="3B2B141A" w14:textId="77777777" w:rsidR="0065557B" w:rsidRPr="00AD21FF" w:rsidRDefault="0065557B" w:rsidP="00BE1F12">
      <w:pPr>
        <w:pStyle w:val="Text0"/>
        <w:rPr>
          <w:noProof/>
        </w:rPr>
      </w:pPr>
      <w:r w:rsidRPr="00AD21FF">
        <w:rPr>
          <w:noProof/>
        </w:rPr>
        <w:t>For the purposes of this Regulation, the following definitions apply:</w:t>
      </w:r>
    </w:p>
    <w:p w14:paraId="7EAF0D79" w14:textId="77777777" w:rsidR="0065557B" w:rsidRPr="00AD21FF" w:rsidRDefault="0065557B" w:rsidP="00B105F9">
      <w:pPr>
        <w:pStyle w:val="Point0"/>
        <w:rPr>
          <w:noProof/>
        </w:rPr>
      </w:pPr>
      <w:r>
        <w:rPr>
          <w:noProof/>
        </w:rPr>
        <w:t>(1)</w:t>
      </w:r>
      <w:r>
        <w:rPr>
          <w:noProof/>
        </w:rPr>
        <w:tab/>
      </w:r>
      <w:r w:rsidRPr="00AD21FF">
        <w:rPr>
          <w:noProof/>
        </w:rPr>
        <w:t>‘industrial manufacturing project’ means the construction</w:t>
      </w:r>
      <w:r w:rsidR="005E04F9">
        <w:rPr>
          <w:noProof/>
        </w:rPr>
        <w:t>,</w:t>
      </w:r>
      <w:r w:rsidRPr="00AD21FF">
        <w:rPr>
          <w:noProof/>
        </w:rPr>
        <w:t xml:space="preserve"> conversion </w:t>
      </w:r>
      <w:r w:rsidR="005E04F9">
        <w:rPr>
          <w:noProof/>
        </w:rPr>
        <w:t xml:space="preserve">or extension </w:t>
      </w:r>
      <w:r w:rsidRPr="00AD21FF">
        <w:rPr>
          <w:noProof/>
        </w:rPr>
        <w:t>of an industrial site intended for carrying out an economic activity classified under NACE Code C (Manufacturing)</w:t>
      </w:r>
      <w:r w:rsidR="00506243">
        <w:rPr>
          <w:noProof/>
        </w:rPr>
        <w:t>, with the exception of NACE Code C12</w:t>
      </w:r>
      <w:r w:rsidRPr="00AD21FF">
        <w:rPr>
          <w:noProof/>
        </w:rPr>
        <w:t xml:space="preserve">; </w:t>
      </w:r>
    </w:p>
    <w:p w14:paraId="1CA4C79B" w14:textId="77777777" w:rsidR="00335A3C" w:rsidRPr="00AD21FF" w:rsidRDefault="00335A3C" w:rsidP="00B105F9">
      <w:pPr>
        <w:pStyle w:val="Point0"/>
        <w:rPr>
          <w:noProof/>
        </w:rPr>
      </w:pPr>
      <w:r>
        <w:rPr>
          <w:noProof/>
        </w:rPr>
        <w:t>(2)</w:t>
      </w:r>
      <w:r>
        <w:rPr>
          <w:noProof/>
        </w:rPr>
        <w:tab/>
      </w:r>
      <w:r w:rsidRPr="00AD21FF">
        <w:rPr>
          <w:noProof/>
        </w:rPr>
        <w:t>‘energy</w:t>
      </w:r>
      <w:r>
        <w:rPr>
          <w:noProof/>
        </w:rPr>
        <w:t>-</w:t>
      </w:r>
      <w:r w:rsidRPr="00AD21FF">
        <w:rPr>
          <w:noProof/>
        </w:rPr>
        <w:t xml:space="preserve"> intensive industries’ means the industries listed in </w:t>
      </w:r>
      <w:r>
        <w:rPr>
          <w:noProof/>
        </w:rPr>
        <w:t xml:space="preserve">point 1 of </w:t>
      </w:r>
      <w:r w:rsidRPr="00AD21FF">
        <w:rPr>
          <w:noProof/>
        </w:rPr>
        <w:t>Annex I;</w:t>
      </w:r>
    </w:p>
    <w:p w14:paraId="788A4778" w14:textId="77777777" w:rsidR="0065557B" w:rsidRPr="005A16E3" w:rsidRDefault="0065557B" w:rsidP="00B105F9">
      <w:pPr>
        <w:pStyle w:val="Point0"/>
        <w:rPr>
          <w:noProof/>
        </w:rPr>
      </w:pPr>
      <w:r>
        <w:rPr>
          <w:noProof/>
        </w:rPr>
        <w:t>(3)</w:t>
      </w:r>
      <w:r>
        <w:rPr>
          <w:noProof/>
        </w:rPr>
        <w:tab/>
      </w:r>
      <w:r w:rsidRPr="00AD21FF">
        <w:rPr>
          <w:noProof/>
        </w:rPr>
        <w:t xml:space="preserve">‘energy‘energy-intensive industry decarbonisation projects’ means the construction or conversion of the commercial facility of an energy-intensive business as defined in Article 17(1), point (a), of </w:t>
      </w:r>
      <w:r w:rsidR="004438CA">
        <w:rPr>
          <w:noProof/>
        </w:rPr>
        <w:t>Council</w:t>
      </w:r>
      <w:r w:rsidR="004438CA" w:rsidRPr="00AD21FF">
        <w:rPr>
          <w:noProof/>
        </w:rPr>
        <w:t xml:space="preserve"> </w:t>
      </w:r>
      <w:r w:rsidRPr="00AD21FF">
        <w:rPr>
          <w:noProof/>
        </w:rPr>
        <w:t>Directive 2003/96/EC</w:t>
      </w:r>
      <w:r w:rsidR="004932A2" w:rsidRPr="000D0C3E">
        <w:rPr>
          <w:rStyle w:val="FootnoteReference"/>
        </w:rPr>
        <w:footnoteReference w:id="52"/>
      </w:r>
      <w:r w:rsidRPr="00AD21FF">
        <w:rPr>
          <w:noProof/>
        </w:rPr>
        <w:t xml:space="preserve"> in the energy</w:t>
      </w:r>
      <w:r w:rsidR="003A43E5">
        <w:rPr>
          <w:noProof/>
        </w:rPr>
        <w:t>-</w:t>
      </w:r>
      <w:r w:rsidRPr="00AD21FF">
        <w:rPr>
          <w:noProof/>
        </w:rPr>
        <w:t xml:space="preserve"> intensive industries listed in </w:t>
      </w:r>
      <w:r w:rsidR="003A43E5">
        <w:rPr>
          <w:noProof/>
        </w:rPr>
        <w:t xml:space="preserve">point 1 of </w:t>
      </w:r>
      <w:r w:rsidRPr="00AD21FF">
        <w:rPr>
          <w:noProof/>
        </w:rPr>
        <w:t xml:space="preserve">Annex I </w:t>
      </w:r>
      <w:r w:rsidR="004438CA">
        <w:rPr>
          <w:noProof/>
        </w:rPr>
        <w:t>to</w:t>
      </w:r>
      <w:r w:rsidR="004438CA" w:rsidRPr="00AD21FF">
        <w:rPr>
          <w:noProof/>
        </w:rPr>
        <w:t xml:space="preserve"> </w:t>
      </w:r>
      <w:r w:rsidRPr="00AD21FF">
        <w:rPr>
          <w:noProof/>
        </w:rPr>
        <w:t>this Regulation that reduce emission rates of CO2 -eq of industrial processes significantly and permanently to an extent which is technically feasible;</w:t>
      </w:r>
    </w:p>
    <w:p w14:paraId="6BE4AF57" w14:textId="77777777" w:rsidR="0065557B" w:rsidRDefault="0065557B" w:rsidP="00B105F9">
      <w:pPr>
        <w:pStyle w:val="Point0"/>
        <w:rPr>
          <w:noProof/>
        </w:rPr>
      </w:pPr>
      <w:r>
        <w:rPr>
          <w:noProof/>
        </w:rPr>
        <w:t>(4)</w:t>
      </w:r>
      <w:r>
        <w:rPr>
          <w:noProof/>
        </w:rPr>
        <w:tab/>
      </w:r>
      <w:r w:rsidRPr="00AD21FF">
        <w:rPr>
          <w:noProof/>
        </w:rPr>
        <w:t>‘permit-granting procedure’ means a process that covers all relevant permits to build, expand, convert and operate industrial manufacturing projects, including building, chemical and grid connection permits</w:t>
      </w:r>
      <w:r w:rsidR="00EA49A1">
        <w:rPr>
          <w:noProof/>
        </w:rPr>
        <w:t xml:space="preserve"> as defined in </w:t>
      </w:r>
      <w:r w:rsidR="007866AA">
        <w:rPr>
          <w:noProof/>
        </w:rPr>
        <w:t>Article 1 of</w:t>
      </w:r>
      <w:r w:rsidR="00304B30">
        <w:rPr>
          <w:noProof/>
        </w:rPr>
        <w:t xml:space="preserve"> </w:t>
      </w:r>
      <w:r w:rsidR="00304B30" w:rsidRPr="00301EBC">
        <w:rPr>
          <w:noProof/>
        </w:rPr>
        <w:t>[</w:t>
      </w:r>
      <w:r w:rsidR="007866AA">
        <w:rPr>
          <w:noProof/>
        </w:rPr>
        <w:t xml:space="preserve">the </w:t>
      </w:r>
      <w:r w:rsidR="007866AA" w:rsidRPr="00304B30">
        <w:rPr>
          <w:noProof/>
        </w:rPr>
        <w:t xml:space="preserve">Proposal for a </w:t>
      </w:r>
      <w:r w:rsidR="00304B30">
        <w:rPr>
          <w:noProof/>
        </w:rPr>
        <w:t xml:space="preserve">Directive </w:t>
      </w:r>
      <w:r w:rsidR="007866AA" w:rsidRPr="00304B30">
        <w:rPr>
          <w:noProof/>
        </w:rPr>
        <w:t>amending Directives (EU) 2018/2001, (EU) 2019/944, (EU) 2024/1788 as regards acceleration of permit-granting procedures</w:t>
      </w:r>
      <w:r w:rsidR="00304B30" w:rsidRPr="000D0C3E">
        <w:rPr>
          <w:rStyle w:val="FootnoteReference"/>
        </w:rPr>
        <w:footnoteReference w:id="53"/>
      </w:r>
      <w:r w:rsidR="00304B30" w:rsidRPr="00301EBC">
        <w:rPr>
          <w:noProof/>
        </w:rPr>
        <w:t>]</w:t>
      </w:r>
      <w:r w:rsidRPr="00AD21FF">
        <w:rPr>
          <w:noProof/>
        </w:rPr>
        <w:t>, and environmental assessments and authorisations where required, and encompassing all applications and procedures from the acknowledgement that the application is complete to the notification of the comprehensive decision on the outcome of the procedure;</w:t>
      </w:r>
    </w:p>
    <w:p w14:paraId="3F279A69" w14:textId="77777777" w:rsidR="009D022D" w:rsidRDefault="009D022D" w:rsidP="00B105F9">
      <w:pPr>
        <w:pStyle w:val="Point0"/>
        <w:rPr>
          <w:noProof/>
        </w:rPr>
      </w:pPr>
      <w:r>
        <w:rPr>
          <w:noProof/>
        </w:rPr>
        <w:t>(5)</w:t>
      </w:r>
      <w:r>
        <w:rPr>
          <w:noProof/>
        </w:rPr>
        <w:tab/>
      </w:r>
      <w:r w:rsidRPr="00AD21FF">
        <w:rPr>
          <w:noProof/>
        </w:rPr>
        <w:t xml:space="preserve">‘comprehensive decision’ means the decision or set of decisions taken by a Member State authority or authorities, that determines whether or not a project promoter is authorised to build, expand, convert and operate an </w:t>
      </w:r>
      <w:r>
        <w:rPr>
          <w:noProof/>
        </w:rPr>
        <w:t>industrial manufacturing</w:t>
      </w:r>
      <w:r w:rsidRPr="00AD21FF">
        <w:rPr>
          <w:noProof/>
        </w:rPr>
        <w:t xml:space="preserve"> project;</w:t>
      </w:r>
    </w:p>
    <w:p w14:paraId="6D5B8715" w14:textId="77777777" w:rsidR="0065557B" w:rsidRPr="00B105F9" w:rsidRDefault="0065557B" w:rsidP="00B105F9">
      <w:pPr>
        <w:pStyle w:val="Point0"/>
        <w:rPr>
          <w:noProof/>
        </w:rPr>
      </w:pPr>
      <w:r>
        <w:rPr>
          <w:noProof/>
        </w:rPr>
        <w:t>(6)</w:t>
      </w:r>
      <w:r>
        <w:rPr>
          <w:noProof/>
        </w:rPr>
        <w:tab/>
      </w:r>
      <w:r w:rsidRPr="00AD21FF">
        <w:rPr>
          <w:noProof/>
        </w:rPr>
        <w:t xml:space="preserve">‘contract’ means public </w:t>
      </w:r>
      <w:r w:rsidR="00360D87" w:rsidRPr="00AD21FF">
        <w:rPr>
          <w:noProof/>
        </w:rPr>
        <w:t>contract</w:t>
      </w:r>
      <w:r w:rsidRPr="00AD21FF">
        <w:rPr>
          <w:noProof/>
        </w:rPr>
        <w:t xml:space="preserve"> as defined in Article 2(1), point (5), of Directive 2014/24/EU</w:t>
      </w:r>
      <w:r w:rsidR="000D7CA4" w:rsidRPr="000D0C3E">
        <w:rPr>
          <w:rStyle w:val="FootnoteReference"/>
        </w:rPr>
        <w:footnoteReference w:id="54"/>
      </w:r>
      <w:r w:rsidRPr="00AD21FF">
        <w:rPr>
          <w:noProof/>
        </w:rPr>
        <w:t>, supply, works and service contracts as defined in Article 2, point (1), of Directive 2014/25/EU</w:t>
      </w:r>
      <w:r w:rsidR="0000460A" w:rsidRPr="000D0C3E">
        <w:rPr>
          <w:rStyle w:val="FootnoteReference"/>
        </w:rPr>
        <w:footnoteReference w:id="55"/>
      </w:r>
      <w:r w:rsidRPr="00AD21FF">
        <w:rPr>
          <w:noProof/>
        </w:rPr>
        <w:t>, and concessions as defined in Article 5, point (1), of Directive 2014/23/EU;</w:t>
      </w:r>
    </w:p>
    <w:p w14:paraId="6B5A21C5" w14:textId="77777777" w:rsidR="0065557B" w:rsidRPr="00AD21FF" w:rsidRDefault="0065557B" w:rsidP="00B105F9">
      <w:pPr>
        <w:pStyle w:val="Point0"/>
        <w:rPr>
          <w:noProof/>
        </w:rPr>
      </w:pPr>
      <w:r>
        <w:rPr>
          <w:noProof/>
        </w:rPr>
        <w:t>(7)</w:t>
      </w:r>
      <w:r>
        <w:rPr>
          <w:noProof/>
        </w:rPr>
        <w:tab/>
      </w:r>
      <w:r w:rsidRPr="00AD21FF">
        <w:rPr>
          <w:noProof/>
        </w:rPr>
        <w:t>‘contracting authority’ means a contracting authority as defined in Article 6 of Directive 2014/23/EU, Article 2(1), point (1), of Directive 2014/24/EU and Article 3 of Directive 2014/25/EU;</w:t>
      </w:r>
    </w:p>
    <w:p w14:paraId="7BCE6731" w14:textId="77777777" w:rsidR="0065557B" w:rsidRPr="00AD21FF" w:rsidRDefault="0065557B" w:rsidP="00B105F9">
      <w:pPr>
        <w:pStyle w:val="Point0"/>
        <w:rPr>
          <w:noProof/>
        </w:rPr>
      </w:pPr>
      <w:r>
        <w:rPr>
          <w:noProof/>
        </w:rPr>
        <w:t>(8)</w:t>
      </w:r>
      <w:r>
        <w:rPr>
          <w:noProof/>
        </w:rPr>
        <w:tab/>
      </w:r>
      <w:r w:rsidRPr="00AD21FF">
        <w:rPr>
          <w:noProof/>
        </w:rPr>
        <w:t xml:space="preserve">‘contracting entity’ means a contracting entity as defined in Article 7 of Directive 2014/23/EU and Article 4 of Directive 2014/25/EU; </w:t>
      </w:r>
    </w:p>
    <w:p w14:paraId="3859C0E8" w14:textId="77777777" w:rsidR="00CC2DEF" w:rsidRPr="00AD21FF" w:rsidRDefault="00CC2DEF" w:rsidP="00B105F9">
      <w:pPr>
        <w:pStyle w:val="Point0"/>
        <w:rPr>
          <w:noProof/>
        </w:rPr>
      </w:pPr>
      <w:r>
        <w:rPr>
          <w:noProof/>
        </w:rPr>
        <w:t>(9)</w:t>
      </w:r>
      <w:r>
        <w:rPr>
          <w:noProof/>
        </w:rPr>
        <w:tab/>
      </w:r>
      <w:r w:rsidRPr="00AD21FF">
        <w:rPr>
          <w:noProof/>
        </w:rPr>
        <w:t>‘economic operator’ means the manufacturer, the authorised representative, the importer, the distributor, the dealer and the fulfilment service provider</w:t>
      </w:r>
      <w:r>
        <w:rPr>
          <w:noProof/>
        </w:rPr>
        <w:t xml:space="preserve"> and,</w:t>
      </w:r>
      <w:r w:rsidRPr="00AD21FF">
        <w:rPr>
          <w:noProof/>
        </w:rPr>
        <w:t xml:space="preserve"> for the purposes of public procurement procedures, </w:t>
      </w:r>
      <w:r>
        <w:rPr>
          <w:noProof/>
        </w:rPr>
        <w:t>it</w:t>
      </w:r>
      <w:r w:rsidRPr="00AD21FF">
        <w:rPr>
          <w:noProof/>
        </w:rPr>
        <w:t xml:space="preserve"> means economic operator as set out in Article 5</w:t>
      </w:r>
      <w:r>
        <w:rPr>
          <w:noProof/>
        </w:rPr>
        <w:t xml:space="preserve">, point </w:t>
      </w:r>
      <w:r w:rsidRPr="00AD21FF">
        <w:rPr>
          <w:noProof/>
        </w:rPr>
        <w:t>(2)</w:t>
      </w:r>
      <w:r>
        <w:rPr>
          <w:noProof/>
        </w:rPr>
        <w:t>, of</w:t>
      </w:r>
      <w:r w:rsidRPr="00AD21FF">
        <w:rPr>
          <w:noProof/>
        </w:rPr>
        <w:t xml:space="preserve"> Directive 2014/23/EU, Article 2(1)</w:t>
      </w:r>
      <w:r>
        <w:rPr>
          <w:noProof/>
        </w:rPr>
        <w:t xml:space="preserve">, point </w:t>
      </w:r>
      <w:r w:rsidRPr="00AD21FF">
        <w:rPr>
          <w:noProof/>
        </w:rPr>
        <w:t>(10)</w:t>
      </w:r>
      <w:r>
        <w:rPr>
          <w:noProof/>
        </w:rPr>
        <w:t>, of</w:t>
      </w:r>
      <w:r w:rsidRPr="00AD21FF">
        <w:rPr>
          <w:noProof/>
        </w:rPr>
        <w:t xml:space="preserve"> Directive 2014/24/EU and Article 2</w:t>
      </w:r>
      <w:r>
        <w:rPr>
          <w:noProof/>
        </w:rPr>
        <w:t xml:space="preserve">, point </w:t>
      </w:r>
      <w:r w:rsidRPr="00AD21FF">
        <w:rPr>
          <w:noProof/>
        </w:rPr>
        <w:t>(6)</w:t>
      </w:r>
      <w:r>
        <w:rPr>
          <w:noProof/>
        </w:rPr>
        <w:t>, of</w:t>
      </w:r>
      <w:r w:rsidRPr="00AD21FF">
        <w:rPr>
          <w:noProof/>
        </w:rPr>
        <w:t xml:space="preserve"> Directive 2014/25/EU;</w:t>
      </w:r>
    </w:p>
    <w:p w14:paraId="664A52BB" w14:textId="77777777" w:rsidR="004B6885" w:rsidRPr="00AD21FF" w:rsidRDefault="004B6885" w:rsidP="00B105F9">
      <w:pPr>
        <w:pStyle w:val="Point0"/>
        <w:rPr>
          <w:noProof/>
        </w:rPr>
      </w:pPr>
      <w:r>
        <w:rPr>
          <w:noProof/>
        </w:rPr>
        <w:t>(10)</w:t>
      </w:r>
      <w:r>
        <w:rPr>
          <w:noProof/>
        </w:rPr>
        <w:tab/>
      </w:r>
      <w:r w:rsidRPr="00AD21FF">
        <w:rPr>
          <w:noProof/>
        </w:rPr>
        <w:t>‘public procurement procedure’ means either of the following:</w:t>
      </w:r>
    </w:p>
    <w:p w14:paraId="4C54B097" w14:textId="77777777" w:rsidR="004B6885" w:rsidRPr="00AD21FF" w:rsidRDefault="004B6885" w:rsidP="007234F4">
      <w:pPr>
        <w:pStyle w:val="Point1"/>
        <w:rPr>
          <w:noProof/>
        </w:rPr>
      </w:pPr>
      <w:r>
        <w:rPr>
          <w:noProof/>
        </w:rPr>
        <w:t>(a)</w:t>
      </w:r>
      <w:r>
        <w:rPr>
          <w:noProof/>
        </w:rPr>
        <w:tab/>
      </w:r>
      <w:r w:rsidRPr="00AD21FF">
        <w:rPr>
          <w:noProof/>
        </w:rPr>
        <w:t xml:space="preserve">a procedure for the award of works or a service concession covered by Directive 2014/23/EU; </w:t>
      </w:r>
    </w:p>
    <w:p w14:paraId="680776D5" w14:textId="77777777" w:rsidR="004B6885" w:rsidRPr="00AD21FF" w:rsidRDefault="004B6885" w:rsidP="004B6885">
      <w:pPr>
        <w:pStyle w:val="Point1"/>
        <w:rPr>
          <w:noProof/>
        </w:rPr>
      </w:pPr>
      <w:r>
        <w:rPr>
          <w:noProof/>
        </w:rPr>
        <w:t>(b)</w:t>
      </w:r>
      <w:r>
        <w:rPr>
          <w:noProof/>
        </w:rPr>
        <w:tab/>
      </w:r>
      <w:r w:rsidRPr="00AD21FF">
        <w:rPr>
          <w:noProof/>
        </w:rPr>
        <w:t>any type of award procedure covered by Directive 2014/24/EU for the conclusion of a public contract or Directive 2014/25/EU for the conclusion of a supply, works and service contract;</w:t>
      </w:r>
    </w:p>
    <w:p w14:paraId="0166AB64" w14:textId="30BF61DF" w:rsidR="007574F9" w:rsidRPr="00B105F9" w:rsidRDefault="007574F9" w:rsidP="007574F9">
      <w:pPr>
        <w:pStyle w:val="Point0"/>
        <w:rPr>
          <w:noProof/>
        </w:rPr>
      </w:pPr>
      <w:r>
        <w:rPr>
          <w:noProof/>
        </w:rPr>
        <w:t>(</w:t>
      </w:r>
      <w:r w:rsidR="000D0C3E">
        <w:rPr>
          <w:noProof/>
        </w:rPr>
        <w:t>11</w:t>
      </w:r>
      <w:r>
        <w:rPr>
          <w:noProof/>
        </w:rPr>
        <w:t>)</w:t>
      </w:r>
      <w:r>
        <w:rPr>
          <w:noProof/>
        </w:rPr>
        <w:tab/>
      </w:r>
      <w:r w:rsidRPr="00AD21FF">
        <w:rPr>
          <w:noProof/>
        </w:rPr>
        <w:t>‘</w:t>
      </w:r>
      <w:r w:rsidRPr="002674F9">
        <w:rPr>
          <w:noProof/>
        </w:rPr>
        <w:t>greenhouse</w:t>
      </w:r>
      <w:r w:rsidRPr="00AD21FF">
        <w:rPr>
          <w:noProof/>
        </w:rPr>
        <w:t xml:space="preserve"> gas </w:t>
      </w:r>
      <w:r w:rsidRPr="00246896">
        <w:rPr>
          <w:noProof/>
        </w:rPr>
        <w:t xml:space="preserve">intensity’ means emissions (measured in tCO2eq) released during the production of industrial products </w:t>
      </w:r>
      <w:r w:rsidRPr="00B105F9">
        <w:rPr>
          <w:noProof/>
        </w:rPr>
        <w:t xml:space="preserve">referred to in Article </w:t>
      </w:r>
      <w:r w:rsidR="005D4022">
        <w:rPr>
          <w:noProof/>
        </w:rPr>
        <w:t>10</w:t>
      </w:r>
      <w:r w:rsidRPr="00B105F9">
        <w:rPr>
          <w:noProof/>
        </w:rPr>
        <w:t xml:space="preserve">(2); </w:t>
      </w:r>
    </w:p>
    <w:p w14:paraId="5AC9BEEB" w14:textId="5C88A6AF" w:rsidR="007574F9" w:rsidRPr="00AD21FF" w:rsidRDefault="007574F9" w:rsidP="007574F9">
      <w:pPr>
        <w:pStyle w:val="Point0"/>
        <w:rPr>
          <w:noProof/>
        </w:rPr>
      </w:pPr>
      <w:r>
        <w:rPr>
          <w:noProof/>
        </w:rPr>
        <w:t>(</w:t>
      </w:r>
      <w:r w:rsidR="000D0C3E">
        <w:rPr>
          <w:noProof/>
        </w:rPr>
        <w:t>12</w:t>
      </w:r>
      <w:r>
        <w:rPr>
          <w:noProof/>
        </w:rPr>
        <w:t>)</w:t>
      </w:r>
      <w:r>
        <w:rPr>
          <w:noProof/>
        </w:rPr>
        <w:tab/>
      </w:r>
      <w:r w:rsidRPr="00AD21FF">
        <w:rPr>
          <w:noProof/>
        </w:rPr>
        <w:t>‘manufacturer’ means any natural or legal person that manufactures a product or that has a product designed or manufactured, and markets that product under their name or trademark;</w:t>
      </w:r>
    </w:p>
    <w:p w14:paraId="08AE21EE" w14:textId="496CC538" w:rsidR="007574F9" w:rsidRPr="00AD21FF" w:rsidRDefault="007574F9" w:rsidP="007574F9">
      <w:pPr>
        <w:pStyle w:val="Point0"/>
        <w:rPr>
          <w:noProof/>
        </w:rPr>
      </w:pPr>
      <w:r>
        <w:rPr>
          <w:noProof/>
        </w:rPr>
        <w:t>(</w:t>
      </w:r>
      <w:r w:rsidR="000D0C3E">
        <w:rPr>
          <w:noProof/>
        </w:rPr>
        <w:t>13</w:t>
      </w:r>
      <w:r>
        <w:rPr>
          <w:noProof/>
        </w:rPr>
        <w:t>)</w:t>
      </w:r>
      <w:r>
        <w:rPr>
          <w:noProof/>
        </w:rPr>
        <w:tab/>
      </w:r>
      <w:r w:rsidRPr="00AD21FF">
        <w:rPr>
          <w:noProof/>
        </w:rPr>
        <w:t>‘system boundary’ means the group of chemical or physical processes included in the calculation of the greenhouse gas intensity of products;</w:t>
      </w:r>
      <w:r w:rsidRPr="00712D24">
        <w:rPr>
          <w:noProof/>
        </w:rPr>
        <w:t> </w:t>
      </w:r>
    </w:p>
    <w:p w14:paraId="1B585D43" w14:textId="5A258F95" w:rsidR="00CB00A3" w:rsidRPr="00AD21FF" w:rsidRDefault="00CB00A3" w:rsidP="00CB00A3">
      <w:pPr>
        <w:pStyle w:val="Point0"/>
        <w:rPr>
          <w:noProof/>
        </w:rPr>
      </w:pPr>
      <w:r>
        <w:rPr>
          <w:noProof/>
        </w:rPr>
        <w:t>(</w:t>
      </w:r>
      <w:r w:rsidR="000D0C3E">
        <w:rPr>
          <w:noProof/>
        </w:rPr>
        <w:t>14</w:t>
      </w:r>
      <w:r>
        <w:rPr>
          <w:noProof/>
        </w:rPr>
        <w:t>)</w:t>
      </w:r>
      <w:r>
        <w:rPr>
          <w:noProof/>
        </w:rPr>
        <w:tab/>
        <w:t>‘precursor’ means any input material into a production process that is part of the system boundaries.</w:t>
      </w:r>
    </w:p>
    <w:p w14:paraId="27FE96DA" w14:textId="6E021ECB" w:rsidR="00B85404" w:rsidRPr="00113D9F" w:rsidRDefault="00B85404" w:rsidP="00B105F9">
      <w:pPr>
        <w:pStyle w:val="Point0"/>
        <w:rPr>
          <w:noProof/>
        </w:rPr>
      </w:pPr>
      <w:r>
        <w:rPr>
          <w:noProof/>
        </w:rPr>
        <w:t>(1</w:t>
      </w:r>
      <w:r w:rsidR="000D0C3E">
        <w:rPr>
          <w:noProof/>
        </w:rPr>
        <w:t>5</w:t>
      </w:r>
      <w:r>
        <w:rPr>
          <w:noProof/>
        </w:rPr>
        <w:t>)</w:t>
      </w:r>
      <w:r>
        <w:rPr>
          <w:noProof/>
        </w:rPr>
        <w:tab/>
      </w:r>
      <w:r w:rsidRPr="00113D9F">
        <w:rPr>
          <w:noProof/>
        </w:rPr>
        <w:t>‘chemical industry’ means activities classified under NACE Rev. 2, Code C20 (Manufacture of chemicals and chemical products), carried out by manufacturers established in the Union;</w:t>
      </w:r>
    </w:p>
    <w:p w14:paraId="6CEDF5EB" w14:textId="12BF6A70" w:rsidR="00B85404" w:rsidRPr="00113D9F" w:rsidRDefault="00B85404" w:rsidP="00B105F9">
      <w:pPr>
        <w:pStyle w:val="Point0"/>
        <w:rPr>
          <w:noProof/>
        </w:rPr>
      </w:pPr>
      <w:r>
        <w:rPr>
          <w:noProof/>
        </w:rPr>
        <w:t>(</w:t>
      </w:r>
      <w:r w:rsidR="000D0C3E">
        <w:rPr>
          <w:noProof/>
        </w:rPr>
        <w:t>16</w:t>
      </w:r>
      <w:r>
        <w:rPr>
          <w:noProof/>
        </w:rPr>
        <w:t>)</w:t>
      </w:r>
      <w:r>
        <w:rPr>
          <w:noProof/>
        </w:rPr>
        <w:tab/>
      </w:r>
      <w:r w:rsidRPr="00113D9F">
        <w:rPr>
          <w:noProof/>
        </w:rPr>
        <w:t xml:space="preserve">‘sustainable carbon sources’ means biomass that complies with the sustainability criteria laid down in Article 29 of Directive (EU) 2018/2001, waste and carbon from capturing carbon dioxide emissions. </w:t>
      </w:r>
    </w:p>
    <w:p w14:paraId="00003894" w14:textId="7AF0D35A" w:rsidR="00B85404" w:rsidRPr="00113D9F" w:rsidRDefault="00B85404" w:rsidP="00B105F9">
      <w:pPr>
        <w:pStyle w:val="Point0"/>
        <w:rPr>
          <w:noProof/>
        </w:rPr>
      </w:pPr>
      <w:r>
        <w:rPr>
          <w:noProof/>
        </w:rPr>
        <w:t>(</w:t>
      </w:r>
      <w:r w:rsidR="000D0C3E">
        <w:rPr>
          <w:noProof/>
        </w:rPr>
        <w:t>17</w:t>
      </w:r>
      <w:r>
        <w:rPr>
          <w:noProof/>
        </w:rPr>
        <w:t>)</w:t>
      </w:r>
      <w:r>
        <w:rPr>
          <w:noProof/>
        </w:rPr>
        <w:tab/>
      </w:r>
      <w:r w:rsidRPr="00113D9F">
        <w:rPr>
          <w:noProof/>
        </w:rPr>
        <w:t>‘substance’ means substance as defined in Article 2, point (7), of Regulation (EC) No 1272/2008;</w:t>
      </w:r>
    </w:p>
    <w:p w14:paraId="23873127" w14:textId="2ED67AAB" w:rsidR="00B85404" w:rsidRPr="00113D9F" w:rsidRDefault="00B85404" w:rsidP="00B105F9">
      <w:pPr>
        <w:pStyle w:val="Point0"/>
        <w:rPr>
          <w:noProof/>
        </w:rPr>
      </w:pPr>
      <w:r>
        <w:rPr>
          <w:noProof/>
        </w:rPr>
        <w:t>(</w:t>
      </w:r>
      <w:r w:rsidR="000D0C3E">
        <w:rPr>
          <w:noProof/>
        </w:rPr>
        <w:t>18</w:t>
      </w:r>
      <w:r>
        <w:rPr>
          <w:noProof/>
        </w:rPr>
        <w:t>)</w:t>
      </w:r>
      <w:r>
        <w:rPr>
          <w:noProof/>
        </w:rPr>
        <w:tab/>
      </w:r>
      <w:r w:rsidRPr="00113D9F">
        <w:rPr>
          <w:noProof/>
        </w:rPr>
        <w:t>‘mixture’ means a mixture as defined in Article 2, point (8), of Regulation (EC) No 1272/2008;</w:t>
      </w:r>
    </w:p>
    <w:p w14:paraId="14755F2B" w14:textId="6B3753DA" w:rsidR="001C44B3" w:rsidRPr="005A16E3" w:rsidRDefault="001C44B3" w:rsidP="00B105F9">
      <w:pPr>
        <w:pStyle w:val="Point0"/>
        <w:rPr>
          <w:noProof/>
        </w:rPr>
      </w:pPr>
      <w:r>
        <w:rPr>
          <w:noProof/>
        </w:rPr>
        <w:t>(</w:t>
      </w:r>
      <w:r w:rsidR="000D0C3E">
        <w:rPr>
          <w:noProof/>
        </w:rPr>
        <w:t>19</w:t>
      </w:r>
      <w:r>
        <w:rPr>
          <w:noProof/>
        </w:rPr>
        <w:t>)</w:t>
      </w:r>
      <w:r>
        <w:rPr>
          <w:noProof/>
        </w:rPr>
        <w:tab/>
      </w:r>
      <w:r w:rsidRPr="00AD21FF">
        <w:rPr>
          <w:noProof/>
        </w:rPr>
        <w:t xml:space="preserve">‘made available on the market’ means </w:t>
      </w:r>
      <w:r w:rsidRPr="005A16E3">
        <w:rPr>
          <w:noProof/>
        </w:rPr>
        <w:t>any supply of a product for distribution, consumption or use on the Union market during a commercial activity, whether against payment or free of charge;</w:t>
      </w:r>
    </w:p>
    <w:p w14:paraId="75D0A625" w14:textId="0D197EC0" w:rsidR="004B6885" w:rsidRPr="00ED0193" w:rsidRDefault="004B6885" w:rsidP="00B105F9">
      <w:pPr>
        <w:pStyle w:val="Point0"/>
        <w:rPr>
          <w:rFonts w:eastAsia="Times"/>
          <w:noProof/>
          <w:szCs w:val="24"/>
        </w:rPr>
      </w:pPr>
      <w:r>
        <w:rPr>
          <w:noProof/>
        </w:rPr>
        <w:t>(</w:t>
      </w:r>
      <w:r w:rsidR="000D0C3E">
        <w:rPr>
          <w:noProof/>
        </w:rPr>
        <w:t>20</w:t>
      </w:r>
      <w:r>
        <w:rPr>
          <w:noProof/>
        </w:rPr>
        <w:t>)</w:t>
      </w:r>
      <w:r>
        <w:rPr>
          <w:noProof/>
        </w:rPr>
        <w:tab/>
      </w:r>
      <w:r w:rsidRPr="00AD21FF">
        <w:rPr>
          <w:noProof/>
        </w:rPr>
        <w:t xml:space="preserve">‘fuel cell vehicle’ or ‘FCV’ means a vehicle equipped with a powertrain containing exclusively </w:t>
      </w:r>
      <w:r w:rsidRPr="00B03305">
        <w:rPr>
          <w:noProof/>
        </w:rPr>
        <w:t>energy converter</w:t>
      </w:r>
      <w:r>
        <w:rPr>
          <w:noProof/>
        </w:rPr>
        <w:t>s</w:t>
      </w:r>
      <w:r w:rsidRPr="00B03305">
        <w:rPr>
          <w:noProof/>
        </w:rPr>
        <w:t xml:space="preserve"> transforming chemical energy (input) into electrical energy (output)</w:t>
      </w:r>
      <w:r>
        <w:rPr>
          <w:noProof/>
        </w:rPr>
        <w:t>,</w:t>
      </w:r>
      <w:r w:rsidRPr="00B03305">
        <w:rPr>
          <w:noProof/>
        </w:rPr>
        <w:t xml:space="preserve"> or vice versa</w:t>
      </w:r>
      <w:r>
        <w:rPr>
          <w:noProof/>
        </w:rPr>
        <w:t>,</w:t>
      </w:r>
      <w:r w:rsidRPr="00B03305" w:rsidDel="00B03305">
        <w:rPr>
          <w:noProof/>
        </w:rPr>
        <w:t xml:space="preserve"> </w:t>
      </w:r>
      <w:r w:rsidRPr="00AD21FF">
        <w:rPr>
          <w:noProof/>
        </w:rPr>
        <w:t>and electric machines as propulsion energy converters;</w:t>
      </w:r>
    </w:p>
    <w:p w14:paraId="6082DC1D" w14:textId="1727A8A3" w:rsidR="004B6885" w:rsidRPr="00AD21FF" w:rsidRDefault="004B6885" w:rsidP="00B105F9">
      <w:pPr>
        <w:pStyle w:val="Point0"/>
        <w:rPr>
          <w:noProof/>
        </w:rPr>
      </w:pPr>
      <w:r>
        <w:rPr>
          <w:noProof/>
        </w:rPr>
        <w:t>(</w:t>
      </w:r>
      <w:r w:rsidR="000D0C3E">
        <w:rPr>
          <w:noProof/>
        </w:rPr>
        <w:t>21</w:t>
      </w:r>
      <w:r>
        <w:rPr>
          <w:noProof/>
        </w:rPr>
        <w:t>)</w:t>
      </w:r>
      <w:r>
        <w:rPr>
          <w:noProof/>
        </w:rPr>
        <w:tab/>
      </w:r>
      <w:r w:rsidRPr="00AD21FF">
        <w:rPr>
          <w:noProof/>
        </w:rPr>
        <w:t>‘motor vehicle’ means any vehicle of categories M and N referred to in Article 4(1), points (a) and (b), of Regulation (EU) 2018/858</w:t>
      </w:r>
      <w:r>
        <w:rPr>
          <w:noProof/>
        </w:rPr>
        <w:t xml:space="preserve"> </w:t>
      </w:r>
      <w:r w:rsidRPr="00A55B96">
        <w:rPr>
          <w:noProof/>
        </w:rPr>
        <w:t>of the European Parliament and of the Council</w:t>
      </w:r>
      <w:r w:rsidRPr="00781B63">
        <w:rPr>
          <w:rStyle w:val="FootnoteReference"/>
          <w:noProof/>
        </w:rPr>
        <w:footnoteReference w:id="56"/>
      </w:r>
      <w:r w:rsidRPr="00AD21FF">
        <w:rPr>
          <w:noProof/>
        </w:rPr>
        <w:t>;</w:t>
      </w:r>
    </w:p>
    <w:p w14:paraId="17433C59" w14:textId="13D549E7" w:rsidR="004B6885" w:rsidRPr="00AD21FF" w:rsidRDefault="004B6885" w:rsidP="00B105F9">
      <w:pPr>
        <w:pStyle w:val="Point0"/>
        <w:rPr>
          <w:noProof/>
        </w:rPr>
      </w:pPr>
      <w:r>
        <w:rPr>
          <w:noProof/>
        </w:rPr>
        <w:t>(</w:t>
      </w:r>
      <w:r w:rsidR="000D0C3E">
        <w:rPr>
          <w:noProof/>
        </w:rPr>
        <w:t>22</w:t>
      </w:r>
      <w:r>
        <w:rPr>
          <w:noProof/>
        </w:rPr>
        <w:t>)</w:t>
      </w:r>
      <w:r>
        <w:rPr>
          <w:noProof/>
        </w:rPr>
        <w:tab/>
      </w:r>
      <w:r w:rsidRPr="00AA39C0">
        <w:rPr>
          <w:noProof/>
        </w:rPr>
        <w:t>'off-vehicle charging hybrid electric vehicle' or 'OVC-HEV' means a vehicle equipped with a powertrain containing at least two different categories of propulsion energy converters where one of the propulsion energy converters is an electric machine that can be charged from an external source'</w:t>
      </w:r>
      <w:r>
        <w:rPr>
          <w:noProof/>
        </w:rPr>
        <w:t>;</w:t>
      </w:r>
    </w:p>
    <w:p w14:paraId="096EE6D2" w14:textId="05551F85" w:rsidR="0065557B" w:rsidRPr="00AD21FF" w:rsidRDefault="0065557B" w:rsidP="000D0C3E">
      <w:pPr>
        <w:pStyle w:val="Point0"/>
        <w:rPr>
          <w:noProof/>
        </w:rPr>
      </w:pPr>
      <w:r>
        <w:rPr>
          <w:noProof/>
        </w:rPr>
        <w:t>(</w:t>
      </w:r>
      <w:r w:rsidR="000D0C3E">
        <w:rPr>
          <w:noProof/>
        </w:rPr>
        <w:t>23</w:t>
      </w:r>
      <w:r>
        <w:rPr>
          <w:noProof/>
        </w:rPr>
        <w:t>)</w:t>
      </w:r>
      <w:r>
        <w:rPr>
          <w:noProof/>
        </w:rPr>
        <w:tab/>
      </w:r>
      <w:r w:rsidRPr="005A16E3">
        <w:rPr>
          <w:noProof/>
        </w:rPr>
        <w:t>‘</w:t>
      </w:r>
      <w:r w:rsidRPr="00AD21FF">
        <w:rPr>
          <w:noProof/>
        </w:rPr>
        <w:t>pure</w:t>
      </w:r>
      <w:r w:rsidRPr="005A16E3">
        <w:rPr>
          <w:noProof/>
        </w:rPr>
        <w:t xml:space="preserve"> electric vehicle’ or ‘PEV’ means a vehicle equipped with a powertrain containing exclusively electric machines as propulsion energy converters and exclusively rechargeable electric energy storage systems as propulsion energy storage systems; </w:t>
      </w:r>
    </w:p>
    <w:p w14:paraId="7E99BA83" w14:textId="27BE52C0" w:rsidR="005E5997" w:rsidRPr="00AD21FF" w:rsidRDefault="005E5997" w:rsidP="000D0C3E">
      <w:pPr>
        <w:pStyle w:val="Point0"/>
        <w:rPr>
          <w:noProof/>
        </w:rPr>
      </w:pPr>
      <w:r>
        <w:rPr>
          <w:noProof/>
        </w:rPr>
        <w:t>(</w:t>
      </w:r>
      <w:r w:rsidR="000D0C3E">
        <w:rPr>
          <w:noProof/>
        </w:rPr>
        <w:t>24</w:t>
      </w:r>
      <w:r>
        <w:rPr>
          <w:noProof/>
        </w:rPr>
        <w:t>)</w:t>
      </w:r>
      <w:r>
        <w:rPr>
          <w:noProof/>
        </w:rPr>
        <w:tab/>
      </w:r>
      <w:r w:rsidRPr="00C672CD">
        <w:rPr>
          <w:noProof/>
        </w:rPr>
        <w:t>‘main specific components’ means the main specific components as listed in the Annex to Commission Implementing Regulation 2025/1</w:t>
      </w:r>
      <w:r>
        <w:rPr>
          <w:noProof/>
        </w:rPr>
        <w:t>178</w:t>
      </w:r>
      <w:r>
        <w:rPr>
          <w:rStyle w:val="FootnoteReference"/>
          <w:noProof/>
        </w:rPr>
        <w:footnoteReference w:id="57"/>
      </w:r>
      <w:r>
        <w:rPr>
          <w:noProof/>
        </w:rPr>
        <w:t>;</w:t>
      </w:r>
    </w:p>
    <w:p w14:paraId="6A952494" w14:textId="4881CD2C" w:rsidR="00DE22C6" w:rsidRDefault="00DE22C6" w:rsidP="000D0C3E">
      <w:pPr>
        <w:pStyle w:val="Point0"/>
        <w:rPr>
          <w:noProof/>
        </w:rPr>
      </w:pPr>
      <w:r>
        <w:rPr>
          <w:noProof/>
        </w:rPr>
        <w:t>(</w:t>
      </w:r>
      <w:r w:rsidR="000D0C3E">
        <w:rPr>
          <w:noProof/>
        </w:rPr>
        <w:t>25</w:t>
      </w:r>
      <w:r>
        <w:rPr>
          <w:noProof/>
        </w:rPr>
        <w:t>)</w:t>
      </w:r>
      <w:r>
        <w:rPr>
          <w:noProof/>
        </w:rPr>
        <w:tab/>
        <w:t>‘vehicle’s traction battery’ means the electric vehicle battery specifically designed to provide electric power for traction as defined in Article 3(14) of Regulation (EU) 2023/1542</w:t>
      </w:r>
      <w:r>
        <w:rPr>
          <w:rStyle w:val="FootnoteReference"/>
          <w:noProof/>
        </w:rPr>
        <w:footnoteReference w:id="58"/>
      </w:r>
      <w:r>
        <w:rPr>
          <w:noProof/>
        </w:rPr>
        <w:t>.</w:t>
      </w:r>
    </w:p>
    <w:p w14:paraId="76A93EAB" w14:textId="1B7E4EF5" w:rsidR="00ED7704" w:rsidRPr="00AD21FF" w:rsidRDefault="00967E42" w:rsidP="000D0C3E">
      <w:pPr>
        <w:pStyle w:val="Point0"/>
        <w:rPr>
          <w:noProof/>
        </w:rPr>
      </w:pPr>
      <w:r>
        <w:rPr>
          <w:noProof/>
        </w:rPr>
        <w:t>(</w:t>
      </w:r>
      <w:r w:rsidR="000D0C3E">
        <w:rPr>
          <w:noProof/>
        </w:rPr>
        <w:t>26</w:t>
      </w:r>
      <w:r>
        <w:rPr>
          <w:noProof/>
        </w:rPr>
        <w:t>)</w:t>
      </w:r>
      <w:r>
        <w:rPr>
          <w:noProof/>
        </w:rPr>
        <w:tab/>
        <w:t xml:space="preserve">‘e-powertrain components’ means power electronics, </w:t>
      </w:r>
      <w:r w:rsidRPr="00271990">
        <w:rPr>
          <w:noProof/>
        </w:rPr>
        <w:t>transport propulsion electric motors</w:t>
      </w:r>
      <w:r w:rsidRPr="00271990" w:rsidDel="00271990">
        <w:rPr>
          <w:noProof/>
        </w:rPr>
        <w:t xml:space="preserve"> </w:t>
      </w:r>
      <w:r>
        <w:rPr>
          <w:noProof/>
        </w:rPr>
        <w:t>and e-axles and their components, rotors and stators</w:t>
      </w:r>
      <w:r w:rsidR="00794118">
        <w:rPr>
          <w:noProof/>
        </w:rPr>
        <w:t>;</w:t>
      </w:r>
    </w:p>
    <w:p w14:paraId="55D61E74" w14:textId="76AD63DD" w:rsidR="00794118" w:rsidRDefault="00794118" w:rsidP="000D0C3E">
      <w:pPr>
        <w:pStyle w:val="Point0"/>
        <w:rPr>
          <w:noProof/>
        </w:rPr>
      </w:pPr>
      <w:r>
        <w:rPr>
          <w:noProof/>
        </w:rPr>
        <w:t>(</w:t>
      </w:r>
      <w:r w:rsidR="000D0C3E">
        <w:rPr>
          <w:noProof/>
        </w:rPr>
        <w:t>27</w:t>
      </w:r>
      <w:r>
        <w:rPr>
          <w:noProof/>
        </w:rPr>
        <w:t>)</w:t>
      </w:r>
      <w:r>
        <w:rPr>
          <w:noProof/>
        </w:rPr>
        <w:tab/>
        <w:t>‘main electronic systems’ means advanced driver assistance systems (including lidars, radars, sensors, cameras, ECUs and integration platforms), central computing units, wireless access systems, in-vehicle infotainment head units and chassis electronics;</w:t>
      </w:r>
    </w:p>
    <w:p w14:paraId="125B3D8E" w14:textId="456598BB" w:rsidR="00F138F4" w:rsidRDefault="00F138F4" w:rsidP="000D0C3E">
      <w:pPr>
        <w:pStyle w:val="Point0"/>
        <w:rPr>
          <w:noProof/>
        </w:rPr>
      </w:pPr>
      <w:r>
        <w:rPr>
          <w:noProof/>
        </w:rPr>
        <w:t>(</w:t>
      </w:r>
      <w:r w:rsidR="000D0C3E">
        <w:rPr>
          <w:noProof/>
        </w:rPr>
        <w:t>28</w:t>
      </w:r>
      <w:r>
        <w:rPr>
          <w:noProof/>
        </w:rPr>
        <w:t>)</w:t>
      </w:r>
      <w:r>
        <w:rPr>
          <w:noProof/>
        </w:rPr>
        <w:tab/>
        <w:t>‘vehicle component’ means any part of a vehicle, including processed material;</w:t>
      </w:r>
    </w:p>
    <w:p w14:paraId="51553C43" w14:textId="09561319" w:rsidR="00F138F4" w:rsidRPr="00825916" w:rsidRDefault="00F138F4" w:rsidP="000D0C3E">
      <w:pPr>
        <w:pStyle w:val="Point0"/>
        <w:rPr>
          <w:noProof/>
        </w:rPr>
      </w:pPr>
      <w:r>
        <w:rPr>
          <w:noProof/>
        </w:rPr>
        <w:t>(</w:t>
      </w:r>
      <w:r w:rsidR="000D0C3E">
        <w:rPr>
          <w:noProof/>
        </w:rPr>
        <w:t>29</w:t>
      </w:r>
      <w:r>
        <w:rPr>
          <w:noProof/>
        </w:rPr>
        <w:t>)</w:t>
      </w:r>
      <w:r>
        <w:rPr>
          <w:noProof/>
        </w:rPr>
        <w:tab/>
        <w:t>‘assembled’ means the process of the final assembly of the vehicle;</w:t>
      </w:r>
    </w:p>
    <w:p w14:paraId="4DF5C1B6" w14:textId="69CA0202" w:rsidR="00F138F4" w:rsidRPr="00F138F4" w:rsidRDefault="00F138F4" w:rsidP="000D0C3E">
      <w:pPr>
        <w:pStyle w:val="Point0"/>
        <w:rPr>
          <w:noProof/>
        </w:rPr>
      </w:pPr>
      <w:r>
        <w:rPr>
          <w:noProof/>
        </w:rPr>
        <w:t>(</w:t>
      </w:r>
      <w:r w:rsidR="000D0C3E">
        <w:rPr>
          <w:noProof/>
        </w:rPr>
        <w:t>30</w:t>
      </w:r>
      <w:r>
        <w:rPr>
          <w:noProof/>
        </w:rPr>
        <w:t>)</w:t>
      </w:r>
      <w:r>
        <w:rPr>
          <w:noProof/>
        </w:rPr>
        <w:tab/>
        <w:t>‘vehicle manufacturer’ means a natural or legal person who is responsible for all aspects of the type-approval of a vehicle, system, component or separate technical unit, or the individual vehicle approval, or the authorisation process for parts and equipment, for ensuring conformity of production and for market surveillance matters regarding that vehicle, system, component, separate technical unit, part and equipment produced, irrespective of whether or not that person is directly involved in all stages of the design and construction of that vehicle, system, component or separate technical unit concerned</w:t>
      </w:r>
      <w:r w:rsidR="00D03A66">
        <w:rPr>
          <w:noProof/>
        </w:rPr>
        <w:t>;</w:t>
      </w:r>
    </w:p>
    <w:p w14:paraId="6815481E" w14:textId="348CA687" w:rsidR="0065557B" w:rsidRPr="00AD21FF" w:rsidRDefault="0065557B" w:rsidP="000D0C3E">
      <w:pPr>
        <w:pStyle w:val="Point0"/>
        <w:rPr>
          <w:noProof/>
        </w:rPr>
      </w:pPr>
      <w:r>
        <w:rPr>
          <w:noProof/>
        </w:rPr>
        <w:t>(</w:t>
      </w:r>
      <w:r w:rsidR="000D0C3E">
        <w:rPr>
          <w:noProof/>
        </w:rPr>
        <w:t>31</w:t>
      </w:r>
      <w:r>
        <w:rPr>
          <w:noProof/>
        </w:rPr>
        <w:t>)</w:t>
      </w:r>
      <w:r>
        <w:rPr>
          <w:noProof/>
        </w:rPr>
        <w:tab/>
      </w:r>
      <w:r w:rsidRPr="00AD21FF">
        <w:rPr>
          <w:noProof/>
        </w:rPr>
        <w:t>‘foreign direct investment’ means an investment</w:t>
      </w:r>
      <w:r w:rsidR="0037055C">
        <w:rPr>
          <w:noProof/>
        </w:rPr>
        <w:t>, including greenfield investments,</w:t>
      </w:r>
      <w:r w:rsidRPr="00AD21FF">
        <w:rPr>
          <w:noProof/>
        </w:rPr>
        <w:t xml:space="preserve"> into a Union target or a Union asset by </w:t>
      </w:r>
      <w:r w:rsidRPr="00AD21FF" w:rsidDel="00155FD7">
        <w:rPr>
          <w:noProof/>
        </w:rPr>
        <w:t>a foreign investor</w:t>
      </w:r>
      <w:r w:rsidRPr="00AD21FF">
        <w:rPr>
          <w:noProof/>
        </w:rPr>
        <w:t xml:space="preserve"> or by the foreign investor’s subsidiary aiming to establish or to maintain lasting and direct links between the foreign investor and the entrepreneur to whom or the undertaking to which the capital is made available</w:t>
      </w:r>
      <w:r w:rsidR="00F645B9">
        <w:rPr>
          <w:noProof/>
        </w:rPr>
        <w:t>, or at using an Union asset,</w:t>
      </w:r>
      <w:r w:rsidRPr="00AD21FF">
        <w:rPr>
          <w:noProof/>
        </w:rPr>
        <w:t xml:space="preserve"> in order to carry on an economic activity in a Member State, including investments which enable effective participation in the management or control of a company carrying out an economic activity;</w:t>
      </w:r>
    </w:p>
    <w:p w14:paraId="137CA169" w14:textId="1F5628EE" w:rsidR="0065557B" w:rsidRPr="00AD21FF" w:rsidRDefault="0065557B" w:rsidP="000D0C3E">
      <w:pPr>
        <w:pStyle w:val="Point0"/>
        <w:rPr>
          <w:noProof/>
        </w:rPr>
      </w:pPr>
      <w:r>
        <w:rPr>
          <w:noProof/>
        </w:rPr>
        <w:t>(</w:t>
      </w:r>
      <w:r w:rsidR="000D0C3E">
        <w:rPr>
          <w:noProof/>
        </w:rPr>
        <w:t>32</w:t>
      </w:r>
      <w:r>
        <w:rPr>
          <w:noProof/>
        </w:rPr>
        <w:t>)</w:t>
      </w:r>
      <w:r>
        <w:rPr>
          <w:noProof/>
        </w:rPr>
        <w:tab/>
      </w:r>
      <w:r w:rsidRPr="00AD21FF">
        <w:rPr>
          <w:noProof/>
        </w:rPr>
        <w:t xml:space="preserve">‘foreign investor’ means a natural person of a third country who does not hold the nationality of a Member State or an undertaking of a third country, intending to make or </w:t>
      </w:r>
      <w:r w:rsidR="00A42B11">
        <w:rPr>
          <w:noProof/>
        </w:rPr>
        <w:t>having made</w:t>
      </w:r>
      <w:r w:rsidR="00A42B11" w:rsidRPr="00AD21FF">
        <w:rPr>
          <w:noProof/>
        </w:rPr>
        <w:t xml:space="preserve"> </w:t>
      </w:r>
      <w:r w:rsidRPr="00AD21FF">
        <w:rPr>
          <w:noProof/>
        </w:rPr>
        <w:t>a foreign direct investment;</w:t>
      </w:r>
    </w:p>
    <w:p w14:paraId="2F48EBF2" w14:textId="7A66300F" w:rsidR="00E62521" w:rsidRPr="00AD21FF" w:rsidRDefault="00E62521" w:rsidP="000D0C3E">
      <w:pPr>
        <w:pStyle w:val="Point0"/>
        <w:rPr>
          <w:noProof/>
        </w:rPr>
      </w:pPr>
      <w:r>
        <w:rPr>
          <w:noProof/>
        </w:rPr>
        <w:t>(</w:t>
      </w:r>
      <w:r w:rsidR="000D0C3E">
        <w:rPr>
          <w:noProof/>
        </w:rPr>
        <w:t>33</w:t>
      </w:r>
      <w:r>
        <w:rPr>
          <w:noProof/>
        </w:rPr>
        <w:t>)</w:t>
      </w:r>
      <w:r>
        <w:rPr>
          <w:noProof/>
        </w:rPr>
        <w:tab/>
      </w:r>
      <w:r w:rsidRPr="00AD21FF">
        <w:rPr>
          <w:noProof/>
        </w:rPr>
        <w:t xml:space="preserve">‘foreign investor’s subsidiary’ means an undertaking </w:t>
      </w:r>
      <w:r w:rsidRPr="00E62521">
        <w:rPr>
          <w:rFonts w:ascii="Times" w:eastAsia="Times New Roman" w:hAnsi="Times" w:cs="Times"/>
          <w:noProof/>
          <w:lang w:eastAsia="en-GB"/>
        </w:rPr>
        <w:t>controlled, directly or indirectly, by a foreign investor regardless of its place of establishment</w:t>
      </w:r>
      <w:r w:rsidRPr="00AD21FF">
        <w:rPr>
          <w:noProof/>
        </w:rPr>
        <w:t>;</w:t>
      </w:r>
    </w:p>
    <w:p w14:paraId="1B90829A" w14:textId="206B173E" w:rsidR="0065557B" w:rsidRPr="00AD21FF" w:rsidRDefault="0065557B" w:rsidP="000D0C3E">
      <w:pPr>
        <w:pStyle w:val="Point0"/>
        <w:rPr>
          <w:noProof/>
        </w:rPr>
      </w:pPr>
      <w:r>
        <w:rPr>
          <w:noProof/>
        </w:rPr>
        <w:t>(</w:t>
      </w:r>
      <w:r w:rsidR="000D0C3E">
        <w:rPr>
          <w:noProof/>
        </w:rPr>
        <w:t>34</w:t>
      </w:r>
      <w:r>
        <w:rPr>
          <w:noProof/>
        </w:rPr>
        <w:t>)</w:t>
      </w:r>
      <w:r>
        <w:rPr>
          <w:noProof/>
        </w:rPr>
        <w:tab/>
      </w:r>
      <w:r w:rsidRPr="00AD21FF">
        <w:rPr>
          <w:noProof/>
        </w:rPr>
        <w:t>‘Union target’ means an undertaking established under the laws of a Member State;</w:t>
      </w:r>
    </w:p>
    <w:p w14:paraId="11EEFFB3" w14:textId="5C278AAC" w:rsidR="003A61F5" w:rsidRPr="00AD21FF" w:rsidRDefault="003A61F5" w:rsidP="000D0C3E">
      <w:pPr>
        <w:pStyle w:val="Point0"/>
        <w:rPr>
          <w:noProof/>
        </w:rPr>
      </w:pPr>
      <w:r>
        <w:rPr>
          <w:noProof/>
        </w:rPr>
        <w:t>(</w:t>
      </w:r>
      <w:r w:rsidR="000D0C3E">
        <w:rPr>
          <w:noProof/>
        </w:rPr>
        <w:t>35</w:t>
      </w:r>
      <w:r>
        <w:rPr>
          <w:noProof/>
        </w:rPr>
        <w:t>)</w:t>
      </w:r>
      <w:r>
        <w:rPr>
          <w:noProof/>
        </w:rPr>
        <w:tab/>
      </w:r>
      <w:r w:rsidRPr="00AD21FF">
        <w:rPr>
          <w:noProof/>
        </w:rPr>
        <w:t xml:space="preserve">‘Union asset’ means an immovable asset used or intended to be used for manufacturing products in the territory of the Union; </w:t>
      </w:r>
    </w:p>
    <w:p w14:paraId="18D440E2" w14:textId="304ED9E0" w:rsidR="005C6BC1" w:rsidRPr="005C6BC1" w:rsidRDefault="005C6BC1" w:rsidP="000D0C3E">
      <w:pPr>
        <w:pStyle w:val="Point0"/>
        <w:rPr>
          <w:rFonts w:eastAsia="Times New Roman"/>
          <w:noProof/>
          <w:lang w:eastAsia="en-GB"/>
        </w:rPr>
      </w:pPr>
      <w:r>
        <w:rPr>
          <w:noProof/>
        </w:rPr>
        <w:t>(</w:t>
      </w:r>
      <w:r w:rsidR="000D0C3E">
        <w:rPr>
          <w:noProof/>
        </w:rPr>
        <w:t>36</w:t>
      </w:r>
      <w:r>
        <w:rPr>
          <w:noProof/>
        </w:rPr>
        <w:t>)</w:t>
      </w:r>
      <w:r>
        <w:rPr>
          <w:noProof/>
        </w:rPr>
        <w:tab/>
      </w:r>
      <w:r w:rsidRPr="00AD21FF">
        <w:rPr>
          <w:noProof/>
        </w:rPr>
        <w:t xml:space="preserve">‘Union worker’ means any natural person who has an employment contract or employment relationship as defined by law, </w:t>
      </w:r>
      <w:r>
        <w:rPr>
          <w:noProof/>
        </w:rPr>
        <w:t>a</w:t>
      </w:r>
      <w:r w:rsidRPr="00AD21FF">
        <w:rPr>
          <w:noProof/>
        </w:rPr>
        <w:t xml:space="preserve"> collective agreement or practice in force in a Member State and is either a citizen of the Union or a third country national legally residing in a Member State </w:t>
      </w:r>
      <w:r>
        <w:rPr>
          <w:noProof/>
        </w:rPr>
        <w:t>with a valid work permit at the moment of recruitment</w:t>
      </w:r>
      <w:r w:rsidRPr="00AD21FF">
        <w:rPr>
          <w:noProof/>
        </w:rPr>
        <w:t>;</w:t>
      </w:r>
    </w:p>
    <w:p w14:paraId="21C9E330" w14:textId="65B484F8" w:rsidR="00006284" w:rsidRPr="00ED0193" w:rsidRDefault="00006284" w:rsidP="000D0C3E">
      <w:pPr>
        <w:pStyle w:val="Point0"/>
        <w:rPr>
          <w:rFonts w:eastAsia="Times New Roman"/>
          <w:noProof/>
          <w:lang w:eastAsia="en-GB"/>
        </w:rPr>
      </w:pPr>
      <w:r>
        <w:rPr>
          <w:noProof/>
        </w:rPr>
        <w:t>(</w:t>
      </w:r>
      <w:r w:rsidR="000D0C3E">
        <w:rPr>
          <w:noProof/>
        </w:rPr>
        <w:t>37</w:t>
      </w:r>
      <w:r>
        <w:rPr>
          <w:noProof/>
        </w:rPr>
        <w:t>)</w:t>
      </w:r>
      <w:r>
        <w:rPr>
          <w:noProof/>
        </w:rPr>
        <w:tab/>
      </w:r>
      <w:r w:rsidRPr="00ED0193">
        <w:rPr>
          <w:rFonts w:eastAsia="Times New Roman"/>
          <w:noProof/>
          <w:lang w:eastAsia="en-GB"/>
        </w:rPr>
        <w:t>‘</w:t>
      </w:r>
      <w:r w:rsidRPr="000D0C3E">
        <w:rPr>
          <w:noProof/>
        </w:rPr>
        <w:t>portfolio</w:t>
      </w:r>
      <w:r w:rsidRPr="00ED0193">
        <w:rPr>
          <w:rFonts w:eastAsia="Times New Roman"/>
          <w:noProof/>
          <w:lang w:eastAsia="en-GB"/>
        </w:rPr>
        <w:t xml:space="preserve"> investment’ means</w:t>
      </w:r>
      <w:r w:rsidRPr="00006284">
        <w:rPr>
          <w:noProof/>
        </w:rPr>
        <w:t xml:space="preserve"> </w:t>
      </w:r>
      <w:r>
        <w:rPr>
          <w:noProof/>
        </w:rPr>
        <w:t xml:space="preserve">the </w:t>
      </w:r>
      <w:r w:rsidRPr="00AD21FF">
        <w:rPr>
          <w:noProof/>
        </w:rPr>
        <w:t>acquisition of company securities that are intended purely for financial investment and without any intention to influence the management or control of the company</w:t>
      </w:r>
      <w:r w:rsidR="00B15CF0">
        <w:rPr>
          <w:noProof/>
        </w:rPr>
        <w:t>;</w:t>
      </w:r>
    </w:p>
    <w:p w14:paraId="591D6E0B" w14:textId="278A4C23" w:rsidR="0065557B" w:rsidRPr="00ED0193" w:rsidRDefault="0065557B" w:rsidP="000D0C3E">
      <w:pPr>
        <w:pStyle w:val="Point0"/>
        <w:rPr>
          <w:rFonts w:eastAsia="Times New Roman"/>
          <w:noProof/>
          <w:lang w:eastAsia="en-GB"/>
        </w:rPr>
      </w:pPr>
      <w:r>
        <w:rPr>
          <w:noProof/>
        </w:rPr>
        <w:t>(</w:t>
      </w:r>
      <w:r w:rsidR="000D0C3E">
        <w:rPr>
          <w:noProof/>
        </w:rPr>
        <w:t>38</w:t>
      </w:r>
      <w:r>
        <w:rPr>
          <w:noProof/>
        </w:rPr>
        <w:t>)</w:t>
      </w:r>
      <w:r>
        <w:rPr>
          <w:noProof/>
        </w:rPr>
        <w:tab/>
      </w:r>
      <w:r w:rsidRPr="00AD21FF">
        <w:rPr>
          <w:noProof/>
        </w:rPr>
        <w:t>‘turnover’ means the amount derived by an undertaking within the meaning of Article 5(1) of Council Regulation (EC) No 139/2004</w:t>
      </w:r>
      <w:r w:rsidRPr="00781B63">
        <w:rPr>
          <w:rStyle w:val="FootnoteReference"/>
          <w:noProof/>
        </w:rPr>
        <w:footnoteReference w:id="59"/>
      </w:r>
      <w:r w:rsidRPr="00AD21FF">
        <w:rPr>
          <w:noProof/>
        </w:rPr>
        <w:t>;</w:t>
      </w:r>
    </w:p>
    <w:p w14:paraId="59139262" w14:textId="166CEF6D" w:rsidR="00897BD3" w:rsidRPr="00AD21FF" w:rsidRDefault="00897BD3" w:rsidP="000D0C3E">
      <w:pPr>
        <w:pStyle w:val="Point0"/>
        <w:rPr>
          <w:noProof/>
        </w:rPr>
      </w:pPr>
      <w:r>
        <w:rPr>
          <w:noProof/>
        </w:rPr>
        <w:t>(</w:t>
      </w:r>
      <w:r w:rsidR="000D0C3E">
        <w:rPr>
          <w:noProof/>
        </w:rPr>
        <w:t>39</w:t>
      </w:r>
      <w:r>
        <w:rPr>
          <w:noProof/>
        </w:rPr>
        <w:t>)</w:t>
      </w:r>
      <w:r>
        <w:rPr>
          <w:noProof/>
        </w:rPr>
        <w:tab/>
      </w:r>
      <w:r w:rsidRPr="00AD21FF">
        <w:rPr>
          <w:noProof/>
        </w:rPr>
        <w:t>‘active material’ means a material which reacts chemically to produce electric energy when the battery cell discharges or to store electric energy when the battery is being charged;</w:t>
      </w:r>
    </w:p>
    <w:p w14:paraId="5EE39324" w14:textId="5DC53D80" w:rsidR="00C672BE" w:rsidRPr="00AD21FF" w:rsidRDefault="00C672BE" w:rsidP="000D0C3E">
      <w:pPr>
        <w:pStyle w:val="Point0"/>
        <w:rPr>
          <w:noProof/>
        </w:rPr>
      </w:pPr>
      <w:r>
        <w:rPr>
          <w:noProof/>
        </w:rPr>
        <w:t>(</w:t>
      </w:r>
      <w:r w:rsidR="000D0C3E">
        <w:rPr>
          <w:noProof/>
        </w:rPr>
        <w:t>40</w:t>
      </w:r>
      <w:r>
        <w:rPr>
          <w:noProof/>
        </w:rPr>
        <w:t>)</w:t>
      </w:r>
      <w:r>
        <w:rPr>
          <w:noProof/>
        </w:rPr>
        <w:tab/>
      </w:r>
      <w:r w:rsidRPr="00AD21FF">
        <w:rPr>
          <w:noProof/>
        </w:rPr>
        <w:t xml:space="preserve">‘electric vehicle battery’ means </w:t>
      </w:r>
      <w:r w:rsidRPr="00074EFB">
        <w:rPr>
          <w:noProof/>
        </w:rPr>
        <w:t>an electric vehicle battery as defined in Article 3(1), point (14), of Regulation (EU) 2023/1542</w:t>
      </w:r>
      <w:r w:rsidRPr="00056F68" w:rsidDel="009124EC">
        <w:rPr>
          <w:noProof/>
        </w:rPr>
        <w:t xml:space="preserve"> of the European Parliament and of the Council</w:t>
      </w:r>
      <w:r w:rsidRPr="00B105F9">
        <w:rPr>
          <w:rStyle w:val="FootnoteReference"/>
        </w:rPr>
        <w:footnoteReference w:id="60"/>
      </w:r>
      <w:r>
        <w:rPr>
          <w:noProof/>
        </w:rPr>
        <w:t>;</w:t>
      </w:r>
      <w:r w:rsidRPr="00AD21FF">
        <w:rPr>
          <w:noProof/>
        </w:rPr>
        <w:t xml:space="preserve"> </w:t>
      </w:r>
    </w:p>
    <w:p w14:paraId="5B90A83D" w14:textId="4DA8D03C" w:rsidR="00897BD3" w:rsidRPr="00AD21FF" w:rsidRDefault="00897BD3" w:rsidP="000D0C3E">
      <w:pPr>
        <w:pStyle w:val="Point0"/>
        <w:rPr>
          <w:noProof/>
        </w:rPr>
      </w:pPr>
      <w:r>
        <w:rPr>
          <w:noProof/>
        </w:rPr>
        <w:t>(</w:t>
      </w:r>
      <w:r w:rsidR="000D0C3E">
        <w:rPr>
          <w:noProof/>
        </w:rPr>
        <w:t>41</w:t>
      </w:r>
      <w:r>
        <w:rPr>
          <w:noProof/>
        </w:rPr>
        <w:t>)</w:t>
      </w:r>
      <w:r>
        <w:rPr>
          <w:noProof/>
        </w:rPr>
        <w:tab/>
      </w:r>
      <w:r w:rsidRPr="00AD21FF">
        <w:rPr>
          <w:noProof/>
        </w:rPr>
        <w:t>‘supplier’ means a manufacturer established in the Union, the authorised representative of a manufacturer who is not established in the Union, or an importer, who places a product on the Union market;</w:t>
      </w:r>
    </w:p>
    <w:p w14:paraId="57931608" w14:textId="77777777" w:rsidR="00290640" w:rsidRPr="00AD21FF" w:rsidRDefault="00290640" w:rsidP="00290640">
      <w:pPr>
        <w:pStyle w:val="ChapterTitle"/>
        <w:rPr>
          <w:noProof/>
        </w:rPr>
      </w:pPr>
      <w:r w:rsidRPr="00AD21FF">
        <w:rPr>
          <w:b w:val="0"/>
          <w:bCs/>
          <w:noProof/>
        </w:rPr>
        <w:t>CHAPTER II</w:t>
      </w:r>
      <w:r w:rsidRPr="00AD21FF">
        <w:rPr>
          <w:noProof/>
        </w:rPr>
        <w:br/>
        <w:t>ENABLING CONDITIONS FOR INDUSTRIAL PRODUCTION AND DECARBONISATION</w:t>
      </w:r>
    </w:p>
    <w:p w14:paraId="40C123FF" w14:textId="77777777" w:rsidR="009B16FA" w:rsidRPr="00AD21FF" w:rsidRDefault="009B16FA" w:rsidP="009B16FA">
      <w:pPr>
        <w:pStyle w:val="Titrearticle"/>
        <w:rPr>
          <w:b/>
          <w:bCs/>
          <w:i w:val="0"/>
          <w:iCs/>
          <w:noProof/>
        </w:rPr>
      </w:pPr>
      <w:r w:rsidRPr="00AD21FF">
        <w:rPr>
          <w:noProof/>
        </w:rPr>
        <w:t xml:space="preserve">Article </w:t>
      </w:r>
      <w:r w:rsidR="001F2422">
        <w:rPr>
          <w:noProof/>
        </w:rPr>
        <w:t>4</w:t>
      </w:r>
      <w:r w:rsidRPr="00AD21FF">
        <w:rPr>
          <w:noProof/>
        </w:rPr>
        <w:br/>
      </w:r>
      <w:r w:rsidR="00F62AE7" w:rsidRPr="00735019">
        <w:rPr>
          <w:b/>
          <w:bCs/>
          <w:i w:val="0"/>
          <w:iCs/>
          <w:noProof/>
        </w:rPr>
        <w:t>Single access points</w:t>
      </w:r>
    </w:p>
    <w:p w14:paraId="4C8EC77A" w14:textId="77777777" w:rsidR="004C598D" w:rsidRDefault="004C598D" w:rsidP="007234F4">
      <w:pPr>
        <w:pStyle w:val="ManualNumPar1"/>
        <w:rPr>
          <w:noProof/>
        </w:rPr>
      </w:pPr>
      <w:r>
        <w:rPr>
          <w:noProof/>
        </w:rPr>
        <w:t>1.</w:t>
      </w:r>
      <w:r>
        <w:rPr>
          <w:noProof/>
        </w:rPr>
        <w:tab/>
      </w:r>
      <w:r w:rsidRPr="00AD21FF">
        <w:rPr>
          <w:noProof/>
        </w:rPr>
        <w:t xml:space="preserve">Member States </w:t>
      </w:r>
      <w:r w:rsidRPr="00301EBC">
        <w:rPr>
          <w:noProof/>
        </w:rPr>
        <w:t xml:space="preserve">shall set up a single access point at national level for </w:t>
      </w:r>
      <w:r>
        <w:rPr>
          <w:noProof/>
        </w:rPr>
        <w:t xml:space="preserve">the submission by project promoters of the single application </w:t>
      </w:r>
      <w:r w:rsidRPr="00301EBC">
        <w:rPr>
          <w:noProof/>
        </w:rPr>
        <w:t xml:space="preserve">for industrial manufacturing projects referred to in Article 5(1). </w:t>
      </w:r>
    </w:p>
    <w:p w14:paraId="1C8764FF" w14:textId="77777777" w:rsidR="003B7D09" w:rsidRPr="00D91011" w:rsidRDefault="003B7D09" w:rsidP="007234F4">
      <w:pPr>
        <w:pStyle w:val="ManualNumPar1"/>
        <w:rPr>
          <w:noProof/>
        </w:rPr>
      </w:pPr>
      <w:r>
        <w:rPr>
          <w:noProof/>
        </w:rPr>
        <w:t>2.</w:t>
      </w:r>
      <w:r>
        <w:rPr>
          <w:noProof/>
        </w:rPr>
        <w:tab/>
      </w:r>
      <w:bookmarkStart w:id="9" w:name="_Hlk222430986"/>
      <w:r w:rsidRPr="00301EBC">
        <w:rPr>
          <w:noProof/>
        </w:rPr>
        <w:t>The single access points shall</w:t>
      </w:r>
      <w:r>
        <w:rPr>
          <w:noProof/>
        </w:rPr>
        <w:t xml:space="preserve"> </w:t>
      </w:r>
      <w:r w:rsidRPr="00B3276E">
        <w:rPr>
          <w:noProof/>
        </w:rPr>
        <w:t xml:space="preserve">automatically attribute the permit applications to the relevant </w:t>
      </w:r>
      <w:r>
        <w:rPr>
          <w:noProof/>
        </w:rPr>
        <w:t xml:space="preserve">authority, </w:t>
      </w:r>
      <w:r w:rsidRPr="00301EBC">
        <w:rPr>
          <w:noProof/>
        </w:rPr>
        <w:t>inform the applicant about all steps of the permit-granting procedure, the status of the procedure and of the decisions of the relevant authorities, and enable the applicant</w:t>
      </w:r>
      <w:r>
        <w:rPr>
          <w:noProof/>
        </w:rPr>
        <w:t xml:space="preserve"> </w:t>
      </w:r>
      <w:r w:rsidRPr="00301EBC">
        <w:rPr>
          <w:noProof/>
        </w:rPr>
        <w:t>to check</w:t>
      </w:r>
      <w:r w:rsidRPr="00AD21FF">
        <w:rPr>
          <w:noProof/>
        </w:rPr>
        <w:t xml:space="preserve"> compliance with applicable deadlines. </w:t>
      </w:r>
      <w:r>
        <w:rPr>
          <w:noProof/>
        </w:rPr>
        <w:t xml:space="preserve">To that effect the single access points shall use the European Business Wallets established </w:t>
      </w:r>
      <w:r w:rsidRPr="00D91011">
        <w:rPr>
          <w:noProof/>
        </w:rPr>
        <w:t>pursuant to [Proposal for a Regulation on the establishment of European Business Wallets].</w:t>
      </w:r>
    </w:p>
    <w:p w14:paraId="113A3DAB" w14:textId="77777777" w:rsidR="00301EBC" w:rsidRPr="00AD21FF" w:rsidRDefault="00301EBC" w:rsidP="00301EBC">
      <w:pPr>
        <w:pStyle w:val="Text1"/>
        <w:rPr>
          <w:noProof/>
        </w:rPr>
      </w:pPr>
      <w:r w:rsidRPr="00AD21FF">
        <w:rPr>
          <w:noProof/>
        </w:rPr>
        <w:t>Th</w:t>
      </w:r>
      <w:r>
        <w:rPr>
          <w:noProof/>
        </w:rPr>
        <w:t>rough the use of European Business Wallets</w:t>
      </w:r>
      <w:r w:rsidR="00A17AEB">
        <w:rPr>
          <w:noProof/>
        </w:rPr>
        <w:t>,</w:t>
      </w:r>
      <w:r>
        <w:rPr>
          <w:noProof/>
        </w:rPr>
        <w:t xml:space="preserve"> th</w:t>
      </w:r>
      <w:r w:rsidRPr="00AD21FF">
        <w:rPr>
          <w:noProof/>
        </w:rPr>
        <w:t xml:space="preserve">e single </w:t>
      </w:r>
      <w:r>
        <w:rPr>
          <w:noProof/>
        </w:rPr>
        <w:t>access points</w:t>
      </w:r>
      <w:r w:rsidRPr="00AD21FF">
        <w:rPr>
          <w:noProof/>
        </w:rPr>
        <w:t xml:space="preserve"> shall </w:t>
      </w:r>
      <w:r>
        <w:rPr>
          <w:noProof/>
        </w:rPr>
        <w:t>enable</w:t>
      </w:r>
      <w:r w:rsidRPr="00AD21FF">
        <w:rPr>
          <w:noProof/>
        </w:rPr>
        <w:t>:</w:t>
      </w:r>
    </w:p>
    <w:p w14:paraId="025C70FD" w14:textId="77777777" w:rsidR="00301EBC" w:rsidRPr="00AD21FF" w:rsidRDefault="00301EBC" w:rsidP="007234F4">
      <w:pPr>
        <w:pStyle w:val="Point1"/>
        <w:rPr>
          <w:noProof/>
        </w:rPr>
      </w:pPr>
      <w:r>
        <w:rPr>
          <w:noProof/>
        </w:rPr>
        <w:t>(a)</w:t>
      </w:r>
      <w:r>
        <w:rPr>
          <w:noProof/>
        </w:rPr>
        <w:tab/>
      </w:r>
      <w:r w:rsidRPr="00AD21FF">
        <w:rPr>
          <w:noProof/>
        </w:rPr>
        <w:t xml:space="preserve">interoperability and automated data exchange between competent authorities; </w:t>
      </w:r>
    </w:p>
    <w:p w14:paraId="2F673F4D" w14:textId="77777777" w:rsidR="00301EBC" w:rsidRPr="00AD21FF" w:rsidRDefault="00301EBC" w:rsidP="007234F4">
      <w:pPr>
        <w:pStyle w:val="Point1"/>
        <w:rPr>
          <w:noProof/>
        </w:rPr>
      </w:pPr>
      <w:r>
        <w:rPr>
          <w:noProof/>
        </w:rPr>
        <w:t>(a)</w:t>
      </w:r>
      <w:r>
        <w:rPr>
          <w:noProof/>
        </w:rPr>
        <w:tab/>
      </w:r>
      <w:r w:rsidRPr="00AD21FF">
        <w:rPr>
          <w:noProof/>
        </w:rPr>
        <w:t>re-use of data and documents already held by public authorities;</w:t>
      </w:r>
    </w:p>
    <w:p w14:paraId="26F438F4" w14:textId="77777777" w:rsidR="00301EBC" w:rsidRPr="00AD21FF" w:rsidRDefault="00301EBC" w:rsidP="007234F4">
      <w:pPr>
        <w:pStyle w:val="Point1"/>
        <w:rPr>
          <w:noProof/>
        </w:rPr>
      </w:pPr>
      <w:r>
        <w:rPr>
          <w:noProof/>
        </w:rPr>
        <w:t>(b)</w:t>
      </w:r>
      <w:r>
        <w:rPr>
          <w:noProof/>
        </w:rPr>
        <w:tab/>
      </w:r>
      <w:r w:rsidRPr="00AD21FF">
        <w:rPr>
          <w:noProof/>
        </w:rPr>
        <w:t xml:space="preserve">a high level of cybersecurity, and integrity of information; </w:t>
      </w:r>
    </w:p>
    <w:p w14:paraId="0239BA2B" w14:textId="77777777" w:rsidR="00DA0476" w:rsidRDefault="00301EBC" w:rsidP="007234F4">
      <w:pPr>
        <w:pStyle w:val="Point1"/>
        <w:rPr>
          <w:noProof/>
        </w:rPr>
      </w:pPr>
      <w:r>
        <w:rPr>
          <w:noProof/>
        </w:rPr>
        <w:t>(c)</w:t>
      </w:r>
      <w:r>
        <w:rPr>
          <w:noProof/>
        </w:rPr>
        <w:tab/>
      </w:r>
      <w:r w:rsidRPr="00AD21FF">
        <w:rPr>
          <w:noProof/>
        </w:rPr>
        <w:t>transparency and accountability of the permit-granting procedure.</w:t>
      </w:r>
      <w:bookmarkEnd w:id="9"/>
    </w:p>
    <w:p w14:paraId="7BA7A8B5" w14:textId="77777777" w:rsidR="00E0283E" w:rsidRDefault="00E0283E" w:rsidP="00E0283E">
      <w:pPr>
        <w:pStyle w:val="ManualNumPar1"/>
        <w:rPr>
          <w:noProof/>
        </w:rPr>
      </w:pPr>
      <w:r>
        <w:rPr>
          <w:noProof/>
        </w:rPr>
        <w:t>3.</w:t>
      </w:r>
      <w:r>
        <w:rPr>
          <w:noProof/>
        </w:rPr>
        <w:tab/>
      </w:r>
      <w:r w:rsidRPr="00AD21FF">
        <w:rPr>
          <w:noProof/>
        </w:rPr>
        <w:t xml:space="preserve">When setting up the single </w:t>
      </w:r>
      <w:r>
        <w:rPr>
          <w:noProof/>
        </w:rPr>
        <w:t>access points</w:t>
      </w:r>
      <w:r w:rsidRPr="00AD21FF">
        <w:rPr>
          <w:noProof/>
        </w:rPr>
        <w:t xml:space="preserve">, Member States shall, where appropriate, make use of existing Union digital infrastructure, catalogues and building blocks established by Union law. </w:t>
      </w:r>
    </w:p>
    <w:p w14:paraId="6A002496" w14:textId="77777777" w:rsidR="005551D5" w:rsidRPr="00AD21FF" w:rsidRDefault="005551D5" w:rsidP="005551D5">
      <w:pPr>
        <w:pStyle w:val="Titrearticle"/>
        <w:rPr>
          <w:noProof/>
        </w:rPr>
      </w:pPr>
      <w:r w:rsidRPr="00AD21FF">
        <w:rPr>
          <w:noProof/>
        </w:rPr>
        <w:t xml:space="preserve">Article </w:t>
      </w:r>
      <w:r w:rsidR="001F2422">
        <w:rPr>
          <w:noProof/>
        </w:rPr>
        <w:t>5</w:t>
      </w:r>
      <w:r w:rsidRPr="00AD21FF">
        <w:rPr>
          <w:noProof/>
        </w:rPr>
        <w:br/>
      </w:r>
      <w:r w:rsidRPr="00AD21FF">
        <w:rPr>
          <w:b/>
          <w:bCs/>
          <w:i w:val="0"/>
          <w:iCs/>
          <w:noProof/>
        </w:rPr>
        <w:t>Permit-granting procedure</w:t>
      </w:r>
    </w:p>
    <w:p w14:paraId="22887093" w14:textId="77777777" w:rsidR="008825D7" w:rsidRDefault="005551D5" w:rsidP="005260AB">
      <w:pPr>
        <w:pStyle w:val="ManualNumPar1"/>
        <w:rPr>
          <w:noProof/>
        </w:rPr>
      </w:pPr>
      <w:r>
        <w:rPr>
          <w:noProof/>
        </w:rPr>
        <w:t>1.</w:t>
      </w:r>
      <w:r>
        <w:rPr>
          <w:noProof/>
        </w:rPr>
        <w:tab/>
      </w:r>
      <w:r w:rsidRPr="00AD21FF">
        <w:rPr>
          <w:noProof/>
        </w:rPr>
        <w:t xml:space="preserve">Member States shall establish a single </w:t>
      </w:r>
      <w:r w:rsidR="00B7270E">
        <w:rPr>
          <w:noProof/>
        </w:rPr>
        <w:t xml:space="preserve">permit-granting procedure based on a single </w:t>
      </w:r>
      <w:r w:rsidR="00A047EE" w:rsidRPr="00AD21FF">
        <w:rPr>
          <w:noProof/>
        </w:rPr>
        <w:t xml:space="preserve">application covering all permits required for </w:t>
      </w:r>
      <w:r w:rsidR="00B7270E">
        <w:rPr>
          <w:noProof/>
        </w:rPr>
        <w:t>industrial manufacturing</w:t>
      </w:r>
      <w:r w:rsidR="00A047EE" w:rsidRPr="00AD21FF">
        <w:rPr>
          <w:noProof/>
        </w:rPr>
        <w:t xml:space="preserve"> project</w:t>
      </w:r>
      <w:r w:rsidR="00B7270E">
        <w:rPr>
          <w:noProof/>
        </w:rPr>
        <w:t>s.</w:t>
      </w:r>
    </w:p>
    <w:p w14:paraId="67538853" w14:textId="77777777" w:rsidR="00C23893" w:rsidRPr="00C23893" w:rsidRDefault="00A56D49" w:rsidP="007156F5">
      <w:pPr>
        <w:pStyle w:val="ManualNumPar1"/>
        <w:rPr>
          <w:noProof/>
        </w:rPr>
      </w:pPr>
      <w:r>
        <w:rPr>
          <w:noProof/>
        </w:rPr>
        <w:t>2.</w:t>
      </w:r>
      <w:r>
        <w:rPr>
          <w:noProof/>
        </w:rPr>
        <w:tab/>
        <w:t xml:space="preserve">Member States shall </w:t>
      </w:r>
      <w:r w:rsidR="00F40FFF">
        <w:rPr>
          <w:noProof/>
        </w:rPr>
        <w:t xml:space="preserve">designate a competent authority </w:t>
      </w:r>
      <w:r w:rsidR="00C23893">
        <w:rPr>
          <w:noProof/>
        </w:rPr>
        <w:t xml:space="preserve">to </w:t>
      </w:r>
      <w:r>
        <w:rPr>
          <w:noProof/>
        </w:rPr>
        <w:t xml:space="preserve">coordinate </w:t>
      </w:r>
      <w:r w:rsidR="00C71F11">
        <w:rPr>
          <w:noProof/>
        </w:rPr>
        <w:t>the</w:t>
      </w:r>
      <w:r w:rsidR="00C71F11" w:rsidRPr="00AD21FF">
        <w:rPr>
          <w:noProof/>
        </w:rPr>
        <w:t xml:space="preserve"> </w:t>
      </w:r>
      <w:r>
        <w:rPr>
          <w:noProof/>
        </w:rPr>
        <w:t xml:space="preserve">permit-granting </w:t>
      </w:r>
      <w:r w:rsidR="005551D5" w:rsidRPr="00AD21FF">
        <w:rPr>
          <w:noProof/>
        </w:rPr>
        <w:t xml:space="preserve">procedure </w:t>
      </w:r>
      <w:r w:rsidR="00C71F11">
        <w:rPr>
          <w:noProof/>
        </w:rPr>
        <w:t xml:space="preserve">referred to in </w:t>
      </w:r>
      <w:r>
        <w:rPr>
          <w:noProof/>
        </w:rPr>
        <w:t xml:space="preserve">paragraph 1 in order to ensure </w:t>
      </w:r>
      <w:r w:rsidR="005551D5" w:rsidRPr="00AD21FF">
        <w:rPr>
          <w:noProof/>
        </w:rPr>
        <w:t>the adoption and issu</w:t>
      </w:r>
      <w:r w:rsidR="006A3089">
        <w:rPr>
          <w:noProof/>
        </w:rPr>
        <w:t>e</w:t>
      </w:r>
      <w:r w:rsidR="005551D5" w:rsidRPr="00AD21FF">
        <w:rPr>
          <w:noProof/>
        </w:rPr>
        <w:t xml:space="preserve"> of a comprehensive decision</w:t>
      </w:r>
      <w:r w:rsidR="00F40FFF">
        <w:rPr>
          <w:noProof/>
        </w:rPr>
        <w:t xml:space="preserve"> within the applicable time limit</w:t>
      </w:r>
      <w:r w:rsidR="005551D5" w:rsidRPr="00AD21FF">
        <w:rPr>
          <w:noProof/>
        </w:rPr>
        <w:t>.</w:t>
      </w:r>
    </w:p>
    <w:p w14:paraId="0AA1B897" w14:textId="77777777" w:rsidR="005551D5" w:rsidRPr="00AD21FF" w:rsidRDefault="005551D5" w:rsidP="009E6C85">
      <w:pPr>
        <w:pStyle w:val="ManualNumPar1"/>
        <w:rPr>
          <w:noProof/>
        </w:rPr>
      </w:pPr>
      <w:r>
        <w:rPr>
          <w:noProof/>
        </w:rPr>
        <w:t>3.</w:t>
      </w:r>
      <w:r>
        <w:rPr>
          <w:noProof/>
        </w:rPr>
        <w:tab/>
      </w:r>
      <w:r w:rsidRPr="00AD21FF">
        <w:rPr>
          <w:noProof/>
        </w:rPr>
        <w:t xml:space="preserve">No later than 45 days from the receipt of the application for a permit </w:t>
      </w:r>
      <w:r w:rsidR="00CD2664">
        <w:rPr>
          <w:noProof/>
        </w:rPr>
        <w:t>for industrial manufacturing projects</w:t>
      </w:r>
      <w:r w:rsidRPr="00AD21FF">
        <w:rPr>
          <w:noProof/>
        </w:rPr>
        <w:t xml:space="preserve">, the competent authority shall </w:t>
      </w:r>
      <w:r w:rsidR="00650888">
        <w:rPr>
          <w:noProof/>
        </w:rPr>
        <w:t xml:space="preserve">either </w:t>
      </w:r>
      <w:r w:rsidRPr="00AD21FF">
        <w:rPr>
          <w:noProof/>
        </w:rPr>
        <w:t xml:space="preserve">acknowledge that the application is complete or request any missing information needed to process the application. </w:t>
      </w:r>
    </w:p>
    <w:p w14:paraId="79332390" w14:textId="77777777" w:rsidR="001C4466" w:rsidDel="003407FC" w:rsidRDefault="001C4466" w:rsidP="004858A8">
      <w:pPr>
        <w:pStyle w:val="Text1"/>
        <w:rPr>
          <w:noProof/>
        </w:rPr>
      </w:pPr>
      <w:r w:rsidRPr="00AD21FF">
        <w:rPr>
          <w:noProof/>
        </w:rPr>
        <w:t>Where, after the submission of any missing information, the application is still deemed to be incomplete, the competent authority may, within 30 days of the submission</w:t>
      </w:r>
      <w:r>
        <w:rPr>
          <w:noProof/>
        </w:rPr>
        <w:t xml:space="preserve"> of the requested missing information</w:t>
      </w:r>
      <w:r w:rsidRPr="00AD21FF">
        <w:rPr>
          <w:noProof/>
        </w:rPr>
        <w:t>, make a second request for any information still missing. The competent authority shall not request information in areas not covered in the first request for additional information and shall request further information only as necessary to cover the missing information</w:t>
      </w:r>
      <w:r>
        <w:rPr>
          <w:noProof/>
        </w:rPr>
        <w:t>.</w:t>
      </w:r>
    </w:p>
    <w:p w14:paraId="39E839AF" w14:textId="77777777" w:rsidR="00A1461C" w:rsidRPr="00FB54B2" w:rsidRDefault="00A1461C" w:rsidP="00A1461C">
      <w:pPr>
        <w:pStyle w:val="ManualNumPar1"/>
        <w:rPr>
          <w:noProof/>
        </w:rPr>
      </w:pPr>
      <w:r>
        <w:rPr>
          <w:noProof/>
        </w:rPr>
        <w:t>4.</w:t>
      </w:r>
      <w:r>
        <w:rPr>
          <w:noProof/>
        </w:rPr>
        <w:tab/>
      </w:r>
      <w:r w:rsidRPr="00FB54B2">
        <w:rPr>
          <w:noProof/>
        </w:rPr>
        <w:t>The provisions of this Article shall not apply where rules to streamline the administrative and permit-granting processes are established in other Union legislative acts for specific industrial manufacturing sectors.</w:t>
      </w:r>
    </w:p>
    <w:p w14:paraId="1CF9B77B" w14:textId="77777777" w:rsidR="005551D5" w:rsidRPr="00F81D61" w:rsidRDefault="005551D5" w:rsidP="005551D5">
      <w:pPr>
        <w:pStyle w:val="Titrearticle"/>
        <w:rPr>
          <w:b/>
          <w:bCs/>
          <w:i w:val="0"/>
          <w:iCs/>
          <w:noProof/>
        </w:rPr>
      </w:pPr>
      <w:r w:rsidRPr="00F81D61">
        <w:rPr>
          <w:noProof/>
        </w:rPr>
        <w:t xml:space="preserve">Article </w:t>
      </w:r>
      <w:r w:rsidR="001F2422" w:rsidRPr="00F81D61">
        <w:rPr>
          <w:noProof/>
        </w:rPr>
        <w:t>6</w:t>
      </w:r>
      <w:r w:rsidRPr="00F81D61">
        <w:rPr>
          <w:noProof/>
        </w:rPr>
        <w:br/>
      </w:r>
      <w:r w:rsidRPr="00F81D61">
        <w:rPr>
          <w:b/>
          <w:bCs/>
          <w:i w:val="0"/>
          <w:iCs/>
          <w:noProof/>
        </w:rPr>
        <w:t>Energy</w:t>
      </w:r>
      <w:r w:rsidR="00BE6E8B">
        <w:rPr>
          <w:b/>
          <w:bCs/>
          <w:i w:val="0"/>
          <w:iCs/>
          <w:noProof/>
        </w:rPr>
        <w:t>-</w:t>
      </w:r>
      <w:r w:rsidRPr="00F81D61">
        <w:rPr>
          <w:b/>
          <w:bCs/>
          <w:i w:val="0"/>
          <w:iCs/>
          <w:noProof/>
        </w:rPr>
        <w:t>intensive industry decarbonisation projects</w:t>
      </w:r>
    </w:p>
    <w:p w14:paraId="3300B969" w14:textId="77777777" w:rsidR="005551D5" w:rsidRPr="00AD21FF" w:rsidRDefault="001146A6" w:rsidP="005260AB">
      <w:pPr>
        <w:pStyle w:val="ManualNumPar1"/>
        <w:rPr>
          <w:noProof/>
        </w:rPr>
      </w:pPr>
      <w:r>
        <w:rPr>
          <w:noProof/>
        </w:rPr>
        <w:t>1.</w:t>
      </w:r>
      <w:r>
        <w:rPr>
          <w:noProof/>
        </w:rPr>
        <w:tab/>
        <w:t>C</w:t>
      </w:r>
      <w:r w:rsidR="009A19AE" w:rsidRPr="00AD21FF">
        <w:rPr>
          <w:noProof/>
        </w:rPr>
        <w:t>hapter</w:t>
      </w:r>
      <w:r w:rsidR="005551D5" w:rsidRPr="00AD21FF">
        <w:rPr>
          <w:noProof/>
        </w:rPr>
        <w:t xml:space="preserve"> II, Section II, of Regulation (EU) 2024/1735 shall apply to all energy-intensive industry decarbonisation projects. </w:t>
      </w:r>
    </w:p>
    <w:p w14:paraId="3DD5AED0" w14:textId="77777777" w:rsidR="00AF413D" w:rsidRPr="00AD21FF" w:rsidRDefault="00AF413D" w:rsidP="00AF413D">
      <w:pPr>
        <w:pStyle w:val="ManualNumPar1"/>
        <w:rPr>
          <w:noProof/>
        </w:rPr>
      </w:pPr>
      <w:r>
        <w:rPr>
          <w:noProof/>
        </w:rPr>
        <w:t>2.</w:t>
      </w:r>
      <w:r>
        <w:rPr>
          <w:noProof/>
        </w:rPr>
        <w:tab/>
        <w:t>A</w:t>
      </w:r>
      <w:r w:rsidRPr="00AD21FF">
        <w:rPr>
          <w:noProof/>
        </w:rPr>
        <w:t>ll energy</w:t>
      </w:r>
      <w:r>
        <w:rPr>
          <w:noProof/>
        </w:rPr>
        <w:t>-</w:t>
      </w:r>
      <w:r w:rsidRPr="00AD21FF">
        <w:rPr>
          <w:noProof/>
        </w:rPr>
        <w:t xml:space="preserve">intensive </w:t>
      </w:r>
      <w:r>
        <w:rPr>
          <w:noProof/>
        </w:rPr>
        <w:t xml:space="preserve">industry </w:t>
      </w:r>
      <w:r w:rsidRPr="00AD21FF">
        <w:rPr>
          <w:noProof/>
        </w:rPr>
        <w:t xml:space="preserve">decarbonisation projects shall be considered strategic projects </w:t>
      </w:r>
      <w:r>
        <w:rPr>
          <w:noProof/>
        </w:rPr>
        <w:t>contributing to resilience and decarbonisation or resource efficiency</w:t>
      </w:r>
      <w:r w:rsidRPr="00AD21FF">
        <w:rPr>
          <w:noProof/>
        </w:rPr>
        <w:t xml:space="preserve"> </w:t>
      </w:r>
      <w:r>
        <w:rPr>
          <w:noProof/>
        </w:rPr>
        <w:t>for the purposes</w:t>
      </w:r>
      <w:r w:rsidRPr="00AD21FF">
        <w:rPr>
          <w:noProof/>
        </w:rPr>
        <w:t xml:space="preserve"> of [Article 14 of Proposal for a Regulation on speeding-up </w:t>
      </w:r>
      <w:r w:rsidRPr="00C13797">
        <w:rPr>
          <w:noProof/>
        </w:rPr>
        <w:t>environmental assessment</w:t>
      </w:r>
      <w:r w:rsidRPr="00FC4007">
        <w:rPr>
          <w:noProof/>
        </w:rPr>
        <w:t>]</w:t>
      </w:r>
      <w:r w:rsidRPr="00C13797">
        <w:rPr>
          <w:noProof/>
        </w:rPr>
        <w:t>. Points 1, 2 and 3 of the Annex in that Regulation shall apply.</w:t>
      </w:r>
      <w:r>
        <w:rPr>
          <w:noProof/>
        </w:rPr>
        <w:t xml:space="preserve"> </w:t>
      </w:r>
    </w:p>
    <w:p w14:paraId="49A027D8" w14:textId="77777777" w:rsidR="00290640" w:rsidRPr="00AD21FF" w:rsidRDefault="00652703" w:rsidP="00290640">
      <w:pPr>
        <w:pStyle w:val="ChapterTitle"/>
        <w:rPr>
          <w:noProof/>
        </w:rPr>
      </w:pPr>
      <w:r w:rsidRPr="00AD21FF">
        <w:rPr>
          <w:b w:val="0"/>
          <w:bCs/>
          <w:noProof/>
        </w:rPr>
        <w:t>CHAPTER III</w:t>
      </w:r>
      <w:r w:rsidRPr="00AD21FF">
        <w:rPr>
          <w:noProof/>
        </w:rPr>
        <w:t xml:space="preserve"> </w:t>
      </w:r>
      <w:r w:rsidRPr="00AD21FF">
        <w:rPr>
          <w:noProof/>
        </w:rPr>
        <w:br/>
        <w:t>STRENGTHENING THE UNION’S STRATEGIC INDUSTRIAL VALUE CHAINS</w:t>
      </w:r>
    </w:p>
    <w:p w14:paraId="202571D9" w14:textId="77777777" w:rsidR="00083654" w:rsidRPr="00AD21FF" w:rsidRDefault="00083654" w:rsidP="008C77E8">
      <w:pPr>
        <w:pStyle w:val="Titrearticle"/>
        <w:rPr>
          <w:noProof/>
        </w:rPr>
      </w:pPr>
      <w:r w:rsidRPr="00AD21FF">
        <w:rPr>
          <w:noProof/>
        </w:rPr>
        <w:t xml:space="preserve">Article </w:t>
      </w:r>
      <w:r w:rsidR="00BB310B">
        <w:rPr>
          <w:noProof/>
        </w:rPr>
        <w:t>7</w:t>
      </w:r>
      <w:r w:rsidRPr="00AD21FF">
        <w:rPr>
          <w:noProof/>
        </w:rPr>
        <w:br/>
      </w:r>
      <w:r w:rsidRPr="00AD21FF">
        <w:rPr>
          <w:b/>
          <w:bCs/>
          <w:i w:val="0"/>
          <w:iCs/>
          <w:noProof/>
        </w:rPr>
        <w:t>Union origin</w:t>
      </w:r>
    </w:p>
    <w:p w14:paraId="578D4648" w14:textId="77777777" w:rsidR="00083654" w:rsidRPr="00AD21FF" w:rsidRDefault="00083654" w:rsidP="005260AB">
      <w:pPr>
        <w:pStyle w:val="ManualNumPar1"/>
        <w:rPr>
          <w:noProof/>
        </w:rPr>
      </w:pPr>
      <w:r>
        <w:rPr>
          <w:noProof/>
        </w:rPr>
        <w:t>1.</w:t>
      </w:r>
      <w:r>
        <w:rPr>
          <w:noProof/>
        </w:rPr>
        <w:tab/>
      </w:r>
      <w:r w:rsidRPr="00AD21FF">
        <w:rPr>
          <w:noProof/>
        </w:rPr>
        <w:t>For the purposes of this Chapter, content of Union origin refers to content originating in the Union.</w:t>
      </w:r>
    </w:p>
    <w:p w14:paraId="61CE17B0" w14:textId="77777777" w:rsidR="00083654" w:rsidRPr="00DE2AE1" w:rsidRDefault="00083654" w:rsidP="005260AB">
      <w:pPr>
        <w:pStyle w:val="ManualNumPar1"/>
        <w:rPr>
          <w:noProof/>
        </w:rPr>
      </w:pPr>
      <w:r>
        <w:rPr>
          <w:noProof/>
        </w:rPr>
        <w:t>2.</w:t>
      </w:r>
      <w:r>
        <w:rPr>
          <w:noProof/>
        </w:rPr>
        <w:tab/>
      </w:r>
      <w:r w:rsidRPr="00DE2AE1">
        <w:rPr>
          <w:noProof/>
        </w:rPr>
        <w:t>The</w:t>
      </w:r>
      <w:r w:rsidR="00663058">
        <w:rPr>
          <w:noProof/>
        </w:rPr>
        <w:t xml:space="preserve"> </w:t>
      </w:r>
      <w:r w:rsidRPr="00DE2AE1">
        <w:rPr>
          <w:noProof/>
        </w:rPr>
        <w:t xml:space="preserve">origin of products </w:t>
      </w:r>
      <w:r w:rsidR="00663058">
        <w:rPr>
          <w:noProof/>
        </w:rPr>
        <w:t xml:space="preserve">and components </w:t>
      </w:r>
      <w:r w:rsidRPr="00DE2AE1">
        <w:rPr>
          <w:noProof/>
        </w:rPr>
        <w:t>shall be determined in accordance with Regulation (EU) No 952/2013 of the European Parliament and of the Council</w:t>
      </w:r>
      <w:r w:rsidR="00DE1C0F">
        <w:rPr>
          <w:noProof/>
        </w:rPr>
        <w:t>.</w:t>
      </w:r>
    </w:p>
    <w:p w14:paraId="3A6FAB7B" w14:textId="77777777" w:rsidR="00F6687A" w:rsidRPr="00F6687A" w:rsidRDefault="00F6687A" w:rsidP="00F6687A">
      <w:pPr>
        <w:pStyle w:val="Titrearticle"/>
        <w:spacing w:before="0" w:after="0"/>
        <w:rPr>
          <w:noProof/>
        </w:rPr>
      </w:pPr>
      <w:r w:rsidRPr="00F6687A">
        <w:rPr>
          <w:noProof/>
        </w:rPr>
        <w:t>Article 8</w:t>
      </w:r>
    </w:p>
    <w:p w14:paraId="691260C7" w14:textId="77777777" w:rsidR="00F6687A" w:rsidRPr="00F6687A" w:rsidRDefault="00F6687A" w:rsidP="00F6687A">
      <w:pPr>
        <w:pStyle w:val="Titrearticle"/>
        <w:spacing w:before="0" w:after="0"/>
        <w:rPr>
          <w:b/>
          <w:i w:val="0"/>
          <w:noProof/>
        </w:rPr>
      </w:pPr>
      <w:r w:rsidRPr="00F6687A">
        <w:rPr>
          <w:b/>
          <w:i w:val="0"/>
          <w:noProof/>
        </w:rPr>
        <w:t>Content equivalent to Union origin in public procurement</w:t>
      </w:r>
    </w:p>
    <w:p w14:paraId="01179CFF" w14:textId="16145622" w:rsidR="00F6687A" w:rsidRPr="00F6687A" w:rsidRDefault="000D0C3E" w:rsidP="000D0C3E">
      <w:pPr>
        <w:pStyle w:val="ManualNumPar1"/>
        <w:rPr>
          <w:noProof/>
        </w:rPr>
      </w:pPr>
      <w:r>
        <w:rPr>
          <w:noProof/>
        </w:rPr>
        <w:t>1</w:t>
      </w:r>
      <w:r w:rsidR="00F6687A">
        <w:rPr>
          <w:noProof/>
        </w:rPr>
        <w:t>.</w:t>
      </w:r>
      <w:r w:rsidR="00F6687A">
        <w:rPr>
          <w:noProof/>
        </w:rPr>
        <w:tab/>
      </w:r>
      <w:r w:rsidR="00F6687A" w:rsidRPr="00F6687A">
        <w:rPr>
          <w:noProof/>
        </w:rPr>
        <w:t xml:space="preserve">With respect to the Union origin requirements referred to in Article </w:t>
      </w:r>
      <w:r w:rsidR="00C818A7">
        <w:rPr>
          <w:noProof/>
        </w:rPr>
        <w:t>11</w:t>
      </w:r>
      <w:r w:rsidR="00F6687A" w:rsidRPr="00F6687A">
        <w:rPr>
          <w:noProof/>
        </w:rPr>
        <w:t>, content originating in third countries with which the Union has concluded an agreement establishing a free trade area or a customs union, or that are parties to the Agreement on Government Procurement</w:t>
      </w:r>
      <w:r w:rsidR="00F6687A">
        <w:rPr>
          <w:noProof/>
        </w:rPr>
        <w:t>, where relevant obligations of the Union exist under that agreement,</w:t>
      </w:r>
      <w:r w:rsidR="00F6687A" w:rsidRPr="00F6687A">
        <w:rPr>
          <w:noProof/>
        </w:rPr>
        <w:t xml:space="preserve"> shall be deemed to be of Union origin</w:t>
      </w:r>
      <w:r w:rsidR="00F6687A">
        <w:rPr>
          <w:noProof/>
        </w:rPr>
        <w:t>.</w:t>
      </w:r>
      <w:r w:rsidR="00F6687A" w:rsidRPr="00F6687A">
        <w:rPr>
          <w:noProof/>
        </w:rPr>
        <w:t xml:space="preserve"> </w:t>
      </w:r>
    </w:p>
    <w:p w14:paraId="01EE88EE" w14:textId="1C73AB10" w:rsidR="00BF3A9F" w:rsidRDefault="000D0C3E" w:rsidP="007234F4">
      <w:pPr>
        <w:pStyle w:val="ManualNumPar1"/>
        <w:rPr>
          <w:noProof/>
        </w:rPr>
      </w:pPr>
      <w:r>
        <w:rPr>
          <w:noProof/>
        </w:rPr>
        <w:t>2</w:t>
      </w:r>
      <w:r w:rsidR="00F6687A">
        <w:rPr>
          <w:noProof/>
        </w:rPr>
        <w:t>.</w:t>
      </w:r>
      <w:r w:rsidR="00F6687A">
        <w:rPr>
          <w:noProof/>
        </w:rPr>
        <w:tab/>
      </w:r>
      <w:r w:rsidR="00F6687A" w:rsidRPr="00F6687A">
        <w:rPr>
          <w:noProof/>
          <w:lang w:val="en-IE"/>
        </w:rPr>
        <w:t xml:space="preserve">The </w:t>
      </w:r>
      <w:r w:rsidR="00F6687A" w:rsidRPr="007D20EF">
        <w:rPr>
          <w:noProof/>
        </w:rPr>
        <w:t>Commission</w:t>
      </w:r>
      <w:r w:rsidR="00F6687A" w:rsidRPr="00F6687A">
        <w:rPr>
          <w:noProof/>
          <w:lang w:val="en-IE"/>
        </w:rPr>
        <w:t xml:space="preserve"> </w:t>
      </w:r>
      <w:r w:rsidR="00F6687A">
        <w:rPr>
          <w:noProof/>
          <w:lang w:val="en-IE"/>
        </w:rPr>
        <w:t xml:space="preserve">shall </w:t>
      </w:r>
      <w:r w:rsidR="00F6687A" w:rsidRPr="00F6687A">
        <w:rPr>
          <w:noProof/>
          <w:lang w:val="en-IE"/>
        </w:rPr>
        <w:t xml:space="preserve">adopt delegated acts in accordance with Article </w:t>
      </w:r>
      <w:r w:rsidR="00F6687A">
        <w:rPr>
          <w:noProof/>
          <w:lang w:val="en-IE"/>
        </w:rPr>
        <w:t>30</w:t>
      </w:r>
      <w:r w:rsidR="00F6687A" w:rsidRPr="00F6687A">
        <w:rPr>
          <w:noProof/>
          <w:lang w:val="en-IE"/>
        </w:rPr>
        <w:t xml:space="preserve"> to exclude, in whole or in part, a third country from the scope of paragraph 1 based on any of the following criteria: </w:t>
      </w:r>
    </w:p>
    <w:p w14:paraId="3707BEF8" w14:textId="77777777" w:rsidR="00703BFE" w:rsidRPr="00AB12CA" w:rsidRDefault="00703BFE" w:rsidP="007234F4">
      <w:pPr>
        <w:pStyle w:val="Point1"/>
        <w:rPr>
          <w:noProof/>
          <w:lang w:val="en-IE"/>
        </w:rPr>
      </w:pPr>
      <w:r>
        <w:rPr>
          <w:noProof/>
        </w:rPr>
        <w:t>(a)</w:t>
      </w:r>
      <w:r>
        <w:rPr>
          <w:noProof/>
        </w:rPr>
        <w:tab/>
      </w:r>
      <w:r>
        <w:rPr>
          <w:noProof/>
          <w:lang w:val="en-IE"/>
        </w:rPr>
        <w:t>that third country has failed to provide national treatment related to Union products or entities under the agreements referred to in paragraph 1 in relation to any of the sectors listed in Annex I</w:t>
      </w:r>
      <w:r w:rsidR="00A23B90">
        <w:rPr>
          <w:noProof/>
          <w:lang w:val="en-IE"/>
        </w:rPr>
        <w:t>;</w:t>
      </w:r>
    </w:p>
    <w:p w14:paraId="3F361163" w14:textId="77777777" w:rsidR="00F6687A" w:rsidRPr="00F6687A" w:rsidRDefault="00F6687A" w:rsidP="007234F4">
      <w:pPr>
        <w:pStyle w:val="Point1"/>
        <w:rPr>
          <w:noProof/>
          <w:lang w:val="en-IE"/>
        </w:rPr>
      </w:pPr>
      <w:r>
        <w:rPr>
          <w:noProof/>
        </w:rPr>
        <w:t>(b)</w:t>
      </w:r>
      <w:r>
        <w:rPr>
          <w:noProof/>
        </w:rPr>
        <w:tab/>
      </w:r>
      <w:r w:rsidRPr="00F6687A">
        <w:rPr>
          <w:noProof/>
          <w:lang w:val="en-IE"/>
        </w:rPr>
        <w:t>such exclusion is justified to avoid dependencies or any other developments that may threaten the security of supply in the Union of the products in question;</w:t>
      </w:r>
    </w:p>
    <w:p w14:paraId="1845D3AA" w14:textId="77777777" w:rsidR="00F6687A" w:rsidRPr="00F6687A" w:rsidRDefault="00F6687A" w:rsidP="00F6687A">
      <w:pPr>
        <w:pStyle w:val="Point1"/>
        <w:rPr>
          <w:noProof/>
        </w:rPr>
      </w:pPr>
      <w:r>
        <w:rPr>
          <w:noProof/>
        </w:rPr>
        <w:t>(c)</w:t>
      </w:r>
      <w:r>
        <w:rPr>
          <w:noProof/>
        </w:rPr>
        <w:tab/>
      </w:r>
      <w:r w:rsidRPr="00F6687A">
        <w:rPr>
          <w:noProof/>
          <w:lang w:val="en-IE"/>
        </w:rPr>
        <w:t>such exclusion</w:t>
      </w:r>
      <w:r w:rsidRPr="00F6687A">
        <w:rPr>
          <w:noProof/>
        </w:rPr>
        <w:t xml:space="preserve"> is justified under any other exception under the applicable agreement.</w:t>
      </w:r>
    </w:p>
    <w:p w14:paraId="49D5EC49" w14:textId="77777777" w:rsidR="00F6687A" w:rsidRPr="00B727DC" w:rsidRDefault="00F6687A" w:rsidP="00B50E3C">
      <w:pPr>
        <w:pStyle w:val="Titrearticle"/>
        <w:spacing w:before="0" w:after="0"/>
        <w:rPr>
          <w:noProof/>
        </w:rPr>
      </w:pPr>
      <w:r w:rsidRPr="00B727DC">
        <w:rPr>
          <w:noProof/>
        </w:rPr>
        <w:t>Article 9</w:t>
      </w:r>
    </w:p>
    <w:p w14:paraId="2ED689F5" w14:textId="77777777" w:rsidR="00F6687A" w:rsidRPr="00B727DC" w:rsidRDefault="00F6687A" w:rsidP="00B50E3C">
      <w:pPr>
        <w:pStyle w:val="Titrearticle"/>
        <w:spacing w:before="0" w:after="0"/>
        <w:rPr>
          <w:b/>
          <w:i w:val="0"/>
          <w:noProof/>
        </w:rPr>
      </w:pPr>
      <w:r w:rsidRPr="00B727DC">
        <w:rPr>
          <w:b/>
          <w:i w:val="0"/>
          <w:noProof/>
        </w:rPr>
        <w:t>Content equivalent to Union origin in other forms of public intervention</w:t>
      </w:r>
    </w:p>
    <w:p w14:paraId="777742E2" w14:textId="77777777" w:rsidR="002E5E99" w:rsidRPr="002E5E99" w:rsidRDefault="002E5E99" w:rsidP="007234F4">
      <w:pPr>
        <w:pStyle w:val="ManualNumPar1"/>
        <w:rPr>
          <w:noProof/>
        </w:rPr>
      </w:pPr>
      <w:r>
        <w:rPr>
          <w:noProof/>
        </w:rPr>
        <w:t>1.</w:t>
      </w:r>
      <w:r>
        <w:rPr>
          <w:noProof/>
        </w:rPr>
        <w:tab/>
      </w:r>
      <w:r w:rsidRPr="00E818E3">
        <w:rPr>
          <w:noProof/>
          <w:lang w:val="en-IE"/>
        </w:rPr>
        <w:t xml:space="preserve">With respect to the Union origin requirements set out in Article 12, content originating in third countries with which the Union has concluded an agreement </w:t>
      </w:r>
      <w:r w:rsidRPr="007D20EF">
        <w:rPr>
          <w:noProof/>
        </w:rPr>
        <w:t>establishing</w:t>
      </w:r>
      <w:r w:rsidRPr="00E818E3">
        <w:rPr>
          <w:noProof/>
          <w:lang w:val="en-IE"/>
        </w:rPr>
        <w:t xml:space="preserve"> a free trade area or a customs union shall be deemed to be of Union origin</w:t>
      </w:r>
      <w:r>
        <w:rPr>
          <w:noProof/>
          <w:lang w:val="en-IE"/>
        </w:rPr>
        <w:t>.</w:t>
      </w:r>
    </w:p>
    <w:p w14:paraId="354DD1DC" w14:textId="77777777" w:rsidR="00BF3A9F" w:rsidRDefault="002E5E99" w:rsidP="007234F4">
      <w:pPr>
        <w:pStyle w:val="ManualNumPar1"/>
        <w:rPr>
          <w:noProof/>
        </w:rPr>
      </w:pPr>
      <w:r>
        <w:rPr>
          <w:noProof/>
        </w:rPr>
        <w:t>2.</w:t>
      </w:r>
      <w:r>
        <w:rPr>
          <w:noProof/>
        </w:rPr>
        <w:tab/>
      </w:r>
      <w:r w:rsidRPr="00F6687A">
        <w:rPr>
          <w:noProof/>
          <w:lang w:val="en-IE"/>
        </w:rPr>
        <w:t xml:space="preserve">The </w:t>
      </w:r>
      <w:r w:rsidRPr="007D20EF">
        <w:rPr>
          <w:noProof/>
        </w:rPr>
        <w:t>Commission</w:t>
      </w:r>
      <w:r w:rsidRPr="00F6687A">
        <w:rPr>
          <w:noProof/>
          <w:lang w:val="en-IE"/>
        </w:rPr>
        <w:t xml:space="preserve"> </w:t>
      </w:r>
      <w:r>
        <w:rPr>
          <w:noProof/>
          <w:lang w:val="en-IE"/>
        </w:rPr>
        <w:t xml:space="preserve">shall </w:t>
      </w:r>
      <w:r w:rsidRPr="00F6687A">
        <w:rPr>
          <w:noProof/>
          <w:lang w:val="en-IE"/>
        </w:rPr>
        <w:t xml:space="preserve">adopt delegated acts in accordance with Article </w:t>
      </w:r>
      <w:r>
        <w:rPr>
          <w:noProof/>
          <w:lang w:val="en-IE"/>
        </w:rPr>
        <w:t>30</w:t>
      </w:r>
      <w:r w:rsidRPr="00F6687A">
        <w:rPr>
          <w:noProof/>
          <w:lang w:val="en-IE"/>
        </w:rPr>
        <w:t xml:space="preserve"> to exclude, in whole or in part, a third country from the scope of paragraph 1 based on any of the following criteria: </w:t>
      </w:r>
    </w:p>
    <w:p w14:paraId="0578C535" w14:textId="77777777" w:rsidR="00022D36" w:rsidRPr="00AB12CA" w:rsidRDefault="00022D36" w:rsidP="007234F4">
      <w:pPr>
        <w:pStyle w:val="Point1"/>
        <w:rPr>
          <w:noProof/>
        </w:rPr>
      </w:pPr>
      <w:r>
        <w:rPr>
          <w:noProof/>
        </w:rPr>
        <w:t>(a)</w:t>
      </w:r>
      <w:r>
        <w:rPr>
          <w:noProof/>
        </w:rPr>
        <w:tab/>
        <w:t>that third country has failed to provide national treatment related to Union products or entities under the agreements referred to in paragraph 1 in relation to any of the sectors listed in Annex I;</w:t>
      </w:r>
    </w:p>
    <w:p w14:paraId="05324565" w14:textId="77777777" w:rsidR="00F6687A" w:rsidRPr="00F6687A" w:rsidRDefault="00F6687A" w:rsidP="007234F4">
      <w:pPr>
        <w:pStyle w:val="Point1"/>
        <w:rPr>
          <w:noProof/>
        </w:rPr>
      </w:pPr>
      <w:r>
        <w:rPr>
          <w:noProof/>
        </w:rPr>
        <w:t>(b)</w:t>
      </w:r>
      <w:r>
        <w:rPr>
          <w:noProof/>
        </w:rPr>
        <w:tab/>
      </w:r>
      <w:r w:rsidRPr="00F6687A">
        <w:rPr>
          <w:noProof/>
        </w:rPr>
        <w:t>such exclusion is justified to avoid dependencies or any other developments that may threaten the security of supply in the Union of the products in question;</w:t>
      </w:r>
    </w:p>
    <w:p w14:paraId="749CDD93" w14:textId="77777777" w:rsidR="00F6687A" w:rsidRPr="00F6687A" w:rsidRDefault="00F6687A" w:rsidP="00F6687A">
      <w:pPr>
        <w:pStyle w:val="Point1"/>
        <w:rPr>
          <w:noProof/>
        </w:rPr>
      </w:pPr>
      <w:r>
        <w:rPr>
          <w:noProof/>
        </w:rPr>
        <w:t>(c)</w:t>
      </w:r>
      <w:r>
        <w:rPr>
          <w:noProof/>
        </w:rPr>
        <w:tab/>
      </w:r>
      <w:r w:rsidRPr="00F6687A">
        <w:rPr>
          <w:noProof/>
        </w:rPr>
        <w:t>such exclusion is justified under any other exception under the applicable agreement.</w:t>
      </w:r>
    </w:p>
    <w:p w14:paraId="40ED3ED9" w14:textId="77777777" w:rsidR="00083654" w:rsidRPr="00967ED3" w:rsidRDefault="00083654" w:rsidP="008C77E8">
      <w:pPr>
        <w:pStyle w:val="Titrearticle"/>
        <w:rPr>
          <w:noProof/>
        </w:rPr>
      </w:pPr>
      <w:r w:rsidRPr="00967ED3">
        <w:rPr>
          <w:noProof/>
        </w:rPr>
        <w:t xml:space="preserve">Article </w:t>
      </w:r>
      <w:r w:rsidR="00C043DF">
        <w:rPr>
          <w:noProof/>
        </w:rPr>
        <w:t>10</w:t>
      </w:r>
      <w:r w:rsidR="008C77E8" w:rsidRPr="00967ED3">
        <w:rPr>
          <w:noProof/>
        </w:rPr>
        <w:br/>
      </w:r>
      <w:r w:rsidRPr="00967ED3">
        <w:rPr>
          <w:b/>
          <w:i w:val="0"/>
          <w:noProof/>
        </w:rPr>
        <w:t xml:space="preserve">Low-carbon </w:t>
      </w:r>
      <w:r w:rsidR="0005721B" w:rsidRPr="00967ED3">
        <w:rPr>
          <w:b/>
          <w:i w:val="0"/>
          <w:noProof/>
        </w:rPr>
        <w:t>products</w:t>
      </w:r>
    </w:p>
    <w:p w14:paraId="6890DAC7" w14:textId="77777777" w:rsidR="00967ED3" w:rsidRPr="00967ED3" w:rsidRDefault="001619B5" w:rsidP="007234F4">
      <w:pPr>
        <w:pStyle w:val="ManualNumPar1"/>
        <w:rPr>
          <w:noProof/>
        </w:rPr>
      </w:pPr>
      <w:r>
        <w:rPr>
          <w:noProof/>
        </w:rPr>
        <w:t>1.</w:t>
      </w:r>
      <w:r>
        <w:rPr>
          <w:noProof/>
        </w:rPr>
        <w:tab/>
      </w:r>
      <w:r w:rsidRPr="00967ED3">
        <w:rPr>
          <w:noProof/>
        </w:rPr>
        <w:t xml:space="preserve">For </w:t>
      </w:r>
      <w:r w:rsidR="00203903">
        <w:rPr>
          <w:noProof/>
        </w:rPr>
        <w:t>t</w:t>
      </w:r>
      <w:r w:rsidR="00203903" w:rsidRPr="00967ED3">
        <w:rPr>
          <w:noProof/>
        </w:rPr>
        <w:t xml:space="preserve">he purposes of this Chapter, a product covered by </w:t>
      </w:r>
      <w:r w:rsidR="00203903" w:rsidRPr="0036120D">
        <w:rPr>
          <w:noProof/>
        </w:rPr>
        <w:t>Annex II shall</w:t>
      </w:r>
      <w:r w:rsidR="00203903" w:rsidRPr="00967ED3">
        <w:rPr>
          <w:noProof/>
        </w:rPr>
        <w:t xml:space="preserve"> be considered low-carbon when it complies with the </w:t>
      </w:r>
      <w:r w:rsidR="00203903">
        <w:rPr>
          <w:noProof/>
        </w:rPr>
        <w:t>requirements</w:t>
      </w:r>
      <w:r w:rsidR="00203903" w:rsidRPr="00967ED3">
        <w:rPr>
          <w:noProof/>
        </w:rPr>
        <w:t xml:space="preserve"> set out in delegated acts, as follows:</w:t>
      </w:r>
    </w:p>
    <w:p w14:paraId="1825FD3B" w14:textId="77777777" w:rsidR="00F67487" w:rsidRPr="00F67487" w:rsidRDefault="0019441D" w:rsidP="007234F4">
      <w:pPr>
        <w:pStyle w:val="Point1"/>
        <w:rPr>
          <w:noProof/>
        </w:rPr>
      </w:pPr>
      <w:r>
        <w:rPr>
          <w:noProof/>
        </w:rPr>
        <w:t>(a)</w:t>
      </w:r>
      <w:r>
        <w:rPr>
          <w:noProof/>
        </w:rPr>
        <w:tab/>
      </w:r>
      <w:r w:rsidRPr="00B727DC">
        <w:rPr>
          <w:noProof/>
          <w:lang w:val="en-IE"/>
        </w:rPr>
        <w:t>f</w:t>
      </w:r>
      <w:r w:rsidR="00F67487" w:rsidRPr="00B727DC">
        <w:rPr>
          <w:noProof/>
          <w:lang w:val="en-IE"/>
        </w:rPr>
        <w:t xml:space="preserve">or construction products </w:t>
      </w:r>
      <w:r w:rsidRPr="00B727DC">
        <w:rPr>
          <w:noProof/>
          <w:lang w:val="en-IE"/>
        </w:rPr>
        <w:t>referred to</w:t>
      </w:r>
      <w:r w:rsidR="00F67487" w:rsidRPr="00B727DC">
        <w:rPr>
          <w:noProof/>
          <w:lang w:val="en-IE"/>
        </w:rPr>
        <w:t xml:space="preserve"> in </w:t>
      </w:r>
      <w:r w:rsidR="00F67487" w:rsidRPr="00F67487">
        <w:rPr>
          <w:noProof/>
        </w:rPr>
        <w:t xml:space="preserve">Regulation (EU) 2024/3110 and </w:t>
      </w:r>
      <w:r w:rsidR="00F67487" w:rsidRPr="00B727DC">
        <w:rPr>
          <w:noProof/>
          <w:lang w:val="en-US"/>
        </w:rPr>
        <w:t>covered by a harmonised technical specification or a European Technical Assessment</w:t>
      </w:r>
      <w:r w:rsidR="00F67487" w:rsidRPr="00F67487">
        <w:rPr>
          <w:noProof/>
        </w:rPr>
        <w:t>, the delegated acts adopted pursuant to Article 5(5) or Article 22(9) of Regulation</w:t>
      </w:r>
      <w:r>
        <w:rPr>
          <w:noProof/>
        </w:rPr>
        <w:t xml:space="preserve"> (EU) 2024/3110</w:t>
      </w:r>
      <w:r w:rsidR="00F67487" w:rsidRPr="00F67487">
        <w:rPr>
          <w:noProof/>
        </w:rPr>
        <w:t>;</w:t>
      </w:r>
    </w:p>
    <w:p w14:paraId="04707A5B" w14:textId="77777777" w:rsidR="00967ED3" w:rsidRPr="00AD21FF" w:rsidRDefault="002E0C3F" w:rsidP="00E75E42">
      <w:pPr>
        <w:pStyle w:val="Point1"/>
        <w:rPr>
          <w:noProof/>
        </w:rPr>
      </w:pPr>
      <w:r>
        <w:rPr>
          <w:noProof/>
        </w:rPr>
        <w:t>(b)</w:t>
      </w:r>
      <w:r>
        <w:rPr>
          <w:noProof/>
        </w:rPr>
        <w:tab/>
        <w:t>f</w:t>
      </w:r>
      <w:r w:rsidR="00F67487" w:rsidRPr="00F67487">
        <w:rPr>
          <w:noProof/>
        </w:rPr>
        <w:t xml:space="preserve">or </w:t>
      </w:r>
      <w:r w:rsidR="00F67487" w:rsidRPr="00073279">
        <w:rPr>
          <w:noProof/>
          <w:lang w:val="en-US"/>
        </w:rPr>
        <w:t>all</w:t>
      </w:r>
      <w:r w:rsidR="00F67487" w:rsidRPr="00F67487">
        <w:rPr>
          <w:noProof/>
        </w:rPr>
        <w:t xml:space="preserve"> other products, </w:t>
      </w:r>
      <w:r w:rsidR="00F67487" w:rsidRPr="00F67487">
        <w:rPr>
          <w:noProof/>
          <w:lang w:val="en-US"/>
        </w:rPr>
        <w:t>delegated acts adopted pursuant to Article 4 of Regulation (EU) 2024/1781, as applicable</w:t>
      </w:r>
      <w:r w:rsidR="00F67487">
        <w:rPr>
          <w:noProof/>
          <w:lang w:val="en-US"/>
        </w:rPr>
        <w:t>.</w:t>
      </w:r>
    </w:p>
    <w:p w14:paraId="6A12B831" w14:textId="77777777" w:rsidR="005F57F7" w:rsidRPr="002944EB" w:rsidRDefault="002944EB" w:rsidP="005F57F7">
      <w:pPr>
        <w:pStyle w:val="ManualNumPar1"/>
        <w:rPr>
          <w:noProof/>
        </w:rPr>
      </w:pPr>
      <w:r>
        <w:rPr>
          <w:noProof/>
        </w:rPr>
        <w:t>2.</w:t>
      </w:r>
      <w:r>
        <w:rPr>
          <w:noProof/>
        </w:rPr>
        <w:tab/>
        <w:t xml:space="preserve">To support </w:t>
      </w:r>
      <w:r w:rsidRPr="00467823">
        <w:rPr>
          <w:noProof/>
        </w:rPr>
        <w:t xml:space="preserve">the creation of lead markets </w:t>
      </w:r>
      <w:r>
        <w:rPr>
          <w:noProof/>
        </w:rPr>
        <w:t xml:space="preserve">by </w:t>
      </w:r>
      <w:r w:rsidRPr="00467823">
        <w:rPr>
          <w:noProof/>
        </w:rPr>
        <w:t>informing investment decisions towards products granted a lower greenhouse gas intensity performance class</w:t>
      </w:r>
      <w:r>
        <w:rPr>
          <w:noProof/>
        </w:rPr>
        <w:t>, t</w:t>
      </w:r>
      <w:r w:rsidRPr="00552973">
        <w:rPr>
          <w:noProof/>
        </w:rPr>
        <w:t>he Commission is empowered</w:t>
      </w:r>
      <w:r>
        <w:rPr>
          <w:noProof/>
        </w:rPr>
        <w:t xml:space="preserve"> </w:t>
      </w:r>
      <w:r w:rsidRPr="00552973">
        <w:rPr>
          <w:noProof/>
        </w:rPr>
        <w:t xml:space="preserve">to adopt delegated acts in accordance with </w:t>
      </w:r>
      <w:r>
        <w:rPr>
          <w:noProof/>
        </w:rPr>
        <w:t xml:space="preserve">Article </w:t>
      </w:r>
      <w:r w:rsidR="00C01944">
        <w:rPr>
          <w:noProof/>
        </w:rPr>
        <w:t>30</w:t>
      </w:r>
      <w:r w:rsidR="00273553" w:rsidRPr="00552973">
        <w:rPr>
          <w:noProof/>
        </w:rPr>
        <w:t xml:space="preserve"> </w:t>
      </w:r>
      <w:r w:rsidRPr="00552973">
        <w:rPr>
          <w:noProof/>
        </w:rPr>
        <w:t xml:space="preserve">in order to supplement </w:t>
      </w:r>
      <w:r w:rsidR="005F57F7" w:rsidRPr="00552973">
        <w:rPr>
          <w:noProof/>
        </w:rPr>
        <w:t xml:space="preserve">this Regulation by </w:t>
      </w:r>
      <w:r w:rsidR="005F57F7" w:rsidRPr="002944EB">
        <w:rPr>
          <w:noProof/>
        </w:rPr>
        <w:t xml:space="preserve">establishing </w:t>
      </w:r>
      <w:r w:rsidR="005F57F7">
        <w:rPr>
          <w:noProof/>
        </w:rPr>
        <w:t xml:space="preserve">voluntary </w:t>
      </w:r>
      <w:r w:rsidR="005F57F7" w:rsidRPr="002944EB">
        <w:rPr>
          <w:noProof/>
        </w:rPr>
        <w:t xml:space="preserve">classification systems based on the greenhouse gas intensity for products manufactured through activities listed in Annex I of Directive 2003/87/EC (‘industrial products’) when they are placed on the Union market, to the extent that these products are not </w:t>
      </w:r>
      <w:r w:rsidR="005F57F7">
        <w:rPr>
          <w:noProof/>
        </w:rPr>
        <w:t xml:space="preserve">already </w:t>
      </w:r>
      <w:r w:rsidR="005F57F7" w:rsidRPr="002944EB">
        <w:rPr>
          <w:noProof/>
        </w:rPr>
        <w:t xml:space="preserve">regulated by a Delegated Act under Regulation (EU) 2024/1781 or </w:t>
      </w:r>
      <w:r w:rsidR="005F57F7">
        <w:rPr>
          <w:noProof/>
        </w:rPr>
        <w:t xml:space="preserve">included in the working plans adopted in accordance with </w:t>
      </w:r>
      <w:r>
        <w:rPr>
          <w:noProof/>
        </w:rPr>
        <w:t xml:space="preserve">that </w:t>
      </w:r>
      <w:r w:rsidR="005F57F7">
        <w:rPr>
          <w:noProof/>
        </w:rPr>
        <w:t>Regulation</w:t>
      </w:r>
      <w:r w:rsidR="005F57F7" w:rsidRPr="002944EB">
        <w:rPr>
          <w:noProof/>
        </w:rPr>
        <w:t xml:space="preserve">. </w:t>
      </w:r>
    </w:p>
    <w:p w14:paraId="6B312669" w14:textId="77777777" w:rsidR="005F57F7" w:rsidRDefault="005F57F7" w:rsidP="005F57F7">
      <w:pPr>
        <w:pStyle w:val="Text1"/>
        <w:rPr>
          <w:noProof/>
        </w:rPr>
      </w:pPr>
      <w:r w:rsidRPr="002944EB">
        <w:rPr>
          <w:noProof/>
        </w:rPr>
        <w:t xml:space="preserve">Emissions and all other relevant data used for the calculation of the greenhouse gas intensity shall be verified by verifiers accredited under Commission Implementing Regulation (EU) 2018/2067 </w:t>
      </w:r>
      <w:r>
        <w:rPr>
          <w:noProof/>
        </w:rPr>
        <w:t>of the European Parliament and of the Council</w:t>
      </w:r>
      <w:r>
        <w:rPr>
          <w:rStyle w:val="FootnoteReference"/>
          <w:noProof/>
        </w:rPr>
        <w:footnoteReference w:id="61"/>
      </w:r>
      <w:r w:rsidRPr="002944EB">
        <w:rPr>
          <w:noProof/>
        </w:rPr>
        <w:t xml:space="preserve"> or verifiers accredited under the delegated acts adopted pursuant to Article 18 of Regulation (EU) 2023/956, as appropriate. Emissions shall be monitored in accordance with the rules laid down in Chapter III of Commission Implementing Regulation (EU) 2018/2066 and the data monitoring methods and quality requirements set out in Annex VII to Delegated Regulation (EU) 2019/331. For imported products, emissions may be monitored in accordance with Annex IV to Regulation (EU) 2023/956 and the data monitoring methods and quality requirements established by implementing acts adopted pursuant to Article 7(7), point (a), of Regulation (EU) 2023/956, where it provides for an equivalent dataset. </w:t>
      </w:r>
    </w:p>
    <w:p w14:paraId="579B7896" w14:textId="77777777" w:rsidR="005F57F7" w:rsidRPr="00552973" w:rsidRDefault="005F57F7" w:rsidP="005F57F7">
      <w:pPr>
        <w:pStyle w:val="Text1"/>
        <w:rPr>
          <w:noProof/>
        </w:rPr>
      </w:pPr>
      <w:r w:rsidRPr="00552973">
        <w:rPr>
          <w:noProof/>
        </w:rPr>
        <w:t>Such delegated acts shall specify, as appropriate, the following elements:</w:t>
      </w:r>
    </w:p>
    <w:p w14:paraId="026E08CF" w14:textId="77777777" w:rsidR="002944EB" w:rsidRPr="00B727DC" w:rsidRDefault="002944EB" w:rsidP="007234F4">
      <w:pPr>
        <w:pStyle w:val="Point1"/>
        <w:rPr>
          <w:noProof/>
          <w:lang w:val="en-US"/>
        </w:rPr>
      </w:pPr>
      <w:r>
        <w:rPr>
          <w:noProof/>
        </w:rPr>
        <w:t>(a)</w:t>
      </w:r>
      <w:r>
        <w:rPr>
          <w:noProof/>
        </w:rPr>
        <w:tab/>
      </w:r>
      <w:r w:rsidRPr="001432F7">
        <w:rPr>
          <w:noProof/>
        </w:rPr>
        <w:t xml:space="preserve">the </w:t>
      </w:r>
      <w:r w:rsidRPr="00B727DC">
        <w:rPr>
          <w:noProof/>
          <w:lang w:val="en-US"/>
        </w:rPr>
        <w:t xml:space="preserve">identification of the product for which a manufacturer may apply for a label on greenhouse gas intensity; </w:t>
      </w:r>
    </w:p>
    <w:p w14:paraId="52549968" w14:textId="77777777" w:rsidR="002944EB" w:rsidRPr="005F57F7" w:rsidRDefault="002944EB" w:rsidP="00E75E42">
      <w:pPr>
        <w:pStyle w:val="Point1"/>
        <w:rPr>
          <w:noProof/>
          <w:lang w:val="en-US"/>
        </w:rPr>
      </w:pPr>
      <w:r>
        <w:rPr>
          <w:noProof/>
        </w:rPr>
        <w:t>(b)</w:t>
      </w:r>
      <w:r>
        <w:rPr>
          <w:noProof/>
        </w:rPr>
        <w:tab/>
      </w:r>
      <w:r w:rsidRPr="005F57F7">
        <w:rPr>
          <w:noProof/>
          <w:lang w:val="en-US"/>
        </w:rPr>
        <w:t>the relevant system boundaries, covering emissions from the industrial manufacturing process, emissions from relevant precursors and emissions from electricity consumption. These emissions are considered independently of whether these emissions occur in the manufacturer’s facility or in other facilities, recognising that certain precursors might be acquired from other installations</w:t>
      </w:r>
      <w:r w:rsidR="005F57F7">
        <w:rPr>
          <w:noProof/>
          <w:lang w:val="en-US"/>
        </w:rPr>
        <w:t>;</w:t>
      </w:r>
    </w:p>
    <w:p w14:paraId="128E0B12" w14:textId="77777777" w:rsidR="002944EB" w:rsidRPr="005F57F7" w:rsidRDefault="002944EB" w:rsidP="00E75E42">
      <w:pPr>
        <w:pStyle w:val="Point1"/>
        <w:rPr>
          <w:noProof/>
          <w:lang w:val="en-US"/>
        </w:rPr>
      </w:pPr>
      <w:r>
        <w:rPr>
          <w:noProof/>
        </w:rPr>
        <w:t>(c)</w:t>
      </w:r>
      <w:r>
        <w:rPr>
          <w:noProof/>
        </w:rPr>
        <w:tab/>
      </w:r>
      <w:r w:rsidRPr="005F57F7">
        <w:rPr>
          <w:noProof/>
          <w:lang w:val="en-US"/>
        </w:rPr>
        <w:t xml:space="preserve">the methodology for the calculation of the greenhouse gas intensity of the product </w:t>
      </w:r>
    </w:p>
    <w:p w14:paraId="6E4B6550" w14:textId="77777777" w:rsidR="002944EB" w:rsidRPr="005F57F7" w:rsidRDefault="002944EB" w:rsidP="00E75E42">
      <w:pPr>
        <w:pStyle w:val="Point1"/>
        <w:rPr>
          <w:noProof/>
          <w:lang w:val="en-US"/>
        </w:rPr>
      </w:pPr>
      <w:r>
        <w:rPr>
          <w:noProof/>
        </w:rPr>
        <w:t>(d)</w:t>
      </w:r>
      <w:r>
        <w:rPr>
          <w:noProof/>
        </w:rPr>
        <w:tab/>
      </w:r>
      <w:r w:rsidRPr="005F57F7">
        <w:rPr>
          <w:noProof/>
          <w:lang w:val="en-US"/>
        </w:rPr>
        <w:t>a classification with performance classes;</w:t>
      </w:r>
    </w:p>
    <w:p w14:paraId="5D7A9B9B" w14:textId="77777777" w:rsidR="002944EB" w:rsidRPr="005F57F7" w:rsidRDefault="002944EB" w:rsidP="00E75E42">
      <w:pPr>
        <w:pStyle w:val="Point1"/>
        <w:rPr>
          <w:noProof/>
          <w:lang w:val="en-US"/>
        </w:rPr>
      </w:pPr>
      <w:r>
        <w:rPr>
          <w:noProof/>
        </w:rPr>
        <w:t>(e)</w:t>
      </w:r>
      <w:r>
        <w:rPr>
          <w:noProof/>
        </w:rPr>
        <w:tab/>
      </w:r>
      <w:r w:rsidRPr="005F57F7">
        <w:rPr>
          <w:noProof/>
          <w:lang w:val="en-US"/>
        </w:rPr>
        <w:t xml:space="preserve">complementary rules concerning the governance of the label, including competent entities; and </w:t>
      </w:r>
    </w:p>
    <w:p w14:paraId="43B078BA" w14:textId="77777777" w:rsidR="002944EB" w:rsidRPr="002B1BBF" w:rsidRDefault="002944EB" w:rsidP="00E75E42">
      <w:pPr>
        <w:pStyle w:val="Point1"/>
        <w:rPr>
          <w:noProof/>
        </w:rPr>
      </w:pPr>
      <w:r>
        <w:rPr>
          <w:noProof/>
        </w:rPr>
        <w:t>(f)</w:t>
      </w:r>
      <w:r>
        <w:rPr>
          <w:noProof/>
        </w:rPr>
        <w:tab/>
      </w:r>
      <w:r w:rsidRPr="005F57F7">
        <w:rPr>
          <w:noProof/>
          <w:lang w:val="en-US"/>
        </w:rPr>
        <w:t>complementary rules</w:t>
      </w:r>
      <w:r w:rsidRPr="002B1BBF">
        <w:rPr>
          <w:rFonts w:eastAsia="Times New Roman"/>
          <w:noProof/>
        </w:rPr>
        <w:t xml:space="preserve"> on accreditation, monitoring and verification,</w:t>
      </w:r>
    </w:p>
    <w:p w14:paraId="6414553B" w14:textId="77777777" w:rsidR="00E75E42" w:rsidRDefault="002944EB" w:rsidP="00E75E42">
      <w:pPr>
        <w:pStyle w:val="Text1"/>
        <w:rPr>
          <w:noProof/>
        </w:rPr>
      </w:pPr>
      <w:r w:rsidRPr="002B1BBF">
        <w:rPr>
          <w:noProof/>
        </w:rPr>
        <w:t>In developing those rules, the Commission shall at least take into account:</w:t>
      </w:r>
    </w:p>
    <w:p w14:paraId="7B169438" w14:textId="77777777" w:rsidR="002944EB" w:rsidRPr="002B1BBF" w:rsidRDefault="002944EB" w:rsidP="007234F4">
      <w:pPr>
        <w:pStyle w:val="Point1"/>
        <w:rPr>
          <w:noProof/>
        </w:rPr>
      </w:pPr>
      <w:r>
        <w:rPr>
          <w:noProof/>
        </w:rPr>
        <w:t>(a)</w:t>
      </w:r>
      <w:r>
        <w:rPr>
          <w:noProof/>
        </w:rPr>
        <w:tab/>
      </w:r>
      <w:r w:rsidRPr="002B1BBF">
        <w:rPr>
          <w:noProof/>
        </w:rPr>
        <w:t>the latest applicable product benchmark values as defined under Directive 2003/87/EC;</w:t>
      </w:r>
    </w:p>
    <w:p w14:paraId="2C4115BE" w14:textId="77777777" w:rsidR="002944EB" w:rsidRPr="002B1BBF" w:rsidRDefault="002944EB" w:rsidP="007234F4">
      <w:pPr>
        <w:pStyle w:val="Point1"/>
        <w:rPr>
          <w:noProof/>
        </w:rPr>
      </w:pPr>
      <w:r>
        <w:rPr>
          <w:noProof/>
        </w:rPr>
        <w:t>(b)</w:t>
      </w:r>
      <w:r>
        <w:rPr>
          <w:noProof/>
        </w:rPr>
        <w:tab/>
      </w:r>
      <w:r w:rsidRPr="002B1BBF">
        <w:rPr>
          <w:noProof/>
        </w:rPr>
        <w:t>data already available under the EU ETS and CBAM;</w:t>
      </w:r>
    </w:p>
    <w:p w14:paraId="57EBD4FE" w14:textId="77777777" w:rsidR="002944EB" w:rsidRPr="002B1BBF" w:rsidRDefault="002944EB" w:rsidP="007234F4">
      <w:pPr>
        <w:pStyle w:val="Point1"/>
        <w:rPr>
          <w:noProof/>
        </w:rPr>
      </w:pPr>
      <w:r>
        <w:rPr>
          <w:noProof/>
        </w:rPr>
        <w:t>(c)</w:t>
      </w:r>
      <w:r>
        <w:rPr>
          <w:noProof/>
        </w:rPr>
        <w:tab/>
      </w:r>
      <w:r w:rsidRPr="002B1BBF">
        <w:rPr>
          <w:noProof/>
        </w:rPr>
        <w:t>new Union rules concerning accounting for emissions, including from electricity consumption, low-carbon fuels and renewable fuels of non-biological origin;</w:t>
      </w:r>
    </w:p>
    <w:p w14:paraId="0D56EC3E" w14:textId="77777777" w:rsidR="00D5018D" w:rsidRDefault="002944EB" w:rsidP="007234F4">
      <w:pPr>
        <w:pStyle w:val="Point1"/>
        <w:rPr>
          <w:noProof/>
        </w:rPr>
      </w:pPr>
      <w:r>
        <w:rPr>
          <w:noProof/>
        </w:rPr>
        <w:t>(d)</w:t>
      </w:r>
      <w:r>
        <w:rPr>
          <w:noProof/>
        </w:rPr>
        <w:tab/>
      </w:r>
      <w:r w:rsidRPr="002B1BBF">
        <w:rPr>
          <w:noProof/>
        </w:rPr>
        <w:t xml:space="preserve">emerging low-carbon production technologies, as well as the estimated emissions’ reduction potential of emerging technologies; </w:t>
      </w:r>
    </w:p>
    <w:p w14:paraId="5AB1C370" w14:textId="77777777" w:rsidR="002944EB" w:rsidRPr="002B1BBF" w:rsidRDefault="002944EB" w:rsidP="007234F4">
      <w:pPr>
        <w:pStyle w:val="Point1"/>
        <w:rPr>
          <w:noProof/>
        </w:rPr>
      </w:pPr>
      <w:r>
        <w:rPr>
          <w:noProof/>
        </w:rPr>
        <w:t>(e)</w:t>
      </w:r>
      <w:r>
        <w:rPr>
          <w:noProof/>
        </w:rPr>
        <w:tab/>
      </w:r>
      <w:r w:rsidRPr="002B1BBF">
        <w:rPr>
          <w:noProof/>
        </w:rPr>
        <w:t xml:space="preserve">the need to </w:t>
      </w:r>
      <w:r w:rsidR="003E17FD">
        <w:rPr>
          <w:noProof/>
        </w:rPr>
        <w:t>incentivise</w:t>
      </w:r>
      <w:r w:rsidR="003E17FD" w:rsidRPr="002B1BBF">
        <w:rPr>
          <w:noProof/>
        </w:rPr>
        <w:t xml:space="preserve"> </w:t>
      </w:r>
      <w:r w:rsidRPr="002B1BBF">
        <w:rPr>
          <w:noProof/>
        </w:rPr>
        <w:t xml:space="preserve">the uptake of </w:t>
      </w:r>
      <w:r w:rsidR="003E17FD">
        <w:rPr>
          <w:noProof/>
        </w:rPr>
        <w:t>recycled materials</w:t>
      </w:r>
      <w:r w:rsidR="003E17FD" w:rsidRPr="002B1BBF">
        <w:rPr>
          <w:noProof/>
        </w:rPr>
        <w:t xml:space="preserve"> </w:t>
      </w:r>
      <w:r w:rsidRPr="002B1BBF">
        <w:rPr>
          <w:noProof/>
        </w:rPr>
        <w:t>in all production routes</w:t>
      </w:r>
      <w:r w:rsidR="003E17FD">
        <w:rPr>
          <w:noProof/>
        </w:rPr>
        <w:t>;</w:t>
      </w:r>
      <w:r w:rsidRPr="002B1BBF">
        <w:rPr>
          <w:noProof/>
        </w:rPr>
        <w:t xml:space="preserve"> and</w:t>
      </w:r>
    </w:p>
    <w:p w14:paraId="70A39360" w14:textId="77777777" w:rsidR="00EB1144" w:rsidRPr="00AD21FF" w:rsidRDefault="002944EB" w:rsidP="007234F4">
      <w:pPr>
        <w:pStyle w:val="Point1"/>
        <w:rPr>
          <w:noProof/>
        </w:rPr>
      </w:pPr>
      <w:r>
        <w:rPr>
          <w:noProof/>
        </w:rPr>
        <w:t>(f)</w:t>
      </w:r>
      <w:r>
        <w:rPr>
          <w:noProof/>
        </w:rPr>
        <w:tab/>
      </w:r>
      <w:r w:rsidRPr="002B1BBF">
        <w:rPr>
          <w:noProof/>
        </w:rPr>
        <w:t>the alignment with climate neutrality objectives, as laid down in Regulation (EU) 2021/1119 of the European Parliament and of the Council</w:t>
      </w:r>
      <w:r w:rsidR="003E20F0">
        <w:rPr>
          <w:rStyle w:val="FootnoteReference"/>
          <w:noProof/>
        </w:rPr>
        <w:footnoteReference w:id="62"/>
      </w:r>
      <w:r w:rsidRPr="002B1BBF">
        <w:rPr>
          <w:noProof/>
        </w:rPr>
        <w:t>.</w:t>
      </w:r>
    </w:p>
    <w:p w14:paraId="4E59B519" w14:textId="77777777" w:rsidR="00083654" w:rsidRPr="00AD21FF" w:rsidRDefault="00083654" w:rsidP="008C77E8">
      <w:pPr>
        <w:pStyle w:val="Titrearticle"/>
        <w:rPr>
          <w:noProof/>
        </w:rPr>
      </w:pPr>
      <w:r w:rsidRPr="00AD21FF">
        <w:rPr>
          <w:noProof/>
        </w:rPr>
        <w:t xml:space="preserve">Article </w:t>
      </w:r>
      <w:r w:rsidR="003C78E5">
        <w:rPr>
          <w:noProof/>
        </w:rPr>
        <w:t>11</w:t>
      </w:r>
      <w:r w:rsidR="008C77E8" w:rsidRPr="00AD21FF">
        <w:rPr>
          <w:noProof/>
        </w:rPr>
        <w:br/>
      </w:r>
      <w:r w:rsidRPr="00AD21FF">
        <w:rPr>
          <w:b/>
          <w:bCs/>
          <w:i w:val="0"/>
          <w:iCs/>
          <w:noProof/>
        </w:rPr>
        <w:t>Public procurement</w:t>
      </w:r>
      <w:r w:rsidRPr="00AD21FF">
        <w:rPr>
          <w:noProof/>
        </w:rPr>
        <w:t xml:space="preserve"> </w:t>
      </w:r>
    </w:p>
    <w:p w14:paraId="62855739" w14:textId="77777777" w:rsidR="00B91F3E" w:rsidRDefault="003D0F09" w:rsidP="005260AB">
      <w:pPr>
        <w:pStyle w:val="ManualNumPar1"/>
        <w:rPr>
          <w:noProof/>
        </w:rPr>
      </w:pPr>
      <w:r>
        <w:rPr>
          <w:noProof/>
        </w:rPr>
        <w:t>1.</w:t>
      </w:r>
      <w:r>
        <w:rPr>
          <w:noProof/>
        </w:rPr>
        <w:tab/>
      </w:r>
      <w:r w:rsidRPr="00F9262D">
        <w:rPr>
          <w:noProof/>
        </w:rPr>
        <w:t>C</w:t>
      </w:r>
      <w:r w:rsidR="00083654" w:rsidRPr="00F9262D">
        <w:rPr>
          <w:noProof/>
        </w:rPr>
        <w:t xml:space="preserve">ontracting authorities and contracting entities shall </w:t>
      </w:r>
      <w:r w:rsidR="00B921BA" w:rsidRPr="00AD21FF">
        <w:rPr>
          <w:noProof/>
        </w:rPr>
        <w:t xml:space="preserve">exclude from access </w:t>
      </w:r>
      <w:r w:rsidRPr="00F9262D">
        <w:rPr>
          <w:noProof/>
        </w:rPr>
        <w:t xml:space="preserve">to </w:t>
      </w:r>
      <w:r w:rsidR="00083654" w:rsidRPr="00F9262D">
        <w:rPr>
          <w:noProof/>
        </w:rPr>
        <w:t xml:space="preserve">procurement procedures </w:t>
      </w:r>
      <w:r w:rsidRPr="00F9262D">
        <w:rPr>
          <w:noProof/>
        </w:rPr>
        <w:t xml:space="preserve">referred </w:t>
      </w:r>
      <w:r w:rsidR="00D20169" w:rsidRPr="00F9262D">
        <w:rPr>
          <w:noProof/>
        </w:rPr>
        <w:t xml:space="preserve">to in </w:t>
      </w:r>
      <w:r w:rsidR="00D20169">
        <w:rPr>
          <w:noProof/>
        </w:rPr>
        <w:t xml:space="preserve">Part I of </w:t>
      </w:r>
      <w:r w:rsidR="00D20169" w:rsidRPr="00F9262D">
        <w:rPr>
          <w:noProof/>
        </w:rPr>
        <w:t xml:space="preserve">Annex II and </w:t>
      </w:r>
      <w:r w:rsidR="00D20169">
        <w:rPr>
          <w:noProof/>
        </w:rPr>
        <w:t>Part I of Annex</w:t>
      </w:r>
      <w:r w:rsidR="00D20169" w:rsidRPr="00F9262D">
        <w:rPr>
          <w:noProof/>
        </w:rPr>
        <w:t xml:space="preserve"> III </w:t>
      </w:r>
      <w:r w:rsidR="00083654" w:rsidRPr="00F9262D">
        <w:rPr>
          <w:noProof/>
        </w:rPr>
        <w:t xml:space="preserve">tenders </w:t>
      </w:r>
      <w:r w:rsidR="00722409">
        <w:rPr>
          <w:noProof/>
        </w:rPr>
        <w:t>submitted by</w:t>
      </w:r>
      <w:r w:rsidR="00722409" w:rsidRPr="00F9262D">
        <w:rPr>
          <w:noProof/>
        </w:rPr>
        <w:t xml:space="preserve"> </w:t>
      </w:r>
      <w:r w:rsidR="00083654" w:rsidRPr="00F9262D">
        <w:rPr>
          <w:noProof/>
        </w:rPr>
        <w:t>economic operators</w:t>
      </w:r>
      <w:r w:rsidR="00083654" w:rsidRPr="00B10194">
        <w:rPr>
          <w:noProof/>
        </w:rPr>
        <w:t xml:space="preserve"> </w:t>
      </w:r>
      <w:r w:rsidR="002B560D">
        <w:rPr>
          <w:noProof/>
        </w:rPr>
        <w:t xml:space="preserve">owned or controlled by an entity established in </w:t>
      </w:r>
      <w:r w:rsidR="00083654" w:rsidRPr="00B10194">
        <w:rPr>
          <w:noProof/>
        </w:rPr>
        <w:t>third countries</w:t>
      </w:r>
      <w:r w:rsidR="00083654" w:rsidRPr="00AD21FF">
        <w:rPr>
          <w:noProof/>
        </w:rPr>
        <w:t xml:space="preserve"> which have not concluded an international agreement with the Union guaranteeing such access</w:t>
      </w:r>
      <w:r w:rsidR="00DC5E4A" w:rsidRPr="00AD21FF">
        <w:rPr>
          <w:noProof/>
        </w:rPr>
        <w:t>.</w:t>
      </w:r>
      <w:r w:rsidR="00187AF5">
        <w:rPr>
          <w:noProof/>
        </w:rPr>
        <w:t xml:space="preserve"> </w:t>
      </w:r>
    </w:p>
    <w:p w14:paraId="30700910" w14:textId="77777777" w:rsidR="00E75209" w:rsidRPr="00AD21FF" w:rsidRDefault="00E75209" w:rsidP="00E75209">
      <w:pPr>
        <w:pStyle w:val="ManualNumPar1"/>
        <w:rPr>
          <w:noProof/>
        </w:rPr>
      </w:pPr>
      <w:r>
        <w:rPr>
          <w:noProof/>
        </w:rPr>
        <w:t>2.</w:t>
      </w:r>
      <w:r>
        <w:rPr>
          <w:noProof/>
        </w:rPr>
        <w:tab/>
        <w:t>For p</w:t>
      </w:r>
      <w:r w:rsidRPr="00AD21FF">
        <w:rPr>
          <w:noProof/>
        </w:rPr>
        <w:t xml:space="preserve">ublic procurement procedures referred to in </w:t>
      </w:r>
      <w:r>
        <w:rPr>
          <w:noProof/>
        </w:rPr>
        <w:t xml:space="preserve">Part I of </w:t>
      </w:r>
      <w:r w:rsidRPr="00AD21FF">
        <w:rPr>
          <w:noProof/>
        </w:rPr>
        <w:t xml:space="preserve">Annex </w:t>
      </w:r>
      <w:r>
        <w:rPr>
          <w:noProof/>
        </w:rPr>
        <w:t>I</w:t>
      </w:r>
      <w:r w:rsidRPr="00AD21FF">
        <w:rPr>
          <w:noProof/>
        </w:rPr>
        <w:t xml:space="preserve">I and </w:t>
      </w:r>
      <w:r>
        <w:rPr>
          <w:noProof/>
        </w:rPr>
        <w:t>Part I of Annex</w:t>
      </w:r>
      <w:r w:rsidRPr="00AD21FF">
        <w:rPr>
          <w:noProof/>
        </w:rPr>
        <w:t xml:space="preserve"> III</w:t>
      </w:r>
      <w:r>
        <w:rPr>
          <w:noProof/>
        </w:rPr>
        <w:t>,</w:t>
      </w:r>
      <w:r w:rsidRPr="00AD21FF">
        <w:rPr>
          <w:noProof/>
        </w:rPr>
        <w:t xml:space="preserve"> </w:t>
      </w:r>
      <w:r>
        <w:rPr>
          <w:noProof/>
        </w:rPr>
        <w:t>contracting authorities and contracting entities shall apply</w:t>
      </w:r>
      <w:r w:rsidRPr="00AD21FF" w:rsidDel="003B4226">
        <w:rPr>
          <w:noProof/>
        </w:rPr>
        <w:t xml:space="preserve"> </w:t>
      </w:r>
      <w:r>
        <w:rPr>
          <w:noProof/>
        </w:rPr>
        <w:t>the</w:t>
      </w:r>
      <w:r w:rsidRPr="00AD21FF">
        <w:rPr>
          <w:noProof/>
        </w:rPr>
        <w:t xml:space="preserve"> Union origin requirements</w:t>
      </w:r>
      <w:r>
        <w:rPr>
          <w:noProof/>
        </w:rPr>
        <w:t xml:space="preserve"> and</w:t>
      </w:r>
      <w:r w:rsidRPr="00AD21FF">
        <w:rPr>
          <w:noProof/>
        </w:rPr>
        <w:t xml:space="preserve"> low-carbon requirements </w:t>
      </w:r>
      <w:r>
        <w:rPr>
          <w:noProof/>
        </w:rPr>
        <w:t>laid down therein</w:t>
      </w:r>
      <w:r w:rsidRPr="00AD21FF">
        <w:rPr>
          <w:noProof/>
        </w:rPr>
        <w:t xml:space="preserve"> in </w:t>
      </w:r>
      <w:r w:rsidRPr="00B2563C">
        <w:rPr>
          <w:noProof/>
        </w:rPr>
        <w:t xml:space="preserve">accordance with Articles </w:t>
      </w:r>
      <w:r w:rsidR="00B2563C" w:rsidRPr="00B2563C">
        <w:rPr>
          <w:noProof/>
        </w:rPr>
        <w:t>8</w:t>
      </w:r>
      <w:r w:rsidRPr="00B2563C">
        <w:rPr>
          <w:noProof/>
        </w:rPr>
        <w:t xml:space="preserve"> and </w:t>
      </w:r>
      <w:r w:rsidR="00B2563C" w:rsidRPr="00B2563C">
        <w:rPr>
          <w:noProof/>
        </w:rPr>
        <w:t>10</w:t>
      </w:r>
      <w:r w:rsidRPr="00B2563C">
        <w:rPr>
          <w:noProof/>
        </w:rPr>
        <w:t>.</w:t>
      </w:r>
    </w:p>
    <w:p w14:paraId="55187F1B" w14:textId="77777777" w:rsidR="00BF3A9F" w:rsidRDefault="00E75209" w:rsidP="00E75209">
      <w:pPr>
        <w:pStyle w:val="ManualNumPar1"/>
        <w:rPr>
          <w:noProof/>
        </w:rPr>
      </w:pPr>
      <w:r>
        <w:rPr>
          <w:noProof/>
        </w:rPr>
        <w:t>3.</w:t>
      </w:r>
      <w:r>
        <w:rPr>
          <w:noProof/>
        </w:rPr>
        <w:tab/>
      </w:r>
      <w:r w:rsidRPr="00AD21FF">
        <w:rPr>
          <w:noProof/>
        </w:rPr>
        <w:t xml:space="preserve">Contracting authorities and contracting entities </w:t>
      </w:r>
      <w:r>
        <w:rPr>
          <w:noProof/>
        </w:rPr>
        <w:t xml:space="preserve">may decide not to apply </w:t>
      </w:r>
      <w:r w:rsidRPr="00AD21FF">
        <w:rPr>
          <w:noProof/>
        </w:rPr>
        <w:t>the requirements set out in Annex</w:t>
      </w:r>
      <w:r>
        <w:rPr>
          <w:noProof/>
        </w:rPr>
        <w:t>es</w:t>
      </w:r>
      <w:r w:rsidRPr="00AD21FF">
        <w:rPr>
          <w:noProof/>
        </w:rPr>
        <w:t xml:space="preserve"> II and III where any of the following conditions </w:t>
      </w:r>
      <w:r>
        <w:rPr>
          <w:noProof/>
        </w:rPr>
        <w:t>are</w:t>
      </w:r>
      <w:r w:rsidRPr="00AD21FF">
        <w:rPr>
          <w:noProof/>
        </w:rPr>
        <w:t xml:space="preserve"> fulfilled</w:t>
      </w:r>
      <w:r>
        <w:rPr>
          <w:noProof/>
        </w:rPr>
        <w:t xml:space="preserve">: </w:t>
      </w:r>
    </w:p>
    <w:p w14:paraId="27D115E9" w14:textId="77777777" w:rsidR="00083654" w:rsidRPr="00AD21FF" w:rsidRDefault="00083654" w:rsidP="007234F4">
      <w:pPr>
        <w:pStyle w:val="Point1"/>
        <w:rPr>
          <w:noProof/>
        </w:rPr>
      </w:pPr>
      <w:r>
        <w:rPr>
          <w:noProof/>
        </w:rPr>
        <w:t>(a)</w:t>
      </w:r>
      <w:r>
        <w:rPr>
          <w:noProof/>
        </w:rPr>
        <w:tab/>
      </w:r>
      <w:r w:rsidRPr="00AD21FF">
        <w:rPr>
          <w:noProof/>
        </w:rPr>
        <w:t>the required products or services can only be supplied by one specific economic operator, and no reasonable alternative or substitute exists, and the absence of competition is not the result of an artificial narrowing down of the parameters of the public procurement procedure;</w:t>
      </w:r>
    </w:p>
    <w:p w14:paraId="1B426317" w14:textId="77777777" w:rsidR="00083654" w:rsidRPr="00AD21FF" w:rsidRDefault="00083654" w:rsidP="00FF5211">
      <w:pPr>
        <w:pStyle w:val="Point1"/>
        <w:rPr>
          <w:noProof/>
        </w:rPr>
      </w:pPr>
      <w:r>
        <w:rPr>
          <w:noProof/>
        </w:rPr>
        <w:t>(b)</w:t>
      </w:r>
      <w:r>
        <w:rPr>
          <w:noProof/>
        </w:rPr>
        <w:tab/>
      </w:r>
      <w:r w:rsidRPr="00AD21FF">
        <w:rPr>
          <w:noProof/>
        </w:rPr>
        <w:t>no suitable tenders or no suitable requests to participate were submitted, including in response to a similar former public procurement procedure launched by the same contracting authority or contracting entity in the two years preceding the start of the planned new procurement procedure;</w:t>
      </w:r>
    </w:p>
    <w:p w14:paraId="5CE01BDB" w14:textId="77777777" w:rsidR="00083654" w:rsidRDefault="00083654" w:rsidP="00FF5211">
      <w:pPr>
        <w:pStyle w:val="Point1"/>
        <w:rPr>
          <w:noProof/>
        </w:rPr>
      </w:pPr>
      <w:r>
        <w:rPr>
          <w:noProof/>
        </w:rPr>
        <w:t>(c)</w:t>
      </w:r>
      <w:r>
        <w:rPr>
          <w:noProof/>
        </w:rPr>
        <w:tab/>
      </w:r>
      <w:r w:rsidRPr="00AD21FF">
        <w:rPr>
          <w:noProof/>
        </w:rPr>
        <w:t xml:space="preserve">their application would require a contracting authority or contracting entity to acquire goods, services or works having disproportionate costs or would result in technical incompatibility in their operation and maintenance. Estimated cost differences exceeding </w:t>
      </w:r>
      <w:r w:rsidR="00243399">
        <w:rPr>
          <w:noProof/>
        </w:rPr>
        <w:t>25</w:t>
      </w:r>
      <w:r w:rsidRPr="00AD21FF">
        <w:rPr>
          <w:noProof/>
        </w:rPr>
        <w:t>%, based on objective and transparent data, may be presumed by contracting authorities and contracting entities to be disproportionate</w:t>
      </w:r>
      <w:r w:rsidRPr="00AD21FF" w:rsidDel="00B04E8F">
        <w:rPr>
          <w:noProof/>
        </w:rPr>
        <w:t>.</w:t>
      </w:r>
    </w:p>
    <w:p w14:paraId="1C998ABC" w14:textId="77777777" w:rsidR="00083654" w:rsidRPr="00AD21FF" w:rsidRDefault="00083654" w:rsidP="00185603">
      <w:pPr>
        <w:pStyle w:val="ManualNumPar1"/>
        <w:rPr>
          <w:noProof/>
        </w:rPr>
      </w:pPr>
      <w:r>
        <w:rPr>
          <w:noProof/>
        </w:rPr>
        <w:t>4.</w:t>
      </w:r>
      <w:r>
        <w:rPr>
          <w:noProof/>
        </w:rPr>
        <w:tab/>
      </w:r>
      <w:r w:rsidRPr="00AD21FF">
        <w:rPr>
          <w:noProof/>
        </w:rPr>
        <w:t xml:space="preserve">Contracting authorities and contracting entities shall require economic operators supplying products or services to submit a self-declaration, or an equivalent document, demonstrating compliance with the requirements set out in this </w:t>
      </w:r>
      <w:r w:rsidR="000C3167">
        <w:rPr>
          <w:noProof/>
        </w:rPr>
        <w:t>Article</w:t>
      </w:r>
      <w:r w:rsidRPr="00AD21FF">
        <w:rPr>
          <w:noProof/>
        </w:rPr>
        <w:t>.</w:t>
      </w:r>
    </w:p>
    <w:p w14:paraId="496C1089" w14:textId="77777777" w:rsidR="00083654" w:rsidRPr="00AD21FF" w:rsidRDefault="00083654" w:rsidP="008C77E8">
      <w:pPr>
        <w:pStyle w:val="Titrearticle"/>
        <w:rPr>
          <w:noProof/>
        </w:rPr>
      </w:pPr>
      <w:r w:rsidRPr="00AD21FF">
        <w:rPr>
          <w:noProof/>
        </w:rPr>
        <w:t>Article 1</w:t>
      </w:r>
      <w:r w:rsidR="003C78E5">
        <w:rPr>
          <w:noProof/>
        </w:rPr>
        <w:t>2</w:t>
      </w:r>
      <w:r w:rsidR="008C77E8" w:rsidRPr="00AD21FF">
        <w:rPr>
          <w:noProof/>
        </w:rPr>
        <w:br/>
      </w:r>
      <w:r w:rsidR="008741FE" w:rsidRPr="008741FE">
        <w:rPr>
          <w:b/>
          <w:bCs/>
          <w:i w:val="0"/>
          <w:iCs/>
          <w:noProof/>
        </w:rPr>
        <w:t>Other forms of public intervention</w:t>
      </w:r>
    </w:p>
    <w:p w14:paraId="51C32120" w14:textId="77777777" w:rsidR="000E49A7" w:rsidRPr="00AD21FF" w:rsidRDefault="000E49A7" w:rsidP="000E49A7">
      <w:pPr>
        <w:pStyle w:val="ManualNumPar1"/>
        <w:rPr>
          <w:noProof/>
        </w:rPr>
      </w:pPr>
      <w:r>
        <w:rPr>
          <w:noProof/>
        </w:rPr>
        <w:t>1.</w:t>
      </w:r>
      <w:r>
        <w:rPr>
          <w:noProof/>
        </w:rPr>
        <w:tab/>
      </w:r>
      <w:r w:rsidRPr="00AD21FF">
        <w:rPr>
          <w:noProof/>
        </w:rPr>
        <w:t xml:space="preserve">Without prejudice to Articles 107 and 108 TFEU, </w:t>
      </w:r>
      <w:r>
        <w:rPr>
          <w:noProof/>
        </w:rPr>
        <w:t xml:space="preserve">Member States shall design </w:t>
      </w:r>
      <w:r w:rsidRPr="00AD21FF">
        <w:rPr>
          <w:noProof/>
        </w:rPr>
        <w:t xml:space="preserve">public support schemes </w:t>
      </w:r>
      <w:r>
        <w:rPr>
          <w:noProof/>
        </w:rPr>
        <w:t xml:space="preserve">in a way that they contribute to the objective of strengthening the Union’s strategic industrial value chains through </w:t>
      </w:r>
      <w:r w:rsidRPr="00AD21FF">
        <w:rPr>
          <w:noProof/>
        </w:rPr>
        <w:t>the Union origin requirements, low-carbon content requirements, or both, laid down in Part II of Annex II</w:t>
      </w:r>
      <w:r>
        <w:rPr>
          <w:noProof/>
        </w:rPr>
        <w:t xml:space="preserve"> and Part II of Annex III</w:t>
      </w:r>
      <w:r w:rsidR="000D3F5D">
        <w:rPr>
          <w:noProof/>
        </w:rPr>
        <w:t>, in accordanc</w:t>
      </w:r>
      <w:r w:rsidR="00B727DC">
        <w:rPr>
          <w:noProof/>
        </w:rPr>
        <w:t>e</w:t>
      </w:r>
      <w:r w:rsidR="000D3F5D">
        <w:rPr>
          <w:noProof/>
        </w:rPr>
        <w:t xml:space="preserve"> with Articles </w:t>
      </w:r>
      <w:r w:rsidR="00B727DC">
        <w:rPr>
          <w:noProof/>
        </w:rPr>
        <w:t>9 and 10</w:t>
      </w:r>
      <w:r>
        <w:rPr>
          <w:noProof/>
        </w:rPr>
        <w:t xml:space="preserve"> and without prejudice to Article 13</w:t>
      </w:r>
      <w:r w:rsidRPr="00AD21FF">
        <w:rPr>
          <w:noProof/>
        </w:rPr>
        <w:t xml:space="preserve">. </w:t>
      </w:r>
    </w:p>
    <w:p w14:paraId="45DA9BCC" w14:textId="77777777" w:rsidR="000E49A7" w:rsidRDefault="000E49A7" w:rsidP="000E49A7">
      <w:pPr>
        <w:pStyle w:val="Text1"/>
        <w:rPr>
          <w:noProof/>
        </w:rPr>
      </w:pPr>
      <w:r w:rsidRPr="00AD21FF">
        <w:rPr>
          <w:noProof/>
        </w:rPr>
        <w:t xml:space="preserve">Member States shall apply the requirements referred to in the first subparagraph to </w:t>
      </w:r>
      <w:r>
        <w:rPr>
          <w:noProof/>
        </w:rPr>
        <w:t>public support</w:t>
      </w:r>
      <w:r w:rsidRPr="00AD21FF" w:rsidDel="00E31401">
        <w:rPr>
          <w:noProof/>
        </w:rPr>
        <w:t xml:space="preserve"> </w:t>
      </w:r>
      <w:r w:rsidRPr="00AD21FF">
        <w:rPr>
          <w:noProof/>
        </w:rPr>
        <w:t xml:space="preserve">schemes </w:t>
      </w:r>
      <w:r>
        <w:rPr>
          <w:noProof/>
        </w:rPr>
        <w:t xml:space="preserve">accounting for at </w:t>
      </w:r>
      <w:r w:rsidRPr="004D36CD">
        <w:rPr>
          <w:noProof/>
        </w:rPr>
        <w:t xml:space="preserve">least </w:t>
      </w:r>
      <w:r>
        <w:rPr>
          <w:noProof/>
        </w:rPr>
        <w:t>45</w:t>
      </w:r>
      <w:r w:rsidRPr="004D36CD">
        <w:rPr>
          <w:noProof/>
        </w:rPr>
        <w:t>% of the</w:t>
      </w:r>
      <w:r w:rsidRPr="00AD21FF">
        <w:rPr>
          <w:noProof/>
        </w:rPr>
        <w:t xml:space="preserve"> </w:t>
      </w:r>
      <w:r>
        <w:rPr>
          <w:noProof/>
        </w:rPr>
        <w:t xml:space="preserve">total </w:t>
      </w:r>
      <w:r w:rsidRPr="00AD21FF">
        <w:rPr>
          <w:noProof/>
        </w:rPr>
        <w:t xml:space="preserve">national budget allocated to the </w:t>
      </w:r>
      <w:r>
        <w:rPr>
          <w:noProof/>
        </w:rPr>
        <w:t>public</w:t>
      </w:r>
      <w:r w:rsidRPr="00AD21FF">
        <w:rPr>
          <w:noProof/>
        </w:rPr>
        <w:t xml:space="preserve"> support schemes</w:t>
      </w:r>
      <w:r>
        <w:rPr>
          <w:noProof/>
        </w:rPr>
        <w:t xml:space="preserve"> covered by Part II of Annex II and accounting for 100% of the total national budget allocated to the public support schemes covered by Part II of Annex III</w:t>
      </w:r>
      <w:r w:rsidRPr="00AD21FF">
        <w:rPr>
          <w:noProof/>
        </w:rPr>
        <w:t xml:space="preserve">. </w:t>
      </w:r>
    </w:p>
    <w:p w14:paraId="6E97AC69" w14:textId="77777777" w:rsidR="000E49A7" w:rsidRPr="00AD21FF" w:rsidRDefault="000E49A7" w:rsidP="000E49A7">
      <w:pPr>
        <w:pStyle w:val="ManualNumPar1"/>
        <w:rPr>
          <w:noProof/>
        </w:rPr>
      </w:pPr>
      <w:r>
        <w:rPr>
          <w:noProof/>
        </w:rPr>
        <w:t>2.</w:t>
      </w:r>
      <w:r>
        <w:rPr>
          <w:noProof/>
        </w:rPr>
        <w:tab/>
      </w:r>
      <w:r w:rsidRPr="00AD21FF">
        <w:rPr>
          <w:noProof/>
        </w:rPr>
        <w:t xml:space="preserve">When designing and implementing a public support scheme covered by </w:t>
      </w:r>
      <w:r>
        <w:rPr>
          <w:noProof/>
        </w:rPr>
        <w:t xml:space="preserve">Part II of </w:t>
      </w:r>
      <w:r w:rsidRPr="00AD21FF">
        <w:rPr>
          <w:noProof/>
        </w:rPr>
        <w:t>Annex II</w:t>
      </w:r>
      <w:r>
        <w:rPr>
          <w:noProof/>
        </w:rPr>
        <w:t xml:space="preserve"> and Part II of Annex III</w:t>
      </w:r>
      <w:r w:rsidRPr="00AD21FF">
        <w:rPr>
          <w:noProof/>
        </w:rPr>
        <w:t xml:space="preserve">, the </w:t>
      </w:r>
      <w:r>
        <w:rPr>
          <w:noProof/>
        </w:rPr>
        <w:t xml:space="preserve">competent </w:t>
      </w:r>
      <w:r w:rsidRPr="00AD21FF">
        <w:rPr>
          <w:noProof/>
        </w:rPr>
        <w:t xml:space="preserve">authority shall assess the </w:t>
      </w:r>
      <w:r>
        <w:rPr>
          <w:noProof/>
        </w:rPr>
        <w:t>contribution</w:t>
      </w:r>
      <w:r w:rsidRPr="00AD21FF">
        <w:rPr>
          <w:noProof/>
        </w:rPr>
        <w:t xml:space="preserve"> of products and technologies </w:t>
      </w:r>
      <w:r>
        <w:rPr>
          <w:noProof/>
        </w:rPr>
        <w:t xml:space="preserve">to the overall target </w:t>
      </w:r>
      <w:r w:rsidRPr="00AD21FF">
        <w:rPr>
          <w:noProof/>
        </w:rPr>
        <w:t>laid down therein on the basis of an open, non-discriminatory and transparent process.</w:t>
      </w:r>
    </w:p>
    <w:p w14:paraId="4BBE270A" w14:textId="77777777" w:rsidR="000E49A7" w:rsidRDefault="000E49A7" w:rsidP="000E49A7">
      <w:pPr>
        <w:pStyle w:val="ManualNumPar1"/>
        <w:rPr>
          <w:noProof/>
        </w:rPr>
      </w:pPr>
      <w:r>
        <w:rPr>
          <w:noProof/>
        </w:rPr>
        <w:t>3.</w:t>
      </w:r>
      <w:r>
        <w:rPr>
          <w:noProof/>
        </w:rPr>
        <w:tab/>
        <w:t>The competent authority may still implement support schemes that do not meet the requirements laid down in Part II of Annex II and Part II of Annex III, in whole or in part, if the application of such requirements:</w:t>
      </w:r>
    </w:p>
    <w:p w14:paraId="58EC7DE0" w14:textId="77777777" w:rsidR="008D5DE7" w:rsidRDefault="000E49A7" w:rsidP="007234F4">
      <w:pPr>
        <w:pStyle w:val="Point1"/>
        <w:rPr>
          <w:noProof/>
        </w:rPr>
      </w:pPr>
      <w:r>
        <w:rPr>
          <w:noProof/>
        </w:rPr>
        <w:t>(a)</w:t>
      </w:r>
      <w:r>
        <w:rPr>
          <w:noProof/>
        </w:rPr>
        <w:tab/>
        <w:t>would lead to significant delays due to the unavailability of the required components or final products. Estimated delays in excess of seven months, based on objective, transparent and verifiable data, may be presumed to be significant</w:t>
      </w:r>
      <w:r w:rsidR="008D5DE7">
        <w:rPr>
          <w:noProof/>
        </w:rPr>
        <w:t>;</w:t>
      </w:r>
    </w:p>
    <w:p w14:paraId="03A5F303" w14:textId="77777777" w:rsidR="000E49A7" w:rsidRPr="00BE3E75" w:rsidRDefault="000E49A7" w:rsidP="007234F4">
      <w:pPr>
        <w:pStyle w:val="Point1"/>
        <w:rPr>
          <w:noProof/>
        </w:rPr>
      </w:pPr>
      <w:r>
        <w:rPr>
          <w:noProof/>
        </w:rPr>
        <w:t>(b)</w:t>
      </w:r>
      <w:r>
        <w:rPr>
          <w:noProof/>
        </w:rPr>
        <w:tab/>
        <w:t xml:space="preserve">would incur disproportionate costs. Disproportionate costs shall be presumed to exist where, based on objective, transparent and verifiable data, compliance would increase the cost of the underlying final product or technology by more than 30%. </w:t>
      </w:r>
    </w:p>
    <w:p w14:paraId="10687E81" w14:textId="77777777" w:rsidR="00FF5A8A" w:rsidRPr="00FF5A8A" w:rsidRDefault="00FF5A8A" w:rsidP="00FF5A8A">
      <w:pPr>
        <w:pStyle w:val="Titrearticle"/>
        <w:spacing w:before="0" w:after="0"/>
        <w:rPr>
          <w:noProof/>
        </w:rPr>
      </w:pPr>
      <w:r w:rsidRPr="00FF5A8A">
        <w:rPr>
          <w:noProof/>
        </w:rPr>
        <w:t>Article 13</w:t>
      </w:r>
    </w:p>
    <w:p w14:paraId="13C9C81F" w14:textId="77777777" w:rsidR="00FF5A8A" w:rsidRPr="00FF5A8A" w:rsidRDefault="00FF5A8A" w:rsidP="00FF5A8A">
      <w:pPr>
        <w:pStyle w:val="Titrearticle"/>
        <w:spacing w:before="0" w:after="0"/>
        <w:rPr>
          <w:b/>
          <w:i w:val="0"/>
          <w:iCs/>
          <w:noProof/>
        </w:rPr>
      </w:pPr>
      <w:r w:rsidRPr="00FF5A8A">
        <w:rPr>
          <w:b/>
          <w:i w:val="0"/>
          <w:iCs/>
          <w:noProof/>
        </w:rPr>
        <w:t xml:space="preserve">Financial support for corporate vehicles </w:t>
      </w:r>
    </w:p>
    <w:p w14:paraId="3F0F1C03" w14:textId="77777777" w:rsidR="00FF5A8A" w:rsidRPr="00FF5A8A" w:rsidRDefault="00FF5A8A" w:rsidP="00FF5A8A">
      <w:pPr>
        <w:pStyle w:val="Text0"/>
        <w:rPr>
          <w:noProof/>
        </w:rPr>
      </w:pPr>
      <w:r w:rsidRPr="00FF5A8A">
        <w:rPr>
          <w:noProof/>
        </w:rPr>
        <w:t xml:space="preserve">For the purposes of Article 4 of the [Proposal for a Regulation of 16 December 2025 on clean corporate vehicles], the ‘made in the European Union’ criterion for providing financial support for the uptake of corporate cars and vans shall comply with the criteria set out in Part II of Annex III to this Regulation. </w:t>
      </w:r>
    </w:p>
    <w:p w14:paraId="41B27542" w14:textId="77777777" w:rsidR="00FF5A8A" w:rsidRPr="00AD21FF" w:rsidRDefault="00FF5A8A" w:rsidP="00410E39">
      <w:pPr>
        <w:pStyle w:val="Text0"/>
        <w:rPr>
          <w:noProof/>
        </w:rPr>
      </w:pPr>
      <w:r w:rsidRPr="00FF5A8A">
        <w:rPr>
          <w:noProof/>
        </w:rPr>
        <w:t>This ‘made in the European Union’ criterion shall be considered equivalent to the ‘Union origin’ referred to in Article 7 of this Regulation.</w:t>
      </w:r>
    </w:p>
    <w:p w14:paraId="76493A77" w14:textId="77777777" w:rsidR="00083654" w:rsidRPr="00AD21FF" w:rsidRDefault="00083654" w:rsidP="008C77E8">
      <w:pPr>
        <w:pStyle w:val="Titrearticle"/>
        <w:rPr>
          <w:noProof/>
        </w:rPr>
      </w:pPr>
      <w:r w:rsidRPr="00AD21FF">
        <w:rPr>
          <w:noProof/>
        </w:rPr>
        <w:t>Article 1</w:t>
      </w:r>
      <w:r w:rsidR="003C78E5">
        <w:rPr>
          <w:noProof/>
        </w:rPr>
        <w:t>4</w:t>
      </w:r>
      <w:r w:rsidR="008C77E8" w:rsidRPr="00AD21FF">
        <w:rPr>
          <w:noProof/>
        </w:rPr>
        <w:br/>
      </w:r>
      <w:r w:rsidRPr="00AA4731">
        <w:rPr>
          <w:b/>
          <w:i w:val="0"/>
          <w:noProof/>
        </w:rPr>
        <w:t>CO2 emission</w:t>
      </w:r>
      <w:r w:rsidRPr="00AD21FF">
        <w:rPr>
          <w:b/>
          <w:bCs/>
          <w:i w:val="0"/>
          <w:iCs/>
          <w:noProof/>
        </w:rPr>
        <w:t xml:space="preserve"> performance standards </w:t>
      </w:r>
      <w:r w:rsidR="00FF0E60">
        <w:rPr>
          <w:b/>
          <w:bCs/>
          <w:i w:val="0"/>
          <w:iCs/>
          <w:noProof/>
        </w:rPr>
        <w:t>credits</w:t>
      </w:r>
    </w:p>
    <w:p w14:paraId="7254F119" w14:textId="77777777" w:rsidR="00E37352" w:rsidRPr="00AD21FF" w:rsidRDefault="00E37352" w:rsidP="007234F4">
      <w:pPr>
        <w:pStyle w:val="ManualNumPar1"/>
        <w:rPr>
          <w:noProof/>
        </w:rPr>
      </w:pPr>
      <w:r>
        <w:rPr>
          <w:noProof/>
        </w:rPr>
        <w:t>1.</w:t>
      </w:r>
      <w:r>
        <w:rPr>
          <w:noProof/>
        </w:rPr>
        <w:tab/>
      </w:r>
      <w:r w:rsidRPr="00AD21FF">
        <w:rPr>
          <w:noProof/>
        </w:rPr>
        <w:t>For the purposes of Article 5</w:t>
      </w:r>
      <w:r>
        <w:rPr>
          <w:noProof/>
        </w:rPr>
        <w:t>(1) and (2)</w:t>
      </w:r>
      <w:r w:rsidRPr="00AD21FF">
        <w:rPr>
          <w:noProof/>
        </w:rPr>
        <w:t xml:space="preserve"> of Regulation (EU) 2019/631</w:t>
      </w:r>
      <w:r>
        <w:rPr>
          <w:noProof/>
        </w:rPr>
        <w:t xml:space="preserve"> </w:t>
      </w:r>
      <w:r w:rsidRPr="00AD21FF">
        <w:rPr>
          <w:noProof/>
        </w:rPr>
        <w:t xml:space="preserve">[as amended by the Proposal for a Regulation of 16 December 2025 amending Regulation (EU) 2019/631 as regards CO2 emission performance standards for new light duty vehicles and vehicle labelling], </w:t>
      </w:r>
      <w:r>
        <w:rPr>
          <w:noProof/>
        </w:rPr>
        <w:t>the</w:t>
      </w:r>
      <w:r w:rsidRPr="00AD21FF">
        <w:rPr>
          <w:noProof/>
        </w:rPr>
        <w:t xml:space="preserve"> ‘made in the EU’ </w:t>
      </w:r>
      <w:r>
        <w:rPr>
          <w:noProof/>
        </w:rPr>
        <w:t xml:space="preserve">criterion for </w:t>
      </w:r>
      <w:r w:rsidRPr="00AD21FF">
        <w:rPr>
          <w:noProof/>
        </w:rPr>
        <w:t xml:space="preserve">small zero-emission vehicles </w:t>
      </w:r>
      <w:r>
        <w:rPr>
          <w:noProof/>
        </w:rPr>
        <w:t>shall comply with the criteria</w:t>
      </w:r>
      <w:r w:rsidRPr="00AD21FF">
        <w:rPr>
          <w:noProof/>
        </w:rPr>
        <w:t xml:space="preserve"> set out in Part </w:t>
      </w:r>
      <w:r>
        <w:rPr>
          <w:noProof/>
        </w:rPr>
        <w:t>III</w:t>
      </w:r>
      <w:r w:rsidRPr="00AD21FF">
        <w:rPr>
          <w:noProof/>
        </w:rPr>
        <w:t xml:space="preserve"> of Annex III</w:t>
      </w:r>
      <w:r>
        <w:rPr>
          <w:noProof/>
        </w:rPr>
        <w:t xml:space="preserve"> to this Regulation</w:t>
      </w:r>
      <w:r w:rsidRPr="00AD21FF">
        <w:rPr>
          <w:noProof/>
        </w:rPr>
        <w:t xml:space="preserve">. </w:t>
      </w:r>
    </w:p>
    <w:p w14:paraId="3FB22E50" w14:textId="77777777" w:rsidR="00E37352" w:rsidRPr="00AD21FF" w:rsidRDefault="00E37352" w:rsidP="00E37352">
      <w:pPr>
        <w:pStyle w:val="Text1"/>
        <w:rPr>
          <w:noProof/>
        </w:rPr>
      </w:pPr>
      <w:r>
        <w:rPr>
          <w:noProof/>
        </w:rPr>
        <w:t>This ‘m</w:t>
      </w:r>
      <w:r w:rsidRPr="00AD21FF">
        <w:rPr>
          <w:noProof/>
        </w:rPr>
        <w:t xml:space="preserve">ade in the EU’ </w:t>
      </w:r>
      <w:r>
        <w:rPr>
          <w:noProof/>
        </w:rPr>
        <w:t xml:space="preserve">criterion </w:t>
      </w:r>
      <w:r w:rsidRPr="00AD21FF">
        <w:rPr>
          <w:noProof/>
        </w:rPr>
        <w:t xml:space="preserve">shall be considered equivalent to </w:t>
      </w:r>
      <w:r>
        <w:rPr>
          <w:noProof/>
        </w:rPr>
        <w:t>the ‘</w:t>
      </w:r>
      <w:r w:rsidRPr="00AD21FF">
        <w:rPr>
          <w:noProof/>
        </w:rPr>
        <w:t>Union origin</w:t>
      </w:r>
      <w:r>
        <w:rPr>
          <w:noProof/>
        </w:rPr>
        <w:t xml:space="preserve">’ </w:t>
      </w:r>
      <w:r w:rsidRPr="004E460F">
        <w:rPr>
          <w:noProof/>
        </w:rPr>
        <w:t>referred to in Article 7 of this</w:t>
      </w:r>
      <w:r w:rsidRPr="00AD21FF">
        <w:rPr>
          <w:noProof/>
        </w:rPr>
        <w:t xml:space="preserve"> Regulation.</w:t>
      </w:r>
    </w:p>
    <w:p w14:paraId="31A791FF" w14:textId="77777777" w:rsidR="00E37352" w:rsidRPr="00AD21FF" w:rsidRDefault="00E37352" w:rsidP="007234F4">
      <w:pPr>
        <w:pStyle w:val="ManualNumPar1"/>
        <w:rPr>
          <w:noProof/>
        </w:rPr>
      </w:pPr>
      <w:r>
        <w:rPr>
          <w:noProof/>
        </w:rPr>
        <w:t>2.</w:t>
      </w:r>
      <w:r>
        <w:rPr>
          <w:noProof/>
        </w:rPr>
        <w:tab/>
      </w:r>
      <w:r w:rsidRPr="00AD21FF">
        <w:rPr>
          <w:noProof/>
        </w:rPr>
        <w:t>For the purposes of Article 5b of Regulation (EU) 2019/631 [as amended by the Proposal for a Regulation of 16 December 2025 amending Regulation (EU) 2019/631 as regards CO2 emission standards for new light duty vehicles and vehicle labelling], ‘low-carbon steel made in the EU’ shall be understood as follows:</w:t>
      </w:r>
    </w:p>
    <w:p w14:paraId="0498C2CD" w14:textId="77777777" w:rsidR="00B9481C" w:rsidRPr="00631FC3" w:rsidRDefault="00083654" w:rsidP="007234F4">
      <w:pPr>
        <w:pStyle w:val="Point1"/>
        <w:rPr>
          <w:noProof/>
        </w:rPr>
      </w:pPr>
      <w:r>
        <w:rPr>
          <w:noProof/>
        </w:rPr>
        <w:t>(a)</w:t>
      </w:r>
      <w:r>
        <w:rPr>
          <w:noProof/>
        </w:rPr>
        <w:tab/>
      </w:r>
      <w:r w:rsidRPr="00631FC3">
        <w:rPr>
          <w:noProof/>
        </w:rPr>
        <w:t>‘low</w:t>
      </w:r>
      <w:r w:rsidR="00542284" w:rsidRPr="00631FC3">
        <w:rPr>
          <w:noProof/>
        </w:rPr>
        <w:t>-</w:t>
      </w:r>
      <w:r w:rsidRPr="00631FC3">
        <w:rPr>
          <w:noProof/>
        </w:rPr>
        <w:t xml:space="preserve">carbon’ </w:t>
      </w:r>
      <w:r w:rsidR="00B9481C" w:rsidRPr="00631FC3">
        <w:rPr>
          <w:noProof/>
        </w:rPr>
        <w:t xml:space="preserve">shall comply with the conditions referred to in Article 10(1) of this Regulation; </w:t>
      </w:r>
    </w:p>
    <w:p w14:paraId="7375D9CF" w14:textId="77777777" w:rsidR="00083654" w:rsidRPr="00631FC3" w:rsidRDefault="00083654" w:rsidP="007234F4">
      <w:pPr>
        <w:pStyle w:val="Point1"/>
        <w:rPr>
          <w:noProof/>
        </w:rPr>
      </w:pPr>
      <w:r>
        <w:rPr>
          <w:noProof/>
        </w:rPr>
        <w:t>(b)</w:t>
      </w:r>
      <w:r>
        <w:rPr>
          <w:noProof/>
        </w:rPr>
        <w:tab/>
      </w:r>
      <w:r w:rsidRPr="00631FC3">
        <w:rPr>
          <w:noProof/>
        </w:rPr>
        <w:t xml:space="preserve">‘made in the EU’ </w:t>
      </w:r>
      <w:r w:rsidR="00503481" w:rsidRPr="00631FC3">
        <w:rPr>
          <w:noProof/>
        </w:rPr>
        <w:t>shall be equivalent to the ‘Union origin’ referred to in Article 7 of this Regulation.</w:t>
      </w:r>
    </w:p>
    <w:p w14:paraId="0B31C1E7" w14:textId="77777777" w:rsidR="00252F3B" w:rsidRPr="00252F3B" w:rsidRDefault="00252F3B" w:rsidP="00252F3B">
      <w:pPr>
        <w:rPr>
          <w:noProof/>
        </w:rPr>
      </w:pPr>
    </w:p>
    <w:p w14:paraId="0EE87D62" w14:textId="77777777" w:rsidR="00B5377E" w:rsidRPr="00FF5211" w:rsidRDefault="00403B02" w:rsidP="00FF5211">
      <w:pPr>
        <w:pStyle w:val="Titrearticle"/>
        <w:spacing w:before="0" w:after="0"/>
        <w:rPr>
          <w:noProof/>
        </w:rPr>
      </w:pPr>
      <w:r>
        <w:rPr>
          <w:noProof/>
        </w:rPr>
        <w:t xml:space="preserve">Article </w:t>
      </w:r>
      <w:r w:rsidR="00CE33D5">
        <w:rPr>
          <w:noProof/>
        </w:rPr>
        <w:t>1</w:t>
      </w:r>
      <w:r w:rsidR="009E02E0">
        <w:rPr>
          <w:noProof/>
        </w:rPr>
        <w:t>5</w:t>
      </w:r>
      <w:r w:rsidR="00FF5211">
        <w:rPr>
          <w:noProof/>
        </w:rPr>
        <w:br/>
      </w:r>
      <w:r w:rsidR="00B5377E" w:rsidRPr="00641174">
        <w:rPr>
          <w:b/>
          <w:i w:val="0"/>
          <w:noProof/>
        </w:rPr>
        <w:t xml:space="preserve">Certification of a vehicle’s compliance with Union origin requirements </w:t>
      </w:r>
    </w:p>
    <w:p w14:paraId="081ED080" w14:textId="77777777" w:rsidR="009A1C13" w:rsidRPr="00ED4240" w:rsidRDefault="009A1C13" w:rsidP="009A1C13">
      <w:pPr>
        <w:pStyle w:val="Text0"/>
        <w:rPr>
          <w:noProof/>
        </w:rPr>
      </w:pPr>
      <w:r w:rsidRPr="00ED4240">
        <w:rPr>
          <w:noProof/>
        </w:rPr>
        <w:t>From [</w:t>
      </w:r>
      <w:r w:rsidRPr="00AD21FF">
        <w:rPr>
          <w:noProof/>
        </w:rPr>
        <w:t xml:space="preserve">OP please insert date: </w:t>
      </w:r>
      <w:r>
        <w:rPr>
          <w:noProof/>
        </w:rPr>
        <w:t xml:space="preserve">six months after </w:t>
      </w:r>
      <w:r w:rsidRPr="00ED4240">
        <w:rPr>
          <w:noProof/>
        </w:rPr>
        <w:t xml:space="preserve">entry into force], when issuing a vehicle’s certificate of conformity </w:t>
      </w:r>
      <w:r>
        <w:rPr>
          <w:noProof/>
        </w:rPr>
        <w:t>in accordance with Articles 36 and 37</w:t>
      </w:r>
      <w:r w:rsidRPr="00ED4240">
        <w:rPr>
          <w:noProof/>
        </w:rPr>
        <w:t xml:space="preserve"> of Regulation </w:t>
      </w:r>
      <w:r>
        <w:rPr>
          <w:noProof/>
        </w:rPr>
        <w:t>(EU)</w:t>
      </w:r>
      <w:r w:rsidRPr="00ED4240">
        <w:rPr>
          <w:noProof/>
        </w:rPr>
        <w:t xml:space="preserve"> 2018/858, </w:t>
      </w:r>
      <w:r w:rsidRPr="00576640">
        <w:rPr>
          <w:noProof/>
        </w:rPr>
        <w:t xml:space="preserve">for vehicles </w:t>
      </w:r>
      <w:r>
        <w:rPr>
          <w:noProof/>
        </w:rPr>
        <w:t>in compliance</w:t>
      </w:r>
      <w:r w:rsidRPr="00576640">
        <w:rPr>
          <w:noProof/>
        </w:rPr>
        <w:t xml:space="preserve"> with the relevant Union origin requirements laid down in Annex III to this Regulation, </w:t>
      </w:r>
      <w:r w:rsidRPr="00ED4240">
        <w:rPr>
          <w:noProof/>
        </w:rPr>
        <w:t xml:space="preserve">manufacturers shall provide an accompanying document certifying the </w:t>
      </w:r>
      <w:r>
        <w:rPr>
          <w:noProof/>
        </w:rPr>
        <w:t>compliance of</w:t>
      </w:r>
      <w:r w:rsidRPr="00ED4240">
        <w:rPr>
          <w:noProof/>
        </w:rPr>
        <w:t xml:space="preserve"> the vehicle</w:t>
      </w:r>
      <w:r>
        <w:rPr>
          <w:noProof/>
        </w:rPr>
        <w:t>.</w:t>
      </w:r>
    </w:p>
    <w:p w14:paraId="2131854F" w14:textId="77777777" w:rsidR="00083654" w:rsidRPr="00AD21FF" w:rsidRDefault="00083654" w:rsidP="008C77E8">
      <w:pPr>
        <w:pStyle w:val="Titrearticle"/>
        <w:rPr>
          <w:b/>
          <w:bCs/>
          <w:i w:val="0"/>
          <w:iCs/>
          <w:noProof/>
        </w:rPr>
      </w:pPr>
      <w:r w:rsidRPr="00AD21FF">
        <w:rPr>
          <w:noProof/>
        </w:rPr>
        <w:t>Article 1</w:t>
      </w:r>
      <w:r w:rsidR="009E02E0">
        <w:rPr>
          <w:noProof/>
        </w:rPr>
        <w:t>6</w:t>
      </w:r>
      <w:r w:rsidR="008C77E8" w:rsidRPr="00AD21FF">
        <w:rPr>
          <w:noProof/>
        </w:rPr>
        <w:br/>
      </w:r>
      <w:r w:rsidRPr="00AD21FF">
        <w:rPr>
          <w:b/>
          <w:bCs/>
          <w:i w:val="0"/>
          <w:iCs/>
          <w:noProof/>
        </w:rPr>
        <w:t>Delegation of powers</w:t>
      </w:r>
    </w:p>
    <w:p w14:paraId="03D3F421" w14:textId="77777777" w:rsidR="00587917" w:rsidRPr="00113D9F" w:rsidRDefault="00587917" w:rsidP="00C648CF">
      <w:pPr>
        <w:pStyle w:val="ManualNumPar1"/>
        <w:rPr>
          <w:noProof/>
        </w:rPr>
      </w:pPr>
      <w:r>
        <w:rPr>
          <w:noProof/>
        </w:rPr>
        <w:t>1.</w:t>
      </w:r>
      <w:r>
        <w:rPr>
          <w:noProof/>
        </w:rPr>
        <w:tab/>
      </w:r>
      <w:r w:rsidRPr="00113D9F">
        <w:rPr>
          <w:noProof/>
        </w:rPr>
        <w:t xml:space="preserve">The Commission is empowered to adopt delegated acts in accordance with Article </w:t>
      </w:r>
      <w:r w:rsidR="003573F8">
        <w:rPr>
          <w:noProof/>
        </w:rPr>
        <w:t>30</w:t>
      </w:r>
      <w:r w:rsidR="003573F8" w:rsidRPr="00113D9F">
        <w:rPr>
          <w:noProof/>
        </w:rPr>
        <w:t xml:space="preserve"> </w:t>
      </w:r>
      <w:r w:rsidRPr="00113D9F">
        <w:rPr>
          <w:noProof/>
        </w:rPr>
        <w:t>to supplement this Regulation by laying down Union-level demand-side measures for products from the chemical industry in order to promote the following activities:</w:t>
      </w:r>
    </w:p>
    <w:p w14:paraId="754953F3" w14:textId="77777777" w:rsidR="00587917" w:rsidRPr="00113D9F" w:rsidRDefault="00C648CF" w:rsidP="007234F4">
      <w:pPr>
        <w:pStyle w:val="Point1"/>
        <w:rPr>
          <w:noProof/>
        </w:rPr>
      </w:pPr>
      <w:r>
        <w:rPr>
          <w:noProof/>
        </w:rPr>
        <w:t>(a)</w:t>
      </w:r>
      <w:r>
        <w:rPr>
          <w:noProof/>
        </w:rPr>
        <w:tab/>
        <w:t>t</w:t>
      </w:r>
      <w:r w:rsidR="00587917" w:rsidRPr="00113D9F">
        <w:rPr>
          <w:noProof/>
        </w:rPr>
        <w:t>he production and sales of substances and mixtures of Union origin derived from sustainable carbon sources;</w:t>
      </w:r>
    </w:p>
    <w:p w14:paraId="192699CD" w14:textId="77777777" w:rsidR="00587917" w:rsidRPr="00113D9F" w:rsidRDefault="00C648CF" w:rsidP="007234F4">
      <w:pPr>
        <w:pStyle w:val="Point1"/>
        <w:rPr>
          <w:noProof/>
        </w:rPr>
      </w:pPr>
      <w:r>
        <w:rPr>
          <w:noProof/>
        </w:rPr>
        <w:t>(b)</w:t>
      </w:r>
      <w:r>
        <w:rPr>
          <w:noProof/>
        </w:rPr>
        <w:tab/>
        <w:t>t</w:t>
      </w:r>
      <w:r w:rsidR="00587917" w:rsidRPr="00113D9F">
        <w:rPr>
          <w:noProof/>
        </w:rPr>
        <w:t xml:space="preserve">he use in products made available on the market of substances and mixtures of Union origin derived from sustainable carbon sources. </w:t>
      </w:r>
    </w:p>
    <w:p w14:paraId="78E6FF26" w14:textId="77777777" w:rsidR="00587917" w:rsidRPr="00113D9F" w:rsidRDefault="00587917" w:rsidP="00587917">
      <w:pPr>
        <w:pStyle w:val="Text1"/>
        <w:rPr>
          <w:noProof/>
        </w:rPr>
      </w:pPr>
      <w:r w:rsidRPr="00113D9F">
        <w:rPr>
          <w:noProof/>
        </w:rPr>
        <w:t xml:space="preserve">In the preparation of the delegated acts, the Commission should take into account:  </w:t>
      </w:r>
    </w:p>
    <w:p w14:paraId="50D73F0D" w14:textId="77777777" w:rsidR="00587917" w:rsidRPr="00113D9F" w:rsidRDefault="00587917" w:rsidP="007234F4">
      <w:pPr>
        <w:pStyle w:val="Point1"/>
        <w:rPr>
          <w:noProof/>
        </w:rPr>
      </w:pPr>
      <w:r>
        <w:rPr>
          <w:noProof/>
        </w:rPr>
        <w:t>(a)</w:t>
      </w:r>
      <w:r>
        <w:rPr>
          <w:noProof/>
        </w:rPr>
        <w:tab/>
      </w:r>
      <w:r w:rsidRPr="00113D9F">
        <w:rPr>
          <w:noProof/>
        </w:rPr>
        <w:t>the contribution of the requirements to the Union’s objective of economic security, resilience and climate neutrality set out in Regulation (EU) 2021/1119;</w:t>
      </w:r>
    </w:p>
    <w:p w14:paraId="6C9AC570" w14:textId="77777777" w:rsidR="00587917" w:rsidRPr="00113D9F" w:rsidRDefault="00587917" w:rsidP="007234F4">
      <w:pPr>
        <w:pStyle w:val="Point1"/>
        <w:rPr>
          <w:noProof/>
        </w:rPr>
      </w:pPr>
      <w:r>
        <w:rPr>
          <w:noProof/>
        </w:rPr>
        <w:t>(b)</w:t>
      </w:r>
      <w:r>
        <w:rPr>
          <w:noProof/>
        </w:rPr>
        <w:tab/>
      </w:r>
      <w:r w:rsidRPr="00113D9F">
        <w:rPr>
          <w:noProof/>
        </w:rPr>
        <w:t>the market situation at Union level, as identified through monitoring activities, including declining Union market shares and Union industry producing at below capacity</w:t>
      </w:r>
    </w:p>
    <w:p w14:paraId="0895533A" w14:textId="77777777" w:rsidR="009029A0" w:rsidRPr="00B50E3C" w:rsidRDefault="00587917" w:rsidP="007234F4">
      <w:pPr>
        <w:pStyle w:val="Point1"/>
        <w:rPr>
          <w:noProof/>
        </w:rPr>
      </w:pPr>
      <w:r>
        <w:rPr>
          <w:noProof/>
        </w:rPr>
        <w:t>(c)</w:t>
      </w:r>
      <w:r>
        <w:rPr>
          <w:noProof/>
        </w:rPr>
        <w:tab/>
      </w:r>
      <w:r w:rsidRPr="00113D9F">
        <w:rPr>
          <w:noProof/>
        </w:rPr>
        <w:t xml:space="preserve">the impact of setting such measures on the overall competitiveness and </w:t>
      </w:r>
      <w:r w:rsidRPr="00B50E3C">
        <w:rPr>
          <w:noProof/>
        </w:rPr>
        <w:t>greenhouse gas emissions of the relevant sectors, as well as on costs for downstream consumers and small and medium enterprises and public budgets.</w:t>
      </w:r>
    </w:p>
    <w:p w14:paraId="63A67D28" w14:textId="77777777" w:rsidR="00083654" w:rsidRPr="00B50E3C" w:rsidRDefault="00083654" w:rsidP="00C648CF">
      <w:pPr>
        <w:pStyle w:val="ManualNumPar1"/>
        <w:rPr>
          <w:noProof/>
        </w:rPr>
      </w:pPr>
      <w:r>
        <w:rPr>
          <w:noProof/>
        </w:rPr>
        <w:t>2.</w:t>
      </w:r>
      <w:r>
        <w:rPr>
          <w:noProof/>
        </w:rPr>
        <w:tab/>
      </w:r>
      <w:r w:rsidRPr="00B50E3C">
        <w:rPr>
          <w:noProof/>
        </w:rPr>
        <w:t xml:space="preserve">The Commission </w:t>
      </w:r>
      <w:r w:rsidR="00F625E1" w:rsidRPr="00B50E3C">
        <w:rPr>
          <w:noProof/>
        </w:rPr>
        <w:t xml:space="preserve">is empowered to </w:t>
      </w:r>
      <w:r w:rsidRPr="00B50E3C">
        <w:rPr>
          <w:noProof/>
        </w:rPr>
        <w:t xml:space="preserve">adopt delegated acts in accordance with Article </w:t>
      </w:r>
      <w:r w:rsidR="00C01944">
        <w:rPr>
          <w:noProof/>
        </w:rPr>
        <w:t>30</w:t>
      </w:r>
      <w:r w:rsidR="00C01944" w:rsidRPr="00B50E3C">
        <w:rPr>
          <w:noProof/>
        </w:rPr>
        <w:t xml:space="preserve"> </w:t>
      </w:r>
      <w:r w:rsidR="0040116C" w:rsidRPr="00B50E3C">
        <w:rPr>
          <w:noProof/>
        </w:rPr>
        <w:t xml:space="preserve">in order to amend Annex II or Annex III concerning the Union origin requirements, low-carbon requirements or both set out </w:t>
      </w:r>
      <w:r w:rsidRPr="00B50E3C">
        <w:rPr>
          <w:noProof/>
        </w:rPr>
        <w:t>for products referred to therein, taking into account the following criteria:</w:t>
      </w:r>
    </w:p>
    <w:p w14:paraId="051C645E" w14:textId="77777777" w:rsidR="00083654" w:rsidRPr="00B50E3C" w:rsidRDefault="00083654" w:rsidP="007234F4">
      <w:pPr>
        <w:pStyle w:val="Point1"/>
        <w:rPr>
          <w:noProof/>
        </w:rPr>
      </w:pPr>
      <w:r>
        <w:rPr>
          <w:noProof/>
        </w:rPr>
        <w:t>(a)</w:t>
      </w:r>
      <w:r>
        <w:rPr>
          <w:noProof/>
        </w:rPr>
        <w:tab/>
      </w:r>
      <w:r w:rsidRPr="00B50E3C">
        <w:rPr>
          <w:noProof/>
        </w:rPr>
        <w:t>the market situation at Union level, as identified through monitoring activities, including declining Union market shares and Union industry producing below capacity;</w:t>
      </w:r>
    </w:p>
    <w:p w14:paraId="2D430ECA" w14:textId="77777777" w:rsidR="00083654" w:rsidRPr="00B50E3C" w:rsidRDefault="00083654" w:rsidP="007234F4">
      <w:pPr>
        <w:pStyle w:val="Point1"/>
        <w:rPr>
          <w:noProof/>
        </w:rPr>
      </w:pPr>
      <w:r>
        <w:rPr>
          <w:noProof/>
        </w:rPr>
        <w:t>(b)</w:t>
      </w:r>
      <w:r>
        <w:rPr>
          <w:noProof/>
        </w:rPr>
        <w:tab/>
      </w:r>
      <w:r w:rsidRPr="00B50E3C">
        <w:rPr>
          <w:noProof/>
        </w:rPr>
        <w:t>technological progress;</w:t>
      </w:r>
    </w:p>
    <w:p w14:paraId="009B2E68" w14:textId="77777777" w:rsidR="00083654" w:rsidRPr="00B50E3C" w:rsidRDefault="00083654" w:rsidP="007234F4">
      <w:pPr>
        <w:pStyle w:val="Point1"/>
        <w:rPr>
          <w:noProof/>
        </w:rPr>
      </w:pPr>
      <w:r>
        <w:rPr>
          <w:noProof/>
        </w:rPr>
        <w:t>(c)</w:t>
      </w:r>
      <w:r>
        <w:rPr>
          <w:noProof/>
        </w:rPr>
        <w:tab/>
      </w:r>
      <w:r w:rsidRPr="00B50E3C">
        <w:rPr>
          <w:noProof/>
        </w:rPr>
        <w:t>the contribution of the requirements to the Union’s objective of public order, economic security, resilience and climate neutrality set out in Regulation (EU) 2021/1119;</w:t>
      </w:r>
    </w:p>
    <w:p w14:paraId="5C500925" w14:textId="77777777" w:rsidR="00083654" w:rsidRPr="00B50E3C" w:rsidRDefault="00083654" w:rsidP="007234F4">
      <w:pPr>
        <w:pStyle w:val="Point1"/>
        <w:rPr>
          <w:noProof/>
        </w:rPr>
      </w:pPr>
      <w:r>
        <w:rPr>
          <w:noProof/>
        </w:rPr>
        <w:t>(d)</w:t>
      </w:r>
      <w:r>
        <w:rPr>
          <w:noProof/>
        </w:rPr>
        <w:tab/>
      </w:r>
      <w:r w:rsidRPr="00B50E3C">
        <w:rPr>
          <w:noProof/>
        </w:rPr>
        <w:t>demand for the relevant products or technologies driven by the downstream sectors’ growth;</w:t>
      </w:r>
    </w:p>
    <w:p w14:paraId="057BC795" w14:textId="77777777" w:rsidR="00083654" w:rsidRPr="00B50E3C" w:rsidRDefault="00083654" w:rsidP="007234F4">
      <w:pPr>
        <w:pStyle w:val="Point1"/>
        <w:rPr>
          <w:noProof/>
        </w:rPr>
      </w:pPr>
      <w:r>
        <w:rPr>
          <w:noProof/>
        </w:rPr>
        <w:t>(e)</w:t>
      </w:r>
      <w:r>
        <w:rPr>
          <w:noProof/>
        </w:rPr>
        <w:tab/>
      </w:r>
      <w:r w:rsidRPr="00B50E3C">
        <w:rPr>
          <w:noProof/>
        </w:rPr>
        <w:t xml:space="preserve">share of product or technology in total production value of the downstream sector; </w:t>
      </w:r>
    </w:p>
    <w:p w14:paraId="78A456B9" w14:textId="77777777" w:rsidR="00F33FF2" w:rsidRPr="00B50E3C" w:rsidRDefault="00083654" w:rsidP="007234F4">
      <w:pPr>
        <w:pStyle w:val="Point1"/>
        <w:rPr>
          <w:noProof/>
        </w:rPr>
      </w:pPr>
      <w:r>
        <w:rPr>
          <w:noProof/>
        </w:rPr>
        <w:t>(f)</w:t>
      </w:r>
      <w:r>
        <w:rPr>
          <w:noProof/>
        </w:rPr>
        <w:tab/>
      </w:r>
      <w:r w:rsidRPr="00B50E3C">
        <w:rPr>
          <w:noProof/>
        </w:rPr>
        <w:t>the impact of setting Union origin requirements, low-carbon requirements, or both on the overall competitiveness and greenhouse gas emissions of the relevant sectors</w:t>
      </w:r>
      <w:r w:rsidR="00D279D8" w:rsidRPr="00B50E3C">
        <w:rPr>
          <w:noProof/>
        </w:rPr>
        <w:t xml:space="preserve">, </w:t>
      </w:r>
      <w:r w:rsidR="00211B3A" w:rsidRPr="00B50E3C">
        <w:rPr>
          <w:noProof/>
        </w:rPr>
        <w:t>including</w:t>
      </w:r>
      <w:r w:rsidR="00D279D8" w:rsidRPr="00B50E3C">
        <w:rPr>
          <w:noProof/>
        </w:rPr>
        <w:t xml:space="preserve"> on costs for downstream consumers and small and medium enterprises and public budgets</w:t>
      </w:r>
      <w:r w:rsidR="007156F5" w:rsidRPr="00B50E3C">
        <w:rPr>
          <w:noProof/>
        </w:rPr>
        <w:t>.</w:t>
      </w:r>
    </w:p>
    <w:p w14:paraId="539FEEDE" w14:textId="77777777" w:rsidR="007D5A30" w:rsidRDefault="00083654" w:rsidP="00C648CF">
      <w:pPr>
        <w:pStyle w:val="ManualNumPar1"/>
        <w:rPr>
          <w:noProof/>
        </w:rPr>
      </w:pPr>
      <w:r>
        <w:rPr>
          <w:noProof/>
        </w:rPr>
        <w:t>3.</w:t>
      </w:r>
      <w:r>
        <w:rPr>
          <w:noProof/>
        </w:rPr>
        <w:tab/>
      </w:r>
      <w:r w:rsidRPr="00B50E3C">
        <w:rPr>
          <w:noProof/>
        </w:rPr>
        <w:t xml:space="preserve">The Commission </w:t>
      </w:r>
      <w:r w:rsidR="00050C16" w:rsidRPr="00B50E3C">
        <w:rPr>
          <w:noProof/>
        </w:rPr>
        <w:t>is empowered to adopt implementing acts i</w:t>
      </w:r>
      <w:r w:rsidR="00050C16" w:rsidRPr="00B50E3C">
        <w:rPr>
          <w:noProof/>
          <w:lang w:val="en-IE"/>
        </w:rPr>
        <w:t xml:space="preserve">n accordance with Article </w:t>
      </w:r>
      <w:r w:rsidR="003573F8">
        <w:rPr>
          <w:noProof/>
          <w:lang w:val="en-IE"/>
        </w:rPr>
        <w:t>31</w:t>
      </w:r>
      <w:r w:rsidR="00050C16" w:rsidRPr="00B50E3C">
        <w:rPr>
          <w:noProof/>
          <w:lang w:val="en-IE"/>
        </w:rPr>
        <w:t>(2)</w:t>
      </w:r>
      <w:r w:rsidR="00050C16" w:rsidRPr="00B50E3C">
        <w:rPr>
          <w:noProof/>
        </w:rPr>
        <w:t xml:space="preserve"> to specify</w:t>
      </w:r>
      <w:r w:rsidR="00050C16">
        <w:rPr>
          <w:noProof/>
        </w:rPr>
        <w:t xml:space="preserve"> </w:t>
      </w:r>
      <w:r w:rsidRPr="00AD21FF">
        <w:rPr>
          <w:noProof/>
        </w:rPr>
        <w:t xml:space="preserve">the method for calculating the proportion of </w:t>
      </w:r>
      <w:r w:rsidR="00066053">
        <w:rPr>
          <w:noProof/>
        </w:rPr>
        <w:t>volume</w:t>
      </w:r>
      <w:r w:rsidR="00DE387A">
        <w:rPr>
          <w:noProof/>
        </w:rPr>
        <w:t xml:space="preserve"> of products and components</w:t>
      </w:r>
      <w:r w:rsidR="00066053" w:rsidRPr="00AD21FF">
        <w:rPr>
          <w:noProof/>
        </w:rPr>
        <w:t xml:space="preserve"> </w:t>
      </w:r>
      <w:r w:rsidRPr="00AD21FF">
        <w:rPr>
          <w:noProof/>
        </w:rPr>
        <w:t>originating in the Union</w:t>
      </w:r>
      <w:r w:rsidR="004410D6">
        <w:rPr>
          <w:noProof/>
        </w:rPr>
        <w:t xml:space="preserve"> in accordance with </w:t>
      </w:r>
      <w:r w:rsidR="00B9012E" w:rsidRPr="00AD21FF">
        <w:rPr>
          <w:noProof/>
        </w:rPr>
        <w:t>Regulation (EU) No 952/2013</w:t>
      </w:r>
      <w:r w:rsidR="00031766">
        <w:rPr>
          <w:noProof/>
        </w:rPr>
        <w:t xml:space="preserve">, and where appropriate, </w:t>
      </w:r>
      <w:r w:rsidR="005E0E35">
        <w:rPr>
          <w:noProof/>
        </w:rPr>
        <w:t xml:space="preserve">to </w:t>
      </w:r>
      <w:r w:rsidR="00031766">
        <w:rPr>
          <w:noProof/>
        </w:rPr>
        <w:t xml:space="preserve">provide for the use of </w:t>
      </w:r>
      <w:r w:rsidR="005E0E35">
        <w:rPr>
          <w:noProof/>
        </w:rPr>
        <w:t xml:space="preserve">standardised templates for certificates of compliance. </w:t>
      </w:r>
    </w:p>
    <w:p w14:paraId="399B97A3" w14:textId="77777777" w:rsidR="009421F7" w:rsidRPr="009421F7" w:rsidRDefault="009421F7" w:rsidP="00F6687A">
      <w:pPr>
        <w:pStyle w:val="Text1"/>
        <w:rPr>
          <w:noProof/>
          <w:lang w:val="en-IE"/>
        </w:rPr>
      </w:pPr>
      <w:r>
        <w:rPr>
          <w:noProof/>
        </w:rPr>
        <w:t xml:space="preserve">Implementing acts referred to in subparagraph 1 may also establish </w:t>
      </w:r>
      <w:r w:rsidRPr="009421F7">
        <w:rPr>
          <w:noProof/>
          <w:lang w:val="en-IE"/>
        </w:rPr>
        <w:t>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p w14:paraId="21150BA7" w14:textId="77777777" w:rsidR="005551D5" w:rsidRPr="00AD21FF" w:rsidRDefault="005551D5" w:rsidP="00D5018D">
      <w:pPr>
        <w:rPr>
          <w:noProof/>
        </w:rPr>
      </w:pPr>
    </w:p>
    <w:p w14:paraId="3F6CCB6D" w14:textId="77777777" w:rsidR="00290640" w:rsidRPr="00AD21FF" w:rsidRDefault="00652703" w:rsidP="00290640">
      <w:pPr>
        <w:pStyle w:val="ChapterTitle"/>
        <w:rPr>
          <w:noProof/>
        </w:rPr>
      </w:pPr>
      <w:r w:rsidRPr="00AD21FF">
        <w:rPr>
          <w:b w:val="0"/>
          <w:bCs/>
          <w:noProof/>
        </w:rPr>
        <w:t xml:space="preserve">CHAPTER </w:t>
      </w:r>
      <w:r w:rsidR="007D3084">
        <w:rPr>
          <w:b w:val="0"/>
          <w:bCs/>
          <w:noProof/>
        </w:rPr>
        <w:t>IV</w:t>
      </w:r>
      <w:r w:rsidRPr="00AD21FF">
        <w:rPr>
          <w:noProof/>
        </w:rPr>
        <w:t xml:space="preserve"> </w:t>
      </w:r>
      <w:r w:rsidRPr="00AD21FF">
        <w:rPr>
          <w:noProof/>
        </w:rPr>
        <w:br/>
        <w:t>FOREIGN INVESTMENT CONTRIBUTION</w:t>
      </w:r>
    </w:p>
    <w:p w14:paraId="4BC4F28F" w14:textId="77777777" w:rsidR="006D311E" w:rsidRPr="00AD21FF" w:rsidRDefault="006D311E" w:rsidP="00B73F35">
      <w:pPr>
        <w:pStyle w:val="Titrearticle"/>
        <w:rPr>
          <w:noProof/>
        </w:rPr>
      </w:pPr>
      <w:r w:rsidRPr="00AD21FF">
        <w:rPr>
          <w:noProof/>
        </w:rPr>
        <w:t xml:space="preserve">Article </w:t>
      </w:r>
      <w:r w:rsidR="00CE33D5">
        <w:rPr>
          <w:noProof/>
        </w:rPr>
        <w:t>1</w:t>
      </w:r>
      <w:r w:rsidR="009E02E0">
        <w:rPr>
          <w:noProof/>
        </w:rPr>
        <w:t>7</w:t>
      </w:r>
      <w:r w:rsidRPr="00AD21FF">
        <w:rPr>
          <w:noProof/>
        </w:rPr>
        <w:br/>
      </w:r>
      <w:r w:rsidRPr="00AD21FF">
        <w:rPr>
          <w:b/>
          <w:bCs/>
          <w:i w:val="0"/>
          <w:iCs/>
          <w:noProof/>
        </w:rPr>
        <w:t xml:space="preserve">Scope </w:t>
      </w:r>
    </w:p>
    <w:p w14:paraId="5D9A293F" w14:textId="77777777" w:rsidR="001025B7" w:rsidRPr="00100BB1" w:rsidRDefault="001025B7" w:rsidP="00C648CF">
      <w:pPr>
        <w:pStyle w:val="ManualNumPar1"/>
        <w:rPr>
          <w:noProof/>
        </w:rPr>
      </w:pPr>
      <w:r>
        <w:rPr>
          <w:noProof/>
        </w:rPr>
        <w:t>1.</w:t>
      </w:r>
      <w:r>
        <w:rPr>
          <w:noProof/>
        </w:rPr>
        <w:tab/>
        <w:t>This C</w:t>
      </w:r>
      <w:r w:rsidRPr="00100BB1">
        <w:rPr>
          <w:noProof/>
        </w:rPr>
        <w:t>hapter shall apply to foreign direct investments</w:t>
      </w:r>
      <w:r>
        <w:rPr>
          <w:noProof/>
        </w:rPr>
        <w:t xml:space="preserve"> exceeding</w:t>
      </w:r>
      <w:r w:rsidRPr="00100BB1">
        <w:rPr>
          <w:noProof/>
        </w:rPr>
        <w:t xml:space="preserve"> a value of EUR 100 million in </w:t>
      </w:r>
      <w:r>
        <w:rPr>
          <w:noProof/>
        </w:rPr>
        <w:t>the</w:t>
      </w:r>
      <w:r w:rsidRPr="00100BB1">
        <w:rPr>
          <w:noProof/>
        </w:rPr>
        <w:t xml:space="preserve"> emerging strategic manufacturing sectors </w:t>
      </w:r>
      <w:r>
        <w:rPr>
          <w:noProof/>
        </w:rPr>
        <w:t>referred to in paragraph 2,</w:t>
      </w:r>
      <w:r w:rsidRPr="00100BB1">
        <w:rPr>
          <w:noProof/>
        </w:rPr>
        <w:t xml:space="preserve"> </w:t>
      </w:r>
      <w:r>
        <w:rPr>
          <w:noProof/>
        </w:rPr>
        <w:t>where</w:t>
      </w:r>
      <w:r w:rsidRPr="00100BB1">
        <w:rPr>
          <w:noProof/>
        </w:rPr>
        <w:t xml:space="preserve"> more than 40 % of the global manufacturing capacity is held by the third country of which the foreign investor is a national or undertaking.</w:t>
      </w:r>
    </w:p>
    <w:p w14:paraId="7E2D32CB" w14:textId="77777777" w:rsidR="001025B7" w:rsidRPr="00B50E3C" w:rsidRDefault="001025B7" w:rsidP="001025B7">
      <w:pPr>
        <w:pStyle w:val="Text1"/>
        <w:rPr>
          <w:noProof/>
        </w:rPr>
      </w:pPr>
      <w:r w:rsidRPr="00AD21FF">
        <w:rPr>
          <w:noProof/>
        </w:rPr>
        <w:t xml:space="preserve">Such investments shall not be implemented unless explicitly approved by the </w:t>
      </w:r>
      <w:r w:rsidRPr="0036120D">
        <w:rPr>
          <w:noProof/>
        </w:rPr>
        <w:t>Investment Authority or the European Commission,</w:t>
      </w:r>
      <w:r>
        <w:rPr>
          <w:noProof/>
        </w:rPr>
        <w:t xml:space="preserve"> </w:t>
      </w:r>
      <w:r w:rsidRPr="00B50E3C">
        <w:rPr>
          <w:noProof/>
        </w:rPr>
        <w:t xml:space="preserve">referred </w:t>
      </w:r>
      <w:r w:rsidRPr="00E73D20">
        <w:rPr>
          <w:noProof/>
        </w:rPr>
        <w:t>to in Article 1</w:t>
      </w:r>
      <w:r w:rsidR="00FD05EA">
        <w:rPr>
          <w:noProof/>
        </w:rPr>
        <w:t>9</w:t>
      </w:r>
      <w:r w:rsidRPr="00E73D20">
        <w:rPr>
          <w:noProof/>
        </w:rPr>
        <w:t>, in</w:t>
      </w:r>
      <w:r w:rsidRPr="00B50E3C">
        <w:rPr>
          <w:noProof/>
        </w:rPr>
        <w:t xml:space="preserve"> accordance with the provisions laid down in this Chapter.</w:t>
      </w:r>
    </w:p>
    <w:p w14:paraId="27029EF1" w14:textId="77777777" w:rsidR="008C44C4" w:rsidRPr="00B50E3C" w:rsidRDefault="008C44C4" w:rsidP="008C44C4">
      <w:pPr>
        <w:pStyle w:val="ManualNumPar1"/>
        <w:rPr>
          <w:noProof/>
        </w:rPr>
      </w:pPr>
      <w:r>
        <w:rPr>
          <w:noProof/>
        </w:rPr>
        <w:t>2.</w:t>
      </w:r>
      <w:r>
        <w:rPr>
          <w:noProof/>
        </w:rPr>
        <w:tab/>
      </w:r>
      <w:r w:rsidRPr="00B50E3C">
        <w:rPr>
          <w:noProof/>
        </w:rPr>
        <w:t>This chapter shall apply to foreign direct investment in manufacturing in any of the following emerging strategic sectors:</w:t>
      </w:r>
    </w:p>
    <w:p w14:paraId="2A984D82" w14:textId="77777777" w:rsidR="008C44C4" w:rsidRPr="00B50E3C" w:rsidRDefault="008C44C4" w:rsidP="007234F4">
      <w:pPr>
        <w:pStyle w:val="Point1"/>
        <w:rPr>
          <w:noProof/>
        </w:rPr>
      </w:pPr>
      <w:r>
        <w:rPr>
          <w:noProof/>
        </w:rPr>
        <w:t>(a)</w:t>
      </w:r>
      <w:r>
        <w:rPr>
          <w:noProof/>
        </w:rPr>
        <w:tab/>
      </w:r>
      <w:r w:rsidRPr="00B50E3C">
        <w:rPr>
          <w:noProof/>
        </w:rPr>
        <w:t>battery technologies and its value chain for battery energy storage systems;</w:t>
      </w:r>
    </w:p>
    <w:p w14:paraId="2FE2326B" w14:textId="77777777" w:rsidR="008C44C4" w:rsidRPr="00AD21FF" w:rsidRDefault="008C44C4" w:rsidP="007234F4">
      <w:pPr>
        <w:pStyle w:val="Point1"/>
        <w:rPr>
          <w:noProof/>
        </w:rPr>
      </w:pPr>
      <w:r>
        <w:rPr>
          <w:noProof/>
        </w:rPr>
        <w:t>(b)</w:t>
      </w:r>
      <w:r>
        <w:rPr>
          <w:noProof/>
        </w:rPr>
        <w:tab/>
      </w:r>
      <w:r w:rsidRPr="00B50E3C">
        <w:rPr>
          <w:noProof/>
        </w:rPr>
        <w:t>pure electric vehicles, off-vehicle charging hybrid electric vehicles and fuel-cell electric vehicles, including components related to electrification</w:t>
      </w:r>
      <w:r w:rsidRPr="00AD21FF">
        <w:rPr>
          <w:noProof/>
        </w:rPr>
        <w:t xml:space="preserve"> and digitalisation;</w:t>
      </w:r>
    </w:p>
    <w:p w14:paraId="13B50392" w14:textId="77777777" w:rsidR="008C44C4" w:rsidRPr="00AD21FF" w:rsidRDefault="008C44C4" w:rsidP="007234F4">
      <w:pPr>
        <w:pStyle w:val="Point1"/>
        <w:rPr>
          <w:noProof/>
        </w:rPr>
      </w:pPr>
      <w:r>
        <w:rPr>
          <w:noProof/>
        </w:rPr>
        <w:t>(c)</w:t>
      </w:r>
      <w:r>
        <w:rPr>
          <w:noProof/>
        </w:rPr>
        <w:tab/>
        <w:t>s</w:t>
      </w:r>
      <w:r w:rsidRPr="00AD21FF">
        <w:rPr>
          <w:noProof/>
        </w:rPr>
        <w:t>olar PV technologies;</w:t>
      </w:r>
    </w:p>
    <w:p w14:paraId="2256C392" w14:textId="77777777" w:rsidR="008C44C4" w:rsidRDefault="008C44C4" w:rsidP="007234F4">
      <w:pPr>
        <w:pStyle w:val="Point1"/>
        <w:rPr>
          <w:noProof/>
        </w:rPr>
      </w:pPr>
      <w:r>
        <w:rPr>
          <w:noProof/>
        </w:rPr>
        <w:t>(d)</w:t>
      </w:r>
      <w:r>
        <w:rPr>
          <w:noProof/>
        </w:rPr>
        <w:tab/>
      </w:r>
      <w:r w:rsidRPr="00BD6F10">
        <w:rPr>
          <w:noProof/>
        </w:rPr>
        <w:t>extraction, processing and recycling of critical raw materials.</w:t>
      </w:r>
    </w:p>
    <w:p w14:paraId="75996F1C" w14:textId="77777777" w:rsidR="00A95E26" w:rsidRPr="00AD21FF" w:rsidRDefault="00A95E26" w:rsidP="00A95E26">
      <w:pPr>
        <w:pStyle w:val="ManualNumPar1"/>
        <w:rPr>
          <w:noProof/>
        </w:rPr>
      </w:pPr>
      <w:r>
        <w:rPr>
          <w:noProof/>
        </w:rPr>
        <w:t>3.</w:t>
      </w:r>
      <w:r>
        <w:rPr>
          <w:noProof/>
        </w:rPr>
        <w:tab/>
      </w:r>
      <w:r w:rsidRPr="00AD21FF">
        <w:rPr>
          <w:noProof/>
        </w:rPr>
        <w:t xml:space="preserve">This </w:t>
      </w:r>
      <w:r>
        <w:rPr>
          <w:noProof/>
        </w:rPr>
        <w:t>C</w:t>
      </w:r>
      <w:r w:rsidRPr="00AD21FF">
        <w:rPr>
          <w:noProof/>
        </w:rPr>
        <w:t xml:space="preserve">hapter shall not apply to: </w:t>
      </w:r>
    </w:p>
    <w:p w14:paraId="1A48726C" w14:textId="77777777" w:rsidR="006D311E" w:rsidRPr="00AD21FF" w:rsidRDefault="006D311E" w:rsidP="007234F4">
      <w:pPr>
        <w:pStyle w:val="Point1"/>
        <w:rPr>
          <w:noProof/>
        </w:rPr>
      </w:pPr>
      <w:r>
        <w:rPr>
          <w:noProof/>
        </w:rPr>
        <w:t>(a)</w:t>
      </w:r>
      <w:r>
        <w:rPr>
          <w:noProof/>
        </w:rPr>
        <w:tab/>
      </w:r>
      <w:r w:rsidRPr="00AD21FF">
        <w:rPr>
          <w:noProof/>
        </w:rPr>
        <w:t>investors and investments covered by</w:t>
      </w:r>
      <w:r w:rsidR="00476098">
        <w:rPr>
          <w:noProof/>
        </w:rPr>
        <w:t xml:space="preserve"> economic partnership and</w:t>
      </w:r>
      <w:r w:rsidRPr="00AD21FF">
        <w:rPr>
          <w:noProof/>
        </w:rPr>
        <w:t xml:space="preserve"> free trade agreements in force or provisionally applied by the Union to the extent relevant commitments have been made under those agreements</w:t>
      </w:r>
      <w:r w:rsidR="000138BB">
        <w:rPr>
          <w:noProof/>
        </w:rPr>
        <w:t>,</w:t>
      </w:r>
      <w:r w:rsidR="000138BB" w:rsidRPr="000138BB">
        <w:rPr>
          <w:noProof/>
        </w:rPr>
        <w:t xml:space="preserve"> </w:t>
      </w:r>
      <w:r w:rsidR="000138BB" w:rsidRPr="0093163E">
        <w:rPr>
          <w:noProof/>
        </w:rPr>
        <w:t>including investments made by the Union subsidiaries of such foreign investors;</w:t>
      </w:r>
      <w:r w:rsidRPr="00AD21FF">
        <w:rPr>
          <w:noProof/>
        </w:rPr>
        <w:t xml:space="preserve"> </w:t>
      </w:r>
    </w:p>
    <w:p w14:paraId="685A466A" w14:textId="77777777" w:rsidR="006D311E" w:rsidRPr="00AD21FF" w:rsidRDefault="006D311E" w:rsidP="007234F4">
      <w:pPr>
        <w:pStyle w:val="Point1"/>
        <w:rPr>
          <w:noProof/>
        </w:rPr>
      </w:pPr>
      <w:r>
        <w:rPr>
          <w:noProof/>
        </w:rPr>
        <w:t>(b)</w:t>
      </w:r>
      <w:r>
        <w:rPr>
          <w:noProof/>
        </w:rPr>
        <w:tab/>
      </w:r>
      <w:r w:rsidRPr="00AD21FF">
        <w:rPr>
          <w:noProof/>
        </w:rPr>
        <w:t>investments targeted at p</w:t>
      </w:r>
      <w:r w:rsidR="00DB6981">
        <w:rPr>
          <w:noProof/>
        </w:rPr>
        <w:t>roviding</w:t>
      </w:r>
      <w:r w:rsidRPr="00AD21FF">
        <w:rPr>
          <w:noProof/>
        </w:rPr>
        <w:t xml:space="preserve"> services</w:t>
      </w:r>
      <w:r w:rsidR="00FE3B66">
        <w:rPr>
          <w:noProof/>
        </w:rPr>
        <w:t>,</w:t>
      </w:r>
      <w:r w:rsidR="00FF6027">
        <w:rPr>
          <w:noProof/>
        </w:rPr>
        <w:t xml:space="preserve"> </w:t>
      </w:r>
      <w:r w:rsidR="00E87DD8" w:rsidRPr="0093163E">
        <w:rPr>
          <w:noProof/>
        </w:rPr>
        <w:t>including investments made by the Union subsidiaries of investors</w:t>
      </w:r>
      <w:r w:rsidR="00B15CF0">
        <w:rPr>
          <w:noProof/>
        </w:rPr>
        <w:t>;</w:t>
      </w:r>
    </w:p>
    <w:p w14:paraId="6A4C3EA6" w14:textId="77777777" w:rsidR="00B15CF0" w:rsidRPr="00AD21FF" w:rsidRDefault="00B15CF0" w:rsidP="007234F4">
      <w:pPr>
        <w:pStyle w:val="Point1"/>
        <w:rPr>
          <w:noProof/>
        </w:rPr>
      </w:pPr>
      <w:r>
        <w:rPr>
          <w:noProof/>
        </w:rPr>
        <w:t>(c)</w:t>
      </w:r>
      <w:r>
        <w:rPr>
          <w:noProof/>
        </w:rPr>
        <w:tab/>
        <w:t>portfolio investments.</w:t>
      </w:r>
    </w:p>
    <w:p w14:paraId="0A0C66F6" w14:textId="77777777" w:rsidR="006D311E" w:rsidRPr="00AD21FF" w:rsidRDefault="006D311E" w:rsidP="006D311E">
      <w:pPr>
        <w:pStyle w:val="Titrearticle"/>
        <w:rPr>
          <w:b/>
          <w:bCs/>
          <w:i w:val="0"/>
          <w:iCs/>
          <w:noProof/>
        </w:rPr>
      </w:pPr>
      <w:r w:rsidRPr="00AD21FF">
        <w:rPr>
          <w:noProof/>
        </w:rPr>
        <w:t xml:space="preserve">Article </w:t>
      </w:r>
      <w:r w:rsidR="001A2F9F">
        <w:rPr>
          <w:noProof/>
        </w:rPr>
        <w:t>1</w:t>
      </w:r>
      <w:r w:rsidR="009E02E0">
        <w:rPr>
          <w:noProof/>
        </w:rPr>
        <w:t>8</w:t>
      </w:r>
      <w:r w:rsidRPr="00AD21FF">
        <w:rPr>
          <w:noProof/>
        </w:rPr>
        <w:br/>
      </w:r>
      <w:r w:rsidRPr="00AD21FF">
        <w:rPr>
          <w:b/>
          <w:bCs/>
          <w:i w:val="0"/>
          <w:iCs/>
          <w:noProof/>
        </w:rPr>
        <w:t>Value added foreign direct investment criteria</w:t>
      </w:r>
    </w:p>
    <w:p w14:paraId="18D69A20" w14:textId="77777777" w:rsidR="006D311E" w:rsidRPr="00AD21FF" w:rsidRDefault="006D311E" w:rsidP="00C648CF">
      <w:pPr>
        <w:pStyle w:val="ManualNumPar1"/>
        <w:rPr>
          <w:noProof/>
        </w:rPr>
      </w:pPr>
      <w:r>
        <w:rPr>
          <w:noProof/>
        </w:rPr>
        <w:t>1.</w:t>
      </w:r>
      <w:r>
        <w:rPr>
          <w:noProof/>
        </w:rPr>
        <w:tab/>
      </w:r>
      <w:r w:rsidRPr="00AD21FF">
        <w:rPr>
          <w:noProof/>
        </w:rPr>
        <w:t>Member States shall, by [</w:t>
      </w:r>
      <w:r w:rsidR="00604546" w:rsidRPr="00AD21FF">
        <w:rPr>
          <w:noProof/>
        </w:rPr>
        <w:t>OP</w:t>
      </w:r>
      <w:r w:rsidRPr="00AD21FF">
        <w:rPr>
          <w:noProof/>
        </w:rPr>
        <w:t xml:space="preserve"> insert date: 1 month after entry into force of this Regulation], designate an </w:t>
      </w:r>
      <w:r w:rsidR="00C9536C" w:rsidRPr="00AD21FF">
        <w:rPr>
          <w:noProof/>
        </w:rPr>
        <w:t xml:space="preserve">Investment Authority </w:t>
      </w:r>
      <w:r w:rsidR="00DF7E25">
        <w:rPr>
          <w:noProof/>
        </w:rPr>
        <w:t xml:space="preserve">which shall perform the review of foreign direct investment and </w:t>
      </w:r>
      <w:r w:rsidRPr="00AD21FF">
        <w:rPr>
          <w:noProof/>
        </w:rPr>
        <w:t>implement the provisions of this Chapter.</w:t>
      </w:r>
    </w:p>
    <w:p w14:paraId="7BE37E49" w14:textId="77777777" w:rsidR="006D311E" w:rsidRPr="00AD21FF" w:rsidRDefault="006D311E" w:rsidP="006D311E">
      <w:pPr>
        <w:pStyle w:val="Text1"/>
        <w:rPr>
          <w:noProof/>
        </w:rPr>
      </w:pPr>
      <w:r w:rsidRPr="00AD21FF">
        <w:rPr>
          <w:noProof/>
        </w:rPr>
        <w:t xml:space="preserve">Member States shall provide that Investment Authority with the necessary resources, legal and administrative means for performing the </w:t>
      </w:r>
      <w:r w:rsidR="00A14BB6">
        <w:rPr>
          <w:noProof/>
        </w:rPr>
        <w:t>tasks set out in this Regulation</w:t>
      </w:r>
      <w:r w:rsidRPr="00AD21FF">
        <w:rPr>
          <w:noProof/>
        </w:rPr>
        <w:t>.</w:t>
      </w:r>
    </w:p>
    <w:p w14:paraId="6170AD5B" w14:textId="77777777" w:rsidR="006D311E" w:rsidRPr="00AD21FF" w:rsidRDefault="0055495B" w:rsidP="002D0209">
      <w:pPr>
        <w:pStyle w:val="ManualNumPar1"/>
        <w:rPr>
          <w:noProof/>
        </w:rPr>
      </w:pPr>
      <w:r>
        <w:rPr>
          <w:noProof/>
        </w:rPr>
        <w:t>2.</w:t>
      </w:r>
      <w:r>
        <w:rPr>
          <w:noProof/>
        </w:rPr>
        <w:tab/>
        <w:t>From</w:t>
      </w:r>
      <w:r w:rsidR="006D311E" w:rsidRPr="00AD21FF">
        <w:rPr>
          <w:noProof/>
        </w:rPr>
        <w:t xml:space="preserve"> [</w:t>
      </w:r>
      <w:r w:rsidR="00604546" w:rsidRPr="00AD21FF">
        <w:rPr>
          <w:noProof/>
        </w:rPr>
        <w:t>OP</w:t>
      </w:r>
      <w:r w:rsidR="006D311E" w:rsidRPr="00AD21FF">
        <w:rPr>
          <w:noProof/>
        </w:rPr>
        <w:t xml:space="preserve"> insert date: 12 month after entry into force of this Regulation], Investment Authorities shall </w:t>
      </w:r>
      <w:r>
        <w:rPr>
          <w:noProof/>
        </w:rPr>
        <w:t xml:space="preserve">only </w:t>
      </w:r>
      <w:r w:rsidR="006D311E" w:rsidRPr="00AD21FF">
        <w:rPr>
          <w:noProof/>
        </w:rPr>
        <w:t xml:space="preserve">approve foreign direct investments </w:t>
      </w:r>
      <w:r w:rsidR="000B451F" w:rsidRPr="009F04C2">
        <w:rPr>
          <w:noProof/>
        </w:rPr>
        <w:t xml:space="preserve">made directly by foreign investors </w:t>
      </w:r>
      <w:r w:rsidR="006D311E" w:rsidRPr="00AD21FF">
        <w:rPr>
          <w:noProof/>
        </w:rPr>
        <w:t xml:space="preserve">that fulfil </w:t>
      </w:r>
      <w:r>
        <w:rPr>
          <w:noProof/>
        </w:rPr>
        <w:t>either four</w:t>
      </w:r>
      <w:r w:rsidR="00E55538">
        <w:rPr>
          <w:noProof/>
        </w:rPr>
        <w:t xml:space="preserve"> </w:t>
      </w:r>
      <w:r>
        <w:rPr>
          <w:noProof/>
        </w:rPr>
        <w:t xml:space="preserve">or more </w:t>
      </w:r>
      <w:r w:rsidR="00E55538">
        <w:rPr>
          <w:noProof/>
        </w:rPr>
        <w:t xml:space="preserve">of </w:t>
      </w:r>
      <w:r w:rsidR="006D311E" w:rsidRPr="00AD21FF">
        <w:rPr>
          <w:noProof/>
        </w:rPr>
        <w:t xml:space="preserve">the following </w:t>
      </w:r>
      <w:r w:rsidR="00036125">
        <w:rPr>
          <w:noProof/>
        </w:rPr>
        <w:t xml:space="preserve">six </w:t>
      </w:r>
      <w:r w:rsidR="006D311E" w:rsidRPr="00AD21FF">
        <w:rPr>
          <w:noProof/>
        </w:rPr>
        <w:t>conditions</w:t>
      </w:r>
      <w:r>
        <w:rPr>
          <w:noProof/>
        </w:rPr>
        <w:t>:</w:t>
      </w:r>
    </w:p>
    <w:p w14:paraId="3AB75932" w14:textId="77777777" w:rsidR="006D311E" w:rsidRPr="00AD21FF" w:rsidRDefault="00DF5D54" w:rsidP="007234F4">
      <w:pPr>
        <w:pStyle w:val="Point1"/>
        <w:rPr>
          <w:noProof/>
        </w:rPr>
      </w:pPr>
      <w:r>
        <w:rPr>
          <w:noProof/>
        </w:rPr>
        <w:t>(a)</w:t>
      </w:r>
      <w:r>
        <w:rPr>
          <w:noProof/>
        </w:rPr>
        <w:tab/>
        <w:t>f</w:t>
      </w:r>
      <w:r w:rsidRPr="00AD21FF">
        <w:rPr>
          <w:noProof/>
        </w:rPr>
        <w:t>oreign</w:t>
      </w:r>
      <w:r w:rsidR="006D311E" w:rsidRPr="00AD21FF">
        <w:rPr>
          <w:noProof/>
        </w:rPr>
        <w:t xml:space="preserve"> investors </w:t>
      </w:r>
      <w:r>
        <w:rPr>
          <w:noProof/>
        </w:rPr>
        <w:t>do</w:t>
      </w:r>
      <w:r w:rsidR="006D311E" w:rsidRPr="00AD21FF">
        <w:rPr>
          <w:noProof/>
        </w:rPr>
        <w:t xml:space="preserve"> not acquire, hold, or exercise ownership interests representing more than 49% of the share capital, voting rights, or equivalent ownership interests in any Union target, or equivalent ownership, leasehold or other rights conferring control over a Union asset; </w:t>
      </w:r>
    </w:p>
    <w:p w14:paraId="26E5A48A" w14:textId="77777777" w:rsidR="006D311E" w:rsidRPr="00AD21FF" w:rsidRDefault="008A2831" w:rsidP="007234F4">
      <w:pPr>
        <w:pStyle w:val="Point1"/>
        <w:rPr>
          <w:noProof/>
        </w:rPr>
      </w:pPr>
      <w:r>
        <w:rPr>
          <w:noProof/>
        </w:rPr>
        <w:t>(b)</w:t>
      </w:r>
      <w:r>
        <w:rPr>
          <w:noProof/>
        </w:rPr>
        <w:tab/>
        <w:t>f</w:t>
      </w:r>
      <w:r w:rsidR="006D311E" w:rsidRPr="00AD21FF">
        <w:rPr>
          <w:noProof/>
        </w:rPr>
        <w:t xml:space="preserve">oreign </w:t>
      </w:r>
      <w:r w:rsidR="00CD13FE">
        <w:rPr>
          <w:noProof/>
        </w:rPr>
        <w:t>investor</w:t>
      </w:r>
      <w:r w:rsidR="006D311E" w:rsidRPr="00AD21FF">
        <w:rPr>
          <w:noProof/>
        </w:rPr>
        <w:t xml:space="preserve"> </w:t>
      </w:r>
      <w:r w:rsidR="00CD13FE">
        <w:rPr>
          <w:noProof/>
        </w:rPr>
        <w:t>undertakes the direct investment</w:t>
      </w:r>
      <w:r w:rsidR="006D311E" w:rsidRPr="00AD21FF">
        <w:rPr>
          <w:noProof/>
        </w:rPr>
        <w:t xml:space="preserve"> through a joint venture with one or more </w:t>
      </w:r>
      <w:r w:rsidR="000F3075">
        <w:rPr>
          <w:noProof/>
        </w:rPr>
        <w:t>Union</w:t>
      </w:r>
      <w:r w:rsidR="006D311E" w:rsidRPr="00AD21FF">
        <w:rPr>
          <w:noProof/>
        </w:rPr>
        <w:t xml:space="preserve"> entities, with the foreign investor </w:t>
      </w:r>
      <w:r w:rsidR="001F3226" w:rsidRPr="00AD21FF">
        <w:rPr>
          <w:noProof/>
        </w:rPr>
        <w:t xml:space="preserve">holding </w:t>
      </w:r>
      <w:r w:rsidR="006D311E" w:rsidRPr="00AD21FF">
        <w:rPr>
          <w:noProof/>
        </w:rPr>
        <w:t>no more than 49% of the</w:t>
      </w:r>
      <w:r w:rsidR="009F0DA4">
        <w:rPr>
          <w:noProof/>
        </w:rPr>
        <w:t xml:space="preserve"> share capital, voting rights, or equivalent ownership interests or other rights conferring control </w:t>
      </w:r>
      <w:r w:rsidR="00D6797D">
        <w:rPr>
          <w:noProof/>
        </w:rPr>
        <w:t xml:space="preserve">in any of the Union entities </w:t>
      </w:r>
      <w:r w:rsidR="00763A8D">
        <w:rPr>
          <w:noProof/>
        </w:rPr>
        <w:t>participating in the joint venture</w:t>
      </w:r>
      <w:r w:rsidR="006D311E" w:rsidRPr="00AD21FF">
        <w:rPr>
          <w:noProof/>
        </w:rPr>
        <w:t>. Such joint ventures shall be structured to ensure effective participation of Union partners in management, technology transfer, and capacity building</w:t>
      </w:r>
      <w:r w:rsidR="00155DBC">
        <w:rPr>
          <w:noProof/>
        </w:rPr>
        <w:t>;</w:t>
      </w:r>
      <w:r w:rsidR="006D311E" w:rsidRPr="00AD21FF">
        <w:rPr>
          <w:noProof/>
        </w:rPr>
        <w:t xml:space="preserve"> </w:t>
      </w:r>
    </w:p>
    <w:p w14:paraId="52E5FFA6" w14:textId="77777777" w:rsidR="006D311E" w:rsidRPr="00F253B8" w:rsidRDefault="00FE069F" w:rsidP="007234F4">
      <w:pPr>
        <w:pStyle w:val="Point1"/>
        <w:rPr>
          <w:rFonts w:eastAsia="Times New Roman"/>
          <w:noProof/>
          <w:szCs w:val="24"/>
        </w:rPr>
      </w:pPr>
      <w:r>
        <w:rPr>
          <w:noProof/>
        </w:rPr>
        <w:t>(c)</w:t>
      </w:r>
      <w:r>
        <w:rPr>
          <w:noProof/>
        </w:rPr>
        <w:tab/>
        <w:t>f</w:t>
      </w:r>
      <w:r w:rsidRPr="00AD21FF">
        <w:rPr>
          <w:noProof/>
        </w:rPr>
        <w:t xml:space="preserve">oreign investors </w:t>
      </w:r>
      <w:r>
        <w:rPr>
          <w:noProof/>
        </w:rPr>
        <w:t>have</w:t>
      </w:r>
      <w:r w:rsidRPr="00AD21FF">
        <w:rPr>
          <w:noProof/>
        </w:rPr>
        <w:t xml:space="preserve"> </w:t>
      </w:r>
      <w:r>
        <w:rPr>
          <w:noProof/>
        </w:rPr>
        <w:t>entered into</w:t>
      </w:r>
      <w:r w:rsidRPr="00AD21FF">
        <w:rPr>
          <w:noProof/>
        </w:rPr>
        <w:t xml:space="preserve"> agreements providing for the licensing of their intellectual property rights and of their know-how to the benefit of the Union Target, or the Union asset</w:t>
      </w:r>
      <w:r>
        <w:rPr>
          <w:noProof/>
        </w:rPr>
        <w:t>,</w:t>
      </w:r>
      <w:r w:rsidRPr="00AD21FF">
        <w:rPr>
          <w:noProof/>
        </w:rPr>
        <w:t xml:space="preserve"> to enabl</w:t>
      </w:r>
      <w:r>
        <w:rPr>
          <w:noProof/>
        </w:rPr>
        <w:t>e</w:t>
      </w:r>
      <w:r w:rsidRPr="00AD21FF">
        <w:rPr>
          <w:noProof/>
        </w:rPr>
        <w:t xml:space="preserve"> </w:t>
      </w:r>
      <w:r>
        <w:rPr>
          <w:noProof/>
        </w:rPr>
        <w:t>it</w:t>
      </w:r>
      <w:r w:rsidRPr="00AD21FF">
        <w:rPr>
          <w:noProof/>
        </w:rPr>
        <w:t xml:space="preserve"> to carry out </w:t>
      </w:r>
      <w:r>
        <w:rPr>
          <w:noProof/>
        </w:rPr>
        <w:t>its</w:t>
      </w:r>
      <w:r w:rsidRPr="00AD21FF">
        <w:rPr>
          <w:noProof/>
        </w:rPr>
        <w:t xml:space="preserve"> economic activities in the context of the foreign direct investment.</w:t>
      </w:r>
      <w:r w:rsidRPr="001120A4">
        <w:rPr>
          <w:noProof/>
        </w:rPr>
        <w:t xml:space="preserve"> </w:t>
      </w:r>
      <w:r w:rsidRPr="00F253B8">
        <w:rPr>
          <w:rFonts w:eastAsia="Times New Roman"/>
          <w:noProof/>
          <w:szCs w:val="24"/>
        </w:rPr>
        <w:t xml:space="preserve">All intellectual property rights or assets developed by the Union Target or the legal entity owning the Union asset prior to the foreign investment or without the collaboration of the foreign investor shall be fully and exclusively owned by the Union Target or the legal entity </w:t>
      </w:r>
      <w:r>
        <w:rPr>
          <w:rFonts w:eastAsia="Times New Roman"/>
          <w:noProof/>
          <w:szCs w:val="24"/>
        </w:rPr>
        <w:t>of</w:t>
      </w:r>
      <w:r w:rsidRPr="00F253B8">
        <w:rPr>
          <w:rFonts w:eastAsia="Times New Roman"/>
          <w:noProof/>
          <w:szCs w:val="24"/>
        </w:rPr>
        <w:t xml:space="preserve"> the Union asset. All intellectual property rights or assets either developed in that context as a result of a collaboration with the foreign investor’s other business assets, or in the case of point b, developed by the joint venture, shall be owned jointly by the Foreign Investor and the Union Target, the joint venture defined in point b or the legal entity owning the Union asset</w:t>
      </w:r>
      <w:r w:rsidR="00155DBC">
        <w:rPr>
          <w:rFonts w:eastAsia="Times New Roman"/>
          <w:noProof/>
          <w:szCs w:val="24"/>
        </w:rPr>
        <w:t>;</w:t>
      </w:r>
    </w:p>
    <w:p w14:paraId="5C8D6203" w14:textId="77777777" w:rsidR="006D311E" w:rsidRPr="00AD21FF" w:rsidRDefault="00A71257" w:rsidP="007234F4">
      <w:pPr>
        <w:pStyle w:val="Point1"/>
        <w:rPr>
          <w:noProof/>
        </w:rPr>
      </w:pPr>
      <w:r>
        <w:rPr>
          <w:noProof/>
        </w:rPr>
        <w:t>(d)</w:t>
      </w:r>
      <w:r>
        <w:rPr>
          <w:noProof/>
        </w:rPr>
        <w:tab/>
      </w:r>
      <w:r w:rsidRPr="00A71257">
        <w:rPr>
          <w:noProof/>
        </w:rPr>
        <w:t>t</w:t>
      </w:r>
      <w:r w:rsidR="006D311E" w:rsidRPr="00AD21FF">
        <w:rPr>
          <w:noProof/>
        </w:rPr>
        <w:t xml:space="preserve">he </w:t>
      </w:r>
      <w:r w:rsidR="001F1037">
        <w:rPr>
          <w:noProof/>
        </w:rPr>
        <w:t>f</w:t>
      </w:r>
      <w:r w:rsidR="006D311E" w:rsidRPr="00AD21FF">
        <w:rPr>
          <w:noProof/>
        </w:rPr>
        <w:t xml:space="preserve">oreign </w:t>
      </w:r>
      <w:r w:rsidR="001F1037">
        <w:rPr>
          <w:noProof/>
        </w:rPr>
        <w:t>i</w:t>
      </w:r>
      <w:r w:rsidR="006D311E" w:rsidRPr="00AD21FF">
        <w:rPr>
          <w:noProof/>
        </w:rPr>
        <w:t xml:space="preserve">nvestor annually </w:t>
      </w:r>
      <w:r w:rsidRPr="00A71257">
        <w:rPr>
          <w:noProof/>
        </w:rPr>
        <w:t>directs</w:t>
      </w:r>
      <w:r w:rsidR="006D311E" w:rsidRPr="00AD21FF">
        <w:rPr>
          <w:noProof/>
        </w:rPr>
        <w:t xml:space="preserve"> </w:t>
      </w:r>
      <w:r w:rsidR="00E92863" w:rsidRPr="00F253B8">
        <w:rPr>
          <w:rFonts w:eastAsia="Times New Roman"/>
          <w:noProof/>
          <w:lang w:eastAsia="en-GB"/>
        </w:rPr>
        <w:t>to research and development spending in the Union</w:t>
      </w:r>
      <w:r w:rsidR="00E92863" w:rsidRPr="00AD21FF">
        <w:rPr>
          <w:noProof/>
        </w:rPr>
        <w:t xml:space="preserve"> </w:t>
      </w:r>
      <w:r w:rsidR="006D311E" w:rsidRPr="00AD21FF">
        <w:rPr>
          <w:noProof/>
        </w:rPr>
        <w:t xml:space="preserve">an amount equivalent to at least 1% of </w:t>
      </w:r>
      <w:r w:rsidR="00564CCE">
        <w:rPr>
          <w:noProof/>
        </w:rPr>
        <w:t xml:space="preserve">the </w:t>
      </w:r>
      <w:r w:rsidR="00DB0B80">
        <w:rPr>
          <w:noProof/>
        </w:rPr>
        <w:t xml:space="preserve">gross annual revenue </w:t>
      </w:r>
      <w:r w:rsidR="00E3095C">
        <w:rPr>
          <w:noProof/>
        </w:rPr>
        <w:t xml:space="preserve">of the Union target, </w:t>
      </w:r>
      <w:r w:rsidR="00E3095C" w:rsidRPr="00E3095C">
        <w:rPr>
          <w:noProof/>
        </w:rPr>
        <w:t>or the </w:t>
      </w:r>
      <w:r w:rsidRPr="00A71257">
        <w:rPr>
          <w:noProof/>
        </w:rPr>
        <w:t>gross annual revenue generated by the</w:t>
      </w:r>
      <w:r w:rsidR="00E3095C" w:rsidRPr="00E3095C">
        <w:rPr>
          <w:noProof/>
        </w:rPr>
        <w:t xml:space="preserve"> Union asset</w:t>
      </w:r>
      <w:r w:rsidR="000277EE">
        <w:rPr>
          <w:noProof/>
        </w:rPr>
        <w:t>, as applied</w:t>
      </w:r>
      <w:r w:rsidR="006D311E" w:rsidRPr="00AD21FF">
        <w:rPr>
          <w:noProof/>
        </w:rPr>
        <w:t xml:space="preserve"> </w:t>
      </w:r>
      <w:r w:rsidR="001A6E59">
        <w:rPr>
          <w:noProof/>
        </w:rPr>
        <w:t xml:space="preserve">in proportion to </w:t>
      </w:r>
      <w:r w:rsidR="0009127E">
        <w:rPr>
          <w:noProof/>
        </w:rPr>
        <w:t>the foreign investor’s</w:t>
      </w:r>
      <w:r w:rsidR="00E12CDE">
        <w:rPr>
          <w:noProof/>
        </w:rPr>
        <w:t xml:space="preserve"> share of control</w:t>
      </w:r>
      <w:r w:rsidR="00155DBC">
        <w:rPr>
          <w:noProof/>
        </w:rPr>
        <w:t>;</w:t>
      </w:r>
      <w:r w:rsidR="00E12CDE">
        <w:rPr>
          <w:noProof/>
        </w:rPr>
        <w:t xml:space="preserve"> </w:t>
      </w:r>
    </w:p>
    <w:p w14:paraId="36F5FDB5" w14:textId="77777777" w:rsidR="006D311E" w:rsidRPr="00AD21FF" w:rsidRDefault="002317E9" w:rsidP="007234F4">
      <w:pPr>
        <w:pStyle w:val="Point1"/>
        <w:rPr>
          <w:noProof/>
        </w:rPr>
      </w:pPr>
      <w:r>
        <w:rPr>
          <w:noProof/>
        </w:rPr>
        <w:t>(e)</w:t>
      </w:r>
      <w:r>
        <w:rPr>
          <w:noProof/>
        </w:rPr>
        <w:tab/>
      </w:r>
      <w:r w:rsidRPr="002317E9">
        <w:rPr>
          <w:noProof/>
        </w:rPr>
        <w:t>at least 50% of the workforce employed in the context of the foreign direct investment, at the time of its implementation and continuously throughout its operation, shall be made up of Union workers across all categories of the workforce, including operational, technical, supervisory, and managerial positions. Such employment shall be accompanied by adequate training and capacity-building measures. Where a Union target or Union asset already performing manufacturing activities before the investment is acquired, including after bankruptcy, maintaining the existing workforce or re-employment of the former workforce shall be prioritised, in accordance with national law and the application of collective agreements. In the event that the foreign investor, the Union target or the Union asset receives public funding, notwithstanding article 107 TFEU, it shall commit not to decrease the number Union workers for a period of five years on pain of recovery by the relevant national authorities, the funding awarded;</w:t>
      </w:r>
    </w:p>
    <w:p w14:paraId="1612E2D2" w14:textId="77777777" w:rsidR="006D311E" w:rsidRPr="00AD21FF" w:rsidRDefault="00155DBC" w:rsidP="007234F4">
      <w:pPr>
        <w:pStyle w:val="Point1"/>
        <w:rPr>
          <w:noProof/>
        </w:rPr>
      </w:pPr>
      <w:r>
        <w:rPr>
          <w:noProof/>
        </w:rPr>
        <w:t>(f)</w:t>
      </w:r>
      <w:r>
        <w:rPr>
          <w:noProof/>
        </w:rPr>
        <w:tab/>
      </w:r>
      <w:r w:rsidRPr="005A1258">
        <w:rPr>
          <w:noProof/>
        </w:rPr>
        <w:t>in the context of the foreign direct investment, the foreign investor prepares and publishes on its website a strategy for enhancing Union value chains and prioritising the sourcing of inputs for the manufacturing activity from the Union and endeavours to source from the Union a minimum of 30% of inputs used for the products placed on the Union market</w:t>
      </w:r>
      <w:r>
        <w:rPr>
          <w:noProof/>
        </w:rPr>
        <w:t>.</w:t>
      </w:r>
    </w:p>
    <w:p w14:paraId="6D945280" w14:textId="77777777" w:rsidR="00534537" w:rsidRDefault="00534537" w:rsidP="00295E57">
      <w:pPr>
        <w:pStyle w:val="ManualNumPar1"/>
        <w:rPr>
          <w:noProof/>
        </w:rPr>
      </w:pPr>
      <w:r>
        <w:rPr>
          <w:noProof/>
        </w:rPr>
        <w:t>3.</w:t>
      </w:r>
      <w:r>
        <w:rPr>
          <w:noProof/>
        </w:rPr>
        <w:tab/>
        <w:t>The foreign direct investment shall comply with the condition referred to in paragraph 2(e) to be approved by the Investment Authority pursuant to paragraph 2.</w:t>
      </w:r>
    </w:p>
    <w:p w14:paraId="6E2DEBE3" w14:textId="77777777" w:rsidR="006D311E" w:rsidRPr="004C16DA" w:rsidRDefault="006D311E" w:rsidP="00295E57">
      <w:pPr>
        <w:pStyle w:val="ManualNumPar1"/>
        <w:rPr>
          <w:noProof/>
        </w:rPr>
      </w:pPr>
      <w:r>
        <w:rPr>
          <w:noProof/>
        </w:rPr>
        <w:t>4.</w:t>
      </w:r>
      <w:r>
        <w:rPr>
          <w:noProof/>
        </w:rPr>
        <w:tab/>
      </w:r>
      <w:r w:rsidRPr="00AD21FF">
        <w:rPr>
          <w:noProof/>
        </w:rPr>
        <w:t xml:space="preserve">Investment Authorities </w:t>
      </w:r>
      <w:r w:rsidR="00EE0BCC">
        <w:rPr>
          <w:noProof/>
        </w:rPr>
        <w:t>may</w:t>
      </w:r>
      <w:r w:rsidRPr="00AD21FF">
        <w:rPr>
          <w:noProof/>
        </w:rPr>
        <w:t xml:space="preserve"> apply </w:t>
      </w:r>
      <w:r w:rsidR="000207DA">
        <w:rPr>
          <w:noProof/>
        </w:rPr>
        <w:t xml:space="preserve">some or all of </w:t>
      </w:r>
      <w:r w:rsidRPr="00AD21FF">
        <w:rPr>
          <w:noProof/>
        </w:rPr>
        <w:t xml:space="preserve">the conditions </w:t>
      </w:r>
      <w:r w:rsidR="00685D90">
        <w:rPr>
          <w:noProof/>
        </w:rPr>
        <w:t>set out</w:t>
      </w:r>
      <w:r w:rsidRPr="00AD21FF">
        <w:rPr>
          <w:noProof/>
        </w:rPr>
        <w:t xml:space="preserve"> in paragraph </w:t>
      </w:r>
      <w:r w:rsidR="00685D90">
        <w:rPr>
          <w:noProof/>
        </w:rPr>
        <w:t>2</w:t>
      </w:r>
      <w:r w:rsidRPr="00AD21FF">
        <w:rPr>
          <w:noProof/>
        </w:rPr>
        <w:t xml:space="preserve"> to direct investments made within the Union by a foreign investor’s subsidiary where </w:t>
      </w:r>
      <w:r w:rsidR="009D188B">
        <w:rPr>
          <w:noProof/>
        </w:rPr>
        <w:t>it is essential to achieve the objectives of this Regulation, under the following conditions</w:t>
      </w:r>
      <w:r w:rsidRPr="00AD21FF">
        <w:rPr>
          <w:noProof/>
        </w:rPr>
        <w:t xml:space="preserve">: </w:t>
      </w:r>
    </w:p>
    <w:p w14:paraId="72BF592D" w14:textId="77777777" w:rsidR="008A1EBD" w:rsidRPr="00070009" w:rsidRDefault="008A1EBD" w:rsidP="007234F4">
      <w:pPr>
        <w:pStyle w:val="Point1"/>
        <w:rPr>
          <w:noProof/>
        </w:rPr>
      </w:pPr>
      <w:r>
        <w:rPr>
          <w:noProof/>
        </w:rPr>
        <w:t>(a)</w:t>
      </w:r>
      <w:r>
        <w:rPr>
          <w:noProof/>
        </w:rPr>
        <w:tab/>
      </w:r>
      <w:r w:rsidRPr="00070009">
        <w:rPr>
          <w:noProof/>
        </w:rPr>
        <w:t>preventing</w:t>
      </w:r>
      <w:r w:rsidR="004735B3" w:rsidRPr="00070009">
        <w:rPr>
          <w:noProof/>
        </w:rPr>
        <w:t xml:space="preserve"> the circumvention </w:t>
      </w:r>
      <w:r w:rsidRPr="00070009">
        <w:rPr>
          <w:noProof/>
        </w:rPr>
        <w:t>of this Regulation by the foreign investor</w:t>
      </w:r>
      <w:r w:rsidR="006416BA">
        <w:rPr>
          <w:noProof/>
        </w:rPr>
        <w:t>;</w:t>
      </w:r>
      <w:r w:rsidRPr="00070009">
        <w:rPr>
          <w:noProof/>
        </w:rPr>
        <w:t xml:space="preserve"> or</w:t>
      </w:r>
    </w:p>
    <w:p w14:paraId="31CCFAFA" w14:textId="77777777" w:rsidR="008A1EBD" w:rsidRPr="00070009" w:rsidRDefault="008A1EBD" w:rsidP="007234F4">
      <w:pPr>
        <w:pStyle w:val="Point1"/>
        <w:rPr>
          <w:noProof/>
        </w:rPr>
      </w:pPr>
      <w:r>
        <w:rPr>
          <w:noProof/>
        </w:rPr>
        <w:t>(b)</w:t>
      </w:r>
      <w:r>
        <w:rPr>
          <w:noProof/>
        </w:rPr>
        <w:tab/>
      </w:r>
      <w:r w:rsidRPr="00070009">
        <w:rPr>
          <w:noProof/>
        </w:rPr>
        <w:t>where no alternative measures, including commitments proposed by the foreign investor or the foreign investor’s subsidiary, are reasonably available and less restrictive of direct investment within the Union in order to meet the objectives of the Regulation.</w:t>
      </w:r>
    </w:p>
    <w:p w14:paraId="1FC50464" w14:textId="77777777" w:rsidR="006D311E" w:rsidRPr="00F81D73" w:rsidRDefault="007A055A" w:rsidP="00295E57">
      <w:pPr>
        <w:pStyle w:val="ManualNumPar1"/>
        <w:rPr>
          <w:noProof/>
        </w:rPr>
      </w:pPr>
      <w:r>
        <w:rPr>
          <w:noProof/>
        </w:rPr>
        <w:t>5.</w:t>
      </w:r>
      <w:r>
        <w:rPr>
          <w:noProof/>
        </w:rPr>
        <w:tab/>
        <w:t>The Commission</w:t>
      </w:r>
      <w:r w:rsidR="006D311E" w:rsidRPr="008D2933">
        <w:rPr>
          <w:noProof/>
        </w:rPr>
        <w:t xml:space="preserve"> shall </w:t>
      </w:r>
      <w:r w:rsidR="00362352">
        <w:rPr>
          <w:noProof/>
        </w:rPr>
        <w:t>adopt an implementing act</w:t>
      </w:r>
      <w:r w:rsidR="009758BF">
        <w:rPr>
          <w:noProof/>
        </w:rPr>
        <w:t xml:space="preserve">, </w:t>
      </w:r>
      <w:r w:rsidR="009758BF" w:rsidRPr="008D2933">
        <w:rPr>
          <w:noProof/>
        </w:rPr>
        <w:t>by [OP please insert date: 6 months after entry into force of this Regulation]</w:t>
      </w:r>
      <w:r w:rsidR="00D40000">
        <w:rPr>
          <w:noProof/>
        </w:rPr>
        <w:t>)</w:t>
      </w:r>
      <w:r w:rsidR="00362352">
        <w:rPr>
          <w:noProof/>
        </w:rPr>
        <w:t xml:space="preserve"> to</w:t>
      </w:r>
      <w:r w:rsidR="001C7B28">
        <w:rPr>
          <w:noProof/>
        </w:rPr>
        <w:t xml:space="preserve"> </w:t>
      </w:r>
      <w:r w:rsidR="006D311E" w:rsidRPr="008D2933">
        <w:rPr>
          <w:noProof/>
        </w:rPr>
        <w:t xml:space="preserve">specify the detailed rules for verifying the </w:t>
      </w:r>
      <w:r w:rsidR="009758BF">
        <w:rPr>
          <w:noProof/>
        </w:rPr>
        <w:t>compliance with</w:t>
      </w:r>
      <w:r w:rsidR="006D311E" w:rsidRPr="008D2933">
        <w:rPr>
          <w:noProof/>
        </w:rPr>
        <w:t xml:space="preserve"> the conditions </w:t>
      </w:r>
      <w:r w:rsidR="009758BF">
        <w:rPr>
          <w:noProof/>
        </w:rPr>
        <w:t>laid down in paragraph 2</w:t>
      </w:r>
      <w:r w:rsidR="006D311E" w:rsidRPr="008D2933">
        <w:rPr>
          <w:noProof/>
        </w:rPr>
        <w:t>.</w:t>
      </w:r>
      <w:r w:rsidR="009758BF">
        <w:rPr>
          <w:noProof/>
        </w:rPr>
        <w:t xml:space="preserve"> Those implementing acts shall be adopted in accordance with the examination procedure referred to in </w:t>
      </w:r>
      <w:r w:rsidR="009758BF" w:rsidRPr="00F81D73">
        <w:rPr>
          <w:noProof/>
        </w:rPr>
        <w:t xml:space="preserve">Article </w:t>
      </w:r>
      <w:r w:rsidR="00F81D73" w:rsidRPr="00F81D73">
        <w:rPr>
          <w:noProof/>
        </w:rPr>
        <w:t>31</w:t>
      </w:r>
      <w:r w:rsidR="009758BF" w:rsidRPr="00F81D73">
        <w:rPr>
          <w:noProof/>
        </w:rPr>
        <w:t>(3).</w:t>
      </w:r>
    </w:p>
    <w:p w14:paraId="64463350" w14:textId="77777777" w:rsidR="006D311E" w:rsidRPr="00AD21FF" w:rsidRDefault="006D311E" w:rsidP="006D311E">
      <w:pPr>
        <w:pStyle w:val="Titrearticle"/>
        <w:rPr>
          <w:noProof/>
        </w:rPr>
      </w:pPr>
      <w:r w:rsidRPr="00AD21FF">
        <w:rPr>
          <w:noProof/>
        </w:rPr>
        <w:t xml:space="preserve">Article </w:t>
      </w:r>
      <w:r w:rsidR="00447C97">
        <w:rPr>
          <w:noProof/>
        </w:rPr>
        <w:t>1</w:t>
      </w:r>
      <w:r w:rsidR="009E02E0">
        <w:rPr>
          <w:noProof/>
        </w:rPr>
        <w:t>9</w:t>
      </w:r>
      <w:r w:rsidRPr="00AD21FF">
        <w:rPr>
          <w:noProof/>
        </w:rPr>
        <w:br/>
      </w:r>
      <w:r w:rsidRPr="00AD21FF">
        <w:rPr>
          <w:b/>
          <w:bCs/>
          <w:i w:val="0"/>
          <w:iCs/>
          <w:noProof/>
        </w:rPr>
        <w:t>Prior notification of planned foreign direct investments</w:t>
      </w:r>
    </w:p>
    <w:p w14:paraId="742B6CBC" w14:textId="77777777" w:rsidR="006D311E" w:rsidRPr="00090CD6" w:rsidRDefault="006D311E" w:rsidP="00E53718">
      <w:pPr>
        <w:pStyle w:val="ManualNumPar1"/>
        <w:rPr>
          <w:noProof/>
        </w:rPr>
      </w:pPr>
      <w:r>
        <w:rPr>
          <w:noProof/>
        </w:rPr>
        <w:t>1.</w:t>
      </w:r>
      <w:r>
        <w:rPr>
          <w:noProof/>
        </w:rPr>
        <w:tab/>
      </w:r>
      <w:r w:rsidRPr="00AD21FF">
        <w:rPr>
          <w:noProof/>
        </w:rPr>
        <w:t xml:space="preserve">A foreign investor shall notify any planned </w:t>
      </w:r>
      <w:r w:rsidR="00396375">
        <w:rPr>
          <w:noProof/>
        </w:rPr>
        <w:t>direct</w:t>
      </w:r>
      <w:r w:rsidRPr="00AD21FF">
        <w:rPr>
          <w:noProof/>
        </w:rPr>
        <w:t xml:space="preserve"> investment within the scope of Article </w:t>
      </w:r>
      <w:r w:rsidR="00265A2B" w:rsidRPr="00E53718">
        <w:rPr>
          <w:noProof/>
        </w:rPr>
        <w:t>1</w:t>
      </w:r>
      <w:r w:rsidR="00D77329">
        <w:rPr>
          <w:noProof/>
        </w:rPr>
        <w:t>7</w:t>
      </w:r>
      <w:r w:rsidR="009831AF" w:rsidRPr="00AD21FF">
        <w:rPr>
          <w:noProof/>
        </w:rPr>
        <w:t xml:space="preserve"> </w:t>
      </w:r>
      <w:r w:rsidRPr="00AD21FF">
        <w:rPr>
          <w:noProof/>
        </w:rPr>
        <w:t>to the Investment Authority of the Member State where the Union target or Union asset is located</w:t>
      </w:r>
      <w:r w:rsidR="00265A2B">
        <w:rPr>
          <w:noProof/>
        </w:rPr>
        <w:t>, and</w:t>
      </w:r>
      <w:r w:rsidR="001E23EA">
        <w:rPr>
          <w:noProof/>
        </w:rPr>
        <w:t xml:space="preserve"> which would result in control over the Union target or Union asset as </w:t>
      </w:r>
      <w:r w:rsidR="00265A2B">
        <w:rPr>
          <w:noProof/>
        </w:rPr>
        <w:t>laid down in</w:t>
      </w:r>
      <w:r w:rsidR="001E23EA">
        <w:rPr>
          <w:noProof/>
        </w:rPr>
        <w:t xml:space="preserve"> paragraph 3</w:t>
      </w:r>
      <w:r w:rsidRPr="00AD21FF">
        <w:rPr>
          <w:noProof/>
        </w:rPr>
        <w:t>.</w:t>
      </w:r>
    </w:p>
    <w:p w14:paraId="40F75EFC" w14:textId="77777777" w:rsidR="006D311E" w:rsidRPr="00762D34" w:rsidRDefault="006D311E" w:rsidP="00C316C4">
      <w:pPr>
        <w:pStyle w:val="Text1"/>
        <w:rPr>
          <w:noProof/>
        </w:rPr>
      </w:pPr>
      <w:r w:rsidRPr="00AD21FF">
        <w:rPr>
          <w:noProof/>
        </w:rPr>
        <w:t xml:space="preserve">The notification shall contain all necessary information to allow the Investment Authority to </w:t>
      </w:r>
      <w:r w:rsidR="006F4A7A">
        <w:rPr>
          <w:noProof/>
        </w:rPr>
        <w:t>perform</w:t>
      </w:r>
      <w:r w:rsidRPr="00AD21FF">
        <w:rPr>
          <w:noProof/>
        </w:rPr>
        <w:t xml:space="preserve"> the investment review pursuant to </w:t>
      </w:r>
      <w:r w:rsidRPr="00762D34">
        <w:rPr>
          <w:noProof/>
        </w:rPr>
        <w:t xml:space="preserve">Article </w:t>
      </w:r>
      <w:r w:rsidR="005848E0" w:rsidRPr="00762D34">
        <w:rPr>
          <w:noProof/>
        </w:rPr>
        <w:t>20</w:t>
      </w:r>
      <w:r w:rsidRPr="00762D34">
        <w:rPr>
          <w:noProof/>
        </w:rPr>
        <w:t>.</w:t>
      </w:r>
    </w:p>
    <w:p w14:paraId="6D03B898" w14:textId="77777777" w:rsidR="006D311E" w:rsidRPr="00090CD6" w:rsidRDefault="006D311E" w:rsidP="005F52D3">
      <w:pPr>
        <w:pStyle w:val="ManualNumPar1"/>
        <w:rPr>
          <w:noProof/>
        </w:rPr>
      </w:pPr>
      <w:r>
        <w:rPr>
          <w:noProof/>
        </w:rPr>
        <w:t>2.</w:t>
      </w:r>
      <w:r>
        <w:rPr>
          <w:noProof/>
        </w:rPr>
        <w:tab/>
      </w:r>
      <w:r w:rsidRPr="00762D34">
        <w:rPr>
          <w:noProof/>
        </w:rPr>
        <w:t>For the purposes of determining whether the investment value</w:t>
      </w:r>
      <w:r w:rsidR="006E576F" w:rsidRPr="00762D34">
        <w:rPr>
          <w:noProof/>
        </w:rPr>
        <w:t xml:space="preserve"> </w:t>
      </w:r>
      <w:r w:rsidRPr="00762D34">
        <w:rPr>
          <w:noProof/>
        </w:rPr>
        <w:t xml:space="preserve">reaches the threshold set out in Article </w:t>
      </w:r>
      <w:r w:rsidR="00E53718" w:rsidRPr="00762D34">
        <w:rPr>
          <w:noProof/>
        </w:rPr>
        <w:t>1</w:t>
      </w:r>
      <w:r w:rsidR="005848E0" w:rsidRPr="00762D34">
        <w:rPr>
          <w:noProof/>
        </w:rPr>
        <w:t>7</w:t>
      </w:r>
      <w:r w:rsidR="006F4A7A" w:rsidRPr="00762D34">
        <w:rPr>
          <w:noProof/>
        </w:rPr>
        <w:t>(1)</w:t>
      </w:r>
      <w:r w:rsidRPr="00762D34">
        <w:rPr>
          <w:noProof/>
        </w:rPr>
        <w:t xml:space="preserve">, </w:t>
      </w:r>
      <w:r w:rsidR="009A2099" w:rsidRPr="00762D34">
        <w:rPr>
          <w:noProof/>
        </w:rPr>
        <w:t>onl</w:t>
      </w:r>
      <w:r w:rsidR="00DD3540" w:rsidRPr="00762D34">
        <w:rPr>
          <w:noProof/>
        </w:rPr>
        <w:t>y</w:t>
      </w:r>
      <w:r w:rsidR="009A2099" w:rsidRPr="00762D34">
        <w:rPr>
          <w:noProof/>
        </w:rPr>
        <w:t xml:space="preserve"> </w:t>
      </w:r>
      <w:r w:rsidRPr="00762D34">
        <w:rPr>
          <w:noProof/>
        </w:rPr>
        <w:t xml:space="preserve">previous investments </w:t>
      </w:r>
      <w:r w:rsidR="00715F75" w:rsidRPr="00762D34">
        <w:rPr>
          <w:noProof/>
        </w:rPr>
        <w:t>of a foreign investor</w:t>
      </w:r>
      <w:r w:rsidRPr="00762D34">
        <w:rPr>
          <w:noProof/>
        </w:rPr>
        <w:t xml:space="preserve"> made in the same Union target or Union asset by the foreign investor </w:t>
      </w:r>
      <w:r w:rsidR="00E53718" w:rsidRPr="00762D34">
        <w:rPr>
          <w:noProof/>
        </w:rPr>
        <w:t>from</w:t>
      </w:r>
      <w:r w:rsidR="00E53718">
        <w:rPr>
          <w:noProof/>
        </w:rPr>
        <w:t xml:space="preserve"> [</w:t>
      </w:r>
      <w:r w:rsidR="00E53718" w:rsidRPr="00031595">
        <w:rPr>
          <w:noProof/>
        </w:rPr>
        <w:t>OP please insert the date = the date of the entry into force of this Regulation</w:t>
      </w:r>
      <w:r w:rsidR="00E53718">
        <w:rPr>
          <w:noProof/>
        </w:rPr>
        <w:t>]</w:t>
      </w:r>
      <w:r w:rsidR="007A51BC">
        <w:rPr>
          <w:noProof/>
        </w:rPr>
        <w:t xml:space="preserve"> </w:t>
      </w:r>
      <w:r w:rsidRPr="00AD21FF">
        <w:rPr>
          <w:noProof/>
        </w:rPr>
        <w:t>shall be aggregated.</w:t>
      </w:r>
    </w:p>
    <w:p w14:paraId="42CD9143" w14:textId="77777777" w:rsidR="006D311E" w:rsidRPr="00AD21FF" w:rsidRDefault="006D311E" w:rsidP="00576BF0">
      <w:pPr>
        <w:pStyle w:val="ManualNumPar1"/>
        <w:rPr>
          <w:noProof/>
        </w:rPr>
      </w:pPr>
      <w:r>
        <w:rPr>
          <w:noProof/>
        </w:rPr>
        <w:t>3.</w:t>
      </w:r>
      <w:r>
        <w:rPr>
          <w:noProof/>
        </w:rPr>
        <w:tab/>
      </w:r>
      <w:r w:rsidRPr="00AD21FF">
        <w:rPr>
          <w:noProof/>
        </w:rPr>
        <w:t xml:space="preserve">Foreign investors shall be considered to have control, where the investment in question reaches </w:t>
      </w:r>
      <w:r w:rsidR="00D231BB">
        <w:rPr>
          <w:noProof/>
        </w:rPr>
        <w:t xml:space="preserve">either of </w:t>
      </w:r>
      <w:r w:rsidRPr="00AD21FF">
        <w:rPr>
          <w:noProof/>
        </w:rPr>
        <w:t>the following threshold:</w:t>
      </w:r>
    </w:p>
    <w:p w14:paraId="634A7C7F" w14:textId="77777777" w:rsidR="006D311E" w:rsidRPr="00AD21FF" w:rsidRDefault="0034360B" w:rsidP="007234F4">
      <w:pPr>
        <w:pStyle w:val="Point1"/>
        <w:rPr>
          <w:noProof/>
        </w:rPr>
      </w:pPr>
      <w:r>
        <w:rPr>
          <w:noProof/>
        </w:rPr>
        <w:t>(a)</w:t>
      </w:r>
      <w:r>
        <w:rPr>
          <w:noProof/>
        </w:rPr>
        <w:tab/>
        <w:t>3</w:t>
      </w:r>
      <w:r w:rsidR="006D311E" w:rsidRPr="00AD21FF">
        <w:rPr>
          <w:noProof/>
        </w:rPr>
        <w:t>0 percent or more share capital or voting rights in a Union target;</w:t>
      </w:r>
    </w:p>
    <w:p w14:paraId="3B970714" w14:textId="77777777" w:rsidR="006D311E" w:rsidRPr="00AD21FF" w:rsidRDefault="0034360B" w:rsidP="007234F4">
      <w:pPr>
        <w:pStyle w:val="Point1"/>
        <w:rPr>
          <w:noProof/>
        </w:rPr>
      </w:pPr>
      <w:r>
        <w:rPr>
          <w:noProof/>
        </w:rPr>
        <w:t>(b)</w:t>
      </w:r>
      <w:r>
        <w:rPr>
          <w:noProof/>
        </w:rPr>
        <w:tab/>
        <w:t>3</w:t>
      </w:r>
      <w:r w:rsidR="006D311E" w:rsidRPr="00AD21FF">
        <w:rPr>
          <w:noProof/>
        </w:rPr>
        <w:t>0 percent or more of ownership of a Union asset, and leasehold or other rights conferring control over a Union asset.</w:t>
      </w:r>
    </w:p>
    <w:p w14:paraId="2BF7562B" w14:textId="77777777" w:rsidR="000A3A75" w:rsidRPr="00E128DE" w:rsidRDefault="009A155B" w:rsidP="001950DA">
      <w:pPr>
        <w:pStyle w:val="ManualNumPar1"/>
        <w:rPr>
          <w:noProof/>
          <w:lang w:val="en-IE"/>
        </w:rPr>
      </w:pPr>
      <w:r>
        <w:rPr>
          <w:noProof/>
        </w:rPr>
        <w:t>4.</w:t>
      </w:r>
      <w:r>
        <w:rPr>
          <w:noProof/>
        </w:rPr>
        <w:tab/>
      </w:r>
      <w:r w:rsidRPr="00A62C9F">
        <w:rPr>
          <w:noProof/>
        </w:rPr>
        <w:t>Where</w:t>
      </w:r>
      <w:r w:rsidR="00822C9B" w:rsidRPr="00822C9B">
        <w:rPr>
          <w:noProof/>
          <w:lang w:val="en-IE"/>
        </w:rPr>
        <w:t xml:space="preserve"> a foreign investor's acquisition or establishment of an investment would result in foreign investors collectively holding more than the ownership or control thresholds </w:t>
      </w:r>
      <w:r>
        <w:rPr>
          <w:noProof/>
          <w:lang w:val="en-IE"/>
        </w:rPr>
        <w:t>laid down</w:t>
      </w:r>
      <w:r w:rsidRPr="00822C9B">
        <w:rPr>
          <w:noProof/>
          <w:lang w:val="en-IE"/>
        </w:rPr>
        <w:t xml:space="preserve"> </w:t>
      </w:r>
      <w:r w:rsidR="00822C9B" w:rsidRPr="00822C9B">
        <w:rPr>
          <w:noProof/>
          <w:lang w:val="en-IE"/>
        </w:rPr>
        <w:t>in paragraph 3, th</w:t>
      </w:r>
      <w:r w:rsidR="00193C6B">
        <w:rPr>
          <w:noProof/>
          <w:lang w:val="en-IE"/>
        </w:rPr>
        <w:t>at acquisition or establishment</w:t>
      </w:r>
      <w:r w:rsidR="00822C9B" w:rsidRPr="00822C9B">
        <w:rPr>
          <w:noProof/>
          <w:lang w:val="en-IE"/>
        </w:rPr>
        <w:t xml:space="preserve"> </w:t>
      </w:r>
      <w:r>
        <w:rPr>
          <w:noProof/>
          <w:lang w:val="en-IE"/>
        </w:rPr>
        <w:t>shall</w:t>
      </w:r>
      <w:r w:rsidRPr="00822C9B">
        <w:rPr>
          <w:noProof/>
          <w:lang w:val="en-IE"/>
        </w:rPr>
        <w:t xml:space="preserve"> </w:t>
      </w:r>
      <w:r w:rsidR="00822C9B" w:rsidRPr="00822C9B">
        <w:rPr>
          <w:noProof/>
          <w:lang w:val="en-IE"/>
        </w:rPr>
        <w:t>be notified.</w:t>
      </w:r>
    </w:p>
    <w:p w14:paraId="4AB18989" w14:textId="77777777" w:rsidR="006D311E" w:rsidRPr="00066A23" w:rsidRDefault="00DD4A8D" w:rsidP="001950DA">
      <w:pPr>
        <w:pStyle w:val="ManualNumPar1"/>
        <w:rPr>
          <w:noProof/>
        </w:rPr>
      </w:pPr>
      <w:r>
        <w:rPr>
          <w:noProof/>
        </w:rPr>
        <w:t>5.</w:t>
      </w:r>
      <w:r>
        <w:rPr>
          <w:noProof/>
        </w:rPr>
        <w:tab/>
        <w:t>For</w:t>
      </w:r>
      <w:r w:rsidR="006D311E" w:rsidRPr="00AD21FF">
        <w:rPr>
          <w:noProof/>
        </w:rPr>
        <w:t xml:space="preserve"> the purposes of calculating whether </w:t>
      </w:r>
      <w:r w:rsidR="00822E86">
        <w:rPr>
          <w:noProof/>
        </w:rPr>
        <w:t xml:space="preserve">either of </w:t>
      </w:r>
      <w:r w:rsidR="006D311E" w:rsidRPr="00AD21FF">
        <w:rPr>
          <w:noProof/>
        </w:rPr>
        <w:t xml:space="preserve">the </w:t>
      </w:r>
      <w:r w:rsidR="00822E86" w:rsidRPr="00AD21FF">
        <w:rPr>
          <w:noProof/>
        </w:rPr>
        <w:t>threshold</w:t>
      </w:r>
      <w:r w:rsidR="00822E86">
        <w:rPr>
          <w:noProof/>
        </w:rPr>
        <w:t>s</w:t>
      </w:r>
      <w:r w:rsidR="006D311E" w:rsidRPr="00AD21FF">
        <w:rPr>
          <w:noProof/>
        </w:rPr>
        <w:t xml:space="preserve"> </w:t>
      </w:r>
      <w:r w:rsidR="00822E86">
        <w:rPr>
          <w:noProof/>
        </w:rPr>
        <w:t xml:space="preserve">laid down </w:t>
      </w:r>
      <w:r w:rsidR="00471C3C">
        <w:rPr>
          <w:noProof/>
        </w:rPr>
        <w:t xml:space="preserve">in paragraph </w:t>
      </w:r>
      <w:r w:rsidR="0007503A">
        <w:rPr>
          <w:noProof/>
        </w:rPr>
        <w:t>3</w:t>
      </w:r>
      <w:r w:rsidR="00471C3C">
        <w:rPr>
          <w:noProof/>
        </w:rPr>
        <w:t xml:space="preserve"> </w:t>
      </w:r>
      <w:r w:rsidR="00822E86" w:rsidRPr="00AD21FF">
        <w:rPr>
          <w:noProof/>
        </w:rPr>
        <w:t>ha</w:t>
      </w:r>
      <w:r w:rsidR="00822E86">
        <w:rPr>
          <w:noProof/>
        </w:rPr>
        <w:t>ve</w:t>
      </w:r>
      <w:r w:rsidR="006D311E" w:rsidRPr="00AD21FF">
        <w:rPr>
          <w:noProof/>
        </w:rPr>
        <w:t xml:space="preserve"> been reached</w:t>
      </w:r>
      <w:r w:rsidR="00822E86">
        <w:rPr>
          <w:noProof/>
        </w:rPr>
        <w:t>,</w:t>
      </w:r>
      <w:r w:rsidR="006570FB">
        <w:rPr>
          <w:noProof/>
        </w:rPr>
        <w:t xml:space="preserve"> </w:t>
      </w:r>
      <w:r w:rsidR="00817C15">
        <w:rPr>
          <w:noProof/>
        </w:rPr>
        <w:t xml:space="preserve">aggregated </w:t>
      </w:r>
      <w:r w:rsidR="006D311E" w:rsidRPr="00AD21FF">
        <w:rPr>
          <w:noProof/>
        </w:rPr>
        <w:t>interests held directly or indirectly, including through affiliates, chains of ownership or by foreign investors acting in concert</w:t>
      </w:r>
      <w:r w:rsidR="00822E86">
        <w:rPr>
          <w:noProof/>
        </w:rPr>
        <w:t>,</w:t>
      </w:r>
      <w:r w:rsidR="00297BBA">
        <w:rPr>
          <w:noProof/>
        </w:rPr>
        <w:t xml:space="preserve"> shall be considered</w:t>
      </w:r>
      <w:r w:rsidR="006D311E" w:rsidRPr="00AD21FF">
        <w:rPr>
          <w:noProof/>
        </w:rPr>
        <w:t xml:space="preserve">. </w:t>
      </w:r>
    </w:p>
    <w:p w14:paraId="17F6256A" w14:textId="77777777" w:rsidR="002572E1" w:rsidRDefault="002572E1" w:rsidP="006F1172">
      <w:pPr>
        <w:pStyle w:val="ManualNumPar1"/>
        <w:rPr>
          <w:noProof/>
        </w:rPr>
      </w:pPr>
      <w:r>
        <w:rPr>
          <w:noProof/>
        </w:rPr>
        <w:t>6.</w:t>
      </w:r>
      <w:r>
        <w:rPr>
          <w:noProof/>
        </w:rPr>
        <w:tab/>
      </w:r>
      <w:r w:rsidRPr="00AD21FF">
        <w:rPr>
          <w:noProof/>
        </w:rPr>
        <w:t xml:space="preserve">Where the </w:t>
      </w:r>
      <w:r>
        <w:rPr>
          <w:noProof/>
        </w:rPr>
        <w:t>relevant Union targets or assets are located</w:t>
      </w:r>
      <w:r w:rsidRPr="00AD21FF">
        <w:rPr>
          <w:noProof/>
        </w:rPr>
        <w:t xml:space="preserve"> in more than one Member State, the foreign investor shall notify the competent Investment Authorities of all Member States </w:t>
      </w:r>
      <w:r>
        <w:rPr>
          <w:noProof/>
        </w:rPr>
        <w:t>concerned</w:t>
      </w:r>
      <w:r w:rsidRPr="00AD21FF">
        <w:rPr>
          <w:noProof/>
        </w:rPr>
        <w:t xml:space="preserve"> </w:t>
      </w:r>
      <w:r>
        <w:rPr>
          <w:noProof/>
        </w:rPr>
        <w:t xml:space="preserve">and the Commission </w:t>
      </w:r>
      <w:r w:rsidRPr="00AD21FF">
        <w:rPr>
          <w:noProof/>
        </w:rPr>
        <w:t xml:space="preserve">on the same day with reference to the other notifications. </w:t>
      </w:r>
      <w:r>
        <w:rPr>
          <w:noProof/>
        </w:rPr>
        <w:t>The</w:t>
      </w:r>
      <w:r w:rsidRPr="00AD21FF">
        <w:rPr>
          <w:noProof/>
        </w:rPr>
        <w:t xml:space="preserve"> Member State</w:t>
      </w:r>
      <w:r>
        <w:rPr>
          <w:noProof/>
        </w:rPr>
        <w:t>s</w:t>
      </w:r>
      <w:r w:rsidRPr="00AD21FF">
        <w:rPr>
          <w:noProof/>
        </w:rPr>
        <w:t xml:space="preserve"> concerned shall coordinate the review of such notifications </w:t>
      </w:r>
      <w:r>
        <w:rPr>
          <w:noProof/>
        </w:rPr>
        <w:t>and agree on the conditions imposed</w:t>
      </w:r>
      <w:r w:rsidRPr="00AD21FF">
        <w:rPr>
          <w:noProof/>
        </w:rPr>
        <w:t xml:space="preserve"> with the other Member States concerned</w:t>
      </w:r>
      <w:r>
        <w:rPr>
          <w:noProof/>
        </w:rPr>
        <w:t>, as well as with the Commission</w:t>
      </w:r>
      <w:r w:rsidRPr="00AD21FF">
        <w:rPr>
          <w:noProof/>
        </w:rPr>
        <w:t xml:space="preserve">. </w:t>
      </w:r>
    </w:p>
    <w:p w14:paraId="59060269" w14:textId="77777777" w:rsidR="002572E1" w:rsidRDefault="002572E1" w:rsidP="002572E1">
      <w:pPr>
        <w:pStyle w:val="Text1"/>
        <w:rPr>
          <w:noProof/>
        </w:rPr>
      </w:pPr>
      <w:r>
        <w:rPr>
          <w:noProof/>
        </w:rPr>
        <w:t>The Commission shall decide which conditions shall be applied to the foreign direct investment in case there is no agreement between the Member States concerned.</w:t>
      </w:r>
    </w:p>
    <w:p w14:paraId="56976B1B" w14:textId="77777777" w:rsidR="002572E1" w:rsidRPr="00AD21FF" w:rsidRDefault="002572E1" w:rsidP="002572E1">
      <w:pPr>
        <w:pStyle w:val="Text1"/>
        <w:rPr>
          <w:noProof/>
        </w:rPr>
      </w:pPr>
      <w:r w:rsidRPr="00AD21FF">
        <w:rPr>
          <w:noProof/>
        </w:rPr>
        <w:t xml:space="preserve">Foreign </w:t>
      </w:r>
      <w:r>
        <w:rPr>
          <w:noProof/>
        </w:rPr>
        <w:t>direct</w:t>
      </w:r>
      <w:r w:rsidRPr="00AD21FF">
        <w:rPr>
          <w:noProof/>
        </w:rPr>
        <w:t xml:space="preserve"> investment notified </w:t>
      </w:r>
      <w:r>
        <w:rPr>
          <w:noProof/>
        </w:rPr>
        <w:t>pursuant to the first sub</w:t>
      </w:r>
      <w:r w:rsidRPr="00AD21FF">
        <w:rPr>
          <w:noProof/>
        </w:rPr>
        <w:t>paragraph shall fulfil the</w:t>
      </w:r>
      <w:r>
        <w:rPr>
          <w:noProof/>
        </w:rPr>
        <w:t xml:space="preserve"> </w:t>
      </w:r>
      <w:r w:rsidRPr="00AD21FF">
        <w:rPr>
          <w:noProof/>
        </w:rPr>
        <w:t xml:space="preserve">conditions laid down in </w:t>
      </w:r>
      <w:r w:rsidRPr="00762D34">
        <w:rPr>
          <w:noProof/>
        </w:rPr>
        <w:t>Article 1</w:t>
      </w:r>
      <w:r w:rsidR="00D629F9" w:rsidRPr="00762D34">
        <w:rPr>
          <w:noProof/>
        </w:rPr>
        <w:t>8</w:t>
      </w:r>
      <w:r w:rsidRPr="00762D34">
        <w:rPr>
          <w:noProof/>
        </w:rPr>
        <w:t xml:space="preserve"> in all</w:t>
      </w:r>
      <w:r w:rsidRPr="00AD21FF">
        <w:rPr>
          <w:noProof/>
        </w:rPr>
        <w:t xml:space="preserve"> Member States concerned.</w:t>
      </w:r>
      <w:r>
        <w:rPr>
          <w:noProof/>
        </w:rPr>
        <w:t xml:space="preserve"> </w:t>
      </w:r>
    </w:p>
    <w:p w14:paraId="09F4D968" w14:textId="77777777" w:rsidR="006D311E" w:rsidRPr="00AD21FF" w:rsidRDefault="006D311E" w:rsidP="006D311E">
      <w:pPr>
        <w:pStyle w:val="Titrearticle"/>
        <w:rPr>
          <w:noProof/>
        </w:rPr>
      </w:pPr>
      <w:r w:rsidRPr="00AD21FF">
        <w:rPr>
          <w:noProof/>
        </w:rPr>
        <w:t xml:space="preserve">Article </w:t>
      </w:r>
      <w:r w:rsidR="009E02E0">
        <w:rPr>
          <w:noProof/>
        </w:rPr>
        <w:t>20</w:t>
      </w:r>
      <w:r w:rsidRPr="00AD21FF">
        <w:rPr>
          <w:noProof/>
        </w:rPr>
        <w:br/>
      </w:r>
      <w:r w:rsidRPr="00AD21FF">
        <w:rPr>
          <w:b/>
          <w:bCs/>
          <w:i w:val="0"/>
          <w:iCs/>
          <w:noProof/>
        </w:rPr>
        <w:t>Review and approval</w:t>
      </w:r>
    </w:p>
    <w:p w14:paraId="11452228" w14:textId="77777777" w:rsidR="006D311E" w:rsidRPr="007D2E8D" w:rsidRDefault="006D311E" w:rsidP="007234F4">
      <w:pPr>
        <w:pStyle w:val="ManualNumPar1"/>
        <w:rPr>
          <w:noProof/>
        </w:rPr>
      </w:pPr>
      <w:r>
        <w:rPr>
          <w:noProof/>
        </w:rPr>
        <w:t>1.</w:t>
      </w:r>
      <w:r>
        <w:rPr>
          <w:noProof/>
        </w:rPr>
        <w:tab/>
      </w:r>
      <w:r w:rsidRPr="007D2E8D">
        <w:rPr>
          <w:noProof/>
        </w:rPr>
        <w:t xml:space="preserve">The Investment Authority shall decide on the admissibility of the notification </w:t>
      </w:r>
      <w:r w:rsidR="00696680" w:rsidRPr="007D2E8D">
        <w:rPr>
          <w:noProof/>
        </w:rPr>
        <w:t xml:space="preserve">pursuant to </w:t>
      </w:r>
      <w:r w:rsidRPr="007D2E8D">
        <w:rPr>
          <w:noProof/>
        </w:rPr>
        <w:t>Article</w:t>
      </w:r>
      <w:r w:rsidR="002C1AF5" w:rsidRPr="007D2E8D">
        <w:rPr>
          <w:noProof/>
        </w:rPr>
        <w:t xml:space="preserve">s </w:t>
      </w:r>
      <w:r w:rsidR="00DD29CC" w:rsidRPr="007D2E8D">
        <w:rPr>
          <w:noProof/>
        </w:rPr>
        <w:t>1</w:t>
      </w:r>
      <w:r w:rsidR="00D629F9" w:rsidRPr="007D2E8D">
        <w:rPr>
          <w:noProof/>
        </w:rPr>
        <w:t>7</w:t>
      </w:r>
      <w:r w:rsidR="00305683" w:rsidRPr="007D2E8D">
        <w:rPr>
          <w:noProof/>
        </w:rPr>
        <w:t xml:space="preserve"> and</w:t>
      </w:r>
      <w:r w:rsidRPr="007D2E8D">
        <w:rPr>
          <w:noProof/>
        </w:rPr>
        <w:t xml:space="preserve"> </w:t>
      </w:r>
      <w:r w:rsidR="00DD29CC" w:rsidRPr="007D2E8D">
        <w:rPr>
          <w:noProof/>
        </w:rPr>
        <w:t>1</w:t>
      </w:r>
      <w:r w:rsidR="00FD63E6">
        <w:rPr>
          <w:noProof/>
        </w:rPr>
        <w:t>9</w:t>
      </w:r>
      <w:r w:rsidRPr="007D2E8D">
        <w:rPr>
          <w:noProof/>
        </w:rPr>
        <w:t xml:space="preserve"> within 30 days of receiving the notification. Th</w:t>
      </w:r>
      <w:r w:rsidR="003E27AB" w:rsidRPr="007D2E8D">
        <w:rPr>
          <w:noProof/>
        </w:rPr>
        <w:t>at</w:t>
      </w:r>
      <w:r w:rsidRPr="007D2E8D">
        <w:rPr>
          <w:noProof/>
        </w:rPr>
        <w:t xml:space="preserve"> deadline may be extended by a further 15 days where </w:t>
      </w:r>
      <w:r w:rsidR="003519CC" w:rsidRPr="007D2E8D">
        <w:rPr>
          <w:noProof/>
        </w:rPr>
        <w:t>the Investment Authority demonstrates satisfactorily that an extension is</w:t>
      </w:r>
      <w:r w:rsidRPr="007D2E8D">
        <w:rPr>
          <w:noProof/>
        </w:rPr>
        <w:t xml:space="preserve"> justified by the circumstances.</w:t>
      </w:r>
    </w:p>
    <w:p w14:paraId="243C14ED" w14:textId="77777777" w:rsidR="004C190B" w:rsidRPr="007D2E8D" w:rsidRDefault="006D311E" w:rsidP="002F1E3D">
      <w:pPr>
        <w:pStyle w:val="Text1"/>
        <w:rPr>
          <w:noProof/>
        </w:rPr>
      </w:pPr>
      <w:r w:rsidRPr="007D2E8D">
        <w:rPr>
          <w:noProof/>
        </w:rPr>
        <w:t xml:space="preserve">Where the Investment Authority decides a notification is admissible, </w:t>
      </w:r>
      <w:r w:rsidR="00C75A69" w:rsidRPr="007D2E8D">
        <w:rPr>
          <w:noProof/>
        </w:rPr>
        <w:t>it</w:t>
      </w:r>
      <w:r w:rsidRPr="007D2E8D">
        <w:rPr>
          <w:noProof/>
        </w:rPr>
        <w:t xml:space="preserve"> shall immediately transmit the full notification to the Commission including all documents received.</w:t>
      </w:r>
    </w:p>
    <w:p w14:paraId="2FFB8B03" w14:textId="77777777" w:rsidR="004179C7" w:rsidRPr="007D2E8D" w:rsidRDefault="004179C7" w:rsidP="007234F4">
      <w:pPr>
        <w:pStyle w:val="ManualNumPar1"/>
        <w:rPr>
          <w:noProof/>
        </w:rPr>
      </w:pPr>
      <w:r>
        <w:rPr>
          <w:noProof/>
        </w:rPr>
        <w:t>2.</w:t>
      </w:r>
      <w:r>
        <w:rPr>
          <w:noProof/>
        </w:rPr>
        <w:tab/>
      </w:r>
      <w:r w:rsidRPr="007D2E8D">
        <w:rPr>
          <w:noProof/>
        </w:rPr>
        <w:t>Within 30 days after receiving the notification, the Commission may issue a written opinion on whether the foreign direct investment falls within the scope of Articles 1</w:t>
      </w:r>
      <w:r w:rsidR="00D02368" w:rsidRPr="007D2E8D">
        <w:rPr>
          <w:noProof/>
        </w:rPr>
        <w:t>7</w:t>
      </w:r>
      <w:r w:rsidRPr="007D2E8D">
        <w:rPr>
          <w:noProof/>
        </w:rPr>
        <w:t xml:space="preserve"> and 1</w:t>
      </w:r>
      <w:r w:rsidR="0042552B" w:rsidRPr="007D2E8D">
        <w:rPr>
          <w:noProof/>
        </w:rPr>
        <w:t>9</w:t>
      </w:r>
      <w:r w:rsidRPr="007D2E8D">
        <w:rPr>
          <w:noProof/>
        </w:rPr>
        <w:t>, whether it fulfils the conditions laid out in Article 1</w:t>
      </w:r>
      <w:r w:rsidR="0042552B" w:rsidRPr="007D2E8D">
        <w:rPr>
          <w:noProof/>
        </w:rPr>
        <w:t>8</w:t>
      </w:r>
      <w:r w:rsidRPr="007D2E8D">
        <w:rPr>
          <w:noProof/>
        </w:rPr>
        <w:t xml:space="preserve">(2), and whether the Investment Authority is to approve the investment or not. </w:t>
      </w:r>
    </w:p>
    <w:p w14:paraId="6010AD6E" w14:textId="77777777" w:rsidR="004179C7" w:rsidRPr="002A166C" w:rsidRDefault="004179C7" w:rsidP="004179C7">
      <w:pPr>
        <w:pStyle w:val="Text1"/>
        <w:rPr>
          <w:noProof/>
        </w:rPr>
      </w:pPr>
      <w:r w:rsidRPr="007D2E8D">
        <w:rPr>
          <w:noProof/>
        </w:rPr>
        <w:t>Where the Commission</w:t>
      </w:r>
      <w:r>
        <w:rPr>
          <w:noProof/>
        </w:rPr>
        <w:t xml:space="preserve"> issues a </w:t>
      </w:r>
      <w:r w:rsidRPr="002A166C">
        <w:rPr>
          <w:noProof/>
        </w:rPr>
        <w:t xml:space="preserve">written opinion, </w:t>
      </w:r>
      <w:r>
        <w:rPr>
          <w:noProof/>
        </w:rPr>
        <w:t xml:space="preserve">it </w:t>
      </w:r>
      <w:r w:rsidRPr="002A166C">
        <w:rPr>
          <w:noProof/>
        </w:rPr>
        <w:t xml:space="preserve">shall transmit it to the Investment Authority without delay. The Commission may share </w:t>
      </w:r>
      <w:r>
        <w:rPr>
          <w:noProof/>
        </w:rPr>
        <w:t>the written</w:t>
      </w:r>
      <w:r w:rsidRPr="002A166C">
        <w:rPr>
          <w:noProof/>
        </w:rPr>
        <w:t xml:space="preserve"> opinion with </w:t>
      </w:r>
      <w:r>
        <w:rPr>
          <w:noProof/>
        </w:rPr>
        <w:t xml:space="preserve">the Investment Authorities of </w:t>
      </w:r>
      <w:r w:rsidRPr="002A166C">
        <w:rPr>
          <w:noProof/>
        </w:rPr>
        <w:t>other Member States or publish the written opinion on its official website</w:t>
      </w:r>
      <w:r>
        <w:rPr>
          <w:noProof/>
        </w:rPr>
        <w:t>, with due regard to confidentiality</w:t>
      </w:r>
      <w:r w:rsidRPr="002A166C">
        <w:rPr>
          <w:noProof/>
        </w:rPr>
        <w:t xml:space="preserve">. </w:t>
      </w:r>
    </w:p>
    <w:p w14:paraId="7ADA4FC4" w14:textId="77777777" w:rsidR="00E26719" w:rsidRPr="007D2E8D" w:rsidRDefault="00E26719" w:rsidP="007234F4">
      <w:pPr>
        <w:pStyle w:val="ManualNumPar1"/>
        <w:rPr>
          <w:noProof/>
        </w:rPr>
      </w:pPr>
      <w:r>
        <w:rPr>
          <w:noProof/>
        </w:rPr>
        <w:t>3.</w:t>
      </w:r>
      <w:r>
        <w:rPr>
          <w:noProof/>
        </w:rPr>
        <w:tab/>
      </w:r>
      <w:r w:rsidRPr="002A166C">
        <w:rPr>
          <w:noProof/>
        </w:rPr>
        <w:t>No sooner than</w:t>
      </w:r>
      <w:r>
        <w:rPr>
          <w:noProof/>
        </w:rPr>
        <w:t xml:space="preserve"> receiving the opinion of the Commission or the lapse of the deadline</w:t>
      </w:r>
      <w:r w:rsidRPr="002A166C">
        <w:rPr>
          <w:noProof/>
        </w:rPr>
        <w:t xml:space="preserve"> </w:t>
      </w:r>
      <w:r>
        <w:rPr>
          <w:noProof/>
        </w:rPr>
        <w:t>referred to in paragraph 2</w:t>
      </w:r>
      <w:r w:rsidRPr="002A166C">
        <w:rPr>
          <w:noProof/>
        </w:rPr>
        <w:t xml:space="preserve"> and no later than 60 days</w:t>
      </w:r>
      <w:r>
        <w:rPr>
          <w:noProof/>
        </w:rPr>
        <w:t>, or 75 days if the deadline was extended in accordance with paragraph 1,</w:t>
      </w:r>
      <w:r w:rsidRPr="002A166C">
        <w:rPr>
          <w:noProof/>
        </w:rPr>
        <w:t xml:space="preserve"> after receipt of the notification, the Investment Authority shall issue a reasoned decision approving or declining the foreign direct investment. </w:t>
      </w:r>
      <w:r>
        <w:rPr>
          <w:noProof/>
        </w:rPr>
        <w:t xml:space="preserve">The Investment Authority shall approve the foreign direct investment if it fulfils </w:t>
      </w:r>
      <w:r w:rsidR="00CF510C">
        <w:rPr>
          <w:noProof/>
        </w:rPr>
        <w:t>4</w:t>
      </w:r>
      <w:r>
        <w:rPr>
          <w:noProof/>
        </w:rPr>
        <w:t xml:space="preserve"> out of 6 conditions set out in Article </w:t>
      </w:r>
      <w:r w:rsidRPr="007D2E8D">
        <w:rPr>
          <w:noProof/>
        </w:rPr>
        <w:t>1</w:t>
      </w:r>
      <w:r w:rsidR="00CF510C" w:rsidRPr="007D2E8D">
        <w:rPr>
          <w:noProof/>
        </w:rPr>
        <w:t>8</w:t>
      </w:r>
      <w:r w:rsidRPr="007D2E8D">
        <w:rPr>
          <w:noProof/>
        </w:rPr>
        <w:t>. The deadline for issuing the reasoned decision may be extended by a further 30 days where the Investment Authority demonstrates satisfactorily that an extension is justified by the circumstances.</w:t>
      </w:r>
    </w:p>
    <w:p w14:paraId="2433073E" w14:textId="51407CE5" w:rsidR="00E26719" w:rsidRPr="007D2E8D" w:rsidRDefault="00E26719" w:rsidP="00E26719">
      <w:pPr>
        <w:pStyle w:val="Text1"/>
        <w:rPr>
          <w:noProof/>
        </w:rPr>
      </w:pPr>
      <w:r w:rsidRPr="007D2E8D">
        <w:rPr>
          <w:noProof/>
        </w:rPr>
        <w:t>The</w:t>
      </w:r>
      <w:r w:rsidR="001860A3">
        <w:rPr>
          <w:noProof/>
        </w:rPr>
        <w:t xml:space="preserve"> </w:t>
      </w:r>
      <w:r w:rsidRPr="007D2E8D">
        <w:rPr>
          <w:noProof/>
        </w:rPr>
        <w:t>Investment Authority shall communicate such reasoned decisions to the Commission within three days of adoption.</w:t>
      </w:r>
    </w:p>
    <w:p w14:paraId="54A9A4DF" w14:textId="77777777" w:rsidR="009B6820" w:rsidRPr="002A166C" w:rsidRDefault="009B6820" w:rsidP="007234F4">
      <w:pPr>
        <w:pStyle w:val="ManualNumPar1"/>
        <w:rPr>
          <w:noProof/>
        </w:rPr>
      </w:pPr>
      <w:r>
        <w:rPr>
          <w:noProof/>
        </w:rPr>
        <w:t>4.</w:t>
      </w:r>
      <w:r>
        <w:rPr>
          <w:noProof/>
        </w:rPr>
        <w:tab/>
      </w:r>
      <w:r w:rsidRPr="007D2E8D">
        <w:rPr>
          <w:noProof/>
        </w:rPr>
        <w:t>Where the Investment Authority gives a decision which diverts from the Commission opinion as regards compliance of the foreign direct investment with the conditions laid down in Article 1</w:t>
      </w:r>
      <w:r w:rsidR="001A55DF" w:rsidRPr="007D2E8D">
        <w:rPr>
          <w:noProof/>
        </w:rPr>
        <w:t>8</w:t>
      </w:r>
      <w:r w:rsidRPr="007D2E8D">
        <w:rPr>
          <w:noProof/>
        </w:rPr>
        <w:t>, the Investment Authority shall assess the notification in greater detail within</w:t>
      </w:r>
      <w:r>
        <w:rPr>
          <w:noProof/>
        </w:rPr>
        <w:t xml:space="preserve"> </w:t>
      </w:r>
      <w:r w:rsidRPr="002A166C">
        <w:rPr>
          <w:noProof/>
        </w:rPr>
        <w:t>an additional period of two months</w:t>
      </w:r>
      <w:r>
        <w:rPr>
          <w:noProof/>
        </w:rPr>
        <w:t xml:space="preserve"> and the decision shall only enter into force after the lapse of this deadline</w:t>
      </w:r>
      <w:r w:rsidRPr="002A166C">
        <w:rPr>
          <w:noProof/>
        </w:rPr>
        <w:t xml:space="preserve">. </w:t>
      </w:r>
    </w:p>
    <w:p w14:paraId="0B26E691" w14:textId="77777777" w:rsidR="00576799" w:rsidRPr="002A166C" w:rsidRDefault="00576799" w:rsidP="0013414F">
      <w:pPr>
        <w:pStyle w:val="Text1"/>
        <w:rPr>
          <w:noProof/>
        </w:rPr>
      </w:pPr>
      <w:r w:rsidRPr="002A166C">
        <w:rPr>
          <w:noProof/>
        </w:rPr>
        <w:t xml:space="preserve">Investment Authorities shall, in their </w:t>
      </w:r>
      <w:r>
        <w:rPr>
          <w:noProof/>
        </w:rPr>
        <w:t xml:space="preserve">reasoned </w:t>
      </w:r>
      <w:r w:rsidRPr="002A166C">
        <w:rPr>
          <w:noProof/>
        </w:rPr>
        <w:t xml:space="preserve">decision issued pursuant to </w:t>
      </w:r>
      <w:r>
        <w:rPr>
          <w:noProof/>
        </w:rPr>
        <w:t>paragraph 3</w:t>
      </w:r>
      <w:r w:rsidRPr="002A166C">
        <w:rPr>
          <w:noProof/>
        </w:rPr>
        <w:t>, justify how the opinion of the Commission was taken into account.</w:t>
      </w:r>
    </w:p>
    <w:p w14:paraId="6E67FD33" w14:textId="77777777" w:rsidR="005D25C7" w:rsidRPr="00E50D8A" w:rsidRDefault="005D25C7" w:rsidP="007234F4">
      <w:pPr>
        <w:pStyle w:val="ManualNumPar1"/>
        <w:rPr>
          <w:noProof/>
        </w:rPr>
      </w:pPr>
      <w:r>
        <w:rPr>
          <w:noProof/>
        </w:rPr>
        <w:t>5.</w:t>
      </w:r>
      <w:r>
        <w:rPr>
          <w:noProof/>
        </w:rPr>
        <w:tab/>
      </w:r>
      <w:r w:rsidRPr="002A166C">
        <w:rPr>
          <w:noProof/>
        </w:rPr>
        <w:t xml:space="preserve">The Investment Authority shall, in its approval decision, set out reporting obligations on the investor concerned, with a view to assessing the </w:t>
      </w:r>
      <w:r>
        <w:rPr>
          <w:noProof/>
        </w:rPr>
        <w:t>continuous</w:t>
      </w:r>
      <w:r w:rsidRPr="002A166C">
        <w:rPr>
          <w:noProof/>
        </w:rPr>
        <w:t xml:space="preserve"> fulfilment of the conditions laid down in </w:t>
      </w:r>
      <w:r w:rsidRPr="00E50D8A">
        <w:rPr>
          <w:noProof/>
        </w:rPr>
        <w:t>Article 1</w:t>
      </w:r>
      <w:r w:rsidR="00F151F4" w:rsidRPr="00E50D8A">
        <w:rPr>
          <w:noProof/>
        </w:rPr>
        <w:t>8</w:t>
      </w:r>
      <w:r w:rsidRPr="00E50D8A">
        <w:rPr>
          <w:noProof/>
        </w:rPr>
        <w:t xml:space="preserve">. </w:t>
      </w:r>
    </w:p>
    <w:p w14:paraId="26697408" w14:textId="77777777" w:rsidR="009D4461" w:rsidRPr="00E50D8A" w:rsidRDefault="009D4461" w:rsidP="007234F4">
      <w:pPr>
        <w:pStyle w:val="ManualNumPar1"/>
        <w:rPr>
          <w:noProof/>
        </w:rPr>
      </w:pPr>
      <w:r>
        <w:rPr>
          <w:noProof/>
        </w:rPr>
        <w:t>6.</w:t>
      </w:r>
      <w:r>
        <w:rPr>
          <w:noProof/>
        </w:rPr>
        <w:tab/>
      </w:r>
      <w:r w:rsidRPr="00E50D8A">
        <w:rPr>
          <w:noProof/>
        </w:rPr>
        <w:t>Any party subject to a decision issued pursuant to paragraphs 1 or 3 shall have the right to seek judicial recourse against such decision.</w:t>
      </w:r>
    </w:p>
    <w:p w14:paraId="36951CF7" w14:textId="77777777" w:rsidR="002C29EF" w:rsidRPr="00E50D8A" w:rsidRDefault="002C29EF" w:rsidP="00F253B8">
      <w:pPr>
        <w:pStyle w:val="Titrearticle"/>
        <w:spacing w:before="0" w:after="0"/>
        <w:rPr>
          <w:noProof/>
        </w:rPr>
      </w:pPr>
      <w:r w:rsidRPr="00E50D8A">
        <w:rPr>
          <w:noProof/>
        </w:rPr>
        <w:t xml:space="preserve">Article </w:t>
      </w:r>
      <w:r w:rsidR="009E02E0" w:rsidRPr="00E50D8A">
        <w:rPr>
          <w:noProof/>
        </w:rPr>
        <w:t>21</w:t>
      </w:r>
      <w:r w:rsidR="00F253B8" w:rsidRPr="00E50D8A">
        <w:rPr>
          <w:noProof/>
        </w:rPr>
        <w:br/>
      </w:r>
      <w:r w:rsidRPr="00E50D8A">
        <w:rPr>
          <w:rFonts w:ascii="Times" w:hAnsi="Times" w:cs="Times"/>
          <w:b/>
          <w:i w:val="0"/>
          <w:iCs/>
          <w:noProof/>
        </w:rPr>
        <w:t xml:space="preserve">Review of foreign direct </w:t>
      </w:r>
      <w:r w:rsidRPr="00E50D8A">
        <w:rPr>
          <w:b/>
          <w:bCs/>
          <w:i w:val="0"/>
          <w:iCs/>
          <w:noProof/>
        </w:rPr>
        <w:t>investment</w:t>
      </w:r>
      <w:r w:rsidRPr="00E50D8A">
        <w:rPr>
          <w:rFonts w:ascii="Times" w:hAnsi="Times" w:cs="Times"/>
          <w:b/>
          <w:i w:val="0"/>
          <w:iCs/>
          <w:noProof/>
        </w:rPr>
        <w:t xml:space="preserve"> by the Commission</w:t>
      </w:r>
    </w:p>
    <w:p w14:paraId="11850334" w14:textId="77777777" w:rsidR="0003436C" w:rsidRPr="00BD0094" w:rsidRDefault="0003436C" w:rsidP="007234F4">
      <w:pPr>
        <w:pStyle w:val="ManualNumPar1"/>
        <w:rPr>
          <w:noProof/>
        </w:rPr>
      </w:pPr>
      <w:r>
        <w:rPr>
          <w:noProof/>
        </w:rPr>
        <w:t>1.</w:t>
      </w:r>
      <w:r>
        <w:rPr>
          <w:noProof/>
        </w:rPr>
        <w:tab/>
      </w:r>
      <w:r w:rsidRPr="00E50D8A">
        <w:rPr>
          <w:noProof/>
        </w:rPr>
        <w:t xml:space="preserve">Following the notification referred to in Article </w:t>
      </w:r>
      <w:r w:rsidR="00631479" w:rsidRPr="00E50D8A">
        <w:rPr>
          <w:noProof/>
        </w:rPr>
        <w:t>19</w:t>
      </w:r>
      <w:r w:rsidRPr="00E50D8A">
        <w:rPr>
          <w:noProof/>
        </w:rPr>
        <w:t>(1), the Commission may decide</w:t>
      </w:r>
      <w:r w:rsidRPr="0003436C">
        <w:rPr>
          <w:noProof/>
        </w:rPr>
        <w:t xml:space="preserve"> to undertake the assessment of the foreign direct investment in the following circumstances:</w:t>
      </w:r>
    </w:p>
    <w:p w14:paraId="36D8A2B4" w14:textId="77777777" w:rsidR="000B2079" w:rsidRDefault="00C228C4" w:rsidP="007234F4">
      <w:pPr>
        <w:pStyle w:val="Point1"/>
        <w:rPr>
          <w:noProof/>
        </w:rPr>
      </w:pPr>
      <w:r>
        <w:rPr>
          <w:noProof/>
        </w:rPr>
        <w:t>(a)</w:t>
      </w:r>
      <w:r>
        <w:rPr>
          <w:noProof/>
        </w:rPr>
        <w:tab/>
        <w:t xml:space="preserve">on </w:t>
      </w:r>
      <w:r w:rsidR="000B2079">
        <w:rPr>
          <w:noProof/>
        </w:rPr>
        <w:t>its own initiative, where</w:t>
      </w:r>
      <w:r w:rsidR="000B2079" w:rsidRPr="001E151B">
        <w:rPr>
          <w:noProof/>
        </w:rPr>
        <w:t xml:space="preserve"> the foreign direct investment has the potential to significantly </w:t>
      </w:r>
      <w:r w:rsidR="000B2079">
        <w:rPr>
          <w:noProof/>
        </w:rPr>
        <w:t>impact</w:t>
      </w:r>
      <w:r w:rsidR="000B2079" w:rsidRPr="001E151B">
        <w:rPr>
          <w:noProof/>
        </w:rPr>
        <w:t xml:space="preserve"> </w:t>
      </w:r>
      <w:r w:rsidR="000B2079">
        <w:rPr>
          <w:noProof/>
        </w:rPr>
        <w:t>added value creation in the Union market</w:t>
      </w:r>
      <w:r w:rsidR="00DC66A0">
        <w:rPr>
          <w:noProof/>
        </w:rPr>
        <w:t>;</w:t>
      </w:r>
      <w:r w:rsidR="000B2079" w:rsidRPr="001E151B">
        <w:rPr>
          <w:noProof/>
        </w:rPr>
        <w:t xml:space="preserve"> </w:t>
      </w:r>
    </w:p>
    <w:p w14:paraId="2FE6B1CD" w14:textId="77777777" w:rsidR="000B2079" w:rsidRPr="00DC66A0" w:rsidRDefault="00C228C4" w:rsidP="007234F4">
      <w:pPr>
        <w:pStyle w:val="Point1"/>
        <w:rPr>
          <w:noProof/>
        </w:rPr>
      </w:pPr>
      <w:r>
        <w:rPr>
          <w:noProof/>
        </w:rPr>
        <w:t>(b)</w:t>
      </w:r>
      <w:r>
        <w:rPr>
          <w:noProof/>
        </w:rPr>
        <w:tab/>
        <w:t xml:space="preserve">on </w:t>
      </w:r>
      <w:r w:rsidR="000B2079" w:rsidRPr="00AB2834">
        <w:rPr>
          <w:noProof/>
        </w:rPr>
        <w:t xml:space="preserve">the request of an Investment Authority handling </w:t>
      </w:r>
      <w:r w:rsidR="000B2079">
        <w:rPr>
          <w:noProof/>
        </w:rPr>
        <w:t>a</w:t>
      </w:r>
      <w:r w:rsidR="000B2079" w:rsidRPr="00AB2834">
        <w:rPr>
          <w:noProof/>
        </w:rPr>
        <w:t xml:space="preserve"> notification, or an Investment Authority of another Member State</w:t>
      </w:r>
      <w:r w:rsidR="000B2079">
        <w:rPr>
          <w:noProof/>
        </w:rPr>
        <w:t>,</w:t>
      </w:r>
      <w:r w:rsidR="000B2079" w:rsidRPr="00AB2834">
        <w:rPr>
          <w:noProof/>
        </w:rPr>
        <w:t xml:space="preserve"> </w:t>
      </w:r>
      <w:r w:rsidR="0097243D">
        <w:rPr>
          <w:noProof/>
        </w:rPr>
        <w:t>in which</w:t>
      </w:r>
      <w:r w:rsidR="000B2079" w:rsidRPr="00AB2834">
        <w:rPr>
          <w:noProof/>
        </w:rPr>
        <w:t xml:space="preserve"> the foreign direct investment </w:t>
      </w:r>
      <w:r w:rsidR="000B2079">
        <w:rPr>
          <w:noProof/>
        </w:rPr>
        <w:t xml:space="preserve">in question </w:t>
      </w:r>
      <w:r w:rsidR="000B2079" w:rsidRPr="00AB2834">
        <w:rPr>
          <w:noProof/>
        </w:rPr>
        <w:t xml:space="preserve">would have </w:t>
      </w:r>
      <w:r w:rsidR="000B2079">
        <w:rPr>
          <w:noProof/>
        </w:rPr>
        <w:t xml:space="preserve">a </w:t>
      </w:r>
      <w:r w:rsidR="000B2079" w:rsidRPr="00AB2834">
        <w:rPr>
          <w:noProof/>
        </w:rPr>
        <w:t xml:space="preserve">significant impact on </w:t>
      </w:r>
      <w:r w:rsidR="000B2079">
        <w:rPr>
          <w:noProof/>
        </w:rPr>
        <w:t>its</w:t>
      </w:r>
      <w:r w:rsidR="000B2079" w:rsidRPr="00AB2834">
        <w:rPr>
          <w:noProof/>
        </w:rPr>
        <w:t xml:space="preserve"> territory</w:t>
      </w:r>
      <w:r w:rsidR="00614B60" w:rsidRPr="0036120D">
        <w:rPr>
          <w:noProof/>
        </w:rPr>
        <w:t>; or</w:t>
      </w:r>
    </w:p>
    <w:p w14:paraId="403FDA38" w14:textId="77777777" w:rsidR="00735417" w:rsidRPr="00DC66A0" w:rsidRDefault="00735417" w:rsidP="00BF0782">
      <w:pPr>
        <w:pStyle w:val="Point1"/>
        <w:rPr>
          <w:noProof/>
        </w:rPr>
      </w:pPr>
      <w:r>
        <w:rPr>
          <w:noProof/>
        </w:rPr>
        <w:t>(c)</w:t>
      </w:r>
      <w:r>
        <w:rPr>
          <w:noProof/>
        </w:rPr>
        <w:tab/>
        <w:t>on its own initiative, where the</w:t>
      </w:r>
      <w:r w:rsidRPr="00E2086C">
        <w:rPr>
          <w:noProof/>
        </w:rPr>
        <w:t xml:space="preserve"> foreign direct investment </w:t>
      </w:r>
      <w:r>
        <w:rPr>
          <w:noProof/>
        </w:rPr>
        <w:t>has value</w:t>
      </w:r>
      <w:r w:rsidRPr="00E2086C">
        <w:rPr>
          <w:noProof/>
        </w:rPr>
        <w:t xml:space="preserve"> exceeding EUR</w:t>
      </w:r>
      <w:r>
        <w:rPr>
          <w:noProof/>
        </w:rPr>
        <w:t xml:space="preserve"> 1 b</w:t>
      </w:r>
      <w:r w:rsidRPr="00E2086C">
        <w:rPr>
          <w:noProof/>
        </w:rPr>
        <w:t>illion</w:t>
      </w:r>
      <w:r>
        <w:rPr>
          <w:noProof/>
        </w:rPr>
        <w:t>.</w:t>
      </w:r>
    </w:p>
    <w:p w14:paraId="6CA35A87" w14:textId="77777777" w:rsidR="006C59B1" w:rsidRPr="006C59B1" w:rsidRDefault="006C59B1" w:rsidP="008158F4">
      <w:pPr>
        <w:pStyle w:val="ManualNumPar1"/>
        <w:rPr>
          <w:noProof/>
        </w:rPr>
      </w:pPr>
      <w:r>
        <w:rPr>
          <w:noProof/>
        </w:rPr>
        <w:t>2.</w:t>
      </w:r>
      <w:r>
        <w:rPr>
          <w:noProof/>
        </w:rPr>
        <w:tab/>
      </w:r>
      <w:r w:rsidRPr="006C59B1">
        <w:rPr>
          <w:noProof/>
        </w:rPr>
        <w:t>For the purposes of paragraph 1, the foreign direct investment shall be deemed to have the potential to significantly impact the added value creation in the internal market, in any of the following cases:</w:t>
      </w:r>
    </w:p>
    <w:p w14:paraId="51D4D21F" w14:textId="77777777" w:rsidR="0026690D" w:rsidRDefault="0026690D" w:rsidP="006060DF">
      <w:pPr>
        <w:pStyle w:val="Point1"/>
        <w:rPr>
          <w:noProof/>
        </w:rPr>
      </w:pPr>
      <w:r>
        <w:rPr>
          <w:noProof/>
        </w:rPr>
        <w:t>(a)</w:t>
      </w:r>
      <w:r>
        <w:rPr>
          <w:noProof/>
        </w:rPr>
        <w:tab/>
        <w:t xml:space="preserve">it is </w:t>
      </w:r>
      <w:r w:rsidRPr="001E151B">
        <w:rPr>
          <w:noProof/>
        </w:rPr>
        <w:t xml:space="preserve">of particular strategic importance for the </w:t>
      </w:r>
      <w:r>
        <w:rPr>
          <w:noProof/>
        </w:rPr>
        <w:t xml:space="preserve">internal </w:t>
      </w:r>
      <w:r w:rsidRPr="001E151B">
        <w:rPr>
          <w:noProof/>
        </w:rPr>
        <w:t>market;</w:t>
      </w:r>
      <w:r>
        <w:rPr>
          <w:noProof/>
        </w:rPr>
        <w:t xml:space="preserve"> </w:t>
      </w:r>
    </w:p>
    <w:p w14:paraId="6C8DCA72" w14:textId="77777777" w:rsidR="0026690D" w:rsidRDefault="0026690D" w:rsidP="0026690D">
      <w:pPr>
        <w:pStyle w:val="Point1"/>
        <w:rPr>
          <w:noProof/>
        </w:rPr>
      </w:pPr>
      <w:r>
        <w:rPr>
          <w:noProof/>
        </w:rPr>
        <w:t>(b)</w:t>
      </w:r>
      <w:r>
        <w:rPr>
          <w:noProof/>
        </w:rPr>
        <w:tab/>
        <w:t>it has considerable economic impact</w:t>
      </w:r>
      <w:r w:rsidRPr="00812B30">
        <w:rPr>
          <w:noProof/>
        </w:rPr>
        <w:t xml:space="preserve"> </w:t>
      </w:r>
      <w:r>
        <w:rPr>
          <w:noProof/>
        </w:rPr>
        <w:t>on</w:t>
      </w:r>
      <w:r w:rsidRPr="00812B30">
        <w:rPr>
          <w:noProof/>
        </w:rPr>
        <w:t xml:space="preserve"> the territory of more than one Member State;</w:t>
      </w:r>
    </w:p>
    <w:p w14:paraId="169C79CB" w14:textId="77777777" w:rsidR="0026690D" w:rsidRDefault="0026690D" w:rsidP="0026690D">
      <w:pPr>
        <w:pStyle w:val="Point1"/>
        <w:rPr>
          <w:noProof/>
        </w:rPr>
      </w:pPr>
      <w:r>
        <w:rPr>
          <w:noProof/>
        </w:rPr>
        <w:t>(c)</w:t>
      </w:r>
      <w:r>
        <w:rPr>
          <w:noProof/>
        </w:rPr>
        <w:tab/>
        <w:t xml:space="preserve">it has high potential of disrupting the security of supply of that emerging strategic sector or related value chains in the Union, or security in more than one Member State; </w:t>
      </w:r>
    </w:p>
    <w:p w14:paraId="0BF91653" w14:textId="77777777" w:rsidR="0026690D" w:rsidRDefault="0026690D" w:rsidP="0026690D">
      <w:pPr>
        <w:pStyle w:val="Point1"/>
        <w:rPr>
          <w:noProof/>
        </w:rPr>
      </w:pPr>
      <w:r>
        <w:rPr>
          <w:noProof/>
        </w:rPr>
        <w:t>(d)</w:t>
      </w:r>
      <w:r>
        <w:rPr>
          <w:noProof/>
        </w:rPr>
        <w:tab/>
        <w:t xml:space="preserve">it has high potential of having detrimental environmental effect in more than one Member State; </w:t>
      </w:r>
    </w:p>
    <w:p w14:paraId="6DDA1CC1" w14:textId="77777777" w:rsidR="0026690D" w:rsidRPr="009C75F3" w:rsidRDefault="0026690D" w:rsidP="0026690D">
      <w:pPr>
        <w:pStyle w:val="Point1"/>
        <w:rPr>
          <w:noProof/>
        </w:rPr>
      </w:pPr>
      <w:r>
        <w:rPr>
          <w:noProof/>
        </w:rPr>
        <w:t>(e)</w:t>
      </w:r>
      <w:r>
        <w:rPr>
          <w:noProof/>
        </w:rPr>
        <w:tab/>
        <w:t xml:space="preserve">it is </w:t>
      </w:r>
      <w:r w:rsidRPr="001E151B">
        <w:rPr>
          <w:noProof/>
        </w:rPr>
        <w:t xml:space="preserve">of a </w:t>
      </w:r>
      <w:r>
        <w:rPr>
          <w:noProof/>
        </w:rPr>
        <w:t>particularly</w:t>
      </w:r>
      <w:r w:rsidRPr="001E151B">
        <w:rPr>
          <w:noProof/>
        </w:rPr>
        <w:t xml:space="preserve"> high value </w:t>
      </w:r>
      <w:r>
        <w:rPr>
          <w:noProof/>
        </w:rPr>
        <w:t>compared to</w:t>
      </w:r>
      <w:r w:rsidRPr="001E151B">
        <w:rPr>
          <w:noProof/>
        </w:rPr>
        <w:t xml:space="preserve"> </w:t>
      </w:r>
      <w:r>
        <w:rPr>
          <w:noProof/>
        </w:rPr>
        <w:t xml:space="preserve">other </w:t>
      </w:r>
      <w:r w:rsidRPr="001E151B">
        <w:rPr>
          <w:noProof/>
        </w:rPr>
        <w:t>investments in that emerging strategic sector.</w:t>
      </w:r>
    </w:p>
    <w:p w14:paraId="638E1791" w14:textId="77777777" w:rsidR="007B736C" w:rsidRDefault="007B736C" w:rsidP="008158F4">
      <w:pPr>
        <w:pStyle w:val="ManualNumPar1"/>
        <w:rPr>
          <w:noProof/>
        </w:rPr>
      </w:pPr>
      <w:r>
        <w:rPr>
          <w:noProof/>
        </w:rPr>
        <w:t>3.</w:t>
      </w:r>
      <w:r>
        <w:rPr>
          <w:noProof/>
        </w:rPr>
        <w:tab/>
      </w:r>
      <w:r w:rsidRPr="6873F2FB">
        <w:rPr>
          <w:rFonts w:ascii="Times" w:hAnsi="Times" w:cs="Times"/>
          <w:noProof/>
        </w:rPr>
        <w:t xml:space="preserve">Following the </w:t>
      </w:r>
      <w:r w:rsidRPr="00A019A7">
        <w:rPr>
          <w:rFonts w:ascii="Times" w:hAnsi="Times" w:cs="Times"/>
          <w:noProof/>
        </w:rPr>
        <w:t xml:space="preserve">notification </w:t>
      </w:r>
      <w:r>
        <w:rPr>
          <w:rFonts w:ascii="Times" w:hAnsi="Times" w:cs="Times"/>
          <w:noProof/>
        </w:rPr>
        <w:t xml:space="preserve">referred </w:t>
      </w:r>
      <w:r w:rsidRPr="00A019A7">
        <w:rPr>
          <w:rFonts w:ascii="Times" w:hAnsi="Times" w:cs="Times"/>
          <w:noProof/>
        </w:rPr>
        <w:t xml:space="preserve">to </w:t>
      </w:r>
      <w:r>
        <w:rPr>
          <w:rFonts w:ascii="Times" w:hAnsi="Times" w:cs="Times"/>
          <w:noProof/>
        </w:rPr>
        <w:t xml:space="preserve">in </w:t>
      </w:r>
      <w:r w:rsidRPr="005434DB">
        <w:rPr>
          <w:rFonts w:ascii="Times" w:hAnsi="Times" w:cs="Times"/>
          <w:noProof/>
        </w:rPr>
        <w:t xml:space="preserve">Article </w:t>
      </w:r>
      <w:r w:rsidR="00631479" w:rsidRPr="005434DB">
        <w:rPr>
          <w:rFonts w:ascii="Times" w:hAnsi="Times" w:cs="Times"/>
          <w:noProof/>
        </w:rPr>
        <w:t>19</w:t>
      </w:r>
      <w:r w:rsidRPr="005434DB">
        <w:rPr>
          <w:rFonts w:ascii="Times" w:hAnsi="Times" w:cs="Times"/>
          <w:noProof/>
        </w:rPr>
        <w:t xml:space="preserve">(1), </w:t>
      </w:r>
      <w:r w:rsidRPr="005434DB">
        <w:rPr>
          <w:noProof/>
        </w:rPr>
        <w:t>the Commission may decide to undertake the assessment of an investment referred to in Article 1</w:t>
      </w:r>
      <w:r w:rsidR="00631479" w:rsidRPr="005434DB">
        <w:rPr>
          <w:noProof/>
        </w:rPr>
        <w:t>8</w:t>
      </w:r>
      <w:r w:rsidRPr="005434DB">
        <w:rPr>
          <w:noProof/>
        </w:rPr>
        <w:t>(</w:t>
      </w:r>
      <w:r>
        <w:rPr>
          <w:noProof/>
        </w:rPr>
        <w:t xml:space="preserve">4). The Commission may carry out its assessment on its own initiative, or at the request of </w:t>
      </w:r>
      <w:r w:rsidRPr="00AB2834">
        <w:rPr>
          <w:noProof/>
        </w:rPr>
        <w:t xml:space="preserve">an Investment Authority handling </w:t>
      </w:r>
      <w:r>
        <w:rPr>
          <w:noProof/>
        </w:rPr>
        <w:t>a</w:t>
      </w:r>
      <w:r w:rsidRPr="00AB2834">
        <w:rPr>
          <w:noProof/>
        </w:rPr>
        <w:t xml:space="preserve"> notification, or an Investment Authority of another Member State </w:t>
      </w:r>
      <w:r>
        <w:rPr>
          <w:noProof/>
        </w:rPr>
        <w:t>on which</w:t>
      </w:r>
      <w:r w:rsidRPr="00AB2834">
        <w:rPr>
          <w:noProof/>
        </w:rPr>
        <w:t xml:space="preserve"> the foreign direct investment </w:t>
      </w:r>
      <w:r>
        <w:rPr>
          <w:noProof/>
        </w:rPr>
        <w:t xml:space="preserve">in question </w:t>
      </w:r>
      <w:r w:rsidRPr="00AB2834">
        <w:rPr>
          <w:noProof/>
        </w:rPr>
        <w:t xml:space="preserve">would have </w:t>
      </w:r>
      <w:r>
        <w:rPr>
          <w:noProof/>
        </w:rPr>
        <w:t xml:space="preserve">a </w:t>
      </w:r>
      <w:r w:rsidRPr="00AB2834">
        <w:rPr>
          <w:noProof/>
        </w:rPr>
        <w:t>significant impact</w:t>
      </w:r>
      <w:r>
        <w:rPr>
          <w:noProof/>
        </w:rPr>
        <w:t>.</w:t>
      </w:r>
    </w:p>
    <w:p w14:paraId="5D2AEE77" w14:textId="77777777" w:rsidR="007A72B6" w:rsidRPr="00F733BF" w:rsidRDefault="007A72B6" w:rsidP="00654263">
      <w:pPr>
        <w:pStyle w:val="Text1"/>
        <w:rPr>
          <w:noProof/>
        </w:rPr>
      </w:pPr>
      <w:r>
        <w:rPr>
          <w:noProof/>
        </w:rPr>
        <w:t>Based on its assessment, the Commission may require the Investment Authority to apply in a proportionate manner, or not to apply, some or all the conditions set out in Article1</w:t>
      </w:r>
      <w:r w:rsidR="00631479">
        <w:rPr>
          <w:noProof/>
        </w:rPr>
        <w:t>8</w:t>
      </w:r>
      <w:r>
        <w:rPr>
          <w:noProof/>
        </w:rPr>
        <w:t xml:space="preserve">(2). </w:t>
      </w:r>
    </w:p>
    <w:p w14:paraId="530B2E6F" w14:textId="77777777" w:rsidR="002C29EF" w:rsidRPr="009C75F3" w:rsidRDefault="002C29EF" w:rsidP="009C75F3">
      <w:pPr>
        <w:pStyle w:val="ManualNumPar1"/>
        <w:rPr>
          <w:rFonts w:ascii="Times" w:hAnsi="Times" w:cs="Times"/>
          <w:noProof/>
        </w:rPr>
      </w:pPr>
      <w:r>
        <w:rPr>
          <w:noProof/>
        </w:rPr>
        <w:t>4.</w:t>
      </w:r>
      <w:r>
        <w:rPr>
          <w:noProof/>
        </w:rPr>
        <w:tab/>
      </w:r>
      <w:r>
        <w:rPr>
          <w:rFonts w:ascii="Times" w:hAnsi="Times" w:cs="Times"/>
          <w:noProof/>
        </w:rPr>
        <w:t>Where</w:t>
      </w:r>
      <w:r w:rsidRPr="001E151B">
        <w:rPr>
          <w:rFonts w:ascii="Times" w:hAnsi="Times" w:cs="Times"/>
          <w:noProof/>
        </w:rPr>
        <w:t xml:space="preserve"> the Commission decides to </w:t>
      </w:r>
      <w:r>
        <w:rPr>
          <w:rFonts w:ascii="Times" w:hAnsi="Times" w:cs="Times"/>
          <w:noProof/>
        </w:rPr>
        <w:t>assess</w:t>
      </w:r>
      <w:r w:rsidRPr="001E151B">
        <w:rPr>
          <w:rFonts w:ascii="Times" w:hAnsi="Times" w:cs="Times"/>
          <w:noProof/>
        </w:rPr>
        <w:t xml:space="preserve"> the foreign direct investment pursuant to </w:t>
      </w:r>
      <w:r w:rsidR="004B3F5A">
        <w:rPr>
          <w:rFonts w:ascii="Times" w:hAnsi="Times" w:cs="Times"/>
          <w:noProof/>
        </w:rPr>
        <w:t>this</w:t>
      </w:r>
      <w:r w:rsidR="00C543BC">
        <w:rPr>
          <w:rFonts w:ascii="Times" w:hAnsi="Times" w:cs="Times"/>
          <w:noProof/>
        </w:rPr>
        <w:t xml:space="preserve"> Article</w:t>
      </w:r>
      <w:r w:rsidRPr="001E151B">
        <w:rPr>
          <w:noProof/>
        </w:rPr>
        <w:t xml:space="preserve">, </w:t>
      </w:r>
      <w:r>
        <w:rPr>
          <w:noProof/>
        </w:rPr>
        <w:t xml:space="preserve">the </w:t>
      </w:r>
      <w:r w:rsidR="00A70833">
        <w:rPr>
          <w:noProof/>
        </w:rPr>
        <w:t xml:space="preserve">provisions </w:t>
      </w:r>
      <w:r>
        <w:rPr>
          <w:noProof/>
        </w:rPr>
        <w:t xml:space="preserve">set out in </w:t>
      </w:r>
      <w:r w:rsidRPr="005434DB">
        <w:rPr>
          <w:noProof/>
        </w:rPr>
        <w:t xml:space="preserve">Article </w:t>
      </w:r>
      <w:r w:rsidR="002D687A" w:rsidRPr="005434DB">
        <w:rPr>
          <w:noProof/>
        </w:rPr>
        <w:t>18</w:t>
      </w:r>
      <w:r w:rsidR="005434DB">
        <w:rPr>
          <w:noProof/>
        </w:rPr>
        <w:t xml:space="preserve"> </w:t>
      </w:r>
      <w:r w:rsidRPr="005434DB">
        <w:rPr>
          <w:noProof/>
        </w:rPr>
        <w:t>shall</w:t>
      </w:r>
      <w:r>
        <w:rPr>
          <w:noProof/>
        </w:rPr>
        <w:t xml:space="preserve"> apply, mutatis mutandis, starting from its decision to undertake the assessment</w:t>
      </w:r>
      <w:r w:rsidR="00502749">
        <w:rPr>
          <w:noProof/>
        </w:rPr>
        <w:t>.</w:t>
      </w:r>
    </w:p>
    <w:p w14:paraId="6F01450B" w14:textId="77777777" w:rsidR="006D311E" w:rsidRPr="00AD21FF" w:rsidRDefault="006D311E" w:rsidP="006D311E">
      <w:pPr>
        <w:pStyle w:val="Titrearticle"/>
        <w:rPr>
          <w:noProof/>
        </w:rPr>
      </w:pPr>
      <w:r w:rsidRPr="00AD21FF" w:rsidDel="00461211">
        <w:rPr>
          <w:noProof/>
        </w:rPr>
        <w:t xml:space="preserve">Article </w:t>
      </w:r>
      <w:r w:rsidR="009E02E0">
        <w:rPr>
          <w:noProof/>
        </w:rPr>
        <w:t>22</w:t>
      </w:r>
      <w:r w:rsidRPr="00AD21FF">
        <w:rPr>
          <w:noProof/>
        </w:rPr>
        <w:br/>
      </w:r>
      <w:r w:rsidRPr="00AD21FF">
        <w:rPr>
          <w:b/>
          <w:bCs/>
          <w:i w:val="0"/>
          <w:iCs/>
          <w:noProof/>
        </w:rPr>
        <w:t>Monitoring and enforcement</w:t>
      </w:r>
      <w:r w:rsidR="00E22E67">
        <w:rPr>
          <w:b/>
          <w:bCs/>
          <w:i w:val="0"/>
          <w:iCs/>
          <w:noProof/>
        </w:rPr>
        <w:t xml:space="preserve"> by the Investment Authority</w:t>
      </w:r>
    </w:p>
    <w:p w14:paraId="1EC2A658" w14:textId="77777777" w:rsidR="000572C4" w:rsidRPr="00D852D9" w:rsidRDefault="000572C4" w:rsidP="007234F4">
      <w:pPr>
        <w:pStyle w:val="ManualNumPar1"/>
        <w:rPr>
          <w:noProof/>
        </w:rPr>
      </w:pPr>
      <w:r>
        <w:rPr>
          <w:noProof/>
        </w:rPr>
        <w:t>1.</w:t>
      </w:r>
      <w:r>
        <w:rPr>
          <w:noProof/>
        </w:rPr>
        <w:tab/>
      </w:r>
      <w:r w:rsidRPr="00AD21FF">
        <w:rPr>
          <w:noProof/>
        </w:rPr>
        <w:t xml:space="preserve">The Investment Authority shall regularly monitor the foreign direct investment </w:t>
      </w:r>
      <w:r w:rsidR="00784621">
        <w:rPr>
          <w:noProof/>
        </w:rPr>
        <w:t xml:space="preserve">to ensure that it </w:t>
      </w:r>
      <w:r w:rsidRPr="00AD21FF">
        <w:rPr>
          <w:noProof/>
        </w:rPr>
        <w:t xml:space="preserve">continues to fulfil the conditions laid down in </w:t>
      </w:r>
      <w:r w:rsidRPr="005434DB">
        <w:rPr>
          <w:noProof/>
        </w:rPr>
        <w:t xml:space="preserve">Article </w:t>
      </w:r>
      <w:r w:rsidR="00784621" w:rsidRPr="005434DB">
        <w:rPr>
          <w:noProof/>
        </w:rPr>
        <w:t>1</w:t>
      </w:r>
      <w:r w:rsidR="00631479" w:rsidRPr="005434DB">
        <w:rPr>
          <w:noProof/>
        </w:rPr>
        <w:t>8</w:t>
      </w:r>
      <w:r w:rsidRPr="005434DB">
        <w:rPr>
          <w:noProof/>
        </w:rPr>
        <w:t>.</w:t>
      </w:r>
      <w:r w:rsidRPr="00AD21FF">
        <w:rPr>
          <w:noProof/>
        </w:rPr>
        <w:t xml:space="preserve"> For th</w:t>
      </w:r>
      <w:r>
        <w:rPr>
          <w:noProof/>
        </w:rPr>
        <w:t>at</w:t>
      </w:r>
      <w:r w:rsidRPr="00AD21FF">
        <w:rPr>
          <w:noProof/>
        </w:rPr>
        <w:t xml:space="preserve"> purpose, the foreign investor shall regularly report to the Investment Authority on compliance with the conditions. </w:t>
      </w:r>
    </w:p>
    <w:p w14:paraId="2C742E73" w14:textId="77777777" w:rsidR="006D311E" w:rsidRPr="00AD21FF" w:rsidRDefault="006D311E" w:rsidP="007234F4">
      <w:pPr>
        <w:pStyle w:val="ManualNumPar1"/>
        <w:rPr>
          <w:noProof/>
        </w:rPr>
      </w:pPr>
      <w:r>
        <w:rPr>
          <w:noProof/>
        </w:rPr>
        <w:t>2.</w:t>
      </w:r>
      <w:r>
        <w:rPr>
          <w:noProof/>
        </w:rPr>
        <w:tab/>
      </w:r>
      <w:r w:rsidRPr="00AD21FF">
        <w:rPr>
          <w:noProof/>
        </w:rPr>
        <w:t xml:space="preserve">Upon request by the Commission, the Investment Authority shall transmit the investor’s reports </w:t>
      </w:r>
      <w:r w:rsidR="00626025">
        <w:rPr>
          <w:noProof/>
        </w:rPr>
        <w:t>submitted pursuant to paragraph 1</w:t>
      </w:r>
      <w:r w:rsidRPr="00AD21FF">
        <w:rPr>
          <w:noProof/>
        </w:rPr>
        <w:t xml:space="preserve"> to the Commission together with its own assessment on each report.</w:t>
      </w:r>
    </w:p>
    <w:p w14:paraId="0026B943" w14:textId="77777777" w:rsidR="006D311E" w:rsidRPr="005434DB" w:rsidRDefault="006D311E" w:rsidP="007234F4">
      <w:pPr>
        <w:pStyle w:val="ManualNumPar1"/>
        <w:rPr>
          <w:noProof/>
        </w:rPr>
      </w:pPr>
      <w:r>
        <w:rPr>
          <w:noProof/>
        </w:rPr>
        <w:t>3.</w:t>
      </w:r>
      <w:r>
        <w:rPr>
          <w:noProof/>
        </w:rPr>
        <w:tab/>
      </w:r>
      <w:r w:rsidRPr="00AD21FF">
        <w:rPr>
          <w:noProof/>
        </w:rPr>
        <w:t xml:space="preserve">The Investment Authority shall establish penalties in case of non-compliance with the provisions of this Chapter, in particular </w:t>
      </w:r>
      <w:r w:rsidR="0025799F">
        <w:rPr>
          <w:noProof/>
        </w:rPr>
        <w:t xml:space="preserve">where foreign investors or investments fail to comply with the following </w:t>
      </w:r>
      <w:r w:rsidR="0025799F" w:rsidRPr="005434DB">
        <w:rPr>
          <w:noProof/>
        </w:rPr>
        <w:t>requirements</w:t>
      </w:r>
      <w:r w:rsidRPr="005434DB">
        <w:rPr>
          <w:noProof/>
        </w:rPr>
        <w:t xml:space="preserve">: </w:t>
      </w:r>
    </w:p>
    <w:p w14:paraId="689DFDC1" w14:textId="77777777" w:rsidR="006D311E" w:rsidRPr="005434DB" w:rsidRDefault="00EA4C7A" w:rsidP="007234F4">
      <w:pPr>
        <w:pStyle w:val="Point1"/>
        <w:rPr>
          <w:noProof/>
        </w:rPr>
      </w:pPr>
      <w:r>
        <w:rPr>
          <w:noProof/>
        </w:rPr>
        <w:t>(a)</w:t>
      </w:r>
      <w:r>
        <w:rPr>
          <w:noProof/>
        </w:rPr>
        <w:tab/>
      </w:r>
      <w:r w:rsidRPr="005434DB">
        <w:rPr>
          <w:noProof/>
        </w:rPr>
        <w:t>the notification requirements</w:t>
      </w:r>
      <w:r w:rsidR="006D311E" w:rsidRPr="005434DB">
        <w:rPr>
          <w:noProof/>
        </w:rPr>
        <w:t xml:space="preserve"> in accordance with Article </w:t>
      </w:r>
      <w:r w:rsidR="008B4626" w:rsidRPr="005434DB">
        <w:rPr>
          <w:noProof/>
        </w:rPr>
        <w:t>1</w:t>
      </w:r>
      <w:r w:rsidR="0089296B" w:rsidRPr="005434DB">
        <w:rPr>
          <w:noProof/>
        </w:rPr>
        <w:t>9</w:t>
      </w:r>
      <w:r w:rsidR="008B4626" w:rsidRPr="005434DB">
        <w:rPr>
          <w:noProof/>
        </w:rPr>
        <w:t xml:space="preserve">; </w:t>
      </w:r>
      <w:r w:rsidR="006D311E" w:rsidRPr="005434DB">
        <w:rPr>
          <w:noProof/>
        </w:rPr>
        <w:t xml:space="preserve"> </w:t>
      </w:r>
    </w:p>
    <w:p w14:paraId="101CBAB9" w14:textId="77777777" w:rsidR="006D311E" w:rsidRPr="005434DB" w:rsidRDefault="006D311E" w:rsidP="007234F4">
      <w:pPr>
        <w:pStyle w:val="Point1"/>
        <w:rPr>
          <w:noProof/>
        </w:rPr>
      </w:pPr>
      <w:r>
        <w:rPr>
          <w:noProof/>
        </w:rPr>
        <w:t>(b)</w:t>
      </w:r>
      <w:r>
        <w:rPr>
          <w:noProof/>
        </w:rPr>
        <w:tab/>
      </w:r>
      <w:r w:rsidRPr="005434DB">
        <w:rPr>
          <w:noProof/>
        </w:rPr>
        <w:t xml:space="preserve">the conditions laid down in Article </w:t>
      </w:r>
      <w:r w:rsidR="003E6CCA" w:rsidRPr="005434DB">
        <w:rPr>
          <w:noProof/>
        </w:rPr>
        <w:t>1</w:t>
      </w:r>
      <w:r w:rsidR="0089296B" w:rsidRPr="005434DB">
        <w:rPr>
          <w:noProof/>
        </w:rPr>
        <w:t>8</w:t>
      </w:r>
      <w:r w:rsidRPr="005434DB">
        <w:rPr>
          <w:noProof/>
        </w:rPr>
        <w:t>;</w:t>
      </w:r>
    </w:p>
    <w:p w14:paraId="3933F265" w14:textId="77777777" w:rsidR="006D311E" w:rsidRPr="00AD21FF" w:rsidRDefault="006D311E" w:rsidP="007234F4">
      <w:pPr>
        <w:pStyle w:val="Point1"/>
        <w:rPr>
          <w:noProof/>
        </w:rPr>
      </w:pPr>
      <w:r>
        <w:rPr>
          <w:noProof/>
        </w:rPr>
        <w:t>(c)</w:t>
      </w:r>
      <w:r>
        <w:rPr>
          <w:noProof/>
        </w:rPr>
        <w:tab/>
      </w:r>
      <w:r w:rsidRPr="00AD21FF">
        <w:rPr>
          <w:noProof/>
        </w:rPr>
        <w:t>the monitoring obligations established by this Article.</w:t>
      </w:r>
    </w:p>
    <w:p w14:paraId="18E6E675" w14:textId="77777777" w:rsidR="001B7018" w:rsidRPr="00AD21FF" w:rsidRDefault="001B7018" w:rsidP="00D84B2B">
      <w:pPr>
        <w:pStyle w:val="ManualNumPar1"/>
        <w:rPr>
          <w:noProof/>
        </w:rPr>
      </w:pPr>
      <w:r>
        <w:rPr>
          <w:noProof/>
        </w:rPr>
        <w:t>4.</w:t>
      </w:r>
      <w:r>
        <w:rPr>
          <w:noProof/>
        </w:rPr>
        <w:tab/>
      </w:r>
      <w:r w:rsidRPr="00AD21FF">
        <w:rPr>
          <w:noProof/>
        </w:rPr>
        <w:t xml:space="preserve">Penalty payments established by the Investment Authority shall </w:t>
      </w:r>
      <w:r>
        <w:rPr>
          <w:noProof/>
        </w:rPr>
        <w:t>not amount to less than</w:t>
      </w:r>
      <w:r w:rsidRPr="00AD21FF">
        <w:rPr>
          <w:noProof/>
        </w:rPr>
        <w:t xml:space="preserve"> 5</w:t>
      </w:r>
      <w:r>
        <w:rPr>
          <w:noProof/>
        </w:rPr>
        <w:t xml:space="preserve"> </w:t>
      </w:r>
      <w:r w:rsidRPr="00AD21FF">
        <w:rPr>
          <w:noProof/>
        </w:rPr>
        <w:t>% of the average daily aggregate turnover of the foreign investor undertaking</w:t>
      </w:r>
      <w:r>
        <w:rPr>
          <w:noProof/>
        </w:rPr>
        <w:t xml:space="preserve"> in case of a violation pursuant to paragraph 3, point (a)</w:t>
      </w:r>
      <w:r w:rsidRPr="00AD21FF">
        <w:rPr>
          <w:noProof/>
        </w:rPr>
        <w:t>.</w:t>
      </w:r>
    </w:p>
    <w:p w14:paraId="6D23E134" w14:textId="77777777" w:rsidR="00AC397D" w:rsidRPr="00AD21FF" w:rsidRDefault="00AC397D" w:rsidP="00397DCF">
      <w:pPr>
        <w:pStyle w:val="Text1"/>
        <w:rPr>
          <w:noProof/>
        </w:rPr>
      </w:pPr>
      <w:r>
        <w:rPr>
          <w:noProof/>
        </w:rPr>
        <w:t>Where the</w:t>
      </w:r>
      <w:r w:rsidRPr="00AD21FF">
        <w:rPr>
          <w:noProof/>
        </w:rPr>
        <w:t xml:space="preserve"> foreign investor</w:t>
      </w:r>
      <w:r>
        <w:rPr>
          <w:noProof/>
        </w:rPr>
        <w:t xml:space="preserve"> is a private person</w:t>
      </w:r>
      <w:r w:rsidRPr="00AD21FF">
        <w:rPr>
          <w:noProof/>
        </w:rPr>
        <w:t>, the Investment Authority shall establish a penalty payment of at least 5</w:t>
      </w:r>
      <w:r>
        <w:rPr>
          <w:noProof/>
        </w:rPr>
        <w:t xml:space="preserve"> </w:t>
      </w:r>
      <w:r w:rsidRPr="00AD21FF">
        <w:rPr>
          <w:noProof/>
        </w:rPr>
        <w:t>% of the investment value</w:t>
      </w:r>
      <w:r>
        <w:rPr>
          <w:noProof/>
        </w:rPr>
        <w:t xml:space="preserve"> in case a violation pursuant to paragraph 3, point (a)</w:t>
      </w:r>
      <w:r w:rsidRPr="00AD21FF">
        <w:rPr>
          <w:noProof/>
        </w:rPr>
        <w:t>.</w:t>
      </w:r>
    </w:p>
    <w:p w14:paraId="14838BC4" w14:textId="77777777" w:rsidR="00AC397D" w:rsidRPr="00AD21FF" w:rsidRDefault="00AC397D" w:rsidP="00397DCF">
      <w:pPr>
        <w:pStyle w:val="Text1"/>
        <w:rPr>
          <w:noProof/>
        </w:rPr>
      </w:pPr>
      <w:r>
        <w:rPr>
          <w:noProof/>
        </w:rPr>
        <w:t>The penalty payments established by the Investment Authority shall be effective and proportionate to the violations laid down in paragraph 3.</w:t>
      </w:r>
    </w:p>
    <w:p w14:paraId="1595AC0E" w14:textId="77777777" w:rsidR="00AC397D" w:rsidRDefault="00AC397D" w:rsidP="00397DCF">
      <w:pPr>
        <w:pStyle w:val="Text1"/>
        <w:rPr>
          <w:noProof/>
        </w:rPr>
      </w:pPr>
      <w:r w:rsidRPr="00AD21FF">
        <w:rPr>
          <w:noProof/>
        </w:rPr>
        <w:t xml:space="preserve">The Investment Authority shall inform the Commission without undue delay of any non-compliance referred to in paragraph </w:t>
      </w:r>
      <w:r>
        <w:rPr>
          <w:noProof/>
        </w:rPr>
        <w:t xml:space="preserve">3 </w:t>
      </w:r>
      <w:r w:rsidRPr="00AD21FF">
        <w:rPr>
          <w:noProof/>
        </w:rPr>
        <w:t xml:space="preserve">and of the </w:t>
      </w:r>
      <w:r>
        <w:rPr>
          <w:noProof/>
        </w:rPr>
        <w:t>consequential</w:t>
      </w:r>
      <w:r w:rsidRPr="00AD21FF">
        <w:rPr>
          <w:noProof/>
        </w:rPr>
        <w:t xml:space="preserve"> penalties imposed.</w:t>
      </w:r>
    </w:p>
    <w:p w14:paraId="29F6645D" w14:textId="77777777" w:rsidR="00542EE6" w:rsidRDefault="00542EE6" w:rsidP="00C54EFF">
      <w:pPr>
        <w:pStyle w:val="Titrearticle"/>
        <w:rPr>
          <w:noProof/>
        </w:rPr>
      </w:pPr>
      <w:r>
        <w:rPr>
          <w:noProof/>
        </w:rPr>
        <w:t xml:space="preserve">Article </w:t>
      </w:r>
      <w:r w:rsidR="00967ED3">
        <w:rPr>
          <w:noProof/>
        </w:rPr>
        <w:t>2</w:t>
      </w:r>
      <w:r w:rsidR="00A110EC">
        <w:rPr>
          <w:noProof/>
        </w:rPr>
        <w:t>3</w:t>
      </w:r>
      <w:r w:rsidRPr="00AD21FF">
        <w:rPr>
          <w:noProof/>
        </w:rPr>
        <w:br/>
      </w:r>
      <w:r w:rsidRPr="00AD21FF">
        <w:rPr>
          <w:b/>
          <w:bCs/>
          <w:i w:val="0"/>
          <w:iCs/>
          <w:noProof/>
        </w:rPr>
        <w:t xml:space="preserve">Monitoring </w:t>
      </w:r>
      <w:r>
        <w:rPr>
          <w:b/>
          <w:bCs/>
          <w:i w:val="0"/>
          <w:iCs/>
          <w:noProof/>
        </w:rPr>
        <w:t>by the Commission</w:t>
      </w:r>
    </w:p>
    <w:p w14:paraId="6C74FE01" w14:textId="77777777" w:rsidR="00542EE6" w:rsidRPr="001E5963" w:rsidRDefault="00542EE6" w:rsidP="007234F4">
      <w:pPr>
        <w:pStyle w:val="ManualNumPar1"/>
        <w:rPr>
          <w:noProof/>
        </w:rPr>
      </w:pPr>
      <w:r>
        <w:rPr>
          <w:noProof/>
        </w:rPr>
        <w:t>1.</w:t>
      </w:r>
      <w:r>
        <w:rPr>
          <w:noProof/>
        </w:rPr>
        <w:tab/>
        <w:t xml:space="preserve">For the purposes of </w:t>
      </w:r>
      <w:r w:rsidRPr="005434DB">
        <w:rPr>
          <w:noProof/>
        </w:rPr>
        <w:t xml:space="preserve">Article </w:t>
      </w:r>
      <w:r w:rsidR="00BE0185" w:rsidRPr="005434DB">
        <w:rPr>
          <w:noProof/>
        </w:rPr>
        <w:t>1</w:t>
      </w:r>
      <w:r w:rsidR="00206DC7" w:rsidRPr="005434DB">
        <w:rPr>
          <w:noProof/>
        </w:rPr>
        <w:t>7</w:t>
      </w:r>
      <w:r w:rsidR="00BE0185" w:rsidRPr="005434DB">
        <w:rPr>
          <w:noProof/>
        </w:rPr>
        <w:t>,</w:t>
      </w:r>
      <w:r>
        <w:rPr>
          <w:noProof/>
        </w:rPr>
        <w:t xml:space="preserve"> the Commission shall monitor the global manufacturing capacity for each of the emerging strategic sectors, building on existing monitoring activities performed, in particular pursuant to Regulation (EU) 2024/1735.</w:t>
      </w:r>
    </w:p>
    <w:p w14:paraId="5F414B5F" w14:textId="77777777" w:rsidR="00542EE6" w:rsidRPr="009E02E0" w:rsidRDefault="00542EE6" w:rsidP="007B747D">
      <w:pPr>
        <w:pStyle w:val="ManualNumPar1"/>
        <w:rPr>
          <w:noProof/>
        </w:rPr>
      </w:pPr>
      <w:r>
        <w:rPr>
          <w:noProof/>
        </w:rPr>
        <w:t>2.</w:t>
      </w:r>
      <w:r>
        <w:rPr>
          <w:noProof/>
        </w:rPr>
        <w:tab/>
        <w:t>The Commission shall provide and publish updated information on the most recent year for which data is available for each of the emerging strategic sectors referred to in Article</w:t>
      </w:r>
      <w:r w:rsidR="00BF2337">
        <w:rPr>
          <w:noProof/>
        </w:rPr>
        <w:t xml:space="preserve"> </w:t>
      </w:r>
      <w:r w:rsidR="007D2A92">
        <w:rPr>
          <w:noProof/>
        </w:rPr>
        <w:t>1</w:t>
      </w:r>
      <w:r w:rsidR="002B31B6">
        <w:rPr>
          <w:noProof/>
        </w:rPr>
        <w:t>7</w:t>
      </w:r>
      <w:r w:rsidR="007D2A92">
        <w:rPr>
          <w:noProof/>
        </w:rPr>
        <w:t>(2</w:t>
      </w:r>
      <w:r w:rsidR="00BF2337">
        <w:rPr>
          <w:noProof/>
        </w:rPr>
        <w:t>)</w:t>
      </w:r>
      <w:r>
        <w:rPr>
          <w:noProof/>
        </w:rPr>
        <w:t>.</w:t>
      </w:r>
    </w:p>
    <w:p w14:paraId="66F561A3" w14:textId="77777777" w:rsidR="008111AA" w:rsidRPr="008111AA" w:rsidRDefault="008111AA" w:rsidP="00B105F9">
      <w:pPr>
        <w:pStyle w:val="Text1"/>
        <w:rPr>
          <w:noProof/>
        </w:rPr>
      </w:pPr>
      <w:r w:rsidRPr="008111AA">
        <w:rPr>
          <w:noProof/>
        </w:rPr>
        <w:t xml:space="preserve">Where the Commission decides to assess the foreign direct investment pursuant to Article </w:t>
      </w:r>
      <w:r w:rsidRPr="00A77E6C">
        <w:rPr>
          <w:noProof/>
        </w:rPr>
        <w:t>2</w:t>
      </w:r>
      <w:r w:rsidR="00CE080E">
        <w:rPr>
          <w:noProof/>
        </w:rPr>
        <w:t>1</w:t>
      </w:r>
      <w:r w:rsidRPr="008111AA">
        <w:rPr>
          <w:noProof/>
        </w:rPr>
        <w:t>, it may by decision impose penalties if the foreign investor provides false or misleading information in their notification, or if it does not supply the information required for the Commission to perform its review obligation.</w:t>
      </w:r>
    </w:p>
    <w:p w14:paraId="6EAF9A28" w14:textId="77777777" w:rsidR="007D2A92" w:rsidRPr="007D2A92" w:rsidRDefault="008111AA" w:rsidP="00E96B81">
      <w:pPr>
        <w:pStyle w:val="Text1"/>
        <w:rPr>
          <w:noProof/>
        </w:rPr>
      </w:pPr>
      <w:r w:rsidRPr="008111AA">
        <w:rPr>
          <w:noProof/>
        </w:rPr>
        <w:t xml:space="preserve">The penalties imposed by the Commission shall not exceed the 5% average daily turnover of the foreign investor, or in case of a private person foreign investor, 5% of the investment value. </w:t>
      </w:r>
    </w:p>
    <w:p w14:paraId="61B9D89B" w14:textId="77777777" w:rsidR="004E508B" w:rsidRDefault="004E508B" w:rsidP="004E508B">
      <w:pPr>
        <w:pStyle w:val="Titrearticle"/>
        <w:rPr>
          <w:noProof/>
        </w:rPr>
      </w:pPr>
      <w:r>
        <w:rPr>
          <w:noProof/>
        </w:rPr>
        <w:t xml:space="preserve">Article </w:t>
      </w:r>
      <w:r w:rsidR="00E20C98">
        <w:rPr>
          <w:noProof/>
        </w:rPr>
        <w:t>2</w:t>
      </w:r>
      <w:r w:rsidR="009E02E0">
        <w:rPr>
          <w:noProof/>
        </w:rPr>
        <w:t>4</w:t>
      </w:r>
      <w:r w:rsidRPr="00AD21FF">
        <w:rPr>
          <w:noProof/>
        </w:rPr>
        <w:br/>
      </w:r>
      <w:r w:rsidR="00C54EFF">
        <w:rPr>
          <w:b/>
          <w:bCs/>
          <w:i w:val="0"/>
          <w:iCs/>
          <w:noProof/>
        </w:rPr>
        <w:t>Delegat</w:t>
      </w:r>
      <w:r w:rsidR="002E5F95">
        <w:rPr>
          <w:b/>
          <w:bCs/>
          <w:i w:val="0"/>
          <w:iCs/>
          <w:noProof/>
        </w:rPr>
        <w:t>ion of powers</w:t>
      </w:r>
    </w:p>
    <w:p w14:paraId="31B797B0" w14:textId="77777777" w:rsidR="00502316" w:rsidRDefault="00542EE6" w:rsidP="007234F4">
      <w:pPr>
        <w:pStyle w:val="ManualNumPar1"/>
        <w:rPr>
          <w:noProof/>
        </w:rPr>
      </w:pPr>
      <w:r>
        <w:rPr>
          <w:noProof/>
        </w:rPr>
        <w:t>1.</w:t>
      </w:r>
      <w:r>
        <w:rPr>
          <w:noProof/>
        </w:rPr>
        <w:tab/>
        <w:t xml:space="preserve">The Commission is empowered to adopt </w:t>
      </w:r>
      <w:r w:rsidR="003A5A1A">
        <w:rPr>
          <w:noProof/>
        </w:rPr>
        <w:t>delegated acts</w:t>
      </w:r>
      <w:r>
        <w:rPr>
          <w:noProof/>
        </w:rPr>
        <w:t xml:space="preserve"> in accordance with Article </w:t>
      </w:r>
      <w:r w:rsidR="00C01944" w:rsidRPr="00C01944">
        <w:rPr>
          <w:noProof/>
        </w:rPr>
        <w:t>30</w:t>
      </w:r>
      <w:r w:rsidR="00640C33">
        <w:rPr>
          <w:noProof/>
        </w:rPr>
        <w:t xml:space="preserve"> of this Regulation </w:t>
      </w:r>
      <w:r w:rsidRPr="0093351F">
        <w:rPr>
          <w:noProof/>
        </w:rPr>
        <w:t xml:space="preserve">to </w:t>
      </w:r>
      <w:r w:rsidR="004D7563" w:rsidRPr="0093351F">
        <w:rPr>
          <w:noProof/>
        </w:rPr>
        <w:t>supplement</w:t>
      </w:r>
      <w:r w:rsidRPr="0093351F">
        <w:rPr>
          <w:noProof/>
        </w:rPr>
        <w:t xml:space="preserve"> the list of emerging strategic sectors to be covered by this </w:t>
      </w:r>
      <w:r w:rsidR="00640C33">
        <w:rPr>
          <w:noProof/>
        </w:rPr>
        <w:t>C</w:t>
      </w:r>
      <w:r w:rsidRPr="0093351F">
        <w:rPr>
          <w:noProof/>
        </w:rPr>
        <w:t>hapter to sectors critical to the Union’s economic security</w:t>
      </w:r>
      <w:r w:rsidR="00640C33" w:rsidRPr="0093351F">
        <w:rPr>
          <w:noProof/>
        </w:rPr>
        <w:t xml:space="preserve"> </w:t>
      </w:r>
      <w:r w:rsidRPr="0093351F">
        <w:rPr>
          <w:noProof/>
        </w:rPr>
        <w:t>including</w:t>
      </w:r>
      <w:r w:rsidR="004555A9">
        <w:rPr>
          <w:noProof/>
        </w:rPr>
        <w:t xml:space="preserve"> </w:t>
      </w:r>
      <w:r w:rsidRPr="0093351F">
        <w:rPr>
          <w:noProof/>
        </w:rPr>
        <w:t>net-zero</w:t>
      </w:r>
      <w:r>
        <w:rPr>
          <w:noProof/>
        </w:rPr>
        <w:t xml:space="preserve"> technologies listed in Article 4(1), points (b), (d), (e), (g), (h), (j), (k), (n), (p), and (s), </w:t>
      </w:r>
      <w:r w:rsidR="00502316" w:rsidRPr="00502C74">
        <w:rPr>
          <w:noProof/>
        </w:rPr>
        <w:t>of Regulation (EU) 2024/1735</w:t>
      </w:r>
      <w:r w:rsidR="004555A9">
        <w:rPr>
          <w:noProof/>
        </w:rPr>
        <w:t xml:space="preserve">, </w:t>
      </w:r>
      <w:r>
        <w:rPr>
          <w:noProof/>
        </w:rPr>
        <w:t xml:space="preserve">nuclear fuel cycle technologies referred to in Article 4(1), point (i), </w:t>
      </w:r>
      <w:r w:rsidR="00502316" w:rsidRPr="00502C74">
        <w:rPr>
          <w:noProof/>
        </w:rPr>
        <w:t>of Regulation (EU) 2024/1735</w:t>
      </w:r>
      <w:r w:rsidR="004555A9">
        <w:rPr>
          <w:noProof/>
        </w:rPr>
        <w:t xml:space="preserve">, </w:t>
      </w:r>
      <w:r>
        <w:rPr>
          <w:noProof/>
        </w:rPr>
        <w:t>electric propulsion technologies for transport referred to in Article 4(1), point (r</w:t>
      </w:r>
      <w:r w:rsidR="00502316">
        <w:rPr>
          <w:noProof/>
        </w:rPr>
        <w:t>), of Regulation (EU) 2024/1735</w:t>
      </w:r>
      <w:r w:rsidR="00F069FC">
        <w:rPr>
          <w:noProof/>
        </w:rPr>
        <w:t>, and excluding digital technologies, artificial intelligence</w:t>
      </w:r>
      <w:r>
        <w:rPr>
          <w:noProof/>
        </w:rPr>
        <w:t>, quantum technologies</w:t>
      </w:r>
      <w:r w:rsidR="00F069FC">
        <w:rPr>
          <w:noProof/>
        </w:rPr>
        <w:t xml:space="preserve"> and semiconductors.</w:t>
      </w:r>
    </w:p>
    <w:p w14:paraId="6B430B8F" w14:textId="77777777" w:rsidR="00542EE6" w:rsidRPr="000E49A7" w:rsidRDefault="00502316" w:rsidP="000E49A7">
      <w:pPr>
        <w:pStyle w:val="Text1"/>
        <w:rPr>
          <w:noProof/>
        </w:rPr>
      </w:pPr>
      <w:r w:rsidRPr="76D30A29">
        <w:rPr>
          <w:rFonts w:eastAsia="Times New Roman"/>
          <w:noProof/>
          <w:color w:val="000000" w:themeColor="text1"/>
          <w:szCs w:val="24"/>
        </w:rPr>
        <w:t xml:space="preserve">These </w:t>
      </w:r>
      <w:r w:rsidR="00117330">
        <w:rPr>
          <w:rFonts w:eastAsia="Times New Roman"/>
          <w:noProof/>
          <w:color w:val="000000" w:themeColor="text1"/>
          <w:szCs w:val="24"/>
        </w:rPr>
        <w:t>delegated</w:t>
      </w:r>
      <w:r w:rsidRPr="76D30A29">
        <w:rPr>
          <w:rFonts w:eastAsia="Times New Roman"/>
          <w:noProof/>
          <w:color w:val="000000" w:themeColor="text1"/>
          <w:szCs w:val="24"/>
        </w:rPr>
        <w:t xml:space="preserve"> acts shall be without prejudice to other Union acts establishing investment criteria for these sectors</w:t>
      </w:r>
      <w:r w:rsidR="002F31F8">
        <w:rPr>
          <w:rFonts w:eastAsia="Times New Roman"/>
          <w:noProof/>
          <w:color w:val="000000" w:themeColor="text1"/>
          <w:szCs w:val="24"/>
        </w:rPr>
        <w:t>.</w:t>
      </w:r>
    </w:p>
    <w:p w14:paraId="061F57E0" w14:textId="77777777" w:rsidR="00542EE6" w:rsidRPr="00364185" w:rsidRDefault="00262BB4" w:rsidP="007234F4">
      <w:pPr>
        <w:pStyle w:val="ManualNumPar1"/>
        <w:rPr>
          <w:noProof/>
        </w:rPr>
      </w:pPr>
      <w:r>
        <w:rPr>
          <w:noProof/>
        </w:rPr>
        <w:t>2.</w:t>
      </w:r>
      <w:r>
        <w:rPr>
          <w:noProof/>
        </w:rPr>
        <w:tab/>
        <w:t>The</w:t>
      </w:r>
      <w:r w:rsidR="00542EE6">
        <w:rPr>
          <w:noProof/>
        </w:rPr>
        <w:t xml:space="preserve"> </w:t>
      </w:r>
      <w:r w:rsidR="003A5A1A">
        <w:rPr>
          <w:noProof/>
        </w:rPr>
        <w:t xml:space="preserve">delegated </w:t>
      </w:r>
      <w:r>
        <w:rPr>
          <w:noProof/>
        </w:rPr>
        <w:t>acts referred to</w:t>
      </w:r>
      <w:r w:rsidR="00542EE6">
        <w:rPr>
          <w:noProof/>
        </w:rPr>
        <w:t xml:space="preserve"> in paragraph </w:t>
      </w:r>
      <w:r w:rsidR="003A5A1A">
        <w:rPr>
          <w:noProof/>
        </w:rPr>
        <w:t>1</w:t>
      </w:r>
      <w:r w:rsidR="00542EE6">
        <w:rPr>
          <w:noProof/>
        </w:rPr>
        <w:t xml:space="preserve"> </w:t>
      </w:r>
      <w:r>
        <w:rPr>
          <w:noProof/>
        </w:rPr>
        <w:t xml:space="preserve">shall be based </w:t>
      </w:r>
      <w:r w:rsidR="00542EE6">
        <w:rPr>
          <w:noProof/>
        </w:rPr>
        <w:t>on the following</w:t>
      </w:r>
      <w:r>
        <w:rPr>
          <w:noProof/>
        </w:rPr>
        <w:t xml:space="preserve"> factors</w:t>
      </w:r>
      <w:r w:rsidR="00542EE6">
        <w:rPr>
          <w:noProof/>
        </w:rPr>
        <w:t xml:space="preserve">: </w:t>
      </w:r>
    </w:p>
    <w:p w14:paraId="7B7AE7A4" w14:textId="77777777" w:rsidR="004E508B" w:rsidRPr="00AD21FF" w:rsidRDefault="004E508B" w:rsidP="007234F4">
      <w:pPr>
        <w:pStyle w:val="Point1"/>
        <w:rPr>
          <w:noProof/>
        </w:rPr>
      </w:pPr>
      <w:r>
        <w:rPr>
          <w:noProof/>
        </w:rPr>
        <w:t>(a)</w:t>
      </w:r>
      <w:r>
        <w:rPr>
          <w:noProof/>
        </w:rPr>
        <w:tab/>
      </w:r>
      <w:r w:rsidRPr="00AD21FF">
        <w:rPr>
          <w:noProof/>
        </w:rPr>
        <w:t xml:space="preserve">an assessment </w:t>
      </w:r>
      <w:r w:rsidR="00CB051E">
        <w:rPr>
          <w:noProof/>
        </w:rPr>
        <w:t>of</w:t>
      </w:r>
      <w:r w:rsidR="00CB051E" w:rsidRPr="00AD21FF">
        <w:rPr>
          <w:noProof/>
        </w:rPr>
        <w:t xml:space="preserve"> </w:t>
      </w:r>
      <w:r w:rsidR="0092680D">
        <w:rPr>
          <w:noProof/>
        </w:rPr>
        <w:t xml:space="preserve">whether </w:t>
      </w:r>
      <w:r w:rsidR="00E0269C">
        <w:rPr>
          <w:noProof/>
        </w:rPr>
        <w:t>modifying the list of emerging strategic sectors would</w:t>
      </w:r>
      <w:r w:rsidRPr="00AD21FF">
        <w:rPr>
          <w:noProof/>
        </w:rPr>
        <w:t xml:space="preserve"> unduly deter or discourag</w:t>
      </w:r>
      <w:r w:rsidR="007C5051">
        <w:rPr>
          <w:noProof/>
        </w:rPr>
        <w:t>e</w:t>
      </w:r>
      <w:r w:rsidRPr="00AD21FF">
        <w:rPr>
          <w:noProof/>
        </w:rPr>
        <w:t xml:space="preserve"> foreign direct investment in the Union;</w:t>
      </w:r>
    </w:p>
    <w:p w14:paraId="3515726B" w14:textId="77777777" w:rsidR="004E508B" w:rsidRPr="00AD21FF" w:rsidRDefault="004E508B" w:rsidP="007234F4">
      <w:pPr>
        <w:pStyle w:val="Point1"/>
        <w:rPr>
          <w:noProof/>
        </w:rPr>
      </w:pPr>
      <w:r>
        <w:rPr>
          <w:noProof/>
        </w:rPr>
        <w:t>(b)</w:t>
      </w:r>
      <w:r>
        <w:rPr>
          <w:noProof/>
        </w:rPr>
        <w:tab/>
      </w:r>
      <w:r w:rsidRPr="00AD21FF">
        <w:rPr>
          <w:noProof/>
        </w:rPr>
        <w:t>number</w:t>
      </w:r>
      <w:r w:rsidR="00D74E03">
        <w:rPr>
          <w:noProof/>
        </w:rPr>
        <w:t xml:space="preserve"> </w:t>
      </w:r>
      <w:r w:rsidRPr="00AD21FF">
        <w:rPr>
          <w:noProof/>
        </w:rPr>
        <w:t>of foreign direct investments in that sector</w:t>
      </w:r>
      <w:r w:rsidR="00663FA3">
        <w:rPr>
          <w:noProof/>
        </w:rPr>
        <w:t xml:space="preserve">, </w:t>
      </w:r>
      <w:r w:rsidR="00D74E03">
        <w:rPr>
          <w:noProof/>
        </w:rPr>
        <w:t xml:space="preserve">taking into account </w:t>
      </w:r>
      <w:r w:rsidR="00663FA3">
        <w:rPr>
          <w:noProof/>
        </w:rPr>
        <w:t>their contribution to the Union’s security of supply</w:t>
      </w:r>
      <w:r w:rsidRPr="00AD21FF">
        <w:rPr>
          <w:noProof/>
        </w:rPr>
        <w:t xml:space="preserve"> and their added value to the Union’s economy;</w:t>
      </w:r>
    </w:p>
    <w:p w14:paraId="12D345D2" w14:textId="77777777" w:rsidR="004E508B" w:rsidRPr="00AD21FF" w:rsidRDefault="004E508B" w:rsidP="007234F4">
      <w:pPr>
        <w:pStyle w:val="Point1"/>
        <w:rPr>
          <w:noProof/>
        </w:rPr>
      </w:pPr>
      <w:r>
        <w:rPr>
          <w:noProof/>
        </w:rPr>
        <w:t>(c)</w:t>
      </w:r>
      <w:r>
        <w:rPr>
          <w:noProof/>
        </w:rPr>
        <w:tab/>
      </w:r>
      <w:r w:rsidRPr="00AD21FF">
        <w:rPr>
          <w:noProof/>
        </w:rPr>
        <w:t>market situation and conditions</w:t>
      </w:r>
      <w:r w:rsidR="00C6344F">
        <w:rPr>
          <w:noProof/>
        </w:rPr>
        <w:t>, including supply chain disturbances,</w:t>
      </w:r>
      <w:r w:rsidRPr="00AD21FF">
        <w:rPr>
          <w:noProof/>
        </w:rPr>
        <w:t xml:space="preserve"> on Union level</w:t>
      </w:r>
      <w:r w:rsidRPr="00AD21FF" w:rsidDel="00C60EA1">
        <w:rPr>
          <w:noProof/>
        </w:rPr>
        <w:t>;</w:t>
      </w:r>
    </w:p>
    <w:p w14:paraId="4E2A3FB0" w14:textId="77777777" w:rsidR="004E508B" w:rsidRPr="00AD21FF" w:rsidRDefault="004E508B" w:rsidP="007234F4">
      <w:pPr>
        <w:pStyle w:val="Point1"/>
        <w:rPr>
          <w:noProof/>
        </w:rPr>
      </w:pPr>
      <w:r>
        <w:rPr>
          <w:noProof/>
        </w:rPr>
        <w:t>(d)</w:t>
      </w:r>
      <w:r>
        <w:rPr>
          <w:noProof/>
        </w:rPr>
        <w:tab/>
      </w:r>
      <w:r w:rsidRPr="00AD21FF">
        <w:rPr>
          <w:noProof/>
        </w:rPr>
        <w:t>technological developments and the Union’s competitiveness in that sector</w:t>
      </w:r>
      <w:r w:rsidR="00651027">
        <w:rPr>
          <w:noProof/>
        </w:rPr>
        <w:t xml:space="preserve"> in comparison </w:t>
      </w:r>
      <w:r w:rsidR="002F48BA">
        <w:rPr>
          <w:noProof/>
        </w:rPr>
        <w:t xml:space="preserve">to </w:t>
      </w:r>
      <w:r w:rsidR="009F3DEB">
        <w:rPr>
          <w:noProof/>
        </w:rPr>
        <w:t>third countries</w:t>
      </w:r>
      <w:r w:rsidRPr="00AD21FF">
        <w:rPr>
          <w:noProof/>
        </w:rPr>
        <w:t xml:space="preserve">; </w:t>
      </w:r>
    </w:p>
    <w:p w14:paraId="45DA17D5" w14:textId="77777777" w:rsidR="004E508B" w:rsidRPr="002A06FA" w:rsidRDefault="004E508B" w:rsidP="007234F4">
      <w:pPr>
        <w:pStyle w:val="Point1"/>
        <w:rPr>
          <w:noProof/>
        </w:rPr>
      </w:pPr>
      <w:r>
        <w:rPr>
          <w:noProof/>
        </w:rPr>
        <w:t>(e)</w:t>
      </w:r>
      <w:r>
        <w:rPr>
          <w:noProof/>
        </w:rPr>
        <w:tab/>
      </w:r>
      <w:r w:rsidRPr="00AD21FF">
        <w:rPr>
          <w:noProof/>
        </w:rPr>
        <w:t xml:space="preserve">supply chain dependence </w:t>
      </w:r>
      <w:r w:rsidR="00C546D2">
        <w:rPr>
          <w:noProof/>
        </w:rPr>
        <w:t>i</w:t>
      </w:r>
      <w:r w:rsidR="00C546D2" w:rsidRPr="002A06FA">
        <w:rPr>
          <w:noProof/>
        </w:rPr>
        <w:t xml:space="preserve">n the relevant sector </w:t>
      </w:r>
      <w:r w:rsidRPr="002A06FA">
        <w:rPr>
          <w:noProof/>
        </w:rPr>
        <w:t xml:space="preserve">on one </w:t>
      </w:r>
      <w:r w:rsidR="001B3E12" w:rsidRPr="002A06FA">
        <w:rPr>
          <w:noProof/>
        </w:rPr>
        <w:t>or more</w:t>
      </w:r>
      <w:r w:rsidRPr="002A06FA">
        <w:rPr>
          <w:noProof/>
        </w:rPr>
        <w:t xml:space="preserve"> countr</w:t>
      </w:r>
      <w:r w:rsidR="001B3E12" w:rsidRPr="002A06FA">
        <w:rPr>
          <w:noProof/>
        </w:rPr>
        <w:t>ies</w:t>
      </w:r>
      <w:r w:rsidR="006C5202" w:rsidRPr="002A06FA">
        <w:rPr>
          <w:noProof/>
        </w:rPr>
        <w:t>.</w:t>
      </w:r>
      <w:r w:rsidRPr="002A06FA">
        <w:rPr>
          <w:noProof/>
        </w:rPr>
        <w:t xml:space="preserve"> </w:t>
      </w:r>
    </w:p>
    <w:p w14:paraId="5AD11880" w14:textId="77777777" w:rsidR="00542EE6" w:rsidRPr="002A06FA" w:rsidRDefault="00542EE6" w:rsidP="007234F4">
      <w:pPr>
        <w:pStyle w:val="ManualNumPar1"/>
        <w:rPr>
          <w:noProof/>
        </w:rPr>
      </w:pPr>
      <w:r>
        <w:rPr>
          <w:noProof/>
        </w:rPr>
        <w:t>3.</w:t>
      </w:r>
      <w:r>
        <w:rPr>
          <w:noProof/>
        </w:rPr>
        <w:tab/>
      </w:r>
      <w:r w:rsidRPr="002A06FA">
        <w:rPr>
          <w:noProof/>
        </w:rPr>
        <w:t xml:space="preserve">The </w:t>
      </w:r>
      <w:r w:rsidR="003A5A1A" w:rsidRPr="002A06FA">
        <w:rPr>
          <w:noProof/>
        </w:rPr>
        <w:t xml:space="preserve">delegated </w:t>
      </w:r>
      <w:r w:rsidR="006A76D7" w:rsidRPr="002A06FA">
        <w:rPr>
          <w:noProof/>
        </w:rPr>
        <w:t>acts</w:t>
      </w:r>
      <w:r w:rsidRPr="002A06FA">
        <w:rPr>
          <w:noProof/>
        </w:rPr>
        <w:t xml:space="preserve"> adopted pursuant to paragraph </w:t>
      </w:r>
      <w:r w:rsidR="00A6666F" w:rsidRPr="002A06FA">
        <w:rPr>
          <w:noProof/>
        </w:rPr>
        <w:t>1</w:t>
      </w:r>
      <w:r w:rsidRPr="002A06FA">
        <w:rPr>
          <w:noProof/>
        </w:rPr>
        <w:t xml:space="preserve"> shall contain</w:t>
      </w:r>
      <w:r w:rsidR="00EB5C11" w:rsidRPr="002A06FA">
        <w:rPr>
          <w:noProof/>
        </w:rPr>
        <w:t>:</w:t>
      </w:r>
    </w:p>
    <w:p w14:paraId="22A5C357" w14:textId="77777777" w:rsidR="000251B5" w:rsidRPr="002A06FA" w:rsidRDefault="00150E2B" w:rsidP="007234F4">
      <w:pPr>
        <w:pStyle w:val="Point1"/>
        <w:rPr>
          <w:noProof/>
        </w:rPr>
      </w:pPr>
      <w:r>
        <w:rPr>
          <w:noProof/>
        </w:rPr>
        <w:t>(a)</w:t>
      </w:r>
      <w:r>
        <w:rPr>
          <w:noProof/>
        </w:rPr>
        <w:tab/>
      </w:r>
      <w:r w:rsidRPr="002A06FA">
        <w:rPr>
          <w:noProof/>
        </w:rPr>
        <w:t>t</w:t>
      </w:r>
      <w:r w:rsidR="00542EE6" w:rsidRPr="002A06FA">
        <w:rPr>
          <w:noProof/>
        </w:rPr>
        <w:t xml:space="preserve">he threshold value referred to in </w:t>
      </w:r>
      <w:r w:rsidR="009121BD" w:rsidRPr="002A06FA">
        <w:rPr>
          <w:noProof/>
        </w:rPr>
        <w:t xml:space="preserve">Article </w:t>
      </w:r>
      <w:r w:rsidR="00732B21" w:rsidRPr="002A06FA">
        <w:rPr>
          <w:noProof/>
        </w:rPr>
        <w:t>1</w:t>
      </w:r>
      <w:r w:rsidR="00D453A7">
        <w:rPr>
          <w:noProof/>
        </w:rPr>
        <w:t>7</w:t>
      </w:r>
      <w:r w:rsidR="009121BD" w:rsidRPr="002A06FA">
        <w:rPr>
          <w:noProof/>
        </w:rPr>
        <w:t>(1)</w:t>
      </w:r>
      <w:r w:rsidR="00542EE6" w:rsidRPr="002A06FA">
        <w:rPr>
          <w:noProof/>
        </w:rPr>
        <w:t xml:space="preserve"> for each of </w:t>
      </w:r>
      <w:r w:rsidR="00732B21" w:rsidRPr="002A06FA">
        <w:rPr>
          <w:noProof/>
        </w:rPr>
        <w:t>those</w:t>
      </w:r>
      <w:r w:rsidR="00542EE6" w:rsidRPr="002A06FA">
        <w:rPr>
          <w:noProof/>
        </w:rPr>
        <w:t xml:space="preserve"> additional sectors;</w:t>
      </w:r>
    </w:p>
    <w:p w14:paraId="4C43961B" w14:textId="77777777" w:rsidR="000251B5" w:rsidRPr="000251B5" w:rsidRDefault="00542EE6" w:rsidP="007234F4">
      <w:pPr>
        <w:pStyle w:val="Point1"/>
        <w:rPr>
          <w:noProof/>
        </w:rPr>
      </w:pPr>
      <w:r>
        <w:rPr>
          <w:noProof/>
        </w:rPr>
        <w:t>(b)</w:t>
      </w:r>
      <w:r>
        <w:rPr>
          <w:noProof/>
        </w:rPr>
        <w:tab/>
      </w:r>
      <w:r w:rsidRPr="002A06FA">
        <w:rPr>
          <w:noProof/>
        </w:rPr>
        <w:t xml:space="preserve">whether the investment </w:t>
      </w:r>
      <w:r w:rsidR="0005507B">
        <w:rPr>
          <w:noProof/>
        </w:rPr>
        <w:t>c</w:t>
      </w:r>
      <w:r w:rsidR="006C00BC">
        <w:rPr>
          <w:noProof/>
        </w:rPr>
        <w:t>onditions</w:t>
      </w:r>
      <w:r w:rsidRPr="002A06FA">
        <w:rPr>
          <w:noProof/>
        </w:rPr>
        <w:t xml:space="preserve"> referred to in Article </w:t>
      </w:r>
      <w:r w:rsidR="0005507B" w:rsidRPr="002A06FA">
        <w:rPr>
          <w:noProof/>
        </w:rPr>
        <w:t>1</w:t>
      </w:r>
      <w:r w:rsidR="009461D3">
        <w:rPr>
          <w:noProof/>
        </w:rPr>
        <w:t>8</w:t>
      </w:r>
      <w:r w:rsidRPr="002A06FA">
        <w:rPr>
          <w:noProof/>
        </w:rPr>
        <w:t xml:space="preserve"> are appropriate and necessary to meet the objectives </w:t>
      </w:r>
      <w:r w:rsidR="005A5164" w:rsidRPr="002A06FA">
        <w:rPr>
          <w:noProof/>
        </w:rPr>
        <w:t xml:space="preserve">of this </w:t>
      </w:r>
      <w:r w:rsidR="009656AC">
        <w:rPr>
          <w:noProof/>
        </w:rPr>
        <w:t xml:space="preserve">Regulation </w:t>
      </w:r>
      <w:r w:rsidR="008D1072" w:rsidRPr="002A06FA">
        <w:rPr>
          <w:noProof/>
        </w:rPr>
        <w:t>with</w:t>
      </w:r>
      <w:r w:rsidR="008D1072">
        <w:rPr>
          <w:noProof/>
        </w:rPr>
        <w:t xml:space="preserve"> respect to the sector concerned</w:t>
      </w:r>
      <w:r>
        <w:rPr>
          <w:noProof/>
        </w:rPr>
        <w:t xml:space="preserve">, and if not, which of </w:t>
      </w:r>
      <w:r w:rsidR="0005507B">
        <w:rPr>
          <w:noProof/>
        </w:rPr>
        <w:t>those</w:t>
      </w:r>
      <w:r>
        <w:rPr>
          <w:noProof/>
        </w:rPr>
        <w:t xml:space="preserve"> criteria </w:t>
      </w:r>
      <w:r w:rsidR="0005507B">
        <w:rPr>
          <w:noProof/>
        </w:rPr>
        <w:t xml:space="preserve">is to </w:t>
      </w:r>
      <w:r>
        <w:rPr>
          <w:noProof/>
        </w:rPr>
        <w:t>be applied.</w:t>
      </w:r>
    </w:p>
    <w:p w14:paraId="57E257CF" w14:textId="77777777" w:rsidR="00290640" w:rsidRPr="00AD21FF" w:rsidRDefault="00652703" w:rsidP="00290640">
      <w:pPr>
        <w:pStyle w:val="ChapterTitle"/>
        <w:rPr>
          <w:noProof/>
        </w:rPr>
      </w:pPr>
      <w:r w:rsidRPr="00AD21FF">
        <w:rPr>
          <w:b w:val="0"/>
          <w:bCs/>
          <w:noProof/>
        </w:rPr>
        <w:t>CHAPTER V</w:t>
      </w:r>
      <w:r w:rsidRPr="00AD21FF">
        <w:rPr>
          <w:noProof/>
        </w:rPr>
        <w:br/>
        <w:t xml:space="preserve">INDUSTRIAL </w:t>
      </w:r>
      <w:r w:rsidR="00055878">
        <w:rPr>
          <w:noProof/>
        </w:rPr>
        <w:t xml:space="preserve">MANUFACTURING </w:t>
      </w:r>
      <w:r w:rsidRPr="00AD21FF">
        <w:rPr>
          <w:noProof/>
        </w:rPr>
        <w:t>ACCELERATION AREA</w:t>
      </w:r>
      <w:r w:rsidR="00604546" w:rsidRPr="00AD21FF">
        <w:rPr>
          <w:noProof/>
        </w:rPr>
        <w:t>S</w:t>
      </w:r>
    </w:p>
    <w:p w14:paraId="214F7D6A" w14:textId="77777777" w:rsidR="007B49FE" w:rsidRPr="00AD21FF" w:rsidRDefault="007B49FE" w:rsidP="007B49FE">
      <w:pPr>
        <w:pStyle w:val="Titrearticle"/>
        <w:rPr>
          <w:b/>
          <w:bCs/>
          <w:i w:val="0"/>
          <w:iCs/>
          <w:noProof/>
        </w:rPr>
      </w:pPr>
      <w:r w:rsidRPr="00AD21FF">
        <w:rPr>
          <w:noProof/>
        </w:rPr>
        <w:t>Article 2</w:t>
      </w:r>
      <w:r w:rsidR="009E02E0">
        <w:rPr>
          <w:noProof/>
        </w:rPr>
        <w:t>5</w:t>
      </w:r>
      <w:r w:rsidRPr="00AD21FF">
        <w:rPr>
          <w:noProof/>
        </w:rPr>
        <w:br/>
      </w:r>
      <w:r w:rsidRPr="00AD21FF">
        <w:rPr>
          <w:b/>
          <w:bCs/>
          <w:i w:val="0"/>
          <w:iCs/>
          <w:noProof/>
        </w:rPr>
        <w:t xml:space="preserve">Designating national </w:t>
      </w:r>
      <w:r w:rsidR="00055878">
        <w:rPr>
          <w:b/>
          <w:bCs/>
          <w:i w:val="0"/>
          <w:iCs/>
          <w:noProof/>
        </w:rPr>
        <w:t>industrial manufacturing acceleration areas</w:t>
      </w:r>
    </w:p>
    <w:p w14:paraId="018AFD7D" w14:textId="77777777" w:rsidR="00E4323C" w:rsidRPr="00027B19" w:rsidRDefault="00E4323C" w:rsidP="007234F4">
      <w:pPr>
        <w:pStyle w:val="ManualNumPar1"/>
        <w:rPr>
          <w:noProof/>
        </w:rPr>
      </w:pPr>
      <w:r>
        <w:rPr>
          <w:noProof/>
        </w:rPr>
        <w:t>1.</w:t>
      </w:r>
      <w:r>
        <w:rPr>
          <w:noProof/>
        </w:rPr>
        <w:tab/>
      </w:r>
      <w:r w:rsidRPr="00AD21FF">
        <w:rPr>
          <w:noProof/>
        </w:rPr>
        <w:t>Member States shall designate at least one</w:t>
      </w:r>
      <w:r w:rsidRPr="00AD21FF" w:rsidDel="00863CCA">
        <w:rPr>
          <w:noProof/>
        </w:rPr>
        <w:t xml:space="preserve"> </w:t>
      </w:r>
      <w:r w:rsidRPr="00AD21FF">
        <w:rPr>
          <w:noProof/>
        </w:rPr>
        <w:t xml:space="preserve">industrial </w:t>
      </w:r>
      <w:r>
        <w:rPr>
          <w:noProof/>
        </w:rPr>
        <w:t xml:space="preserve">manufacturing </w:t>
      </w:r>
      <w:r w:rsidRPr="00AD21FF">
        <w:rPr>
          <w:noProof/>
        </w:rPr>
        <w:t xml:space="preserve">acceleration area on their territory by [OP please insert date: 12 months following the entry into force of this Regulation] </w:t>
      </w:r>
      <w:r>
        <w:rPr>
          <w:noProof/>
        </w:rPr>
        <w:t xml:space="preserve">to cluster </w:t>
      </w:r>
      <w:r w:rsidRPr="00AD21FF">
        <w:rPr>
          <w:noProof/>
        </w:rPr>
        <w:t>industrial manufacturing project</w:t>
      </w:r>
      <w:r>
        <w:rPr>
          <w:noProof/>
        </w:rPr>
        <w:t xml:space="preserve">s </w:t>
      </w:r>
      <w:r w:rsidRPr="00AD21FF">
        <w:rPr>
          <w:noProof/>
        </w:rPr>
        <w:t xml:space="preserve">in </w:t>
      </w:r>
      <w:r>
        <w:rPr>
          <w:noProof/>
        </w:rPr>
        <w:t>one or several of the s</w:t>
      </w:r>
      <w:r w:rsidRPr="00AD21FF">
        <w:rPr>
          <w:noProof/>
        </w:rPr>
        <w:t>trategic sectors listed in Annex I</w:t>
      </w:r>
      <w:r>
        <w:rPr>
          <w:noProof/>
        </w:rPr>
        <w:t>.</w:t>
      </w:r>
    </w:p>
    <w:p w14:paraId="4C2B5DCE" w14:textId="77777777" w:rsidR="00A0128F" w:rsidRPr="00AD21FF" w:rsidRDefault="00A0128F" w:rsidP="007234F4">
      <w:pPr>
        <w:pStyle w:val="ManualNumPar1"/>
        <w:rPr>
          <w:noProof/>
        </w:rPr>
      </w:pPr>
      <w:r>
        <w:rPr>
          <w:noProof/>
        </w:rPr>
        <w:t>2.</w:t>
      </w:r>
      <w:r>
        <w:rPr>
          <w:noProof/>
        </w:rPr>
        <w:tab/>
      </w:r>
      <w:r w:rsidRPr="00AD21FF">
        <w:rPr>
          <w:noProof/>
        </w:rPr>
        <w:t xml:space="preserve">Member States shall designate </w:t>
      </w:r>
      <w:r>
        <w:rPr>
          <w:noProof/>
        </w:rPr>
        <w:t>industrial manufacturing acceleration areas</w:t>
      </w:r>
      <w:r w:rsidRPr="00AD21FF">
        <w:rPr>
          <w:noProof/>
        </w:rPr>
        <w:t xml:space="preserve"> </w:t>
      </w:r>
      <w:r>
        <w:rPr>
          <w:noProof/>
        </w:rPr>
        <w:t xml:space="preserve">by decision, </w:t>
      </w:r>
      <w:r w:rsidRPr="00AD21FF">
        <w:rPr>
          <w:noProof/>
        </w:rPr>
        <w:t>on the basis of the following elements:</w:t>
      </w:r>
    </w:p>
    <w:p w14:paraId="36BA86EC" w14:textId="77777777" w:rsidR="007B49FE" w:rsidRPr="00AD21FF" w:rsidRDefault="007B49FE" w:rsidP="007234F4">
      <w:pPr>
        <w:pStyle w:val="Point1"/>
        <w:rPr>
          <w:noProof/>
        </w:rPr>
      </w:pPr>
      <w:r>
        <w:rPr>
          <w:noProof/>
        </w:rPr>
        <w:t>(a)</w:t>
      </w:r>
      <w:r>
        <w:rPr>
          <w:noProof/>
        </w:rPr>
        <w:tab/>
      </w:r>
      <w:r w:rsidRPr="00AD21FF">
        <w:rPr>
          <w:noProof/>
        </w:rPr>
        <w:t xml:space="preserve">the impact of the </w:t>
      </w:r>
      <w:r w:rsidR="007A6DC7">
        <w:rPr>
          <w:noProof/>
        </w:rPr>
        <w:t>i</w:t>
      </w:r>
      <w:r w:rsidR="7E53E604">
        <w:rPr>
          <w:noProof/>
        </w:rPr>
        <w:t>ndustrial manufacturing</w:t>
      </w:r>
      <w:r w:rsidR="007A6DC7">
        <w:rPr>
          <w:noProof/>
        </w:rPr>
        <w:t xml:space="preserve"> </w:t>
      </w:r>
      <w:r w:rsidRPr="00AD21FF">
        <w:rPr>
          <w:noProof/>
        </w:rPr>
        <w:t xml:space="preserve">acceleration area's production on the security of the Union's supply for </w:t>
      </w:r>
      <w:r w:rsidR="00143036" w:rsidRPr="006928F3">
        <w:rPr>
          <w:noProof/>
        </w:rPr>
        <w:t xml:space="preserve">the </w:t>
      </w:r>
      <w:r w:rsidRPr="00AD21FF">
        <w:rPr>
          <w:noProof/>
        </w:rPr>
        <w:t>strategic sectors</w:t>
      </w:r>
      <w:r w:rsidR="00143036" w:rsidRPr="006928F3">
        <w:rPr>
          <w:noProof/>
        </w:rPr>
        <w:t xml:space="preserve"> listed in Annex I</w:t>
      </w:r>
      <w:r w:rsidRPr="00AD21FF">
        <w:rPr>
          <w:noProof/>
        </w:rPr>
        <w:t xml:space="preserve">; </w:t>
      </w:r>
    </w:p>
    <w:p w14:paraId="2CD6DDEF" w14:textId="77777777" w:rsidR="007B49FE" w:rsidRPr="00AD21FF" w:rsidRDefault="007B49FE" w:rsidP="16146D21">
      <w:pPr>
        <w:pStyle w:val="Point1"/>
        <w:rPr>
          <w:noProof/>
        </w:rPr>
      </w:pPr>
      <w:r>
        <w:rPr>
          <w:noProof/>
        </w:rPr>
        <w:t>(b)</w:t>
      </w:r>
      <w:r>
        <w:rPr>
          <w:noProof/>
        </w:rPr>
        <w:tab/>
      </w:r>
      <w:r w:rsidRPr="00AD21FF">
        <w:rPr>
          <w:noProof/>
        </w:rPr>
        <w:t xml:space="preserve">the potential of the </w:t>
      </w:r>
      <w:r w:rsidR="2043391D">
        <w:rPr>
          <w:noProof/>
        </w:rPr>
        <w:t xml:space="preserve">industrial manufacturing </w:t>
      </w:r>
      <w:r w:rsidRPr="00AD21FF">
        <w:rPr>
          <w:noProof/>
        </w:rPr>
        <w:t>acceleration area to support the deployment of product</w:t>
      </w:r>
      <w:r w:rsidR="005C66FF">
        <w:rPr>
          <w:noProof/>
        </w:rPr>
        <w:t>ion capacity</w:t>
      </w:r>
      <w:r w:rsidRPr="00AD21FF">
        <w:rPr>
          <w:noProof/>
        </w:rPr>
        <w:t xml:space="preserve"> in </w:t>
      </w:r>
      <w:r w:rsidR="00143036" w:rsidRPr="006928F3">
        <w:rPr>
          <w:noProof/>
        </w:rPr>
        <w:t xml:space="preserve">the </w:t>
      </w:r>
      <w:r w:rsidRPr="00AD21FF">
        <w:rPr>
          <w:noProof/>
        </w:rPr>
        <w:t>strategic sectors</w:t>
      </w:r>
      <w:r w:rsidR="00143036" w:rsidRPr="006928F3">
        <w:rPr>
          <w:noProof/>
        </w:rPr>
        <w:t xml:space="preserve"> listed in Annex I</w:t>
      </w:r>
      <w:r w:rsidRPr="00AD21FF">
        <w:rPr>
          <w:noProof/>
        </w:rPr>
        <w:t xml:space="preserve">, </w:t>
      </w:r>
      <w:r w:rsidR="6F01DF18">
        <w:rPr>
          <w:noProof/>
        </w:rPr>
        <w:t xml:space="preserve">to </w:t>
      </w:r>
      <w:r w:rsidRPr="00AD21FF">
        <w:rPr>
          <w:noProof/>
        </w:rPr>
        <w:t>strengthen Union value chains</w:t>
      </w:r>
      <w:r w:rsidR="008C7AFD">
        <w:rPr>
          <w:noProof/>
        </w:rPr>
        <w:t xml:space="preserve"> and</w:t>
      </w:r>
      <w:r w:rsidR="0081268C">
        <w:rPr>
          <w:noProof/>
        </w:rPr>
        <w:t xml:space="preserve"> the </w:t>
      </w:r>
      <w:r w:rsidR="00586B4A">
        <w:rPr>
          <w:noProof/>
        </w:rPr>
        <w:t>Union</w:t>
      </w:r>
      <w:r w:rsidR="0081268C">
        <w:rPr>
          <w:noProof/>
        </w:rPr>
        <w:t xml:space="preserve">’s innovation potential </w:t>
      </w:r>
      <w:r w:rsidR="24F85371">
        <w:rPr>
          <w:noProof/>
        </w:rPr>
        <w:t xml:space="preserve">to accelerate </w:t>
      </w:r>
      <w:r w:rsidR="00AD030D">
        <w:rPr>
          <w:noProof/>
        </w:rPr>
        <w:t xml:space="preserve">sustainable manufacturing </w:t>
      </w:r>
      <w:r w:rsidR="5D3EFA92">
        <w:rPr>
          <w:noProof/>
        </w:rPr>
        <w:t xml:space="preserve">industrial </w:t>
      </w:r>
      <w:r w:rsidR="00AD030D">
        <w:rPr>
          <w:noProof/>
        </w:rPr>
        <w:t>activities</w:t>
      </w:r>
      <w:r w:rsidR="00143036" w:rsidRPr="006928F3">
        <w:rPr>
          <w:noProof/>
        </w:rPr>
        <w:t>,</w:t>
      </w:r>
      <w:r w:rsidR="00AD030D">
        <w:rPr>
          <w:noProof/>
        </w:rPr>
        <w:t xml:space="preserve"> including </w:t>
      </w:r>
      <w:r w:rsidR="5D3EFA92">
        <w:rPr>
          <w:noProof/>
        </w:rPr>
        <w:t>decarbonisation</w:t>
      </w:r>
      <w:r w:rsidR="7E241415">
        <w:rPr>
          <w:noProof/>
        </w:rPr>
        <w:t xml:space="preserve"> </w:t>
      </w:r>
      <w:r w:rsidR="006140E8">
        <w:rPr>
          <w:noProof/>
        </w:rPr>
        <w:t>and circular business practices,</w:t>
      </w:r>
      <w:r w:rsidR="24F85371">
        <w:rPr>
          <w:noProof/>
        </w:rPr>
        <w:t xml:space="preserve"> </w:t>
      </w:r>
      <w:r w:rsidRPr="00AD21FF">
        <w:rPr>
          <w:noProof/>
        </w:rPr>
        <w:t xml:space="preserve">and </w:t>
      </w:r>
      <w:r w:rsidR="00BE8226">
        <w:rPr>
          <w:noProof/>
        </w:rPr>
        <w:t>to</w:t>
      </w:r>
      <w:r w:rsidRPr="00AD21FF">
        <w:rPr>
          <w:noProof/>
        </w:rPr>
        <w:t xml:space="preserve"> foster </w:t>
      </w:r>
      <w:r w:rsidR="005C66FF">
        <w:rPr>
          <w:noProof/>
        </w:rPr>
        <w:t>the functioning of</w:t>
      </w:r>
      <w:r w:rsidRPr="00AD21FF">
        <w:rPr>
          <w:noProof/>
        </w:rPr>
        <w:t xml:space="preserve"> the internal market, in alignment with strategic projects </w:t>
      </w:r>
      <w:r w:rsidR="00167C20" w:rsidRPr="00143327">
        <w:rPr>
          <w:noProof/>
        </w:rPr>
        <w:t>and other initiatives</w:t>
      </w:r>
      <w:r w:rsidR="00143036" w:rsidRPr="006928F3">
        <w:rPr>
          <w:noProof/>
        </w:rPr>
        <w:t>, including</w:t>
      </w:r>
      <w:r w:rsidR="00167C20" w:rsidRPr="00143327">
        <w:rPr>
          <w:noProof/>
        </w:rPr>
        <w:t xml:space="preserve"> as Net Zero </w:t>
      </w:r>
      <w:r w:rsidR="00BE16E5" w:rsidRPr="00143327">
        <w:rPr>
          <w:noProof/>
        </w:rPr>
        <w:t xml:space="preserve">Acceleration </w:t>
      </w:r>
      <w:r w:rsidR="00167C20" w:rsidRPr="00143327">
        <w:rPr>
          <w:noProof/>
        </w:rPr>
        <w:t>Valleys</w:t>
      </w:r>
      <w:r w:rsidR="00143036" w:rsidRPr="006928F3">
        <w:rPr>
          <w:noProof/>
        </w:rPr>
        <w:t>,</w:t>
      </w:r>
      <w:r w:rsidR="00167C20">
        <w:rPr>
          <w:noProof/>
        </w:rPr>
        <w:t xml:space="preserve"> </w:t>
      </w:r>
      <w:r w:rsidRPr="00AD21FF">
        <w:rPr>
          <w:noProof/>
        </w:rPr>
        <w:t xml:space="preserve">carried out pursuant to other Union legislation; </w:t>
      </w:r>
    </w:p>
    <w:p w14:paraId="4A0CD744" w14:textId="77777777" w:rsidR="002D01CA" w:rsidRDefault="007B49FE" w:rsidP="003E306F">
      <w:pPr>
        <w:pStyle w:val="Point1"/>
        <w:rPr>
          <w:noProof/>
        </w:rPr>
      </w:pPr>
      <w:r>
        <w:rPr>
          <w:noProof/>
        </w:rPr>
        <w:t>(c)</w:t>
      </w:r>
      <w:r>
        <w:rPr>
          <w:noProof/>
        </w:rPr>
        <w:tab/>
      </w:r>
      <w:r w:rsidRPr="00AD21FF">
        <w:rPr>
          <w:noProof/>
        </w:rPr>
        <w:t xml:space="preserve">the </w:t>
      </w:r>
      <w:r w:rsidRPr="00470796">
        <w:rPr>
          <w:noProof/>
        </w:rPr>
        <w:t>number of SMEs and SMCs that would</w:t>
      </w:r>
      <w:r w:rsidRPr="00AD21FF">
        <w:rPr>
          <w:noProof/>
        </w:rPr>
        <w:t xml:space="preserve"> benefit from the provisions of this Chapter within the </w:t>
      </w:r>
      <w:r w:rsidR="003A1954">
        <w:rPr>
          <w:noProof/>
        </w:rPr>
        <w:t>industrial</w:t>
      </w:r>
      <w:r w:rsidRPr="00AD21FF">
        <w:rPr>
          <w:noProof/>
        </w:rPr>
        <w:t xml:space="preserve"> acceleration area</w:t>
      </w:r>
      <w:r w:rsidR="002D01CA">
        <w:rPr>
          <w:noProof/>
        </w:rPr>
        <w:t>;</w:t>
      </w:r>
    </w:p>
    <w:p w14:paraId="69AB2371" w14:textId="77777777" w:rsidR="001D42EF" w:rsidRDefault="00392924" w:rsidP="003E306F">
      <w:pPr>
        <w:pStyle w:val="Point1"/>
        <w:rPr>
          <w:noProof/>
        </w:rPr>
      </w:pPr>
      <w:r>
        <w:rPr>
          <w:noProof/>
        </w:rPr>
        <w:t>(d)</w:t>
      </w:r>
      <w:r>
        <w:rPr>
          <w:noProof/>
        </w:rPr>
        <w:tab/>
        <w:t xml:space="preserve">the Member </w:t>
      </w:r>
      <w:r w:rsidR="00D61373">
        <w:rPr>
          <w:noProof/>
        </w:rPr>
        <w:t>State’s regions’</w:t>
      </w:r>
      <w:r w:rsidR="00B71765">
        <w:rPr>
          <w:noProof/>
        </w:rPr>
        <w:t xml:space="preserve"> level of development</w:t>
      </w:r>
      <w:r w:rsidR="00E9071A" w:rsidRPr="0064677D">
        <w:rPr>
          <w:noProof/>
        </w:rPr>
        <w:t xml:space="preserve">, </w:t>
      </w:r>
      <w:r w:rsidR="005A4BC8">
        <w:rPr>
          <w:noProof/>
        </w:rPr>
        <w:t xml:space="preserve">including </w:t>
      </w:r>
      <w:r w:rsidR="00E9071A" w:rsidRPr="0064677D">
        <w:rPr>
          <w:noProof/>
        </w:rPr>
        <w:t>least developed areas, regions in transition, and those undergoing industrial transformation</w:t>
      </w:r>
      <w:r w:rsidR="00143036" w:rsidRPr="006928F3">
        <w:rPr>
          <w:noProof/>
        </w:rPr>
        <w:t>.</w:t>
      </w:r>
    </w:p>
    <w:p w14:paraId="657B9AC9" w14:textId="77777777" w:rsidR="007B49FE" w:rsidRPr="00AD21FF" w:rsidRDefault="00F10B61" w:rsidP="007234F4">
      <w:pPr>
        <w:pStyle w:val="ManualNumPar1"/>
        <w:rPr>
          <w:noProof/>
        </w:rPr>
      </w:pPr>
      <w:r>
        <w:rPr>
          <w:noProof/>
        </w:rPr>
        <w:t>3.</w:t>
      </w:r>
      <w:r>
        <w:rPr>
          <w:noProof/>
        </w:rPr>
        <w:tab/>
        <w:t xml:space="preserve">When designating industrial manufacturing acceleration areas, Member States shall: </w:t>
      </w:r>
    </w:p>
    <w:p w14:paraId="51EE1112" w14:textId="77777777" w:rsidR="00CC7512" w:rsidRDefault="00CC7512" w:rsidP="007234F4">
      <w:pPr>
        <w:pStyle w:val="Point1"/>
        <w:rPr>
          <w:noProof/>
        </w:rPr>
      </w:pPr>
      <w:r>
        <w:rPr>
          <w:noProof/>
        </w:rPr>
        <w:t>(a)</w:t>
      </w:r>
      <w:r>
        <w:rPr>
          <w:noProof/>
        </w:rPr>
        <w:tab/>
        <w:t>define</w:t>
      </w:r>
      <w:r w:rsidRPr="00AD21FF">
        <w:rPr>
          <w:noProof/>
        </w:rPr>
        <w:t xml:space="preserve"> a clear geographic scope for the acceleration area; </w:t>
      </w:r>
    </w:p>
    <w:p w14:paraId="3511C9A3" w14:textId="77777777" w:rsidR="007B49FE" w:rsidRPr="00AD21FF" w:rsidRDefault="00F10B61" w:rsidP="007234F4">
      <w:pPr>
        <w:pStyle w:val="Point1"/>
        <w:rPr>
          <w:noProof/>
        </w:rPr>
      </w:pPr>
      <w:r>
        <w:rPr>
          <w:noProof/>
        </w:rPr>
        <w:t>(b)</w:t>
      </w:r>
      <w:r>
        <w:rPr>
          <w:noProof/>
        </w:rPr>
        <w:tab/>
        <w:t xml:space="preserve">prioritise </w:t>
      </w:r>
      <w:r w:rsidR="003A1954">
        <w:rPr>
          <w:noProof/>
        </w:rPr>
        <w:t xml:space="preserve">locations </w:t>
      </w:r>
      <w:r w:rsidR="007B49FE" w:rsidRPr="00AD21FF">
        <w:rPr>
          <w:noProof/>
        </w:rPr>
        <w:t xml:space="preserve">where the deployment of a specific sector or sectors of industrial manufacturing </w:t>
      </w:r>
      <w:r w:rsidR="00886714" w:rsidRPr="00AD21FF">
        <w:rPr>
          <w:noProof/>
        </w:rPr>
        <w:t>project</w:t>
      </w:r>
      <w:r w:rsidR="00A37A6D">
        <w:rPr>
          <w:noProof/>
        </w:rPr>
        <w:t>s</w:t>
      </w:r>
      <w:r w:rsidR="00886714" w:rsidRPr="00AD21FF" w:rsidDel="00886714">
        <w:rPr>
          <w:noProof/>
        </w:rPr>
        <w:t xml:space="preserve"> </w:t>
      </w:r>
      <w:r w:rsidR="007B49FE" w:rsidRPr="00AD21FF">
        <w:rPr>
          <w:noProof/>
        </w:rPr>
        <w:t>is not expected to have a significant environmental impact;</w:t>
      </w:r>
    </w:p>
    <w:p w14:paraId="067153DA" w14:textId="77777777" w:rsidR="00D13761" w:rsidRDefault="00203F9F" w:rsidP="007234F4">
      <w:pPr>
        <w:pStyle w:val="Point1"/>
        <w:rPr>
          <w:noProof/>
        </w:rPr>
      </w:pPr>
      <w:r>
        <w:rPr>
          <w:noProof/>
        </w:rPr>
        <w:t>(c)</w:t>
      </w:r>
      <w:r>
        <w:rPr>
          <w:noProof/>
        </w:rPr>
        <w:tab/>
        <w:t xml:space="preserve">prioritise </w:t>
      </w:r>
      <w:r w:rsidR="000A7EE8">
        <w:rPr>
          <w:noProof/>
        </w:rPr>
        <w:t xml:space="preserve">locations outside </w:t>
      </w:r>
      <w:r w:rsidR="007B49FE" w:rsidRPr="00AD21FF">
        <w:rPr>
          <w:noProof/>
        </w:rPr>
        <w:t xml:space="preserve">Natura 2000 sites and </w:t>
      </w:r>
      <w:r w:rsidR="000A7EE8">
        <w:rPr>
          <w:noProof/>
        </w:rPr>
        <w:t xml:space="preserve">outside </w:t>
      </w:r>
      <w:r w:rsidR="007B49FE" w:rsidRPr="00AD21FF">
        <w:rPr>
          <w:noProof/>
        </w:rPr>
        <w:t>areas designated under national protection schemes for nature and biodiversity conservation, as well as other areas identified on the basis of sensitivity maps</w:t>
      </w:r>
      <w:r w:rsidR="00E94D0B" w:rsidRPr="0036120D">
        <w:rPr>
          <w:noProof/>
        </w:rPr>
        <w:t xml:space="preserve"> and outside protected areas as referred to in Article 6 of Directive 2000/60/EC;</w:t>
      </w:r>
    </w:p>
    <w:p w14:paraId="44AA794F" w14:textId="77777777" w:rsidR="009667D9" w:rsidRPr="00AD21FF" w:rsidRDefault="009667D9" w:rsidP="007234F4">
      <w:pPr>
        <w:pStyle w:val="Point1"/>
        <w:rPr>
          <w:noProof/>
        </w:rPr>
      </w:pPr>
      <w:r>
        <w:rPr>
          <w:noProof/>
        </w:rPr>
        <w:t>(d)</w:t>
      </w:r>
      <w:r>
        <w:rPr>
          <w:noProof/>
        </w:rPr>
        <w:tab/>
        <w:t>take into account climate risks in the areas designated;</w:t>
      </w:r>
    </w:p>
    <w:p w14:paraId="5AFC9E7E" w14:textId="77777777" w:rsidR="007B49FE" w:rsidRPr="00AD21FF" w:rsidRDefault="007B49FE" w:rsidP="007234F4">
      <w:pPr>
        <w:pStyle w:val="Point1"/>
        <w:rPr>
          <w:noProof/>
        </w:rPr>
      </w:pPr>
      <w:r>
        <w:rPr>
          <w:noProof/>
        </w:rPr>
        <w:t>(e)</w:t>
      </w:r>
      <w:r>
        <w:rPr>
          <w:noProof/>
        </w:rPr>
        <w:tab/>
      </w:r>
      <w:r w:rsidRPr="00AD21FF">
        <w:rPr>
          <w:noProof/>
        </w:rPr>
        <w:t>prioritis</w:t>
      </w:r>
      <w:r w:rsidR="00F10B61">
        <w:rPr>
          <w:noProof/>
        </w:rPr>
        <w:t>e</w:t>
      </w:r>
      <w:r w:rsidRPr="00AD21FF">
        <w:rPr>
          <w:noProof/>
        </w:rPr>
        <w:t xml:space="preserve"> artificial and built surfaces, industrial sites, and brownfield sites</w:t>
      </w:r>
      <w:r w:rsidR="00E6574A">
        <w:rPr>
          <w:noProof/>
        </w:rPr>
        <w:t xml:space="preserve">, as well as </w:t>
      </w:r>
      <w:r w:rsidR="00F636FF">
        <w:rPr>
          <w:noProof/>
        </w:rPr>
        <w:t>already identifie</w:t>
      </w:r>
      <w:r w:rsidR="00603183">
        <w:rPr>
          <w:noProof/>
        </w:rPr>
        <w:t>d</w:t>
      </w:r>
      <w:r w:rsidR="00F636FF">
        <w:rPr>
          <w:noProof/>
        </w:rPr>
        <w:t xml:space="preserve"> strategic projects pursuant to other Union legislation</w:t>
      </w:r>
      <w:r w:rsidR="00B6775F">
        <w:rPr>
          <w:noProof/>
        </w:rPr>
        <w:t>.</w:t>
      </w:r>
    </w:p>
    <w:p w14:paraId="28593CF7" w14:textId="77777777" w:rsidR="007B49FE" w:rsidRPr="00AD21FF" w:rsidRDefault="00CC453A" w:rsidP="007234F4">
      <w:pPr>
        <w:pStyle w:val="ManualNumPar1"/>
        <w:rPr>
          <w:noProof/>
        </w:rPr>
      </w:pPr>
      <w:r>
        <w:rPr>
          <w:noProof/>
        </w:rPr>
        <w:t>4.</w:t>
      </w:r>
      <w:r>
        <w:rPr>
          <w:noProof/>
        </w:rPr>
        <w:tab/>
        <w:t xml:space="preserve">When designating </w:t>
      </w:r>
      <w:r w:rsidR="00055878">
        <w:rPr>
          <w:noProof/>
        </w:rPr>
        <w:t>industrial manufacturing acceleration areas</w:t>
      </w:r>
      <w:r w:rsidR="00041F87">
        <w:rPr>
          <w:noProof/>
        </w:rPr>
        <w:t>, Member States shall</w:t>
      </w:r>
      <w:r>
        <w:rPr>
          <w:noProof/>
        </w:rPr>
        <w:t xml:space="preserve"> </w:t>
      </w:r>
      <w:r w:rsidR="007B49FE" w:rsidRPr="00AD21FF" w:rsidDel="00CA7D14">
        <w:rPr>
          <w:noProof/>
        </w:rPr>
        <w:t>take into account</w:t>
      </w:r>
      <w:r w:rsidR="007B49FE" w:rsidRPr="00AD21FF">
        <w:rPr>
          <w:noProof/>
        </w:rPr>
        <w:t>, as relevant, the following considerations</w:t>
      </w:r>
      <w:r w:rsidR="003C62C0">
        <w:rPr>
          <w:noProof/>
        </w:rPr>
        <w:t>:</w:t>
      </w:r>
    </w:p>
    <w:p w14:paraId="02848682" w14:textId="77777777" w:rsidR="007B49FE" w:rsidRPr="00AD21FF" w:rsidRDefault="007B49FE" w:rsidP="007234F4">
      <w:pPr>
        <w:pStyle w:val="Point1"/>
        <w:rPr>
          <w:noProof/>
        </w:rPr>
      </w:pPr>
      <w:r>
        <w:rPr>
          <w:noProof/>
        </w:rPr>
        <w:t>(a)</w:t>
      </w:r>
      <w:r>
        <w:rPr>
          <w:noProof/>
        </w:rPr>
        <w:tab/>
      </w:r>
      <w:r w:rsidRPr="00AD21FF">
        <w:rPr>
          <w:noProof/>
        </w:rPr>
        <w:t>the infrastructural needs of the acceleration area;</w:t>
      </w:r>
    </w:p>
    <w:p w14:paraId="3128D43D" w14:textId="77777777" w:rsidR="007B49FE" w:rsidRPr="00AD21FF" w:rsidRDefault="007B49FE" w:rsidP="007234F4">
      <w:pPr>
        <w:pStyle w:val="Point1"/>
        <w:rPr>
          <w:noProof/>
        </w:rPr>
      </w:pPr>
      <w:r>
        <w:rPr>
          <w:noProof/>
        </w:rPr>
        <w:t>(b)</w:t>
      </w:r>
      <w:r>
        <w:rPr>
          <w:noProof/>
        </w:rPr>
        <w:tab/>
      </w:r>
      <w:r w:rsidRPr="00AD21FF">
        <w:rPr>
          <w:noProof/>
        </w:rPr>
        <w:t xml:space="preserve">the financing needs of manufacturing industry located in the acceleration area </w:t>
      </w:r>
      <w:r w:rsidR="00C23878">
        <w:rPr>
          <w:noProof/>
        </w:rPr>
        <w:t>and the possibility to support that industry, where applicable</w:t>
      </w:r>
      <w:r w:rsidR="001659A8">
        <w:rPr>
          <w:noProof/>
        </w:rPr>
        <w:t>,</w:t>
      </w:r>
      <w:r w:rsidR="00C23878">
        <w:rPr>
          <w:noProof/>
        </w:rPr>
        <w:t xml:space="preserve"> in </w:t>
      </w:r>
      <w:r w:rsidR="00C35205">
        <w:rPr>
          <w:noProof/>
        </w:rPr>
        <w:t>accordance with</w:t>
      </w:r>
      <w:r w:rsidR="00C35205" w:rsidRPr="00AD21FF">
        <w:rPr>
          <w:noProof/>
        </w:rPr>
        <w:t xml:space="preserve"> </w:t>
      </w:r>
      <w:r w:rsidRPr="00AD21FF">
        <w:rPr>
          <w:noProof/>
        </w:rPr>
        <w:t>applicable State aid rules;</w:t>
      </w:r>
    </w:p>
    <w:p w14:paraId="0662E5AF" w14:textId="77777777" w:rsidR="007B49FE" w:rsidRPr="00AD21FF" w:rsidRDefault="007B49FE" w:rsidP="007234F4">
      <w:pPr>
        <w:pStyle w:val="Point1"/>
        <w:rPr>
          <w:noProof/>
        </w:rPr>
      </w:pPr>
      <w:r>
        <w:rPr>
          <w:noProof/>
        </w:rPr>
        <w:t>(c)</w:t>
      </w:r>
      <w:r>
        <w:rPr>
          <w:noProof/>
        </w:rPr>
        <w:tab/>
      </w:r>
      <w:r w:rsidRPr="00AD21FF">
        <w:rPr>
          <w:noProof/>
        </w:rPr>
        <w:t>the supply chain needs within the acceleration area and the essential materials</w:t>
      </w:r>
      <w:r w:rsidR="006C731D">
        <w:rPr>
          <w:noProof/>
        </w:rPr>
        <w:t>, particularly secondary materials,</w:t>
      </w:r>
      <w:r w:rsidRPr="00AD21FF">
        <w:rPr>
          <w:noProof/>
        </w:rPr>
        <w:t xml:space="preserve"> necessary for manufacturing activities;</w:t>
      </w:r>
    </w:p>
    <w:p w14:paraId="1B121390" w14:textId="77777777" w:rsidR="007B49FE" w:rsidRPr="00AD21FF" w:rsidRDefault="007B49FE" w:rsidP="007234F4">
      <w:pPr>
        <w:pStyle w:val="Point1"/>
        <w:rPr>
          <w:noProof/>
        </w:rPr>
      </w:pPr>
      <w:r>
        <w:rPr>
          <w:noProof/>
        </w:rPr>
        <w:t>(d)</w:t>
      </w:r>
      <w:r>
        <w:rPr>
          <w:noProof/>
        </w:rPr>
        <w:tab/>
      </w:r>
      <w:r w:rsidRPr="00AD21FF">
        <w:rPr>
          <w:noProof/>
        </w:rPr>
        <w:t xml:space="preserve">the feasibility of connecting the acceleration area with sufficient </w:t>
      </w:r>
      <w:r w:rsidR="00686920">
        <w:rPr>
          <w:noProof/>
        </w:rPr>
        <w:t xml:space="preserve">low-carbon </w:t>
      </w:r>
      <w:r w:rsidRPr="00AD21FF">
        <w:rPr>
          <w:noProof/>
        </w:rPr>
        <w:t xml:space="preserve">energy supply for the acceleration of industrial </w:t>
      </w:r>
      <w:r w:rsidR="00A423F2">
        <w:rPr>
          <w:noProof/>
        </w:rPr>
        <w:t xml:space="preserve">manufacturing </w:t>
      </w:r>
      <w:r w:rsidRPr="00AD21FF">
        <w:rPr>
          <w:noProof/>
        </w:rPr>
        <w:t xml:space="preserve">activity; </w:t>
      </w:r>
    </w:p>
    <w:p w14:paraId="1F853C81" w14:textId="77777777" w:rsidR="007B49FE" w:rsidRPr="00AD21FF" w:rsidRDefault="007B49FE" w:rsidP="007234F4">
      <w:pPr>
        <w:pStyle w:val="Point1"/>
        <w:rPr>
          <w:noProof/>
        </w:rPr>
      </w:pPr>
      <w:r>
        <w:rPr>
          <w:noProof/>
        </w:rPr>
        <w:t>(e)</w:t>
      </w:r>
      <w:r>
        <w:rPr>
          <w:noProof/>
        </w:rPr>
        <w:tab/>
      </w:r>
      <w:r w:rsidRPr="00AD21FF">
        <w:rPr>
          <w:noProof/>
        </w:rPr>
        <w:t>skill needs, the shortages and employment trends and support measures to achieve the adequate reskilling and upskilling of the local workforce;</w:t>
      </w:r>
    </w:p>
    <w:p w14:paraId="556ED563" w14:textId="77777777" w:rsidR="007B49FE" w:rsidRPr="00AD21FF" w:rsidRDefault="007B49FE" w:rsidP="007234F4">
      <w:pPr>
        <w:pStyle w:val="Point1"/>
        <w:rPr>
          <w:noProof/>
        </w:rPr>
      </w:pPr>
      <w:r>
        <w:rPr>
          <w:noProof/>
        </w:rPr>
        <w:t>(f)</w:t>
      </w:r>
      <w:r>
        <w:rPr>
          <w:noProof/>
        </w:rPr>
        <w:tab/>
      </w:r>
      <w:r w:rsidRPr="00AD21FF">
        <w:rPr>
          <w:noProof/>
        </w:rPr>
        <w:t>the need, as relevant, for depollution of the acceleration area to facilitate the commencement of new industrial activities;</w:t>
      </w:r>
    </w:p>
    <w:p w14:paraId="17FD1D78" w14:textId="77777777" w:rsidR="007B49FE" w:rsidRPr="00AD21FF" w:rsidRDefault="007B49FE" w:rsidP="007234F4">
      <w:pPr>
        <w:pStyle w:val="Point1"/>
        <w:rPr>
          <w:noProof/>
        </w:rPr>
      </w:pPr>
      <w:r>
        <w:rPr>
          <w:noProof/>
        </w:rPr>
        <w:t>(g)</w:t>
      </w:r>
      <w:r>
        <w:rPr>
          <w:noProof/>
        </w:rPr>
        <w:tab/>
      </w:r>
      <w:r w:rsidRPr="00AD21FF">
        <w:rPr>
          <w:noProof/>
        </w:rPr>
        <w:t>research and innovation needs for accelerating the manufacturing industrial activity in the area</w:t>
      </w:r>
      <w:r w:rsidR="00550218">
        <w:rPr>
          <w:noProof/>
        </w:rPr>
        <w:t>;</w:t>
      </w:r>
    </w:p>
    <w:p w14:paraId="64604AA6" w14:textId="77777777" w:rsidR="00064542" w:rsidRPr="00AD21FF" w:rsidRDefault="00064542" w:rsidP="007234F4">
      <w:pPr>
        <w:pStyle w:val="Point1"/>
        <w:rPr>
          <w:noProof/>
        </w:rPr>
      </w:pPr>
      <w:r>
        <w:rPr>
          <w:noProof/>
        </w:rPr>
        <w:t>(h)</w:t>
      </w:r>
      <w:r>
        <w:rPr>
          <w:noProof/>
        </w:rPr>
        <w:tab/>
      </w:r>
      <w:r w:rsidRPr="00A836B0">
        <w:rPr>
          <w:noProof/>
        </w:rPr>
        <w:t>relevant location-specific information made publicly available by industry, including corporate climate transition plans, related targets and actions, investment needs, and required enabling policy frameworks</w:t>
      </w:r>
      <w:r w:rsidR="00485943">
        <w:rPr>
          <w:noProof/>
        </w:rPr>
        <w:t>.</w:t>
      </w:r>
    </w:p>
    <w:p w14:paraId="5D1CBC23" w14:textId="77777777" w:rsidR="004D5305" w:rsidRPr="00AD21FF" w:rsidRDefault="004D5305" w:rsidP="007234F4">
      <w:pPr>
        <w:pStyle w:val="ManualNumPar1"/>
        <w:rPr>
          <w:noProof/>
        </w:rPr>
      </w:pPr>
      <w:r>
        <w:rPr>
          <w:noProof/>
        </w:rPr>
        <w:t>5.</w:t>
      </w:r>
      <w:r>
        <w:rPr>
          <w:noProof/>
        </w:rPr>
        <w:tab/>
      </w:r>
      <w:r w:rsidRPr="00AD21FF">
        <w:rPr>
          <w:noProof/>
        </w:rPr>
        <w:t xml:space="preserve">Before their adoption, the </w:t>
      </w:r>
      <w:r>
        <w:rPr>
          <w:noProof/>
        </w:rPr>
        <w:t>plans or programmes on</w:t>
      </w:r>
      <w:r w:rsidRPr="00AD21FF">
        <w:rPr>
          <w:noProof/>
        </w:rPr>
        <w:t xml:space="preserve"> the designat</w:t>
      </w:r>
      <w:r>
        <w:rPr>
          <w:noProof/>
        </w:rPr>
        <w:t>ion of the industrial manufacturing acceleration areas</w:t>
      </w:r>
      <w:r w:rsidRPr="00AD21FF">
        <w:rPr>
          <w:noProof/>
        </w:rPr>
        <w:t xml:space="preserve"> shall be subject to an environmental assessment pursuant to Directive 2001/42/EC of the European Parliament and of the Council</w:t>
      </w:r>
      <w:r>
        <w:rPr>
          <w:rStyle w:val="FootnoteReference"/>
          <w:noProof/>
        </w:rPr>
        <w:footnoteReference w:id="63"/>
      </w:r>
      <w:r w:rsidRPr="00AD21FF">
        <w:rPr>
          <w:noProof/>
        </w:rPr>
        <w:t xml:space="preserve">, and, if they are likely to have a significant impact on Natura 2000 sites, to the appropriate assessment pursuant to Article 6(3) of </w:t>
      </w:r>
      <w:r>
        <w:rPr>
          <w:noProof/>
        </w:rPr>
        <w:t xml:space="preserve">Council </w:t>
      </w:r>
      <w:r w:rsidRPr="00AD21FF">
        <w:rPr>
          <w:noProof/>
        </w:rPr>
        <w:t>Directive 92/43/EEC</w:t>
      </w:r>
      <w:r>
        <w:rPr>
          <w:rStyle w:val="FootnoteReference"/>
          <w:noProof/>
          <w:szCs w:val="24"/>
        </w:rPr>
        <w:footnoteReference w:id="64"/>
      </w:r>
      <w:r w:rsidRPr="008C2833">
        <w:rPr>
          <w:noProof/>
          <w:szCs w:val="24"/>
        </w:rPr>
        <w:t xml:space="preserve"> </w:t>
      </w:r>
      <w:r w:rsidRPr="00BF5B87">
        <w:rPr>
          <w:noProof/>
          <w:szCs w:val="24"/>
        </w:rPr>
        <w:t xml:space="preserve">and, where applicable, to the relevant assessment to comply with Article 4(7) of </w:t>
      </w:r>
      <w:r w:rsidRPr="00BF5B87">
        <w:rPr>
          <w:bCs/>
          <w:iCs/>
          <w:noProof/>
          <w:szCs w:val="24"/>
        </w:rPr>
        <w:t>Directive 2000</w:t>
      </w:r>
      <w:r w:rsidRPr="00BF5B87">
        <w:rPr>
          <w:noProof/>
          <w:szCs w:val="24"/>
        </w:rPr>
        <w:t>/60/EC</w:t>
      </w:r>
      <w:r>
        <w:rPr>
          <w:noProof/>
          <w:szCs w:val="24"/>
        </w:rPr>
        <w:t xml:space="preserve"> </w:t>
      </w:r>
      <w:r w:rsidRPr="00996318">
        <w:rPr>
          <w:noProof/>
          <w:szCs w:val="24"/>
        </w:rPr>
        <w:t>of the European Parliament and of the Council</w:t>
      </w:r>
      <w:r>
        <w:rPr>
          <w:rStyle w:val="FootnoteReference"/>
          <w:noProof/>
          <w:szCs w:val="24"/>
        </w:rPr>
        <w:footnoteReference w:id="65"/>
      </w:r>
      <w:r w:rsidRPr="00AD21FF">
        <w:rPr>
          <w:noProof/>
        </w:rPr>
        <w:t>.</w:t>
      </w:r>
    </w:p>
    <w:p w14:paraId="326A71E4" w14:textId="77777777" w:rsidR="00F044CD" w:rsidRDefault="00F044CD" w:rsidP="007234F4">
      <w:pPr>
        <w:pStyle w:val="ManualNumPar1"/>
        <w:rPr>
          <w:noProof/>
        </w:rPr>
      </w:pPr>
      <w:r>
        <w:rPr>
          <w:noProof/>
        </w:rPr>
        <w:t>6.</w:t>
      </w:r>
      <w:r>
        <w:rPr>
          <w:noProof/>
        </w:rPr>
        <w:tab/>
      </w:r>
      <w:r w:rsidRPr="00AD21FF">
        <w:rPr>
          <w:noProof/>
        </w:rPr>
        <w:t>Member States shall</w:t>
      </w:r>
      <w:r>
        <w:rPr>
          <w:noProof/>
        </w:rPr>
        <w:t xml:space="preserve"> inform the Commission of the designation of an industrial manufacturing acceleration area</w:t>
      </w:r>
      <w:r w:rsidRPr="00AD21FF">
        <w:rPr>
          <w:noProof/>
        </w:rPr>
        <w:t xml:space="preserve">, within 30 days from the </w:t>
      </w:r>
      <w:r>
        <w:rPr>
          <w:noProof/>
        </w:rPr>
        <w:t xml:space="preserve">adoption of the relevant </w:t>
      </w:r>
      <w:r w:rsidRPr="00AD21FF">
        <w:rPr>
          <w:noProof/>
        </w:rPr>
        <w:t>decision.</w:t>
      </w:r>
    </w:p>
    <w:p w14:paraId="38A0163D" w14:textId="77777777" w:rsidR="007B49FE" w:rsidRPr="00AD21FF" w:rsidRDefault="007B49FE" w:rsidP="007B49FE">
      <w:pPr>
        <w:pStyle w:val="Titrearticle"/>
        <w:rPr>
          <w:noProof/>
        </w:rPr>
      </w:pPr>
      <w:r w:rsidRPr="00F20E15">
        <w:rPr>
          <w:noProof/>
        </w:rPr>
        <w:t xml:space="preserve">Article </w:t>
      </w:r>
      <w:r w:rsidR="00FB31F1" w:rsidRPr="00F20E15">
        <w:rPr>
          <w:noProof/>
        </w:rPr>
        <w:t>2</w:t>
      </w:r>
      <w:r w:rsidR="009E02E0">
        <w:rPr>
          <w:noProof/>
        </w:rPr>
        <w:t>6</w:t>
      </w:r>
      <w:r w:rsidRPr="00F20E15">
        <w:rPr>
          <w:noProof/>
        </w:rPr>
        <w:br/>
      </w:r>
      <w:r w:rsidRPr="00F20E15">
        <w:rPr>
          <w:b/>
          <w:i w:val="0"/>
          <w:noProof/>
        </w:rPr>
        <w:t>Enabling conditions</w:t>
      </w:r>
    </w:p>
    <w:p w14:paraId="7081F6E7" w14:textId="77777777" w:rsidR="00064CCF" w:rsidRPr="00AD21FF" w:rsidRDefault="00064CCF" w:rsidP="00C20EF9">
      <w:pPr>
        <w:pStyle w:val="NumPar11"/>
        <w:rPr>
          <w:noProof/>
        </w:rPr>
      </w:pPr>
      <w:r w:rsidRPr="00AD21FF">
        <w:rPr>
          <w:noProof/>
        </w:rPr>
        <w:t xml:space="preserve">Member States shall take </w:t>
      </w:r>
      <w:r>
        <w:rPr>
          <w:noProof/>
        </w:rPr>
        <w:t xml:space="preserve">the following </w:t>
      </w:r>
      <w:r w:rsidRPr="00AD21FF">
        <w:rPr>
          <w:noProof/>
        </w:rPr>
        <w:t>measures</w:t>
      </w:r>
      <w:r>
        <w:rPr>
          <w:noProof/>
        </w:rPr>
        <w:t>, where appropriate,</w:t>
      </w:r>
      <w:r w:rsidRPr="00AD21FF">
        <w:rPr>
          <w:noProof/>
        </w:rPr>
        <w:t xml:space="preserve"> to facilitate the development of </w:t>
      </w:r>
      <w:r>
        <w:rPr>
          <w:noProof/>
        </w:rPr>
        <w:t xml:space="preserve">industrial manufacturing </w:t>
      </w:r>
      <w:r w:rsidRPr="00AD21FF">
        <w:rPr>
          <w:noProof/>
        </w:rPr>
        <w:t>acceleration areas</w:t>
      </w:r>
      <w:r>
        <w:rPr>
          <w:noProof/>
        </w:rPr>
        <w:t>:</w:t>
      </w:r>
    </w:p>
    <w:p w14:paraId="44E9E677" w14:textId="77777777" w:rsidR="007B49FE" w:rsidRPr="00AD21FF" w:rsidRDefault="007B49FE" w:rsidP="007234F4">
      <w:pPr>
        <w:pStyle w:val="Point1"/>
        <w:rPr>
          <w:noProof/>
        </w:rPr>
      </w:pPr>
      <w:r>
        <w:rPr>
          <w:noProof/>
        </w:rPr>
        <w:t>(a)</w:t>
      </w:r>
      <w:r>
        <w:rPr>
          <w:noProof/>
        </w:rPr>
        <w:tab/>
      </w:r>
      <w:r w:rsidRPr="00AD21FF">
        <w:rPr>
          <w:noProof/>
        </w:rPr>
        <w:t xml:space="preserve">facilitate financing of projects in the acceleration areas </w:t>
      </w:r>
      <w:r w:rsidR="00351CE7">
        <w:rPr>
          <w:noProof/>
        </w:rPr>
        <w:t xml:space="preserve">by ensuring coordination between authorities and streamlining </w:t>
      </w:r>
      <w:r w:rsidR="00351CE7" w:rsidRPr="00205824">
        <w:rPr>
          <w:noProof/>
        </w:rPr>
        <w:t xml:space="preserve">internal procedures, </w:t>
      </w:r>
      <w:r w:rsidRPr="00205824">
        <w:rPr>
          <w:noProof/>
        </w:rPr>
        <w:t>in synergy with Union programmes</w:t>
      </w:r>
      <w:r w:rsidR="00C504B5" w:rsidRPr="00205824">
        <w:rPr>
          <w:noProof/>
        </w:rPr>
        <w:t xml:space="preserve"> and in </w:t>
      </w:r>
      <w:r w:rsidR="00155B48">
        <w:rPr>
          <w:noProof/>
        </w:rPr>
        <w:t xml:space="preserve">accordance </w:t>
      </w:r>
      <w:r w:rsidR="00C504B5" w:rsidRPr="00205824">
        <w:rPr>
          <w:noProof/>
        </w:rPr>
        <w:t>with existing State aid rules where applicable</w:t>
      </w:r>
      <w:r w:rsidRPr="00205824">
        <w:rPr>
          <w:noProof/>
        </w:rPr>
        <w:t>, taking into account the participation of SMEs and SMCs;</w:t>
      </w:r>
    </w:p>
    <w:p w14:paraId="5C3B4875" w14:textId="77777777" w:rsidR="007C2A9A" w:rsidRPr="00AD21FF" w:rsidRDefault="007C598B" w:rsidP="007234F4">
      <w:pPr>
        <w:pStyle w:val="Point1"/>
        <w:rPr>
          <w:noProof/>
        </w:rPr>
      </w:pPr>
      <w:r>
        <w:rPr>
          <w:noProof/>
        </w:rPr>
        <w:t>(b)</w:t>
      </w:r>
      <w:r>
        <w:rPr>
          <w:noProof/>
        </w:rPr>
        <w:tab/>
        <w:t>p</w:t>
      </w:r>
      <w:r w:rsidRPr="004C726E">
        <w:rPr>
          <w:noProof/>
        </w:rPr>
        <w:t>romote</w:t>
      </w:r>
      <w:r w:rsidR="007C2A9A" w:rsidRPr="004C726E">
        <w:rPr>
          <w:noProof/>
        </w:rPr>
        <w:t xml:space="preserve"> </w:t>
      </w:r>
      <w:r w:rsidR="0042599B">
        <w:rPr>
          <w:noProof/>
        </w:rPr>
        <w:t>research and innovation</w:t>
      </w:r>
      <w:r w:rsidR="007C2A9A" w:rsidRPr="004C726E">
        <w:rPr>
          <w:noProof/>
        </w:rPr>
        <w:t xml:space="preserve"> investments to accelerate the innovative potential and </w:t>
      </w:r>
      <w:r w:rsidR="006B0F1C">
        <w:rPr>
          <w:noProof/>
        </w:rPr>
        <w:t>Union</w:t>
      </w:r>
      <w:r w:rsidR="007C2A9A" w:rsidRPr="004C726E">
        <w:rPr>
          <w:noProof/>
        </w:rPr>
        <w:t>’s competitiveness and technology leadership in the acceleration areas;</w:t>
      </w:r>
      <w:r w:rsidR="007C2A9A" w:rsidRPr="007C2A9A">
        <w:rPr>
          <w:noProof/>
        </w:rPr>
        <w:t> </w:t>
      </w:r>
    </w:p>
    <w:p w14:paraId="6957998D" w14:textId="77777777" w:rsidR="00A65496" w:rsidRDefault="007B49FE" w:rsidP="007234F4">
      <w:pPr>
        <w:pStyle w:val="Point1"/>
        <w:rPr>
          <w:noProof/>
        </w:rPr>
      </w:pPr>
      <w:r>
        <w:rPr>
          <w:noProof/>
        </w:rPr>
        <w:t>(c)</w:t>
      </w:r>
      <w:r>
        <w:rPr>
          <w:noProof/>
        </w:rPr>
        <w:tab/>
      </w:r>
      <w:r w:rsidRPr="00AD21FF">
        <w:rPr>
          <w:noProof/>
        </w:rPr>
        <w:t>conduct, and</w:t>
      </w:r>
      <w:r w:rsidRPr="00AD21FF" w:rsidDel="00071F5B">
        <w:rPr>
          <w:noProof/>
        </w:rPr>
        <w:t xml:space="preserve"> </w:t>
      </w:r>
      <w:r w:rsidRPr="00AD21FF">
        <w:rPr>
          <w:noProof/>
        </w:rPr>
        <w:t>review at least ever</w:t>
      </w:r>
      <w:r w:rsidR="00096F77">
        <w:rPr>
          <w:noProof/>
        </w:rPr>
        <w:t>y</w:t>
      </w:r>
      <w:r w:rsidRPr="00AD21FF">
        <w:rPr>
          <w:noProof/>
        </w:rPr>
        <w:t xml:space="preserve"> three years, a comprehensive analysis of the </w:t>
      </w:r>
      <w:r w:rsidR="001A5E34">
        <w:rPr>
          <w:noProof/>
        </w:rPr>
        <w:t xml:space="preserve">energy </w:t>
      </w:r>
      <w:r w:rsidR="00D33588">
        <w:rPr>
          <w:noProof/>
        </w:rPr>
        <w:t xml:space="preserve">needs of </w:t>
      </w:r>
      <w:r w:rsidR="00F66F3A">
        <w:rPr>
          <w:noProof/>
        </w:rPr>
        <w:t>each accel</w:t>
      </w:r>
      <w:r w:rsidR="009E3DEF">
        <w:rPr>
          <w:noProof/>
        </w:rPr>
        <w:t>eration area</w:t>
      </w:r>
      <w:r w:rsidR="00E06C3F">
        <w:rPr>
          <w:noProof/>
        </w:rPr>
        <w:t xml:space="preserve"> and </w:t>
      </w:r>
      <w:r w:rsidR="00246C06">
        <w:rPr>
          <w:noProof/>
        </w:rPr>
        <w:t xml:space="preserve">identifying </w:t>
      </w:r>
      <w:r w:rsidR="00397477">
        <w:rPr>
          <w:noProof/>
        </w:rPr>
        <w:t xml:space="preserve">the required </w:t>
      </w:r>
      <w:r w:rsidR="007D3ABE">
        <w:rPr>
          <w:noProof/>
        </w:rPr>
        <w:t>energy infrastructure capacity</w:t>
      </w:r>
      <w:r w:rsidR="003675BE">
        <w:rPr>
          <w:noProof/>
        </w:rPr>
        <w:t xml:space="preserve"> for </w:t>
      </w:r>
      <w:r w:rsidRPr="00AD21FF">
        <w:rPr>
          <w:noProof/>
        </w:rPr>
        <w:t xml:space="preserve">the proper functioning and development of </w:t>
      </w:r>
      <w:r w:rsidR="008C2A01">
        <w:rPr>
          <w:noProof/>
        </w:rPr>
        <w:t>industrial manufacturing projects</w:t>
      </w:r>
      <w:r w:rsidRPr="00AD21FF">
        <w:rPr>
          <w:noProof/>
        </w:rPr>
        <w:t xml:space="preserve"> located in the acceleration area. </w:t>
      </w:r>
    </w:p>
    <w:p w14:paraId="60AAA963" w14:textId="77777777" w:rsidR="007B49FE" w:rsidRPr="00AD21FF" w:rsidRDefault="00376D09" w:rsidP="00EC53F7">
      <w:pPr>
        <w:pStyle w:val="Text2"/>
        <w:rPr>
          <w:noProof/>
        </w:rPr>
      </w:pPr>
      <w:r>
        <w:rPr>
          <w:noProof/>
        </w:rPr>
        <w:t>Such</w:t>
      </w:r>
      <w:r w:rsidR="007B49FE" w:rsidRPr="00AD21FF">
        <w:rPr>
          <w:noProof/>
        </w:rPr>
        <w:t xml:space="preserve"> analysis shall be conducted, at least, when designating the industrial acceleration area and for the milestones of </w:t>
      </w:r>
      <w:r w:rsidR="000D7BE0">
        <w:rPr>
          <w:noProof/>
        </w:rPr>
        <w:t xml:space="preserve">years </w:t>
      </w:r>
      <w:r w:rsidR="00B82F9E">
        <w:rPr>
          <w:noProof/>
        </w:rPr>
        <w:t>2030, 2040 and 2050</w:t>
      </w:r>
      <w:r w:rsidR="002E4768">
        <w:rPr>
          <w:noProof/>
        </w:rPr>
        <w:t xml:space="preserve">, </w:t>
      </w:r>
      <w:r w:rsidR="002E4768" w:rsidRPr="002E4768">
        <w:rPr>
          <w:noProof/>
        </w:rPr>
        <w:t>ensuring alignment with the Union’s decarbonisation pathway</w:t>
      </w:r>
      <w:r w:rsidR="007B49FE" w:rsidRPr="00AD21FF">
        <w:rPr>
          <w:noProof/>
        </w:rPr>
        <w:t>;</w:t>
      </w:r>
    </w:p>
    <w:p w14:paraId="0E311BC7" w14:textId="77777777" w:rsidR="007B49FE" w:rsidRPr="00AD21FF" w:rsidRDefault="007B49FE" w:rsidP="007234F4">
      <w:pPr>
        <w:pStyle w:val="Point1"/>
        <w:rPr>
          <w:noProof/>
        </w:rPr>
      </w:pPr>
      <w:r>
        <w:rPr>
          <w:noProof/>
        </w:rPr>
        <w:t>(d)</w:t>
      </w:r>
      <w:r>
        <w:rPr>
          <w:noProof/>
        </w:rPr>
        <w:tab/>
      </w:r>
      <w:r w:rsidRPr="00AD21FF">
        <w:rPr>
          <w:noProof/>
        </w:rPr>
        <w:t xml:space="preserve">ensure that the network development plans prepared by transmission system operators pursuant to Article 51 of Directive (EU) 2019/944 </w:t>
      </w:r>
      <w:r w:rsidR="00F009C1" w:rsidRPr="00DB4FA2">
        <w:rPr>
          <w:noProof/>
        </w:rPr>
        <w:t>of the European Parliament and of the Council</w:t>
      </w:r>
      <w:r w:rsidR="00F009C1">
        <w:rPr>
          <w:rStyle w:val="FootnoteReference"/>
          <w:noProof/>
        </w:rPr>
        <w:footnoteReference w:id="66"/>
      </w:r>
      <w:r w:rsidR="00F009C1">
        <w:rPr>
          <w:noProof/>
        </w:rPr>
        <w:t xml:space="preserve"> </w:t>
      </w:r>
      <w:r w:rsidRPr="00AD21FF">
        <w:rPr>
          <w:noProof/>
        </w:rPr>
        <w:t xml:space="preserve">and distribution system operators pursuant to Article 32 of Directive (EU) 2019/944 take due account of the analysis prepared pursuant to </w:t>
      </w:r>
      <w:r w:rsidR="00982DAA">
        <w:rPr>
          <w:noProof/>
        </w:rPr>
        <w:t>point (</w:t>
      </w:r>
      <w:r w:rsidR="001D2C24">
        <w:rPr>
          <w:noProof/>
        </w:rPr>
        <w:t>c</w:t>
      </w:r>
      <w:r w:rsidR="00982DAA">
        <w:rPr>
          <w:noProof/>
        </w:rPr>
        <w:t>) of this paragraph</w:t>
      </w:r>
      <w:r w:rsidRPr="00AD21FF">
        <w:rPr>
          <w:noProof/>
        </w:rPr>
        <w:t>, considering the potential of anticipatory investments to accommodate future system needs;</w:t>
      </w:r>
    </w:p>
    <w:p w14:paraId="0D03487C" w14:textId="77777777" w:rsidR="007B49FE" w:rsidRPr="00AD21FF" w:rsidRDefault="007B49FE" w:rsidP="64B75934">
      <w:pPr>
        <w:pStyle w:val="Point1"/>
        <w:rPr>
          <w:noProof/>
        </w:rPr>
      </w:pPr>
      <w:r>
        <w:rPr>
          <w:noProof/>
        </w:rPr>
        <w:t>(e)</w:t>
      </w:r>
      <w:r>
        <w:rPr>
          <w:noProof/>
        </w:rPr>
        <w:tab/>
      </w:r>
      <w:r w:rsidRPr="00AD21FF">
        <w:rPr>
          <w:noProof/>
        </w:rPr>
        <w:t>exchange information on relevant supply chains, identify potential bottlenecks, and strengthen coordination between acceleration areas on critical raw materials issues within the framework of the European Critical Raw Materials Board established by Article 35 of Regulation (EU) 2024/1252;</w:t>
      </w:r>
    </w:p>
    <w:p w14:paraId="52007072" w14:textId="77777777" w:rsidR="007B49FE" w:rsidRPr="00AD21FF" w:rsidRDefault="007B49FE" w:rsidP="007234F4">
      <w:pPr>
        <w:pStyle w:val="Point1"/>
        <w:rPr>
          <w:noProof/>
        </w:rPr>
      </w:pPr>
      <w:r>
        <w:rPr>
          <w:noProof/>
        </w:rPr>
        <w:t>(f)</w:t>
      </w:r>
      <w:r>
        <w:rPr>
          <w:noProof/>
        </w:rPr>
        <w:tab/>
      </w:r>
      <w:r w:rsidRPr="00AD21FF">
        <w:rPr>
          <w:noProof/>
        </w:rPr>
        <w:t>promote entities in the acceleration areas and facilitate their participation, where relevant, in the joint purchasing mechanism established by Article 25 of Regulation (EU) 2024/1252, including by providing guidance, support, and information to ensure effective engagement;</w:t>
      </w:r>
    </w:p>
    <w:p w14:paraId="75E6B67A" w14:textId="77777777" w:rsidR="007B49FE" w:rsidRPr="00AD21FF" w:rsidRDefault="007B49FE" w:rsidP="007234F4">
      <w:pPr>
        <w:pStyle w:val="Point1"/>
        <w:rPr>
          <w:noProof/>
        </w:rPr>
      </w:pPr>
      <w:r>
        <w:rPr>
          <w:noProof/>
        </w:rPr>
        <w:t>(g)</w:t>
      </w:r>
      <w:r>
        <w:rPr>
          <w:noProof/>
        </w:rPr>
        <w:tab/>
      </w:r>
      <w:r w:rsidRPr="00AD21FF">
        <w:rPr>
          <w:noProof/>
        </w:rPr>
        <w:t xml:space="preserve">support the development and availability of a highly skilled workforce and provide appropriate training and apprenticeship opportunities, thereby contributing to high-quality employment within those acceleration areas; </w:t>
      </w:r>
    </w:p>
    <w:p w14:paraId="2EF36A32" w14:textId="77777777" w:rsidR="007B49FE" w:rsidRPr="00AD21FF" w:rsidRDefault="007B49FE" w:rsidP="007234F4">
      <w:pPr>
        <w:pStyle w:val="Point1"/>
        <w:rPr>
          <w:noProof/>
        </w:rPr>
      </w:pPr>
      <w:r>
        <w:rPr>
          <w:noProof/>
        </w:rPr>
        <w:t>(h)</w:t>
      </w:r>
      <w:r>
        <w:rPr>
          <w:noProof/>
        </w:rPr>
        <w:tab/>
      </w:r>
      <w:r w:rsidRPr="00AD21FF">
        <w:rPr>
          <w:noProof/>
        </w:rPr>
        <w:t xml:space="preserve">exchange information on the </w:t>
      </w:r>
      <w:r w:rsidR="00853F04">
        <w:rPr>
          <w:noProof/>
        </w:rPr>
        <w:t xml:space="preserve">necessary </w:t>
      </w:r>
      <w:r w:rsidRPr="00AD21FF">
        <w:rPr>
          <w:noProof/>
        </w:rPr>
        <w:t xml:space="preserve">skills, potential shortages </w:t>
      </w:r>
      <w:r w:rsidR="00B62EB0">
        <w:rPr>
          <w:noProof/>
        </w:rPr>
        <w:t xml:space="preserve">of those skills </w:t>
      </w:r>
      <w:r w:rsidRPr="00AD21FF">
        <w:rPr>
          <w:noProof/>
        </w:rPr>
        <w:t>and best practices applied in the acceleration areas within the framework of the Industrial Forum expert group established by COM/2020/102</w:t>
      </w:r>
      <w:r w:rsidR="00151225">
        <w:rPr>
          <w:rStyle w:val="FootnoteReference"/>
          <w:noProof/>
        </w:rPr>
        <w:footnoteReference w:id="67"/>
      </w:r>
      <w:r w:rsidRPr="00AD21FF">
        <w:rPr>
          <w:noProof/>
        </w:rPr>
        <w:t xml:space="preserve">; </w:t>
      </w:r>
    </w:p>
    <w:p w14:paraId="4B3DCE04" w14:textId="77777777" w:rsidR="007B49FE" w:rsidRPr="00AD21FF" w:rsidRDefault="007B49FE" w:rsidP="007234F4">
      <w:pPr>
        <w:pStyle w:val="Point1"/>
        <w:rPr>
          <w:noProof/>
        </w:rPr>
      </w:pPr>
      <w:r>
        <w:rPr>
          <w:noProof/>
        </w:rPr>
        <w:t>(i)</w:t>
      </w:r>
      <w:r>
        <w:rPr>
          <w:noProof/>
        </w:rPr>
        <w:tab/>
      </w:r>
      <w:r w:rsidRPr="00AD21FF">
        <w:rPr>
          <w:noProof/>
        </w:rPr>
        <w:t>ensure synergies and promote the benefits provided under the Pact for Skills</w:t>
      </w:r>
      <w:r w:rsidR="00B77A34" w:rsidRPr="00781B63">
        <w:rPr>
          <w:rStyle w:val="FootnoteReference"/>
          <w:noProof/>
        </w:rPr>
        <w:footnoteReference w:id="68"/>
      </w:r>
      <w:r w:rsidRPr="00AD21FF">
        <w:rPr>
          <w:noProof/>
        </w:rPr>
        <w:t xml:space="preserve"> or entities established in the acceleration areas, with particular attention to Large-Scale Skill Partnerships and Regional Skills Partnerships included therein.</w:t>
      </w:r>
    </w:p>
    <w:p w14:paraId="1D153EBB" w14:textId="77777777" w:rsidR="007B49FE" w:rsidRPr="00AD21FF" w:rsidRDefault="007B49FE" w:rsidP="007B49FE">
      <w:pPr>
        <w:pStyle w:val="Titrearticle"/>
        <w:rPr>
          <w:b/>
          <w:bCs/>
          <w:i w:val="0"/>
          <w:iCs/>
          <w:noProof/>
        </w:rPr>
      </w:pPr>
      <w:r w:rsidRPr="00AD21FF">
        <w:rPr>
          <w:noProof/>
        </w:rPr>
        <w:t xml:space="preserve">Article </w:t>
      </w:r>
      <w:r w:rsidR="009B42D0">
        <w:rPr>
          <w:noProof/>
        </w:rPr>
        <w:t>2</w:t>
      </w:r>
      <w:r w:rsidR="003A1B88">
        <w:rPr>
          <w:noProof/>
        </w:rPr>
        <w:t>7</w:t>
      </w:r>
      <w:r w:rsidRPr="00AD21FF">
        <w:rPr>
          <w:noProof/>
        </w:rPr>
        <w:br/>
      </w:r>
      <w:r w:rsidRPr="00AD21FF">
        <w:rPr>
          <w:b/>
          <w:bCs/>
          <w:i w:val="0"/>
          <w:iCs/>
          <w:noProof/>
        </w:rPr>
        <w:t>Permit-granting procedure</w:t>
      </w:r>
      <w:r w:rsidR="001A49BF">
        <w:rPr>
          <w:b/>
          <w:bCs/>
          <w:i w:val="0"/>
          <w:iCs/>
          <w:noProof/>
        </w:rPr>
        <w:t>s</w:t>
      </w:r>
      <w:r w:rsidRPr="00AD21FF">
        <w:rPr>
          <w:b/>
          <w:bCs/>
          <w:i w:val="0"/>
          <w:iCs/>
          <w:noProof/>
        </w:rPr>
        <w:t xml:space="preserve"> in acceleration areas</w:t>
      </w:r>
    </w:p>
    <w:p w14:paraId="53144627" w14:textId="77777777" w:rsidR="00A30502" w:rsidRPr="00D55B0D" w:rsidRDefault="00A30502" w:rsidP="007234F4">
      <w:pPr>
        <w:pStyle w:val="ManualNumPar1"/>
        <w:rPr>
          <w:noProof/>
        </w:rPr>
      </w:pPr>
      <w:r>
        <w:rPr>
          <w:noProof/>
        </w:rPr>
        <w:t>1.</w:t>
      </w:r>
      <w:r>
        <w:rPr>
          <w:noProof/>
        </w:rPr>
        <w:tab/>
      </w:r>
      <w:r w:rsidRPr="00D55B0D">
        <w:rPr>
          <w:noProof/>
        </w:rPr>
        <w:t xml:space="preserve">For each designated </w:t>
      </w:r>
      <w:r w:rsidR="00FE4E4A" w:rsidRPr="00D55B0D">
        <w:rPr>
          <w:noProof/>
        </w:rPr>
        <w:t xml:space="preserve">industrial manufacturing </w:t>
      </w:r>
      <w:r w:rsidRPr="00D55B0D">
        <w:rPr>
          <w:noProof/>
        </w:rPr>
        <w:t xml:space="preserve">acceleration area, Member States shall prepare and issue an aggregated baseline permit authorising industrial </w:t>
      </w:r>
      <w:r w:rsidR="002B38C6" w:rsidRPr="00D55B0D">
        <w:rPr>
          <w:noProof/>
        </w:rPr>
        <w:t>activities</w:t>
      </w:r>
      <w:r w:rsidRPr="00D55B0D">
        <w:rPr>
          <w:noProof/>
        </w:rPr>
        <w:t xml:space="preserve"> located within that area</w:t>
      </w:r>
      <w:r w:rsidR="009056C1" w:rsidRPr="00D55B0D">
        <w:rPr>
          <w:noProof/>
        </w:rPr>
        <w:t xml:space="preserve">. </w:t>
      </w:r>
      <w:r w:rsidR="00E50705" w:rsidRPr="00D55B0D">
        <w:rPr>
          <w:noProof/>
        </w:rPr>
        <w:t>This aggregated baseline permit shall cover the permits and</w:t>
      </w:r>
      <w:r w:rsidR="0026505E">
        <w:rPr>
          <w:noProof/>
        </w:rPr>
        <w:t xml:space="preserve"> </w:t>
      </w:r>
      <w:r w:rsidRPr="00D55B0D">
        <w:rPr>
          <w:noProof/>
        </w:rPr>
        <w:t xml:space="preserve">administrative authorisations required for </w:t>
      </w:r>
      <w:r w:rsidR="004022A9" w:rsidRPr="00D55B0D">
        <w:rPr>
          <w:noProof/>
        </w:rPr>
        <w:t xml:space="preserve">the industrial manufacturing projects located within the acceleration area, </w:t>
      </w:r>
      <w:r w:rsidR="001C0B5B" w:rsidRPr="00D55B0D">
        <w:rPr>
          <w:noProof/>
        </w:rPr>
        <w:t>excluding those permits that are installation specific</w:t>
      </w:r>
      <w:r w:rsidR="00053A97" w:rsidRPr="00D55B0D">
        <w:rPr>
          <w:noProof/>
        </w:rPr>
        <w:t>.</w:t>
      </w:r>
    </w:p>
    <w:p w14:paraId="4BD4252D" w14:textId="77777777" w:rsidR="00A30502" w:rsidRPr="004801F1" w:rsidRDefault="008C3762" w:rsidP="007234F4">
      <w:pPr>
        <w:pStyle w:val="ManualNumPar1"/>
        <w:rPr>
          <w:noProof/>
          <w:lang w:val="en-IE"/>
        </w:rPr>
      </w:pPr>
      <w:r>
        <w:rPr>
          <w:noProof/>
        </w:rPr>
        <w:t>2.</w:t>
      </w:r>
      <w:r>
        <w:rPr>
          <w:noProof/>
        </w:rPr>
        <w:tab/>
      </w:r>
      <w:r>
        <w:rPr>
          <w:noProof/>
          <w:lang w:val="en-IE"/>
        </w:rPr>
        <w:t xml:space="preserve">Before </w:t>
      </w:r>
      <w:r w:rsidRPr="0063226F">
        <w:rPr>
          <w:noProof/>
        </w:rPr>
        <w:t>issuing</w:t>
      </w:r>
      <w:r w:rsidR="00A30502" w:rsidRPr="0063226F">
        <w:rPr>
          <w:noProof/>
        </w:rPr>
        <w:t xml:space="preserve"> the aggregated baseline permit referred to in paragraph 1, </w:t>
      </w:r>
      <w:r w:rsidR="00A30502" w:rsidRPr="0026505E">
        <w:rPr>
          <w:noProof/>
        </w:rPr>
        <w:t>Member</w:t>
      </w:r>
      <w:r w:rsidR="00A30502" w:rsidRPr="0063226F">
        <w:rPr>
          <w:noProof/>
        </w:rPr>
        <w:t xml:space="preserve"> States shall carry out all necessary assessments, including relevant environmental assessments, planning procedures and evaluations applicable at the level of the acceleration area.</w:t>
      </w:r>
      <w:r w:rsidR="001D50F9" w:rsidRPr="0063226F">
        <w:rPr>
          <w:noProof/>
        </w:rPr>
        <w:t xml:space="preserve"> </w:t>
      </w:r>
      <w:r w:rsidR="00337C47" w:rsidRPr="0063226F">
        <w:rPr>
          <w:noProof/>
        </w:rPr>
        <w:t xml:space="preserve">Member States shall take into account </w:t>
      </w:r>
      <w:r w:rsidR="00335383" w:rsidRPr="0063226F">
        <w:rPr>
          <w:noProof/>
        </w:rPr>
        <w:t xml:space="preserve">the assessment carried out pursuant to </w:t>
      </w:r>
      <w:r w:rsidR="00335383" w:rsidRPr="00364185">
        <w:rPr>
          <w:noProof/>
        </w:rPr>
        <w:t xml:space="preserve">Article </w:t>
      </w:r>
      <w:r w:rsidR="00475551" w:rsidRPr="00364185">
        <w:rPr>
          <w:noProof/>
        </w:rPr>
        <w:t>2</w:t>
      </w:r>
      <w:r w:rsidR="003A1B88">
        <w:rPr>
          <w:noProof/>
        </w:rPr>
        <w:t>5</w:t>
      </w:r>
      <w:r w:rsidR="00335383" w:rsidRPr="00364185">
        <w:rPr>
          <w:noProof/>
        </w:rPr>
        <w:t>(5).</w:t>
      </w:r>
    </w:p>
    <w:p w14:paraId="24A3157A" w14:textId="77777777" w:rsidR="00A30502" w:rsidRPr="004801F1" w:rsidRDefault="00A30502" w:rsidP="007234F4">
      <w:pPr>
        <w:pStyle w:val="ManualNumPar1"/>
        <w:rPr>
          <w:noProof/>
          <w:lang w:val="en-IE"/>
        </w:rPr>
      </w:pPr>
      <w:r>
        <w:rPr>
          <w:noProof/>
        </w:rPr>
        <w:t>3.</w:t>
      </w:r>
      <w:r>
        <w:rPr>
          <w:noProof/>
        </w:rPr>
        <w:tab/>
      </w:r>
      <w:r w:rsidRPr="004801F1">
        <w:rPr>
          <w:noProof/>
          <w:lang w:val="en-IE"/>
        </w:rPr>
        <w:t xml:space="preserve">Industrial </w:t>
      </w:r>
      <w:r w:rsidRPr="004801F1">
        <w:rPr>
          <w:noProof/>
        </w:rPr>
        <w:t>manufacturing</w:t>
      </w:r>
      <w:r w:rsidRPr="004801F1">
        <w:rPr>
          <w:noProof/>
          <w:lang w:val="en-IE"/>
        </w:rPr>
        <w:t xml:space="preserve"> projects located within an </w:t>
      </w:r>
      <w:r w:rsidR="008C3762" w:rsidRPr="008C3762">
        <w:rPr>
          <w:noProof/>
          <w:lang w:val="en-IE"/>
        </w:rPr>
        <w:t xml:space="preserve">industrial manufacturing </w:t>
      </w:r>
      <w:r w:rsidRPr="00E818E3">
        <w:rPr>
          <w:noProof/>
        </w:rPr>
        <w:t>acceleration</w:t>
      </w:r>
      <w:r w:rsidRPr="004801F1">
        <w:rPr>
          <w:noProof/>
          <w:lang w:val="en-IE"/>
        </w:rPr>
        <w:t xml:space="preserve"> area shall be required to obtain only those additional permits or authorisations that fall outside the scope of the aggregated baseline permit referred to in paragraph 1.</w:t>
      </w:r>
    </w:p>
    <w:p w14:paraId="1F7BB2E7" w14:textId="77777777" w:rsidR="00B11685" w:rsidRPr="00AD21FF" w:rsidRDefault="00752316" w:rsidP="007234F4">
      <w:pPr>
        <w:pStyle w:val="ManualNumPar1"/>
        <w:rPr>
          <w:noProof/>
        </w:rPr>
      </w:pPr>
      <w:r>
        <w:rPr>
          <w:noProof/>
        </w:rPr>
        <w:t>4.</w:t>
      </w:r>
      <w:r>
        <w:rPr>
          <w:noProof/>
        </w:rPr>
        <w:tab/>
        <w:t xml:space="preserve">All </w:t>
      </w:r>
      <w:r w:rsidR="007B49FE" w:rsidRPr="00AD21FF">
        <w:rPr>
          <w:noProof/>
        </w:rPr>
        <w:t xml:space="preserve">industrial manufacturing projects located within an acceleration area shall be considered strategic projects </w:t>
      </w:r>
      <w:r w:rsidR="00C645D0">
        <w:rPr>
          <w:noProof/>
        </w:rPr>
        <w:t xml:space="preserve">contributing to resilience and </w:t>
      </w:r>
      <w:r w:rsidR="00C66FBF">
        <w:rPr>
          <w:noProof/>
        </w:rPr>
        <w:t>de</w:t>
      </w:r>
      <w:r w:rsidR="00C645D0">
        <w:rPr>
          <w:noProof/>
        </w:rPr>
        <w:t>carbonisation or resource efficiency</w:t>
      </w:r>
      <w:r w:rsidR="00C645D0" w:rsidRPr="00AD21FF">
        <w:rPr>
          <w:noProof/>
        </w:rPr>
        <w:t xml:space="preserve"> </w:t>
      </w:r>
      <w:r w:rsidR="00C645D0">
        <w:rPr>
          <w:noProof/>
        </w:rPr>
        <w:t>for the purposes</w:t>
      </w:r>
      <w:r w:rsidR="00C645D0" w:rsidRPr="00AD21FF">
        <w:rPr>
          <w:noProof/>
        </w:rPr>
        <w:t xml:space="preserve"> of </w:t>
      </w:r>
      <w:r w:rsidR="00FF4748" w:rsidRPr="00AD21FF">
        <w:rPr>
          <w:noProof/>
        </w:rPr>
        <w:t>[</w:t>
      </w:r>
      <w:r w:rsidR="00C645D0" w:rsidRPr="00AD21FF">
        <w:rPr>
          <w:noProof/>
        </w:rPr>
        <w:t>Article 14 of</w:t>
      </w:r>
      <w:r w:rsidR="00FF4748">
        <w:rPr>
          <w:noProof/>
        </w:rPr>
        <w:t xml:space="preserve"> </w:t>
      </w:r>
      <w:r w:rsidR="00C645D0" w:rsidRPr="00AD21FF">
        <w:rPr>
          <w:noProof/>
        </w:rPr>
        <w:t>Proposal for a Regulation on speeding-up environmental assessment</w:t>
      </w:r>
      <w:r w:rsidR="005A039A">
        <w:rPr>
          <w:noProof/>
        </w:rPr>
        <w:t>]</w:t>
      </w:r>
      <w:r w:rsidR="00C645D0" w:rsidRPr="00AD21FF">
        <w:rPr>
          <w:noProof/>
        </w:rPr>
        <w:t>.</w:t>
      </w:r>
      <w:r w:rsidR="00C645D0">
        <w:rPr>
          <w:noProof/>
        </w:rPr>
        <w:t xml:space="preserve"> </w:t>
      </w:r>
      <w:r w:rsidR="00C645D0" w:rsidRPr="00216577">
        <w:rPr>
          <w:noProof/>
        </w:rPr>
        <w:t xml:space="preserve">Points 1, 2 and 3 of the Annex </w:t>
      </w:r>
      <w:r w:rsidR="005A039A">
        <w:rPr>
          <w:noProof/>
        </w:rPr>
        <w:t>to</w:t>
      </w:r>
      <w:r w:rsidR="00C645D0" w:rsidRPr="00216577">
        <w:rPr>
          <w:noProof/>
        </w:rPr>
        <w:t xml:space="preserve"> that Regulation shall apply.</w:t>
      </w:r>
    </w:p>
    <w:p w14:paraId="678B09A1" w14:textId="77777777" w:rsidR="00290640" w:rsidRPr="00AD21FF" w:rsidRDefault="00652703" w:rsidP="00652703">
      <w:pPr>
        <w:pStyle w:val="ChapterTitle"/>
        <w:rPr>
          <w:noProof/>
        </w:rPr>
      </w:pPr>
      <w:r w:rsidRPr="00AD21FF">
        <w:rPr>
          <w:b w:val="0"/>
          <w:bCs/>
          <w:noProof/>
        </w:rPr>
        <w:t>CHAPTER VI</w:t>
      </w:r>
      <w:r w:rsidRPr="00AD21FF">
        <w:rPr>
          <w:noProof/>
        </w:rPr>
        <w:br/>
        <w:t>FINAL PROVISIONS</w:t>
      </w:r>
    </w:p>
    <w:p w14:paraId="5BFD4ACA" w14:textId="77777777" w:rsidR="00310366" w:rsidRPr="00AD21FF" w:rsidRDefault="00310366" w:rsidP="00310366">
      <w:pPr>
        <w:pStyle w:val="Titrearticle"/>
        <w:rPr>
          <w:noProof/>
        </w:rPr>
      </w:pPr>
      <w:r w:rsidRPr="00AD21FF">
        <w:rPr>
          <w:noProof/>
        </w:rPr>
        <w:t xml:space="preserve">Article </w:t>
      </w:r>
      <w:r w:rsidR="002E5F95">
        <w:rPr>
          <w:noProof/>
        </w:rPr>
        <w:t>2</w:t>
      </w:r>
      <w:r w:rsidR="003A1B88">
        <w:rPr>
          <w:noProof/>
        </w:rPr>
        <w:t>8</w:t>
      </w:r>
      <w:r w:rsidRPr="00AD21FF">
        <w:rPr>
          <w:noProof/>
        </w:rPr>
        <w:br/>
      </w:r>
      <w:r w:rsidRPr="00AD21FF">
        <w:rPr>
          <w:b/>
          <w:bCs/>
          <w:i w:val="0"/>
          <w:iCs/>
          <w:noProof/>
        </w:rPr>
        <w:t>Evaluation</w:t>
      </w:r>
    </w:p>
    <w:p w14:paraId="1F2B1767" w14:textId="77777777" w:rsidR="00A14A10" w:rsidRPr="00AD21FF" w:rsidRDefault="00A14A10" w:rsidP="00A14A10">
      <w:pPr>
        <w:pStyle w:val="Text0"/>
        <w:rPr>
          <w:noProof/>
        </w:rPr>
      </w:pPr>
      <w:r w:rsidRPr="00AD21FF">
        <w:rPr>
          <w:noProof/>
        </w:rPr>
        <w:t xml:space="preserve">By [OP: Please insert the date = </w:t>
      </w:r>
      <w:r w:rsidRPr="0036120D">
        <w:rPr>
          <w:noProof/>
        </w:rPr>
        <w:t>two</w:t>
      </w:r>
      <w:r w:rsidRPr="00AD21FF">
        <w:rPr>
          <w:noProof/>
        </w:rPr>
        <w:t xml:space="preserve"> years after the date of entry into force of this Regulation], and every three years thereafter, the Commission shall carry out an evaluation of this Regulation and of its contribution to the functioning of the internal </w:t>
      </w:r>
      <w:r w:rsidRPr="00AD21FF" w:rsidDel="00AA01B2">
        <w:rPr>
          <w:noProof/>
        </w:rPr>
        <w:t>market</w:t>
      </w:r>
      <w:r>
        <w:rPr>
          <w:noProof/>
        </w:rPr>
        <w:t>. The evaluation shall consider</w:t>
      </w:r>
      <w:r w:rsidRPr="00AD21FF">
        <w:rPr>
          <w:noProof/>
        </w:rPr>
        <w:t xml:space="preserve">: </w:t>
      </w:r>
    </w:p>
    <w:p w14:paraId="532D9319" w14:textId="77777777" w:rsidR="00310366" w:rsidRPr="00AD21FF" w:rsidRDefault="00E90612" w:rsidP="007234F4">
      <w:pPr>
        <w:pStyle w:val="Point1"/>
        <w:rPr>
          <w:noProof/>
        </w:rPr>
      </w:pPr>
      <w:r>
        <w:rPr>
          <w:noProof/>
        </w:rPr>
        <w:t>(a)</w:t>
      </w:r>
      <w:r>
        <w:rPr>
          <w:noProof/>
        </w:rPr>
        <w:tab/>
        <w:t xml:space="preserve">progress made in achieving </w:t>
      </w:r>
      <w:r w:rsidR="00310366" w:rsidRPr="00AD21FF">
        <w:rPr>
          <w:noProof/>
        </w:rPr>
        <w:t xml:space="preserve">the objectives specified in Article 1, particularly on resilience, economic security and decarbonisation of industrial production; </w:t>
      </w:r>
    </w:p>
    <w:p w14:paraId="16710744" w14:textId="77777777" w:rsidR="00310366" w:rsidRDefault="00E90612" w:rsidP="007234F4">
      <w:pPr>
        <w:pStyle w:val="Point1"/>
        <w:rPr>
          <w:noProof/>
        </w:rPr>
      </w:pPr>
      <w:r>
        <w:rPr>
          <w:noProof/>
        </w:rPr>
        <w:t>(b)</w:t>
      </w:r>
      <w:r>
        <w:rPr>
          <w:noProof/>
        </w:rPr>
        <w:tab/>
        <w:t xml:space="preserve">progress made in achieving </w:t>
      </w:r>
      <w:r w:rsidR="00310366" w:rsidRPr="00AD21FF">
        <w:rPr>
          <w:noProof/>
        </w:rPr>
        <w:t xml:space="preserve">the industrialisation objective </w:t>
      </w:r>
      <w:r w:rsidR="00321A2F">
        <w:rPr>
          <w:noProof/>
        </w:rPr>
        <w:t>pursuant to</w:t>
      </w:r>
      <w:r w:rsidR="00321A2F" w:rsidRPr="00AD21FF">
        <w:rPr>
          <w:noProof/>
        </w:rPr>
        <w:t xml:space="preserve"> </w:t>
      </w:r>
      <w:r w:rsidR="00310366" w:rsidRPr="00AD21FF">
        <w:rPr>
          <w:noProof/>
        </w:rPr>
        <w:t xml:space="preserve">Article </w:t>
      </w:r>
      <w:r w:rsidR="00580E76">
        <w:rPr>
          <w:noProof/>
        </w:rPr>
        <w:t>2</w:t>
      </w:r>
      <w:r w:rsidR="00310366" w:rsidRPr="00AD21FF">
        <w:rPr>
          <w:noProof/>
        </w:rPr>
        <w:t>, taking into account the challenges and opportunities in the internal market</w:t>
      </w:r>
      <w:r w:rsidR="00310366" w:rsidRPr="00AD21FF" w:rsidDel="006E1841">
        <w:rPr>
          <w:noProof/>
        </w:rPr>
        <w:t xml:space="preserve"> </w:t>
      </w:r>
      <w:r w:rsidR="00310366" w:rsidRPr="00AD21FF">
        <w:rPr>
          <w:noProof/>
        </w:rPr>
        <w:t>and global markets</w:t>
      </w:r>
      <w:r w:rsidR="002D6FD6">
        <w:rPr>
          <w:noProof/>
        </w:rPr>
        <w:t>;</w:t>
      </w:r>
    </w:p>
    <w:p w14:paraId="093085BC" w14:textId="77777777" w:rsidR="00D53FBF" w:rsidRPr="00AD21FF" w:rsidRDefault="00D53FBF" w:rsidP="007234F4">
      <w:pPr>
        <w:pStyle w:val="Point1"/>
        <w:rPr>
          <w:noProof/>
        </w:rPr>
      </w:pPr>
      <w:r>
        <w:rPr>
          <w:noProof/>
        </w:rPr>
        <w:t>(c)</w:t>
      </w:r>
      <w:r>
        <w:rPr>
          <w:noProof/>
        </w:rPr>
        <w:tab/>
        <w:t>the related administrative costs, economic impacts on downstream sectors, small and medium enterprises and impacts on public budgets</w:t>
      </w:r>
      <w:r w:rsidR="00AC37C8">
        <w:rPr>
          <w:noProof/>
        </w:rPr>
        <w:t>.</w:t>
      </w:r>
    </w:p>
    <w:p w14:paraId="25874275" w14:textId="77777777" w:rsidR="00310366" w:rsidRPr="00AD21FF" w:rsidRDefault="00310366" w:rsidP="00310366">
      <w:pPr>
        <w:pStyle w:val="Titrearticle"/>
        <w:rPr>
          <w:b/>
          <w:i w:val="0"/>
          <w:noProof/>
        </w:rPr>
      </w:pPr>
      <w:r w:rsidRPr="00AD21FF">
        <w:rPr>
          <w:noProof/>
        </w:rPr>
        <w:t xml:space="preserve">Article </w:t>
      </w:r>
      <w:r w:rsidR="002E5F95">
        <w:rPr>
          <w:noProof/>
        </w:rPr>
        <w:t>2</w:t>
      </w:r>
      <w:r w:rsidR="003A1B88">
        <w:rPr>
          <w:noProof/>
        </w:rPr>
        <w:t>9</w:t>
      </w:r>
      <w:r w:rsidRPr="00AD21FF">
        <w:rPr>
          <w:noProof/>
        </w:rPr>
        <w:br/>
      </w:r>
      <w:r w:rsidRPr="00AD21FF">
        <w:rPr>
          <w:b/>
          <w:i w:val="0"/>
          <w:noProof/>
        </w:rPr>
        <w:t>Review</w:t>
      </w:r>
    </w:p>
    <w:p w14:paraId="510D4F14" w14:textId="77777777" w:rsidR="002A2939" w:rsidRPr="00AD21FF" w:rsidRDefault="002A2939" w:rsidP="002A2939">
      <w:pPr>
        <w:pStyle w:val="Text0"/>
        <w:rPr>
          <w:noProof/>
        </w:rPr>
      </w:pPr>
      <w:r w:rsidRPr="00AD21FF">
        <w:rPr>
          <w:noProof/>
        </w:rPr>
        <w:t xml:space="preserve">By [OP: Please insert the date </w:t>
      </w:r>
      <w:r>
        <w:rPr>
          <w:noProof/>
        </w:rPr>
        <w:t xml:space="preserve">three </w:t>
      </w:r>
      <w:r w:rsidRPr="00AD21FF">
        <w:rPr>
          <w:noProof/>
        </w:rPr>
        <w:t xml:space="preserve">years after the date of entry into force this Regulation], the Commission shall assess the </w:t>
      </w:r>
      <w:r>
        <w:rPr>
          <w:noProof/>
        </w:rPr>
        <w:t>necessity of amending</w:t>
      </w:r>
      <w:r w:rsidRPr="00AD21FF">
        <w:rPr>
          <w:noProof/>
        </w:rPr>
        <w:t xml:space="preserve"> </w:t>
      </w:r>
      <w:r w:rsidRPr="00740358">
        <w:rPr>
          <w:noProof/>
        </w:rPr>
        <w:t>Chapters III and IV</w:t>
      </w:r>
      <w:r w:rsidRPr="00AD21FF">
        <w:rPr>
          <w:noProof/>
        </w:rPr>
        <w:t xml:space="preserve">. </w:t>
      </w:r>
      <w:r>
        <w:rPr>
          <w:noProof/>
        </w:rPr>
        <w:t xml:space="preserve">The Commission may submit a legislative proposal in order to repeal or amend this Regulation. </w:t>
      </w:r>
      <w:r w:rsidRPr="00AD21FF">
        <w:rPr>
          <w:noProof/>
        </w:rPr>
        <w:t xml:space="preserve">That </w:t>
      </w:r>
      <w:r>
        <w:rPr>
          <w:noProof/>
        </w:rPr>
        <w:t>review</w:t>
      </w:r>
      <w:r w:rsidRPr="00AD21FF">
        <w:rPr>
          <w:noProof/>
        </w:rPr>
        <w:t xml:space="preserve"> shall be carried out periodically every three years after the first review.</w:t>
      </w:r>
      <w:r w:rsidRPr="00AD21FF" w:rsidDel="004D1716">
        <w:rPr>
          <w:noProof/>
        </w:rPr>
        <w:t xml:space="preserve"> </w:t>
      </w:r>
    </w:p>
    <w:p w14:paraId="069FA489" w14:textId="77777777" w:rsidR="002A2939" w:rsidRPr="00AD21FF" w:rsidRDefault="002A2939" w:rsidP="002A2939">
      <w:pPr>
        <w:pStyle w:val="Text0"/>
        <w:rPr>
          <w:noProof/>
        </w:rPr>
      </w:pPr>
      <w:r w:rsidRPr="00AD21FF">
        <w:rPr>
          <w:noProof/>
        </w:rPr>
        <w:t xml:space="preserve">When carrying out its </w:t>
      </w:r>
      <w:r w:rsidRPr="00AD21FF" w:rsidDel="00B62929">
        <w:rPr>
          <w:noProof/>
        </w:rPr>
        <w:t>review</w:t>
      </w:r>
      <w:r w:rsidRPr="00AD21FF">
        <w:rPr>
          <w:noProof/>
        </w:rPr>
        <w:t xml:space="preserve">, the Commission shall pay particular attention to the </w:t>
      </w:r>
      <w:r>
        <w:rPr>
          <w:noProof/>
        </w:rPr>
        <w:t xml:space="preserve">effectiveness of this Regulation and the persistence of the circumstances that have justified the adoption of this Regulation and to the necessity </w:t>
      </w:r>
      <w:r w:rsidRPr="00AD21FF">
        <w:rPr>
          <w:noProof/>
        </w:rPr>
        <w:t xml:space="preserve">to introduce Union origin requirements for products from </w:t>
      </w:r>
      <w:r>
        <w:rPr>
          <w:noProof/>
        </w:rPr>
        <w:t xml:space="preserve">certain </w:t>
      </w:r>
      <w:r w:rsidRPr="00AD21FF">
        <w:rPr>
          <w:noProof/>
        </w:rPr>
        <w:t>sectors critical to the Union’s economic security</w:t>
      </w:r>
      <w:r>
        <w:rPr>
          <w:noProof/>
        </w:rPr>
        <w:t>, notably the building of ships and of rail rolling stock</w:t>
      </w:r>
      <w:r w:rsidRPr="00AD21FF">
        <w:rPr>
          <w:noProof/>
        </w:rPr>
        <w:t>.</w:t>
      </w:r>
    </w:p>
    <w:p w14:paraId="3577CF52" w14:textId="77777777" w:rsidR="00310366" w:rsidRPr="00AD21FF" w:rsidRDefault="00310366" w:rsidP="00310366">
      <w:pPr>
        <w:pStyle w:val="Titrearticle"/>
        <w:rPr>
          <w:b/>
          <w:bCs/>
          <w:i w:val="0"/>
          <w:iCs/>
          <w:noProof/>
        </w:rPr>
      </w:pPr>
      <w:r w:rsidRPr="00AD21FF">
        <w:rPr>
          <w:noProof/>
        </w:rPr>
        <w:t xml:space="preserve">Article </w:t>
      </w:r>
      <w:r w:rsidR="003A1B88">
        <w:rPr>
          <w:noProof/>
        </w:rPr>
        <w:t>30</w:t>
      </w:r>
      <w:r w:rsidRPr="00AD21FF">
        <w:rPr>
          <w:noProof/>
        </w:rPr>
        <w:br/>
      </w:r>
      <w:r w:rsidRPr="00AD21FF">
        <w:rPr>
          <w:b/>
          <w:bCs/>
          <w:i w:val="0"/>
          <w:iCs/>
          <w:noProof/>
        </w:rPr>
        <w:t>Exercise of the delegation</w:t>
      </w:r>
    </w:p>
    <w:p w14:paraId="5059556E" w14:textId="77777777" w:rsidR="00310366" w:rsidRPr="00AD21FF" w:rsidRDefault="00310366" w:rsidP="007234F4">
      <w:pPr>
        <w:pStyle w:val="ManualNumPar1"/>
        <w:rPr>
          <w:noProof/>
        </w:rPr>
      </w:pPr>
      <w:r>
        <w:rPr>
          <w:noProof/>
        </w:rPr>
        <w:t>1.</w:t>
      </w:r>
      <w:r>
        <w:rPr>
          <w:noProof/>
        </w:rPr>
        <w:tab/>
      </w:r>
      <w:r w:rsidRPr="00AD21FF">
        <w:rPr>
          <w:noProof/>
        </w:rPr>
        <w:t>The power to adopt delegated acts is conferred on the Commission subject to the conditions laid down in this Article.</w:t>
      </w:r>
    </w:p>
    <w:p w14:paraId="0E2F323C" w14:textId="77777777" w:rsidR="006D5186" w:rsidRPr="0036120D" w:rsidRDefault="006D5186" w:rsidP="007234F4">
      <w:pPr>
        <w:pStyle w:val="ManualNumPar1"/>
        <w:rPr>
          <w:noProof/>
        </w:rPr>
      </w:pPr>
      <w:r>
        <w:rPr>
          <w:noProof/>
        </w:rPr>
        <w:t>2.</w:t>
      </w:r>
      <w:r>
        <w:rPr>
          <w:noProof/>
        </w:rPr>
        <w:tab/>
      </w:r>
      <w:r w:rsidRPr="00AD21FF">
        <w:rPr>
          <w:noProof/>
        </w:rPr>
        <w:t xml:space="preserve">The power to adopt delegated acts referred to </w:t>
      </w:r>
      <w:r w:rsidRPr="0036120D">
        <w:rPr>
          <w:noProof/>
        </w:rPr>
        <w:t xml:space="preserve">in Articles </w:t>
      </w:r>
      <w:r w:rsidR="00891924">
        <w:rPr>
          <w:noProof/>
        </w:rPr>
        <w:t>8, 9, 10, 16 and 24</w:t>
      </w:r>
      <w:r w:rsidRPr="0036120D">
        <w:rPr>
          <w:noProof/>
        </w:rPr>
        <w:t>shall be conferred on the Commission for an indeterminate period of time from [OP please insert the date = the date of the entry into force of this Regulation].</w:t>
      </w:r>
    </w:p>
    <w:p w14:paraId="43A6D009" w14:textId="77777777" w:rsidR="006D5186" w:rsidRPr="0036120D" w:rsidRDefault="006D5186" w:rsidP="007234F4">
      <w:pPr>
        <w:pStyle w:val="ManualNumPar1"/>
        <w:rPr>
          <w:noProof/>
        </w:rPr>
      </w:pPr>
      <w:r>
        <w:rPr>
          <w:noProof/>
        </w:rPr>
        <w:t>3.</w:t>
      </w:r>
      <w:r>
        <w:rPr>
          <w:noProof/>
        </w:rPr>
        <w:tab/>
      </w:r>
      <w:r w:rsidRPr="0036120D">
        <w:rPr>
          <w:noProof/>
        </w:rPr>
        <w:t xml:space="preserve">The delegation of power referred to in Articles </w:t>
      </w:r>
      <w:r w:rsidR="002D6D6C">
        <w:rPr>
          <w:noProof/>
        </w:rPr>
        <w:t xml:space="preserve">8, 9, 10, 16 and 24 </w:t>
      </w:r>
      <w:r w:rsidRPr="0036120D">
        <w:rPr>
          <w:noProof/>
        </w:rPr>
        <w:t>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p w14:paraId="7187B17F" w14:textId="77777777" w:rsidR="006D5186" w:rsidRPr="0036120D" w:rsidRDefault="006D5186" w:rsidP="007234F4">
      <w:pPr>
        <w:pStyle w:val="ManualNumPar1"/>
        <w:rPr>
          <w:noProof/>
        </w:rPr>
      </w:pPr>
      <w:r>
        <w:rPr>
          <w:noProof/>
        </w:rPr>
        <w:t>4.</w:t>
      </w:r>
      <w:r>
        <w:rPr>
          <w:noProof/>
        </w:rPr>
        <w:tab/>
      </w:r>
      <w:r w:rsidRPr="0036120D">
        <w:rPr>
          <w:noProof/>
        </w:rPr>
        <w:t>Before adopting a delegated act, the Commission shall consult experts designated by each Member State in accordance with the principles laid down in the Interinstitutional Agreement of 13 April 2016 on Better Law-Making.</w:t>
      </w:r>
    </w:p>
    <w:p w14:paraId="7DB1593B" w14:textId="77777777" w:rsidR="006D5186" w:rsidRPr="0036120D" w:rsidRDefault="006D5186" w:rsidP="007234F4">
      <w:pPr>
        <w:pStyle w:val="ManualNumPar1"/>
        <w:rPr>
          <w:noProof/>
        </w:rPr>
      </w:pPr>
      <w:r>
        <w:rPr>
          <w:noProof/>
        </w:rPr>
        <w:t>5.</w:t>
      </w:r>
      <w:r>
        <w:rPr>
          <w:noProof/>
        </w:rPr>
        <w:tab/>
      </w:r>
      <w:r w:rsidRPr="0036120D">
        <w:rPr>
          <w:noProof/>
        </w:rPr>
        <w:t>As soon as it adopts a delegated act, the Commission shall notify it simultaneously to the European Parliament and to the Council.</w:t>
      </w:r>
    </w:p>
    <w:p w14:paraId="17B935A1" w14:textId="77777777" w:rsidR="00B23B10" w:rsidRPr="00AD21FF" w:rsidRDefault="00B23B10" w:rsidP="007234F4">
      <w:pPr>
        <w:pStyle w:val="ManualNumPar1"/>
        <w:rPr>
          <w:noProof/>
        </w:rPr>
      </w:pPr>
      <w:r>
        <w:rPr>
          <w:noProof/>
        </w:rPr>
        <w:t>6.</w:t>
      </w:r>
      <w:r>
        <w:rPr>
          <w:noProof/>
        </w:rPr>
        <w:tab/>
      </w:r>
      <w:r w:rsidRPr="0036120D">
        <w:rPr>
          <w:noProof/>
        </w:rPr>
        <w:t xml:space="preserve">A delegated act adopted pursuant to Articles </w:t>
      </w:r>
      <w:r w:rsidR="002D6D6C">
        <w:rPr>
          <w:noProof/>
        </w:rPr>
        <w:t>8, 9, 10, 16 and 24</w:t>
      </w:r>
      <w:r w:rsidRPr="0036120D">
        <w:rPr>
          <w:noProof/>
        </w:rPr>
        <w:t>shall enter into force only if no objection has been expressed either by the European Parliament</w:t>
      </w:r>
      <w:r w:rsidRPr="00AD21FF">
        <w:rPr>
          <w:noProof/>
        </w:rPr>
        <w:t xml:space="preserve">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374B2B72" w14:textId="77777777" w:rsidR="00310366" w:rsidRPr="00AD21FF" w:rsidRDefault="00310366" w:rsidP="00310366">
      <w:pPr>
        <w:pStyle w:val="Titrearticle"/>
        <w:rPr>
          <w:b/>
          <w:bCs/>
          <w:i w:val="0"/>
          <w:iCs/>
          <w:noProof/>
        </w:rPr>
      </w:pPr>
      <w:r w:rsidRPr="00AD21FF">
        <w:rPr>
          <w:noProof/>
        </w:rPr>
        <w:t xml:space="preserve">Article </w:t>
      </w:r>
      <w:r w:rsidR="003A1B88">
        <w:rPr>
          <w:noProof/>
        </w:rPr>
        <w:t>31</w:t>
      </w:r>
      <w:r w:rsidRPr="00AD21FF">
        <w:rPr>
          <w:noProof/>
        </w:rPr>
        <w:br/>
      </w:r>
      <w:r w:rsidRPr="00AD21FF">
        <w:rPr>
          <w:b/>
          <w:bCs/>
          <w:i w:val="0"/>
          <w:iCs/>
          <w:noProof/>
        </w:rPr>
        <w:t>Committee procedure</w:t>
      </w:r>
    </w:p>
    <w:p w14:paraId="59CE729A" w14:textId="77777777" w:rsidR="00310366" w:rsidRPr="00AD21FF" w:rsidRDefault="00310366" w:rsidP="007234F4">
      <w:pPr>
        <w:pStyle w:val="ManualNumPar1"/>
        <w:rPr>
          <w:noProof/>
        </w:rPr>
      </w:pPr>
      <w:r>
        <w:rPr>
          <w:noProof/>
        </w:rPr>
        <w:t>1.</w:t>
      </w:r>
      <w:r>
        <w:rPr>
          <w:noProof/>
        </w:rPr>
        <w:tab/>
      </w:r>
      <w:r w:rsidRPr="00AD21FF">
        <w:rPr>
          <w:noProof/>
        </w:rPr>
        <w:t xml:space="preserve">The Commission shall be assisted by a Committee. That Committee shall be a committee within the meaning of Regulation (EU) No 182/2011. </w:t>
      </w:r>
    </w:p>
    <w:p w14:paraId="600F7501" w14:textId="77777777" w:rsidR="00310366" w:rsidRPr="00AD21FF" w:rsidRDefault="00310366" w:rsidP="007234F4">
      <w:pPr>
        <w:pStyle w:val="ManualNumPar1"/>
        <w:rPr>
          <w:noProof/>
        </w:rPr>
      </w:pPr>
      <w:r>
        <w:rPr>
          <w:noProof/>
        </w:rPr>
        <w:t>2.</w:t>
      </w:r>
      <w:r>
        <w:rPr>
          <w:noProof/>
        </w:rPr>
        <w:tab/>
      </w:r>
      <w:r w:rsidRPr="00AD21FF">
        <w:rPr>
          <w:noProof/>
        </w:rPr>
        <w:t>Where reference is made to this paragraph, Article 4 of Regulation (EU) No 182/2011 shall apply.</w:t>
      </w:r>
    </w:p>
    <w:p w14:paraId="4C089941" w14:textId="77777777" w:rsidR="00310366" w:rsidRPr="00AD21FF" w:rsidRDefault="00310366" w:rsidP="007234F4">
      <w:pPr>
        <w:pStyle w:val="ManualNumPar1"/>
        <w:rPr>
          <w:noProof/>
        </w:rPr>
      </w:pPr>
      <w:r>
        <w:rPr>
          <w:noProof/>
        </w:rPr>
        <w:t>3.</w:t>
      </w:r>
      <w:r>
        <w:rPr>
          <w:noProof/>
        </w:rPr>
        <w:tab/>
      </w:r>
      <w:r w:rsidRPr="00AD21FF">
        <w:rPr>
          <w:noProof/>
        </w:rPr>
        <w:t>Where reference is made to this paragraph, Article 5 of Regulation (EU) No 182/2011 shall apply.</w:t>
      </w:r>
    </w:p>
    <w:p w14:paraId="00EC300E" w14:textId="77777777" w:rsidR="00310366" w:rsidRPr="002C6FFA" w:rsidRDefault="00310366" w:rsidP="00310366">
      <w:pPr>
        <w:pStyle w:val="Titrearticle"/>
        <w:rPr>
          <w:noProof/>
        </w:rPr>
      </w:pPr>
      <w:r w:rsidRPr="002C6FFA">
        <w:rPr>
          <w:noProof/>
        </w:rPr>
        <w:t xml:space="preserve">Article </w:t>
      </w:r>
      <w:r w:rsidR="003A1B88">
        <w:rPr>
          <w:noProof/>
        </w:rPr>
        <w:t>32</w:t>
      </w:r>
      <w:r w:rsidRPr="002C6FFA">
        <w:rPr>
          <w:noProof/>
        </w:rPr>
        <w:br/>
      </w:r>
      <w:r w:rsidRPr="002C6FFA">
        <w:rPr>
          <w:b/>
          <w:i w:val="0"/>
          <w:noProof/>
        </w:rPr>
        <w:t>Penalties</w:t>
      </w:r>
    </w:p>
    <w:p w14:paraId="7FFC299A" w14:textId="77777777" w:rsidR="004C16DA" w:rsidRPr="00AD21FF" w:rsidRDefault="004C16DA" w:rsidP="004C16DA">
      <w:pPr>
        <w:pStyle w:val="Text0"/>
        <w:rPr>
          <w:noProof/>
        </w:rPr>
      </w:pPr>
      <w:r w:rsidRPr="002C6FFA">
        <w:rPr>
          <w:noProof/>
        </w:rPr>
        <w:t xml:space="preserve">Member States shall lay down rules on penalties applicable to infringements of </w:t>
      </w:r>
      <w:r>
        <w:rPr>
          <w:noProof/>
        </w:rPr>
        <w:t xml:space="preserve">the provisions of </w:t>
      </w:r>
      <w:r w:rsidRPr="002C6FFA">
        <w:rPr>
          <w:noProof/>
        </w:rPr>
        <w:t>this Regulation and shall take all necessary measures to ensure that they are implemented. The penalties provided for shall be effective, proportionate and dissuasive. Member States shall, without delay, notify the Commission of those rules and measures and shall notify it, without delay, of any subsequent amendment affecting them.</w:t>
      </w:r>
    </w:p>
    <w:p w14:paraId="07D4F2B5" w14:textId="77777777" w:rsidR="00310366" w:rsidRPr="00AD21FF" w:rsidRDefault="00310366" w:rsidP="00310366">
      <w:pPr>
        <w:pStyle w:val="Titrearticle"/>
        <w:rPr>
          <w:b/>
          <w:bCs/>
          <w:i w:val="0"/>
          <w:iCs/>
          <w:noProof/>
        </w:rPr>
      </w:pPr>
      <w:r w:rsidRPr="00AD21FF">
        <w:rPr>
          <w:noProof/>
        </w:rPr>
        <w:t xml:space="preserve">Article </w:t>
      </w:r>
      <w:r w:rsidR="002C6FFA">
        <w:rPr>
          <w:noProof/>
        </w:rPr>
        <w:t>3</w:t>
      </w:r>
      <w:r w:rsidR="003A1B88">
        <w:rPr>
          <w:noProof/>
        </w:rPr>
        <w:t>3</w:t>
      </w:r>
      <w:r w:rsidRPr="00AD21FF">
        <w:rPr>
          <w:noProof/>
        </w:rPr>
        <w:br/>
      </w:r>
      <w:r w:rsidRPr="00AD21FF">
        <w:rPr>
          <w:b/>
          <w:bCs/>
          <w:i w:val="0"/>
          <w:iCs/>
          <w:noProof/>
        </w:rPr>
        <w:t xml:space="preserve">Amendments to Regulation (EU) 2018/1724 </w:t>
      </w:r>
    </w:p>
    <w:p w14:paraId="0F6FCF37" w14:textId="77777777" w:rsidR="00310366" w:rsidRPr="00AD21FF" w:rsidRDefault="000A547D" w:rsidP="00D05D76">
      <w:pPr>
        <w:pStyle w:val="Text0"/>
        <w:rPr>
          <w:noProof/>
        </w:rPr>
      </w:pPr>
      <w:r>
        <w:rPr>
          <w:noProof/>
        </w:rPr>
        <w:t xml:space="preserve">Annexes I and II to </w:t>
      </w:r>
      <w:r w:rsidR="00310366" w:rsidRPr="00AD21FF">
        <w:rPr>
          <w:noProof/>
        </w:rPr>
        <w:t xml:space="preserve">Regulation (EU) 2018/1724 </w:t>
      </w:r>
      <w:r>
        <w:rPr>
          <w:noProof/>
        </w:rPr>
        <w:t>are</w:t>
      </w:r>
      <w:r w:rsidRPr="00AD21FF">
        <w:rPr>
          <w:noProof/>
        </w:rPr>
        <w:t xml:space="preserve"> </w:t>
      </w:r>
      <w:r w:rsidR="00310366" w:rsidRPr="00AD21FF">
        <w:rPr>
          <w:noProof/>
        </w:rPr>
        <w:t xml:space="preserve">amended </w:t>
      </w:r>
      <w:r w:rsidR="00D922D9">
        <w:rPr>
          <w:noProof/>
        </w:rPr>
        <w:t xml:space="preserve">in accordance with Annex V to this Regulation. </w:t>
      </w:r>
    </w:p>
    <w:p w14:paraId="4F6D3311" w14:textId="77777777" w:rsidR="00310366" w:rsidRPr="00AD21FF" w:rsidRDefault="00310366" w:rsidP="00310366">
      <w:pPr>
        <w:pStyle w:val="Titrearticle"/>
        <w:rPr>
          <w:noProof/>
        </w:rPr>
      </w:pPr>
      <w:r w:rsidRPr="00AD21FF">
        <w:rPr>
          <w:noProof/>
        </w:rPr>
        <w:t xml:space="preserve">Article </w:t>
      </w:r>
      <w:r w:rsidR="002C6FFA">
        <w:rPr>
          <w:noProof/>
        </w:rPr>
        <w:t>3</w:t>
      </w:r>
      <w:r w:rsidR="003A1B88">
        <w:rPr>
          <w:noProof/>
        </w:rPr>
        <w:t>4</w:t>
      </w:r>
      <w:r w:rsidRPr="00AD21FF">
        <w:rPr>
          <w:noProof/>
        </w:rPr>
        <w:br/>
      </w:r>
      <w:r w:rsidRPr="00AD21FF">
        <w:rPr>
          <w:b/>
          <w:bCs/>
          <w:i w:val="0"/>
          <w:iCs/>
          <w:noProof/>
        </w:rPr>
        <w:t xml:space="preserve">Amendments to Regulation (EU) 2024/1735 </w:t>
      </w:r>
    </w:p>
    <w:p w14:paraId="2B4CF4F5" w14:textId="77777777" w:rsidR="00310366" w:rsidRPr="00AD21FF" w:rsidRDefault="00310366" w:rsidP="00B774BB">
      <w:pPr>
        <w:pStyle w:val="Text0"/>
        <w:rPr>
          <w:noProof/>
        </w:rPr>
      </w:pPr>
      <w:r w:rsidRPr="00AD21FF">
        <w:rPr>
          <w:noProof/>
        </w:rPr>
        <w:t>Regulation (EU) 2024/1735 is amended as follows:</w:t>
      </w:r>
    </w:p>
    <w:p w14:paraId="425E366B" w14:textId="77777777" w:rsidR="00310366" w:rsidRPr="00AD21FF" w:rsidRDefault="006C27B5" w:rsidP="007234F4">
      <w:pPr>
        <w:pStyle w:val="Point0"/>
        <w:rPr>
          <w:noProof/>
        </w:rPr>
      </w:pPr>
      <w:r>
        <w:rPr>
          <w:noProof/>
        </w:rPr>
        <w:t>(1)</w:t>
      </w:r>
      <w:r>
        <w:rPr>
          <w:noProof/>
        </w:rPr>
        <w:tab/>
        <w:t xml:space="preserve">in </w:t>
      </w:r>
      <w:r w:rsidR="00310366" w:rsidRPr="00AD21FF">
        <w:rPr>
          <w:noProof/>
        </w:rPr>
        <w:t>Article 3</w:t>
      </w:r>
      <w:r w:rsidR="00DF3F7B">
        <w:rPr>
          <w:noProof/>
        </w:rPr>
        <w:t xml:space="preserve"> the following points (34), (35) and (36) are added:</w:t>
      </w:r>
    </w:p>
    <w:p w14:paraId="335A716D" w14:textId="77777777" w:rsidR="00310366" w:rsidRPr="00AD21FF" w:rsidRDefault="00E473C7" w:rsidP="007234F4">
      <w:pPr>
        <w:pStyle w:val="Point1"/>
        <w:rPr>
          <w:noProof/>
        </w:rPr>
      </w:pPr>
      <w:r>
        <w:rPr>
          <w:noProof/>
        </w:rPr>
        <w:t>(a)</w:t>
      </w:r>
      <w:r>
        <w:rPr>
          <w:noProof/>
        </w:rPr>
        <w:tab/>
        <w:t xml:space="preserve"> </w:t>
      </w:r>
      <w:r w:rsidR="00EA040F">
        <w:rPr>
          <w:noProof/>
        </w:rPr>
        <w:t>‘(</w:t>
      </w:r>
      <w:r w:rsidR="00BB4A88">
        <w:rPr>
          <w:noProof/>
        </w:rPr>
        <w:t xml:space="preserve">34) </w:t>
      </w:r>
      <w:r w:rsidR="00310366" w:rsidRPr="00AD21FF">
        <w:rPr>
          <w:noProof/>
        </w:rPr>
        <w:t xml:space="preserve">‘industrial battery’ means </w:t>
      </w:r>
      <w:r w:rsidR="00354EAF" w:rsidRPr="00354EAF">
        <w:rPr>
          <w:noProof/>
        </w:rPr>
        <w:t>an industrial battery as defined in Article 3(1), point (13), of Regulation (EU) 2023/1542</w:t>
      </w:r>
      <w:r w:rsidR="00D94948">
        <w:rPr>
          <w:noProof/>
        </w:rPr>
        <w:t xml:space="preserve"> of the European Parliament and the </w:t>
      </w:r>
      <w:r w:rsidR="00CB18E6">
        <w:rPr>
          <w:noProof/>
        </w:rPr>
        <w:t>C</w:t>
      </w:r>
      <w:r w:rsidR="00D94948">
        <w:rPr>
          <w:noProof/>
        </w:rPr>
        <w:t>ouncil</w:t>
      </w:r>
      <w:r w:rsidR="00367E2F">
        <w:rPr>
          <w:noProof/>
        </w:rPr>
        <w:t>*</w:t>
      </w:r>
      <w:r w:rsidR="00B0287D">
        <w:rPr>
          <w:noProof/>
        </w:rPr>
        <w:t>;’</w:t>
      </w:r>
    </w:p>
    <w:p w14:paraId="2FBE322C" w14:textId="77777777" w:rsidR="00310366" w:rsidRPr="00AD21FF" w:rsidRDefault="001E0BED" w:rsidP="007234F4">
      <w:pPr>
        <w:pStyle w:val="Point1"/>
        <w:rPr>
          <w:noProof/>
        </w:rPr>
      </w:pPr>
      <w:r>
        <w:rPr>
          <w:noProof/>
        </w:rPr>
        <w:t>(b)</w:t>
      </w:r>
      <w:r>
        <w:rPr>
          <w:noProof/>
        </w:rPr>
        <w:tab/>
        <w:t xml:space="preserve"> ‘</w:t>
      </w:r>
      <w:r w:rsidR="00BB4A88">
        <w:rPr>
          <w:noProof/>
        </w:rPr>
        <w:t xml:space="preserve">(35) </w:t>
      </w:r>
      <w:r w:rsidR="00310366" w:rsidRPr="00AD21FF">
        <w:rPr>
          <w:noProof/>
        </w:rPr>
        <w:t xml:space="preserve">‘stationary battery energy storage system’ </w:t>
      </w:r>
      <w:r w:rsidR="00B0287D">
        <w:rPr>
          <w:noProof/>
        </w:rPr>
        <w:t xml:space="preserve">means </w:t>
      </w:r>
      <w:r w:rsidR="00E544F1" w:rsidRPr="00F423FA">
        <w:rPr>
          <w:noProof/>
        </w:rPr>
        <w:t>a</w:t>
      </w:r>
      <w:r w:rsidR="00F423FA" w:rsidRPr="00F423FA">
        <w:rPr>
          <w:noProof/>
        </w:rPr>
        <w:t xml:space="preserve"> </w:t>
      </w:r>
      <w:r w:rsidR="00E544F1" w:rsidRPr="00F423FA">
        <w:rPr>
          <w:noProof/>
        </w:rPr>
        <w:t>stationary battery energy storage system</w:t>
      </w:r>
      <w:r w:rsidR="00F423FA" w:rsidRPr="00F423FA">
        <w:rPr>
          <w:noProof/>
        </w:rPr>
        <w:t xml:space="preserve"> </w:t>
      </w:r>
      <w:r w:rsidR="00E544F1" w:rsidRPr="00F423FA">
        <w:rPr>
          <w:noProof/>
        </w:rPr>
        <w:t>as defined in Article 3(1), point (15), of Regulation (EU) 2023/</w:t>
      </w:r>
      <w:r w:rsidR="00F423FA" w:rsidRPr="00F423FA">
        <w:rPr>
          <w:noProof/>
        </w:rPr>
        <w:t>1542</w:t>
      </w:r>
      <w:r w:rsidR="003846C3">
        <w:rPr>
          <w:noProof/>
        </w:rPr>
        <w:t>;’</w:t>
      </w:r>
      <w:r w:rsidR="00F423FA">
        <w:rPr>
          <w:noProof/>
        </w:rPr>
        <w:t xml:space="preserve"> </w:t>
      </w:r>
    </w:p>
    <w:p w14:paraId="2E979814" w14:textId="77777777" w:rsidR="00310366" w:rsidRPr="00AD21FF" w:rsidRDefault="00A969BB" w:rsidP="007234F4">
      <w:pPr>
        <w:pStyle w:val="Point1"/>
        <w:rPr>
          <w:noProof/>
        </w:rPr>
      </w:pPr>
      <w:r>
        <w:rPr>
          <w:noProof/>
        </w:rPr>
        <w:t>(c)</w:t>
      </w:r>
      <w:r>
        <w:rPr>
          <w:noProof/>
        </w:rPr>
        <w:tab/>
        <w:t xml:space="preserve"> ‘</w:t>
      </w:r>
      <w:r w:rsidR="00EA2FCC">
        <w:rPr>
          <w:noProof/>
        </w:rPr>
        <w:t xml:space="preserve">(36) </w:t>
      </w:r>
      <w:r w:rsidR="00310366" w:rsidRPr="00AD21FF">
        <w:rPr>
          <w:noProof/>
        </w:rPr>
        <w:t>‘hydronic heat pump’ means a space heater using ambient heat from an air source, water source or ground source, and/or waste heat for heat generation and heating space through a water circuit</w:t>
      </w:r>
      <w:r w:rsidR="002E110B">
        <w:rPr>
          <w:noProof/>
        </w:rPr>
        <w:t>.</w:t>
      </w:r>
      <w:r w:rsidR="0004161A">
        <w:rPr>
          <w:noProof/>
        </w:rPr>
        <w:t>’</w:t>
      </w:r>
    </w:p>
    <w:p w14:paraId="08B205CB" w14:textId="77777777" w:rsidR="0054768B" w:rsidRPr="00AD21FF" w:rsidRDefault="00367E2F" w:rsidP="0054768B">
      <w:pPr>
        <w:pStyle w:val="Point1"/>
        <w:ind w:firstLine="0"/>
        <w:rPr>
          <w:noProof/>
        </w:rPr>
      </w:pPr>
      <w:r>
        <w:rPr>
          <w:noProof/>
        </w:rPr>
        <w:t>___</w:t>
      </w:r>
    </w:p>
    <w:p w14:paraId="3094FE03" w14:textId="77777777" w:rsidR="00367E2F" w:rsidRPr="00AD21FF" w:rsidRDefault="00367E2F" w:rsidP="0054768B">
      <w:pPr>
        <w:pStyle w:val="Point1"/>
        <w:ind w:firstLine="0"/>
        <w:rPr>
          <w:noProof/>
        </w:rPr>
      </w:pPr>
      <w:r w:rsidRPr="00367E2F">
        <w:rPr>
          <w:noProof/>
        </w:rPr>
        <w:t>* Regulation (EU) 2023/1542 of the European Parliament and of the Council of 12 July 2023 concerning batteries and waste batteries, amending Directive 2008/98/EC and Regulation (EU) 2019/1020 and repealing Directive 2006/66/EC (OJ L 191, 28.7.2023, p. 1, ELI: http://data.europa.eu/eli/reg/2023/1542/oj).;</w:t>
      </w:r>
    </w:p>
    <w:p w14:paraId="5EE17495" w14:textId="77777777" w:rsidR="00DF3F7B" w:rsidRDefault="00822043" w:rsidP="000546F9">
      <w:pPr>
        <w:pStyle w:val="Point0"/>
        <w:rPr>
          <w:noProof/>
        </w:rPr>
      </w:pPr>
      <w:r>
        <w:rPr>
          <w:noProof/>
        </w:rPr>
        <w:t>(2)</w:t>
      </w:r>
      <w:r>
        <w:rPr>
          <w:noProof/>
        </w:rPr>
        <w:tab/>
        <w:t>i</w:t>
      </w:r>
      <w:r w:rsidR="00310366" w:rsidRPr="00AD21FF">
        <w:rPr>
          <w:noProof/>
        </w:rPr>
        <w:t xml:space="preserve">n Article 9, </w:t>
      </w:r>
      <w:r w:rsidR="00DF3F7B">
        <w:rPr>
          <w:noProof/>
        </w:rPr>
        <w:t>the following</w:t>
      </w:r>
      <w:r w:rsidR="00DF3F7B" w:rsidRPr="00AD21FF">
        <w:rPr>
          <w:noProof/>
        </w:rPr>
        <w:t xml:space="preserve"> </w:t>
      </w:r>
      <w:r w:rsidR="00310366" w:rsidRPr="00AD21FF">
        <w:rPr>
          <w:noProof/>
        </w:rPr>
        <w:t xml:space="preserve">paragraph </w:t>
      </w:r>
      <w:r w:rsidR="00D07692">
        <w:rPr>
          <w:noProof/>
        </w:rPr>
        <w:t>(</w:t>
      </w:r>
      <w:r w:rsidR="00310366" w:rsidRPr="00AD21FF">
        <w:rPr>
          <w:noProof/>
        </w:rPr>
        <w:t>14</w:t>
      </w:r>
      <w:r w:rsidR="00D07692">
        <w:rPr>
          <w:noProof/>
        </w:rPr>
        <w:t>)</w:t>
      </w:r>
      <w:r w:rsidR="00310366" w:rsidRPr="00AD21FF">
        <w:rPr>
          <w:noProof/>
        </w:rPr>
        <w:t xml:space="preserve"> is </w:t>
      </w:r>
      <w:r w:rsidR="00600F96">
        <w:rPr>
          <w:noProof/>
        </w:rPr>
        <w:t>added</w:t>
      </w:r>
      <w:r w:rsidR="00310366" w:rsidRPr="00AD21FF">
        <w:rPr>
          <w:noProof/>
        </w:rPr>
        <w:t xml:space="preserve">: </w:t>
      </w:r>
    </w:p>
    <w:p w14:paraId="0A425A83" w14:textId="77777777" w:rsidR="00310366" w:rsidRPr="00AD21FF" w:rsidRDefault="00DF3F7B" w:rsidP="00DF3F7B">
      <w:pPr>
        <w:pStyle w:val="ManualNumPar1"/>
        <w:ind w:firstLine="0"/>
        <w:rPr>
          <w:noProof/>
        </w:rPr>
      </w:pPr>
      <w:r>
        <w:rPr>
          <w:noProof/>
        </w:rPr>
        <w:t>14</w:t>
      </w:r>
      <w:r w:rsidR="00BA3DF7">
        <w:rPr>
          <w:noProof/>
        </w:rPr>
        <w:t xml:space="preserve">. </w:t>
      </w:r>
      <w:r w:rsidR="00087C13">
        <w:rPr>
          <w:noProof/>
        </w:rPr>
        <w:t>A</w:t>
      </w:r>
      <w:r w:rsidR="00310366" w:rsidRPr="00AD21FF">
        <w:rPr>
          <w:noProof/>
        </w:rPr>
        <w:t xml:space="preserve">ll net-zero technology manufacturing projects shall be considered strategic projects </w:t>
      </w:r>
      <w:r w:rsidR="006B7E09" w:rsidRPr="0624AB57">
        <w:rPr>
          <w:noProof/>
        </w:rPr>
        <w:t>contributing to resilience and decarbonisation or resource efficiency</w:t>
      </w:r>
      <w:r w:rsidR="006B7E09" w:rsidRPr="00AD21FF">
        <w:rPr>
          <w:noProof/>
        </w:rPr>
        <w:t xml:space="preserve"> </w:t>
      </w:r>
      <w:r w:rsidR="006B7E09">
        <w:rPr>
          <w:noProof/>
        </w:rPr>
        <w:t xml:space="preserve">for the purpose </w:t>
      </w:r>
      <w:r w:rsidR="00310366" w:rsidRPr="00AD21FF">
        <w:rPr>
          <w:noProof/>
        </w:rPr>
        <w:t>of Article 14(1) of [Proposal for a Regulation on speeding-up environmental assessment].</w:t>
      </w:r>
      <w:r w:rsidR="00EC14FE">
        <w:rPr>
          <w:noProof/>
        </w:rPr>
        <w:t>’;</w:t>
      </w:r>
    </w:p>
    <w:p w14:paraId="2E971A06" w14:textId="77777777" w:rsidR="00310366" w:rsidRPr="00AD21FF" w:rsidRDefault="00310366" w:rsidP="000546F9">
      <w:pPr>
        <w:pStyle w:val="Point0"/>
        <w:rPr>
          <w:noProof/>
        </w:rPr>
      </w:pPr>
      <w:r>
        <w:rPr>
          <w:noProof/>
        </w:rPr>
        <w:t>(3)</w:t>
      </w:r>
      <w:r>
        <w:rPr>
          <w:noProof/>
        </w:rPr>
        <w:tab/>
      </w:r>
      <w:r w:rsidRPr="00AD21FF">
        <w:rPr>
          <w:noProof/>
        </w:rPr>
        <w:t xml:space="preserve">Article 25 is amended as follows: </w:t>
      </w:r>
    </w:p>
    <w:p w14:paraId="75CE2820" w14:textId="77777777" w:rsidR="00826605" w:rsidRDefault="00310366" w:rsidP="007234F4">
      <w:pPr>
        <w:pStyle w:val="Point1"/>
        <w:rPr>
          <w:noProof/>
        </w:rPr>
      </w:pPr>
      <w:r>
        <w:rPr>
          <w:noProof/>
        </w:rPr>
        <w:t>(a)</w:t>
      </w:r>
      <w:r>
        <w:rPr>
          <w:noProof/>
        </w:rPr>
        <w:tab/>
      </w:r>
      <w:r w:rsidRPr="00AD21FF">
        <w:rPr>
          <w:noProof/>
        </w:rPr>
        <w:t xml:space="preserve">paragraph 1 is replaced by </w:t>
      </w:r>
      <w:r w:rsidR="00EC14FE">
        <w:rPr>
          <w:noProof/>
        </w:rPr>
        <w:t xml:space="preserve">the following: </w:t>
      </w:r>
    </w:p>
    <w:p w14:paraId="00E64C90" w14:textId="77777777" w:rsidR="00310366" w:rsidRPr="00AD21FF" w:rsidRDefault="00486EFC" w:rsidP="00826605">
      <w:pPr>
        <w:pStyle w:val="Point1"/>
        <w:ind w:firstLine="0"/>
        <w:rPr>
          <w:noProof/>
        </w:rPr>
      </w:pPr>
      <w:r>
        <w:rPr>
          <w:noProof/>
        </w:rPr>
        <w:t>‘</w:t>
      </w:r>
      <w:r w:rsidR="00F9604C">
        <w:rPr>
          <w:noProof/>
        </w:rPr>
        <w:t xml:space="preserve">1. </w:t>
      </w:r>
      <w:r w:rsidR="00F9604C" w:rsidRPr="00F9604C">
        <w:rPr>
          <w:noProof/>
        </w:rPr>
        <w:t xml:space="preserve">For public procurement procedures falling within the scope of Directive 2014/23/EU, 2014/24/EU or 2014/25/EU, where contracts have net-zero technologies listed in </w:t>
      </w:r>
      <w:r w:rsidR="00310366" w:rsidRPr="00AD21FF">
        <w:rPr>
          <w:noProof/>
        </w:rPr>
        <w:t xml:space="preserve">Article 4(1), points (a) to (d), </w:t>
      </w:r>
      <w:r w:rsidR="00A613AE">
        <w:rPr>
          <w:noProof/>
        </w:rPr>
        <w:t>(h)</w:t>
      </w:r>
      <w:r w:rsidR="00310366" w:rsidRPr="00AD21FF">
        <w:rPr>
          <w:noProof/>
        </w:rPr>
        <w:t xml:space="preserve"> and (i)</w:t>
      </w:r>
      <w:r w:rsidR="00D77908">
        <w:rPr>
          <w:noProof/>
        </w:rPr>
        <w:t xml:space="preserve">, </w:t>
      </w:r>
      <w:r w:rsidR="009049C0" w:rsidRPr="004A5565">
        <w:rPr>
          <w:noProof/>
        </w:rPr>
        <w:t>of this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r w:rsidR="009049C0">
        <w:rPr>
          <w:noProof/>
        </w:rPr>
        <w:t>.</w:t>
      </w:r>
      <w:r>
        <w:rPr>
          <w:noProof/>
        </w:rPr>
        <w:t>’</w:t>
      </w:r>
      <w:r w:rsidR="009049C0">
        <w:rPr>
          <w:noProof/>
        </w:rPr>
        <w:t>;</w:t>
      </w:r>
    </w:p>
    <w:p w14:paraId="1E13EA62" w14:textId="77777777" w:rsidR="00F15A2B" w:rsidRDefault="00B129D8" w:rsidP="007234F4">
      <w:pPr>
        <w:pStyle w:val="Point1"/>
        <w:rPr>
          <w:noProof/>
        </w:rPr>
      </w:pPr>
      <w:r>
        <w:rPr>
          <w:noProof/>
        </w:rPr>
        <w:t>(b)</w:t>
      </w:r>
      <w:r>
        <w:rPr>
          <w:noProof/>
        </w:rPr>
        <w:tab/>
        <w:t>i</w:t>
      </w:r>
      <w:r w:rsidR="00310366" w:rsidRPr="00AD21FF">
        <w:rPr>
          <w:noProof/>
        </w:rPr>
        <w:t>n paragraph 7</w:t>
      </w:r>
      <w:r>
        <w:rPr>
          <w:noProof/>
        </w:rPr>
        <w:t xml:space="preserve">, the </w:t>
      </w:r>
      <w:r w:rsidR="00DC54F7">
        <w:rPr>
          <w:noProof/>
        </w:rPr>
        <w:t>first subparagraph</w:t>
      </w:r>
      <w:r w:rsidR="005964C0">
        <w:rPr>
          <w:noProof/>
        </w:rPr>
        <w:t xml:space="preserve"> is replaced by</w:t>
      </w:r>
      <w:r w:rsidR="00486EFC">
        <w:rPr>
          <w:noProof/>
        </w:rPr>
        <w:t xml:space="preserve"> the following:</w:t>
      </w:r>
      <w:r w:rsidR="00310366" w:rsidRPr="00AD21FF">
        <w:rPr>
          <w:noProof/>
        </w:rPr>
        <w:t xml:space="preserve"> </w:t>
      </w:r>
    </w:p>
    <w:p w14:paraId="7D1382AC" w14:textId="77777777" w:rsidR="00EE6631" w:rsidRDefault="00310366" w:rsidP="00F15A2B">
      <w:pPr>
        <w:pStyle w:val="Point1"/>
        <w:ind w:firstLine="0"/>
        <w:rPr>
          <w:noProof/>
        </w:rPr>
      </w:pPr>
      <w:r w:rsidRPr="00AD21FF">
        <w:rPr>
          <w:noProof/>
        </w:rPr>
        <w:t>‘</w:t>
      </w:r>
      <w:r w:rsidR="005964C0">
        <w:rPr>
          <w:noProof/>
        </w:rPr>
        <w:t xml:space="preserve">The tender’s resilience contribution </w:t>
      </w:r>
      <w:r w:rsidR="00BA46BE">
        <w:rPr>
          <w:noProof/>
        </w:rPr>
        <w:t xml:space="preserve">shall be taken into account in the case of </w:t>
      </w:r>
      <w:r w:rsidRPr="00AD21FF">
        <w:rPr>
          <w:noProof/>
        </w:rPr>
        <w:t>public procurement procedures, work contracts and works concessions referred to in paragraph 1</w:t>
      </w:r>
      <w:r w:rsidR="00C2795E">
        <w:rPr>
          <w:noProof/>
        </w:rPr>
        <w:t>, in accordance with this paragraph</w:t>
      </w:r>
      <w:r w:rsidR="00D10FC8">
        <w:rPr>
          <w:noProof/>
        </w:rPr>
        <w:t>.</w:t>
      </w:r>
      <w:r w:rsidRPr="00AD21FF">
        <w:rPr>
          <w:noProof/>
        </w:rPr>
        <w:t>’</w:t>
      </w:r>
    </w:p>
    <w:p w14:paraId="7088FA5A" w14:textId="77777777" w:rsidR="00310366" w:rsidRPr="00AD21FF" w:rsidRDefault="00F85020" w:rsidP="007234F4">
      <w:pPr>
        <w:pStyle w:val="Point1"/>
        <w:rPr>
          <w:noProof/>
        </w:rPr>
      </w:pPr>
      <w:r>
        <w:rPr>
          <w:noProof/>
        </w:rPr>
        <w:t>(c)</w:t>
      </w:r>
      <w:r>
        <w:rPr>
          <w:noProof/>
        </w:rPr>
        <w:tab/>
        <w:t xml:space="preserve">in paragraph 7, </w:t>
      </w:r>
      <w:r w:rsidR="00F15A2B">
        <w:rPr>
          <w:noProof/>
        </w:rPr>
        <w:t xml:space="preserve">point (a) is replaced by the following: </w:t>
      </w:r>
    </w:p>
    <w:p w14:paraId="51F94CA6" w14:textId="77777777" w:rsidR="00F15A2B" w:rsidRDefault="00F15A2B" w:rsidP="00F15A2B">
      <w:pPr>
        <w:pStyle w:val="Point1"/>
        <w:ind w:firstLine="0"/>
        <w:rPr>
          <w:noProof/>
        </w:rPr>
      </w:pPr>
      <w:r>
        <w:rPr>
          <w:noProof/>
        </w:rPr>
        <w:t>‘</w:t>
      </w:r>
      <w:r w:rsidR="00EC32F0">
        <w:rPr>
          <w:noProof/>
        </w:rPr>
        <w:t>(a)</w:t>
      </w:r>
      <w:r w:rsidR="00774EFB">
        <w:rPr>
          <w:noProof/>
        </w:rPr>
        <w:t xml:space="preserve"> </w:t>
      </w:r>
      <w:r w:rsidR="00774EFB" w:rsidRPr="00774EFB">
        <w:rPr>
          <w:noProof/>
        </w:rPr>
        <w:t>an obligation for the duration of the contract not to supply more than 50 % of the value of the specific net-zero technology final product referred to in this paragraph from each individual third country as determined by the Commission</w:t>
      </w:r>
      <w:r w:rsidR="00774EFB">
        <w:rPr>
          <w:noProof/>
        </w:rPr>
        <w:t>;</w:t>
      </w:r>
    </w:p>
    <w:p w14:paraId="63FE632E" w14:textId="77777777" w:rsidR="00F15A2B" w:rsidRPr="00AD21FF" w:rsidRDefault="00F15A2B" w:rsidP="007234F4">
      <w:pPr>
        <w:pStyle w:val="Point1"/>
        <w:rPr>
          <w:noProof/>
        </w:rPr>
      </w:pPr>
      <w:r>
        <w:rPr>
          <w:noProof/>
        </w:rPr>
        <w:t>(d)</w:t>
      </w:r>
      <w:r>
        <w:rPr>
          <w:noProof/>
        </w:rPr>
        <w:tab/>
        <w:t xml:space="preserve">in paragraph 7, point (b) is replaced by the following: </w:t>
      </w:r>
    </w:p>
    <w:p w14:paraId="312FC49D" w14:textId="77777777" w:rsidR="006320F4" w:rsidRPr="00AD21FF" w:rsidRDefault="006320F4" w:rsidP="006320F4">
      <w:pPr>
        <w:pStyle w:val="Point1"/>
        <w:ind w:firstLine="0"/>
        <w:rPr>
          <w:noProof/>
        </w:rPr>
      </w:pPr>
      <w:r>
        <w:rPr>
          <w:noProof/>
        </w:rPr>
        <w:t xml:space="preserve">‘(b) </w:t>
      </w:r>
      <w:r w:rsidRPr="002A5061">
        <w:rPr>
          <w:noProof/>
        </w:rPr>
        <w:t>an obligation for the duration of the contract that no more than 50 % of the value of all the main specific components of the specific net-zero technology referred to in this paragraph taken together is supplied or provided directly by the successful tenderer or by a subcontractor from each individual third country as determined by the Commission</w:t>
      </w:r>
      <w:r>
        <w:rPr>
          <w:noProof/>
        </w:rPr>
        <w:t>;’;</w:t>
      </w:r>
    </w:p>
    <w:p w14:paraId="109679E7" w14:textId="77777777" w:rsidR="006C369D" w:rsidRDefault="00492C92" w:rsidP="000546F9">
      <w:pPr>
        <w:pStyle w:val="Point0"/>
        <w:rPr>
          <w:noProof/>
        </w:rPr>
      </w:pPr>
      <w:r>
        <w:rPr>
          <w:noProof/>
        </w:rPr>
        <w:t>(4)</w:t>
      </w:r>
      <w:r>
        <w:rPr>
          <w:noProof/>
        </w:rPr>
        <w:tab/>
        <w:t xml:space="preserve">The following Article </w:t>
      </w:r>
      <w:r w:rsidR="002901B0">
        <w:rPr>
          <w:noProof/>
        </w:rPr>
        <w:t xml:space="preserve">25a </w:t>
      </w:r>
      <w:r w:rsidR="000A7BC2">
        <w:rPr>
          <w:noProof/>
        </w:rPr>
        <w:t>is</w:t>
      </w:r>
      <w:r w:rsidR="002901B0">
        <w:rPr>
          <w:noProof/>
        </w:rPr>
        <w:t xml:space="preserve"> </w:t>
      </w:r>
      <w:r w:rsidR="006C369D">
        <w:rPr>
          <w:noProof/>
        </w:rPr>
        <w:t xml:space="preserve">inserted: </w:t>
      </w:r>
    </w:p>
    <w:p w14:paraId="77CF559A" w14:textId="77777777" w:rsidR="00A531BD" w:rsidRDefault="000965EE" w:rsidP="00C645D0">
      <w:pPr>
        <w:pStyle w:val="Titrearticle"/>
        <w:rPr>
          <w:b/>
          <w:i w:val="0"/>
          <w:noProof/>
        </w:rPr>
      </w:pPr>
      <w:r w:rsidRPr="00AD21FF">
        <w:rPr>
          <w:noProof/>
        </w:rPr>
        <w:t xml:space="preserve">‘Article </w:t>
      </w:r>
      <w:r w:rsidRPr="00AD21FF">
        <w:rPr>
          <w:rFonts w:ascii="Times" w:eastAsia="Calibri" w:hAnsi="Times" w:cs="Times"/>
          <w:noProof/>
        </w:rPr>
        <w:t>25</w:t>
      </w:r>
      <w:r>
        <w:rPr>
          <w:rFonts w:ascii="Times" w:eastAsia="Calibri" w:hAnsi="Times" w:cs="Times"/>
          <w:noProof/>
        </w:rPr>
        <w:t>a</w:t>
      </w:r>
      <w:r w:rsidRPr="00AD21FF">
        <w:rPr>
          <w:rFonts w:ascii="Times" w:eastAsia="Calibri" w:hAnsi="Times" w:cs="Times"/>
          <w:noProof/>
        </w:rPr>
        <w:br/>
      </w:r>
      <w:r w:rsidRPr="00AD21FF">
        <w:rPr>
          <w:b/>
          <w:bCs/>
          <w:i w:val="0"/>
          <w:iCs/>
          <w:noProof/>
        </w:rPr>
        <w:t xml:space="preserve">Origin requirements for public procurement </w:t>
      </w:r>
      <w:r w:rsidR="001331AB" w:rsidRPr="00AD21FF">
        <w:rPr>
          <w:b/>
          <w:bCs/>
          <w:i w:val="0"/>
          <w:iCs/>
          <w:noProof/>
        </w:rPr>
        <w:t>procedures</w:t>
      </w:r>
    </w:p>
    <w:p w14:paraId="6813E81C" w14:textId="77777777" w:rsidR="00730909" w:rsidRDefault="001331AB" w:rsidP="007234F4">
      <w:pPr>
        <w:pStyle w:val="ManualNumPar1"/>
        <w:rPr>
          <w:noProof/>
        </w:rPr>
      </w:pPr>
      <w:r>
        <w:rPr>
          <w:noProof/>
        </w:rPr>
        <w:t>1.</w:t>
      </w:r>
      <w:r>
        <w:rPr>
          <w:noProof/>
        </w:rPr>
        <w:tab/>
      </w:r>
      <w:r w:rsidRPr="0012664B">
        <w:rPr>
          <w:noProof/>
        </w:rPr>
        <w:t>For</w:t>
      </w:r>
      <w:r w:rsidRPr="00AD21FF">
        <w:rPr>
          <w:noProof/>
        </w:rPr>
        <w:t xml:space="preserve"> public procurement procedures referred to in Annex II, contracting authorities and contracting entities shall exclude from access to such procurement procedures tenders </w:t>
      </w:r>
      <w:r w:rsidR="00DB2B11">
        <w:rPr>
          <w:noProof/>
        </w:rPr>
        <w:t>submitted by</w:t>
      </w:r>
      <w:r w:rsidR="00DB2B11" w:rsidRPr="00AD21FF">
        <w:rPr>
          <w:noProof/>
        </w:rPr>
        <w:t xml:space="preserve"> </w:t>
      </w:r>
      <w:r w:rsidRPr="00AD21FF">
        <w:rPr>
          <w:noProof/>
        </w:rPr>
        <w:t xml:space="preserve">economic operators </w:t>
      </w:r>
      <w:r w:rsidR="00042636">
        <w:rPr>
          <w:noProof/>
        </w:rPr>
        <w:t xml:space="preserve">owned or controlled by an entity established in </w:t>
      </w:r>
      <w:r w:rsidR="007C2E22" w:rsidRPr="00B10194">
        <w:rPr>
          <w:noProof/>
        </w:rPr>
        <w:t>third countries</w:t>
      </w:r>
      <w:r w:rsidR="007C2E22" w:rsidRPr="00AD21FF">
        <w:rPr>
          <w:noProof/>
        </w:rPr>
        <w:t xml:space="preserve"> which have not concluded an international agreement with the Union guaranteeing such access.</w:t>
      </w:r>
      <w:r w:rsidRPr="00AD21FF">
        <w:rPr>
          <w:noProof/>
        </w:rPr>
        <w:t xml:space="preserve"> </w:t>
      </w:r>
    </w:p>
    <w:p w14:paraId="5EBC5B0D" w14:textId="77777777" w:rsidR="000965EE" w:rsidRPr="00AD21FF" w:rsidRDefault="001357E8" w:rsidP="007234F4">
      <w:pPr>
        <w:pStyle w:val="ManualNumPar1"/>
        <w:rPr>
          <w:noProof/>
        </w:rPr>
      </w:pPr>
      <w:r>
        <w:rPr>
          <w:noProof/>
        </w:rPr>
        <w:t>2.</w:t>
      </w:r>
      <w:r>
        <w:rPr>
          <w:noProof/>
        </w:rPr>
        <w:tab/>
        <w:t>For p</w:t>
      </w:r>
      <w:r w:rsidR="000965EE" w:rsidRPr="00AD21FF">
        <w:rPr>
          <w:noProof/>
        </w:rPr>
        <w:t>ublic procurement procedures referred to in Annex II</w:t>
      </w:r>
      <w:r>
        <w:rPr>
          <w:noProof/>
        </w:rPr>
        <w:t>, contracting authorities and contracting entities</w:t>
      </w:r>
      <w:r w:rsidR="000965EE" w:rsidRPr="00AD21FF">
        <w:rPr>
          <w:noProof/>
        </w:rPr>
        <w:t xml:space="preserve"> shall </w:t>
      </w:r>
      <w:r w:rsidR="00B650B6">
        <w:rPr>
          <w:noProof/>
        </w:rPr>
        <w:t>apply</w:t>
      </w:r>
      <w:r w:rsidR="00CC4DEB">
        <w:rPr>
          <w:noProof/>
        </w:rPr>
        <w:t xml:space="preserve"> the</w:t>
      </w:r>
      <w:r w:rsidR="001331AB" w:rsidRPr="00AD21FF">
        <w:rPr>
          <w:noProof/>
        </w:rPr>
        <w:t xml:space="preserve"> Union origin requirements laid down therein.</w:t>
      </w:r>
      <w:r w:rsidR="000965EE" w:rsidRPr="00AD21FF">
        <w:rPr>
          <w:noProof/>
        </w:rPr>
        <w:t xml:space="preserve"> </w:t>
      </w:r>
      <w:r w:rsidR="00FB77C4">
        <w:rPr>
          <w:noProof/>
        </w:rPr>
        <w:t xml:space="preserve">Requirements relating to specific main specific components shall only apply to the </w:t>
      </w:r>
      <w:r w:rsidR="00FB77C4" w:rsidRPr="00CF266A">
        <w:rPr>
          <w:noProof/>
        </w:rPr>
        <w:t>extent that those components are included in the final product.</w:t>
      </w:r>
    </w:p>
    <w:p w14:paraId="7AFDFC9A" w14:textId="77777777" w:rsidR="00BF3A9F" w:rsidRDefault="00331E8B" w:rsidP="007234F4">
      <w:pPr>
        <w:pStyle w:val="ManualNumPar1"/>
        <w:rPr>
          <w:noProof/>
        </w:rPr>
      </w:pPr>
      <w:r>
        <w:rPr>
          <w:noProof/>
        </w:rPr>
        <w:t>3.</w:t>
      </w:r>
      <w:r>
        <w:rPr>
          <w:noProof/>
        </w:rPr>
        <w:tab/>
      </w:r>
      <w:r w:rsidRPr="00AD21FF">
        <w:rPr>
          <w:noProof/>
        </w:rPr>
        <w:t xml:space="preserve">Contracting authorities and contracting entities may decide not to apply </w:t>
      </w:r>
      <w:r w:rsidR="006E6155">
        <w:rPr>
          <w:noProof/>
        </w:rPr>
        <w:t xml:space="preserve">one or several </w:t>
      </w:r>
      <w:r w:rsidRPr="00AD21FF">
        <w:rPr>
          <w:noProof/>
        </w:rPr>
        <w:t xml:space="preserve">requirements set out in </w:t>
      </w:r>
      <w:r w:rsidR="00241462">
        <w:rPr>
          <w:noProof/>
        </w:rPr>
        <w:t>Annex II</w:t>
      </w:r>
      <w:r w:rsidR="00241462" w:rsidRPr="00AD21FF">
        <w:rPr>
          <w:noProof/>
        </w:rPr>
        <w:t xml:space="preserve"> </w:t>
      </w:r>
      <w:r w:rsidRPr="00AD21FF">
        <w:rPr>
          <w:noProof/>
        </w:rPr>
        <w:t xml:space="preserve">where any of the following conditions are fulfilled: </w:t>
      </w:r>
    </w:p>
    <w:p w14:paraId="7CD09BF3" w14:textId="77777777" w:rsidR="000965EE" w:rsidRPr="00AD21FF" w:rsidRDefault="000965EE" w:rsidP="007234F4">
      <w:pPr>
        <w:pStyle w:val="Point1"/>
        <w:rPr>
          <w:noProof/>
        </w:rPr>
      </w:pPr>
      <w:r>
        <w:rPr>
          <w:noProof/>
        </w:rPr>
        <w:t>(a)</w:t>
      </w:r>
      <w:r>
        <w:rPr>
          <w:noProof/>
        </w:rPr>
        <w:tab/>
      </w:r>
      <w:r w:rsidRPr="00AD21FF">
        <w:rPr>
          <w:noProof/>
        </w:rPr>
        <w:t>the required products can only be supplied by one specific economic operator, and no reasonable alternative or substitute exists, and the absence of competition is not the result of an artificial narrowing down of the parameters of the public procurement procedure;</w:t>
      </w:r>
    </w:p>
    <w:p w14:paraId="69FBAACB" w14:textId="77777777" w:rsidR="000965EE" w:rsidRPr="00AD21FF" w:rsidRDefault="000965EE" w:rsidP="007234F4">
      <w:pPr>
        <w:pStyle w:val="Point1"/>
        <w:rPr>
          <w:noProof/>
        </w:rPr>
      </w:pPr>
      <w:r>
        <w:rPr>
          <w:noProof/>
        </w:rPr>
        <w:t>(b)</w:t>
      </w:r>
      <w:r>
        <w:rPr>
          <w:noProof/>
        </w:rPr>
        <w:tab/>
      </w:r>
      <w:r w:rsidRPr="00AD21FF">
        <w:rPr>
          <w:noProof/>
        </w:rPr>
        <w:t>no suitable tenders or no suitable requests to participate have been submitted, including in response to a similar former public procurement procedure launched by the same contracting authority or contracting entity in the two years preceding the start of the planned new procurement procedure;</w:t>
      </w:r>
    </w:p>
    <w:p w14:paraId="76D40EC6" w14:textId="77777777" w:rsidR="000965EE" w:rsidRPr="00AD21FF" w:rsidRDefault="000965EE" w:rsidP="007234F4">
      <w:pPr>
        <w:pStyle w:val="Point1"/>
        <w:rPr>
          <w:noProof/>
        </w:rPr>
      </w:pPr>
      <w:r>
        <w:rPr>
          <w:noProof/>
        </w:rPr>
        <w:t>(c)</w:t>
      </w:r>
      <w:r>
        <w:rPr>
          <w:noProof/>
        </w:rPr>
        <w:tab/>
      </w:r>
      <w:r w:rsidRPr="00AD21FF">
        <w:rPr>
          <w:noProof/>
        </w:rPr>
        <w:t xml:space="preserve">their application would require a contracting authority or contracting entity to acquire goods, services or works having disproportionate costs or would result in technical incompatibility in operation and maintenance. Estimated cost differences </w:t>
      </w:r>
      <w:r w:rsidR="00BC1D30">
        <w:rPr>
          <w:noProof/>
        </w:rPr>
        <w:t>in excess of</w:t>
      </w:r>
      <w:r w:rsidR="00BC1D30" w:rsidRPr="00AD21FF">
        <w:rPr>
          <w:noProof/>
        </w:rPr>
        <w:t xml:space="preserve"> </w:t>
      </w:r>
      <w:r w:rsidR="003706DB">
        <w:rPr>
          <w:noProof/>
        </w:rPr>
        <w:t>25</w:t>
      </w:r>
      <w:r w:rsidRPr="00AD21FF">
        <w:rPr>
          <w:noProof/>
        </w:rPr>
        <w:t>%, based on objective and transparent data, may be presumed by contracting authorities and contracting entities to be disproportionate.</w:t>
      </w:r>
    </w:p>
    <w:p w14:paraId="4047CAC0" w14:textId="77777777" w:rsidR="0080736C" w:rsidRPr="00AD21FF" w:rsidRDefault="0080736C" w:rsidP="007234F4">
      <w:pPr>
        <w:pStyle w:val="Point1"/>
        <w:rPr>
          <w:noProof/>
        </w:rPr>
      </w:pPr>
      <w:r>
        <w:rPr>
          <w:noProof/>
        </w:rPr>
        <w:t>(d)</w:t>
      </w:r>
      <w:r>
        <w:rPr>
          <w:noProof/>
        </w:rPr>
        <w:tab/>
        <w:t>their</w:t>
      </w:r>
      <w:r w:rsidRPr="00AD21FF">
        <w:rPr>
          <w:noProof/>
        </w:rPr>
        <w:t xml:space="preserve"> application would lead to significant delays </w:t>
      </w:r>
      <w:r w:rsidR="00994C71">
        <w:rPr>
          <w:noProof/>
        </w:rPr>
        <w:t>to the delivery of the project</w:t>
      </w:r>
      <w:r w:rsidR="00560DC0">
        <w:rPr>
          <w:noProof/>
        </w:rPr>
        <w:t xml:space="preserve"> </w:t>
      </w:r>
      <w:r w:rsidRPr="00AD21FF">
        <w:rPr>
          <w:noProof/>
        </w:rPr>
        <w:t>due to the unavailability of the required components</w:t>
      </w:r>
      <w:r w:rsidR="00960365">
        <w:rPr>
          <w:noProof/>
        </w:rPr>
        <w:t xml:space="preserve"> or final products</w:t>
      </w:r>
      <w:r w:rsidRPr="00AD21FF">
        <w:rPr>
          <w:noProof/>
        </w:rPr>
        <w:t>.</w:t>
      </w:r>
      <w:r w:rsidR="00F240A5">
        <w:rPr>
          <w:noProof/>
        </w:rPr>
        <w:t xml:space="preserve"> </w:t>
      </w:r>
      <w:r w:rsidR="00560DC0">
        <w:rPr>
          <w:noProof/>
        </w:rPr>
        <w:t>Estimated d</w:t>
      </w:r>
      <w:r w:rsidR="00F240A5">
        <w:rPr>
          <w:noProof/>
        </w:rPr>
        <w:t xml:space="preserve">elays in excess of </w:t>
      </w:r>
      <w:r w:rsidR="008C1B98">
        <w:rPr>
          <w:noProof/>
        </w:rPr>
        <w:t xml:space="preserve">seven </w:t>
      </w:r>
      <w:r w:rsidR="00F240A5">
        <w:rPr>
          <w:noProof/>
        </w:rPr>
        <w:t>months</w:t>
      </w:r>
      <w:r w:rsidR="00D60965">
        <w:rPr>
          <w:noProof/>
        </w:rPr>
        <w:t>, based on objective</w:t>
      </w:r>
      <w:r w:rsidR="004B27D7">
        <w:rPr>
          <w:noProof/>
        </w:rPr>
        <w:t>, transparent</w:t>
      </w:r>
      <w:r w:rsidR="00D60965">
        <w:rPr>
          <w:noProof/>
        </w:rPr>
        <w:t xml:space="preserve"> and verif</w:t>
      </w:r>
      <w:r w:rsidR="00746693">
        <w:rPr>
          <w:noProof/>
        </w:rPr>
        <w:t>iable data,</w:t>
      </w:r>
      <w:r w:rsidR="00F240A5">
        <w:rPr>
          <w:noProof/>
        </w:rPr>
        <w:t xml:space="preserve"> may be presumed to be significant.</w:t>
      </w:r>
    </w:p>
    <w:p w14:paraId="1D39F54E" w14:textId="77777777" w:rsidR="001B10B0" w:rsidRPr="001B10B0" w:rsidRDefault="000965EE" w:rsidP="007234F4">
      <w:pPr>
        <w:pStyle w:val="ManualNumPar1"/>
        <w:rPr>
          <w:noProof/>
        </w:rPr>
      </w:pPr>
      <w:r>
        <w:rPr>
          <w:noProof/>
        </w:rPr>
        <w:t>4.</w:t>
      </w:r>
      <w:r>
        <w:rPr>
          <w:noProof/>
        </w:rPr>
        <w:tab/>
      </w:r>
      <w:r w:rsidRPr="00AD21FF">
        <w:rPr>
          <w:noProof/>
        </w:rPr>
        <w:t xml:space="preserve">Contracting authorities shall require economic operators supplying products falling within the scope of this </w:t>
      </w:r>
      <w:r w:rsidR="00CE1706">
        <w:rPr>
          <w:noProof/>
        </w:rPr>
        <w:t>Article</w:t>
      </w:r>
      <w:r w:rsidR="00CE1706" w:rsidRPr="00AD21FF">
        <w:rPr>
          <w:noProof/>
        </w:rPr>
        <w:t xml:space="preserve"> </w:t>
      </w:r>
      <w:r w:rsidRPr="00AD21FF">
        <w:rPr>
          <w:noProof/>
        </w:rPr>
        <w:t xml:space="preserve">to submit a self-declaration, or an equivalent document, demonstrating compliance with the requirements set out in this </w:t>
      </w:r>
      <w:r w:rsidR="00856F84">
        <w:rPr>
          <w:noProof/>
        </w:rPr>
        <w:t>Article</w:t>
      </w:r>
      <w:r w:rsidRPr="00AD21FF">
        <w:rPr>
          <w:noProof/>
        </w:rPr>
        <w:t>.</w:t>
      </w:r>
      <w:r w:rsidR="00856F84">
        <w:rPr>
          <w:noProof/>
        </w:rPr>
        <w:t>’</w:t>
      </w:r>
    </w:p>
    <w:p w14:paraId="538464BC" w14:textId="77777777" w:rsidR="00310366" w:rsidRPr="00AD21FF" w:rsidRDefault="00310366" w:rsidP="00656DA5">
      <w:pPr>
        <w:pStyle w:val="Point0"/>
        <w:rPr>
          <w:noProof/>
        </w:rPr>
      </w:pPr>
      <w:r>
        <w:rPr>
          <w:noProof/>
        </w:rPr>
        <w:t>(5)</w:t>
      </w:r>
      <w:r>
        <w:rPr>
          <w:noProof/>
        </w:rPr>
        <w:tab/>
      </w:r>
      <w:bookmarkStart w:id="10" w:name="_Hlk222059079"/>
      <w:r w:rsidRPr="00AD21FF">
        <w:rPr>
          <w:noProof/>
        </w:rPr>
        <w:t xml:space="preserve">Article 26 is amended as follows: </w:t>
      </w:r>
    </w:p>
    <w:bookmarkEnd w:id="10"/>
    <w:p w14:paraId="1919715E" w14:textId="77777777" w:rsidR="00310366" w:rsidRPr="00AD21FF" w:rsidRDefault="00407A66" w:rsidP="007234F4">
      <w:pPr>
        <w:pStyle w:val="Point1"/>
        <w:rPr>
          <w:noProof/>
        </w:rPr>
      </w:pPr>
      <w:r>
        <w:rPr>
          <w:noProof/>
        </w:rPr>
        <w:t>(a)</w:t>
      </w:r>
      <w:r>
        <w:rPr>
          <w:noProof/>
        </w:rPr>
        <w:tab/>
        <w:t>t</w:t>
      </w:r>
      <w:r w:rsidR="00310366" w:rsidRPr="00AD21FF">
        <w:rPr>
          <w:noProof/>
        </w:rPr>
        <w:t xml:space="preserve">he </w:t>
      </w:r>
      <w:r>
        <w:rPr>
          <w:noProof/>
        </w:rPr>
        <w:t>heading</w:t>
      </w:r>
      <w:r w:rsidRPr="00AD21FF">
        <w:rPr>
          <w:noProof/>
        </w:rPr>
        <w:t xml:space="preserve"> </w:t>
      </w:r>
      <w:r w:rsidR="00310366" w:rsidRPr="00AD21FF">
        <w:rPr>
          <w:noProof/>
        </w:rPr>
        <w:t xml:space="preserve">is replaced by </w:t>
      </w:r>
      <w:r w:rsidR="00A973FF">
        <w:rPr>
          <w:noProof/>
        </w:rPr>
        <w:t xml:space="preserve">the following: </w:t>
      </w:r>
      <w:r w:rsidR="00310366" w:rsidRPr="00AD21FF">
        <w:rPr>
          <w:noProof/>
        </w:rPr>
        <w:t>‘Auctions for net-zero technologies’</w:t>
      </w:r>
    </w:p>
    <w:p w14:paraId="001EDA4D" w14:textId="77777777" w:rsidR="00D42314" w:rsidRDefault="00310366" w:rsidP="00F253B8">
      <w:pPr>
        <w:pStyle w:val="Point1"/>
        <w:rPr>
          <w:noProof/>
        </w:rPr>
      </w:pPr>
      <w:r>
        <w:rPr>
          <w:noProof/>
        </w:rPr>
        <w:t>(b)</w:t>
      </w:r>
      <w:r>
        <w:rPr>
          <w:noProof/>
        </w:rPr>
        <w:tab/>
      </w:r>
      <w:r w:rsidRPr="00AD21FF">
        <w:rPr>
          <w:noProof/>
        </w:rPr>
        <w:t xml:space="preserve">paragraph 1 is </w:t>
      </w:r>
      <w:r w:rsidR="00F45962">
        <w:rPr>
          <w:noProof/>
        </w:rPr>
        <w:t xml:space="preserve">amended as follows: </w:t>
      </w:r>
    </w:p>
    <w:p w14:paraId="3AA96376" w14:textId="77777777" w:rsidR="00C56D3C" w:rsidRDefault="00FD336E" w:rsidP="00B105F9">
      <w:pPr>
        <w:pStyle w:val="Point2"/>
        <w:rPr>
          <w:noProof/>
        </w:rPr>
      </w:pPr>
      <w:r>
        <w:rPr>
          <w:noProof/>
        </w:rPr>
        <w:t>t</w:t>
      </w:r>
      <w:r w:rsidR="004D0B8C">
        <w:rPr>
          <w:noProof/>
        </w:rPr>
        <w:t>he intro</w:t>
      </w:r>
      <w:r w:rsidR="001C43C8">
        <w:rPr>
          <w:noProof/>
        </w:rPr>
        <w:t xml:space="preserve">ductory wording is </w:t>
      </w:r>
      <w:r w:rsidR="00310366" w:rsidRPr="00AD21FF">
        <w:rPr>
          <w:noProof/>
        </w:rPr>
        <w:t xml:space="preserve">replaced by </w:t>
      </w:r>
      <w:r w:rsidR="003567E6">
        <w:rPr>
          <w:noProof/>
        </w:rPr>
        <w:t>the following:</w:t>
      </w:r>
      <w:r w:rsidR="00310366" w:rsidRPr="00AD21FF">
        <w:rPr>
          <w:noProof/>
        </w:rPr>
        <w:t xml:space="preserve"> </w:t>
      </w:r>
    </w:p>
    <w:p w14:paraId="0F597525" w14:textId="77777777" w:rsidR="00310366" w:rsidRPr="00AD21FF" w:rsidRDefault="00310366" w:rsidP="00674AC9">
      <w:pPr>
        <w:pStyle w:val="Point2"/>
        <w:ind w:firstLine="0"/>
        <w:rPr>
          <w:noProof/>
        </w:rPr>
      </w:pPr>
      <w:r w:rsidRPr="00AD21FF">
        <w:rPr>
          <w:noProof/>
        </w:rPr>
        <w:t>‘</w:t>
      </w:r>
      <w:r w:rsidR="0075292C">
        <w:rPr>
          <w:noProof/>
        </w:rPr>
        <w:t>When designing</w:t>
      </w:r>
      <w:r w:rsidR="0075292C" w:rsidRPr="00AD21FF">
        <w:rPr>
          <w:noProof/>
        </w:rPr>
        <w:t xml:space="preserve"> </w:t>
      </w:r>
      <w:r w:rsidRPr="00AD21FF">
        <w:rPr>
          <w:noProof/>
        </w:rPr>
        <w:t>auctions for net-zero technologies listed in Article 4(1), points (a) to (</w:t>
      </w:r>
      <w:r w:rsidR="003C3ADE">
        <w:rPr>
          <w:noProof/>
        </w:rPr>
        <w:t>g), (i) and</w:t>
      </w:r>
      <w:r w:rsidRPr="00AD21FF">
        <w:rPr>
          <w:noProof/>
        </w:rPr>
        <w:t xml:space="preserve"> (j), Member states shall include:’ </w:t>
      </w:r>
    </w:p>
    <w:p w14:paraId="75EFD50B" w14:textId="77777777" w:rsidR="00EC3E4D" w:rsidRDefault="000C19BF" w:rsidP="00B105F9">
      <w:pPr>
        <w:pStyle w:val="Point2"/>
        <w:rPr>
          <w:noProof/>
        </w:rPr>
      </w:pPr>
      <w:r>
        <w:rPr>
          <w:noProof/>
        </w:rPr>
        <w:t>i</w:t>
      </w:r>
      <w:r w:rsidR="00310366" w:rsidRPr="00AD21FF">
        <w:rPr>
          <w:noProof/>
        </w:rPr>
        <w:t xml:space="preserve">n </w:t>
      </w:r>
      <w:r w:rsidR="000D7AE8">
        <w:rPr>
          <w:noProof/>
        </w:rPr>
        <w:t>point</w:t>
      </w:r>
      <w:r w:rsidR="00310366" w:rsidRPr="00AD21FF">
        <w:rPr>
          <w:noProof/>
        </w:rPr>
        <w:t xml:space="preserve"> (a), </w:t>
      </w:r>
      <w:r w:rsidR="000D7AE8">
        <w:rPr>
          <w:noProof/>
        </w:rPr>
        <w:t>the following</w:t>
      </w:r>
      <w:r w:rsidR="00310366" w:rsidRPr="00AD21FF">
        <w:rPr>
          <w:noProof/>
        </w:rPr>
        <w:t xml:space="preserve"> point (iv) is </w:t>
      </w:r>
      <w:r w:rsidR="000D7AE8">
        <w:rPr>
          <w:noProof/>
        </w:rPr>
        <w:t>added</w:t>
      </w:r>
      <w:r w:rsidR="00310366" w:rsidRPr="00AD21FF">
        <w:rPr>
          <w:noProof/>
        </w:rPr>
        <w:t xml:space="preserve">: </w:t>
      </w:r>
    </w:p>
    <w:p w14:paraId="0CCD0794" w14:textId="77777777" w:rsidR="00310366" w:rsidRPr="00AD21FF" w:rsidRDefault="00310366" w:rsidP="00EC3E4D">
      <w:pPr>
        <w:pStyle w:val="Point2"/>
        <w:ind w:firstLine="0"/>
        <w:rPr>
          <w:noProof/>
        </w:rPr>
      </w:pPr>
      <w:r w:rsidRPr="00AD21FF">
        <w:rPr>
          <w:noProof/>
        </w:rPr>
        <w:t>‘</w:t>
      </w:r>
      <w:r w:rsidR="00A930B7">
        <w:rPr>
          <w:noProof/>
        </w:rPr>
        <w:t xml:space="preserve"> (</w:t>
      </w:r>
      <w:r w:rsidR="00143258">
        <w:rPr>
          <w:noProof/>
        </w:rPr>
        <w:t xml:space="preserve">iv) </w:t>
      </w:r>
      <w:r w:rsidRPr="00AD21FF">
        <w:rPr>
          <w:noProof/>
        </w:rPr>
        <w:t>high-risk suppliers</w:t>
      </w:r>
      <w:r w:rsidR="00056CE6">
        <w:rPr>
          <w:noProof/>
        </w:rPr>
        <w:t xml:space="preserve"> as defined in Article 2 point (39) of Regulation xxxx/xxxx [CSA2]</w:t>
      </w:r>
      <w:r w:rsidRPr="00AD21FF">
        <w:rPr>
          <w:noProof/>
        </w:rPr>
        <w:t xml:space="preserve">: For auctions that include control systems, management control systems, supervisory control and data acquisition systems, remote access systems or firewalls, suppliers identified as high-risk </w:t>
      </w:r>
      <w:r w:rsidR="002F0891">
        <w:rPr>
          <w:noProof/>
        </w:rPr>
        <w:t>suppliers</w:t>
      </w:r>
      <w:r w:rsidRPr="00AD21FF">
        <w:rPr>
          <w:noProof/>
        </w:rPr>
        <w:t xml:space="preserve"> in accordance with </w:t>
      </w:r>
      <w:r w:rsidR="00272706">
        <w:rPr>
          <w:noProof/>
        </w:rPr>
        <w:t>Regulation xxxx/xxxx [CSA2]</w:t>
      </w:r>
      <w:r w:rsidRPr="00AD21FF">
        <w:rPr>
          <w:noProof/>
        </w:rPr>
        <w:t>shall not be involved in</w:t>
      </w:r>
      <w:r w:rsidR="00DE5037">
        <w:rPr>
          <w:noProof/>
        </w:rPr>
        <w:t xml:space="preserve"> the following </w:t>
      </w:r>
      <w:r w:rsidR="00280193">
        <w:rPr>
          <w:noProof/>
        </w:rPr>
        <w:t>processes</w:t>
      </w:r>
      <w:r w:rsidRPr="00AD21FF">
        <w:rPr>
          <w:noProof/>
        </w:rPr>
        <w:t>:</w:t>
      </w:r>
    </w:p>
    <w:p w14:paraId="30A8608E" w14:textId="77777777" w:rsidR="00310366" w:rsidRPr="00AD21FF" w:rsidRDefault="00DE5037" w:rsidP="00A8762F">
      <w:pPr>
        <w:pStyle w:val="Point3"/>
        <w:rPr>
          <w:noProof/>
        </w:rPr>
      </w:pPr>
      <w:r>
        <w:rPr>
          <w:noProof/>
        </w:rPr>
        <w:t>(1)</w:t>
      </w:r>
      <w:r>
        <w:rPr>
          <w:noProof/>
        </w:rPr>
        <w:tab/>
        <w:t>t</w:t>
      </w:r>
      <w:r w:rsidR="00310366" w:rsidRPr="00AD21FF">
        <w:rPr>
          <w:noProof/>
        </w:rPr>
        <w:t xml:space="preserve">he supply of those products or systems; </w:t>
      </w:r>
    </w:p>
    <w:p w14:paraId="468CEC5F" w14:textId="77777777" w:rsidR="00310366" w:rsidRPr="00AD21FF" w:rsidRDefault="00DE5037" w:rsidP="00A8762F">
      <w:pPr>
        <w:pStyle w:val="Point3"/>
        <w:rPr>
          <w:noProof/>
        </w:rPr>
      </w:pPr>
      <w:r>
        <w:rPr>
          <w:noProof/>
        </w:rPr>
        <w:t>(2)</w:t>
      </w:r>
      <w:r>
        <w:rPr>
          <w:noProof/>
        </w:rPr>
        <w:tab/>
        <w:t>t</w:t>
      </w:r>
      <w:r w:rsidR="00310366" w:rsidRPr="00AD21FF">
        <w:rPr>
          <w:noProof/>
        </w:rPr>
        <w:t xml:space="preserve">he design, development or production of those products or systems; </w:t>
      </w:r>
    </w:p>
    <w:p w14:paraId="2754C89D" w14:textId="77777777" w:rsidR="00310366" w:rsidRPr="00AD21FF" w:rsidRDefault="00DE5037" w:rsidP="00A8762F">
      <w:pPr>
        <w:pStyle w:val="Point3"/>
        <w:rPr>
          <w:noProof/>
        </w:rPr>
      </w:pPr>
      <w:r>
        <w:rPr>
          <w:noProof/>
        </w:rPr>
        <w:t>(3)</w:t>
      </w:r>
      <w:r>
        <w:rPr>
          <w:noProof/>
        </w:rPr>
        <w:tab/>
        <w:t>t</w:t>
      </w:r>
      <w:r w:rsidR="00310366" w:rsidRPr="00AD21FF">
        <w:rPr>
          <w:noProof/>
        </w:rPr>
        <w:t xml:space="preserve">he management, control or operation of those products or systems; </w:t>
      </w:r>
    </w:p>
    <w:p w14:paraId="7AA0E92D" w14:textId="77777777" w:rsidR="00310366" w:rsidRPr="00AD21FF" w:rsidRDefault="00DE5037" w:rsidP="00A8762F">
      <w:pPr>
        <w:pStyle w:val="Point3"/>
        <w:rPr>
          <w:noProof/>
        </w:rPr>
      </w:pPr>
      <w:r>
        <w:rPr>
          <w:noProof/>
        </w:rPr>
        <w:t>(4)</w:t>
      </w:r>
      <w:r>
        <w:rPr>
          <w:noProof/>
        </w:rPr>
        <w:tab/>
        <w:t>t</w:t>
      </w:r>
      <w:r w:rsidR="00310366" w:rsidRPr="00AD21FF">
        <w:rPr>
          <w:noProof/>
        </w:rPr>
        <w:t>he development, maintenance, operation, or updating of their software</w:t>
      </w:r>
    </w:p>
    <w:p w14:paraId="0A1E61C1" w14:textId="77777777" w:rsidR="00310366" w:rsidRPr="00AD21FF" w:rsidRDefault="00310366" w:rsidP="00B105F9">
      <w:pPr>
        <w:pStyle w:val="Point2"/>
        <w:rPr>
          <w:noProof/>
        </w:rPr>
      </w:pPr>
      <w:r w:rsidRPr="00AD21FF">
        <w:rPr>
          <w:noProof/>
        </w:rPr>
        <w:t xml:space="preserve">point (b), is replaced by </w:t>
      </w:r>
      <w:r w:rsidR="0024336C">
        <w:rPr>
          <w:noProof/>
        </w:rPr>
        <w:t xml:space="preserve">the following: </w:t>
      </w:r>
      <w:r w:rsidRPr="00AD21FF">
        <w:rPr>
          <w:noProof/>
        </w:rPr>
        <w:t>‘pre-qualification criteria or award criteria as referred to in paragraphs 2 and 2</w:t>
      </w:r>
      <w:r w:rsidR="00A04C62">
        <w:rPr>
          <w:noProof/>
        </w:rPr>
        <w:t>a</w:t>
      </w:r>
      <w:r w:rsidRPr="00AD21FF">
        <w:rPr>
          <w:noProof/>
        </w:rPr>
        <w:t>’.</w:t>
      </w:r>
    </w:p>
    <w:p w14:paraId="4A98ED13" w14:textId="77777777" w:rsidR="00E91F9E" w:rsidRDefault="00E91F9E" w:rsidP="003247F0">
      <w:pPr>
        <w:pStyle w:val="Point1"/>
        <w:rPr>
          <w:noProof/>
        </w:rPr>
      </w:pPr>
      <w:r>
        <w:rPr>
          <w:noProof/>
        </w:rPr>
        <w:t>(c)</w:t>
      </w:r>
      <w:r>
        <w:rPr>
          <w:noProof/>
        </w:rPr>
        <w:tab/>
      </w:r>
      <w:r w:rsidRPr="00F6438A">
        <w:rPr>
          <w:noProof/>
        </w:rPr>
        <w:t>The following paragraph 2a is inserted: ‘2a. Where the auctions have net-zero technologies listed in Annex II as part of their subject-matter, Member States shall include the pre-qualification or award criteria laid down in Annex II</w:t>
      </w:r>
      <w:r>
        <w:rPr>
          <w:noProof/>
        </w:rPr>
        <w:t>.</w:t>
      </w:r>
      <w:r w:rsidR="002044A9">
        <w:rPr>
          <w:noProof/>
        </w:rPr>
        <w:t>’</w:t>
      </w:r>
      <w:r>
        <w:rPr>
          <w:noProof/>
        </w:rPr>
        <w:t xml:space="preserve"> </w:t>
      </w:r>
      <w:r w:rsidR="00415224">
        <w:rPr>
          <w:noProof/>
        </w:rPr>
        <w:t xml:space="preserve">Criteria relating to specific main specific components shall only apply to the extent that those components are included in the final product.’; </w:t>
      </w:r>
    </w:p>
    <w:p w14:paraId="67CBC213" w14:textId="77777777" w:rsidR="00310366" w:rsidRPr="00AD21FF" w:rsidRDefault="00E352FA" w:rsidP="00F253B8">
      <w:pPr>
        <w:pStyle w:val="Point1"/>
        <w:rPr>
          <w:noProof/>
        </w:rPr>
      </w:pPr>
      <w:r>
        <w:rPr>
          <w:noProof/>
        </w:rPr>
        <w:t>(d)</w:t>
      </w:r>
      <w:r>
        <w:rPr>
          <w:noProof/>
        </w:rPr>
        <w:tab/>
        <w:t>i</w:t>
      </w:r>
      <w:r w:rsidR="00310366" w:rsidRPr="00AD21FF">
        <w:rPr>
          <w:noProof/>
        </w:rPr>
        <w:t xml:space="preserve">n paragraph 3, </w:t>
      </w:r>
      <w:r w:rsidR="00672E92">
        <w:rPr>
          <w:noProof/>
        </w:rPr>
        <w:t xml:space="preserve">the first </w:t>
      </w:r>
      <w:r w:rsidR="0047120C">
        <w:rPr>
          <w:noProof/>
        </w:rPr>
        <w:t>sub</w:t>
      </w:r>
      <w:r w:rsidR="00310366" w:rsidRPr="00AD21FF">
        <w:rPr>
          <w:noProof/>
        </w:rPr>
        <w:t xml:space="preserve">paragraph is replaced by </w:t>
      </w:r>
      <w:r w:rsidR="0047120C">
        <w:rPr>
          <w:noProof/>
        </w:rPr>
        <w:t>the following: ‘</w:t>
      </w:r>
      <w:r w:rsidR="00966BC5">
        <w:rPr>
          <w:noProof/>
        </w:rPr>
        <w:t>The Commission is empowered to adopt</w:t>
      </w:r>
      <w:r w:rsidR="00310366" w:rsidRPr="00AD21FF">
        <w:rPr>
          <w:noProof/>
        </w:rPr>
        <w:t xml:space="preserve"> </w:t>
      </w:r>
      <w:r w:rsidR="00164F7C">
        <w:rPr>
          <w:noProof/>
        </w:rPr>
        <w:t xml:space="preserve">an implementing act further specifying </w:t>
      </w:r>
      <w:r w:rsidR="00F6437D">
        <w:rPr>
          <w:noProof/>
        </w:rPr>
        <w:t>the pre-qualification and award</w:t>
      </w:r>
      <w:r w:rsidR="00310366" w:rsidRPr="00AD21FF">
        <w:rPr>
          <w:noProof/>
        </w:rPr>
        <w:t xml:space="preserve"> </w:t>
      </w:r>
      <w:r w:rsidR="008E4385">
        <w:rPr>
          <w:noProof/>
        </w:rPr>
        <w:t>criteria referred to in</w:t>
      </w:r>
      <w:r w:rsidR="00310366" w:rsidRPr="00AD21FF">
        <w:rPr>
          <w:noProof/>
        </w:rPr>
        <w:t xml:space="preserve"> paragraph 1</w:t>
      </w:r>
      <w:r w:rsidR="00F55E56">
        <w:rPr>
          <w:noProof/>
        </w:rPr>
        <w:t xml:space="preserve">points </w:t>
      </w:r>
      <w:r w:rsidR="00310366" w:rsidRPr="00AD21FF">
        <w:rPr>
          <w:noProof/>
        </w:rPr>
        <w:t>(a), (i)</w:t>
      </w:r>
      <w:r w:rsidR="008E4385">
        <w:rPr>
          <w:noProof/>
        </w:rPr>
        <w:t>, (ii)</w:t>
      </w:r>
      <w:r w:rsidR="000B255D">
        <w:rPr>
          <w:noProof/>
        </w:rPr>
        <w:t xml:space="preserve"> and</w:t>
      </w:r>
      <w:r w:rsidR="00310366" w:rsidRPr="00AD21FF" w:rsidDel="000B255D">
        <w:rPr>
          <w:noProof/>
        </w:rPr>
        <w:t xml:space="preserve"> </w:t>
      </w:r>
      <w:r w:rsidR="00310366" w:rsidRPr="00AD21FF">
        <w:rPr>
          <w:noProof/>
        </w:rPr>
        <w:t>(iii)</w:t>
      </w:r>
      <w:r w:rsidR="00A51CD3">
        <w:rPr>
          <w:noProof/>
        </w:rPr>
        <w:t>,</w:t>
      </w:r>
      <w:r w:rsidR="00310366" w:rsidRPr="00AD21FF">
        <w:rPr>
          <w:noProof/>
        </w:rPr>
        <w:t xml:space="preserve"> and paragraph 2</w:t>
      </w:r>
      <w:r w:rsidR="00A51CD3">
        <w:rPr>
          <w:noProof/>
        </w:rPr>
        <w:t>.</w:t>
      </w:r>
      <w:r w:rsidR="00310366" w:rsidRPr="00AD21FF">
        <w:rPr>
          <w:noProof/>
        </w:rPr>
        <w:t>’</w:t>
      </w:r>
    </w:p>
    <w:p w14:paraId="0EE13A62" w14:textId="77777777" w:rsidR="00310366" w:rsidRPr="00AD21FF" w:rsidRDefault="00310366" w:rsidP="00F253B8">
      <w:pPr>
        <w:pStyle w:val="Point1"/>
        <w:rPr>
          <w:noProof/>
        </w:rPr>
      </w:pPr>
      <w:r>
        <w:rPr>
          <w:noProof/>
        </w:rPr>
        <w:t>(e)</w:t>
      </w:r>
      <w:r>
        <w:rPr>
          <w:noProof/>
        </w:rPr>
        <w:tab/>
      </w:r>
      <w:r w:rsidRPr="00AD21FF">
        <w:rPr>
          <w:noProof/>
        </w:rPr>
        <w:t>paragraph 4</w:t>
      </w:r>
      <w:r w:rsidR="001A75CC">
        <w:rPr>
          <w:noProof/>
        </w:rPr>
        <w:t xml:space="preserve"> </w:t>
      </w:r>
      <w:r w:rsidRPr="00AD21FF">
        <w:rPr>
          <w:noProof/>
        </w:rPr>
        <w:t xml:space="preserve">is replaced by </w:t>
      </w:r>
      <w:r w:rsidR="005A4D14">
        <w:rPr>
          <w:noProof/>
        </w:rPr>
        <w:t>the following:</w:t>
      </w:r>
      <w:r w:rsidRPr="00AD21FF">
        <w:rPr>
          <w:noProof/>
        </w:rPr>
        <w:t xml:space="preserve"> ‘</w:t>
      </w:r>
      <w:r w:rsidR="005A4D14">
        <w:rPr>
          <w:noProof/>
        </w:rPr>
        <w:t xml:space="preserve">4. </w:t>
      </w:r>
      <w:r w:rsidR="005A4D14" w:rsidRPr="00B745A3">
        <w:rPr>
          <w:noProof/>
        </w:rPr>
        <w:t>Member States shall give to each of the</w:t>
      </w:r>
      <w:r w:rsidR="005A4D14">
        <w:rPr>
          <w:noProof/>
        </w:rPr>
        <w:t xml:space="preserve"> </w:t>
      </w:r>
      <w:r w:rsidRPr="00AD21FF">
        <w:rPr>
          <w:noProof/>
        </w:rPr>
        <w:t>criteria referred to in paragraphs 2 and 2</w:t>
      </w:r>
      <w:r w:rsidR="0060703D">
        <w:rPr>
          <w:noProof/>
        </w:rPr>
        <w:t>a</w:t>
      </w:r>
      <w:r w:rsidR="00607A90" w:rsidRPr="001A041D">
        <w:rPr>
          <w:noProof/>
        </w:rPr>
        <w:t xml:space="preserve">, when applied as award criteria, a minimum weight of 5 % and a combined weight of between 15 % and 30 % of the award criteria. </w:t>
      </w:r>
      <w:r w:rsidR="00607A90">
        <w:rPr>
          <w:noProof/>
        </w:rPr>
        <w:t>That</w:t>
      </w:r>
      <w:r w:rsidR="00607A90" w:rsidRPr="001A041D">
        <w:rPr>
          <w:noProof/>
        </w:rPr>
        <w:t xml:space="preserve"> is without prejudice to the possibility to give a higher weighting to the criteria referred to in the fourth subparagraph of paragraph 2, in accordance with any limit for non-price criteria set </w:t>
      </w:r>
      <w:r w:rsidR="00607A90">
        <w:rPr>
          <w:noProof/>
        </w:rPr>
        <w:t>out in</w:t>
      </w:r>
      <w:r w:rsidR="00607A90" w:rsidRPr="001A041D">
        <w:rPr>
          <w:noProof/>
        </w:rPr>
        <w:t xml:space="preserve"> State aid rules.</w:t>
      </w:r>
      <w:r w:rsidRPr="00AD21FF">
        <w:rPr>
          <w:noProof/>
        </w:rPr>
        <w:t>’.</w:t>
      </w:r>
    </w:p>
    <w:p w14:paraId="71896F28" w14:textId="77777777" w:rsidR="00310366" w:rsidRPr="00AD21FF" w:rsidRDefault="0096181D" w:rsidP="00F253B8">
      <w:pPr>
        <w:pStyle w:val="Point1"/>
        <w:rPr>
          <w:noProof/>
        </w:rPr>
      </w:pPr>
      <w:r>
        <w:rPr>
          <w:noProof/>
        </w:rPr>
        <w:t>(f)</w:t>
      </w:r>
      <w:r>
        <w:rPr>
          <w:noProof/>
        </w:rPr>
        <w:tab/>
        <w:t>p</w:t>
      </w:r>
      <w:r w:rsidR="00310366" w:rsidRPr="00AD21FF">
        <w:rPr>
          <w:noProof/>
        </w:rPr>
        <w:t xml:space="preserve">aragraph 5 is replaced by </w:t>
      </w:r>
      <w:r>
        <w:rPr>
          <w:noProof/>
        </w:rPr>
        <w:t>the following:</w:t>
      </w:r>
      <w:r w:rsidR="00310366" w:rsidRPr="00AD21FF">
        <w:rPr>
          <w:noProof/>
        </w:rPr>
        <w:t xml:space="preserve"> ‘</w:t>
      </w:r>
      <w:r w:rsidR="00D34265">
        <w:rPr>
          <w:noProof/>
        </w:rPr>
        <w:t xml:space="preserve">5. </w:t>
      </w:r>
      <w:r w:rsidR="00310366" w:rsidRPr="00AD21FF">
        <w:rPr>
          <w:noProof/>
        </w:rPr>
        <w:t xml:space="preserve">Member States shall not be </w:t>
      </w:r>
      <w:r w:rsidR="0007217C">
        <w:rPr>
          <w:noProof/>
        </w:rPr>
        <w:t>required</w:t>
      </w:r>
      <w:r w:rsidR="0007217C" w:rsidRPr="00AD21FF">
        <w:rPr>
          <w:noProof/>
        </w:rPr>
        <w:t xml:space="preserve"> </w:t>
      </w:r>
      <w:r w:rsidR="00310366" w:rsidRPr="00AD21FF">
        <w:rPr>
          <w:noProof/>
        </w:rPr>
        <w:t xml:space="preserve">to apply </w:t>
      </w:r>
      <w:r w:rsidR="00C41FDE">
        <w:rPr>
          <w:noProof/>
        </w:rPr>
        <w:t>one or several of</w:t>
      </w:r>
      <w:r w:rsidR="00310366" w:rsidRPr="00AD21FF">
        <w:rPr>
          <w:noProof/>
        </w:rPr>
        <w:t xml:space="preserve"> the pre-qualification and award criteria laid down in paragraph 1</w:t>
      </w:r>
      <w:r w:rsidR="00870018">
        <w:rPr>
          <w:noProof/>
        </w:rPr>
        <w:t xml:space="preserve">, points </w:t>
      </w:r>
      <w:r w:rsidR="00310366" w:rsidRPr="00AD21FF">
        <w:rPr>
          <w:noProof/>
        </w:rPr>
        <w:t>(a), (i)</w:t>
      </w:r>
      <w:r w:rsidR="001006EF">
        <w:rPr>
          <w:noProof/>
        </w:rPr>
        <w:t>, (ii) and</w:t>
      </w:r>
      <w:r w:rsidR="00310366" w:rsidRPr="00AD21FF" w:rsidDel="001006EF">
        <w:rPr>
          <w:noProof/>
        </w:rPr>
        <w:t xml:space="preserve"> </w:t>
      </w:r>
      <w:r w:rsidR="00310366" w:rsidRPr="00AD21FF">
        <w:rPr>
          <w:noProof/>
        </w:rPr>
        <w:t>(iii), and paragraph 1</w:t>
      </w:r>
      <w:r w:rsidR="004A1715">
        <w:rPr>
          <w:noProof/>
        </w:rPr>
        <w:t xml:space="preserve">, point </w:t>
      </w:r>
      <w:r w:rsidR="00310366" w:rsidRPr="00AD21FF">
        <w:rPr>
          <w:noProof/>
        </w:rPr>
        <w:t>(b)</w:t>
      </w:r>
      <w:r w:rsidR="007312C1">
        <w:rPr>
          <w:noProof/>
        </w:rPr>
        <w:t>,</w:t>
      </w:r>
      <w:r w:rsidR="00310366" w:rsidRPr="00AD21FF">
        <w:rPr>
          <w:noProof/>
        </w:rPr>
        <w:t xml:space="preserve"> where</w:t>
      </w:r>
      <w:r w:rsidR="00501D47">
        <w:rPr>
          <w:noProof/>
        </w:rPr>
        <w:t xml:space="preserve"> the application of </w:t>
      </w:r>
      <w:r w:rsidR="00310366" w:rsidRPr="00AD21FF">
        <w:rPr>
          <w:noProof/>
        </w:rPr>
        <w:t>those criteria</w:t>
      </w:r>
      <w:r w:rsidR="00023000">
        <w:rPr>
          <w:noProof/>
        </w:rPr>
        <w:t xml:space="preserve"> </w:t>
      </w:r>
      <w:r w:rsidR="00310366" w:rsidRPr="00AD21FF">
        <w:rPr>
          <w:noProof/>
        </w:rPr>
        <w:t xml:space="preserve">would </w:t>
      </w:r>
      <w:r w:rsidR="00874A1C">
        <w:rPr>
          <w:noProof/>
        </w:rPr>
        <w:t>result in</w:t>
      </w:r>
      <w:r w:rsidR="00874A1C" w:rsidRPr="00AD21FF">
        <w:rPr>
          <w:noProof/>
        </w:rPr>
        <w:t xml:space="preserve"> </w:t>
      </w:r>
      <w:r w:rsidR="00310366" w:rsidRPr="00AD21FF">
        <w:rPr>
          <w:noProof/>
        </w:rPr>
        <w:t>disproportionate costs</w:t>
      </w:r>
      <w:r w:rsidR="00951FAA">
        <w:rPr>
          <w:noProof/>
        </w:rPr>
        <w:t xml:space="preserve"> or </w:t>
      </w:r>
      <w:r w:rsidR="00E430D2">
        <w:rPr>
          <w:noProof/>
        </w:rPr>
        <w:t xml:space="preserve">in </w:t>
      </w:r>
      <w:r w:rsidR="00E77384">
        <w:rPr>
          <w:noProof/>
        </w:rPr>
        <w:t>significant delays</w:t>
      </w:r>
      <w:r w:rsidR="00973DE9">
        <w:rPr>
          <w:noProof/>
        </w:rPr>
        <w:t xml:space="preserve"> </w:t>
      </w:r>
      <w:r w:rsidR="006558B1">
        <w:rPr>
          <w:noProof/>
        </w:rPr>
        <w:t>to the delivery of the project</w:t>
      </w:r>
      <w:r w:rsidR="00973DE9">
        <w:rPr>
          <w:noProof/>
        </w:rPr>
        <w:t xml:space="preserve"> due to the unavailability of </w:t>
      </w:r>
      <w:r w:rsidR="0010181B">
        <w:rPr>
          <w:noProof/>
        </w:rPr>
        <w:t xml:space="preserve">the required </w:t>
      </w:r>
      <w:r w:rsidR="00973DE9">
        <w:rPr>
          <w:noProof/>
        </w:rPr>
        <w:t>components</w:t>
      </w:r>
      <w:r w:rsidR="0010181B">
        <w:rPr>
          <w:noProof/>
        </w:rPr>
        <w:t xml:space="preserve"> or final products</w:t>
      </w:r>
      <w:r w:rsidR="00310366" w:rsidRPr="00AD21FF">
        <w:rPr>
          <w:noProof/>
        </w:rPr>
        <w:t xml:space="preserve">. Estimated cost differences </w:t>
      </w:r>
      <w:r w:rsidR="009F1243">
        <w:rPr>
          <w:noProof/>
        </w:rPr>
        <w:t>in excess of</w:t>
      </w:r>
      <w:r w:rsidR="009F1243" w:rsidRPr="00AD21FF">
        <w:rPr>
          <w:noProof/>
        </w:rPr>
        <w:t xml:space="preserve"> </w:t>
      </w:r>
      <w:r w:rsidR="00310366" w:rsidRPr="00AD21FF">
        <w:rPr>
          <w:noProof/>
        </w:rPr>
        <w:t>2</w:t>
      </w:r>
      <w:r w:rsidR="005C1927">
        <w:rPr>
          <w:noProof/>
        </w:rPr>
        <w:t>0</w:t>
      </w:r>
      <w:r w:rsidR="00310366" w:rsidRPr="00AD21FF">
        <w:rPr>
          <w:noProof/>
        </w:rPr>
        <w:t>% per auction, based on objective and verifiable data, may be presumed by Member States to be disproportionate.</w:t>
      </w:r>
      <w:r w:rsidR="007D6859">
        <w:rPr>
          <w:noProof/>
        </w:rPr>
        <w:t xml:space="preserve"> </w:t>
      </w:r>
      <w:r w:rsidR="004F0560">
        <w:rPr>
          <w:noProof/>
        </w:rPr>
        <w:t xml:space="preserve">Delays </w:t>
      </w:r>
      <w:r w:rsidR="008B3629">
        <w:rPr>
          <w:noProof/>
        </w:rPr>
        <w:t>in excess of</w:t>
      </w:r>
      <w:r w:rsidR="00105FB3" w:rsidDel="000809C0">
        <w:rPr>
          <w:noProof/>
        </w:rPr>
        <w:t xml:space="preserve"> </w:t>
      </w:r>
      <w:r w:rsidR="000809C0">
        <w:rPr>
          <w:noProof/>
        </w:rPr>
        <w:t>seven</w:t>
      </w:r>
      <w:r w:rsidR="00105FB3">
        <w:rPr>
          <w:noProof/>
        </w:rPr>
        <w:t xml:space="preserve"> month</w:t>
      </w:r>
      <w:r w:rsidR="008B3629">
        <w:rPr>
          <w:noProof/>
        </w:rPr>
        <w:t>s</w:t>
      </w:r>
      <w:r w:rsidR="003C717F">
        <w:rPr>
          <w:noProof/>
        </w:rPr>
        <w:t>, based on</w:t>
      </w:r>
      <w:r w:rsidR="005B3295">
        <w:rPr>
          <w:noProof/>
        </w:rPr>
        <w:t xml:space="preserve"> objective, transparent and verifiable data,</w:t>
      </w:r>
      <w:r w:rsidR="005F4557">
        <w:rPr>
          <w:noProof/>
        </w:rPr>
        <w:t xml:space="preserve"> may be presumed to be </w:t>
      </w:r>
      <w:r w:rsidR="009A2B88">
        <w:rPr>
          <w:noProof/>
        </w:rPr>
        <w:t>significant.</w:t>
      </w:r>
      <w:r w:rsidR="00310366" w:rsidRPr="00AD21FF">
        <w:rPr>
          <w:noProof/>
        </w:rPr>
        <w:t xml:space="preserve">’ </w:t>
      </w:r>
    </w:p>
    <w:p w14:paraId="407A3C28" w14:textId="77777777" w:rsidR="00310366" w:rsidRPr="00AD21FF" w:rsidRDefault="00310366" w:rsidP="00F253B8">
      <w:pPr>
        <w:pStyle w:val="Point1"/>
        <w:rPr>
          <w:noProof/>
        </w:rPr>
      </w:pPr>
      <w:r>
        <w:rPr>
          <w:noProof/>
        </w:rPr>
        <w:t>(g)</w:t>
      </w:r>
      <w:r>
        <w:rPr>
          <w:noProof/>
        </w:rPr>
        <w:tab/>
      </w:r>
      <w:r w:rsidRPr="00AD21FF">
        <w:rPr>
          <w:noProof/>
        </w:rPr>
        <w:t xml:space="preserve">paragraph 7 is replaced by </w:t>
      </w:r>
      <w:r w:rsidR="00234B33">
        <w:rPr>
          <w:noProof/>
        </w:rPr>
        <w:t xml:space="preserve">the following: </w:t>
      </w:r>
      <w:r w:rsidRPr="00AD21FF">
        <w:rPr>
          <w:noProof/>
        </w:rPr>
        <w:t>‘</w:t>
      </w:r>
      <w:r w:rsidR="00863785">
        <w:rPr>
          <w:noProof/>
        </w:rPr>
        <w:t>7. Paragr</w:t>
      </w:r>
      <w:r w:rsidR="009D72E1">
        <w:rPr>
          <w:noProof/>
        </w:rPr>
        <w:t>aphs 1 to 5</w:t>
      </w:r>
      <w:r w:rsidR="00C81A4A">
        <w:rPr>
          <w:noProof/>
        </w:rPr>
        <w:t xml:space="preserve"> </w:t>
      </w:r>
      <w:r w:rsidRPr="00AD21FF">
        <w:rPr>
          <w:noProof/>
        </w:rPr>
        <w:t xml:space="preserve">shall apply to at least </w:t>
      </w:r>
      <w:r w:rsidR="00F804D2">
        <w:rPr>
          <w:noProof/>
        </w:rPr>
        <w:t>4</w:t>
      </w:r>
      <w:r w:rsidRPr="00AD21FF">
        <w:rPr>
          <w:noProof/>
        </w:rPr>
        <w:t>0% of the volume auctioned per year per Member State</w:t>
      </w:r>
      <w:r w:rsidR="00C34594">
        <w:rPr>
          <w:noProof/>
        </w:rPr>
        <w:t xml:space="preserve"> or alternatively to at least </w:t>
      </w:r>
      <w:r w:rsidR="00360D85">
        <w:rPr>
          <w:noProof/>
        </w:rPr>
        <w:t>8</w:t>
      </w:r>
      <w:r w:rsidR="00C34594">
        <w:rPr>
          <w:noProof/>
        </w:rPr>
        <w:t xml:space="preserve"> </w:t>
      </w:r>
      <w:r w:rsidR="00A4545B">
        <w:rPr>
          <w:noProof/>
        </w:rPr>
        <w:t>Gigawatt per year per Member State</w:t>
      </w:r>
      <w:r w:rsidRPr="00AD21FF">
        <w:rPr>
          <w:noProof/>
        </w:rPr>
        <w:t>.</w:t>
      </w:r>
      <w:r w:rsidR="005842BA" w:rsidRPr="005842BA">
        <w:rPr>
          <w:noProof/>
        </w:rPr>
        <w:t xml:space="preserve"> </w:t>
      </w:r>
      <w:r w:rsidR="005842BA" w:rsidRPr="00AD21FF">
        <w:rPr>
          <w:noProof/>
        </w:rPr>
        <w:t>Paragraph 1</w:t>
      </w:r>
      <w:r w:rsidR="005842BA">
        <w:rPr>
          <w:noProof/>
        </w:rPr>
        <w:t xml:space="preserve">, points </w:t>
      </w:r>
      <w:r w:rsidR="005842BA" w:rsidRPr="00AD21FF">
        <w:rPr>
          <w:noProof/>
        </w:rPr>
        <w:t>(a)(ii) and (iv)</w:t>
      </w:r>
      <w:r w:rsidR="005842BA">
        <w:rPr>
          <w:noProof/>
        </w:rPr>
        <w:t>,</w:t>
      </w:r>
      <w:r w:rsidR="005842BA" w:rsidRPr="00AD21FF">
        <w:rPr>
          <w:noProof/>
        </w:rPr>
        <w:t xml:space="preserve"> shall apply to 100% of the volume auctioned per Member State</w:t>
      </w:r>
      <w:r w:rsidR="00B555B2">
        <w:rPr>
          <w:noProof/>
        </w:rPr>
        <w:t>.</w:t>
      </w:r>
      <w:r w:rsidR="00F236CD">
        <w:rPr>
          <w:noProof/>
        </w:rPr>
        <w:t>’</w:t>
      </w:r>
    </w:p>
    <w:p w14:paraId="2C62904A" w14:textId="77777777" w:rsidR="00E80816" w:rsidRPr="00AD21FF" w:rsidRDefault="00EE709A" w:rsidP="00F253B8">
      <w:pPr>
        <w:pStyle w:val="Point1"/>
        <w:rPr>
          <w:noProof/>
        </w:rPr>
      </w:pPr>
      <w:r>
        <w:rPr>
          <w:noProof/>
        </w:rPr>
        <w:t>(h)</w:t>
      </w:r>
      <w:r>
        <w:rPr>
          <w:noProof/>
        </w:rPr>
        <w:tab/>
        <w:t>in</w:t>
      </w:r>
      <w:r w:rsidR="00310366" w:rsidRPr="00AD21FF">
        <w:rPr>
          <w:noProof/>
        </w:rPr>
        <w:t xml:space="preserve"> paragraph 8</w:t>
      </w:r>
      <w:r w:rsidR="00CC683F">
        <w:rPr>
          <w:noProof/>
        </w:rPr>
        <w:t>, the introductory wording</w:t>
      </w:r>
      <w:r w:rsidR="00310366" w:rsidRPr="00AD21FF">
        <w:rPr>
          <w:noProof/>
        </w:rPr>
        <w:t xml:space="preserve"> is replaced by</w:t>
      </w:r>
      <w:r w:rsidR="00CC683F">
        <w:rPr>
          <w:noProof/>
        </w:rPr>
        <w:t xml:space="preserve"> the following</w:t>
      </w:r>
      <w:r w:rsidR="00310366" w:rsidRPr="00AD21FF">
        <w:rPr>
          <w:noProof/>
        </w:rPr>
        <w:t>: ‘By 31 December 2027, the Commission shall carry out a comprehensive assessment of the application of the criteria referred to in paragraph 2 and their effect on the accelerated deployment of renewable energy technologies. By 31 December 2029 and every two years thereafter, the Commission shall carry out a comprehensive assessment of the application of the criteria referred to in paragraphs 2 and 2</w:t>
      </w:r>
      <w:r w:rsidR="00A07A7C">
        <w:rPr>
          <w:noProof/>
        </w:rPr>
        <w:t>a</w:t>
      </w:r>
      <w:r w:rsidR="00310366" w:rsidRPr="00AD21FF">
        <w:rPr>
          <w:noProof/>
        </w:rPr>
        <w:t xml:space="preserve"> and their effect on the accelerated deployment of renewable energy technologies. In particular, the Commission shall assess the impact of the criteria on:’</w:t>
      </w:r>
    </w:p>
    <w:p w14:paraId="5C4644D7" w14:textId="77777777" w:rsidR="00310366" w:rsidRPr="00AD21FF" w:rsidRDefault="00310366" w:rsidP="00C54CA5">
      <w:pPr>
        <w:pStyle w:val="Point0"/>
        <w:rPr>
          <w:noProof/>
        </w:rPr>
      </w:pPr>
      <w:r>
        <w:rPr>
          <w:noProof/>
        </w:rPr>
        <w:t>(6)</w:t>
      </w:r>
      <w:r>
        <w:rPr>
          <w:noProof/>
        </w:rPr>
        <w:tab/>
      </w:r>
      <w:r w:rsidRPr="00AD21FF">
        <w:rPr>
          <w:noProof/>
        </w:rPr>
        <w:t xml:space="preserve">The following </w:t>
      </w:r>
      <w:r w:rsidR="005472C4">
        <w:rPr>
          <w:noProof/>
        </w:rPr>
        <w:t>A</w:t>
      </w:r>
      <w:r w:rsidRPr="00AD21FF">
        <w:rPr>
          <w:noProof/>
        </w:rPr>
        <w:t xml:space="preserve">rticles </w:t>
      </w:r>
      <w:r w:rsidR="005472C4">
        <w:rPr>
          <w:noProof/>
        </w:rPr>
        <w:t>28a to 28</w:t>
      </w:r>
      <w:r w:rsidR="00FA4D51">
        <w:rPr>
          <w:noProof/>
        </w:rPr>
        <w:t>e</w:t>
      </w:r>
      <w:r w:rsidRPr="00AD21FF">
        <w:rPr>
          <w:noProof/>
        </w:rPr>
        <w:t xml:space="preserve"> are inserted:</w:t>
      </w:r>
    </w:p>
    <w:p w14:paraId="0ECBE3C5" w14:textId="77777777" w:rsidR="00310366" w:rsidRPr="00AD21FF" w:rsidRDefault="00310366" w:rsidP="00310366">
      <w:pPr>
        <w:pStyle w:val="Titrearticle"/>
        <w:rPr>
          <w:b/>
          <w:bCs/>
          <w:i w:val="0"/>
          <w:iCs/>
          <w:noProof/>
        </w:rPr>
      </w:pPr>
      <w:r w:rsidRPr="00AD21FF">
        <w:rPr>
          <w:noProof/>
        </w:rPr>
        <w:t>Article 28</w:t>
      </w:r>
      <w:r w:rsidR="004572BE">
        <w:rPr>
          <w:noProof/>
        </w:rPr>
        <w:t>a</w:t>
      </w:r>
      <w:r w:rsidRPr="00AD21FF">
        <w:rPr>
          <w:noProof/>
        </w:rPr>
        <w:br/>
      </w:r>
      <w:r w:rsidRPr="00AD21FF">
        <w:rPr>
          <w:b/>
          <w:bCs/>
          <w:i w:val="0"/>
          <w:iCs/>
          <w:noProof/>
        </w:rPr>
        <w:t xml:space="preserve">Origin requirements for </w:t>
      </w:r>
      <w:r w:rsidR="000924AE">
        <w:rPr>
          <w:b/>
          <w:bCs/>
          <w:i w:val="0"/>
          <w:iCs/>
          <w:noProof/>
        </w:rPr>
        <w:t>other forms of public intervention</w:t>
      </w:r>
    </w:p>
    <w:p w14:paraId="3EEDB31D" w14:textId="77777777" w:rsidR="00310366" w:rsidRPr="00AD21FF" w:rsidRDefault="00310366" w:rsidP="007234F4">
      <w:pPr>
        <w:pStyle w:val="ManualNumPar1"/>
        <w:rPr>
          <w:noProof/>
        </w:rPr>
      </w:pPr>
      <w:r>
        <w:rPr>
          <w:noProof/>
        </w:rPr>
        <w:t>1.</w:t>
      </w:r>
      <w:r>
        <w:rPr>
          <w:noProof/>
        </w:rPr>
        <w:tab/>
      </w:r>
      <w:r w:rsidRPr="00AD21FF">
        <w:rPr>
          <w:noProof/>
        </w:rPr>
        <w:t>Without prejudice to Articles 107 and 108 TFEU, support schemes referred to in Annex II shall include the requirements laid down therein.</w:t>
      </w:r>
      <w:r w:rsidR="00C72E5C">
        <w:rPr>
          <w:noProof/>
        </w:rPr>
        <w:t xml:space="preserve"> Requirements relating to specific main specific components shall only apply to the extent that those components are included in the final product.</w:t>
      </w:r>
    </w:p>
    <w:p w14:paraId="3FFD425E" w14:textId="77777777" w:rsidR="00310366" w:rsidRPr="00AD21FF" w:rsidRDefault="00310366" w:rsidP="005260AB">
      <w:pPr>
        <w:pStyle w:val="ManualNumPar1"/>
        <w:rPr>
          <w:noProof/>
        </w:rPr>
      </w:pPr>
      <w:r>
        <w:rPr>
          <w:noProof/>
        </w:rPr>
        <w:t>2.</w:t>
      </w:r>
      <w:r>
        <w:rPr>
          <w:noProof/>
        </w:rPr>
        <w:tab/>
      </w:r>
      <w:r w:rsidRPr="00AD21FF">
        <w:rPr>
          <w:noProof/>
        </w:rPr>
        <w:t xml:space="preserve">When designing and implementing a scheme pursuant to paragraph 1, the authority shall assess the </w:t>
      </w:r>
      <w:r w:rsidR="0017763C">
        <w:rPr>
          <w:noProof/>
        </w:rPr>
        <w:t xml:space="preserve">fulfilment of the </w:t>
      </w:r>
      <w:r w:rsidRPr="00AD21FF">
        <w:rPr>
          <w:noProof/>
        </w:rPr>
        <w:t>requirements on the basis of an open, non-discriminatory and transparent process.</w:t>
      </w:r>
    </w:p>
    <w:p w14:paraId="71E7DA06" w14:textId="77777777" w:rsidR="001A7705" w:rsidRPr="001A7705" w:rsidRDefault="00310366" w:rsidP="00EE119B">
      <w:pPr>
        <w:pStyle w:val="ManualNumPar1"/>
        <w:rPr>
          <w:noProof/>
        </w:rPr>
      </w:pPr>
      <w:r>
        <w:rPr>
          <w:noProof/>
        </w:rPr>
        <w:t>3.</w:t>
      </w:r>
      <w:r>
        <w:rPr>
          <w:noProof/>
        </w:rPr>
        <w:tab/>
      </w:r>
      <w:r w:rsidRPr="00AD21FF">
        <w:rPr>
          <w:noProof/>
        </w:rPr>
        <w:t xml:space="preserve">When additional financial compensation is granted, it shall </w:t>
      </w:r>
      <w:r w:rsidR="003E2621">
        <w:rPr>
          <w:noProof/>
        </w:rPr>
        <w:t xml:space="preserve">not exceed </w:t>
      </w:r>
      <w:r w:rsidRPr="00AD21FF">
        <w:rPr>
          <w:noProof/>
        </w:rPr>
        <w:t>15% of the cost of the final product for the consumer, including transport and installation costs where relevant</w:t>
      </w:r>
      <w:r w:rsidR="00D85EB2">
        <w:rPr>
          <w:noProof/>
        </w:rPr>
        <w:t>, with the e</w:t>
      </w:r>
      <w:r w:rsidR="00D85EB2" w:rsidRPr="00D85EB2">
        <w:rPr>
          <w:noProof/>
        </w:rPr>
        <w:t>xception of schemes targeting citizens living in energy poverty, as defined in Article 2, point (1), of Regulation (EU) 2023/955 of the European Parliament and of the Council </w:t>
      </w:r>
      <w:hyperlink r:id="rId23" w:anchor="ntr57-L_202401735EN.000101-E0057" w:history="1">
        <w:r w:rsidR="00D85EB2" w:rsidRPr="00D85EB2">
          <w:rPr>
            <w:rStyle w:val="Hyperlink"/>
            <w:noProof/>
          </w:rPr>
          <w:t>(</w:t>
        </w:r>
        <w:r w:rsidR="00D85EB2" w:rsidRPr="00D85EB2">
          <w:rPr>
            <w:rStyle w:val="Hyperlink"/>
            <w:noProof/>
            <w:vertAlign w:val="superscript"/>
          </w:rPr>
          <w:t>57</w:t>
        </w:r>
        <w:r w:rsidR="00D85EB2" w:rsidRPr="00D85EB2">
          <w:rPr>
            <w:rStyle w:val="Hyperlink"/>
            <w:noProof/>
          </w:rPr>
          <w:t>)</w:t>
        </w:r>
      </w:hyperlink>
      <w:r w:rsidR="00D85EB2" w:rsidRPr="00D85EB2">
        <w:rPr>
          <w:noProof/>
        </w:rPr>
        <w:t xml:space="preserve">, for which the limit shall be </w:t>
      </w:r>
      <w:r w:rsidR="00D85EB2">
        <w:rPr>
          <w:noProof/>
        </w:rPr>
        <w:t>2</w:t>
      </w:r>
      <w:r w:rsidR="00435AFF">
        <w:rPr>
          <w:noProof/>
        </w:rPr>
        <w:t>0</w:t>
      </w:r>
      <w:r w:rsidR="00D85EB2" w:rsidRPr="00D85EB2">
        <w:rPr>
          <w:noProof/>
        </w:rPr>
        <w:t> %.</w:t>
      </w:r>
    </w:p>
    <w:p w14:paraId="66A41C20" w14:textId="77777777" w:rsidR="00310366" w:rsidRPr="00AD21FF" w:rsidRDefault="00310366" w:rsidP="00310366">
      <w:pPr>
        <w:pStyle w:val="Titrearticle"/>
        <w:rPr>
          <w:b/>
          <w:bCs/>
          <w:i w:val="0"/>
          <w:iCs/>
          <w:noProof/>
        </w:rPr>
      </w:pPr>
      <w:r w:rsidRPr="00AD21FF">
        <w:rPr>
          <w:noProof/>
        </w:rPr>
        <w:t>Article 28</w:t>
      </w:r>
      <w:r w:rsidR="00905D36">
        <w:rPr>
          <w:noProof/>
        </w:rPr>
        <w:t>b</w:t>
      </w:r>
      <w:r w:rsidRPr="00AD21FF">
        <w:rPr>
          <w:noProof/>
        </w:rPr>
        <w:br/>
      </w:r>
      <w:r w:rsidRPr="00AD21FF">
        <w:rPr>
          <w:b/>
          <w:bCs/>
          <w:i w:val="0"/>
          <w:iCs/>
          <w:noProof/>
        </w:rPr>
        <w:t>Limitations to high-risk suppliers for other forms of public intervention</w:t>
      </w:r>
      <w:r w:rsidR="0039341E">
        <w:rPr>
          <w:b/>
          <w:bCs/>
          <w:i w:val="0"/>
          <w:iCs/>
          <w:noProof/>
        </w:rPr>
        <w:t xml:space="preserve"> </w:t>
      </w:r>
    </w:p>
    <w:p w14:paraId="40D7F2E2" w14:textId="77777777" w:rsidR="00310366" w:rsidRPr="00AD21FF" w:rsidRDefault="00310366" w:rsidP="002D0209">
      <w:pPr>
        <w:pStyle w:val="Text0"/>
        <w:rPr>
          <w:noProof/>
        </w:rPr>
      </w:pPr>
      <w:r w:rsidRPr="00AD21FF">
        <w:rPr>
          <w:noProof/>
        </w:rPr>
        <w:t>For support schemes within the scope of Articles 28 and 28</w:t>
      </w:r>
      <w:r w:rsidR="00675658">
        <w:rPr>
          <w:noProof/>
        </w:rPr>
        <w:t>a</w:t>
      </w:r>
      <w:r w:rsidRPr="00AD21FF">
        <w:rPr>
          <w:noProof/>
        </w:rPr>
        <w:t xml:space="preserve"> that include control systems, management control systems, supervisory control and data acquisition systems, remote access systems or firewalls, Member States shall design those schemes in such a way as to ensure that beneficiaries shall be eligible to the scheme only where suppliers identified as high-risk </w:t>
      </w:r>
      <w:r w:rsidR="00E34856">
        <w:rPr>
          <w:noProof/>
        </w:rPr>
        <w:t xml:space="preserve">suppliers </w:t>
      </w:r>
      <w:r w:rsidRPr="00AD21FF">
        <w:rPr>
          <w:noProof/>
        </w:rPr>
        <w:t xml:space="preserve">in accordance with </w:t>
      </w:r>
      <w:r w:rsidR="00A6587D">
        <w:rPr>
          <w:noProof/>
        </w:rPr>
        <w:t>Regulation xxxx/xxxx [CSA2]</w:t>
      </w:r>
      <w:r w:rsidR="00A6587D" w:rsidRPr="00AD21FF">
        <w:rPr>
          <w:noProof/>
        </w:rPr>
        <w:t xml:space="preserve"> </w:t>
      </w:r>
      <w:r w:rsidRPr="00AD21FF">
        <w:rPr>
          <w:noProof/>
        </w:rPr>
        <w:t>are not be involved in</w:t>
      </w:r>
      <w:r w:rsidR="004C09E7">
        <w:rPr>
          <w:noProof/>
        </w:rPr>
        <w:t xml:space="preserve"> the following </w:t>
      </w:r>
      <w:r w:rsidR="00FA5872">
        <w:rPr>
          <w:noProof/>
        </w:rPr>
        <w:t>processes</w:t>
      </w:r>
      <w:r w:rsidRPr="00AD21FF">
        <w:rPr>
          <w:noProof/>
        </w:rPr>
        <w:t xml:space="preserve">: </w:t>
      </w:r>
    </w:p>
    <w:p w14:paraId="378D9A39" w14:textId="77777777" w:rsidR="00310366" w:rsidRPr="00AD21FF" w:rsidRDefault="002B73B6" w:rsidP="007234F4">
      <w:pPr>
        <w:pStyle w:val="Point1"/>
        <w:rPr>
          <w:noProof/>
        </w:rPr>
      </w:pPr>
      <w:r>
        <w:rPr>
          <w:noProof/>
        </w:rPr>
        <w:t>(a)</w:t>
      </w:r>
      <w:r>
        <w:rPr>
          <w:noProof/>
        </w:rPr>
        <w:tab/>
        <w:t>t</w:t>
      </w:r>
      <w:r w:rsidR="00310366" w:rsidRPr="00AD21FF">
        <w:rPr>
          <w:noProof/>
        </w:rPr>
        <w:t xml:space="preserve">he supply of those products or systems; </w:t>
      </w:r>
    </w:p>
    <w:p w14:paraId="4E62598B" w14:textId="77777777" w:rsidR="00310366" w:rsidRPr="00AD21FF" w:rsidRDefault="002B73B6" w:rsidP="007234F4">
      <w:pPr>
        <w:pStyle w:val="Point1"/>
        <w:rPr>
          <w:noProof/>
        </w:rPr>
      </w:pPr>
      <w:r>
        <w:rPr>
          <w:noProof/>
        </w:rPr>
        <w:t>(b)</w:t>
      </w:r>
      <w:r>
        <w:rPr>
          <w:noProof/>
        </w:rPr>
        <w:tab/>
        <w:t>t</w:t>
      </w:r>
      <w:r w:rsidR="00310366" w:rsidRPr="00AD21FF">
        <w:rPr>
          <w:noProof/>
        </w:rPr>
        <w:t xml:space="preserve">he design, development or production of those products or systems; </w:t>
      </w:r>
    </w:p>
    <w:p w14:paraId="2E12055C" w14:textId="77777777" w:rsidR="00310366" w:rsidRPr="00AD21FF" w:rsidRDefault="0087486D" w:rsidP="007234F4">
      <w:pPr>
        <w:pStyle w:val="Point1"/>
        <w:rPr>
          <w:noProof/>
        </w:rPr>
      </w:pPr>
      <w:r>
        <w:rPr>
          <w:noProof/>
        </w:rPr>
        <w:t>(c)</w:t>
      </w:r>
      <w:r>
        <w:rPr>
          <w:noProof/>
        </w:rPr>
        <w:tab/>
        <w:t>t</w:t>
      </w:r>
      <w:r w:rsidR="00310366" w:rsidRPr="00AD21FF">
        <w:rPr>
          <w:noProof/>
        </w:rPr>
        <w:t xml:space="preserve">he management, control or operation of those products or systems; </w:t>
      </w:r>
    </w:p>
    <w:p w14:paraId="0464686D" w14:textId="77777777" w:rsidR="00310366" w:rsidRPr="00AD21FF" w:rsidRDefault="002B73B6" w:rsidP="007234F4">
      <w:pPr>
        <w:pStyle w:val="Point1"/>
        <w:rPr>
          <w:noProof/>
        </w:rPr>
      </w:pPr>
      <w:r>
        <w:rPr>
          <w:noProof/>
        </w:rPr>
        <w:t>(d)</w:t>
      </w:r>
      <w:r>
        <w:rPr>
          <w:noProof/>
        </w:rPr>
        <w:tab/>
        <w:t>t</w:t>
      </w:r>
      <w:r w:rsidR="00310366" w:rsidRPr="00AD21FF">
        <w:rPr>
          <w:noProof/>
        </w:rPr>
        <w:t xml:space="preserve">he development, maintenance, operation, or updating of their software. </w:t>
      </w:r>
    </w:p>
    <w:p w14:paraId="1B06D473" w14:textId="77777777" w:rsidR="00310366" w:rsidRPr="00AD21FF" w:rsidRDefault="00310366" w:rsidP="00310366">
      <w:pPr>
        <w:pStyle w:val="Titrearticle"/>
        <w:rPr>
          <w:noProof/>
        </w:rPr>
      </w:pPr>
      <w:r w:rsidRPr="00AD21FF">
        <w:rPr>
          <w:noProof/>
        </w:rPr>
        <w:t>Article 28</w:t>
      </w:r>
      <w:r w:rsidR="000B2F76">
        <w:rPr>
          <w:noProof/>
        </w:rPr>
        <w:t>c</w:t>
      </w:r>
      <w:r w:rsidRPr="00AD21FF">
        <w:rPr>
          <w:noProof/>
        </w:rPr>
        <w:br/>
      </w:r>
      <w:r w:rsidRPr="00AD21FF">
        <w:rPr>
          <w:b/>
          <w:bCs/>
          <w:i w:val="0"/>
          <w:iCs/>
          <w:noProof/>
        </w:rPr>
        <w:t xml:space="preserve">Union origin requirements for Member State support to </w:t>
      </w:r>
      <w:r w:rsidR="00EC4F2C">
        <w:rPr>
          <w:b/>
          <w:bCs/>
          <w:i w:val="0"/>
          <w:iCs/>
          <w:noProof/>
        </w:rPr>
        <w:t xml:space="preserve">construction and </w:t>
      </w:r>
      <w:r w:rsidRPr="00AD21FF">
        <w:rPr>
          <w:b/>
          <w:bCs/>
          <w:i w:val="0"/>
          <w:iCs/>
          <w:noProof/>
        </w:rPr>
        <w:t>manufacturing</w:t>
      </w:r>
      <w:r w:rsidR="00EC4F2C">
        <w:rPr>
          <w:b/>
          <w:bCs/>
          <w:i w:val="0"/>
          <w:iCs/>
          <w:noProof/>
        </w:rPr>
        <w:t xml:space="preserve"> of net-zero technologies</w:t>
      </w:r>
    </w:p>
    <w:p w14:paraId="7010F1C0" w14:textId="77777777" w:rsidR="00310366" w:rsidRPr="00AD21FF" w:rsidRDefault="00310366" w:rsidP="007234F4">
      <w:pPr>
        <w:pStyle w:val="ManualNumPar1"/>
        <w:rPr>
          <w:noProof/>
        </w:rPr>
      </w:pPr>
      <w:r>
        <w:rPr>
          <w:noProof/>
        </w:rPr>
        <w:t>1.</w:t>
      </w:r>
      <w:r>
        <w:rPr>
          <w:noProof/>
        </w:rPr>
        <w:tab/>
      </w:r>
      <w:r w:rsidRPr="00AD21FF">
        <w:rPr>
          <w:noProof/>
        </w:rPr>
        <w:t xml:space="preserve">Without prejudice to Articles 107 and 108 TFEU and in </w:t>
      </w:r>
      <w:r w:rsidR="009572B4">
        <w:rPr>
          <w:noProof/>
        </w:rPr>
        <w:t>accordance</w:t>
      </w:r>
      <w:r w:rsidR="009572B4" w:rsidRPr="00AD21FF">
        <w:rPr>
          <w:noProof/>
        </w:rPr>
        <w:t xml:space="preserve"> </w:t>
      </w:r>
      <w:r w:rsidRPr="00AD21FF">
        <w:rPr>
          <w:noProof/>
        </w:rPr>
        <w:t xml:space="preserve">with the Union’s international commitments, when supporting the </w:t>
      </w:r>
      <w:r w:rsidR="00B85C6A">
        <w:rPr>
          <w:noProof/>
        </w:rPr>
        <w:t>construction</w:t>
      </w:r>
      <w:r w:rsidR="009E3FBB">
        <w:rPr>
          <w:noProof/>
        </w:rPr>
        <w:t xml:space="preserve"> </w:t>
      </w:r>
      <w:r w:rsidR="00CF17CE">
        <w:rPr>
          <w:noProof/>
        </w:rPr>
        <w:t xml:space="preserve">or </w:t>
      </w:r>
      <w:r w:rsidRPr="00AD21FF">
        <w:rPr>
          <w:noProof/>
        </w:rPr>
        <w:t>manufacturing of net-zero technology final products referred to in Annex II</w:t>
      </w:r>
      <w:r w:rsidR="009C25C1">
        <w:rPr>
          <w:noProof/>
        </w:rPr>
        <w:t xml:space="preserve"> of this Regulation</w:t>
      </w:r>
      <w:r w:rsidRPr="00AD21FF">
        <w:rPr>
          <w:noProof/>
        </w:rPr>
        <w:t xml:space="preserve">, Member States shall ensure that the Union origin requirements laid down in </w:t>
      </w:r>
      <w:r w:rsidR="00A31968">
        <w:rPr>
          <w:noProof/>
        </w:rPr>
        <w:t>that A</w:t>
      </w:r>
      <w:r w:rsidRPr="00AD21FF">
        <w:rPr>
          <w:noProof/>
        </w:rPr>
        <w:t>nnex are met.</w:t>
      </w:r>
      <w:r w:rsidR="00EC2F5F">
        <w:rPr>
          <w:noProof/>
        </w:rPr>
        <w:t xml:space="preserve"> Requirements relating to specific main specific components shall only apply to the extent that those components are included in the final product.</w:t>
      </w:r>
    </w:p>
    <w:p w14:paraId="551758DF" w14:textId="77777777" w:rsidR="00310366" w:rsidRPr="00AD21FF" w:rsidRDefault="00310366" w:rsidP="005260AB">
      <w:pPr>
        <w:pStyle w:val="ManualNumPar1"/>
        <w:rPr>
          <w:noProof/>
        </w:rPr>
      </w:pPr>
      <w:r>
        <w:rPr>
          <w:noProof/>
        </w:rPr>
        <w:t>2.</w:t>
      </w:r>
      <w:r>
        <w:rPr>
          <w:noProof/>
        </w:rPr>
        <w:tab/>
      </w:r>
      <w:r w:rsidRPr="00AD21FF">
        <w:rPr>
          <w:noProof/>
        </w:rPr>
        <w:t xml:space="preserve">Member States may decide not to apply </w:t>
      </w:r>
      <w:r w:rsidR="00FE7004">
        <w:rPr>
          <w:noProof/>
        </w:rPr>
        <w:t xml:space="preserve">one or several requirements referred to in </w:t>
      </w:r>
      <w:r w:rsidRPr="00AD21FF">
        <w:rPr>
          <w:noProof/>
        </w:rPr>
        <w:t xml:space="preserve">paragraph 1 </w:t>
      </w:r>
      <w:r w:rsidR="00CC4C21">
        <w:rPr>
          <w:noProof/>
        </w:rPr>
        <w:t>where</w:t>
      </w:r>
      <w:r w:rsidR="00C40440">
        <w:rPr>
          <w:noProof/>
        </w:rPr>
        <w:t xml:space="preserve"> any of the following </w:t>
      </w:r>
      <w:r w:rsidR="00CC4C21">
        <w:rPr>
          <w:noProof/>
        </w:rPr>
        <w:t>conditions are fulfilled</w:t>
      </w:r>
      <w:r w:rsidRPr="00AD21FF">
        <w:rPr>
          <w:noProof/>
        </w:rPr>
        <w:t xml:space="preserve">: </w:t>
      </w:r>
    </w:p>
    <w:p w14:paraId="7BB9423E" w14:textId="77777777" w:rsidR="00310366" w:rsidRPr="00AD21FF" w:rsidRDefault="00310366" w:rsidP="007234F4">
      <w:pPr>
        <w:pStyle w:val="Point1"/>
        <w:rPr>
          <w:noProof/>
        </w:rPr>
      </w:pPr>
      <w:r>
        <w:rPr>
          <w:noProof/>
        </w:rPr>
        <w:t>(a)</w:t>
      </w:r>
      <w:r>
        <w:rPr>
          <w:noProof/>
        </w:rPr>
        <w:tab/>
      </w:r>
      <w:r w:rsidRPr="00AD21FF">
        <w:rPr>
          <w:noProof/>
        </w:rPr>
        <w:t>the required components can only be supplied by one specific economic operator, and no reasonable alternative or substitute exists, and the absence of competition is not the result of an artificial narrowing down of the parameters of the public procurement procedure;</w:t>
      </w:r>
    </w:p>
    <w:p w14:paraId="0D2F3F8F" w14:textId="77777777" w:rsidR="00310366" w:rsidRPr="00AD21FF" w:rsidRDefault="00E10E5B" w:rsidP="007234F4">
      <w:pPr>
        <w:pStyle w:val="Point1"/>
        <w:rPr>
          <w:noProof/>
        </w:rPr>
      </w:pPr>
      <w:r>
        <w:rPr>
          <w:noProof/>
        </w:rPr>
        <w:t>(b)</w:t>
      </w:r>
      <w:r>
        <w:rPr>
          <w:noProof/>
        </w:rPr>
        <w:tab/>
        <w:t>their</w:t>
      </w:r>
      <w:r w:rsidR="00310366" w:rsidRPr="00AD21FF">
        <w:rPr>
          <w:noProof/>
        </w:rPr>
        <w:t xml:space="preserve"> application would result in </w:t>
      </w:r>
      <w:r w:rsidR="00816D56">
        <w:rPr>
          <w:noProof/>
        </w:rPr>
        <w:t xml:space="preserve">disproportionate costs or </w:t>
      </w:r>
      <w:r w:rsidR="00310366" w:rsidRPr="00AD21FF">
        <w:rPr>
          <w:noProof/>
        </w:rPr>
        <w:t>technical incompatibility in operation or maintenance</w:t>
      </w:r>
      <w:r w:rsidR="00397FFE" w:rsidRPr="00AD21FF">
        <w:rPr>
          <w:noProof/>
        </w:rPr>
        <w:t xml:space="preserve">. Estimated cost differences </w:t>
      </w:r>
      <w:r>
        <w:rPr>
          <w:noProof/>
        </w:rPr>
        <w:t>in excess of</w:t>
      </w:r>
      <w:r w:rsidR="00397FFE" w:rsidRPr="00AD21FF">
        <w:rPr>
          <w:noProof/>
        </w:rPr>
        <w:t xml:space="preserve"> </w:t>
      </w:r>
      <w:r w:rsidR="00E24601">
        <w:rPr>
          <w:noProof/>
        </w:rPr>
        <w:t>25</w:t>
      </w:r>
      <w:r w:rsidR="00397FFE" w:rsidRPr="00AD21FF">
        <w:rPr>
          <w:noProof/>
        </w:rPr>
        <w:t>%, based on objective and transparent data, may be presumed to be disproportionate</w:t>
      </w:r>
      <w:r w:rsidR="00310366" w:rsidRPr="00AD21FF">
        <w:rPr>
          <w:noProof/>
        </w:rPr>
        <w:t xml:space="preserve">; </w:t>
      </w:r>
    </w:p>
    <w:p w14:paraId="68A60E50" w14:textId="77777777" w:rsidR="00310366" w:rsidRPr="00AD21FF" w:rsidRDefault="00B117A5" w:rsidP="007234F4">
      <w:pPr>
        <w:pStyle w:val="Point1"/>
        <w:rPr>
          <w:noProof/>
        </w:rPr>
      </w:pPr>
      <w:r>
        <w:rPr>
          <w:noProof/>
        </w:rPr>
        <w:t>(c)</w:t>
      </w:r>
      <w:r>
        <w:rPr>
          <w:noProof/>
        </w:rPr>
        <w:tab/>
        <w:t>their</w:t>
      </w:r>
      <w:r w:rsidR="00310366" w:rsidRPr="00AD21FF">
        <w:rPr>
          <w:noProof/>
        </w:rPr>
        <w:t xml:space="preserve"> application would jeopardise the project or lead to significant delays </w:t>
      </w:r>
      <w:r w:rsidR="00D07730">
        <w:rPr>
          <w:noProof/>
        </w:rPr>
        <w:t xml:space="preserve">to the delivery of the project </w:t>
      </w:r>
      <w:r w:rsidR="00310366" w:rsidRPr="00AD21FF">
        <w:rPr>
          <w:noProof/>
        </w:rPr>
        <w:t>due to the unavailability of the required components</w:t>
      </w:r>
      <w:r w:rsidR="00D07730">
        <w:rPr>
          <w:noProof/>
        </w:rPr>
        <w:t xml:space="preserve"> or final products</w:t>
      </w:r>
      <w:r w:rsidR="00310366" w:rsidRPr="00AD21FF">
        <w:rPr>
          <w:noProof/>
        </w:rPr>
        <w:t xml:space="preserve">. </w:t>
      </w:r>
      <w:r w:rsidR="00646B1C">
        <w:rPr>
          <w:noProof/>
        </w:rPr>
        <w:t xml:space="preserve">Delays in excess of </w:t>
      </w:r>
      <w:r w:rsidR="00447BC0">
        <w:rPr>
          <w:noProof/>
        </w:rPr>
        <w:t xml:space="preserve">seven </w:t>
      </w:r>
      <w:r w:rsidR="00646B1C">
        <w:rPr>
          <w:noProof/>
        </w:rPr>
        <w:t>months</w:t>
      </w:r>
      <w:r w:rsidR="00D07730">
        <w:rPr>
          <w:noProof/>
        </w:rPr>
        <w:t>, based on objective, transparent and verifiable data,</w:t>
      </w:r>
      <w:r w:rsidR="00105542">
        <w:rPr>
          <w:noProof/>
        </w:rPr>
        <w:t xml:space="preserve"> may be presumed to be significant.</w:t>
      </w:r>
    </w:p>
    <w:p w14:paraId="45800A33" w14:textId="77777777" w:rsidR="00310366" w:rsidRPr="00AD21FF" w:rsidRDefault="00310366" w:rsidP="005260AB">
      <w:pPr>
        <w:pStyle w:val="ManualNumPar1"/>
        <w:rPr>
          <w:noProof/>
        </w:rPr>
      </w:pPr>
      <w:r>
        <w:rPr>
          <w:noProof/>
        </w:rPr>
        <w:t>3.</w:t>
      </w:r>
      <w:r>
        <w:rPr>
          <w:noProof/>
        </w:rPr>
        <w:tab/>
      </w:r>
      <w:r w:rsidRPr="00AD21FF">
        <w:rPr>
          <w:noProof/>
        </w:rPr>
        <w:t>Without prejudice to Articles 107 and 108 TFEU</w:t>
      </w:r>
      <w:r w:rsidRPr="00AD21FF" w:rsidDel="0030383C">
        <w:rPr>
          <w:noProof/>
        </w:rPr>
        <w:t xml:space="preserve"> and in </w:t>
      </w:r>
      <w:r w:rsidR="00766E87">
        <w:rPr>
          <w:noProof/>
        </w:rPr>
        <w:t>accordance</w:t>
      </w:r>
      <w:r w:rsidR="00766E87" w:rsidRPr="00AD21FF" w:rsidDel="0030383C">
        <w:rPr>
          <w:noProof/>
        </w:rPr>
        <w:t xml:space="preserve"> </w:t>
      </w:r>
      <w:r w:rsidRPr="00AD21FF" w:rsidDel="0030383C">
        <w:rPr>
          <w:noProof/>
        </w:rPr>
        <w:t>with the Union’s international commitments</w:t>
      </w:r>
      <w:r w:rsidRPr="00AD21FF">
        <w:rPr>
          <w:noProof/>
        </w:rPr>
        <w:t xml:space="preserve">, when supporting the manufacturing of net-zero technology final products referred to in Annex II </w:t>
      </w:r>
      <w:r w:rsidR="000A458F">
        <w:rPr>
          <w:noProof/>
        </w:rPr>
        <w:t xml:space="preserve">of this Regulation </w:t>
      </w:r>
      <w:r w:rsidRPr="00AD21FF">
        <w:rPr>
          <w:noProof/>
        </w:rPr>
        <w:t xml:space="preserve">and that include control systems, management control systems, supervisory control and data acquisition systems, remote access systems or firewalls, Member States shall ensure that suppliers identified as high-risk </w:t>
      </w:r>
      <w:r w:rsidR="00D40AA7">
        <w:rPr>
          <w:noProof/>
        </w:rPr>
        <w:t xml:space="preserve">suppliers </w:t>
      </w:r>
      <w:r w:rsidRPr="00AD21FF">
        <w:rPr>
          <w:noProof/>
        </w:rPr>
        <w:t xml:space="preserve">in accordance with </w:t>
      </w:r>
      <w:r w:rsidR="00587B9B">
        <w:rPr>
          <w:noProof/>
        </w:rPr>
        <w:t>Regulation xxxx/xxxx [CSA2]</w:t>
      </w:r>
      <w:r w:rsidR="009B2558">
        <w:rPr>
          <w:noProof/>
        </w:rPr>
        <w:t xml:space="preserve"> </w:t>
      </w:r>
      <w:r w:rsidRPr="00AD21FF">
        <w:rPr>
          <w:noProof/>
        </w:rPr>
        <w:t>are not involved in</w:t>
      </w:r>
      <w:r w:rsidR="00B4208F">
        <w:rPr>
          <w:noProof/>
        </w:rPr>
        <w:t xml:space="preserve"> the following processes</w:t>
      </w:r>
      <w:r w:rsidRPr="00AD21FF">
        <w:rPr>
          <w:noProof/>
        </w:rPr>
        <w:t>:</w:t>
      </w:r>
    </w:p>
    <w:p w14:paraId="5C141906" w14:textId="77777777" w:rsidR="00310366" w:rsidRPr="00AD21FF" w:rsidRDefault="00164066" w:rsidP="007234F4">
      <w:pPr>
        <w:pStyle w:val="Point1"/>
        <w:rPr>
          <w:noProof/>
        </w:rPr>
      </w:pPr>
      <w:r>
        <w:rPr>
          <w:noProof/>
        </w:rPr>
        <w:t>(a)</w:t>
      </w:r>
      <w:r>
        <w:rPr>
          <w:noProof/>
        </w:rPr>
        <w:tab/>
        <w:t>t</w:t>
      </w:r>
      <w:r w:rsidR="00310366" w:rsidRPr="00AD21FF">
        <w:rPr>
          <w:noProof/>
        </w:rPr>
        <w:t xml:space="preserve">he supply of those products or systems; </w:t>
      </w:r>
    </w:p>
    <w:p w14:paraId="0A10D47F" w14:textId="77777777" w:rsidR="00310366" w:rsidRPr="00AD21FF" w:rsidRDefault="00164066" w:rsidP="007234F4">
      <w:pPr>
        <w:pStyle w:val="Point1"/>
        <w:rPr>
          <w:noProof/>
        </w:rPr>
      </w:pPr>
      <w:r>
        <w:rPr>
          <w:noProof/>
        </w:rPr>
        <w:t>(b)</w:t>
      </w:r>
      <w:r>
        <w:rPr>
          <w:noProof/>
        </w:rPr>
        <w:tab/>
        <w:t>t</w:t>
      </w:r>
      <w:r w:rsidR="00310366" w:rsidRPr="00AD21FF">
        <w:rPr>
          <w:noProof/>
        </w:rPr>
        <w:t xml:space="preserve">he design, development or production of those products or systems; </w:t>
      </w:r>
    </w:p>
    <w:p w14:paraId="42B4D365" w14:textId="77777777" w:rsidR="00310366" w:rsidRPr="00AD21FF" w:rsidRDefault="00164066" w:rsidP="007234F4">
      <w:pPr>
        <w:pStyle w:val="Point1"/>
        <w:rPr>
          <w:noProof/>
        </w:rPr>
      </w:pPr>
      <w:r>
        <w:rPr>
          <w:noProof/>
        </w:rPr>
        <w:t>(c)</w:t>
      </w:r>
      <w:r>
        <w:rPr>
          <w:noProof/>
        </w:rPr>
        <w:tab/>
        <w:t>t</w:t>
      </w:r>
      <w:r w:rsidR="00310366" w:rsidRPr="00AD21FF">
        <w:rPr>
          <w:noProof/>
        </w:rPr>
        <w:t xml:space="preserve">he management, control or operation of those products or systems; </w:t>
      </w:r>
    </w:p>
    <w:p w14:paraId="2E1E9991" w14:textId="77777777" w:rsidR="00310366" w:rsidRPr="00AD21FF" w:rsidRDefault="00164066" w:rsidP="007234F4">
      <w:pPr>
        <w:pStyle w:val="Point1"/>
        <w:rPr>
          <w:noProof/>
        </w:rPr>
      </w:pPr>
      <w:r>
        <w:rPr>
          <w:noProof/>
        </w:rPr>
        <w:t>(d)</w:t>
      </w:r>
      <w:r>
        <w:rPr>
          <w:noProof/>
        </w:rPr>
        <w:tab/>
        <w:t>t</w:t>
      </w:r>
      <w:r w:rsidR="00310366" w:rsidRPr="00AD21FF">
        <w:rPr>
          <w:noProof/>
        </w:rPr>
        <w:t>he development, maintenance, operation, or updating of their software.</w:t>
      </w:r>
    </w:p>
    <w:p w14:paraId="66F61B47" w14:textId="77777777" w:rsidR="00310366" w:rsidRPr="00AD21FF" w:rsidRDefault="00310366" w:rsidP="00310366">
      <w:pPr>
        <w:pStyle w:val="Titrearticle"/>
        <w:rPr>
          <w:b/>
          <w:bCs/>
          <w:i w:val="0"/>
          <w:iCs/>
          <w:noProof/>
        </w:rPr>
      </w:pPr>
      <w:r w:rsidRPr="00AD21FF">
        <w:rPr>
          <w:noProof/>
        </w:rPr>
        <w:t>Article 28</w:t>
      </w:r>
      <w:r w:rsidR="000B2F76">
        <w:rPr>
          <w:noProof/>
        </w:rPr>
        <w:t>d</w:t>
      </w:r>
      <w:r w:rsidRPr="00AD21FF">
        <w:rPr>
          <w:noProof/>
        </w:rPr>
        <w:br/>
      </w:r>
      <w:r w:rsidRPr="00AD21FF">
        <w:rPr>
          <w:b/>
          <w:bCs/>
          <w:i w:val="0"/>
          <w:iCs/>
          <w:noProof/>
        </w:rPr>
        <w:t>Union origin</w:t>
      </w:r>
    </w:p>
    <w:p w14:paraId="0A815733" w14:textId="77777777" w:rsidR="00D52C27" w:rsidRPr="00D52C27" w:rsidRDefault="00310366" w:rsidP="007234F4">
      <w:pPr>
        <w:pStyle w:val="ManualNumPar1"/>
        <w:rPr>
          <w:noProof/>
        </w:rPr>
      </w:pPr>
      <w:r>
        <w:rPr>
          <w:noProof/>
        </w:rPr>
        <w:t>1.</w:t>
      </w:r>
      <w:r>
        <w:rPr>
          <w:noProof/>
        </w:rPr>
        <w:tab/>
      </w:r>
      <w:r w:rsidRPr="00AD21FF">
        <w:rPr>
          <w:noProof/>
        </w:rPr>
        <w:t>For the purposes of Articles 25</w:t>
      </w:r>
      <w:r w:rsidR="00B31AB1">
        <w:rPr>
          <w:noProof/>
        </w:rPr>
        <w:t>a</w:t>
      </w:r>
      <w:r w:rsidRPr="00AD21FF">
        <w:rPr>
          <w:noProof/>
        </w:rPr>
        <w:t>, 26 and 28</w:t>
      </w:r>
      <w:r w:rsidR="00B31AB1">
        <w:rPr>
          <w:noProof/>
        </w:rPr>
        <w:t>a</w:t>
      </w:r>
      <w:r w:rsidRPr="00AD21FF">
        <w:rPr>
          <w:noProof/>
        </w:rPr>
        <w:t xml:space="preserve"> </w:t>
      </w:r>
      <w:r w:rsidR="00A67242">
        <w:rPr>
          <w:noProof/>
        </w:rPr>
        <w:t>and</w:t>
      </w:r>
      <w:r w:rsidR="00481990">
        <w:rPr>
          <w:noProof/>
        </w:rPr>
        <w:t xml:space="preserve"> </w:t>
      </w:r>
      <w:r w:rsidRPr="00AD21FF">
        <w:rPr>
          <w:noProof/>
        </w:rPr>
        <w:t>28</w:t>
      </w:r>
      <w:r w:rsidR="005334AF">
        <w:rPr>
          <w:noProof/>
        </w:rPr>
        <w:t>c</w:t>
      </w:r>
      <w:r w:rsidRPr="00AD21FF">
        <w:rPr>
          <w:noProof/>
        </w:rPr>
        <w:t xml:space="preserve">, </w:t>
      </w:r>
      <w:r w:rsidR="00D52C27" w:rsidRPr="00AD21FF">
        <w:rPr>
          <w:noProof/>
        </w:rPr>
        <w:t>content of Union origin refers to content originating in the Union.</w:t>
      </w:r>
    </w:p>
    <w:p w14:paraId="1EFB024A" w14:textId="77777777" w:rsidR="00310366" w:rsidRPr="00AD21FF" w:rsidRDefault="00310366" w:rsidP="007234F4">
      <w:pPr>
        <w:pStyle w:val="ManualNumPar1"/>
        <w:rPr>
          <w:noProof/>
        </w:rPr>
      </w:pPr>
      <w:r>
        <w:rPr>
          <w:noProof/>
        </w:rPr>
        <w:t>2.</w:t>
      </w:r>
      <w:r>
        <w:rPr>
          <w:noProof/>
        </w:rPr>
        <w:tab/>
      </w:r>
      <w:r w:rsidRPr="00AD21FF">
        <w:rPr>
          <w:noProof/>
        </w:rPr>
        <w:t>The</w:t>
      </w:r>
      <w:r w:rsidR="00B16AED">
        <w:rPr>
          <w:noProof/>
        </w:rPr>
        <w:t xml:space="preserve"> </w:t>
      </w:r>
      <w:r w:rsidRPr="00AD21FF">
        <w:rPr>
          <w:noProof/>
        </w:rPr>
        <w:t xml:space="preserve">origin of products </w:t>
      </w:r>
      <w:r w:rsidR="00B16AED">
        <w:rPr>
          <w:noProof/>
        </w:rPr>
        <w:t xml:space="preserve">and components </w:t>
      </w:r>
      <w:r w:rsidRPr="00AD21FF">
        <w:rPr>
          <w:noProof/>
        </w:rPr>
        <w:t>shall be determined in accordance with Regulation (EU) No 952/2013 of the European Parliament.</w:t>
      </w:r>
    </w:p>
    <w:p w14:paraId="1E93A4A8" w14:textId="77777777" w:rsidR="005A00D3" w:rsidRPr="00F6687A" w:rsidRDefault="005A00D3" w:rsidP="005A00D3">
      <w:pPr>
        <w:pStyle w:val="Titrearticle"/>
        <w:spacing w:before="0" w:after="0"/>
        <w:rPr>
          <w:noProof/>
        </w:rPr>
      </w:pPr>
      <w:r w:rsidRPr="00F6687A">
        <w:rPr>
          <w:noProof/>
        </w:rPr>
        <w:t xml:space="preserve">Article </w:t>
      </w:r>
      <w:r w:rsidR="006E139D">
        <w:rPr>
          <w:noProof/>
        </w:rPr>
        <w:t>2</w:t>
      </w:r>
      <w:r w:rsidRPr="00F6687A">
        <w:rPr>
          <w:noProof/>
        </w:rPr>
        <w:t>8</w:t>
      </w:r>
      <w:r w:rsidR="006E139D">
        <w:rPr>
          <w:noProof/>
        </w:rPr>
        <w:t>e</w:t>
      </w:r>
    </w:p>
    <w:p w14:paraId="2120775B" w14:textId="77777777" w:rsidR="005A00D3" w:rsidRPr="00B03A09" w:rsidRDefault="005A00D3" w:rsidP="005A00D3">
      <w:pPr>
        <w:pStyle w:val="Titrearticle"/>
        <w:spacing w:before="0" w:after="0"/>
        <w:rPr>
          <w:b/>
          <w:i w:val="0"/>
          <w:noProof/>
        </w:rPr>
      </w:pPr>
      <w:r w:rsidRPr="00F6687A">
        <w:rPr>
          <w:b/>
          <w:i w:val="0"/>
          <w:noProof/>
        </w:rPr>
        <w:t>Content equivalent to Union origin in public procurement</w:t>
      </w:r>
    </w:p>
    <w:p w14:paraId="758FABFB" w14:textId="77777777" w:rsidR="005A00D3" w:rsidRPr="00F6687A" w:rsidRDefault="005A00D3" w:rsidP="007234F4">
      <w:pPr>
        <w:pStyle w:val="ManualNumPar1"/>
        <w:rPr>
          <w:noProof/>
        </w:rPr>
      </w:pPr>
      <w:r>
        <w:rPr>
          <w:noProof/>
        </w:rPr>
        <w:t>1.</w:t>
      </w:r>
      <w:r>
        <w:rPr>
          <w:noProof/>
        </w:rPr>
        <w:tab/>
      </w:r>
      <w:r w:rsidRPr="00F6687A">
        <w:rPr>
          <w:noProof/>
        </w:rPr>
        <w:t xml:space="preserve">With respect to the Union origin requirements referred to in Article </w:t>
      </w:r>
      <w:r w:rsidR="00F26F55">
        <w:rPr>
          <w:noProof/>
        </w:rPr>
        <w:t>25a</w:t>
      </w:r>
      <w:r w:rsidRPr="00F6687A">
        <w:rPr>
          <w:noProof/>
        </w:rPr>
        <w:t>, content originating in third countries with which the Union has concluded an agreement establishing a free trade area or a customs union, or that are parties to the Agreement on Government Procurement</w:t>
      </w:r>
      <w:r>
        <w:rPr>
          <w:noProof/>
        </w:rPr>
        <w:t xml:space="preserve">, where relevant obligations of the Union exist under that agreement, </w:t>
      </w:r>
      <w:r w:rsidRPr="00F6687A">
        <w:rPr>
          <w:noProof/>
        </w:rPr>
        <w:t xml:space="preserve"> shall be deemed to be of Union origin </w:t>
      </w:r>
      <w:r>
        <w:rPr>
          <w:noProof/>
        </w:rPr>
        <w:t>.</w:t>
      </w:r>
      <w:r w:rsidRPr="00F6687A">
        <w:rPr>
          <w:noProof/>
        </w:rPr>
        <w:t xml:space="preserve"> </w:t>
      </w:r>
    </w:p>
    <w:p w14:paraId="23C5B8CB" w14:textId="77777777" w:rsidR="00BF3A9F" w:rsidRDefault="005A00D3" w:rsidP="007234F4">
      <w:pPr>
        <w:pStyle w:val="ManualNumPar1"/>
        <w:rPr>
          <w:noProof/>
        </w:rPr>
      </w:pPr>
      <w:r>
        <w:rPr>
          <w:noProof/>
        </w:rPr>
        <w:t>2.</w:t>
      </w:r>
      <w:r>
        <w:rPr>
          <w:noProof/>
        </w:rPr>
        <w:tab/>
      </w:r>
      <w:r w:rsidRPr="00F26F55">
        <w:rPr>
          <w:noProof/>
          <w:lang w:val="en-IE"/>
        </w:rPr>
        <w:t xml:space="preserve">The Commission </w:t>
      </w:r>
      <w:r>
        <w:rPr>
          <w:noProof/>
          <w:lang w:val="en-IE"/>
        </w:rPr>
        <w:t xml:space="preserve">shall </w:t>
      </w:r>
      <w:r w:rsidRPr="00F26F55">
        <w:rPr>
          <w:noProof/>
          <w:lang w:val="en-IE"/>
        </w:rPr>
        <w:t xml:space="preserve">adopt delegated acts in accordance with Article </w:t>
      </w:r>
      <w:r w:rsidR="00B8035B">
        <w:rPr>
          <w:noProof/>
          <w:lang w:val="en-IE"/>
        </w:rPr>
        <w:t>44</w:t>
      </w:r>
      <w:r w:rsidRPr="00F26F55">
        <w:rPr>
          <w:noProof/>
          <w:lang w:val="en-IE"/>
        </w:rPr>
        <w:t xml:space="preserve"> to exclude, in whole or in part, a third country from the scope of paragraph 1 based on any of the following criteria: </w:t>
      </w:r>
    </w:p>
    <w:p w14:paraId="734EF9EB" w14:textId="77777777" w:rsidR="00905097" w:rsidRPr="00905097" w:rsidRDefault="009D0EEA" w:rsidP="007234F4">
      <w:pPr>
        <w:pStyle w:val="Point1"/>
        <w:rPr>
          <w:noProof/>
          <w:lang w:val="en-IE"/>
        </w:rPr>
      </w:pPr>
      <w:r>
        <w:rPr>
          <w:noProof/>
        </w:rPr>
        <w:t>(e)</w:t>
      </w:r>
      <w:r>
        <w:rPr>
          <w:noProof/>
        </w:rPr>
        <w:tab/>
      </w:r>
      <w:r>
        <w:rPr>
          <w:noProof/>
          <w:lang w:val="en-IE"/>
        </w:rPr>
        <w:t>that third country has failed to provide national treatment related to Union products or entities under the agreements referred to in paragraph 1 in relation to any of the net-zero technologies listed in Article 4, point (1);</w:t>
      </w:r>
    </w:p>
    <w:p w14:paraId="37D692B9" w14:textId="77777777" w:rsidR="005A00D3" w:rsidRPr="00F6687A" w:rsidRDefault="005A00D3" w:rsidP="007234F4">
      <w:pPr>
        <w:pStyle w:val="Point1"/>
        <w:rPr>
          <w:noProof/>
          <w:lang w:val="en-IE"/>
        </w:rPr>
      </w:pPr>
      <w:r>
        <w:rPr>
          <w:noProof/>
        </w:rPr>
        <w:t>(f)</w:t>
      </w:r>
      <w:r>
        <w:rPr>
          <w:noProof/>
        </w:rPr>
        <w:tab/>
      </w:r>
      <w:r w:rsidRPr="00F6687A">
        <w:rPr>
          <w:noProof/>
          <w:lang w:val="en-IE"/>
        </w:rPr>
        <w:t>such exclusion is justified to avoid dependencies or any other developments that may threaten the security of supply in the Union of the products in question;</w:t>
      </w:r>
    </w:p>
    <w:p w14:paraId="3DC7A1D8" w14:textId="77777777" w:rsidR="005A00D3" w:rsidRPr="00F6687A" w:rsidRDefault="005A00D3" w:rsidP="007234F4">
      <w:pPr>
        <w:pStyle w:val="Point1"/>
        <w:rPr>
          <w:noProof/>
        </w:rPr>
      </w:pPr>
      <w:r>
        <w:rPr>
          <w:noProof/>
        </w:rPr>
        <w:t>(g)</w:t>
      </w:r>
      <w:r>
        <w:rPr>
          <w:noProof/>
        </w:rPr>
        <w:tab/>
      </w:r>
      <w:r w:rsidRPr="00F6687A">
        <w:rPr>
          <w:noProof/>
          <w:lang w:val="en-IE"/>
        </w:rPr>
        <w:t>such exclusion</w:t>
      </w:r>
      <w:r w:rsidRPr="00E941E1">
        <w:rPr>
          <w:noProof/>
          <w:lang w:val="en-IE"/>
        </w:rPr>
        <w:t xml:space="preserve"> is justified under any other exception under the applicable agreement</w:t>
      </w:r>
      <w:r w:rsidRPr="00F6687A">
        <w:rPr>
          <w:noProof/>
        </w:rPr>
        <w:t>.</w:t>
      </w:r>
    </w:p>
    <w:p w14:paraId="2E989EC1" w14:textId="77777777" w:rsidR="00A05BEC" w:rsidRPr="00F6687A" w:rsidRDefault="00A05BEC" w:rsidP="00A05BEC">
      <w:pPr>
        <w:pStyle w:val="Titrearticle"/>
        <w:spacing w:before="0" w:after="0"/>
        <w:rPr>
          <w:noProof/>
        </w:rPr>
      </w:pPr>
      <w:r w:rsidRPr="00F6687A">
        <w:rPr>
          <w:noProof/>
        </w:rPr>
        <w:t xml:space="preserve">Article </w:t>
      </w:r>
      <w:r>
        <w:rPr>
          <w:noProof/>
        </w:rPr>
        <w:t>2</w:t>
      </w:r>
      <w:r w:rsidRPr="00F6687A">
        <w:rPr>
          <w:noProof/>
        </w:rPr>
        <w:t>8</w:t>
      </w:r>
      <w:r>
        <w:rPr>
          <w:noProof/>
        </w:rPr>
        <w:t>f</w:t>
      </w:r>
    </w:p>
    <w:p w14:paraId="300F304D" w14:textId="77777777" w:rsidR="00A05BEC" w:rsidRPr="00B03A09" w:rsidRDefault="00A05BEC" w:rsidP="00A05BEC">
      <w:pPr>
        <w:pStyle w:val="Titrearticle"/>
        <w:spacing w:before="0" w:after="0"/>
        <w:rPr>
          <w:b/>
          <w:i w:val="0"/>
          <w:noProof/>
        </w:rPr>
      </w:pPr>
      <w:r w:rsidRPr="00F6687A">
        <w:rPr>
          <w:b/>
          <w:i w:val="0"/>
          <w:noProof/>
        </w:rPr>
        <w:t xml:space="preserve">Content equivalent to Union origin in </w:t>
      </w:r>
      <w:r>
        <w:rPr>
          <w:b/>
          <w:i w:val="0"/>
          <w:noProof/>
        </w:rPr>
        <w:t>auctions</w:t>
      </w:r>
    </w:p>
    <w:p w14:paraId="51BCB9D0" w14:textId="77777777" w:rsidR="00A05BEC" w:rsidRPr="00F6687A" w:rsidRDefault="00A05BEC" w:rsidP="00097B5F">
      <w:pPr>
        <w:pStyle w:val="ManualNumPar1"/>
        <w:rPr>
          <w:noProof/>
        </w:rPr>
      </w:pPr>
      <w:r>
        <w:rPr>
          <w:noProof/>
        </w:rPr>
        <w:t>3.</w:t>
      </w:r>
      <w:r>
        <w:rPr>
          <w:noProof/>
        </w:rPr>
        <w:tab/>
      </w:r>
      <w:r w:rsidRPr="00F6687A">
        <w:rPr>
          <w:noProof/>
        </w:rPr>
        <w:t xml:space="preserve">With respect to the Union origin requirements referred to in Article </w:t>
      </w:r>
      <w:r>
        <w:rPr>
          <w:noProof/>
        </w:rPr>
        <w:t>26</w:t>
      </w:r>
      <w:r w:rsidRPr="00F6687A">
        <w:rPr>
          <w:noProof/>
        </w:rPr>
        <w:t>, content originating in third countries with which the Union has concluded an agreement establishing a free trade area or a customs union shall be deemed to be of Union origin</w:t>
      </w:r>
      <w:r>
        <w:rPr>
          <w:noProof/>
        </w:rPr>
        <w:t>.</w:t>
      </w:r>
      <w:r w:rsidRPr="00F6687A">
        <w:rPr>
          <w:noProof/>
        </w:rPr>
        <w:t xml:space="preserve"> </w:t>
      </w:r>
    </w:p>
    <w:p w14:paraId="5031311C" w14:textId="77777777" w:rsidR="00BF3A9F" w:rsidRDefault="00A05BEC" w:rsidP="007234F4">
      <w:pPr>
        <w:pStyle w:val="ManualNumPar1"/>
        <w:rPr>
          <w:noProof/>
        </w:rPr>
      </w:pPr>
      <w:r>
        <w:rPr>
          <w:noProof/>
        </w:rPr>
        <w:t>4.</w:t>
      </w:r>
      <w:r>
        <w:rPr>
          <w:noProof/>
        </w:rPr>
        <w:tab/>
      </w:r>
      <w:r w:rsidRPr="00F26F55">
        <w:rPr>
          <w:noProof/>
          <w:lang w:val="en-IE"/>
        </w:rPr>
        <w:t xml:space="preserve">The Commission </w:t>
      </w:r>
      <w:r>
        <w:rPr>
          <w:noProof/>
          <w:lang w:val="en-IE"/>
        </w:rPr>
        <w:t xml:space="preserve">shall </w:t>
      </w:r>
      <w:r w:rsidRPr="00F26F55">
        <w:rPr>
          <w:noProof/>
          <w:lang w:val="en-IE"/>
        </w:rPr>
        <w:t xml:space="preserve">adopt delegated acts in accordance with Article </w:t>
      </w:r>
      <w:r>
        <w:rPr>
          <w:noProof/>
          <w:lang w:val="en-IE"/>
        </w:rPr>
        <w:t>44</w:t>
      </w:r>
      <w:r w:rsidRPr="00F26F55">
        <w:rPr>
          <w:noProof/>
          <w:lang w:val="en-IE"/>
        </w:rPr>
        <w:t xml:space="preserve"> to exclude, in whole or in part, a third country from the scope of paragraph 1 based on any of the following criteria: </w:t>
      </w:r>
    </w:p>
    <w:p w14:paraId="0A35E321" w14:textId="77777777" w:rsidR="00905097" w:rsidRPr="00905097" w:rsidRDefault="004D62CD" w:rsidP="007234F4">
      <w:pPr>
        <w:pStyle w:val="Point1"/>
        <w:rPr>
          <w:noProof/>
          <w:lang w:val="en-IE"/>
        </w:rPr>
      </w:pPr>
      <w:r>
        <w:rPr>
          <w:noProof/>
        </w:rPr>
        <w:t>(h)</w:t>
      </w:r>
      <w:r>
        <w:rPr>
          <w:noProof/>
        </w:rPr>
        <w:tab/>
        <w:t xml:space="preserve">that third country has failed to provide national treatment related to Union products or entities under the agreements referred to in paragraph 1 </w:t>
      </w:r>
      <w:r>
        <w:rPr>
          <w:noProof/>
          <w:lang w:val="en-IE"/>
        </w:rPr>
        <w:t>in relation to any of the net-zero technologies listed in Article 4, point (1);</w:t>
      </w:r>
    </w:p>
    <w:p w14:paraId="5057284D" w14:textId="77777777" w:rsidR="00A05BEC" w:rsidRPr="006E139D" w:rsidRDefault="00A05BEC" w:rsidP="007234F4">
      <w:pPr>
        <w:pStyle w:val="Point1"/>
        <w:rPr>
          <w:noProof/>
          <w:lang w:val="en-IE"/>
        </w:rPr>
      </w:pPr>
      <w:r>
        <w:rPr>
          <w:noProof/>
        </w:rPr>
        <w:t>(i)</w:t>
      </w:r>
      <w:r>
        <w:rPr>
          <w:noProof/>
        </w:rPr>
        <w:tab/>
      </w:r>
      <w:r w:rsidRPr="006E139D">
        <w:rPr>
          <w:noProof/>
          <w:lang w:val="en-IE"/>
        </w:rPr>
        <w:t>such exclusion is justified to avoid dependencies or any other developments that may threaten the security of supply in the Union of the products in question;</w:t>
      </w:r>
    </w:p>
    <w:p w14:paraId="3AB1FE78" w14:textId="77777777" w:rsidR="00A05BEC" w:rsidRPr="00F6687A" w:rsidRDefault="00A05BEC" w:rsidP="007234F4">
      <w:pPr>
        <w:pStyle w:val="Point1"/>
        <w:rPr>
          <w:noProof/>
        </w:rPr>
      </w:pPr>
      <w:r>
        <w:rPr>
          <w:noProof/>
        </w:rPr>
        <w:t>(j)</w:t>
      </w:r>
      <w:r>
        <w:rPr>
          <w:noProof/>
        </w:rPr>
        <w:tab/>
      </w:r>
      <w:r w:rsidRPr="006E139D">
        <w:rPr>
          <w:noProof/>
          <w:lang w:val="en-IE"/>
        </w:rPr>
        <w:t>such exclusion</w:t>
      </w:r>
      <w:r w:rsidRPr="00F6687A">
        <w:rPr>
          <w:noProof/>
        </w:rPr>
        <w:t xml:space="preserve"> is justified under any other exception under the applicable agreement.</w:t>
      </w:r>
    </w:p>
    <w:p w14:paraId="597C1C08" w14:textId="77777777" w:rsidR="00A05BEC" w:rsidRDefault="00A05BEC" w:rsidP="005A00D3">
      <w:pPr>
        <w:pStyle w:val="Titrearticle"/>
        <w:spacing w:before="0" w:after="0"/>
        <w:rPr>
          <w:noProof/>
        </w:rPr>
      </w:pPr>
    </w:p>
    <w:p w14:paraId="094C41F7" w14:textId="77777777" w:rsidR="005A00D3" w:rsidRPr="00F6687A" w:rsidRDefault="005A00D3" w:rsidP="005A00D3">
      <w:pPr>
        <w:pStyle w:val="Titrearticle"/>
        <w:spacing w:before="0" w:after="0"/>
        <w:rPr>
          <w:noProof/>
        </w:rPr>
      </w:pPr>
      <w:r w:rsidRPr="00F6687A">
        <w:rPr>
          <w:noProof/>
        </w:rPr>
        <w:t xml:space="preserve">Article </w:t>
      </w:r>
      <w:r w:rsidR="0077690F">
        <w:rPr>
          <w:noProof/>
        </w:rPr>
        <w:t>28g</w:t>
      </w:r>
    </w:p>
    <w:p w14:paraId="4D8B5927" w14:textId="77777777" w:rsidR="005A00D3" w:rsidRPr="00F6687A" w:rsidRDefault="005A00D3" w:rsidP="005A00D3">
      <w:pPr>
        <w:pStyle w:val="Titrearticle"/>
        <w:spacing w:before="0" w:after="0"/>
        <w:rPr>
          <w:b/>
          <w:i w:val="0"/>
          <w:noProof/>
        </w:rPr>
      </w:pPr>
      <w:r w:rsidRPr="00F6687A">
        <w:rPr>
          <w:b/>
          <w:i w:val="0"/>
          <w:noProof/>
        </w:rPr>
        <w:t>Content equivalent to Union origin in other forms of public intervention</w:t>
      </w:r>
    </w:p>
    <w:p w14:paraId="75E7FE63" w14:textId="77777777" w:rsidR="005A00D3" w:rsidRPr="00B50E3C" w:rsidRDefault="003F7AB7" w:rsidP="00AE634F">
      <w:pPr>
        <w:pStyle w:val="NumPar11"/>
        <w:ind w:left="720" w:hanging="720"/>
        <w:rPr>
          <w:noProof/>
        </w:rPr>
      </w:pPr>
      <w:r>
        <w:rPr>
          <w:noProof/>
        </w:rPr>
        <w:t>1.</w:t>
      </w:r>
      <w:r w:rsidR="00AE634F">
        <w:rPr>
          <w:noProof/>
        </w:rPr>
        <w:t xml:space="preserve"> </w:t>
      </w:r>
      <w:r>
        <w:rPr>
          <w:noProof/>
        </w:rPr>
        <w:tab/>
      </w:r>
      <w:r w:rsidR="005A00D3" w:rsidRPr="00B50E3C">
        <w:rPr>
          <w:noProof/>
        </w:rPr>
        <w:t xml:space="preserve">With respect the Union origin requirements set out in Article </w:t>
      </w:r>
      <w:r w:rsidR="0077690F">
        <w:rPr>
          <w:noProof/>
        </w:rPr>
        <w:t>28a</w:t>
      </w:r>
      <w:r w:rsidR="005A00D3" w:rsidRPr="00B50E3C">
        <w:rPr>
          <w:noProof/>
        </w:rPr>
        <w:t>, content originating in third countries with which the Union has concluded an agreement establishing a free trade area or a customs union shall be deemed to be of Union origin</w:t>
      </w:r>
      <w:r>
        <w:rPr>
          <w:noProof/>
        </w:rPr>
        <w:t>.</w:t>
      </w:r>
    </w:p>
    <w:p w14:paraId="60171845" w14:textId="77777777" w:rsidR="00BF3A9F" w:rsidRDefault="005A00D3" w:rsidP="005A00D3">
      <w:pPr>
        <w:pStyle w:val="ManualNumPar1"/>
        <w:rPr>
          <w:noProof/>
        </w:rPr>
      </w:pPr>
      <w:r>
        <w:rPr>
          <w:noProof/>
          <w:lang w:val="en-IE"/>
        </w:rPr>
        <w:t xml:space="preserve">2. </w:t>
      </w:r>
      <w:r>
        <w:rPr>
          <w:noProof/>
          <w:lang w:val="en-IE"/>
        </w:rPr>
        <w:tab/>
      </w:r>
      <w:r w:rsidRPr="00F6687A">
        <w:rPr>
          <w:noProof/>
          <w:lang w:val="en-IE"/>
        </w:rPr>
        <w:t xml:space="preserve">The </w:t>
      </w:r>
      <w:r w:rsidRPr="00F6687A">
        <w:rPr>
          <w:noProof/>
        </w:rPr>
        <w:t>Commission</w:t>
      </w:r>
      <w:r w:rsidRPr="00F6687A">
        <w:rPr>
          <w:noProof/>
          <w:lang w:val="en-IE"/>
        </w:rPr>
        <w:t xml:space="preserve"> </w:t>
      </w:r>
      <w:r>
        <w:rPr>
          <w:noProof/>
          <w:lang w:val="en-IE"/>
        </w:rPr>
        <w:t xml:space="preserve">shall </w:t>
      </w:r>
      <w:r w:rsidRPr="00F6687A">
        <w:rPr>
          <w:noProof/>
          <w:lang w:val="en-IE"/>
        </w:rPr>
        <w:t xml:space="preserve">adopt delegated acts in accordance with Article </w:t>
      </w:r>
      <w:r w:rsidR="003600BA">
        <w:rPr>
          <w:noProof/>
          <w:lang w:val="en-IE"/>
        </w:rPr>
        <w:t>44</w:t>
      </w:r>
      <w:r w:rsidRPr="00F6687A">
        <w:rPr>
          <w:noProof/>
          <w:lang w:val="en-IE"/>
        </w:rPr>
        <w:t xml:space="preserve"> to exclude, in whole or in part, a third country from the scope of paragraph 1 based on any of the following criteria: </w:t>
      </w:r>
    </w:p>
    <w:p w14:paraId="710AF617" w14:textId="77777777" w:rsidR="00B30802" w:rsidRDefault="0054185E" w:rsidP="007234F4">
      <w:pPr>
        <w:pStyle w:val="Point1"/>
        <w:rPr>
          <w:noProof/>
        </w:rPr>
      </w:pPr>
      <w:r>
        <w:rPr>
          <w:noProof/>
        </w:rPr>
        <w:t>(k)</w:t>
      </w:r>
      <w:r>
        <w:rPr>
          <w:noProof/>
        </w:rPr>
        <w:tab/>
      </w:r>
      <w:r>
        <w:rPr>
          <w:noProof/>
        </w:rPr>
        <w:tab/>
        <w:t>that third country has failed to provide national treatment related to Union products or entities under the agreements referred to in paragraph 1 in relation to any of the net-zero technologies listed in Article 4, point (1);</w:t>
      </w:r>
    </w:p>
    <w:p w14:paraId="4C8FC731" w14:textId="77777777" w:rsidR="005A00D3" w:rsidRPr="00F6687A" w:rsidRDefault="005A00D3" w:rsidP="007234F4">
      <w:pPr>
        <w:pStyle w:val="Point1"/>
        <w:rPr>
          <w:noProof/>
        </w:rPr>
      </w:pPr>
      <w:r>
        <w:rPr>
          <w:noProof/>
        </w:rPr>
        <w:t>(l)</w:t>
      </w:r>
      <w:r>
        <w:rPr>
          <w:noProof/>
        </w:rPr>
        <w:tab/>
      </w:r>
      <w:r w:rsidRPr="00F6687A">
        <w:rPr>
          <w:noProof/>
        </w:rPr>
        <w:t>such exclusion is justified to avoid dependencies or any other developments that may threaten the security of supply in the Union of the products in question;</w:t>
      </w:r>
    </w:p>
    <w:p w14:paraId="42D97FF0" w14:textId="77777777" w:rsidR="005A00D3" w:rsidRDefault="005A00D3" w:rsidP="007234F4">
      <w:pPr>
        <w:pStyle w:val="Point1"/>
        <w:rPr>
          <w:noProof/>
        </w:rPr>
      </w:pPr>
      <w:r>
        <w:rPr>
          <w:noProof/>
        </w:rPr>
        <w:t>(m)</w:t>
      </w:r>
      <w:r>
        <w:rPr>
          <w:noProof/>
        </w:rPr>
        <w:tab/>
      </w:r>
      <w:r w:rsidRPr="00F6687A">
        <w:rPr>
          <w:noProof/>
        </w:rPr>
        <w:t>such exclusion is justified under any other exception under the applicable agreement.</w:t>
      </w:r>
    </w:p>
    <w:p w14:paraId="2D0DEB90" w14:textId="77777777" w:rsidR="00310366" w:rsidRPr="00AD21FF" w:rsidRDefault="00310366" w:rsidP="00310366">
      <w:pPr>
        <w:pStyle w:val="Titrearticle"/>
        <w:rPr>
          <w:b/>
          <w:bCs/>
          <w:i w:val="0"/>
          <w:iCs/>
          <w:noProof/>
        </w:rPr>
      </w:pPr>
      <w:r w:rsidRPr="00AD21FF">
        <w:rPr>
          <w:noProof/>
        </w:rPr>
        <w:t>Article 28</w:t>
      </w:r>
      <w:r w:rsidR="003448BD">
        <w:rPr>
          <w:noProof/>
        </w:rPr>
        <w:t>h</w:t>
      </w:r>
      <w:r w:rsidRPr="00AD21FF">
        <w:rPr>
          <w:noProof/>
        </w:rPr>
        <w:br/>
      </w:r>
      <w:r w:rsidRPr="00AD21FF">
        <w:rPr>
          <w:b/>
          <w:bCs/>
          <w:i w:val="0"/>
          <w:iCs/>
          <w:noProof/>
        </w:rPr>
        <w:t>Delegation of power</w:t>
      </w:r>
    </w:p>
    <w:p w14:paraId="0A12B0D5" w14:textId="77777777" w:rsidR="00310366" w:rsidRPr="00AD21FF" w:rsidRDefault="00310366" w:rsidP="007234F4">
      <w:pPr>
        <w:pStyle w:val="ManualNumPar1"/>
        <w:rPr>
          <w:noProof/>
        </w:rPr>
      </w:pPr>
      <w:r>
        <w:rPr>
          <w:noProof/>
        </w:rPr>
        <w:t>1.</w:t>
      </w:r>
      <w:r>
        <w:rPr>
          <w:noProof/>
        </w:rPr>
        <w:tab/>
      </w:r>
      <w:r w:rsidRPr="00AD21FF">
        <w:rPr>
          <w:noProof/>
        </w:rPr>
        <w:t xml:space="preserve">The Commission </w:t>
      </w:r>
      <w:r w:rsidR="00F26293">
        <w:rPr>
          <w:noProof/>
        </w:rPr>
        <w:t>is empowered</w:t>
      </w:r>
      <w:r w:rsidR="00F26293" w:rsidRPr="00AD21FF">
        <w:rPr>
          <w:noProof/>
        </w:rPr>
        <w:t xml:space="preserve"> </w:t>
      </w:r>
      <w:r w:rsidRPr="00AD21FF">
        <w:rPr>
          <w:noProof/>
        </w:rPr>
        <w:t xml:space="preserve">to adopt delegated acts in accordance with Article 44 to </w:t>
      </w:r>
      <w:r w:rsidR="00F26293">
        <w:rPr>
          <w:noProof/>
        </w:rPr>
        <w:t>amend</w:t>
      </w:r>
      <w:r w:rsidR="00F26293" w:rsidRPr="00AD21FF">
        <w:rPr>
          <w:noProof/>
        </w:rPr>
        <w:t xml:space="preserve"> </w:t>
      </w:r>
      <w:r w:rsidRPr="00AD21FF">
        <w:rPr>
          <w:noProof/>
        </w:rPr>
        <w:t>the Union origin requirements laid down in Annex II, taking into account the following criteria:</w:t>
      </w:r>
    </w:p>
    <w:p w14:paraId="0A1693BB" w14:textId="77777777" w:rsidR="00310366" w:rsidRPr="00AD21FF" w:rsidRDefault="00310366" w:rsidP="007234F4">
      <w:pPr>
        <w:pStyle w:val="Point1"/>
        <w:rPr>
          <w:noProof/>
        </w:rPr>
      </w:pPr>
      <w:r>
        <w:rPr>
          <w:noProof/>
        </w:rPr>
        <w:t>(a)</w:t>
      </w:r>
      <w:r>
        <w:rPr>
          <w:noProof/>
        </w:rPr>
        <w:tab/>
      </w:r>
      <w:r w:rsidRPr="00AD21FF">
        <w:rPr>
          <w:noProof/>
        </w:rPr>
        <w:t>the market situation at Union level including declining Union market shares and Union industry producing below capacity;</w:t>
      </w:r>
    </w:p>
    <w:p w14:paraId="1F2E10D4" w14:textId="77777777" w:rsidR="00310366" w:rsidRPr="00AD21FF" w:rsidRDefault="00310366" w:rsidP="007234F4">
      <w:pPr>
        <w:pStyle w:val="Point1"/>
        <w:rPr>
          <w:noProof/>
        </w:rPr>
      </w:pPr>
      <w:r>
        <w:rPr>
          <w:noProof/>
        </w:rPr>
        <w:t>(b)</w:t>
      </w:r>
      <w:r>
        <w:rPr>
          <w:noProof/>
        </w:rPr>
        <w:tab/>
      </w:r>
      <w:r w:rsidRPr="00AD21FF">
        <w:rPr>
          <w:noProof/>
        </w:rPr>
        <w:t>the contribution of the requirements to the Union’s objective of public order, economic security, resilience and climate neutrality set out in Regulation (EU) 2021/1119;</w:t>
      </w:r>
    </w:p>
    <w:p w14:paraId="454848B7" w14:textId="77777777" w:rsidR="00310366" w:rsidRPr="00AD21FF" w:rsidRDefault="00310366" w:rsidP="007234F4">
      <w:pPr>
        <w:pStyle w:val="Point1"/>
        <w:rPr>
          <w:noProof/>
        </w:rPr>
      </w:pPr>
      <w:r>
        <w:rPr>
          <w:noProof/>
        </w:rPr>
        <w:t>(c)</w:t>
      </w:r>
      <w:r>
        <w:rPr>
          <w:noProof/>
        </w:rPr>
        <w:tab/>
      </w:r>
      <w:r w:rsidRPr="00AD21FF">
        <w:rPr>
          <w:noProof/>
        </w:rPr>
        <w:t>technological progress;</w:t>
      </w:r>
    </w:p>
    <w:p w14:paraId="011A7B10" w14:textId="77777777" w:rsidR="00310366" w:rsidRPr="00AD21FF" w:rsidRDefault="00310366" w:rsidP="007234F4">
      <w:pPr>
        <w:pStyle w:val="Point1"/>
        <w:rPr>
          <w:noProof/>
        </w:rPr>
      </w:pPr>
      <w:r>
        <w:rPr>
          <w:noProof/>
        </w:rPr>
        <w:t>(d)</w:t>
      </w:r>
      <w:r>
        <w:rPr>
          <w:noProof/>
        </w:rPr>
        <w:tab/>
      </w:r>
      <w:r w:rsidRPr="00AD21FF">
        <w:rPr>
          <w:noProof/>
        </w:rPr>
        <w:t xml:space="preserve">demand for the relevant net-zero technologies; </w:t>
      </w:r>
    </w:p>
    <w:p w14:paraId="6FEFBB79" w14:textId="77777777" w:rsidR="00310366" w:rsidRPr="00AD21FF" w:rsidRDefault="00310366" w:rsidP="007234F4">
      <w:pPr>
        <w:pStyle w:val="Point1"/>
        <w:rPr>
          <w:noProof/>
        </w:rPr>
      </w:pPr>
      <w:r>
        <w:rPr>
          <w:noProof/>
        </w:rPr>
        <w:t>(e)</w:t>
      </w:r>
      <w:r>
        <w:rPr>
          <w:noProof/>
        </w:rPr>
        <w:tab/>
      </w:r>
      <w:r w:rsidRPr="00AD21FF">
        <w:rPr>
          <w:noProof/>
        </w:rPr>
        <w:t>the impact of setting Union origin requirements on the overall competitiveness and greenhouse gas emissions of the relevant sectors.</w:t>
      </w:r>
    </w:p>
    <w:p w14:paraId="5AF806AB" w14:textId="77777777" w:rsidR="00310366" w:rsidRPr="00AD21FF" w:rsidRDefault="00310366" w:rsidP="007234F4">
      <w:pPr>
        <w:pStyle w:val="ManualNumPar1"/>
        <w:rPr>
          <w:noProof/>
        </w:rPr>
      </w:pPr>
      <w:r>
        <w:rPr>
          <w:noProof/>
        </w:rPr>
        <w:t>2.</w:t>
      </w:r>
      <w:r>
        <w:rPr>
          <w:noProof/>
        </w:rPr>
        <w:tab/>
      </w:r>
      <w:r w:rsidRPr="00AD21FF">
        <w:rPr>
          <w:noProof/>
        </w:rPr>
        <w:t>The Commission</w:t>
      </w:r>
      <w:r w:rsidRPr="00AD21FF" w:rsidDel="00626329">
        <w:rPr>
          <w:noProof/>
        </w:rPr>
        <w:t xml:space="preserve"> </w:t>
      </w:r>
      <w:r w:rsidR="00626329">
        <w:rPr>
          <w:noProof/>
        </w:rPr>
        <w:t>is empowered to</w:t>
      </w:r>
      <w:r w:rsidRPr="00AD21FF">
        <w:rPr>
          <w:noProof/>
        </w:rPr>
        <w:t xml:space="preserve"> adopt delegated acts to supplement Annex II with Union origin requirements for additional specific net-zero technology final products referred to in Article 4(1), points (g), (</w:t>
      </w:r>
      <w:r w:rsidR="009B2CF4">
        <w:rPr>
          <w:noProof/>
        </w:rPr>
        <w:t>h)</w:t>
      </w:r>
      <w:r w:rsidR="00970433">
        <w:rPr>
          <w:noProof/>
        </w:rPr>
        <w:t>,</w:t>
      </w:r>
      <w:r w:rsidRPr="00AD21FF">
        <w:rPr>
          <w:noProof/>
        </w:rPr>
        <w:t xml:space="preserve"> (j), (k), (n), (p), and (s), as well as </w:t>
      </w:r>
      <w:r w:rsidR="00002C03">
        <w:rPr>
          <w:noProof/>
        </w:rPr>
        <w:t xml:space="preserve">solar thermal technologies referred to in Article 4(1), point (a), </w:t>
      </w:r>
      <w:r w:rsidRPr="00AD21FF">
        <w:rPr>
          <w:noProof/>
        </w:rPr>
        <w:t>nuclear fuel cycle technologies referred to in Article 4(1), point (i), and electric propulsion technologies for transport referred to in Article 4(1), point (r), which shall be required in accordance with Articles 25</w:t>
      </w:r>
      <w:r w:rsidR="008829B7">
        <w:rPr>
          <w:noProof/>
        </w:rPr>
        <w:t>a</w:t>
      </w:r>
      <w:r w:rsidRPr="00AD21FF">
        <w:rPr>
          <w:noProof/>
        </w:rPr>
        <w:t>, 26, 28</w:t>
      </w:r>
      <w:r w:rsidR="008829B7">
        <w:rPr>
          <w:noProof/>
        </w:rPr>
        <w:t>a</w:t>
      </w:r>
      <w:r w:rsidRPr="00AD21FF">
        <w:rPr>
          <w:noProof/>
        </w:rPr>
        <w:t xml:space="preserve"> and 28</w:t>
      </w:r>
      <w:r w:rsidR="008829B7">
        <w:rPr>
          <w:noProof/>
        </w:rPr>
        <w:t>c</w:t>
      </w:r>
      <w:r w:rsidRPr="00AD21FF">
        <w:rPr>
          <w:noProof/>
        </w:rPr>
        <w:t xml:space="preserve">. In doing so, the Commission shall take </w:t>
      </w:r>
      <w:r w:rsidR="00681993">
        <w:rPr>
          <w:noProof/>
        </w:rPr>
        <w:t xml:space="preserve">the following </w:t>
      </w:r>
      <w:r w:rsidRPr="00AD21FF">
        <w:rPr>
          <w:noProof/>
        </w:rPr>
        <w:t xml:space="preserve">into account: </w:t>
      </w:r>
    </w:p>
    <w:p w14:paraId="7824C148" w14:textId="77777777" w:rsidR="00310366" w:rsidRPr="00AD21FF" w:rsidRDefault="00310366" w:rsidP="007234F4">
      <w:pPr>
        <w:pStyle w:val="Point1"/>
        <w:rPr>
          <w:noProof/>
        </w:rPr>
      </w:pPr>
      <w:r>
        <w:rPr>
          <w:noProof/>
        </w:rPr>
        <w:t>(a)</w:t>
      </w:r>
      <w:r>
        <w:rPr>
          <w:noProof/>
        </w:rPr>
        <w:tab/>
      </w:r>
      <w:r w:rsidRPr="00AD21FF">
        <w:rPr>
          <w:noProof/>
        </w:rPr>
        <w:t>the market situation at Union level, as identified through monitoring activities, including declining Union market shares and Union industry producing below capacity;</w:t>
      </w:r>
    </w:p>
    <w:p w14:paraId="3517EE54" w14:textId="77777777" w:rsidR="00CE7901" w:rsidRPr="00AD21FF" w:rsidRDefault="00310366" w:rsidP="007234F4">
      <w:pPr>
        <w:pStyle w:val="Point1"/>
        <w:rPr>
          <w:noProof/>
        </w:rPr>
      </w:pPr>
      <w:r>
        <w:rPr>
          <w:noProof/>
        </w:rPr>
        <w:t>(b)</w:t>
      </w:r>
      <w:r>
        <w:rPr>
          <w:noProof/>
        </w:rPr>
        <w:tab/>
      </w:r>
      <w:r w:rsidRPr="00AD21FF">
        <w:rPr>
          <w:noProof/>
        </w:rPr>
        <w:t>the contribution of the requirements to the Union’s objective of public order, economic security, resilience and climate neutrality;</w:t>
      </w:r>
    </w:p>
    <w:p w14:paraId="721EDA10" w14:textId="77777777" w:rsidR="00310366" w:rsidRPr="00AD21FF" w:rsidRDefault="00310366" w:rsidP="007234F4">
      <w:pPr>
        <w:pStyle w:val="Point1"/>
        <w:rPr>
          <w:noProof/>
        </w:rPr>
      </w:pPr>
      <w:r>
        <w:rPr>
          <w:noProof/>
        </w:rPr>
        <w:t>(c)</w:t>
      </w:r>
      <w:r>
        <w:rPr>
          <w:noProof/>
        </w:rPr>
        <w:tab/>
      </w:r>
      <w:r w:rsidRPr="00AD21FF">
        <w:rPr>
          <w:noProof/>
        </w:rPr>
        <w:t>the impact of setting Union origin requirements, low-carbon requirements, or both on the overall competitiveness and greenhouse gas emissions of the relevant sectors</w:t>
      </w:r>
      <w:r w:rsidR="0001076F">
        <w:rPr>
          <w:noProof/>
        </w:rPr>
        <w:t xml:space="preserve">, </w:t>
      </w:r>
      <w:r w:rsidR="0001076F" w:rsidRPr="0001076F">
        <w:rPr>
          <w:noProof/>
        </w:rPr>
        <w:t>as well as on downstream costs for consumers and small and medium enterprises and on public budgets</w:t>
      </w:r>
      <w:r w:rsidRPr="00AD21FF">
        <w:rPr>
          <w:noProof/>
        </w:rPr>
        <w:t>.</w:t>
      </w:r>
    </w:p>
    <w:p w14:paraId="24A097F1" w14:textId="77777777" w:rsidR="00310366" w:rsidRPr="00AD21FF" w:rsidRDefault="00310366" w:rsidP="007234F4">
      <w:pPr>
        <w:pStyle w:val="Point1"/>
        <w:rPr>
          <w:noProof/>
        </w:rPr>
      </w:pPr>
      <w:r>
        <w:rPr>
          <w:noProof/>
        </w:rPr>
        <w:t>(d)</w:t>
      </w:r>
      <w:r>
        <w:rPr>
          <w:noProof/>
        </w:rPr>
        <w:tab/>
      </w:r>
      <w:r w:rsidRPr="00AD21FF">
        <w:rPr>
          <w:noProof/>
        </w:rPr>
        <w:t>demand for the relevant products or technologies.</w:t>
      </w:r>
    </w:p>
    <w:p w14:paraId="3FF1C368" w14:textId="77777777" w:rsidR="00310366" w:rsidRPr="00AD21FF" w:rsidRDefault="00310366" w:rsidP="007234F4">
      <w:pPr>
        <w:pStyle w:val="ManualNumPar1"/>
        <w:rPr>
          <w:noProof/>
        </w:rPr>
      </w:pPr>
      <w:r>
        <w:rPr>
          <w:noProof/>
        </w:rPr>
        <w:t>1.</w:t>
      </w:r>
      <w:r>
        <w:rPr>
          <w:noProof/>
        </w:rPr>
        <w:tab/>
      </w:r>
      <w:r w:rsidRPr="00AD21FF">
        <w:rPr>
          <w:noProof/>
        </w:rPr>
        <w:t>The delegated acts referred to in paragraph 2 shall set out:</w:t>
      </w:r>
    </w:p>
    <w:p w14:paraId="38E231DE" w14:textId="77777777" w:rsidR="00310366" w:rsidRPr="00AD21FF" w:rsidRDefault="00310366" w:rsidP="007234F4">
      <w:pPr>
        <w:pStyle w:val="Point1"/>
        <w:rPr>
          <w:noProof/>
        </w:rPr>
      </w:pPr>
      <w:r>
        <w:rPr>
          <w:noProof/>
        </w:rPr>
        <w:t>(a)</w:t>
      </w:r>
      <w:r>
        <w:rPr>
          <w:noProof/>
        </w:rPr>
        <w:tab/>
      </w:r>
      <w:r w:rsidRPr="00AD21FF">
        <w:rPr>
          <w:noProof/>
        </w:rPr>
        <w:t xml:space="preserve">the products </w:t>
      </w:r>
      <w:r w:rsidR="00B033E8">
        <w:rPr>
          <w:noProof/>
        </w:rPr>
        <w:t xml:space="preserve">and components </w:t>
      </w:r>
      <w:r w:rsidRPr="00AD21FF">
        <w:rPr>
          <w:noProof/>
        </w:rPr>
        <w:t>to which the minimum Union origin requirements shall apply;</w:t>
      </w:r>
    </w:p>
    <w:p w14:paraId="589FD741" w14:textId="77777777" w:rsidR="00310366" w:rsidRPr="00AD21FF" w:rsidRDefault="00310366" w:rsidP="007234F4">
      <w:pPr>
        <w:pStyle w:val="Point1"/>
        <w:rPr>
          <w:noProof/>
        </w:rPr>
      </w:pPr>
      <w:r>
        <w:rPr>
          <w:noProof/>
        </w:rPr>
        <w:t>(b)</w:t>
      </w:r>
      <w:r>
        <w:rPr>
          <w:noProof/>
        </w:rPr>
        <w:tab/>
      </w:r>
      <w:r w:rsidRPr="00AD21FF">
        <w:rPr>
          <w:noProof/>
        </w:rPr>
        <w:t>the scope of application of the minimum Union origin requirements;</w:t>
      </w:r>
    </w:p>
    <w:p w14:paraId="0711CF01" w14:textId="77777777" w:rsidR="00A26B4F" w:rsidRPr="00A26B4F" w:rsidRDefault="00991283" w:rsidP="001647C8">
      <w:pPr>
        <w:pStyle w:val="Point0"/>
        <w:rPr>
          <w:noProof/>
        </w:rPr>
      </w:pPr>
      <w:r>
        <w:rPr>
          <w:noProof/>
        </w:rPr>
        <w:t>(7)</w:t>
      </w:r>
      <w:r>
        <w:rPr>
          <w:noProof/>
        </w:rPr>
        <w:tab/>
        <w:t>Article 42 is amended as follow</w:t>
      </w:r>
      <w:r w:rsidR="00A26B4F">
        <w:rPr>
          <w:noProof/>
        </w:rPr>
        <w:t xml:space="preserve">s: </w:t>
      </w:r>
    </w:p>
    <w:p w14:paraId="513F0C8A" w14:textId="77777777" w:rsidR="004D3393" w:rsidRDefault="00922D56" w:rsidP="00F617B0">
      <w:pPr>
        <w:pStyle w:val="Point1"/>
        <w:rPr>
          <w:noProof/>
        </w:rPr>
      </w:pPr>
      <w:r>
        <w:rPr>
          <w:noProof/>
        </w:rPr>
        <w:t>(a)</w:t>
      </w:r>
      <w:r>
        <w:rPr>
          <w:noProof/>
        </w:rPr>
        <w:tab/>
        <w:t xml:space="preserve">the following paragraph 2a is inserted: </w:t>
      </w:r>
    </w:p>
    <w:p w14:paraId="7AD0E64B" w14:textId="77777777" w:rsidR="00F55729" w:rsidRDefault="00922D56" w:rsidP="004D3393">
      <w:pPr>
        <w:pStyle w:val="Point1"/>
        <w:ind w:firstLine="0"/>
        <w:rPr>
          <w:noProof/>
        </w:rPr>
      </w:pPr>
      <w:r>
        <w:rPr>
          <w:noProof/>
        </w:rPr>
        <w:t xml:space="preserve">‘2a. </w:t>
      </w:r>
      <w:r w:rsidR="006060B1">
        <w:rPr>
          <w:noProof/>
        </w:rPr>
        <w:t xml:space="preserve">Member States, </w:t>
      </w:r>
      <w:r w:rsidR="00555012">
        <w:rPr>
          <w:noProof/>
        </w:rPr>
        <w:t xml:space="preserve">public authorities, procuring authorities and procuring entities applying </w:t>
      </w:r>
      <w:r w:rsidR="00D9355B">
        <w:rPr>
          <w:noProof/>
        </w:rPr>
        <w:t xml:space="preserve">Chapter IV of this Regulation shall report </w:t>
      </w:r>
      <w:r w:rsidR="00345182">
        <w:rPr>
          <w:noProof/>
        </w:rPr>
        <w:t xml:space="preserve">on the application of </w:t>
      </w:r>
      <w:r w:rsidR="00CD5A93">
        <w:rPr>
          <w:noProof/>
        </w:rPr>
        <w:t>exemptions</w:t>
      </w:r>
      <w:r w:rsidR="001E4D17">
        <w:rPr>
          <w:noProof/>
        </w:rPr>
        <w:t xml:space="preserve"> in accordance with </w:t>
      </w:r>
      <w:r w:rsidR="0096244A">
        <w:rPr>
          <w:noProof/>
        </w:rPr>
        <w:t>the provisions of that Chapter.</w:t>
      </w:r>
      <w:r w:rsidR="00836958">
        <w:rPr>
          <w:noProof/>
        </w:rPr>
        <w:t>’</w:t>
      </w:r>
      <w:r w:rsidR="0096244A">
        <w:rPr>
          <w:noProof/>
        </w:rPr>
        <w:t xml:space="preserve"> </w:t>
      </w:r>
    </w:p>
    <w:p w14:paraId="3B1FB51F" w14:textId="77777777" w:rsidR="004D3393" w:rsidRDefault="00F676D3" w:rsidP="00F617B0">
      <w:pPr>
        <w:pStyle w:val="Point1"/>
        <w:rPr>
          <w:noProof/>
        </w:rPr>
      </w:pPr>
      <w:r>
        <w:rPr>
          <w:noProof/>
        </w:rPr>
        <w:t>(b)</w:t>
      </w:r>
      <w:r>
        <w:rPr>
          <w:noProof/>
        </w:rPr>
        <w:tab/>
        <w:t>paragraph 3</w:t>
      </w:r>
      <w:r w:rsidR="00694CE2">
        <w:rPr>
          <w:noProof/>
        </w:rPr>
        <w:t xml:space="preserve"> is replaced by </w:t>
      </w:r>
      <w:r w:rsidR="004D3393">
        <w:rPr>
          <w:noProof/>
        </w:rPr>
        <w:t xml:space="preserve">the following: </w:t>
      </w:r>
    </w:p>
    <w:p w14:paraId="4A743310" w14:textId="77777777" w:rsidR="00F676D3" w:rsidRDefault="00694CE2" w:rsidP="004D3393">
      <w:pPr>
        <w:pStyle w:val="Point1"/>
        <w:ind w:firstLine="0"/>
        <w:rPr>
          <w:noProof/>
        </w:rPr>
      </w:pPr>
      <w:r>
        <w:rPr>
          <w:noProof/>
        </w:rPr>
        <w:t>‘</w:t>
      </w:r>
      <w:r w:rsidR="004F1E71">
        <w:rPr>
          <w:noProof/>
        </w:rPr>
        <w:t xml:space="preserve">3. </w:t>
      </w:r>
      <w:r w:rsidR="004F1E71" w:rsidRPr="00654DB8">
        <w:rPr>
          <w:noProof/>
        </w:rPr>
        <w:t>Where they are not already included in, or in accordance with the elements of, the national energy and climate plans, each Member State shall submit to the Commission a report setting out the data referred to in</w:t>
      </w:r>
      <w:r w:rsidR="004F1E71">
        <w:rPr>
          <w:noProof/>
        </w:rPr>
        <w:t xml:space="preserve"> </w:t>
      </w:r>
      <w:r>
        <w:rPr>
          <w:noProof/>
        </w:rPr>
        <w:t>paragraphs 2 and 2a</w:t>
      </w:r>
      <w:r w:rsidR="009556F6" w:rsidRPr="009556F6">
        <w:rPr>
          <w:noProof/>
        </w:rPr>
        <w:t xml:space="preserve"> </w:t>
      </w:r>
      <w:r w:rsidR="009556F6" w:rsidRPr="00835A00">
        <w:rPr>
          <w:noProof/>
        </w:rPr>
        <w:t>by 15 March 2027 and every three years thereafter.</w:t>
      </w:r>
      <w:r>
        <w:rPr>
          <w:noProof/>
        </w:rPr>
        <w:t>’</w:t>
      </w:r>
      <w:r w:rsidR="009556F6">
        <w:rPr>
          <w:noProof/>
        </w:rPr>
        <w:t>;</w:t>
      </w:r>
      <w:r>
        <w:rPr>
          <w:noProof/>
        </w:rPr>
        <w:t xml:space="preserve"> </w:t>
      </w:r>
    </w:p>
    <w:p w14:paraId="66D7CD9E" w14:textId="77777777" w:rsidR="00216AF8" w:rsidRPr="00216AF8" w:rsidRDefault="00951C2C" w:rsidP="000546F9">
      <w:pPr>
        <w:pStyle w:val="Point0"/>
        <w:rPr>
          <w:noProof/>
        </w:rPr>
      </w:pPr>
      <w:r>
        <w:rPr>
          <w:noProof/>
        </w:rPr>
        <w:t>(8)</w:t>
      </w:r>
      <w:r>
        <w:rPr>
          <w:noProof/>
        </w:rPr>
        <w:tab/>
        <w:t>The following Annex II is added:</w:t>
      </w:r>
    </w:p>
    <w:p w14:paraId="7FF81A4F" w14:textId="77777777" w:rsidR="00310366" w:rsidRPr="00AD21FF" w:rsidRDefault="009556F6" w:rsidP="00490478">
      <w:pPr>
        <w:jc w:val="center"/>
        <w:rPr>
          <w:i/>
          <w:noProof/>
        </w:rPr>
      </w:pPr>
      <w:r>
        <w:rPr>
          <w:noProof/>
        </w:rPr>
        <w:t>‘</w:t>
      </w:r>
      <w:r w:rsidR="00310366" w:rsidRPr="0024099E">
        <w:rPr>
          <w:noProof/>
        </w:rPr>
        <w:t>ANNEX II</w:t>
      </w:r>
      <w:r w:rsidR="00310366" w:rsidRPr="0024099E">
        <w:rPr>
          <w:noProof/>
        </w:rPr>
        <w:br/>
      </w:r>
      <w:r w:rsidR="00310366" w:rsidRPr="00AD21FF">
        <w:rPr>
          <w:bCs/>
          <w:noProof/>
        </w:rPr>
        <w:t>Union</w:t>
      </w:r>
      <w:r w:rsidR="00310366" w:rsidRPr="00AD21FF">
        <w:rPr>
          <w:noProof/>
        </w:rPr>
        <w:t xml:space="preserve"> origin requirements for net-zero technologies</w:t>
      </w:r>
    </w:p>
    <w:p w14:paraId="6C1648D3" w14:textId="77777777" w:rsidR="00310366" w:rsidRPr="00AD21FF" w:rsidRDefault="00310366" w:rsidP="009956FE">
      <w:pPr>
        <w:pStyle w:val="Text0"/>
        <w:rPr>
          <w:b/>
          <w:bCs/>
          <w:noProof/>
        </w:rPr>
      </w:pPr>
      <w:r w:rsidRPr="00AD21FF">
        <w:rPr>
          <w:b/>
          <w:bCs/>
          <w:noProof/>
        </w:rPr>
        <w:t>Part I – Public procurement</w:t>
      </w:r>
    </w:p>
    <w:p w14:paraId="2DF4B7DF" w14:textId="77777777" w:rsidR="00310366" w:rsidRPr="00AD21FF" w:rsidRDefault="00310366" w:rsidP="007234F4">
      <w:pPr>
        <w:pStyle w:val="ManualNumPar1"/>
        <w:rPr>
          <w:noProof/>
        </w:rPr>
      </w:pPr>
      <w:r>
        <w:rPr>
          <w:noProof/>
        </w:rPr>
        <w:t>1.</w:t>
      </w:r>
      <w:r>
        <w:rPr>
          <w:noProof/>
        </w:rPr>
        <w:tab/>
      </w:r>
      <w:r w:rsidRPr="00AD21FF">
        <w:rPr>
          <w:noProof/>
        </w:rPr>
        <w:t>In accordance with Article 25</w:t>
      </w:r>
      <w:r w:rsidR="003A3140">
        <w:rPr>
          <w:noProof/>
        </w:rPr>
        <w:t>a</w:t>
      </w:r>
      <w:r w:rsidRPr="00AD21FF">
        <w:rPr>
          <w:noProof/>
        </w:rPr>
        <w:t>, for public procurement procedures published after the entry into force of this Regulation falling within the scope of Directives 2014/23/EU</w:t>
      </w:r>
      <w:r w:rsidR="008A71DF">
        <w:rPr>
          <w:noProof/>
        </w:rPr>
        <w:t>,</w:t>
      </w:r>
      <w:r w:rsidRPr="00AD21FF">
        <w:rPr>
          <w:noProof/>
        </w:rPr>
        <w:t xml:space="preserve"> 2014/24/EU</w:t>
      </w:r>
      <w:r w:rsidR="008A71DF">
        <w:rPr>
          <w:noProof/>
        </w:rPr>
        <w:t xml:space="preserve"> or </w:t>
      </w:r>
      <w:r w:rsidR="006F728A">
        <w:rPr>
          <w:noProof/>
        </w:rPr>
        <w:t>2014/25/EU</w:t>
      </w:r>
      <w:r w:rsidRPr="00AD21FF">
        <w:rPr>
          <w:noProof/>
        </w:rPr>
        <w:t xml:space="preserve"> where contracts, works contracts or work concessions include the procurement of the following net-zero technologies, procurement documents shall include the requirements laid down below:</w:t>
      </w:r>
    </w:p>
    <w:p w14:paraId="203EAB2C" w14:textId="77777777" w:rsidR="00310366" w:rsidRPr="00AD21FF" w:rsidRDefault="00310366" w:rsidP="007234F4">
      <w:pPr>
        <w:pStyle w:val="Point1"/>
        <w:rPr>
          <w:noProof/>
        </w:rPr>
      </w:pPr>
      <w:r>
        <w:rPr>
          <w:noProof/>
        </w:rPr>
        <w:t>(a)</w:t>
      </w:r>
      <w:r>
        <w:rPr>
          <w:noProof/>
        </w:rPr>
        <w:tab/>
      </w:r>
      <w:r w:rsidRPr="00AD21FF">
        <w:rPr>
          <w:noProof/>
        </w:rPr>
        <w:t xml:space="preserve">Battery energy storage systems: </w:t>
      </w:r>
    </w:p>
    <w:p w14:paraId="1F398390" w14:textId="77777777" w:rsidR="00310366" w:rsidRPr="00AD21FF" w:rsidRDefault="00310366" w:rsidP="00B105F9">
      <w:pPr>
        <w:pStyle w:val="Point2"/>
        <w:rPr>
          <w:noProof/>
        </w:rPr>
      </w:pPr>
      <w:r w:rsidRPr="00AD21FF">
        <w:rPr>
          <w:noProof/>
        </w:rPr>
        <w:t xml:space="preserve">From [OP: Please insert the date = 1 year after entry into force of this Regulation] until [3 years after entry into force of this Regulation], the battery energy storage systems shall </w:t>
      </w:r>
      <w:r w:rsidR="00304C5A">
        <w:rPr>
          <w:noProof/>
        </w:rPr>
        <w:t>originate</w:t>
      </w:r>
      <w:r w:rsidRPr="00AD21FF">
        <w:rPr>
          <w:noProof/>
        </w:rPr>
        <w:t xml:space="preserve"> in the Union and</w:t>
      </w:r>
      <w:r w:rsidR="00FB5024">
        <w:rPr>
          <w:noProof/>
        </w:rPr>
        <w:t>,</w:t>
      </w:r>
      <w:r w:rsidRPr="00AD21FF">
        <w:rPr>
          <w:noProof/>
        </w:rPr>
        <w:t xml:space="preserve"> </w:t>
      </w:r>
      <w:r w:rsidR="00FB5024">
        <w:rPr>
          <w:noProof/>
        </w:rPr>
        <w:t>for projects including battery energy storage exceeding 1 Megawatt-hour,</w:t>
      </w:r>
      <w:r w:rsidRPr="00AD21FF">
        <w:rPr>
          <w:noProof/>
        </w:rPr>
        <w:t xml:space="preserve"> contain a battery management system that </w:t>
      </w:r>
      <w:r w:rsidR="00C774D8" w:rsidRPr="00AD21FF">
        <w:rPr>
          <w:noProof/>
        </w:rPr>
        <w:t>originate</w:t>
      </w:r>
      <w:r w:rsidR="00C774D8">
        <w:rPr>
          <w:noProof/>
        </w:rPr>
        <w:t>s</w:t>
      </w:r>
      <w:r w:rsidRPr="00AD21FF">
        <w:rPr>
          <w:noProof/>
        </w:rPr>
        <w:t xml:space="preserve"> in the Union.</w:t>
      </w:r>
    </w:p>
    <w:p w14:paraId="7C78F736" w14:textId="77777777" w:rsidR="00310366" w:rsidRPr="00AD21FF" w:rsidRDefault="00310366" w:rsidP="00B105F9">
      <w:pPr>
        <w:pStyle w:val="Point2"/>
        <w:rPr>
          <w:noProof/>
        </w:rPr>
      </w:pPr>
      <w:r w:rsidRPr="00AD21FF">
        <w:rPr>
          <w:noProof/>
        </w:rPr>
        <w:t xml:space="preserve">From [OP: Please insert the date = 3 years after entry into force of this Regulation], the battery energy storage systems </w:t>
      </w:r>
      <w:r w:rsidR="00CA55DB">
        <w:rPr>
          <w:noProof/>
        </w:rPr>
        <w:t xml:space="preserve">shall </w:t>
      </w:r>
      <w:r w:rsidRPr="00AD21FF">
        <w:rPr>
          <w:noProof/>
        </w:rPr>
        <w:t xml:space="preserve">originate in the Union and contain battery cells, </w:t>
      </w:r>
      <w:r w:rsidR="00D401E8">
        <w:rPr>
          <w:noProof/>
        </w:rPr>
        <w:t xml:space="preserve">a </w:t>
      </w:r>
      <w:r w:rsidRPr="00AD21FF">
        <w:rPr>
          <w:noProof/>
        </w:rPr>
        <w:t>battery management system as well as</w:t>
      </w:r>
      <w:r w:rsidR="00B34EDC" w:rsidRPr="00AD21FF">
        <w:rPr>
          <w:noProof/>
        </w:rPr>
        <w:t xml:space="preserve"> </w:t>
      </w:r>
      <w:r w:rsidR="00DD0C68">
        <w:rPr>
          <w:noProof/>
        </w:rPr>
        <w:t>one</w:t>
      </w:r>
      <w:r w:rsidR="00B34EDC" w:rsidRPr="00AD21FF">
        <w:rPr>
          <w:noProof/>
        </w:rPr>
        <w:t xml:space="preserve"> </w:t>
      </w:r>
      <w:r w:rsidRPr="00AD21FF">
        <w:rPr>
          <w:noProof/>
        </w:rPr>
        <w:t>additional main specific component that originate in the Union.</w:t>
      </w:r>
    </w:p>
    <w:p w14:paraId="47B0D2E5" w14:textId="77777777" w:rsidR="00310366" w:rsidRPr="00AD21FF" w:rsidRDefault="00310366" w:rsidP="00BA192F">
      <w:pPr>
        <w:pStyle w:val="Point1"/>
        <w:rPr>
          <w:noProof/>
        </w:rPr>
      </w:pPr>
      <w:r>
        <w:rPr>
          <w:noProof/>
        </w:rPr>
        <w:t>(b)</w:t>
      </w:r>
      <w:r>
        <w:rPr>
          <w:noProof/>
        </w:rPr>
        <w:tab/>
      </w:r>
      <w:r w:rsidRPr="00AD21FF">
        <w:rPr>
          <w:noProof/>
        </w:rPr>
        <w:t xml:space="preserve">Solar PV technologies: From [OP: Please insert the date = 3 years after entry into force of this Regulation], the PV inverter and </w:t>
      </w:r>
      <w:r w:rsidR="006F2D71">
        <w:rPr>
          <w:noProof/>
        </w:rPr>
        <w:t xml:space="preserve">the PV cells or equivalent </w:t>
      </w:r>
      <w:r w:rsidRPr="00AD21FF">
        <w:rPr>
          <w:noProof/>
        </w:rPr>
        <w:t>shall originate in the Union.</w:t>
      </w:r>
    </w:p>
    <w:p w14:paraId="659773D4" w14:textId="77777777" w:rsidR="00310366" w:rsidRPr="00AD21FF" w:rsidDel="00310D87" w:rsidRDefault="00310366" w:rsidP="007234F4">
      <w:pPr>
        <w:pStyle w:val="Point1"/>
        <w:rPr>
          <w:noProof/>
        </w:rPr>
      </w:pPr>
      <w:r>
        <w:rPr>
          <w:noProof/>
        </w:rPr>
        <w:t>(c)</w:t>
      </w:r>
      <w:r>
        <w:rPr>
          <w:noProof/>
        </w:rPr>
        <w:tab/>
      </w:r>
      <w:r w:rsidRPr="00AD21FF" w:rsidDel="00310D87">
        <w:rPr>
          <w:noProof/>
        </w:rPr>
        <w:t xml:space="preserve">Hydronic heat pumps: </w:t>
      </w:r>
      <w:r w:rsidR="00EF3DAD">
        <w:rPr>
          <w:noProof/>
        </w:rPr>
        <w:t>From [OP: Please insert: 3 years after the entry into force of this Regulation]</w:t>
      </w:r>
      <w:r w:rsidR="004B3D08">
        <w:rPr>
          <w:noProof/>
        </w:rPr>
        <w:t xml:space="preserve"> t</w:t>
      </w:r>
      <w:r w:rsidRPr="00AD21FF" w:rsidDel="00310D87">
        <w:rPr>
          <w:noProof/>
        </w:rPr>
        <w:t xml:space="preserve">he hydronic heat pump shall </w:t>
      </w:r>
      <w:r w:rsidR="00991C22" w:rsidDel="00310D87">
        <w:rPr>
          <w:noProof/>
        </w:rPr>
        <w:t>originate</w:t>
      </w:r>
      <w:r w:rsidRPr="00AD21FF" w:rsidDel="00310D87">
        <w:rPr>
          <w:noProof/>
        </w:rPr>
        <w:t xml:space="preserve"> in the Union. </w:t>
      </w:r>
    </w:p>
    <w:p w14:paraId="7E4387A5" w14:textId="77777777" w:rsidR="00310366" w:rsidRPr="00AD21FF" w:rsidDel="00310D87" w:rsidRDefault="00310366" w:rsidP="007234F4">
      <w:pPr>
        <w:pStyle w:val="Point1"/>
        <w:rPr>
          <w:noProof/>
        </w:rPr>
      </w:pPr>
      <w:r>
        <w:rPr>
          <w:noProof/>
        </w:rPr>
        <w:t>(d)</w:t>
      </w:r>
      <w:r>
        <w:rPr>
          <w:noProof/>
        </w:rPr>
        <w:tab/>
      </w:r>
      <w:r w:rsidRPr="00AD21FF" w:rsidDel="00310D87">
        <w:rPr>
          <w:noProof/>
        </w:rPr>
        <w:t xml:space="preserve">Onshore and offshore wind technologies: </w:t>
      </w:r>
    </w:p>
    <w:p w14:paraId="7FB7B9E7" w14:textId="77777777" w:rsidR="00310366" w:rsidRPr="00AD21FF" w:rsidDel="00310D87" w:rsidRDefault="00310366" w:rsidP="00B105F9">
      <w:pPr>
        <w:pStyle w:val="Point2"/>
        <w:rPr>
          <w:noProof/>
        </w:rPr>
      </w:pPr>
      <w:r w:rsidRPr="00AD21FF" w:rsidDel="00310D87">
        <w:rPr>
          <w:noProof/>
        </w:rPr>
        <w:t>From [OP: Please insert the date = 1 year after the entry into force of this Regulation] until [OP: Please insert the date = 3 years after entry into force of this Regulation], one main specific component shall originate in the Union.</w:t>
      </w:r>
    </w:p>
    <w:p w14:paraId="4663C196" w14:textId="77777777" w:rsidR="00310366" w:rsidRPr="00AD21FF" w:rsidDel="00310D87" w:rsidRDefault="00310366" w:rsidP="00B105F9">
      <w:pPr>
        <w:pStyle w:val="Point2"/>
        <w:rPr>
          <w:noProof/>
        </w:rPr>
      </w:pPr>
      <w:r w:rsidRPr="00AD21FF" w:rsidDel="00310D87">
        <w:rPr>
          <w:noProof/>
        </w:rPr>
        <w:t>From [OP: Please insert the date = 3 years after the entry into force of this Regulation], two main specific components shall originate in the Union.</w:t>
      </w:r>
    </w:p>
    <w:p w14:paraId="7C067C44" w14:textId="77777777" w:rsidR="00F31ACA" w:rsidRDefault="000C77FF" w:rsidP="007234F4">
      <w:pPr>
        <w:pStyle w:val="Point1"/>
        <w:rPr>
          <w:noProof/>
        </w:rPr>
      </w:pPr>
      <w:r>
        <w:rPr>
          <w:noProof/>
        </w:rPr>
        <w:t>(e)</w:t>
      </w:r>
      <w:r>
        <w:rPr>
          <w:noProof/>
        </w:rPr>
        <w:tab/>
        <w:t xml:space="preserve">Nuclear fission technologies: </w:t>
      </w:r>
    </w:p>
    <w:p w14:paraId="1FDA48AC" w14:textId="77777777" w:rsidR="000C77FF" w:rsidRDefault="000C77FF" w:rsidP="00B105F9">
      <w:pPr>
        <w:pStyle w:val="Point2"/>
        <w:rPr>
          <w:noProof/>
        </w:rPr>
      </w:pPr>
      <w:r>
        <w:rPr>
          <w:noProof/>
        </w:rPr>
        <w:t xml:space="preserve">For public procurement procedures published after [OP: Please insert the date = 4 years after entry into force of this Regulation] where works contracts or work concessions include the construction on a new-build nuclear power plant, including small modular nuclear reactors (SMR), at least </w:t>
      </w:r>
      <w:r w:rsidR="00C65FEF">
        <w:rPr>
          <w:noProof/>
        </w:rPr>
        <w:t xml:space="preserve">two </w:t>
      </w:r>
      <w:r>
        <w:rPr>
          <w:noProof/>
        </w:rPr>
        <w:t xml:space="preserve">main specific components shall originate in the Union. </w:t>
      </w:r>
    </w:p>
    <w:p w14:paraId="1422ADA7" w14:textId="77777777" w:rsidR="007276D8" w:rsidRDefault="007276D8" w:rsidP="00B105F9">
      <w:pPr>
        <w:pStyle w:val="Point2"/>
        <w:rPr>
          <w:noProof/>
        </w:rPr>
      </w:pPr>
      <w:r>
        <w:rPr>
          <w:noProof/>
        </w:rPr>
        <w:t xml:space="preserve">For public procurement procedures published after [OP: Please insert the date = </w:t>
      </w:r>
      <w:r w:rsidR="00134D60">
        <w:rPr>
          <w:noProof/>
        </w:rPr>
        <w:t>6</w:t>
      </w:r>
      <w:r>
        <w:rPr>
          <w:noProof/>
        </w:rPr>
        <w:t xml:space="preserve"> years after entry into force of this Regulation] where works contracts or work concessions include the construction on a new-build nuclear power plant, including small modular nuclear reactors (SMR), at least </w:t>
      </w:r>
      <w:r w:rsidR="00134D60">
        <w:rPr>
          <w:noProof/>
        </w:rPr>
        <w:t>three</w:t>
      </w:r>
      <w:r>
        <w:rPr>
          <w:noProof/>
        </w:rPr>
        <w:t xml:space="preserve"> main specific components shall originate in the Union. </w:t>
      </w:r>
    </w:p>
    <w:p w14:paraId="116C97DE" w14:textId="77777777" w:rsidR="007435D1" w:rsidRPr="00AD21FF" w:rsidDel="00310D87" w:rsidRDefault="00F31ACA" w:rsidP="00B105F9">
      <w:pPr>
        <w:pStyle w:val="Point2"/>
        <w:rPr>
          <w:noProof/>
        </w:rPr>
      </w:pPr>
      <w:r>
        <w:rPr>
          <w:noProof/>
        </w:rPr>
        <w:t>These requirements shall not apply to research, development and innovation projects including first industrial deployment of nuclear power plants.</w:t>
      </w:r>
    </w:p>
    <w:p w14:paraId="0E0ADBF8" w14:textId="77777777" w:rsidR="00310366" w:rsidRPr="00AD21FF" w:rsidRDefault="00310366" w:rsidP="009956FE">
      <w:pPr>
        <w:pStyle w:val="Text0"/>
        <w:rPr>
          <w:b/>
          <w:bCs/>
          <w:noProof/>
        </w:rPr>
      </w:pPr>
      <w:r w:rsidRPr="00AD21FF">
        <w:rPr>
          <w:b/>
          <w:bCs/>
          <w:noProof/>
        </w:rPr>
        <w:t>Part II – Auctions</w:t>
      </w:r>
    </w:p>
    <w:p w14:paraId="51A57509" w14:textId="77777777" w:rsidR="00310366" w:rsidRPr="00AD21FF" w:rsidRDefault="00310366" w:rsidP="009956FE">
      <w:pPr>
        <w:pStyle w:val="Text0"/>
        <w:rPr>
          <w:noProof/>
        </w:rPr>
      </w:pPr>
      <w:r w:rsidRPr="00AD21FF">
        <w:rPr>
          <w:noProof/>
        </w:rPr>
        <w:t>In accordance with Article 26, when auctions have the following net-zero technologies as part of their subject-matter, Member States shall include the pre-qualification or award criteria laid down below:</w:t>
      </w:r>
    </w:p>
    <w:p w14:paraId="5387C019" w14:textId="77777777" w:rsidR="00310366" w:rsidRPr="00AD21FF" w:rsidRDefault="00310366" w:rsidP="007234F4">
      <w:pPr>
        <w:pStyle w:val="Point1"/>
        <w:rPr>
          <w:noProof/>
        </w:rPr>
      </w:pPr>
      <w:r>
        <w:rPr>
          <w:noProof/>
        </w:rPr>
        <w:t>(a)</w:t>
      </w:r>
      <w:r>
        <w:rPr>
          <w:noProof/>
        </w:rPr>
        <w:tab/>
      </w:r>
      <w:r w:rsidRPr="00AD21FF">
        <w:rPr>
          <w:noProof/>
        </w:rPr>
        <w:t xml:space="preserve">Battery energy storage systems: </w:t>
      </w:r>
    </w:p>
    <w:p w14:paraId="19E15327" w14:textId="77777777" w:rsidR="00310366" w:rsidRPr="00AD21FF" w:rsidRDefault="00310366" w:rsidP="00B105F9">
      <w:pPr>
        <w:pStyle w:val="Point2"/>
        <w:rPr>
          <w:noProof/>
        </w:rPr>
      </w:pPr>
      <w:r w:rsidRPr="00AD21FF">
        <w:rPr>
          <w:noProof/>
        </w:rPr>
        <w:t xml:space="preserve">For auctions published from [OP: Please insert the date = 1 year after entry into force of this Regulation] until [OP: Please insert the date = 3 years after entry into force of this Regulation], the battery energy storage system shall </w:t>
      </w:r>
      <w:r w:rsidR="00946ACA">
        <w:rPr>
          <w:noProof/>
        </w:rPr>
        <w:t>originate</w:t>
      </w:r>
      <w:r w:rsidRPr="00AD21FF">
        <w:rPr>
          <w:noProof/>
        </w:rPr>
        <w:t xml:space="preserve"> in the Union and</w:t>
      </w:r>
      <w:r w:rsidR="00D03818">
        <w:rPr>
          <w:noProof/>
        </w:rPr>
        <w:t>, for projects including battery energy storage exceeding 1 Megawatt-hour,</w:t>
      </w:r>
      <w:r w:rsidRPr="00AD21FF">
        <w:rPr>
          <w:noProof/>
        </w:rPr>
        <w:t xml:space="preserve"> contain a battery management system that </w:t>
      </w:r>
      <w:r w:rsidR="00972C90" w:rsidRPr="00AD21FF">
        <w:rPr>
          <w:noProof/>
        </w:rPr>
        <w:t>originate</w:t>
      </w:r>
      <w:r w:rsidR="00972C90">
        <w:rPr>
          <w:noProof/>
        </w:rPr>
        <w:t>s</w:t>
      </w:r>
      <w:r w:rsidRPr="00AD21FF">
        <w:rPr>
          <w:noProof/>
        </w:rPr>
        <w:t xml:space="preserve"> in the Union.</w:t>
      </w:r>
    </w:p>
    <w:p w14:paraId="743FD15D" w14:textId="77777777" w:rsidR="00310366" w:rsidRPr="00AD21FF" w:rsidRDefault="00310366" w:rsidP="00B105F9">
      <w:pPr>
        <w:pStyle w:val="Point2"/>
        <w:rPr>
          <w:noProof/>
        </w:rPr>
      </w:pPr>
      <w:r w:rsidRPr="00AD21FF">
        <w:rPr>
          <w:noProof/>
        </w:rPr>
        <w:t xml:space="preserve">For auctions published after [OP: Please insert the date = 3 years after entry into force of this Regulation], the battery energy storage system shall </w:t>
      </w:r>
      <w:r w:rsidR="00946ACA">
        <w:rPr>
          <w:noProof/>
        </w:rPr>
        <w:t>originate</w:t>
      </w:r>
      <w:r w:rsidRPr="00AD21FF">
        <w:rPr>
          <w:noProof/>
        </w:rPr>
        <w:t xml:space="preserve"> in the Union and contain battery cells, </w:t>
      </w:r>
      <w:r w:rsidR="00F71975">
        <w:rPr>
          <w:noProof/>
        </w:rPr>
        <w:t>a</w:t>
      </w:r>
      <w:r w:rsidRPr="00AD21FF">
        <w:rPr>
          <w:noProof/>
        </w:rPr>
        <w:t xml:space="preserve"> battery management system as well as </w:t>
      </w:r>
      <w:r w:rsidR="00150801">
        <w:rPr>
          <w:noProof/>
        </w:rPr>
        <w:t>one</w:t>
      </w:r>
      <w:r w:rsidR="00150801" w:rsidRPr="00AD21FF">
        <w:rPr>
          <w:noProof/>
        </w:rPr>
        <w:t xml:space="preserve"> </w:t>
      </w:r>
      <w:r w:rsidRPr="00AD21FF">
        <w:rPr>
          <w:noProof/>
        </w:rPr>
        <w:t>additional main specific components that originate in the Union.</w:t>
      </w:r>
    </w:p>
    <w:p w14:paraId="4F4FC097" w14:textId="77777777" w:rsidR="00310366" w:rsidRPr="00AD21FF" w:rsidDel="00321B31" w:rsidRDefault="00310366" w:rsidP="000D437D">
      <w:pPr>
        <w:pStyle w:val="Point1"/>
        <w:rPr>
          <w:noProof/>
        </w:rPr>
      </w:pPr>
      <w:r>
        <w:rPr>
          <w:noProof/>
        </w:rPr>
        <w:t>(b)</w:t>
      </w:r>
      <w:r>
        <w:rPr>
          <w:noProof/>
        </w:rPr>
        <w:tab/>
      </w:r>
      <w:r w:rsidRPr="00AD21FF">
        <w:rPr>
          <w:noProof/>
        </w:rPr>
        <w:t>Solar PV technologies:</w:t>
      </w:r>
      <w:r w:rsidR="000D437D">
        <w:rPr>
          <w:noProof/>
        </w:rPr>
        <w:t xml:space="preserve"> </w:t>
      </w:r>
      <w:r w:rsidRPr="00AD21FF" w:rsidDel="00321B31">
        <w:rPr>
          <w:noProof/>
        </w:rPr>
        <w:t xml:space="preserve">For auctions published after [OP: Please insert the date = 3 years after entry into force of this Regulation], PV </w:t>
      </w:r>
      <w:r w:rsidRPr="00AD21FF">
        <w:rPr>
          <w:noProof/>
        </w:rPr>
        <w:t xml:space="preserve">inverter </w:t>
      </w:r>
      <w:r w:rsidR="0070072A">
        <w:rPr>
          <w:noProof/>
        </w:rPr>
        <w:t xml:space="preserve">and the PV cells or equivalent </w:t>
      </w:r>
      <w:r w:rsidRPr="00AD21FF">
        <w:rPr>
          <w:noProof/>
        </w:rPr>
        <w:t xml:space="preserve">shall </w:t>
      </w:r>
      <w:r w:rsidRPr="00AD21FF" w:rsidDel="00321B31">
        <w:rPr>
          <w:noProof/>
        </w:rPr>
        <w:t xml:space="preserve">originate in the Union. </w:t>
      </w:r>
    </w:p>
    <w:p w14:paraId="419C3899" w14:textId="77777777" w:rsidR="002E5B02" w:rsidRDefault="00310366" w:rsidP="007234F4">
      <w:pPr>
        <w:pStyle w:val="Point1"/>
        <w:rPr>
          <w:noProof/>
        </w:rPr>
      </w:pPr>
      <w:r>
        <w:rPr>
          <w:noProof/>
        </w:rPr>
        <w:t>(c)</w:t>
      </w:r>
      <w:r>
        <w:rPr>
          <w:noProof/>
        </w:rPr>
        <w:tab/>
      </w:r>
      <w:r w:rsidRPr="00AD21FF" w:rsidDel="00321B31">
        <w:rPr>
          <w:noProof/>
        </w:rPr>
        <w:t xml:space="preserve">Hydrogen: </w:t>
      </w:r>
    </w:p>
    <w:p w14:paraId="213413F6" w14:textId="77777777" w:rsidR="00310366" w:rsidRPr="00AD21FF" w:rsidDel="00321B31" w:rsidRDefault="00310366" w:rsidP="00B105F9">
      <w:pPr>
        <w:pStyle w:val="Point2"/>
        <w:rPr>
          <w:noProof/>
        </w:rPr>
      </w:pPr>
      <w:r w:rsidRPr="00AD21FF" w:rsidDel="00321B31">
        <w:rPr>
          <w:noProof/>
        </w:rPr>
        <w:t xml:space="preserve">For auctions published after [OP: Please insert the date = 1 year after the entry into force of this Regulation], the electrolysers used to produce the hydrogen shall </w:t>
      </w:r>
      <w:r w:rsidR="000177AD" w:rsidDel="00321B31">
        <w:rPr>
          <w:noProof/>
        </w:rPr>
        <w:t>originate</w:t>
      </w:r>
      <w:r w:rsidRPr="00AD21FF" w:rsidDel="00321B31">
        <w:rPr>
          <w:noProof/>
        </w:rPr>
        <w:t xml:space="preserve"> in the Union, and the stacks as well as </w:t>
      </w:r>
      <w:r w:rsidR="005718B9">
        <w:rPr>
          <w:noProof/>
        </w:rPr>
        <w:t>one</w:t>
      </w:r>
      <w:r w:rsidR="005718B9" w:rsidRPr="00AD21FF">
        <w:rPr>
          <w:noProof/>
        </w:rPr>
        <w:t xml:space="preserve"> </w:t>
      </w:r>
      <w:r w:rsidRPr="00AD21FF" w:rsidDel="00321B31">
        <w:rPr>
          <w:noProof/>
        </w:rPr>
        <w:t>additional main specific component shall originate in the Union</w:t>
      </w:r>
      <w:r w:rsidRPr="00AD21FF">
        <w:rPr>
          <w:noProof/>
        </w:rPr>
        <w:t>.</w:t>
      </w:r>
    </w:p>
    <w:p w14:paraId="65EE77B1" w14:textId="77777777" w:rsidR="00B209E4" w:rsidRPr="00AD21FF" w:rsidRDefault="00B209E4" w:rsidP="00B105F9">
      <w:pPr>
        <w:pStyle w:val="Point2"/>
        <w:rPr>
          <w:noProof/>
        </w:rPr>
      </w:pPr>
      <w:r w:rsidRPr="00AD21FF">
        <w:rPr>
          <w:noProof/>
        </w:rPr>
        <w:t xml:space="preserve">For auctions published after [OP: Please insert the date = </w:t>
      </w:r>
      <w:r w:rsidR="005718B9">
        <w:rPr>
          <w:noProof/>
        </w:rPr>
        <w:t>3</w:t>
      </w:r>
      <w:r w:rsidRPr="00AD21FF">
        <w:rPr>
          <w:noProof/>
        </w:rPr>
        <w:t xml:space="preserve"> year</w:t>
      </w:r>
      <w:r w:rsidR="005718B9">
        <w:rPr>
          <w:noProof/>
        </w:rPr>
        <w:t>s</w:t>
      </w:r>
      <w:r w:rsidRPr="00AD21FF">
        <w:rPr>
          <w:noProof/>
        </w:rPr>
        <w:t xml:space="preserve"> after the entry into force of this Regulation], the electrolysers used to produce the hydrogen shall </w:t>
      </w:r>
      <w:r>
        <w:rPr>
          <w:noProof/>
        </w:rPr>
        <w:t>originate</w:t>
      </w:r>
      <w:r w:rsidRPr="00AD21FF">
        <w:rPr>
          <w:noProof/>
        </w:rPr>
        <w:t xml:space="preserve"> </w:t>
      </w:r>
      <w:r w:rsidR="0091233C">
        <w:rPr>
          <w:noProof/>
        </w:rPr>
        <w:t>i</w:t>
      </w:r>
      <w:r w:rsidRPr="00AD21FF">
        <w:rPr>
          <w:noProof/>
        </w:rPr>
        <w:t>n the Union, and the stacks as well as two additional main specific components shall originate in the Union</w:t>
      </w:r>
      <w:r w:rsidR="00876ECC">
        <w:rPr>
          <w:noProof/>
        </w:rPr>
        <w:t>.</w:t>
      </w:r>
    </w:p>
    <w:p w14:paraId="0872AB67" w14:textId="77777777" w:rsidR="00310366" w:rsidRPr="00AD21FF" w:rsidDel="00321B31" w:rsidRDefault="00310366" w:rsidP="007234F4">
      <w:pPr>
        <w:pStyle w:val="Point1"/>
        <w:rPr>
          <w:noProof/>
        </w:rPr>
      </w:pPr>
      <w:r>
        <w:rPr>
          <w:noProof/>
        </w:rPr>
        <w:t>(d)</w:t>
      </w:r>
      <w:r>
        <w:rPr>
          <w:noProof/>
        </w:rPr>
        <w:tab/>
      </w:r>
      <w:r w:rsidRPr="00AD21FF" w:rsidDel="00321B31">
        <w:rPr>
          <w:noProof/>
        </w:rPr>
        <w:t xml:space="preserve">Onshore and offshore wind technologies: </w:t>
      </w:r>
    </w:p>
    <w:p w14:paraId="322649B0" w14:textId="77777777" w:rsidR="00310366" w:rsidRPr="00AD21FF" w:rsidDel="00321B31" w:rsidRDefault="00310366" w:rsidP="00B105F9">
      <w:pPr>
        <w:pStyle w:val="Point2"/>
        <w:rPr>
          <w:noProof/>
        </w:rPr>
      </w:pPr>
      <w:r w:rsidRPr="00AD21FF" w:rsidDel="00321B31">
        <w:rPr>
          <w:noProof/>
        </w:rPr>
        <w:t>For auctions published from [OP: Please insert the date = 1 year after entry into force of this Regulation] until [OP: Please insert the date = 3 years after entry into force of this Regulation], one main specific component of the wind turbine shall originate in the Union.</w:t>
      </w:r>
    </w:p>
    <w:p w14:paraId="01E5B26B" w14:textId="77777777" w:rsidR="00967ED3" w:rsidRDefault="00310366" w:rsidP="00B105F9">
      <w:pPr>
        <w:pStyle w:val="Point2"/>
        <w:rPr>
          <w:noProof/>
        </w:rPr>
      </w:pPr>
      <w:r w:rsidRPr="00AD21FF" w:rsidDel="00321B31">
        <w:rPr>
          <w:noProof/>
        </w:rPr>
        <w:t>For auctions published after [OP: Please insert the date = 3 years after entry into force of this Regulation], two main specific components of the wind turbine shall originate in the Union.</w:t>
      </w:r>
    </w:p>
    <w:p w14:paraId="63FA5F4D" w14:textId="77777777" w:rsidR="00310366" w:rsidRPr="00AD21FF" w:rsidRDefault="00310366" w:rsidP="009956FE">
      <w:pPr>
        <w:pStyle w:val="Text0"/>
        <w:rPr>
          <w:b/>
          <w:bCs/>
          <w:noProof/>
        </w:rPr>
      </w:pPr>
      <w:r w:rsidRPr="00AD21FF">
        <w:rPr>
          <w:b/>
          <w:bCs/>
          <w:noProof/>
        </w:rPr>
        <w:t xml:space="preserve">Part III – </w:t>
      </w:r>
      <w:r w:rsidR="000924AE">
        <w:rPr>
          <w:b/>
          <w:bCs/>
          <w:noProof/>
        </w:rPr>
        <w:t>Other forms of public intervention</w:t>
      </w:r>
    </w:p>
    <w:p w14:paraId="1727022A" w14:textId="77777777" w:rsidR="00310366" w:rsidRPr="00AD21FF" w:rsidRDefault="00310366" w:rsidP="009956FE">
      <w:pPr>
        <w:pStyle w:val="Text0"/>
        <w:rPr>
          <w:noProof/>
        </w:rPr>
      </w:pPr>
      <w:r w:rsidRPr="00AD21FF">
        <w:rPr>
          <w:noProof/>
        </w:rPr>
        <w:t>In accordance with Article 28b, when deciding to set up new schemes or to update existing schemes benefitting households or companies that support the demand for net-zero technology final products listed in this paragraph, Member States, regional or local authorities, bodies governed by public law or associations formed by one or more such authorities or one or more such bodies governed by public law, shall design the schemes in such a way as to ensure that beneficiaries shall be eligible to the scheme or to additional financial compensation only where the requirements laid down below are fulfilled:</w:t>
      </w:r>
    </w:p>
    <w:p w14:paraId="4E8AD308" w14:textId="77777777" w:rsidR="00310366" w:rsidRPr="00AD21FF" w:rsidRDefault="00310366" w:rsidP="007234F4">
      <w:pPr>
        <w:pStyle w:val="Point1"/>
        <w:rPr>
          <w:noProof/>
        </w:rPr>
      </w:pPr>
      <w:r>
        <w:rPr>
          <w:noProof/>
        </w:rPr>
        <w:t>(a)</w:t>
      </w:r>
      <w:r>
        <w:rPr>
          <w:noProof/>
        </w:rPr>
        <w:tab/>
      </w:r>
      <w:r w:rsidRPr="00AD21FF">
        <w:rPr>
          <w:noProof/>
        </w:rPr>
        <w:t xml:space="preserve">Battery energy storage systems: </w:t>
      </w:r>
    </w:p>
    <w:p w14:paraId="3ECEC893" w14:textId="77777777" w:rsidR="00310366" w:rsidRPr="00AD21FF" w:rsidRDefault="00310366" w:rsidP="00B105F9">
      <w:pPr>
        <w:pStyle w:val="Point2"/>
        <w:rPr>
          <w:noProof/>
        </w:rPr>
      </w:pPr>
      <w:r w:rsidRPr="00AD21FF">
        <w:rPr>
          <w:noProof/>
        </w:rPr>
        <w:t xml:space="preserve">For schemes set up or updated between [OP: Please insert the date = 1 year after entry into force of this Regulation] and [OP: Please insert the date = 3 years after entry into force of this Regulation], the battery energy storage systems shall </w:t>
      </w:r>
      <w:r w:rsidR="00946ACA">
        <w:rPr>
          <w:noProof/>
        </w:rPr>
        <w:t>originate</w:t>
      </w:r>
      <w:r w:rsidRPr="00AD21FF">
        <w:rPr>
          <w:noProof/>
        </w:rPr>
        <w:t xml:space="preserve"> in the Union and</w:t>
      </w:r>
      <w:r w:rsidR="004B6527">
        <w:rPr>
          <w:noProof/>
        </w:rPr>
        <w:t xml:space="preserve">, </w:t>
      </w:r>
      <w:r w:rsidR="008C3C41">
        <w:rPr>
          <w:noProof/>
        </w:rPr>
        <w:t xml:space="preserve">for projects including battery energy storage exceeding 1 </w:t>
      </w:r>
      <w:r w:rsidR="00C23DA1">
        <w:rPr>
          <w:noProof/>
        </w:rPr>
        <w:t>Megawatt</w:t>
      </w:r>
      <w:r w:rsidR="00245CEE">
        <w:rPr>
          <w:noProof/>
        </w:rPr>
        <w:t>-</w:t>
      </w:r>
      <w:r w:rsidR="00164586">
        <w:rPr>
          <w:noProof/>
        </w:rPr>
        <w:t xml:space="preserve">hour, </w:t>
      </w:r>
      <w:r w:rsidRPr="00AD21FF">
        <w:rPr>
          <w:noProof/>
        </w:rPr>
        <w:t xml:space="preserve">contain a battery management system that </w:t>
      </w:r>
      <w:r w:rsidR="001604DF" w:rsidRPr="00AD21FF">
        <w:rPr>
          <w:noProof/>
        </w:rPr>
        <w:t>originate</w:t>
      </w:r>
      <w:r w:rsidR="001604DF">
        <w:rPr>
          <w:noProof/>
        </w:rPr>
        <w:t>s</w:t>
      </w:r>
      <w:r w:rsidRPr="00AD21FF">
        <w:rPr>
          <w:noProof/>
        </w:rPr>
        <w:t xml:space="preserve"> in the Union.</w:t>
      </w:r>
    </w:p>
    <w:p w14:paraId="1DF1941C" w14:textId="77777777" w:rsidR="00310366" w:rsidRPr="00AD21FF" w:rsidRDefault="00310366" w:rsidP="00B105F9">
      <w:pPr>
        <w:pStyle w:val="Point2"/>
        <w:rPr>
          <w:noProof/>
        </w:rPr>
      </w:pPr>
      <w:r w:rsidRPr="00AD21FF">
        <w:rPr>
          <w:noProof/>
        </w:rPr>
        <w:t xml:space="preserve">For schemes set up or updated from [OP: Please insert the date = 3 years after entry into force of this Regulation], the battery energy storage systems shall </w:t>
      </w:r>
      <w:r w:rsidR="00946ACA">
        <w:rPr>
          <w:noProof/>
        </w:rPr>
        <w:t>originate</w:t>
      </w:r>
      <w:r w:rsidRPr="00AD21FF">
        <w:rPr>
          <w:noProof/>
        </w:rPr>
        <w:t xml:space="preserve"> in the Union and contain battery cells, a battery management system as well as </w:t>
      </w:r>
      <w:r w:rsidR="00EB4143">
        <w:rPr>
          <w:noProof/>
        </w:rPr>
        <w:t>one</w:t>
      </w:r>
      <w:r w:rsidR="003A3068" w:rsidRPr="00AD21FF">
        <w:rPr>
          <w:noProof/>
        </w:rPr>
        <w:t xml:space="preserve"> </w:t>
      </w:r>
      <w:r w:rsidRPr="00AD21FF">
        <w:rPr>
          <w:noProof/>
        </w:rPr>
        <w:t>additional main specific components that originate in the Union.</w:t>
      </w:r>
    </w:p>
    <w:p w14:paraId="57CBAE71" w14:textId="77777777" w:rsidR="00310366" w:rsidRPr="00AD21FF" w:rsidDel="00AD771C" w:rsidRDefault="00310366" w:rsidP="000D437D">
      <w:pPr>
        <w:pStyle w:val="Point1"/>
        <w:rPr>
          <w:noProof/>
        </w:rPr>
      </w:pPr>
      <w:r>
        <w:rPr>
          <w:noProof/>
        </w:rPr>
        <w:t>(b)</w:t>
      </w:r>
      <w:r>
        <w:rPr>
          <w:noProof/>
        </w:rPr>
        <w:tab/>
      </w:r>
      <w:r w:rsidRPr="00AD21FF">
        <w:rPr>
          <w:noProof/>
        </w:rPr>
        <w:t xml:space="preserve">Solar PV technologies: </w:t>
      </w:r>
      <w:r w:rsidRPr="00AD21FF" w:rsidDel="00AD771C">
        <w:rPr>
          <w:noProof/>
        </w:rPr>
        <w:t xml:space="preserve">For schemes set up or updated from [OP: Please insert the date = 3 years after entry into force of this Regulation], the PV inverter </w:t>
      </w:r>
      <w:r w:rsidR="00490A8D">
        <w:rPr>
          <w:noProof/>
        </w:rPr>
        <w:t xml:space="preserve">and the PV cells or equivalent </w:t>
      </w:r>
      <w:r w:rsidRPr="00AD21FF">
        <w:rPr>
          <w:noProof/>
        </w:rPr>
        <w:t>shall originate in the Union.</w:t>
      </w:r>
    </w:p>
    <w:p w14:paraId="3BF00EB3" w14:textId="77777777" w:rsidR="00310366" w:rsidRPr="00AD21FF" w:rsidDel="00AD771C" w:rsidRDefault="00885667" w:rsidP="007234F4">
      <w:pPr>
        <w:pStyle w:val="Point1"/>
        <w:rPr>
          <w:noProof/>
        </w:rPr>
      </w:pPr>
      <w:r>
        <w:rPr>
          <w:noProof/>
        </w:rPr>
        <w:t>(c)</w:t>
      </w:r>
      <w:r>
        <w:rPr>
          <w:noProof/>
        </w:rPr>
        <w:tab/>
      </w:r>
      <w:r w:rsidRPr="00AD21FF" w:rsidDel="00AD771C">
        <w:rPr>
          <w:noProof/>
        </w:rPr>
        <w:t>Hydronic heat pumps: For schemes set up or updated from [OP: Please insert the date = 3 years after entry into force of this Regulation],</w:t>
      </w:r>
      <w:r w:rsidR="004113A2" w:rsidDel="004113A2">
        <w:rPr>
          <w:noProof/>
        </w:rPr>
        <w:t xml:space="preserve"> </w:t>
      </w:r>
      <w:r>
        <w:rPr>
          <w:noProof/>
        </w:rPr>
        <w:t>t</w:t>
      </w:r>
      <w:r w:rsidR="00310366" w:rsidRPr="00AD21FF" w:rsidDel="00AD771C">
        <w:rPr>
          <w:noProof/>
        </w:rPr>
        <w:t xml:space="preserve">he hydronic heat pump shall </w:t>
      </w:r>
      <w:r w:rsidR="00D26EC9" w:rsidDel="00AD771C">
        <w:rPr>
          <w:noProof/>
        </w:rPr>
        <w:t>originate</w:t>
      </w:r>
      <w:r w:rsidR="00310366" w:rsidRPr="00AD21FF" w:rsidDel="00AD771C">
        <w:rPr>
          <w:noProof/>
        </w:rPr>
        <w:t xml:space="preserve"> in the Union</w:t>
      </w:r>
      <w:r w:rsidR="00310366" w:rsidRPr="00AD21FF">
        <w:rPr>
          <w:noProof/>
        </w:rPr>
        <w:t>.</w:t>
      </w:r>
    </w:p>
    <w:p w14:paraId="0370C737" w14:textId="77777777" w:rsidR="00310366" w:rsidRPr="00AD21FF" w:rsidRDefault="00310366" w:rsidP="009956FE">
      <w:pPr>
        <w:pStyle w:val="Text0"/>
        <w:rPr>
          <w:b/>
          <w:bCs/>
          <w:noProof/>
        </w:rPr>
      </w:pPr>
      <w:r w:rsidRPr="00AD21FF">
        <w:rPr>
          <w:b/>
          <w:bCs/>
          <w:noProof/>
        </w:rPr>
        <w:t xml:space="preserve">IV – Member State support to </w:t>
      </w:r>
      <w:r w:rsidR="007216DC">
        <w:rPr>
          <w:b/>
          <w:bCs/>
          <w:noProof/>
        </w:rPr>
        <w:t xml:space="preserve">construction or </w:t>
      </w:r>
      <w:r w:rsidRPr="00AD21FF">
        <w:rPr>
          <w:b/>
          <w:bCs/>
          <w:noProof/>
        </w:rPr>
        <w:t>manufacturing</w:t>
      </w:r>
      <w:r w:rsidR="007216DC">
        <w:rPr>
          <w:b/>
          <w:bCs/>
          <w:noProof/>
        </w:rPr>
        <w:t xml:space="preserve"> of net-zero technologies</w:t>
      </w:r>
    </w:p>
    <w:p w14:paraId="189748D2" w14:textId="77777777" w:rsidR="00310366" w:rsidRPr="00AD21FF" w:rsidRDefault="00310366" w:rsidP="009956FE">
      <w:pPr>
        <w:pStyle w:val="Text0"/>
        <w:rPr>
          <w:noProof/>
        </w:rPr>
      </w:pPr>
      <w:r w:rsidRPr="00AD21FF">
        <w:rPr>
          <w:noProof/>
        </w:rPr>
        <w:t>In accordance with article 28</w:t>
      </w:r>
      <w:r w:rsidR="00E25459">
        <w:rPr>
          <w:noProof/>
        </w:rPr>
        <w:t>c</w:t>
      </w:r>
      <w:r w:rsidRPr="00AD21FF">
        <w:rPr>
          <w:noProof/>
        </w:rPr>
        <w:t xml:space="preserve">, when supporting the </w:t>
      </w:r>
      <w:r w:rsidR="005F74AF">
        <w:rPr>
          <w:noProof/>
        </w:rPr>
        <w:t xml:space="preserve">construction or </w:t>
      </w:r>
      <w:r w:rsidRPr="00AD21FF">
        <w:rPr>
          <w:noProof/>
        </w:rPr>
        <w:t xml:space="preserve">manufacturing of the following net-zero technology final products, Member States shall ensure that the Union origin requirements laid down below are fulfilled: </w:t>
      </w:r>
    </w:p>
    <w:p w14:paraId="7ED170D5" w14:textId="77777777" w:rsidR="00B37424" w:rsidRDefault="000F1CB3" w:rsidP="007234F4">
      <w:pPr>
        <w:pStyle w:val="Point1"/>
        <w:rPr>
          <w:noProof/>
        </w:rPr>
      </w:pPr>
      <w:r>
        <w:rPr>
          <w:noProof/>
        </w:rPr>
        <w:t>(a)</w:t>
      </w:r>
      <w:r>
        <w:rPr>
          <w:noProof/>
        </w:rPr>
        <w:tab/>
        <w:t xml:space="preserve">Hydrogen: </w:t>
      </w:r>
    </w:p>
    <w:p w14:paraId="43E2A5B2" w14:textId="77777777" w:rsidR="00310366" w:rsidRPr="00AD21FF" w:rsidRDefault="00310366" w:rsidP="00B105F9">
      <w:pPr>
        <w:pStyle w:val="Point2"/>
        <w:rPr>
          <w:noProof/>
        </w:rPr>
      </w:pPr>
      <w:r w:rsidRPr="00AD21FF">
        <w:rPr>
          <w:noProof/>
        </w:rPr>
        <w:t xml:space="preserve">From [OP: Please insert the date = 1 year after entry into force of this Regulation] when </w:t>
      </w:r>
      <w:r w:rsidR="00FF65D7">
        <w:rPr>
          <w:noProof/>
        </w:rPr>
        <w:t xml:space="preserve">setting up new support schemes </w:t>
      </w:r>
      <w:r w:rsidR="00886BCB">
        <w:rPr>
          <w:noProof/>
        </w:rPr>
        <w:t>for investments</w:t>
      </w:r>
      <w:r w:rsidR="0078628E">
        <w:rPr>
          <w:noProof/>
        </w:rPr>
        <w:t xml:space="preserve"> into </w:t>
      </w:r>
      <w:r w:rsidRPr="00AD21FF">
        <w:rPr>
          <w:noProof/>
        </w:rPr>
        <w:t xml:space="preserve">supporting the manufacturing </w:t>
      </w:r>
      <w:r w:rsidR="00886BCB">
        <w:rPr>
          <w:noProof/>
        </w:rPr>
        <w:t xml:space="preserve">capacity </w:t>
      </w:r>
      <w:r w:rsidRPr="00AD21FF">
        <w:rPr>
          <w:noProof/>
        </w:rPr>
        <w:t xml:space="preserve">of electrolysers, Member States shall ensure that the </w:t>
      </w:r>
      <w:r w:rsidR="008C4721">
        <w:rPr>
          <w:noProof/>
        </w:rPr>
        <w:t>electrolyser</w:t>
      </w:r>
      <w:r w:rsidR="008226A3">
        <w:rPr>
          <w:noProof/>
        </w:rPr>
        <w:t xml:space="preserve"> </w:t>
      </w:r>
      <w:r w:rsidR="00137042">
        <w:rPr>
          <w:noProof/>
        </w:rPr>
        <w:t>originates</w:t>
      </w:r>
      <w:r w:rsidR="0058766A">
        <w:rPr>
          <w:noProof/>
        </w:rPr>
        <w:t xml:space="preserve"> in the Union and</w:t>
      </w:r>
      <w:r w:rsidR="008226A3">
        <w:rPr>
          <w:noProof/>
        </w:rPr>
        <w:t xml:space="preserve"> the </w:t>
      </w:r>
      <w:r w:rsidRPr="00AD21FF">
        <w:rPr>
          <w:noProof/>
        </w:rPr>
        <w:t xml:space="preserve">stack and at least </w:t>
      </w:r>
      <w:r w:rsidR="00176538">
        <w:rPr>
          <w:noProof/>
        </w:rPr>
        <w:t>one</w:t>
      </w:r>
      <w:r w:rsidR="00176538" w:rsidRPr="00AD21FF">
        <w:rPr>
          <w:noProof/>
        </w:rPr>
        <w:t xml:space="preserve"> </w:t>
      </w:r>
      <w:r w:rsidRPr="00AD21FF">
        <w:rPr>
          <w:noProof/>
        </w:rPr>
        <w:t>additional main specific component of the electrolyser originate in the Union.</w:t>
      </w:r>
    </w:p>
    <w:p w14:paraId="68FB837D" w14:textId="77777777" w:rsidR="00A31111" w:rsidRDefault="00176538" w:rsidP="00B105F9">
      <w:pPr>
        <w:pStyle w:val="Point2"/>
        <w:rPr>
          <w:noProof/>
        </w:rPr>
      </w:pPr>
      <w:r w:rsidRPr="00AD21FF">
        <w:rPr>
          <w:noProof/>
        </w:rPr>
        <w:t xml:space="preserve">From [OP: Please insert the date = </w:t>
      </w:r>
      <w:r>
        <w:rPr>
          <w:noProof/>
        </w:rPr>
        <w:t>3</w:t>
      </w:r>
      <w:r w:rsidRPr="00AD21FF">
        <w:rPr>
          <w:noProof/>
        </w:rPr>
        <w:t xml:space="preserve"> year</w:t>
      </w:r>
      <w:r>
        <w:rPr>
          <w:noProof/>
        </w:rPr>
        <w:t>s</w:t>
      </w:r>
      <w:r w:rsidRPr="00AD21FF">
        <w:rPr>
          <w:noProof/>
        </w:rPr>
        <w:t xml:space="preserve"> after entry into force of this Regulation] when </w:t>
      </w:r>
      <w:r>
        <w:rPr>
          <w:noProof/>
        </w:rPr>
        <w:t xml:space="preserve">setting up new support schemes for investments into </w:t>
      </w:r>
      <w:r w:rsidRPr="00AD21FF">
        <w:rPr>
          <w:noProof/>
        </w:rPr>
        <w:t xml:space="preserve">supporting the manufacturing </w:t>
      </w:r>
      <w:r>
        <w:rPr>
          <w:noProof/>
        </w:rPr>
        <w:t xml:space="preserve">capacity </w:t>
      </w:r>
      <w:r w:rsidRPr="00AD21FF">
        <w:rPr>
          <w:noProof/>
        </w:rPr>
        <w:t xml:space="preserve">of electrolysers, Member States shall ensure that the </w:t>
      </w:r>
      <w:r>
        <w:rPr>
          <w:noProof/>
        </w:rPr>
        <w:t xml:space="preserve">electrolyser </w:t>
      </w:r>
      <w:r w:rsidR="00D60277">
        <w:rPr>
          <w:noProof/>
        </w:rPr>
        <w:t>originates</w:t>
      </w:r>
      <w:r w:rsidR="007D5B3C">
        <w:rPr>
          <w:noProof/>
        </w:rPr>
        <w:t xml:space="preserve"> in the Union and </w:t>
      </w:r>
      <w:r>
        <w:rPr>
          <w:noProof/>
        </w:rPr>
        <w:t xml:space="preserve">the </w:t>
      </w:r>
      <w:r w:rsidRPr="00AD21FF">
        <w:rPr>
          <w:noProof/>
        </w:rPr>
        <w:t>stack and at least two additional main specific components of the electrolyser originate in the Union.</w:t>
      </w:r>
    </w:p>
    <w:p w14:paraId="13F04CD9" w14:textId="77777777" w:rsidR="00263BC7" w:rsidRDefault="008877BF" w:rsidP="007234F4">
      <w:pPr>
        <w:pStyle w:val="Point1"/>
        <w:rPr>
          <w:noProof/>
        </w:rPr>
      </w:pPr>
      <w:r>
        <w:rPr>
          <w:noProof/>
        </w:rPr>
        <w:t>(b)</w:t>
      </w:r>
      <w:r>
        <w:rPr>
          <w:noProof/>
        </w:rPr>
        <w:tab/>
        <w:t xml:space="preserve">Nuclear: </w:t>
      </w:r>
    </w:p>
    <w:p w14:paraId="04C0CCAB" w14:textId="77777777" w:rsidR="00310366" w:rsidRPr="00AD21FF" w:rsidRDefault="000D4AB6" w:rsidP="00B105F9">
      <w:pPr>
        <w:pStyle w:val="Point2"/>
        <w:rPr>
          <w:noProof/>
        </w:rPr>
      </w:pPr>
      <w:r>
        <w:rPr>
          <w:noProof/>
        </w:rPr>
        <w:t xml:space="preserve">For projects for which the </w:t>
      </w:r>
      <w:r w:rsidR="00CF4B38">
        <w:rPr>
          <w:noProof/>
        </w:rPr>
        <w:t>application</w:t>
      </w:r>
      <w:r>
        <w:rPr>
          <w:noProof/>
        </w:rPr>
        <w:t xml:space="preserve"> for </w:t>
      </w:r>
      <w:r w:rsidR="006E1A77">
        <w:rPr>
          <w:noProof/>
        </w:rPr>
        <w:t xml:space="preserve">support </w:t>
      </w:r>
      <w:r w:rsidR="000722C0">
        <w:rPr>
          <w:noProof/>
        </w:rPr>
        <w:t>takes place after</w:t>
      </w:r>
      <w:r w:rsidR="00A078AF" w:rsidRPr="00AD21FF">
        <w:rPr>
          <w:noProof/>
        </w:rPr>
        <w:t xml:space="preserve"> [OP: Please insert the date = </w:t>
      </w:r>
      <w:r w:rsidR="00B57046">
        <w:rPr>
          <w:noProof/>
        </w:rPr>
        <w:t>4</w:t>
      </w:r>
      <w:r w:rsidR="00A078AF" w:rsidRPr="00AD21FF">
        <w:rPr>
          <w:noProof/>
        </w:rPr>
        <w:t xml:space="preserve"> </w:t>
      </w:r>
      <w:r w:rsidR="00310366" w:rsidRPr="00AD21FF">
        <w:rPr>
          <w:noProof/>
        </w:rPr>
        <w:t xml:space="preserve">years after entry into force of this Regulation] when supporting the construction of new-build nuclear power plants, including small modular nuclear reactors (SMR), Member States shall ensure that at least </w:t>
      </w:r>
      <w:r w:rsidR="00B41FE3">
        <w:rPr>
          <w:noProof/>
        </w:rPr>
        <w:t>two</w:t>
      </w:r>
      <w:r w:rsidR="00B41FE3" w:rsidRPr="00AD21FF">
        <w:rPr>
          <w:noProof/>
        </w:rPr>
        <w:t xml:space="preserve"> </w:t>
      </w:r>
      <w:r w:rsidR="00310366" w:rsidRPr="00AD21FF">
        <w:rPr>
          <w:noProof/>
        </w:rPr>
        <w:t>main specific components of the nuclear fission technology final products originate in the Union.</w:t>
      </w:r>
    </w:p>
    <w:p w14:paraId="7378798F" w14:textId="77777777" w:rsidR="00B41FE3" w:rsidRPr="00AD21FF" w:rsidRDefault="00B41FE3" w:rsidP="00B105F9">
      <w:pPr>
        <w:pStyle w:val="Point2"/>
        <w:rPr>
          <w:noProof/>
        </w:rPr>
      </w:pPr>
      <w:r>
        <w:rPr>
          <w:noProof/>
        </w:rPr>
        <w:t>For projects for which the application for support takes place after</w:t>
      </w:r>
      <w:r w:rsidRPr="00AD21FF">
        <w:rPr>
          <w:noProof/>
        </w:rPr>
        <w:t xml:space="preserve"> [OP: Please insert the date = </w:t>
      </w:r>
      <w:r>
        <w:rPr>
          <w:noProof/>
        </w:rPr>
        <w:t>6</w:t>
      </w:r>
      <w:r w:rsidRPr="00AD21FF">
        <w:rPr>
          <w:noProof/>
        </w:rPr>
        <w:t xml:space="preserve"> years after entry into force of this Regulation] when supporting the construction of new-build nuclear power plants, including small modular nuclear reactors (SMR), Member States shall ensure that at least </w:t>
      </w:r>
      <w:r>
        <w:rPr>
          <w:noProof/>
        </w:rPr>
        <w:t>three</w:t>
      </w:r>
      <w:r w:rsidRPr="00AD21FF">
        <w:rPr>
          <w:noProof/>
        </w:rPr>
        <w:t xml:space="preserve"> main specific components of the nuclear fission technology final products originate in the Union.</w:t>
      </w:r>
    </w:p>
    <w:p w14:paraId="6FDC610D" w14:textId="77777777" w:rsidR="00A300E7" w:rsidRPr="00AD21FF" w:rsidRDefault="001C6241" w:rsidP="00B105F9">
      <w:pPr>
        <w:pStyle w:val="Point2"/>
        <w:rPr>
          <w:noProof/>
        </w:rPr>
      </w:pPr>
      <w:r>
        <w:rPr>
          <w:noProof/>
        </w:rPr>
        <w:t xml:space="preserve">These requirements shall not apply to </w:t>
      </w:r>
      <w:r w:rsidR="00D539D8">
        <w:rPr>
          <w:noProof/>
        </w:rPr>
        <w:t>research, development and innovation pr</w:t>
      </w:r>
      <w:r w:rsidR="00010266">
        <w:rPr>
          <w:noProof/>
        </w:rPr>
        <w:t>ojects including</w:t>
      </w:r>
      <w:r w:rsidR="004570FC">
        <w:rPr>
          <w:noProof/>
        </w:rPr>
        <w:t xml:space="preserve"> first industrial </w:t>
      </w:r>
      <w:r w:rsidR="000E57BD">
        <w:rPr>
          <w:noProof/>
        </w:rPr>
        <w:t>deployment</w:t>
      </w:r>
      <w:r w:rsidR="00E6107B">
        <w:rPr>
          <w:noProof/>
        </w:rPr>
        <w:t xml:space="preserve"> of nuclear power plants.</w:t>
      </w:r>
    </w:p>
    <w:p w14:paraId="74842488" w14:textId="77777777" w:rsidR="00310366" w:rsidRPr="00AD21FF" w:rsidRDefault="00310366" w:rsidP="00310366">
      <w:pPr>
        <w:pStyle w:val="Titrearticle"/>
        <w:rPr>
          <w:rFonts w:ascii="Times" w:eastAsia="Calibri" w:hAnsi="Times" w:cs="Times"/>
          <w:i w:val="0"/>
          <w:noProof/>
        </w:rPr>
      </w:pPr>
      <w:r w:rsidRPr="00AD21FF">
        <w:rPr>
          <w:noProof/>
        </w:rPr>
        <w:t xml:space="preserve">Article </w:t>
      </w:r>
      <w:r w:rsidR="00967ED3">
        <w:rPr>
          <w:rFonts w:ascii="Times" w:eastAsia="Calibri" w:hAnsi="Times" w:cs="Times"/>
          <w:noProof/>
        </w:rPr>
        <w:t>3</w:t>
      </w:r>
      <w:r w:rsidR="00364185">
        <w:rPr>
          <w:rFonts w:ascii="Times" w:eastAsia="Calibri" w:hAnsi="Times" w:cs="Times"/>
          <w:noProof/>
        </w:rPr>
        <w:t>5</w:t>
      </w:r>
      <w:r w:rsidRPr="00AD21FF">
        <w:rPr>
          <w:rFonts w:ascii="Times" w:eastAsia="Calibri" w:hAnsi="Times" w:cs="Times"/>
          <w:noProof/>
        </w:rPr>
        <w:br/>
      </w:r>
      <w:r w:rsidRPr="00AD21FF">
        <w:rPr>
          <w:rFonts w:ascii="Times" w:hAnsi="Times" w:cs="Times"/>
          <w:b/>
          <w:i w:val="0"/>
          <w:iCs/>
          <w:noProof/>
        </w:rPr>
        <w:t xml:space="preserve">Amendments to Regulation (EU) 2024/3110 </w:t>
      </w:r>
    </w:p>
    <w:p w14:paraId="0C7A7C81" w14:textId="77777777" w:rsidR="00090CD6" w:rsidRPr="00CF266A" w:rsidRDefault="00090CD6" w:rsidP="00090CD6">
      <w:pPr>
        <w:pStyle w:val="Text0"/>
        <w:rPr>
          <w:noProof/>
        </w:rPr>
      </w:pPr>
      <w:r>
        <w:rPr>
          <w:noProof/>
        </w:rPr>
        <w:t xml:space="preserve">In Article 22(9) of </w:t>
      </w:r>
      <w:r w:rsidRPr="00CF266A">
        <w:rPr>
          <w:noProof/>
        </w:rPr>
        <w:t>Regulation (EU) 2024/3110</w:t>
      </w:r>
      <w:r>
        <w:rPr>
          <w:noProof/>
        </w:rPr>
        <w:t>, the first subparagraph is replaced by the following</w:t>
      </w:r>
      <w:r w:rsidRPr="00CF266A">
        <w:rPr>
          <w:noProof/>
        </w:rPr>
        <w:t xml:space="preserve">: </w:t>
      </w:r>
    </w:p>
    <w:p w14:paraId="52072785" w14:textId="77777777" w:rsidR="00090CD6" w:rsidRPr="00CF266A" w:rsidRDefault="00090CD6" w:rsidP="00090CD6">
      <w:pPr>
        <w:pStyle w:val="Text1"/>
        <w:rPr>
          <w:noProof/>
        </w:rPr>
      </w:pPr>
      <w:r w:rsidRPr="00CF266A">
        <w:rPr>
          <w:noProof/>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p>
    <w:p w14:paraId="7783FE2B" w14:textId="77777777" w:rsidR="00310366" w:rsidRPr="00AD21FF" w:rsidRDefault="00310366" w:rsidP="00310366">
      <w:pPr>
        <w:pStyle w:val="Titrearticle"/>
        <w:rPr>
          <w:noProof/>
        </w:rPr>
      </w:pPr>
      <w:r w:rsidRPr="00AD21FF">
        <w:rPr>
          <w:noProof/>
        </w:rPr>
        <w:t xml:space="preserve">Article </w:t>
      </w:r>
      <w:r w:rsidR="007368CC">
        <w:rPr>
          <w:noProof/>
        </w:rPr>
        <w:t>3</w:t>
      </w:r>
      <w:r w:rsidR="00364185">
        <w:rPr>
          <w:noProof/>
        </w:rPr>
        <w:t>6</w:t>
      </w:r>
      <w:r w:rsidRPr="00AD21FF">
        <w:rPr>
          <w:noProof/>
        </w:rPr>
        <w:br/>
      </w:r>
      <w:r w:rsidRPr="00AD21FF">
        <w:rPr>
          <w:b/>
          <w:bCs/>
          <w:i w:val="0"/>
          <w:iCs/>
          <w:noProof/>
        </w:rPr>
        <w:t>Entry into force</w:t>
      </w:r>
      <w:r w:rsidR="007C051D">
        <w:rPr>
          <w:b/>
          <w:bCs/>
          <w:i w:val="0"/>
          <w:iCs/>
          <w:noProof/>
        </w:rPr>
        <w:t xml:space="preserve"> </w:t>
      </w:r>
      <w:r w:rsidR="00822637">
        <w:rPr>
          <w:b/>
          <w:bCs/>
          <w:i w:val="0"/>
          <w:iCs/>
          <w:noProof/>
        </w:rPr>
        <w:t>and application</w:t>
      </w:r>
    </w:p>
    <w:p w14:paraId="1DBAA432" w14:textId="77777777" w:rsidR="00440ED7" w:rsidRPr="00AD21FF" w:rsidRDefault="00440ED7" w:rsidP="00310366">
      <w:pPr>
        <w:pStyle w:val="Text0"/>
        <w:rPr>
          <w:noProof/>
        </w:rPr>
      </w:pPr>
      <w:r w:rsidRPr="00AD21FF">
        <w:rPr>
          <w:noProof/>
        </w:rPr>
        <w:t xml:space="preserve">This Regulation shall enter into force on the  day following that of its publication in the </w:t>
      </w:r>
      <w:r w:rsidRPr="00AD21FF">
        <w:rPr>
          <w:i/>
          <w:noProof/>
        </w:rPr>
        <w:t>Official Journal of the European Union</w:t>
      </w:r>
      <w:r w:rsidRPr="00AD21FF">
        <w:rPr>
          <w:noProof/>
        </w:rPr>
        <w:t>.</w:t>
      </w:r>
    </w:p>
    <w:p w14:paraId="1C39CD49" w14:textId="77777777" w:rsidR="00B159A1" w:rsidRPr="00AD21FF" w:rsidRDefault="00B159A1" w:rsidP="00310366">
      <w:pPr>
        <w:pStyle w:val="Text0"/>
        <w:rPr>
          <w:noProof/>
        </w:rPr>
      </w:pPr>
      <w:r>
        <w:rPr>
          <w:noProof/>
        </w:rPr>
        <w:t xml:space="preserve">Articles </w:t>
      </w:r>
      <w:r w:rsidR="00BC72F8">
        <w:rPr>
          <w:noProof/>
        </w:rPr>
        <w:t>4</w:t>
      </w:r>
      <w:r>
        <w:rPr>
          <w:noProof/>
        </w:rPr>
        <w:t xml:space="preserve"> and </w:t>
      </w:r>
      <w:r w:rsidR="00BC72F8">
        <w:rPr>
          <w:noProof/>
        </w:rPr>
        <w:t>5</w:t>
      </w:r>
      <w:r>
        <w:rPr>
          <w:noProof/>
        </w:rPr>
        <w:t xml:space="preserve"> shall apply from [OP: Please insert the date = [one] year after the date of entry into force of this Regulation].</w:t>
      </w:r>
    </w:p>
    <w:p w14:paraId="7085290E" w14:textId="77777777" w:rsidR="00440ED7" w:rsidRPr="00AD21FF" w:rsidRDefault="00440ED7" w:rsidP="00683400">
      <w:pPr>
        <w:pStyle w:val="Applicationdirecte"/>
        <w:keepNext/>
        <w:keepLines/>
        <w:rPr>
          <w:noProof/>
        </w:rPr>
      </w:pPr>
      <w:r w:rsidRPr="00AD21FF">
        <w:rPr>
          <w:noProof/>
        </w:rPr>
        <w:t>This Regulation shall be binding in its entirety and directly applicable in the Member States in accordance with the Treaties.</w:t>
      </w:r>
    </w:p>
    <w:p w14:paraId="3F84FF7D" w14:textId="792D9C8F" w:rsidR="00440ED7" w:rsidRPr="00AD21FF" w:rsidRDefault="003007D8" w:rsidP="003007D8">
      <w:pPr>
        <w:pStyle w:val="Fait"/>
        <w:rPr>
          <w:noProof/>
        </w:rPr>
      </w:pPr>
      <w:r w:rsidRPr="003007D8">
        <w:t>Done at Brussels,</w:t>
      </w:r>
    </w:p>
    <w:p w14:paraId="6C4A2C8F" w14:textId="77777777" w:rsidR="00440ED7" w:rsidRPr="00AD21FF" w:rsidRDefault="00440ED7" w:rsidP="00683400">
      <w:pPr>
        <w:pStyle w:val="Institutionquisigne"/>
        <w:rPr>
          <w:noProof/>
        </w:rPr>
      </w:pPr>
      <w:r w:rsidRPr="00AD21FF">
        <w:rPr>
          <w:noProof/>
        </w:rPr>
        <w:t>For the European Parliament</w:t>
      </w:r>
      <w:r w:rsidRPr="00AD21FF">
        <w:rPr>
          <w:noProof/>
        </w:rPr>
        <w:tab/>
        <w:t>For the Council</w:t>
      </w:r>
    </w:p>
    <w:p w14:paraId="749C5518" w14:textId="77777777" w:rsidR="00440ED7" w:rsidRPr="00AD21FF" w:rsidRDefault="00440ED7" w:rsidP="00440ED7">
      <w:pPr>
        <w:pStyle w:val="Personnequisigne"/>
        <w:rPr>
          <w:noProof/>
        </w:rPr>
      </w:pPr>
      <w:r w:rsidRPr="00AD21FF">
        <w:rPr>
          <w:noProof/>
        </w:rPr>
        <w:t>The President</w:t>
      </w:r>
      <w:r w:rsidRPr="00AD21FF">
        <w:rPr>
          <w:noProof/>
        </w:rPr>
        <w:tab/>
        <w:t>The President</w:t>
      </w:r>
    </w:p>
    <w:p w14:paraId="2C797055" w14:textId="77777777" w:rsidR="00440ED7" w:rsidRPr="00AD21FF" w:rsidRDefault="00440ED7" w:rsidP="00440ED7">
      <w:pPr>
        <w:rPr>
          <w:noProof/>
        </w:rPr>
        <w:sectPr w:rsidR="00440ED7" w:rsidRPr="00AD21FF" w:rsidSect="00052996">
          <w:pgSz w:w="11907" w:h="16839"/>
          <w:pgMar w:top="1134" w:right="1417" w:bottom="1134" w:left="1417" w:header="709" w:footer="709" w:gutter="0"/>
          <w:cols w:space="708"/>
          <w:docGrid w:linePitch="360"/>
        </w:sectPr>
      </w:pPr>
    </w:p>
    <w:p w14:paraId="49D73509" w14:textId="77777777" w:rsidR="00440ED7" w:rsidRPr="00AD21FF" w:rsidRDefault="00440ED7">
      <w:pPr>
        <w:pStyle w:val="Fichefinanciretitre"/>
        <w:keepNext/>
        <w:rPr>
          <w:noProof/>
        </w:rPr>
      </w:pPr>
      <w:r w:rsidRPr="00AD21FF">
        <w:rPr>
          <w:noProof/>
        </w:rPr>
        <w:t>LEGISLATIVE FINANCIAL AND DIGITAL STATEMENT</w:t>
      </w:r>
    </w:p>
    <w:p w14:paraId="601A7109" w14:textId="77777777" w:rsidR="00440ED7" w:rsidRPr="00AD21FF" w:rsidRDefault="00440ED7">
      <w:pPr>
        <w:pStyle w:val="TOC1"/>
        <w:rPr>
          <w:rFonts w:asciiTheme="minorHAnsi" w:eastAsiaTheme="minorEastAsia" w:hAnsiTheme="minorHAnsi" w:cstheme="minorBidi"/>
          <w:noProof/>
          <w:kern w:val="2"/>
          <w:sz w:val="22"/>
          <w:lang w:eastAsia="en-GB"/>
          <w14:ligatures w14:val="standardContextual"/>
        </w:rPr>
      </w:pPr>
      <w:r w:rsidRPr="00AD21FF">
        <w:rPr>
          <w:noProof/>
        </w:rPr>
        <w:t>1.</w:t>
      </w:r>
      <w:r w:rsidRPr="00AD21FF">
        <w:rPr>
          <w:rFonts w:asciiTheme="minorHAnsi" w:eastAsiaTheme="minorEastAsia" w:hAnsiTheme="minorHAnsi" w:cstheme="minorBidi"/>
          <w:noProof/>
          <w:kern w:val="2"/>
          <w:sz w:val="22"/>
          <w:lang w:eastAsia="en-GB"/>
          <w14:ligatures w14:val="standardContextual"/>
        </w:rPr>
        <w:tab/>
      </w:r>
      <w:r w:rsidRPr="00AD21FF">
        <w:rPr>
          <w:noProof/>
        </w:rPr>
        <w:t>FRAMEWORK OF THE PROPOSAL/INITIATIVE</w:t>
      </w:r>
      <w:r w:rsidRPr="00AD21FF">
        <w:rPr>
          <w:noProof/>
          <w:webHidden/>
        </w:rPr>
        <w:tab/>
        <w:t>3</w:t>
      </w:r>
    </w:p>
    <w:p w14:paraId="716F4D25"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1.1.</w:t>
      </w:r>
      <w:r w:rsidRPr="00AD21FF">
        <w:rPr>
          <w:rFonts w:asciiTheme="minorHAnsi" w:eastAsiaTheme="minorEastAsia" w:hAnsiTheme="minorHAnsi" w:cstheme="minorBidi"/>
          <w:noProof/>
          <w:kern w:val="2"/>
          <w:sz w:val="22"/>
          <w:lang w:eastAsia="en-GB"/>
          <w14:ligatures w14:val="standardContextual"/>
        </w:rPr>
        <w:tab/>
      </w:r>
      <w:r w:rsidRPr="00AD21FF">
        <w:rPr>
          <w:noProof/>
        </w:rPr>
        <w:t>Title of the proposal/initiative</w:t>
      </w:r>
      <w:r w:rsidRPr="00AD21FF">
        <w:rPr>
          <w:noProof/>
          <w:webHidden/>
        </w:rPr>
        <w:tab/>
        <w:t>3</w:t>
      </w:r>
    </w:p>
    <w:p w14:paraId="55EF6D57"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1.2.</w:t>
      </w:r>
      <w:r w:rsidRPr="00AD21FF">
        <w:rPr>
          <w:rFonts w:asciiTheme="minorHAnsi" w:eastAsiaTheme="minorEastAsia" w:hAnsiTheme="minorHAnsi" w:cstheme="minorBidi"/>
          <w:noProof/>
          <w:kern w:val="2"/>
          <w:sz w:val="22"/>
          <w:lang w:eastAsia="en-GB"/>
          <w14:ligatures w14:val="standardContextual"/>
        </w:rPr>
        <w:tab/>
      </w:r>
      <w:r w:rsidRPr="00AD21FF">
        <w:rPr>
          <w:noProof/>
        </w:rPr>
        <w:t>Policy area(s) concerned</w:t>
      </w:r>
      <w:r w:rsidRPr="00AD21FF">
        <w:rPr>
          <w:noProof/>
          <w:webHidden/>
        </w:rPr>
        <w:tab/>
        <w:t>3</w:t>
      </w:r>
    </w:p>
    <w:p w14:paraId="5D4287D5"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1.3.</w:t>
      </w:r>
      <w:r w:rsidRPr="00AD21FF">
        <w:rPr>
          <w:rFonts w:asciiTheme="minorHAnsi" w:eastAsiaTheme="minorEastAsia" w:hAnsiTheme="minorHAnsi" w:cstheme="minorBidi"/>
          <w:noProof/>
          <w:kern w:val="2"/>
          <w:sz w:val="22"/>
          <w:lang w:eastAsia="en-GB"/>
          <w14:ligatures w14:val="standardContextual"/>
        </w:rPr>
        <w:tab/>
      </w:r>
      <w:r w:rsidRPr="00AD21FF">
        <w:rPr>
          <w:noProof/>
        </w:rPr>
        <w:t>Objective(s)</w:t>
      </w:r>
      <w:r w:rsidRPr="00AD21FF">
        <w:rPr>
          <w:noProof/>
          <w:webHidden/>
        </w:rPr>
        <w:tab/>
        <w:t>3</w:t>
      </w:r>
    </w:p>
    <w:p w14:paraId="5C61DF6D"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1.3.1.</w:t>
      </w:r>
      <w:r w:rsidRPr="00AD21FF">
        <w:rPr>
          <w:rFonts w:asciiTheme="minorHAnsi" w:eastAsiaTheme="minorEastAsia" w:hAnsiTheme="minorHAnsi" w:cstheme="minorBidi"/>
          <w:noProof/>
          <w:kern w:val="2"/>
          <w:sz w:val="22"/>
          <w:lang w:eastAsia="en-GB"/>
          <w14:ligatures w14:val="standardContextual"/>
        </w:rPr>
        <w:tab/>
      </w:r>
      <w:r w:rsidRPr="00AD21FF">
        <w:rPr>
          <w:noProof/>
        </w:rPr>
        <w:t>General objective(s)</w:t>
      </w:r>
      <w:r w:rsidRPr="00AD21FF">
        <w:rPr>
          <w:noProof/>
          <w:webHidden/>
        </w:rPr>
        <w:tab/>
        <w:t>3</w:t>
      </w:r>
    </w:p>
    <w:p w14:paraId="31C54BC3"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1.3.2.</w:t>
      </w:r>
      <w:r w:rsidRPr="00AD21FF">
        <w:rPr>
          <w:rFonts w:asciiTheme="minorHAnsi" w:eastAsiaTheme="minorEastAsia" w:hAnsiTheme="minorHAnsi" w:cstheme="minorBidi"/>
          <w:noProof/>
          <w:kern w:val="2"/>
          <w:sz w:val="22"/>
          <w:lang w:eastAsia="en-GB"/>
          <w14:ligatures w14:val="standardContextual"/>
        </w:rPr>
        <w:tab/>
      </w:r>
      <w:r w:rsidRPr="00AD21FF">
        <w:rPr>
          <w:noProof/>
        </w:rPr>
        <w:t>Specific objective(s)</w:t>
      </w:r>
      <w:r w:rsidRPr="00AD21FF">
        <w:rPr>
          <w:noProof/>
          <w:webHidden/>
        </w:rPr>
        <w:tab/>
        <w:t>3</w:t>
      </w:r>
    </w:p>
    <w:p w14:paraId="78F858A5"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1.3.3.</w:t>
      </w:r>
      <w:r w:rsidRPr="00AD21FF">
        <w:rPr>
          <w:rFonts w:asciiTheme="minorHAnsi" w:eastAsiaTheme="minorEastAsia" w:hAnsiTheme="minorHAnsi" w:cstheme="minorBidi"/>
          <w:noProof/>
          <w:kern w:val="2"/>
          <w:sz w:val="22"/>
          <w:lang w:eastAsia="en-GB"/>
          <w14:ligatures w14:val="standardContextual"/>
        </w:rPr>
        <w:tab/>
      </w:r>
      <w:r w:rsidRPr="00AD21FF">
        <w:rPr>
          <w:noProof/>
        </w:rPr>
        <w:t>Expected result(s) and impact</w:t>
      </w:r>
      <w:r w:rsidRPr="00AD21FF">
        <w:rPr>
          <w:noProof/>
          <w:webHidden/>
        </w:rPr>
        <w:tab/>
        <w:t>3</w:t>
      </w:r>
    </w:p>
    <w:p w14:paraId="6A6DA5DA"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1.3.4.</w:t>
      </w:r>
      <w:r w:rsidRPr="00AD21FF">
        <w:rPr>
          <w:rFonts w:asciiTheme="minorHAnsi" w:eastAsiaTheme="minorEastAsia" w:hAnsiTheme="minorHAnsi" w:cstheme="minorBidi"/>
          <w:noProof/>
          <w:kern w:val="2"/>
          <w:sz w:val="22"/>
          <w:lang w:eastAsia="en-GB"/>
          <w14:ligatures w14:val="standardContextual"/>
        </w:rPr>
        <w:tab/>
      </w:r>
      <w:r w:rsidRPr="00AD21FF">
        <w:rPr>
          <w:noProof/>
        </w:rPr>
        <w:t>Indicators of performance</w:t>
      </w:r>
      <w:r w:rsidRPr="00AD21FF">
        <w:rPr>
          <w:noProof/>
          <w:webHidden/>
        </w:rPr>
        <w:tab/>
        <w:t>3</w:t>
      </w:r>
    </w:p>
    <w:p w14:paraId="0B809C67"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1.4.</w:t>
      </w:r>
      <w:r w:rsidRPr="00AD21FF">
        <w:rPr>
          <w:rFonts w:asciiTheme="minorHAnsi" w:eastAsiaTheme="minorEastAsia" w:hAnsiTheme="minorHAnsi" w:cstheme="minorBidi"/>
          <w:noProof/>
          <w:kern w:val="2"/>
          <w:sz w:val="22"/>
          <w:lang w:eastAsia="en-GB"/>
          <w14:ligatures w14:val="standardContextual"/>
        </w:rPr>
        <w:tab/>
      </w:r>
      <w:r w:rsidRPr="00AD21FF">
        <w:rPr>
          <w:noProof/>
        </w:rPr>
        <w:t>The proposal/initiative relates to:</w:t>
      </w:r>
      <w:r w:rsidRPr="00AD21FF">
        <w:rPr>
          <w:noProof/>
          <w:webHidden/>
        </w:rPr>
        <w:tab/>
        <w:t>4</w:t>
      </w:r>
    </w:p>
    <w:p w14:paraId="5FFCC6BA"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1.5.</w:t>
      </w:r>
      <w:r w:rsidRPr="00AD21FF">
        <w:rPr>
          <w:rFonts w:asciiTheme="minorHAnsi" w:eastAsiaTheme="minorEastAsia" w:hAnsiTheme="minorHAnsi" w:cstheme="minorBidi"/>
          <w:noProof/>
          <w:kern w:val="2"/>
          <w:sz w:val="22"/>
          <w:lang w:eastAsia="en-GB"/>
          <w14:ligatures w14:val="standardContextual"/>
        </w:rPr>
        <w:tab/>
      </w:r>
      <w:r w:rsidRPr="00AD21FF">
        <w:rPr>
          <w:noProof/>
        </w:rPr>
        <w:t>Grounds for the proposal/initiative</w:t>
      </w:r>
      <w:r w:rsidRPr="00AD21FF">
        <w:rPr>
          <w:noProof/>
          <w:webHidden/>
        </w:rPr>
        <w:tab/>
        <w:t>4</w:t>
      </w:r>
    </w:p>
    <w:p w14:paraId="7F60A6F5"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1.5.1.</w:t>
      </w:r>
      <w:r w:rsidRPr="00AD21FF">
        <w:rPr>
          <w:rFonts w:asciiTheme="minorHAnsi" w:eastAsiaTheme="minorEastAsia" w:hAnsiTheme="minorHAnsi" w:cstheme="minorBidi"/>
          <w:noProof/>
          <w:kern w:val="2"/>
          <w:sz w:val="22"/>
          <w:lang w:eastAsia="en-GB"/>
          <w14:ligatures w14:val="standardContextual"/>
        </w:rPr>
        <w:tab/>
      </w:r>
      <w:r w:rsidRPr="00AD21FF">
        <w:rPr>
          <w:noProof/>
        </w:rPr>
        <w:t>Requirement(s) to be met in the short or long term including a detailed timeline for roll-out of the implementation of the initiative</w:t>
      </w:r>
      <w:r w:rsidRPr="00AD21FF">
        <w:rPr>
          <w:noProof/>
          <w:webHidden/>
        </w:rPr>
        <w:tab/>
        <w:t>4</w:t>
      </w:r>
    </w:p>
    <w:p w14:paraId="39F1F998"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1.5.2.</w:t>
      </w:r>
      <w:r w:rsidRPr="00AD21FF">
        <w:rPr>
          <w:rFonts w:asciiTheme="minorHAnsi" w:eastAsiaTheme="minorEastAsia" w:hAnsiTheme="minorHAnsi" w:cstheme="minorBidi"/>
          <w:noProof/>
          <w:kern w:val="2"/>
          <w:sz w:val="22"/>
          <w:lang w:eastAsia="en-GB"/>
          <w14:ligatures w14:val="standardContextual"/>
        </w:rPr>
        <w:tab/>
      </w:r>
      <w:r w:rsidRPr="00AD21FF">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Pr="00AD21FF">
        <w:rPr>
          <w:noProof/>
          <w:webHidden/>
        </w:rPr>
        <w:tab/>
        <w:t>4</w:t>
      </w:r>
    </w:p>
    <w:p w14:paraId="130107F9"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1.5.3.</w:t>
      </w:r>
      <w:r w:rsidRPr="00AD21FF">
        <w:rPr>
          <w:rFonts w:asciiTheme="minorHAnsi" w:eastAsiaTheme="minorEastAsia" w:hAnsiTheme="minorHAnsi" w:cstheme="minorBidi"/>
          <w:noProof/>
          <w:kern w:val="2"/>
          <w:sz w:val="22"/>
          <w:lang w:eastAsia="en-GB"/>
          <w14:ligatures w14:val="standardContextual"/>
        </w:rPr>
        <w:tab/>
      </w:r>
      <w:r w:rsidRPr="00AD21FF">
        <w:rPr>
          <w:noProof/>
        </w:rPr>
        <w:t>Lessons learned from similar experiences in the past</w:t>
      </w:r>
      <w:r w:rsidRPr="00AD21FF">
        <w:rPr>
          <w:noProof/>
          <w:webHidden/>
        </w:rPr>
        <w:tab/>
        <w:t>4</w:t>
      </w:r>
    </w:p>
    <w:p w14:paraId="299BA770"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1.5.4.</w:t>
      </w:r>
      <w:r w:rsidRPr="00AD21FF">
        <w:rPr>
          <w:rFonts w:asciiTheme="minorHAnsi" w:eastAsiaTheme="minorEastAsia" w:hAnsiTheme="minorHAnsi" w:cstheme="minorBidi"/>
          <w:noProof/>
          <w:kern w:val="2"/>
          <w:sz w:val="22"/>
          <w:lang w:eastAsia="en-GB"/>
          <w14:ligatures w14:val="standardContextual"/>
        </w:rPr>
        <w:tab/>
      </w:r>
      <w:r w:rsidRPr="00AD21FF">
        <w:rPr>
          <w:noProof/>
        </w:rPr>
        <w:t>Compatibility with the multiannual financial framework and possible synergies with other appropriate instruments</w:t>
      </w:r>
      <w:r w:rsidRPr="00AD21FF">
        <w:rPr>
          <w:noProof/>
          <w:webHidden/>
        </w:rPr>
        <w:tab/>
        <w:t>5</w:t>
      </w:r>
    </w:p>
    <w:p w14:paraId="53732E35"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1.5.5.</w:t>
      </w:r>
      <w:r w:rsidRPr="00AD21FF">
        <w:rPr>
          <w:rFonts w:asciiTheme="minorHAnsi" w:eastAsiaTheme="minorEastAsia" w:hAnsiTheme="minorHAnsi" w:cstheme="minorBidi"/>
          <w:noProof/>
          <w:kern w:val="2"/>
          <w:sz w:val="22"/>
          <w:lang w:eastAsia="en-GB"/>
          <w14:ligatures w14:val="standardContextual"/>
        </w:rPr>
        <w:tab/>
      </w:r>
      <w:r w:rsidRPr="00AD21FF">
        <w:rPr>
          <w:noProof/>
        </w:rPr>
        <w:t>Assessment of the different available financing options, including scope for redeployment</w:t>
      </w:r>
      <w:r w:rsidRPr="00AD21FF">
        <w:rPr>
          <w:noProof/>
          <w:webHidden/>
        </w:rPr>
        <w:tab/>
        <w:t>5</w:t>
      </w:r>
    </w:p>
    <w:p w14:paraId="04C07BC7"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1.6.</w:t>
      </w:r>
      <w:r w:rsidRPr="00AD21FF">
        <w:rPr>
          <w:rFonts w:asciiTheme="minorHAnsi" w:eastAsiaTheme="minorEastAsia" w:hAnsiTheme="minorHAnsi" w:cstheme="minorBidi"/>
          <w:noProof/>
          <w:kern w:val="2"/>
          <w:sz w:val="22"/>
          <w:lang w:eastAsia="en-GB"/>
          <w14:ligatures w14:val="standardContextual"/>
        </w:rPr>
        <w:tab/>
      </w:r>
      <w:r w:rsidRPr="00AD21FF">
        <w:rPr>
          <w:noProof/>
        </w:rPr>
        <w:t>Duration of the proposal/initiative and of its financial impact</w:t>
      </w:r>
      <w:r w:rsidRPr="00AD21FF">
        <w:rPr>
          <w:noProof/>
          <w:webHidden/>
        </w:rPr>
        <w:tab/>
        <w:t>6</w:t>
      </w:r>
    </w:p>
    <w:p w14:paraId="67593092"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1.7.</w:t>
      </w:r>
      <w:r w:rsidRPr="00AD21FF">
        <w:rPr>
          <w:rFonts w:asciiTheme="minorHAnsi" w:eastAsiaTheme="minorEastAsia" w:hAnsiTheme="minorHAnsi" w:cstheme="minorBidi"/>
          <w:noProof/>
          <w:kern w:val="2"/>
          <w:sz w:val="22"/>
          <w:lang w:eastAsia="en-GB"/>
          <w14:ligatures w14:val="standardContextual"/>
        </w:rPr>
        <w:tab/>
      </w:r>
      <w:r w:rsidRPr="00AD21FF">
        <w:rPr>
          <w:noProof/>
        </w:rPr>
        <w:t>Method(s) of budget implementation planned</w:t>
      </w:r>
      <w:r w:rsidRPr="00AD21FF">
        <w:rPr>
          <w:noProof/>
          <w:webHidden/>
        </w:rPr>
        <w:tab/>
        <w:t>6</w:t>
      </w:r>
    </w:p>
    <w:p w14:paraId="63A9427B" w14:textId="77777777" w:rsidR="00440ED7" w:rsidRPr="00AD21FF" w:rsidRDefault="00440ED7">
      <w:pPr>
        <w:pStyle w:val="TOC1"/>
        <w:rPr>
          <w:rFonts w:asciiTheme="minorHAnsi" w:eastAsiaTheme="minorEastAsia" w:hAnsiTheme="minorHAnsi" w:cstheme="minorBidi"/>
          <w:noProof/>
          <w:kern w:val="2"/>
          <w:sz w:val="22"/>
          <w:lang w:eastAsia="en-GB"/>
          <w14:ligatures w14:val="standardContextual"/>
        </w:rPr>
      </w:pPr>
      <w:r w:rsidRPr="00AD21FF">
        <w:rPr>
          <w:noProof/>
        </w:rPr>
        <w:t>2.</w:t>
      </w:r>
      <w:r w:rsidRPr="00AD21FF">
        <w:rPr>
          <w:rFonts w:asciiTheme="minorHAnsi" w:eastAsiaTheme="minorEastAsia" w:hAnsiTheme="minorHAnsi" w:cstheme="minorBidi"/>
          <w:noProof/>
          <w:kern w:val="2"/>
          <w:sz w:val="22"/>
          <w:lang w:eastAsia="en-GB"/>
          <w14:ligatures w14:val="standardContextual"/>
        </w:rPr>
        <w:tab/>
      </w:r>
      <w:r w:rsidRPr="00AD21FF">
        <w:rPr>
          <w:noProof/>
        </w:rPr>
        <w:t>MANAGEMENT MEASURES</w:t>
      </w:r>
      <w:r w:rsidRPr="00AD21FF">
        <w:rPr>
          <w:noProof/>
          <w:webHidden/>
        </w:rPr>
        <w:tab/>
        <w:t>8</w:t>
      </w:r>
    </w:p>
    <w:p w14:paraId="6F6842AB"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2.1.</w:t>
      </w:r>
      <w:r w:rsidRPr="00AD21FF">
        <w:rPr>
          <w:rFonts w:asciiTheme="minorHAnsi" w:eastAsiaTheme="minorEastAsia" w:hAnsiTheme="minorHAnsi" w:cstheme="minorBidi"/>
          <w:noProof/>
          <w:kern w:val="2"/>
          <w:sz w:val="22"/>
          <w:lang w:eastAsia="en-GB"/>
          <w14:ligatures w14:val="standardContextual"/>
        </w:rPr>
        <w:tab/>
      </w:r>
      <w:r w:rsidRPr="00AD21FF">
        <w:rPr>
          <w:noProof/>
        </w:rPr>
        <w:t>Monitoring and reporting rules</w:t>
      </w:r>
      <w:r w:rsidRPr="00AD21FF">
        <w:rPr>
          <w:noProof/>
          <w:webHidden/>
        </w:rPr>
        <w:tab/>
        <w:t>8</w:t>
      </w:r>
    </w:p>
    <w:p w14:paraId="0DD2A019"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2.2.</w:t>
      </w:r>
      <w:r w:rsidRPr="00AD21FF">
        <w:rPr>
          <w:rFonts w:asciiTheme="minorHAnsi" w:eastAsiaTheme="minorEastAsia" w:hAnsiTheme="minorHAnsi" w:cstheme="minorBidi"/>
          <w:noProof/>
          <w:kern w:val="2"/>
          <w:sz w:val="22"/>
          <w:lang w:eastAsia="en-GB"/>
          <w14:ligatures w14:val="standardContextual"/>
        </w:rPr>
        <w:tab/>
      </w:r>
      <w:r w:rsidRPr="00AD21FF">
        <w:rPr>
          <w:noProof/>
        </w:rPr>
        <w:t>Management and control system(s)</w:t>
      </w:r>
      <w:r w:rsidRPr="00AD21FF">
        <w:rPr>
          <w:noProof/>
          <w:webHidden/>
        </w:rPr>
        <w:tab/>
        <w:t>8</w:t>
      </w:r>
    </w:p>
    <w:p w14:paraId="645489DD"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2.2.1.</w:t>
      </w:r>
      <w:r w:rsidRPr="00AD21FF">
        <w:rPr>
          <w:rFonts w:asciiTheme="minorHAnsi" w:eastAsiaTheme="minorEastAsia" w:hAnsiTheme="minorHAnsi" w:cstheme="minorBidi"/>
          <w:noProof/>
          <w:kern w:val="2"/>
          <w:sz w:val="22"/>
          <w:lang w:eastAsia="en-GB"/>
          <w14:ligatures w14:val="standardContextual"/>
        </w:rPr>
        <w:tab/>
      </w:r>
      <w:r w:rsidRPr="00AD21FF">
        <w:rPr>
          <w:noProof/>
        </w:rPr>
        <w:t>Justification of the budget implementation method(s), the funding implementation mechanism(s), the payment modalities and the control strategy proposed</w:t>
      </w:r>
      <w:r w:rsidRPr="00AD21FF">
        <w:rPr>
          <w:noProof/>
          <w:webHidden/>
        </w:rPr>
        <w:tab/>
        <w:t>8</w:t>
      </w:r>
    </w:p>
    <w:p w14:paraId="1A39D8A0"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2.2.2.</w:t>
      </w:r>
      <w:r w:rsidRPr="00AD21FF">
        <w:rPr>
          <w:rFonts w:asciiTheme="minorHAnsi" w:eastAsiaTheme="minorEastAsia" w:hAnsiTheme="minorHAnsi" w:cstheme="minorBidi"/>
          <w:noProof/>
          <w:kern w:val="2"/>
          <w:sz w:val="22"/>
          <w:lang w:eastAsia="en-GB"/>
          <w14:ligatures w14:val="standardContextual"/>
        </w:rPr>
        <w:tab/>
      </w:r>
      <w:r w:rsidRPr="00AD21FF">
        <w:rPr>
          <w:noProof/>
        </w:rPr>
        <w:t>Information concerning the risks identified and the internal control system(s) set up to mitigate them</w:t>
      </w:r>
      <w:r w:rsidRPr="00AD21FF">
        <w:rPr>
          <w:noProof/>
          <w:webHidden/>
        </w:rPr>
        <w:tab/>
        <w:t>8</w:t>
      </w:r>
    </w:p>
    <w:p w14:paraId="383836D6"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2.2.3.</w:t>
      </w:r>
      <w:r w:rsidRPr="00AD21FF">
        <w:rPr>
          <w:rFonts w:asciiTheme="minorHAnsi" w:eastAsiaTheme="minorEastAsia" w:hAnsiTheme="minorHAnsi" w:cstheme="minorBidi"/>
          <w:noProof/>
          <w:kern w:val="2"/>
          <w:sz w:val="22"/>
          <w:lang w:eastAsia="en-GB"/>
          <w14:ligatures w14:val="standardContextual"/>
        </w:rPr>
        <w:tab/>
      </w:r>
      <w:r w:rsidRPr="00AD21FF">
        <w:rPr>
          <w:noProof/>
        </w:rPr>
        <w:t>Estimation and justification of the cost-effectiveness of the controls (ratio between the control costs and the value of the related funds managed), and assessment of the expected levels of risk of error (at payment &amp; at closure)</w:t>
      </w:r>
      <w:r w:rsidRPr="00AD21FF">
        <w:rPr>
          <w:noProof/>
          <w:webHidden/>
        </w:rPr>
        <w:tab/>
        <w:t>8</w:t>
      </w:r>
    </w:p>
    <w:p w14:paraId="5F9C78DF"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2.3.</w:t>
      </w:r>
      <w:r w:rsidRPr="00AD21FF">
        <w:rPr>
          <w:rFonts w:asciiTheme="minorHAnsi" w:eastAsiaTheme="minorEastAsia" w:hAnsiTheme="minorHAnsi" w:cstheme="minorBidi"/>
          <w:noProof/>
          <w:kern w:val="2"/>
          <w:sz w:val="22"/>
          <w:lang w:eastAsia="en-GB"/>
          <w14:ligatures w14:val="standardContextual"/>
        </w:rPr>
        <w:tab/>
      </w:r>
      <w:r w:rsidRPr="00AD21FF">
        <w:rPr>
          <w:noProof/>
        </w:rPr>
        <w:t>Measures to prevent fraud and irregularities</w:t>
      </w:r>
      <w:r w:rsidRPr="00AD21FF">
        <w:rPr>
          <w:noProof/>
          <w:webHidden/>
        </w:rPr>
        <w:tab/>
        <w:t>9</w:t>
      </w:r>
    </w:p>
    <w:p w14:paraId="10D5E7A5" w14:textId="77777777" w:rsidR="00440ED7" w:rsidRPr="00AD21FF" w:rsidRDefault="00440ED7">
      <w:pPr>
        <w:pStyle w:val="TOC1"/>
        <w:rPr>
          <w:rFonts w:asciiTheme="minorHAnsi" w:eastAsiaTheme="minorEastAsia" w:hAnsiTheme="minorHAnsi" w:cstheme="minorBidi"/>
          <w:noProof/>
          <w:kern w:val="2"/>
          <w:sz w:val="22"/>
          <w:lang w:eastAsia="en-GB"/>
          <w14:ligatures w14:val="standardContextual"/>
        </w:rPr>
      </w:pPr>
      <w:r w:rsidRPr="00AD21FF">
        <w:rPr>
          <w:noProof/>
        </w:rPr>
        <w:t>3.</w:t>
      </w:r>
      <w:r w:rsidRPr="00AD21FF">
        <w:rPr>
          <w:rFonts w:asciiTheme="minorHAnsi" w:eastAsiaTheme="minorEastAsia" w:hAnsiTheme="minorHAnsi" w:cstheme="minorBidi"/>
          <w:noProof/>
          <w:kern w:val="2"/>
          <w:sz w:val="22"/>
          <w:lang w:eastAsia="en-GB"/>
          <w14:ligatures w14:val="standardContextual"/>
        </w:rPr>
        <w:tab/>
      </w:r>
      <w:r w:rsidRPr="00AD21FF">
        <w:rPr>
          <w:noProof/>
        </w:rPr>
        <w:t>ESTIMATED FINANCIAL IMPACT OF THE PROPOSAL/INITIATIVE</w:t>
      </w:r>
      <w:r w:rsidRPr="00AD21FF">
        <w:rPr>
          <w:noProof/>
          <w:webHidden/>
        </w:rPr>
        <w:tab/>
        <w:t>10</w:t>
      </w:r>
    </w:p>
    <w:p w14:paraId="7924563E"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3.1.</w:t>
      </w:r>
      <w:r w:rsidRPr="00AD21FF">
        <w:rPr>
          <w:rFonts w:asciiTheme="minorHAnsi" w:eastAsiaTheme="minorEastAsia" w:hAnsiTheme="minorHAnsi" w:cstheme="minorBidi"/>
          <w:noProof/>
          <w:kern w:val="2"/>
          <w:sz w:val="22"/>
          <w:lang w:eastAsia="en-GB"/>
          <w14:ligatures w14:val="standardContextual"/>
        </w:rPr>
        <w:tab/>
      </w:r>
      <w:r w:rsidRPr="00AD21FF">
        <w:rPr>
          <w:noProof/>
        </w:rPr>
        <w:t>Heading(s) of the multiannual financial framework and expenditure budget line(s) affected</w:t>
      </w:r>
      <w:r w:rsidRPr="00AD21FF">
        <w:rPr>
          <w:noProof/>
          <w:webHidden/>
        </w:rPr>
        <w:tab/>
        <w:t>10</w:t>
      </w:r>
    </w:p>
    <w:p w14:paraId="020D764C"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3.2.</w:t>
      </w:r>
      <w:r w:rsidRPr="00AD21FF">
        <w:rPr>
          <w:rFonts w:asciiTheme="minorHAnsi" w:eastAsiaTheme="minorEastAsia" w:hAnsiTheme="minorHAnsi" w:cstheme="minorBidi"/>
          <w:noProof/>
          <w:kern w:val="2"/>
          <w:sz w:val="22"/>
          <w:lang w:eastAsia="en-GB"/>
          <w14:ligatures w14:val="standardContextual"/>
        </w:rPr>
        <w:tab/>
      </w:r>
      <w:r w:rsidRPr="00AD21FF">
        <w:rPr>
          <w:noProof/>
        </w:rPr>
        <w:t>Estimated financial impact of the proposal on appropriations</w:t>
      </w:r>
      <w:r w:rsidRPr="00AD21FF">
        <w:rPr>
          <w:noProof/>
          <w:webHidden/>
        </w:rPr>
        <w:tab/>
        <w:t>12</w:t>
      </w:r>
    </w:p>
    <w:p w14:paraId="597FF921"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3.2.1.</w:t>
      </w:r>
      <w:r w:rsidRPr="00AD21FF">
        <w:rPr>
          <w:rFonts w:asciiTheme="minorHAnsi" w:eastAsiaTheme="minorEastAsia" w:hAnsiTheme="minorHAnsi" w:cstheme="minorBidi"/>
          <w:noProof/>
          <w:kern w:val="2"/>
          <w:sz w:val="22"/>
          <w:lang w:eastAsia="en-GB"/>
          <w14:ligatures w14:val="standardContextual"/>
        </w:rPr>
        <w:tab/>
      </w:r>
      <w:r w:rsidRPr="00AD21FF">
        <w:rPr>
          <w:noProof/>
        </w:rPr>
        <w:t>Summary of estimated impact on operational appropriations</w:t>
      </w:r>
      <w:r w:rsidRPr="00AD21FF">
        <w:rPr>
          <w:noProof/>
          <w:webHidden/>
        </w:rPr>
        <w:tab/>
        <w:t>12</w:t>
      </w:r>
    </w:p>
    <w:p w14:paraId="1D8557AF"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3.2.1.1.</w:t>
      </w:r>
      <w:r w:rsidRPr="00AD21FF">
        <w:rPr>
          <w:rFonts w:asciiTheme="minorHAnsi" w:eastAsiaTheme="minorEastAsia" w:hAnsiTheme="minorHAnsi" w:cstheme="minorBidi"/>
          <w:noProof/>
          <w:kern w:val="2"/>
          <w:sz w:val="22"/>
          <w:lang w:eastAsia="en-GB"/>
          <w14:ligatures w14:val="standardContextual"/>
        </w:rPr>
        <w:tab/>
      </w:r>
      <w:r w:rsidRPr="00AD21FF">
        <w:rPr>
          <w:noProof/>
        </w:rPr>
        <w:t>Appropriations from voted budget</w:t>
      </w:r>
      <w:r w:rsidRPr="00AD21FF">
        <w:rPr>
          <w:noProof/>
          <w:webHidden/>
        </w:rPr>
        <w:tab/>
        <w:t>12</w:t>
      </w:r>
    </w:p>
    <w:p w14:paraId="1F81A640"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3.2.1.2.</w:t>
      </w:r>
      <w:r w:rsidRPr="00AD21FF">
        <w:rPr>
          <w:rFonts w:asciiTheme="minorHAnsi" w:eastAsiaTheme="minorEastAsia" w:hAnsiTheme="minorHAnsi" w:cstheme="minorBidi"/>
          <w:noProof/>
          <w:kern w:val="2"/>
          <w:sz w:val="22"/>
          <w:lang w:eastAsia="en-GB"/>
          <w14:ligatures w14:val="standardContextual"/>
        </w:rPr>
        <w:tab/>
      </w:r>
      <w:r w:rsidRPr="00AD21FF">
        <w:rPr>
          <w:noProof/>
        </w:rPr>
        <w:t>Appropriations from external assigned revenues</w:t>
      </w:r>
      <w:r w:rsidRPr="00AD21FF">
        <w:rPr>
          <w:noProof/>
          <w:webHidden/>
        </w:rPr>
        <w:tab/>
        <w:t>17</w:t>
      </w:r>
    </w:p>
    <w:p w14:paraId="4BD39847"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3.2.2.</w:t>
      </w:r>
      <w:r w:rsidRPr="00AD21FF">
        <w:rPr>
          <w:rFonts w:asciiTheme="minorHAnsi" w:eastAsiaTheme="minorEastAsia" w:hAnsiTheme="minorHAnsi" w:cstheme="minorBidi"/>
          <w:noProof/>
          <w:kern w:val="2"/>
          <w:sz w:val="22"/>
          <w:lang w:eastAsia="en-GB"/>
          <w14:ligatures w14:val="standardContextual"/>
        </w:rPr>
        <w:tab/>
      </w:r>
      <w:r w:rsidRPr="00AD21FF">
        <w:rPr>
          <w:noProof/>
        </w:rPr>
        <w:t>Estimated output funded from operational appropriations</w:t>
      </w:r>
      <w:r w:rsidRPr="00AD21FF">
        <w:rPr>
          <w:noProof/>
          <w:webHidden/>
        </w:rPr>
        <w:tab/>
        <w:t>22</w:t>
      </w:r>
    </w:p>
    <w:p w14:paraId="0F85AA05"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3.2.3.</w:t>
      </w:r>
      <w:r w:rsidRPr="00AD21FF">
        <w:rPr>
          <w:rFonts w:asciiTheme="minorHAnsi" w:eastAsiaTheme="minorEastAsia" w:hAnsiTheme="minorHAnsi" w:cstheme="minorBidi"/>
          <w:noProof/>
          <w:kern w:val="2"/>
          <w:sz w:val="22"/>
          <w:lang w:eastAsia="en-GB"/>
          <w14:ligatures w14:val="standardContextual"/>
        </w:rPr>
        <w:tab/>
      </w:r>
      <w:r w:rsidRPr="00AD21FF">
        <w:rPr>
          <w:noProof/>
        </w:rPr>
        <w:t>Summary of estimated impact on administrative appropriations</w:t>
      </w:r>
      <w:r w:rsidRPr="00AD21FF">
        <w:rPr>
          <w:noProof/>
          <w:webHidden/>
        </w:rPr>
        <w:tab/>
        <w:t>24</w:t>
      </w:r>
    </w:p>
    <w:p w14:paraId="15D84D92"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 xml:space="preserve">3.2.3.1. Appropriations </w:t>
      </w:r>
      <w:r w:rsidRPr="00AD21FF">
        <w:rPr>
          <w:rFonts w:eastAsia="Calibri"/>
          <w:noProof/>
        </w:rPr>
        <w:t>from</w:t>
      </w:r>
      <w:r w:rsidRPr="00AD21FF">
        <w:rPr>
          <w:noProof/>
        </w:rPr>
        <w:t xml:space="preserve"> voted budget</w:t>
      </w:r>
      <w:r w:rsidRPr="00AD21FF">
        <w:rPr>
          <w:noProof/>
          <w:webHidden/>
        </w:rPr>
        <w:tab/>
        <w:t>24</w:t>
      </w:r>
    </w:p>
    <w:p w14:paraId="2624A605"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3.2.3.2.</w:t>
      </w:r>
      <w:r w:rsidRPr="00AD21FF">
        <w:rPr>
          <w:rFonts w:asciiTheme="minorHAnsi" w:eastAsiaTheme="minorEastAsia" w:hAnsiTheme="minorHAnsi" w:cstheme="minorBidi"/>
          <w:noProof/>
          <w:kern w:val="2"/>
          <w:sz w:val="22"/>
          <w:lang w:eastAsia="en-GB"/>
          <w14:ligatures w14:val="standardContextual"/>
        </w:rPr>
        <w:tab/>
      </w:r>
      <w:r w:rsidRPr="00AD21FF">
        <w:rPr>
          <w:noProof/>
        </w:rPr>
        <w:t>Appropriations from external assigned revenues</w:t>
      </w:r>
      <w:r w:rsidRPr="00AD21FF">
        <w:rPr>
          <w:noProof/>
          <w:webHidden/>
        </w:rPr>
        <w:tab/>
        <w:t>24</w:t>
      </w:r>
    </w:p>
    <w:p w14:paraId="6701C855"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3.2.3.3.</w:t>
      </w:r>
      <w:r w:rsidRPr="00AD21FF">
        <w:rPr>
          <w:rFonts w:asciiTheme="minorHAnsi" w:eastAsiaTheme="minorEastAsia" w:hAnsiTheme="minorHAnsi" w:cstheme="minorBidi"/>
          <w:noProof/>
          <w:kern w:val="2"/>
          <w:sz w:val="22"/>
          <w:lang w:eastAsia="en-GB"/>
          <w14:ligatures w14:val="standardContextual"/>
        </w:rPr>
        <w:tab/>
      </w:r>
      <w:r w:rsidRPr="00AD21FF">
        <w:rPr>
          <w:noProof/>
        </w:rPr>
        <w:t>Total appropriations</w:t>
      </w:r>
      <w:r w:rsidRPr="00AD21FF">
        <w:rPr>
          <w:noProof/>
          <w:webHidden/>
        </w:rPr>
        <w:tab/>
        <w:t>24</w:t>
      </w:r>
    </w:p>
    <w:p w14:paraId="4A6F5FC3"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3.2.4.</w:t>
      </w:r>
      <w:r w:rsidRPr="00AD21FF">
        <w:rPr>
          <w:rFonts w:asciiTheme="minorHAnsi" w:eastAsiaTheme="minorEastAsia" w:hAnsiTheme="minorHAnsi" w:cstheme="minorBidi"/>
          <w:noProof/>
          <w:kern w:val="2"/>
          <w:sz w:val="22"/>
          <w:lang w:eastAsia="en-GB"/>
          <w14:ligatures w14:val="standardContextual"/>
        </w:rPr>
        <w:tab/>
      </w:r>
      <w:r w:rsidRPr="00AD21FF">
        <w:rPr>
          <w:noProof/>
        </w:rPr>
        <w:t>Estimated requirements of human resources</w:t>
      </w:r>
      <w:r w:rsidRPr="00AD21FF">
        <w:rPr>
          <w:noProof/>
          <w:webHidden/>
        </w:rPr>
        <w:tab/>
        <w:t>25</w:t>
      </w:r>
    </w:p>
    <w:p w14:paraId="2DB9917C"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3.2.4.1.</w:t>
      </w:r>
      <w:r w:rsidRPr="00AD21FF">
        <w:rPr>
          <w:rFonts w:asciiTheme="minorHAnsi" w:eastAsiaTheme="minorEastAsia" w:hAnsiTheme="minorHAnsi" w:cstheme="minorBidi"/>
          <w:noProof/>
          <w:kern w:val="2"/>
          <w:sz w:val="22"/>
          <w:lang w:eastAsia="en-GB"/>
          <w14:ligatures w14:val="standardContextual"/>
        </w:rPr>
        <w:tab/>
      </w:r>
      <w:r w:rsidRPr="00AD21FF">
        <w:rPr>
          <w:noProof/>
        </w:rPr>
        <w:t>Financed from voted budget</w:t>
      </w:r>
      <w:r w:rsidRPr="00AD21FF">
        <w:rPr>
          <w:noProof/>
          <w:webHidden/>
        </w:rPr>
        <w:tab/>
        <w:t>25</w:t>
      </w:r>
    </w:p>
    <w:p w14:paraId="430F0D20"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3.2.4.2.</w:t>
      </w:r>
      <w:r w:rsidRPr="00AD21FF">
        <w:rPr>
          <w:rFonts w:asciiTheme="minorHAnsi" w:eastAsiaTheme="minorEastAsia" w:hAnsiTheme="minorHAnsi" w:cstheme="minorBidi"/>
          <w:noProof/>
          <w:kern w:val="2"/>
          <w:sz w:val="22"/>
          <w:lang w:eastAsia="en-GB"/>
          <w14:ligatures w14:val="standardContextual"/>
        </w:rPr>
        <w:tab/>
      </w:r>
      <w:r w:rsidRPr="00AD21FF">
        <w:rPr>
          <w:noProof/>
        </w:rPr>
        <w:t>Financed from external assigned revenues</w:t>
      </w:r>
      <w:r w:rsidRPr="00AD21FF">
        <w:rPr>
          <w:noProof/>
          <w:webHidden/>
        </w:rPr>
        <w:tab/>
        <w:t>26</w:t>
      </w:r>
    </w:p>
    <w:p w14:paraId="33775E9D"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3.2.4.3.</w:t>
      </w:r>
      <w:r w:rsidRPr="00AD21FF">
        <w:rPr>
          <w:rFonts w:asciiTheme="minorHAnsi" w:eastAsiaTheme="minorEastAsia" w:hAnsiTheme="minorHAnsi" w:cstheme="minorBidi"/>
          <w:noProof/>
          <w:kern w:val="2"/>
          <w:sz w:val="22"/>
          <w:lang w:eastAsia="en-GB"/>
          <w14:ligatures w14:val="standardContextual"/>
        </w:rPr>
        <w:tab/>
      </w:r>
      <w:r w:rsidRPr="00AD21FF">
        <w:rPr>
          <w:noProof/>
        </w:rPr>
        <w:t>Total requirements of human resources</w:t>
      </w:r>
      <w:r w:rsidRPr="00AD21FF">
        <w:rPr>
          <w:noProof/>
          <w:webHidden/>
        </w:rPr>
        <w:tab/>
        <w:t>26</w:t>
      </w:r>
    </w:p>
    <w:p w14:paraId="05758CA6"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3.2.5.</w:t>
      </w:r>
      <w:r w:rsidRPr="00AD21FF">
        <w:rPr>
          <w:rFonts w:asciiTheme="minorHAnsi" w:eastAsiaTheme="minorEastAsia" w:hAnsiTheme="minorHAnsi" w:cstheme="minorBidi"/>
          <w:noProof/>
          <w:kern w:val="2"/>
          <w:sz w:val="22"/>
          <w:lang w:eastAsia="en-GB"/>
          <w14:ligatures w14:val="standardContextual"/>
        </w:rPr>
        <w:tab/>
      </w:r>
      <w:r w:rsidRPr="00AD21FF">
        <w:rPr>
          <w:noProof/>
        </w:rPr>
        <w:t>Overview of estimated impact on digital technology-related investments</w:t>
      </w:r>
      <w:r w:rsidRPr="00AD21FF">
        <w:rPr>
          <w:noProof/>
          <w:webHidden/>
        </w:rPr>
        <w:tab/>
        <w:t>28</w:t>
      </w:r>
    </w:p>
    <w:p w14:paraId="09A16718"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3.2.6.</w:t>
      </w:r>
      <w:r w:rsidRPr="00AD21FF">
        <w:rPr>
          <w:rFonts w:asciiTheme="minorHAnsi" w:eastAsiaTheme="minorEastAsia" w:hAnsiTheme="minorHAnsi" w:cstheme="minorBidi"/>
          <w:noProof/>
          <w:kern w:val="2"/>
          <w:sz w:val="22"/>
          <w:lang w:eastAsia="en-GB"/>
          <w14:ligatures w14:val="standardContextual"/>
        </w:rPr>
        <w:tab/>
      </w:r>
      <w:r w:rsidRPr="00AD21FF">
        <w:rPr>
          <w:noProof/>
        </w:rPr>
        <w:t>Compatibility with the current multiannual financial framework</w:t>
      </w:r>
      <w:r w:rsidRPr="00AD21FF">
        <w:rPr>
          <w:noProof/>
          <w:webHidden/>
        </w:rPr>
        <w:tab/>
        <w:t>28</w:t>
      </w:r>
    </w:p>
    <w:p w14:paraId="0FFCAC55" w14:textId="77777777" w:rsidR="00440ED7" w:rsidRPr="00AD21FF" w:rsidRDefault="00440ED7">
      <w:pPr>
        <w:pStyle w:val="TOC3"/>
        <w:rPr>
          <w:rFonts w:asciiTheme="minorHAnsi" w:eastAsiaTheme="minorEastAsia" w:hAnsiTheme="minorHAnsi" w:cstheme="minorBidi"/>
          <w:noProof/>
          <w:kern w:val="2"/>
          <w:sz w:val="22"/>
          <w:lang w:eastAsia="en-GB"/>
          <w14:ligatures w14:val="standardContextual"/>
        </w:rPr>
      </w:pPr>
      <w:r w:rsidRPr="00AD21FF">
        <w:rPr>
          <w:noProof/>
        </w:rPr>
        <w:t>3.2.7.</w:t>
      </w:r>
      <w:r w:rsidRPr="00AD21FF">
        <w:rPr>
          <w:rFonts w:asciiTheme="minorHAnsi" w:eastAsiaTheme="minorEastAsia" w:hAnsiTheme="minorHAnsi" w:cstheme="minorBidi"/>
          <w:noProof/>
          <w:kern w:val="2"/>
          <w:sz w:val="22"/>
          <w:lang w:eastAsia="en-GB"/>
          <w14:ligatures w14:val="standardContextual"/>
        </w:rPr>
        <w:tab/>
      </w:r>
      <w:r w:rsidRPr="00AD21FF">
        <w:rPr>
          <w:noProof/>
        </w:rPr>
        <w:t>Third-party contributions</w:t>
      </w:r>
      <w:r w:rsidRPr="00AD21FF">
        <w:rPr>
          <w:noProof/>
          <w:webHidden/>
        </w:rPr>
        <w:tab/>
        <w:t>28</w:t>
      </w:r>
    </w:p>
    <w:p w14:paraId="6B6BFD96"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3.3.</w:t>
      </w:r>
      <w:r w:rsidRPr="00AD21FF">
        <w:rPr>
          <w:rFonts w:asciiTheme="minorHAnsi" w:eastAsiaTheme="minorEastAsia" w:hAnsiTheme="minorHAnsi" w:cstheme="minorBidi"/>
          <w:noProof/>
          <w:kern w:val="2"/>
          <w:sz w:val="22"/>
          <w:lang w:eastAsia="en-GB"/>
          <w14:ligatures w14:val="standardContextual"/>
        </w:rPr>
        <w:tab/>
      </w:r>
      <w:r w:rsidRPr="00AD21FF">
        <w:rPr>
          <w:noProof/>
        </w:rPr>
        <w:t>Estimated impact on revenue</w:t>
      </w:r>
      <w:r w:rsidRPr="00AD21FF">
        <w:rPr>
          <w:noProof/>
          <w:webHidden/>
        </w:rPr>
        <w:tab/>
        <w:t>29</w:t>
      </w:r>
    </w:p>
    <w:p w14:paraId="28EC52FD" w14:textId="77777777" w:rsidR="00440ED7" w:rsidRPr="00AD21FF" w:rsidRDefault="00440ED7">
      <w:pPr>
        <w:pStyle w:val="TOC1"/>
        <w:rPr>
          <w:rFonts w:asciiTheme="minorHAnsi" w:eastAsiaTheme="minorEastAsia" w:hAnsiTheme="minorHAnsi" w:cstheme="minorBidi"/>
          <w:noProof/>
          <w:kern w:val="2"/>
          <w:sz w:val="22"/>
          <w:lang w:eastAsia="en-GB"/>
          <w14:ligatures w14:val="standardContextual"/>
        </w:rPr>
      </w:pPr>
      <w:r w:rsidRPr="00AD21FF">
        <w:rPr>
          <w:noProof/>
        </w:rPr>
        <w:t>4.</w:t>
      </w:r>
      <w:r w:rsidRPr="00AD21FF">
        <w:rPr>
          <w:rFonts w:asciiTheme="minorHAnsi" w:eastAsiaTheme="minorEastAsia" w:hAnsiTheme="minorHAnsi" w:cstheme="minorBidi"/>
          <w:noProof/>
          <w:kern w:val="2"/>
          <w:sz w:val="22"/>
          <w:lang w:eastAsia="en-GB"/>
          <w14:ligatures w14:val="standardContextual"/>
        </w:rPr>
        <w:tab/>
      </w:r>
      <w:r w:rsidRPr="00AD21FF">
        <w:rPr>
          <w:caps/>
          <w:noProof/>
        </w:rPr>
        <w:t>Digital dimensions</w:t>
      </w:r>
      <w:r w:rsidRPr="00AD21FF">
        <w:rPr>
          <w:noProof/>
          <w:webHidden/>
        </w:rPr>
        <w:tab/>
        <w:t>29</w:t>
      </w:r>
    </w:p>
    <w:p w14:paraId="0D38722E"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4.1.</w:t>
      </w:r>
      <w:r w:rsidRPr="00AD21FF">
        <w:rPr>
          <w:rFonts w:asciiTheme="minorHAnsi" w:eastAsiaTheme="minorEastAsia" w:hAnsiTheme="minorHAnsi" w:cstheme="minorBidi"/>
          <w:noProof/>
          <w:kern w:val="2"/>
          <w:sz w:val="22"/>
          <w:lang w:eastAsia="en-GB"/>
          <w14:ligatures w14:val="standardContextual"/>
        </w:rPr>
        <w:tab/>
      </w:r>
      <w:r w:rsidRPr="00AD21FF">
        <w:rPr>
          <w:noProof/>
        </w:rPr>
        <w:t>Requirements of digital relevance</w:t>
      </w:r>
      <w:r w:rsidRPr="00AD21FF">
        <w:rPr>
          <w:noProof/>
          <w:webHidden/>
        </w:rPr>
        <w:tab/>
        <w:t>30</w:t>
      </w:r>
    </w:p>
    <w:p w14:paraId="49810003"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4.2.</w:t>
      </w:r>
      <w:r w:rsidRPr="00AD21FF">
        <w:rPr>
          <w:rFonts w:asciiTheme="minorHAnsi" w:eastAsiaTheme="minorEastAsia" w:hAnsiTheme="minorHAnsi" w:cstheme="minorBidi"/>
          <w:noProof/>
          <w:kern w:val="2"/>
          <w:sz w:val="22"/>
          <w:lang w:eastAsia="en-GB"/>
          <w14:ligatures w14:val="standardContextual"/>
        </w:rPr>
        <w:tab/>
      </w:r>
      <w:r w:rsidRPr="00AD21FF">
        <w:rPr>
          <w:noProof/>
        </w:rPr>
        <w:t>Data</w:t>
      </w:r>
      <w:r w:rsidRPr="00AD21FF">
        <w:rPr>
          <w:noProof/>
          <w:webHidden/>
        </w:rPr>
        <w:tab/>
        <w:t>30</w:t>
      </w:r>
    </w:p>
    <w:p w14:paraId="74EA60DB"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4.3.</w:t>
      </w:r>
      <w:r w:rsidRPr="00AD21FF">
        <w:rPr>
          <w:rFonts w:asciiTheme="minorHAnsi" w:eastAsiaTheme="minorEastAsia" w:hAnsiTheme="minorHAnsi" w:cstheme="minorBidi"/>
          <w:noProof/>
          <w:kern w:val="2"/>
          <w:sz w:val="22"/>
          <w:lang w:eastAsia="en-GB"/>
          <w14:ligatures w14:val="standardContextual"/>
        </w:rPr>
        <w:tab/>
      </w:r>
      <w:r w:rsidRPr="00AD21FF">
        <w:rPr>
          <w:noProof/>
        </w:rPr>
        <w:t>Digital solutions</w:t>
      </w:r>
      <w:r w:rsidRPr="00AD21FF">
        <w:rPr>
          <w:noProof/>
          <w:webHidden/>
        </w:rPr>
        <w:tab/>
        <w:t>31</w:t>
      </w:r>
    </w:p>
    <w:p w14:paraId="5E92B5BB"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bCs/>
          <w:noProof/>
        </w:rPr>
        <w:t>4.4.</w:t>
      </w:r>
      <w:r w:rsidRPr="00AD21FF">
        <w:rPr>
          <w:rFonts w:asciiTheme="minorHAnsi" w:eastAsiaTheme="minorEastAsia" w:hAnsiTheme="minorHAnsi" w:cstheme="minorBidi"/>
          <w:noProof/>
          <w:kern w:val="2"/>
          <w:sz w:val="22"/>
          <w:lang w:eastAsia="en-GB"/>
          <w14:ligatures w14:val="standardContextual"/>
        </w:rPr>
        <w:tab/>
      </w:r>
      <w:r w:rsidRPr="00AD21FF">
        <w:rPr>
          <w:bCs/>
          <w:noProof/>
        </w:rPr>
        <w:t>Interoperability assessment</w:t>
      </w:r>
      <w:r w:rsidRPr="00AD21FF">
        <w:rPr>
          <w:noProof/>
          <w:webHidden/>
        </w:rPr>
        <w:tab/>
        <w:t>31</w:t>
      </w:r>
    </w:p>
    <w:p w14:paraId="3D52B0A8" w14:textId="77777777" w:rsidR="00440ED7" w:rsidRPr="00AD21FF" w:rsidRDefault="00440ED7">
      <w:pPr>
        <w:pStyle w:val="TOC2"/>
        <w:rPr>
          <w:rFonts w:asciiTheme="minorHAnsi" w:eastAsiaTheme="minorEastAsia" w:hAnsiTheme="minorHAnsi" w:cstheme="minorBidi"/>
          <w:noProof/>
          <w:kern w:val="2"/>
          <w:sz w:val="22"/>
          <w:lang w:eastAsia="en-GB"/>
          <w14:ligatures w14:val="standardContextual"/>
        </w:rPr>
      </w:pPr>
      <w:r w:rsidRPr="00AD21FF">
        <w:rPr>
          <w:noProof/>
        </w:rPr>
        <w:t>4.5.</w:t>
      </w:r>
      <w:r w:rsidRPr="00AD21FF">
        <w:rPr>
          <w:rFonts w:asciiTheme="minorHAnsi" w:eastAsiaTheme="minorEastAsia" w:hAnsiTheme="minorHAnsi" w:cstheme="minorBidi"/>
          <w:noProof/>
          <w:kern w:val="2"/>
          <w:sz w:val="22"/>
          <w:lang w:eastAsia="en-GB"/>
          <w14:ligatures w14:val="standardContextual"/>
        </w:rPr>
        <w:tab/>
      </w:r>
      <w:r w:rsidRPr="00AD21FF">
        <w:rPr>
          <w:noProof/>
        </w:rPr>
        <w:t>Measures to support digital implementation</w:t>
      </w:r>
      <w:r w:rsidRPr="00AD21FF">
        <w:rPr>
          <w:noProof/>
          <w:webHidden/>
        </w:rPr>
        <w:tab/>
        <w:t>32</w:t>
      </w:r>
    </w:p>
    <w:p w14:paraId="28500230" w14:textId="77777777" w:rsidR="00440ED7" w:rsidRPr="00AD21FF" w:rsidRDefault="00440ED7">
      <w:pPr>
        <w:pStyle w:val="TOC1"/>
        <w:ind w:left="0" w:firstLine="0"/>
        <w:rPr>
          <w:noProof/>
        </w:rPr>
        <w:sectPr w:rsidR="00440ED7" w:rsidRPr="00AD21FF" w:rsidSect="00052996">
          <w:pgSz w:w="11907" w:h="16840" w:code="9"/>
          <w:pgMar w:top="1134" w:right="1418" w:bottom="1134" w:left="1418" w:header="709" w:footer="709" w:gutter="0"/>
          <w:pgNumType w:start="1"/>
          <w:cols w:space="720"/>
          <w:docGrid w:linePitch="360"/>
        </w:sectPr>
      </w:pPr>
    </w:p>
    <w:p w14:paraId="2070A728" w14:textId="77777777" w:rsidR="00CA7C31" w:rsidRPr="00AD21FF" w:rsidRDefault="00440ED7" w:rsidP="00CA7C31">
      <w:pPr>
        <w:pStyle w:val="ManualHeading1"/>
        <w:rPr>
          <w:noProof/>
        </w:rPr>
      </w:pPr>
      <w:r w:rsidRPr="00AD21FF">
        <w:rPr>
          <w:noProof/>
        </w:rPr>
        <w:t>1.</w:t>
      </w:r>
      <w:r w:rsidRPr="00AD21FF">
        <w:rPr>
          <w:noProof/>
        </w:rPr>
        <w:tab/>
      </w:r>
      <w:r w:rsidR="00CA7C31" w:rsidRPr="00AD21FF">
        <w:rPr>
          <w:noProof/>
        </w:rPr>
        <w:t xml:space="preserve">FRAMEWORK OF THE PROPOSAL/INITIATIVE </w:t>
      </w:r>
    </w:p>
    <w:p w14:paraId="1CC97A75" w14:textId="77777777" w:rsidR="00CA7C31" w:rsidRPr="00AD21FF" w:rsidRDefault="00CA7C31" w:rsidP="00CA7C31">
      <w:pPr>
        <w:pStyle w:val="ManualHeading2"/>
        <w:rPr>
          <w:noProof/>
        </w:rPr>
      </w:pPr>
      <w:r w:rsidRPr="00AD21FF">
        <w:rPr>
          <w:noProof/>
        </w:rPr>
        <w:t>1.1.</w:t>
      </w:r>
      <w:r w:rsidRPr="00AD21FF">
        <w:rPr>
          <w:noProof/>
        </w:rPr>
        <w:tab/>
        <w:t>Title of the proposal/initiative</w:t>
      </w:r>
    </w:p>
    <w:p w14:paraId="786B9492"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REGULATION OF THE EUROPEAN PARLIAMENT AND OF THE COUNCIL on establishing a framework of measures for accelerating industrial capacity and decarbonisation in strategic sectors and amending Regulation (EU) 2018/1724, Regulation (EU) 2024/1735 and Regulation (EU) 2024/3110 (Industrial Accelerator Act).</w:t>
      </w:r>
    </w:p>
    <w:p w14:paraId="522F9C79" w14:textId="77777777" w:rsidR="00CA7C31" w:rsidRPr="00AD21FF" w:rsidRDefault="00CA7C31" w:rsidP="00CA7C31">
      <w:pPr>
        <w:pStyle w:val="ManualHeading2"/>
        <w:rPr>
          <w:i/>
          <w:noProof/>
        </w:rPr>
      </w:pPr>
      <w:r w:rsidRPr="00AD21FF">
        <w:rPr>
          <w:noProof/>
        </w:rPr>
        <w:t>1.2.</w:t>
      </w:r>
      <w:r w:rsidRPr="00AD21FF">
        <w:rPr>
          <w:noProof/>
        </w:rPr>
        <w:tab/>
        <w:t>Policy area(s) concerned</w:t>
      </w:r>
      <w:r w:rsidRPr="00AD21FF">
        <w:rPr>
          <w:i/>
          <w:noProof/>
        </w:rPr>
        <w:t xml:space="preserve"> </w:t>
      </w:r>
    </w:p>
    <w:p w14:paraId="0792BC7B"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Single market, Competitiveness, Climate.</w:t>
      </w:r>
    </w:p>
    <w:p w14:paraId="23556B17" w14:textId="77777777" w:rsidR="00CA7C31" w:rsidRPr="00AD21FF" w:rsidRDefault="00CA7C31" w:rsidP="00CA7C31">
      <w:pPr>
        <w:pStyle w:val="ManualHeading2"/>
        <w:rPr>
          <w:noProof/>
        </w:rPr>
      </w:pPr>
      <w:r w:rsidRPr="00AD21FF">
        <w:rPr>
          <w:noProof/>
        </w:rPr>
        <w:t>1.3.</w:t>
      </w:r>
      <w:r w:rsidRPr="00AD21FF">
        <w:rPr>
          <w:noProof/>
        </w:rPr>
        <w:tab/>
        <w:t>Objective(s)</w:t>
      </w:r>
    </w:p>
    <w:p w14:paraId="1EFA11DF" w14:textId="77777777" w:rsidR="00CA7C31" w:rsidRPr="00AD21FF" w:rsidRDefault="00CA7C31" w:rsidP="00CA7C31">
      <w:pPr>
        <w:pStyle w:val="ManualHeading3"/>
        <w:rPr>
          <w:noProof/>
        </w:rPr>
      </w:pPr>
      <w:r w:rsidRPr="00AD21FF">
        <w:rPr>
          <w:noProof/>
        </w:rPr>
        <w:t>1.3.1.</w:t>
      </w:r>
      <w:r w:rsidRPr="00AD21FF">
        <w:rPr>
          <w:noProof/>
        </w:rPr>
        <w:tab/>
        <w:t>General objective(s)</w:t>
      </w:r>
    </w:p>
    <w:p w14:paraId="7A8C5A8B"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The general objective is to increase decarbonised and resilient industrial production in the EU manufacturing industry, with a special attention on energy</w:t>
      </w:r>
      <w:r w:rsidR="00BE6E8B">
        <w:rPr>
          <w:noProof/>
        </w:rPr>
        <w:t>-</w:t>
      </w:r>
      <w:r w:rsidRPr="00AD21FF">
        <w:rPr>
          <w:noProof/>
        </w:rPr>
        <w:t>intensive industries (EIIs) and clean technologies, considering their contribution to Europe’s competitiveness, economic security, and sustainable economic growth, in line with the Clean Industrial Deal’s objectives.</w:t>
      </w:r>
    </w:p>
    <w:p w14:paraId="757A9216" w14:textId="77777777" w:rsidR="00CA7C31" w:rsidRPr="00AD21FF" w:rsidRDefault="00CA7C31" w:rsidP="00CA7C31">
      <w:pPr>
        <w:pStyle w:val="ManualHeading3"/>
        <w:rPr>
          <w:noProof/>
        </w:rPr>
      </w:pPr>
      <w:r w:rsidRPr="00AD21FF">
        <w:rPr>
          <w:noProof/>
        </w:rPr>
        <w:t>1.3.2.</w:t>
      </w:r>
      <w:r w:rsidRPr="00AD21FF">
        <w:rPr>
          <w:noProof/>
        </w:rPr>
        <w:tab/>
        <w:t>Specific objective(s)</w:t>
      </w:r>
    </w:p>
    <w:p w14:paraId="7A433F1D"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AD21FF">
        <w:rPr>
          <w:noProof/>
          <w:u w:val="single"/>
        </w:rPr>
        <w:t>Specific objective No 1</w:t>
      </w:r>
    </w:p>
    <w:p w14:paraId="00D935BF"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Facilitate differentiation for low-carbon industrial products to increase their value and marketability.</w:t>
      </w:r>
    </w:p>
    <w:p w14:paraId="27EF9DC1"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AD21FF">
        <w:rPr>
          <w:noProof/>
          <w:u w:val="single"/>
        </w:rPr>
        <w:t>Specific objective No 2</w:t>
      </w:r>
    </w:p>
    <w:p w14:paraId="2E83C5E3"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Boost demand for European low-carbon products and clean tech.</w:t>
      </w:r>
    </w:p>
    <w:p w14:paraId="104B7377"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AD21FF">
        <w:rPr>
          <w:noProof/>
          <w:u w:val="single"/>
        </w:rPr>
        <w:t>Specific objective No 3</w:t>
      </w:r>
    </w:p>
    <w:p w14:paraId="39995DD5"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Maximise the quality and benefits of foreign investment in the EU.</w:t>
      </w:r>
    </w:p>
    <w:p w14:paraId="4BB17C0C"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AD21FF">
        <w:rPr>
          <w:noProof/>
          <w:u w:val="single"/>
        </w:rPr>
        <w:t>Specific objective No 4</w:t>
      </w:r>
    </w:p>
    <w:p w14:paraId="72F0BB69"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Speed-up and simplify permits for industrial decarbonisation</w:t>
      </w:r>
    </w:p>
    <w:p w14:paraId="1852B04B"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AD21FF">
        <w:rPr>
          <w:noProof/>
          <w:u w:val="single"/>
        </w:rPr>
        <w:t>Specific objective No 5</w:t>
      </w:r>
    </w:p>
    <w:p w14:paraId="3741FE8B"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Increase investment projects in industrial areas.</w:t>
      </w:r>
    </w:p>
    <w:p w14:paraId="79CEF767" w14:textId="77777777" w:rsidR="00CA7C31" w:rsidRPr="00AD21FF" w:rsidRDefault="00CA7C31" w:rsidP="00CA7C31">
      <w:pPr>
        <w:pStyle w:val="ManualHeading3"/>
        <w:rPr>
          <w:noProof/>
        </w:rPr>
      </w:pPr>
      <w:r w:rsidRPr="00AD21FF">
        <w:rPr>
          <w:noProof/>
        </w:rPr>
        <w:t>1.3.3.</w:t>
      </w:r>
      <w:r w:rsidRPr="00AD21FF">
        <w:rPr>
          <w:noProof/>
        </w:rPr>
        <w:tab/>
        <w:t>Expected result(s) and impact</w:t>
      </w:r>
    </w:p>
    <w:p w14:paraId="13F6339D" w14:textId="77777777" w:rsidR="00CA7C31" w:rsidRPr="00AD21FF" w:rsidRDefault="00CA7C31" w:rsidP="00CA7C31">
      <w:pPr>
        <w:pStyle w:val="Text1"/>
        <w:rPr>
          <w:i/>
          <w:noProof/>
          <w:sz w:val="20"/>
        </w:rPr>
      </w:pPr>
      <w:r w:rsidRPr="00AD21FF">
        <w:rPr>
          <w:i/>
          <w:noProof/>
          <w:sz w:val="20"/>
        </w:rPr>
        <w:t>Specify the effects which the proposal/initiative should have on the beneficiaries/groups targeted.</w:t>
      </w:r>
    </w:p>
    <w:p w14:paraId="6726D7FD"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AD21FF">
        <w:rPr>
          <w:noProof/>
          <w:u w:val="single"/>
        </w:rPr>
        <w:t>Economic Impacts</w:t>
      </w:r>
    </w:p>
    <w:p w14:paraId="5838E976"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Introducing a harmonised low-carbon label for industrial products and verification mechanism will improve market transparency, allowing producers to capture value for cleaner production and stimulate competition based on performance rather than cost alone. It will create new commercial opportunities for EU manufacturers, enhance price differentiation in international markets, and attract private investment in low-carbon technologies.</w:t>
      </w:r>
    </w:p>
    <w:p w14:paraId="1A614AEE"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By increasing the share of EU-made and low-carbon products in domestic consumption, the measure will boost demand within European market, strengthen industrial competitiveness, and reduce dependence on high-carbon or imported alternatives. Creating lead markets for low-carbon steel, cement, and clean technologies will accelerate economies of scale and stimulate further investment.</w:t>
      </w:r>
    </w:p>
    <w:p w14:paraId="218457FE"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Encouraging joint ventures and strategic partnerships that generate European added value will increase knowledge transfer, industrial innovation, and technological sovereignty. It will improve supply-chain security, diversify input sources, and enhance the resilience of EU industrial ecosystems.</w:t>
      </w:r>
    </w:p>
    <w:p w14:paraId="6D306258"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Reducing permitting times will shorten project delays and lower financing costs, strengthening the investment climate for industrial decarbonisation. Faster approvals will speed up the deployment of clean-energy infrastructure, carbon-capture facilities, and electrification projects, stimulating industrial productivity and regional development.</w:t>
      </w:r>
    </w:p>
    <w:p w14:paraId="7439B736"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Supporting a higher number of final investment decisions (FIDs) in industrial areas will drive capital formation, modernise existing facilities, and attract complementary private financing. Concentrating investment in industrial clusters will generate economies of scale and strengthen regional competitiveness.</w:t>
      </w:r>
    </w:p>
    <w:p w14:paraId="65368C86"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p>
    <w:p w14:paraId="78B9DEE5"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AD21FF">
        <w:rPr>
          <w:noProof/>
          <w:u w:val="single"/>
        </w:rPr>
        <w:t>Social impacts</w:t>
      </w:r>
    </w:p>
    <w:p w14:paraId="0DA8FED1"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The label on greenhouse gas intensity of industrial products will strengthen consumer and buyer confidence in low-carbon products, supporting skilled employment in verification, testing, and certification services. By rewarding innovation, it will help sustain quality industrial jobs and foster upskilling and reskilling across manufacturing supply chains.</w:t>
      </w:r>
    </w:p>
    <w:p w14:paraId="274442B6"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Increased EU demand will help preserve and create high-quality jobs in manufacturing regions transitioning to low-carbon industries. It will also improve regional cohesion by fostering re-industrialisation in affected areas, while mitigating adjustment costs for workers through stable production prospects.</w:t>
      </w:r>
    </w:p>
    <w:p w14:paraId="00C00F19"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High-quality foreign investments and partnerships will create new employment opportunities, particularly in advanced manufacturing and research-intensive segments. They will also strengthen cooperation between EU and non-EU companies, promoting workforce training and skills exchange.</w:t>
      </w:r>
    </w:p>
    <w:p w14:paraId="630FD06D"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 Improved transparency and digital tools will increase citizen trust and participation in local industrial projects.</w:t>
      </w:r>
    </w:p>
    <w:p w14:paraId="70BBD517"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Increased industrial activity in existing sites will generate stable employment and strengthen local supply chains, while minimising social disruption by utilising brownfield sites and leveraging existing workforce skills. Industrial clustering will support regional convergence and resilience.</w:t>
      </w:r>
    </w:p>
    <w:p w14:paraId="70EAC372"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p>
    <w:p w14:paraId="7958E26C"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AD21FF">
        <w:rPr>
          <w:noProof/>
          <w:u w:val="single"/>
        </w:rPr>
        <w:t>Environmental impacts</w:t>
      </w:r>
    </w:p>
    <w:p w14:paraId="61F34CBB"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A reliable and comparable labelling framework will incentivise the reduction of greenhouse-gas (GHG) emissions across industrial value chains. It will encourage continuous improvement in product design, materials use, and energy efficiency, helping industry meet climate-neutrality objective.</w:t>
      </w:r>
    </w:p>
    <w:p w14:paraId="4DD399BE"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By introducing low-carbon requirements, greater uptake of low-carbon products will drive significant emission reductions in the construction and transport sectors. This demand-driven approach complements supply-side innovation, accelerating the overall decarbonisation of the European economy.</w:t>
      </w:r>
    </w:p>
    <w:p w14:paraId="49BDF8DF"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Shorter and more predictable permitting processes will accelerate the deployment of low-carbon technologies and environmental upgrades, enabling earlier emission reductions and contributing to the EU’s intermediate climate targets.</w:t>
      </w:r>
    </w:p>
    <w:p w14:paraId="18015D9A"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By concentrating new projects within industrial areas, the measure promotes efficient energy and natural resource use, and enables shared infrastructure for CO₂ capture, renewable energy, and waste recycling. This approach aligns industrial growth with environmental protection and circular-economy principles.</w:t>
      </w:r>
    </w:p>
    <w:p w14:paraId="0770A794" w14:textId="77777777" w:rsidR="00CA7C31" w:rsidRPr="00AD21FF" w:rsidRDefault="00CA7C31" w:rsidP="00CA7C31">
      <w:pPr>
        <w:pStyle w:val="ManualHeading3"/>
        <w:rPr>
          <w:noProof/>
        </w:rPr>
      </w:pPr>
      <w:r w:rsidRPr="00AD21FF">
        <w:rPr>
          <w:noProof/>
        </w:rPr>
        <w:t>1.3.4.</w:t>
      </w:r>
      <w:r w:rsidRPr="00AD21FF">
        <w:rPr>
          <w:noProof/>
        </w:rPr>
        <w:tab/>
        <w:t>Indicators of performance</w:t>
      </w:r>
    </w:p>
    <w:p w14:paraId="07D988F3" w14:textId="77777777" w:rsidR="00CA7C31" w:rsidRPr="00AD21FF" w:rsidRDefault="00CA7C31" w:rsidP="00CA7C31">
      <w:pPr>
        <w:pStyle w:val="Text1"/>
        <w:rPr>
          <w:i/>
          <w:noProof/>
          <w:sz w:val="20"/>
        </w:rPr>
      </w:pPr>
      <w:r w:rsidRPr="00AD21FF">
        <w:rPr>
          <w:i/>
          <w:noProof/>
          <w:sz w:val="20"/>
        </w:rPr>
        <w:t>Specify the indicators for monitoring progress and achievements.</w:t>
      </w:r>
    </w:p>
    <w:p w14:paraId="3F677DE3" w14:textId="77777777" w:rsidR="00CA7C31" w:rsidRPr="00B6030A" w:rsidRDefault="00CA7C31" w:rsidP="00CA7C31">
      <w:pPr>
        <w:pStyle w:val="Text1"/>
        <w:pBdr>
          <w:top w:val="single" w:sz="4" w:space="1" w:color="auto"/>
          <w:left w:val="single" w:sz="4" w:space="4" w:color="auto"/>
          <w:bottom w:val="single" w:sz="4" w:space="1" w:color="auto"/>
          <w:right w:val="single" w:sz="4" w:space="4" w:color="auto"/>
        </w:pBdr>
        <w:rPr>
          <w:noProof/>
        </w:rPr>
      </w:pPr>
      <w:r w:rsidRPr="00B6030A">
        <w:rPr>
          <w:noProof/>
        </w:rPr>
        <w:t>The number of awarded low-carbon label certificates for relevant industrial products will measure progress in creating a reliable and transparent framework that allows producers to differentiate their products based on carbon performance. It will demonstrate the EU’s progress in making low-carbon industrial products visible, verifiable and comparable on the market, thereby strengthening their competitiveness and value creation.</w:t>
      </w:r>
    </w:p>
    <w:p w14:paraId="00553C5E" w14:textId="77777777" w:rsidR="00CA7C31" w:rsidRPr="00B6030A" w:rsidRDefault="00CA7C31" w:rsidP="00CA7C31">
      <w:pPr>
        <w:pStyle w:val="Text1"/>
        <w:pBdr>
          <w:top w:val="single" w:sz="4" w:space="1" w:color="auto"/>
          <w:left w:val="single" w:sz="4" w:space="4" w:color="auto"/>
          <w:bottom w:val="single" w:sz="4" w:space="1" w:color="auto"/>
          <w:right w:val="single" w:sz="4" w:space="4" w:color="auto"/>
        </w:pBdr>
        <w:rPr>
          <w:noProof/>
        </w:rPr>
      </w:pPr>
      <w:r w:rsidRPr="00B6030A">
        <w:rPr>
          <w:noProof/>
        </w:rPr>
        <w:t>The share of EU and low-carbon production in EU consumption for relevant products will capture the proportion of clean and domestically produced materials in overall EU demand. It indicates whether demand-side measures, such as public procurement, investment incentives, and EU-content criteria, are effectively stimulating the uptake of low-carbon and European-made products. A growing share will demonstrate the emergence of strong EU lead markets for green industrial goods and will point to reduced dependence on high-carbon imports.</w:t>
      </w:r>
    </w:p>
    <w:p w14:paraId="60F99FE3" w14:textId="77777777" w:rsidR="00CA7C31" w:rsidRPr="00B6030A" w:rsidRDefault="00CA7C31" w:rsidP="00CA7C31">
      <w:pPr>
        <w:pStyle w:val="Text1"/>
        <w:pBdr>
          <w:top w:val="single" w:sz="4" w:space="1" w:color="auto"/>
          <w:left w:val="single" w:sz="4" w:space="4" w:color="auto"/>
          <w:bottom w:val="single" w:sz="4" w:space="1" w:color="auto"/>
          <w:right w:val="single" w:sz="4" w:space="4" w:color="auto"/>
        </w:pBdr>
        <w:rPr>
          <w:noProof/>
        </w:rPr>
      </w:pPr>
      <w:r w:rsidRPr="00B6030A">
        <w:rPr>
          <w:noProof/>
        </w:rPr>
        <w:t>The number of joint ventures in relevant sectors that create European added value, innovation and industrial resilience will measure the level of high-quality industrial partnerships between EU and non-EU actors contributing to technology transfer, innovation, and secure supply chains. This indicator reflects the success of the IAA in attracting sustainable, “high quality” foreign investment and promoting collaboration that strengthens the EU’s industrial base. Increases in such ventures signal a more resilient and innovative industrial ecosystem that retains greater value within Europe.</w:t>
      </w:r>
    </w:p>
    <w:p w14:paraId="6377BB14" w14:textId="77777777" w:rsidR="00CA7C31" w:rsidRPr="00B6030A" w:rsidRDefault="00CA7C31" w:rsidP="00CA7C31">
      <w:pPr>
        <w:pStyle w:val="Text1"/>
        <w:pBdr>
          <w:top w:val="single" w:sz="4" w:space="1" w:color="auto"/>
          <w:left w:val="single" w:sz="4" w:space="4" w:color="auto"/>
          <w:bottom w:val="single" w:sz="4" w:space="1" w:color="auto"/>
          <w:right w:val="single" w:sz="4" w:space="4" w:color="auto"/>
        </w:pBdr>
        <w:rPr>
          <w:noProof/>
        </w:rPr>
      </w:pPr>
      <w:r w:rsidRPr="00B6030A">
        <w:rPr>
          <w:noProof/>
        </w:rPr>
        <w:t>The average permitting time for industrial decarbonisation projects will track the efficiency of administrative procedures across Member States. It measures how long competent authorities take to process and approve applications for industrial decarbonisation projects, including grid and clean-energy connections. A reduction in average permitting times will demonstrate that the streamlining, coordination and digitalisation measures introduced under the IAA are effectively accelerating investment and reducing bureaucratic barriers for companies.</w:t>
      </w:r>
    </w:p>
    <w:p w14:paraId="0350E0E9" w14:textId="77777777" w:rsidR="00CA7C31" w:rsidRPr="00B6030A" w:rsidRDefault="00CA7C31" w:rsidP="00CA7C31">
      <w:pPr>
        <w:pStyle w:val="Text1"/>
        <w:pBdr>
          <w:top w:val="single" w:sz="4" w:space="1" w:color="auto"/>
          <w:left w:val="single" w:sz="4" w:space="4" w:color="auto"/>
          <w:bottom w:val="single" w:sz="4" w:space="1" w:color="auto"/>
          <w:right w:val="single" w:sz="4" w:space="4" w:color="auto"/>
        </w:pBdr>
        <w:rPr>
          <w:noProof/>
        </w:rPr>
      </w:pPr>
      <w:r w:rsidRPr="00B6030A">
        <w:rPr>
          <w:noProof/>
        </w:rPr>
        <w:t>The number of industrial FIDs realised in relevant industries will serve as a direct indicator of investment momentum and business confidence in the EU’s industrial transition. It reflects the extent to which companies are committing capital to new or upgraded decarbonisation projects, particularly within existing industrial areas and clusters. Rising numbers of realised FIDs will show that the framework established by the IAA is translating into tangible projects, supporting job creation, regional re-industrialisation and faster deployment of clean technologies across Europe.</w:t>
      </w:r>
    </w:p>
    <w:p w14:paraId="50D0FAAC" w14:textId="77777777" w:rsidR="00CA7C31" w:rsidRPr="00AD21FF" w:rsidRDefault="00CA7C31" w:rsidP="00CA7C31">
      <w:pPr>
        <w:pStyle w:val="ManualHeading2"/>
        <w:rPr>
          <w:noProof/>
        </w:rPr>
      </w:pPr>
      <w:r w:rsidRPr="00AD21FF">
        <w:rPr>
          <w:noProof/>
        </w:rPr>
        <w:t>1.4.</w:t>
      </w:r>
      <w:r w:rsidRPr="00AD21FF">
        <w:rPr>
          <w:noProof/>
        </w:rPr>
        <w:tab/>
        <w:t xml:space="preserve">The proposal/initiative relates to: </w:t>
      </w:r>
    </w:p>
    <w:p w14:paraId="7C2D82E2" w14:textId="77777777" w:rsidR="00CA7C31" w:rsidRPr="00AD21FF" w:rsidRDefault="00CA7C31" w:rsidP="00CA7C31">
      <w:pPr>
        <w:pStyle w:val="Text1"/>
        <w:rPr>
          <w:noProof/>
          <w:sz w:val="22"/>
        </w:rPr>
      </w:pPr>
      <w:r w:rsidRPr="00AD21FF">
        <w:rPr>
          <w:rFonts w:ascii="Wingdings" w:eastAsia="Wingdings" w:hAnsi="Wingdings" w:cs="Wingdings"/>
          <w:noProof/>
          <w:sz w:val="22"/>
        </w:rPr>
        <w:t></w:t>
      </w:r>
      <w:r w:rsidRPr="00AD21FF">
        <w:rPr>
          <w:i/>
          <w:iCs/>
          <w:noProof/>
          <w:sz w:val="22"/>
        </w:rPr>
        <w:t xml:space="preserve"> </w:t>
      </w:r>
      <w:r w:rsidRPr="00AD21FF">
        <w:rPr>
          <w:noProof/>
        </w:rPr>
        <w:t>a new action</w:t>
      </w:r>
      <w:r w:rsidRPr="00AD21FF">
        <w:rPr>
          <w:noProof/>
          <w:sz w:val="22"/>
        </w:rPr>
        <w:t xml:space="preserve"> </w:t>
      </w:r>
    </w:p>
    <w:p w14:paraId="7903063E" w14:textId="77777777" w:rsidR="00CA7C31" w:rsidRPr="00AD21FF" w:rsidRDefault="00CA7C31" w:rsidP="00CA7C31">
      <w:pPr>
        <w:pStyle w:val="Text1"/>
        <w:rPr>
          <w:noProof/>
          <w:sz w:val="22"/>
        </w:rPr>
      </w:pPr>
      <w:r w:rsidRPr="00AD21FF">
        <w:rPr>
          <w:rFonts w:ascii="Wingdings" w:eastAsia="Wingdings" w:hAnsi="Wingdings" w:cs="Wingdings"/>
          <w:noProof/>
          <w:sz w:val="22"/>
        </w:rPr>
        <w:t></w:t>
      </w:r>
      <w:r w:rsidRPr="00AD21FF">
        <w:rPr>
          <w:i/>
          <w:iCs/>
          <w:noProof/>
          <w:sz w:val="22"/>
        </w:rPr>
        <w:t xml:space="preserve"> </w:t>
      </w:r>
      <w:r w:rsidRPr="00AD21FF">
        <w:rPr>
          <w:noProof/>
        </w:rPr>
        <w:t>a new action following a pilot project / preparatory action</w:t>
      </w:r>
      <w:r w:rsidRPr="00AD21FF">
        <w:rPr>
          <w:rStyle w:val="FootnoteReference"/>
          <w:noProof/>
        </w:rPr>
        <w:footnoteReference w:id="69"/>
      </w:r>
      <w:r w:rsidRPr="00AD21FF">
        <w:rPr>
          <w:noProof/>
          <w:sz w:val="22"/>
        </w:rPr>
        <w:t xml:space="preserve"> </w:t>
      </w:r>
    </w:p>
    <w:p w14:paraId="04137954" w14:textId="77777777" w:rsidR="00CA7C31" w:rsidRPr="00AD21FF" w:rsidRDefault="00CA7C31" w:rsidP="00CA7C31">
      <w:pPr>
        <w:pStyle w:val="Text1"/>
        <w:rPr>
          <w:noProof/>
          <w:sz w:val="22"/>
        </w:rPr>
      </w:pPr>
      <w:r w:rsidRPr="00AD21FF">
        <w:rPr>
          <w:rFonts w:ascii="Wingdings" w:eastAsia="Wingdings" w:hAnsi="Wingdings" w:cs="Wingdings"/>
          <w:noProof/>
          <w:sz w:val="22"/>
        </w:rPr>
        <w:t></w:t>
      </w:r>
      <w:r w:rsidRPr="00AD21FF">
        <w:rPr>
          <w:i/>
          <w:iCs/>
          <w:noProof/>
          <w:sz w:val="22"/>
        </w:rPr>
        <w:t xml:space="preserve"> </w:t>
      </w:r>
      <w:r w:rsidRPr="00AD21FF">
        <w:rPr>
          <w:noProof/>
        </w:rPr>
        <w:t>the extension of an existing action</w:t>
      </w:r>
      <w:r w:rsidRPr="00AD21FF">
        <w:rPr>
          <w:noProof/>
          <w:sz w:val="22"/>
        </w:rPr>
        <w:t xml:space="preserve"> </w:t>
      </w:r>
    </w:p>
    <w:p w14:paraId="7A224847" w14:textId="77777777" w:rsidR="00CA7C31" w:rsidRPr="00AD21FF" w:rsidRDefault="00CA7C31" w:rsidP="00CA7C31">
      <w:pPr>
        <w:pStyle w:val="Text1"/>
        <w:rPr>
          <w:noProof/>
        </w:rPr>
      </w:pPr>
      <w:r w:rsidRPr="00AD21FF">
        <w:rPr>
          <w:rFonts w:ascii="Wingdings" w:eastAsia="Wingdings" w:hAnsi="Wingdings" w:cs="Wingdings"/>
          <w:noProof/>
          <w:sz w:val="22"/>
        </w:rPr>
        <w:t></w:t>
      </w:r>
      <w:r w:rsidRPr="00AD21FF">
        <w:rPr>
          <w:i/>
          <w:iCs/>
          <w:noProof/>
          <w:sz w:val="22"/>
        </w:rPr>
        <w:t xml:space="preserve"> </w:t>
      </w:r>
      <w:r w:rsidRPr="00AD21FF">
        <w:rPr>
          <w:noProof/>
        </w:rPr>
        <w:t>a merger or redirection of one or more actions towards another/a new action</w:t>
      </w:r>
    </w:p>
    <w:p w14:paraId="103BD7EA" w14:textId="77777777" w:rsidR="00CA7C31" w:rsidRPr="00AD21FF" w:rsidRDefault="00CA7C31" w:rsidP="00CA7C31">
      <w:pPr>
        <w:pStyle w:val="ManualHeading2"/>
        <w:rPr>
          <w:bCs/>
          <w:noProof/>
          <w:szCs w:val="24"/>
        </w:rPr>
      </w:pPr>
      <w:r w:rsidRPr="00AD21FF">
        <w:rPr>
          <w:noProof/>
        </w:rPr>
        <w:t>1.5.</w:t>
      </w:r>
      <w:r w:rsidRPr="00AD21FF">
        <w:rPr>
          <w:noProof/>
        </w:rPr>
        <w:tab/>
        <w:t xml:space="preserve">Grounds for the proposal/initiative </w:t>
      </w:r>
    </w:p>
    <w:p w14:paraId="62D6D2E5" w14:textId="77777777" w:rsidR="00CA7C31" w:rsidRPr="00AD21FF" w:rsidRDefault="00CA7C31" w:rsidP="00CA7C31">
      <w:pPr>
        <w:pStyle w:val="ManualHeading3"/>
        <w:rPr>
          <w:noProof/>
        </w:rPr>
      </w:pPr>
      <w:r w:rsidRPr="00AD21FF">
        <w:rPr>
          <w:noProof/>
        </w:rPr>
        <w:t>1.5.1.</w:t>
      </w:r>
      <w:r w:rsidRPr="00AD21FF">
        <w:rPr>
          <w:noProof/>
        </w:rPr>
        <w:tab/>
        <w:t>Requirement(s) to be met in the short or long term including a detailed timeline for roll-out of the implementation of the initiative</w:t>
      </w:r>
    </w:p>
    <w:p w14:paraId="66657F72"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The proposal responds to the urgent need to accelerate industrial decarbonisation and strengthen Europe’s manufacturing competitiveness in a context of global technological competition and rising investment needs. The initiative aims to remove barriers that slow down investment in low-carbon and resilient industrial production and to ensure the integrity of the Single Market in its transition towards climate neutrality.</w:t>
      </w:r>
    </w:p>
    <w:p w14:paraId="5ED7139A" w14:textId="77777777" w:rsidR="00CA7C31" w:rsidRPr="00AD21FF" w:rsidRDefault="00CA7C31" w:rsidP="00CA7C31">
      <w:pPr>
        <w:pStyle w:val="ManualHeading3"/>
        <w:rPr>
          <w:bCs/>
          <w:noProof/>
          <w:szCs w:val="24"/>
        </w:rPr>
      </w:pPr>
      <w:r w:rsidRPr="00AD21FF">
        <w:rPr>
          <w:noProof/>
        </w:rPr>
        <w:t>1.5.2.</w:t>
      </w:r>
      <w:r w:rsidRPr="00AD21FF">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14:paraId="7C17D6F4"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Reasons for action at EU level (ex-ante)</w:t>
      </w:r>
    </w:p>
    <w:p w14:paraId="399E50F1"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Industrial decarbonisation and resilience challenges transcend national borders. Divergent definitions of low-carbon products, uncoordinated demand-side measures and inconsistent permitting procedures risk fragmenting the Single Market and weakening Europe’s industrial base. Only coordinated EU-level action can guarantee a level playing field, prevent investment diversion, and ensure that climate and industrial policies reinforce one another. The Regulation acts under Article 114 TFEU to preserve the functioning of the single market and, where relevant, Article 207 TFEU to ensure coherence on measures related to foreign investment.</w:t>
      </w:r>
    </w:p>
    <w:p w14:paraId="09940299"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 xml:space="preserve">Expected generated EU added value (ex-post) </w:t>
      </w:r>
    </w:p>
    <w:p w14:paraId="0E346148"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EU intervention will generate lasting benefits through economies of scale, lower transaction costs, and improved legal certainty for investors and authorities. It will strengthen Europe’s capacity to manufacture low-carbon products, attract sustainable investment, and speed up project deployment. Harmonised criteria, shared digital tools, and consistent permitting principles will reduce administrative burden while providing uniform market conditions across Member States.</w:t>
      </w:r>
    </w:p>
    <w:p w14:paraId="0A84B564" w14:textId="77777777" w:rsidR="00CA7C31" w:rsidRPr="00AD21FF" w:rsidRDefault="00CA7C31" w:rsidP="00CA7C31">
      <w:pPr>
        <w:pStyle w:val="ManualHeading3"/>
        <w:rPr>
          <w:noProof/>
        </w:rPr>
      </w:pPr>
      <w:r w:rsidRPr="00AD21FF">
        <w:rPr>
          <w:noProof/>
        </w:rPr>
        <w:t>1.5.3.</w:t>
      </w:r>
      <w:r w:rsidRPr="00AD21FF">
        <w:rPr>
          <w:noProof/>
        </w:rPr>
        <w:tab/>
        <w:t>Lessons learned from similar experiences in the past</w:t>
      </w:r>
    </w:p>
    <w:p w14:paraId="202F7394"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Experience from the Net-Zero Industry Act (NZIA), the Critical Raw Materials Act (CRMA) and the Ecodesign for Sustainable Products Regulation (ESPR) demonstrates that targeted Single-Market instruments combining common definitions, demand-side incentives and administrative simplification deliver measurable investment acceleration. These precedents demonstrate the effectiveness of clear regulatory frameworks and structured coordination between the Commission and Member States. The IAA applies these lessons specifically to energy-intensive industries and clean energy technology manufacturing, and vehicle components ensuring coherence with existing instruments and avoiding regulatory overlap.</w:t>
      </w:r>
    </w:p>
    <w:p w14:paraId="5771BBB9" w14:textId="77777777" w:rsidR="00CA7C31" w:rsidRPr="00AD21FF" w:rsidRDefault="00CA7C31" w:rsidP="00CA7C31">
      <w:pPr>
        <w:pStyle w:val="ManualHeading3"/>
        <w:rPr>
          <w:noProof/>
        </w:rPr>
      </w:pPr>
      <w:r w:rsidRPr="00AD21FF">
        <w:rPr>
          <w:noProof/>
        </w:rPr>
        <w:t>1.5.4.</w:t>
      </w:r>
      <w:r w:rsidRPr="00AD21FF">
        <w:rPr>
          <w:noProof/>
        </w:rPr>
        <w:tab/>
        <w:t>Compatibility with the multiannual financial framework and possible synergies with other appropriate instruments</w:t>
      </w:r>
    </w:p>
    <w:p w14:paraId="413B8292"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The proposal is fully consistent with the 2021-2027 Multiannual Financial Framework and will be implemented through existing Union programmes. Synergies are foreseen with the Innovation Fund, InvestEU, Horizon Europe, Connecting Europe Facility – Energy, the Cohesion Policy funds, and the Technical Support Instrument. The initiative complements the Clean Industrial Deal, CRMA, and the European Competitiveness Fund, without creating new spending envelopes or financial obligations beyond existing resources.</w:t>
      </w:r>
    </w:p>
    <w:p w14:paraId="230CF721" w14:textId="77777777" w:rsidR="00CA7C31" w:rsidRPr="00AD21FF" w:rsidRDefault="00CA7C31" w:rsidP="00CA7C31">
      <w:pPr>
        <w:pStyle w:val="ManualHeading3"/>
        <w:rPr>
          <w:noProof/>
        </w:rPr>
      </w:pPr>
      <w:r w:rsidRPr="00AD21FF">
        <w:rPr>
          <w:noProof/>
        </w:rPr>
        <w:t>1.5.5.</w:t>
      </w:r>
      <w:r w:rsidRPr="00AD21FF">
        <w:rPr>
          <w:noProof/>
        </w:rPr>
        <w:tab/>
        <w:t>Assessment of the different available financing options, including scope for redeployment</w:t>
      </w:r>
    </w:p>
    <w:p w14:paraId="43716988" w14:textId="77777777" w:rsidR="00CA7C31" w:rsidRPr="00AD21FF" w:rsidRDefault="001E3B22" w:rsidP="00CA7C31">
      <w:pPr>
        <w:pStyle w:val="Text1"/>
        <w:pBdr>
          <w:top w:val="single" w:sz="4" w:space="1" w:color="auto"/>
          <w:left w:val="single" w:sz="4" w:space="4" w:color="auto"/>
          <w:bottom w:val="single" w:sz="4" w:space="1" w:color="auto"/>
          <w:right w:val="single" w:sz="4" w:space="4" w:color="auto"/>
        </w:pBdr>
        <w:rPr>
          <w:noProof/>
        </w:rPr>
      </w:pPr>
      <w:r w:rsidRPr="001E3B22">
        <w:rPr>
          <w:noProof/>
        </w:rPr>
        <w:t>All financing will be ensured through redeployments from programmes. Without prejudice to the outcome of negotiations on the next MFF, the appropriations foreseen from 2028 onwards are strictly indicative</w:t>
      </w:r>
      <w:r w:rsidR="002F58CA">
        <w:rPr>
          <w:noProof/>
        </w:rPr>
        <w:t>.</w:t>
      </w:r>
    </w:p>
    <w:p w14:paraId="70EA5740" w14:textId="77777777" w:rsidR="00CA7C31" w:rsidRPr="00AD21FF" w:rsidRDefault="00CA7C31" w:rsidP="00CA7C31">
      <w:pPr>
        <w:pStyle w:val="ManualHeading2"/>
        <w:rPr>
          <w:bCs/>
          <w:noProof/>
          <w:szCs w:val="24"/>
        </w:rPr>
      </w:pPr>
      <w:r w:rsidRPr="00AD21FF">
        <w:rPr>
          <w:noProof/>
        </w:rPr>
        <w:br w:type="page"/>
        <w:t>1.6.</w:t>
      </w:r>
      <w:r w:rsidRPr="00AD21FF">
        <w:rPr>
          <w:noProof/>
        </w:rPr>
        <w:tab/>
        <w:t>Duration of the proposal/initiative and of its financial impact</w:t>
      </w:r>
    </w:p>
    <w:p w14:paraId="69223213" w14:textId="77777777" w:rsidR="00CA7C31" w:rsidRPr="00AD21FF" w:rsidRDefault="00CA7C31" w:rsidP="00CA7C31">
      <w:pPr>
        <w:pStyle w:val="Text1"/>
        <w:rPr>
          <w:noProof/>
        </w:rPr>
      </w:pPr>
      <w:r w:rsidRPr="00AD21FF">
        <w:rPr>
          <w:rFonts w:ascii="Wingdings" w:eastAsia="Wingdings" w:hAnsi="Wingdings" w:cs="Wingdings"/>
          <w:noProof/>
        </w:rPr>
        <w:t></w:t>
      </w:r>
      <w:r w:rsidRPr="00AD21FF">
        <w:rPr>
          <w:b/>
          <w:i/>
          <w:noProof/>
        </w:rPr>
        <w:t xml:space="preserve"> </w:t>
      </w:r>
      <w:r w:rsidRPr="00AD21FF">
        <w:rPr>
          <w:b/>
          <w:noProof/>
        </w:rPr>
        <w:t xml:space="preserve">limited duration </w:t>
      </w:r>
    </w:p>
    <w:p w14:paraId="5FE7FE9B"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ab/>
        <w:t xml:space="preserve">in effect from [DD/MM]YYYY to [DD/MM]YYYY </w:t>
      </w:r>
    </w:p>
    <w:p w14:paraId="621F7C3D"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ab/>
        <w:t xml:space="preserve">financial impact from YYYY to YYYY for commitment appropriations and from YYYY to YYYY for payment appropriations. </w:t>
      </w:r>
    </w:p>
    <w:p w14:paraId="6CEE1AA1" w14:textId="77777777" w:rsidR="00CA7C31" w:rsidRPr="00AD21FF" w:rsidRDefault="00CA7C31" w:rsidP="00CA7C31">
      <w:pPr>
        <w:pStyle w:val="Text1"/>
        <w:rPr>
          <w:noProof/>
        </w:rPr>
      </w:pPr>
      <w:r w:rsidRPr="00AD21FF">
        <w:rPr>
          <w:rFonts w:ascii="Wingdings" w:eastAsia="Wingdings" w:hAnsi="Wingdings" w:cs="Wingdings"/>
          <w:noProof/>
        </w:rPr>
        <w:t></w:t>
      </w:r>
      <w:r w:rsidRPr="00AD21FF">
        <w:rPr>
          <w:b/>
          <w:i/>
          <w:noProof/>
        </w:rPr>
        <w:t xml:space="preserve"> </w:t>
      </w:r>
      <w:r w:rsidRPr="00AD21FF">
        <w:rPr>
          <w:b/>
          <w:noProof/>
        </w:rPr>
        <w:t>unlimited duration</w:t>
      </w:r>
    </w:p>
    <w:p w14:paraId="058096F7" w14:textId="77777777" w:rsidR="00CA7C31" w:rsidRPr="00AD21FF" w:rsidRDefault="00CA7C31" w:rsidP="00CA7C31">
      <w:pPr>
        <w:pStyle w:val="ListDash1"/>
        <w:ind w:left="1134" w:hanging="283"/>
        <w:rPr>
          <w:noProof/>
        </w:rPr>
      </w:pPr>
      <w:r w:rsidRPr="00AD21FF">
        <w:rPr>
          <w:noProof/>
        </w:rPr>
        <w:t>Implementation with a start-up period from YYYY to YYYY,</w:t>
      </w:r>
    </w:p>
    <w:p w14:paraId="312C3A9A" w14:textId="77777777" w:rsidR="00CA7C31" w:rsidRPr="00AD21FF" w:rsidRDefault="00CA7C31" w:rsidP="00CA7C31">
      <w:pPr>
        <w:pStyle w:val="ListDash1"/>
        <w:ind w:left="1134" w:hanging="283"/>
        <w:rPr>
          <w:noProof/>
        </w:rPr>
      </w:pPr>
      <w:r w:rsidRPr="00AD21FF">
        <w:rPr>
          <w:noProof/>
        </w:rPr>
        <w:t>followed by full-scale operation.</w:t>
      </w:r>
    </w:p>
    <w:p w14:paraId="08D0FA9E" w14:textId="77777777" w:rsidR="00CA7C31" w:rsidRPr="00AD21FF" w:rsidRDefault="00CA7C31" w:rsidP="00CA7C31">
      <w:pPr>
        <w:pStyle w:val="Text1"/>
        <w:rPr>
          <w:noProof/>
        </w:rPr>
      </w:pPr>
      <w:r w:rsidRPr="00AD21FF">
        <w:rPr>
          <w:noProof/>
        </w:rPr>
        <w:t>The Regulation will enter into force in 2027 and remain applicable beyond 2030, with a review every five years to assess progress and alignment with Union climate and economic security objectives.</w:t>
      </w:r>
    </w:p>
    <w:p w14:paraId="542B3C9D" w14:textId="77777777" w:rsidR="00CA7C31" w:rsidRPr="00AD21FF" w:rsidRDefault="00CA7C31" w:rsidP="00CA7C31">
      <w:pPr>
        <w:pStyle w:val="ManualHeading2"/>
        <w:rPr>
          <w:bCs/>
          <w:noProof/>
          <w:szCs w:val="24"/>
        </w:rPr>
      </w:pPr>
      <w:r w:rsidRPr="00AD21FF">
        <w:rPr>
          <w:noProof/>
        </w:rPr>
        <w:t>1.7.</w:t>
      </w:r>
      <w:r w:rsidRPr="00AD21FF">
        <w:rPr>
          <w:noProof/>
        </w:rPr>
        <w:tab/>
        <w:t xml:space="preserve">Method(s) of budget implementation planned </w:t>
      </w:r>
    </w:p>
    <w:p w14:paraId="19C13C3D" w14:textId="77777777" w:rsidR="00CA7C31" w:rsidRPr="00AD21FF" w:rsidRDefault="00CA7C31" w:rsidP="00CA7C31">
      <w:pPr>
        <w:pStyle w:val="Text1"/>
        <w:rPr>
          <w:noProof/>
        </w:rPr>
      </w:pPr>
      <w:r w:rsidRPr="00AD21FF">
        <w:rPr>
          <w:rFonts w:ascii="Wingdings" w:eastAsia="Wingdings" w:hAnsi="Wingdings" w:cs="Wingdings"/>
          <w:noProof/>
        </w:rPr>
        <w:t></w:t>
      </w:r>
      <w:r w:rsidRPr="00AD21FF">
        <w:rPr>
          <w:i/>
          <w:noProof/>
        </w:rPr>
        <w:t xml:space="preserve"> </w:t>
      </w:r>
      <w:r w:rsidRPr="00AD21FF">
        <w:rPr>
          <w:b/>
          <w:noProof/>
        </w:rPr>
        <w:t>Direct management</w:t>
      </w:r>
      <w:r w:rsidRPr="00AD21FF">
        <w:rPr>
          <w:noProof/>
        </w:rPr>
        <w:t xml:space="preserve"> by the Commission</w:t>
      </w:r>
    </w:p>
    <w:p w14:paraId="2530A489" w14:textId="77777777" w:rsidR="00CA7C31" w:rsidRPr="00AD21FF" w:rsidRDefault="00255C35" w:rsidP="00CA7C31">
      <w:pPr>
        <w:pStyle w:val="ListDash2"/>
        <w:ind w:left="1134" w:hanging="283"/>
        <w:rPr>
          <w:rFonts w:cs="EUAlbertina"/>
          <w:noProof/>
        </w:rPr>
      </w:pPr>
      <w:r w:rsidRPr="00255C35">
        <w:rPr>
          <w:noProof/>
        </w:rPr>
        <w:t xml:space="preserve"> </w:t>
      </w:r>
      <w:r w:rsidRPr="00255C35">
        <w:rPr>
          <w:rFonts w:ascii="Wingdings" w:eastAsia="Wingdings" w:hAnsi="Wingdings" w:cs="Wingdings"/>
          <w:noProof/>
        </w:rPr>
        <w:t></w:t>
      </w:r>
      <w:r w:rsidR="00CA7C31" w:rsidRPr="00AD21FF">
        <w:rPr>
          <w:noProof/>
        </w:rPr>
        <w:t xml:space="preserve"> by its departments, including by its staff in the Union delegations; </w:t>
      </w:r>
    </w:p>
    <w:p w14:paraId="5624F455"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ab/>
        <w:t xml:space="preserve">by the executive agencies </w:t>
      </w:r>
    </w:p>
    <w:p w14:paraId="62BE558A" w14:textId="77777777" w:rsidR="00CA7C31" w:rsidRPr="00AD21FF" w:rsidRDefault="00CA7C31" w:rsidP="00CA7C31">
      <w:pPr>
        <w:pStyle w:val="Text1"/>
        <w:rPr>
          <w:noProof/>
        </w:rPr>
      </w:pPr>
      <w:r w:rsidRPr="00AD21FF">
        <w:rPr>
          <w:rFonts w:ascii="Wingdings" w:eastAsia="Wingdings" w:hAnsi="Wingdings" w:cs="Wingdings"/>
          <w:noProof/>
        </w:rPr>
        <w:t></w:t>
      </w:r>
      <w:r w:rsidRPr="00AD21FF">
        <w:rPr>
          <w:b/>
          <w:i/>
          <w:noProof/>
        </w:rPr>
        <w:t xml:space="preserve"> </w:t>
      </w:r>
      <w:r w:rsidRPr="00AD21FF">
        <w:rPr>
          <w:b/>
          <w:noProof/>
        </w:rPr>
        <w:t>Shared management</w:t>
      </w:r>
      <w:r w:rsidRPr="00AD21FF">
        <w:rPr>
          <w:noProof/>
        </w:rPr>
        <w:t xml:space="preserve"> with the Member States </w:t>
      </w:r>
    </w:p>
    <w:p w14:paraId="3AE48838" w14:textId="77777777" w:rsidR="00CA7C31" w:rsidRPr="00AD21FF" w:rsidRDefault="00CA7C31" w:rsidP="00CA7C31">
      <w:pPr>
        <w:pStyle w:val="Text1"/>
        <w:rPr>
          <w:noProof/>
        </w:rPr>
      </w:pPr>
      <w:r w:rsidRPr="00AD21FF">
        <w:rPr>
          <w:rFonts w:ascii="Wingdings" w:eastAsia="Wingdings" w:hAnsi="Wingdings" w:cs="Wingdings"/>
          <w:noProof/>
        </w:rPr>
        <w:t></w:t>
      </w:r>
      <w:r w:rsidRPr="00AD21FF">
        <w:rPr>
          <w:i/>
          <w:noProof/>
        </w:rPr>
        <w:t xml:space="preserve"> </w:t>
      </w:r>
      <w:r w:rsidRPr="00AD21FF">
        <w:rPr>
          <w:b/>
          <w:noProof/>
        </w:rPr>
        <w:t>Indirect management</w:t>
      </w:r>
      <w:r w:rsidRPr="00AD21FF">
        <w:rPr>
          <w:noProof/>
        </w:rPr>
        <w:t xml:space="preserve"> by entrusting budget implementation tasks to:</w:t>
      </w:r>
    </w:p>
    <w:p w14:paraId="6C4A9433"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 xml:space="preserve"> third countries or the bodies they have designated</w:t>
      </w:r>
    </w:p>
    <w:p w14:paraId="042449CA"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 xml:space="preserve"> international organisations and their agencies (to be specified)</w:t>
      </w:r>
    </w:p>
    <w:p w14:paraId="7F2F752A"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 xml:space="preserve"> the European Investment Bank and the European Investment Fund</w:t>
      </w:r>
    </w:p>
    <w:p w14:paraId="5AAEC198"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 xml:space="preserve"> bodies referred to in Articles 70 and 71 of the Financial Regulation</w:t>
      </w:r>
    </w:p>
    <w:p w14:paraId="7D45CF70"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 xml:space="preserve"> public law bodies</w:t>
      </w:r>
    </w:p>
    <w:p w14:paraId="7A33F91D"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 xml:space="preserve"> bodies governed by private law with a public service mission to the extent that they are provided with adequate financial guarantees</w:t>
      </w:r>
    </w:p>
    <w:p w14:paraId="36E8D070"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 xml:space="preserve"> bodies governed by the private law of a Member State that are entrusted with the implementation of a public-private partnership and that are provided with adequate financial guarantees</w:t>
      </w:r>
    </w:p>
    <w:p w14:paraId="1C9118C1"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noProof/>
        </w:rPr>
        <w:t xml:space="preserve"> bodies or persons entrusted with the implementation of specific actions in the common foreign and security policy pursuant to Title V of the Treaty on European Union, and identified in the relevant basic act</w:t>
      </w:r>
    </w:p>
    <w:p w14:paraId="056F6335" w14:textId="77777777" w:rsidR="00CA7C31" w:rsidRPr="00AD21FF" w:rsidRDefault="00CA7C31" w:rsidP="00CA7C31">
      <w:pPr>
        <w:pStyle w:val="ListDash2"/>
        <w:ind w:left="1134" w:hanging="283"/>
        <w:rPr>
          <w:noProof/>
        </w:rPr>
      </w:pPr>
      <w:r w:rsidRPr="00AD21FF">
        <w:rPr>
          <w:rFonts w:ascii="Wingdings" w:eastAsia="Wingdings" w:hAnsi="Wingdings" w:cs="Wingdings"/>
          <w:noProof/>
        </w:rPr>
        <w:t></w:t>
      </w:r>
      <w:r w:rsidRPr="00AD21FF">
        <w:rPr>
          <w:rFonts w:ascii="Wingdings" w:eastAsia="Wingdings" w:hAnsi="Wingdings" w:cs="Wingdings"/>
          <w:noProof/>
        </w:rPr>
        <w:t></w:t>
      </w:r>
      <w:r w:rsidRPr="00AD21FF">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1D3D997C" w14:textId="77777777" w:rsidR="00CA7C31" w:rsidRPr="00AD21FF" w:rsidRDefault="00CA7C31" w:rsidP="00CA7C31">
      <w:pPr>
        <w:rPr>
          <w:noProof/>
        </w:rPr>
        <w:sectPr w:rsidR="00CA7C31" w:rsidRPr="00AD21FF" w:rsidSect="00052996">
          <w:pgSz w:w="11907" w:h="16840" w:code="9"/>
          <w:pgMar w:top="1134" w:right="1418" w:bottom="1134" w:left="1418" w:header="709" w:footer="709" w:gutter="0"/>
          <w:cols w:space="708"/>
          <w:docGrid w:linePitch="360"/>
        </w:sectPr>
      </w:pPr>
    </w:p>
    <w:p w14:paraId="5F35EA7C" w14:textId="77777777" w:rsidR="00CA7C31" w:rsidRPr="00AD21FF" w:rsidRDefault="00CA7C31" w:rsidP="00CA7C31">
      <w:pPr>
        <w:pStyle w:val="ManualHeading1"/>
        <w:rPr>
          <w:bCs/>
          <w:noProof/>
          <w:szCs w:val="24"/>
        </w:rPr>
      </w:pPr>
      <w:r w:rsidRPr="00AD21FF">
        <w:rPr>
          <w:noProof/>
        </w:rPr>
        <w:t>2.</w:t>
      </w:r>
      <w:r w:rsidRPr="00AD21FF">
        <w:rPr>
          <w:noProof/>
        </w:rPr>
        <w:tab/>
        <w:t xml:space="preserve">MANAGEMENT MEASURES </w:t>
      </w:r>
    </w:p>
    <w:p w14:paraId="327178FB" w14:textId="77777777" w:rsidR="00CA7C31" w:rsidRPr="00AD21FF" w:rsidRDefault="00CA7C31" w:rsidP="00CA7C31">
      <w:pPr>
        <w:pStyle w:val="ManualHeading2"/>
        <w:rPr>
          <w:noProof/>
        </w:rPr>
      </w:pPr>
      <w:r w:rsidRPr="00AD21FF">
        <w:rPr>
          <w:noProof/>
        </w:rPr>
        <w:t>2.1.</w:t>
      </w:r>
      <w:r w:rsidRPr="00AD21FF">
        <w:rPr>
          <w:noProof/>
        </w:rPr>
        <w:tab/>
        <w:t xml:space="preserve">Monitoring and reporting rules </w:t>
      </w:r>
    </w:p>
    <w:p w14:paraId="463AF82B"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 xml:space="preserve">This Statement includes staff expenditures. Standard rules for this type of expenditure apply. The Commission will evaluate the output, results and impact of this proposal </w:t>
      </w:r>
      <w:r w:rsidRPr="0096366D">
        <w:rPr>
          <w:noProof/>
        </w:rPr>
        <w:t xml:space="preserve">every </w:t>
      </w:r>
      <w:r w:rsidR="00201A78" w:rsidRPr="0096366D">
        <w:rPr>
          <w:noProof/>
        </w:rPr>
        <w:t>three</w:t>
      </w:r>
      <w:r w:rsidRPr="0096366D" w:rsidDel="00201A78">
        <w:rPr>
          <w:noProof/>
        </w:rPr>
        <w:t xml:space="preserve"> </w:t>
      </w:r>
      <w:r w:rsidRPr="0096366D">
        <w:rPr>
          <w:noProof/>
        </w:rPr>
        <w:t>years after</w:t>
      </w:r>
      <w:r w:rsidRPr="00AD21FF">
        <w:rPr>
          <w:noProof/>
        </w:rPr>
        <w:t xml:space="preserve"> the date on which it becomes applicable. The evaluation will assess the contribution of this Regulation to the functioning of the single market, including the objectives specified </w:t>
      </w:r>
      <w:r w:rsidRPr="0016177B">
        <w:rPr>
          <w:noProof/>
        </w:rPr>
        <w:t xml:space="preserve">in Article </w:t>
      </w:r>
      <w:r w:rsidR="0016177B" w:rsidRPr="0016177B">
        <w:rPr>
          <w:noProof/>
        </w:rPr>
        <w:t>1</w:t>
      </w:r>
      <w:r w:rsidRPr="0016177B">
        <w:rPr>
          <w:noProof/>
        </w:rPr>
        <w:t>,</w:t>
      </w:r>
      <w:r w:rsidRPr="00AD21FF">
        <w:rPr>
          <w:noProof/>
        </w:rPr>
        <w:t xml:space="preserve"> particularly on resilience, economic security, and decarbonisation of industrial production.</w:t>
      </w:r>
    </w:p>
    <w:p w14:paraId="5F4F724B" w14:textId="77777777" w:rsidR="00CA7C31" w:rsidRPr="00AD21FF" w:rsidRDefault="00CA7C31" w:rsidP="00CA7C31">
      <w:pPr>
        <w:pStyle w:val="ManualHeading2"/>
        <w:rPr>
          <w:bCs/>
          <w:noProof/>
          <w:szCs w:val="24"/>
        </w:rPr>
      </w:pPr>
      <w:r w:rsidRPr="00AD21FF">
        <w:rPr>
          <w:noProof/>
        </w:rPr>
        <w:t>2.2.</w:t>
      </w:r>
      <w:r w:rsidRPr="00AD21FF">
        <w:rPr>
          <w:noProof/>
        </w:rPr>
        <w:tab/>
        <w:t xml:space="preserve">Management and control system(s) </w:t>
      </w:r>
    </w:p>
    <w:p w14:paraId="05E09DF0" w14:textId="77777777" w:rsidR="00CA7C31" w:rsidRPr="00AD21FF" w:rsidRDefault="00CA7C31" w:rsidP="00CA7C31">
      <w:pPr>
        <w:pStyle w:val="ManualHeading3"/>
        <w:rPr>
          <w:noProof/>
        </w:rPr>
      </w:pPr>
      <w:r w:rsidRPr="00AD21FF">
        <w:rPr>
          <w:noProof/>
        </w:rPr>
        <w:t>2.2.1.</w:t>
      </w:r>
      <w:r w:rsidRPr="00AD21FF">
        <w:rPr>
          <w:noProof/>
        </w:rPr>
        <w:tab/>
        <w:t>Justification of the budget implementation method(s), the funding implementation mechanism(s), the payment modalities and the control strategy proposed</w:t>
      </w:r>
    </w:p>
    <w:p w14:paraId="1517A8E0"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The management mode for the initiative is direct management by the Commission. This is the most appropriate approach given the limited scope of Union expenditure, which is confined to standard administrative and monitoring-related costs. Using established internal procedures ensures effective and efficient controls, low error rates, fast processing of transactions and minimal control costs.</w:t>
      </w:r>
    </w:p>
    <w:p w14:paraId="47B6650D" w14:textId="77777777" w:rsidR="00CA7C31" w:rsidRPr="00AD21FF" w:rsidRDefault="00CA7C31" w:rsidP="00CA7C31">
      <w:pPr>
        <w:pStyle w:val="ManualHeading3"/>
        <w:rPr>
          <w:bCs/>
          <w:noProof/>
          <w:szCs w:val="24"/>
        </w:rPr>
      </w:pPr>
      <w:r w:rsidRPr="00AD21FF">
        <w:rPr>
          <w:noProof/>
        </w:rPr>
        <w:t>2.2.2.</w:t>
      </w:r>
      <w:r w:rsidRPr="00AD21FF">
        <w:rPr>
          <w:noProof/>
        </w:rPr>
        <w:tab/>
        <w:t>Information concerning the risks identified and the internal control system(s) set up to mitigate them</w:t>
      </w:r>
    </w:p>
    <w:p w14:paraId="3B4F8F18"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Overall, the initiative requires staff expenditure. Standard rules for this type of expenditure apply.</w:t>
      </w:r>
    </w:p>
    <w:p w14:paraId="763170B8"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Most aspects of the initiative follow established procedures for engaging with stakeholders through for example the Industrial Forum and implementing monitoring obligations. The main operational risk is insufficient administrative capacity to implement the work plans and monitoring activities foreseen in the Regulation.</w:t>
      </w:r>
    </w:p>
    <w:p w14:paraId="61BE3D5A"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This proposal is accompanied by an impact assessment report, which provides the analytics underpinning the chosen policy approach. The preparation of the initiative also drew on a public consultation as well as targeted consultations with industry stakeholders, Member States and trade associations, which ensured the collection of relevant data, information and feedback. Nonetheless, unintentional consequences or unforeseen impacts may still occur during implementation. These will be identified through the monitoring procedures set out in the Regulation, allowing the Commission to address them in an appropriate and timely manner.</w:t>
      </w:r>
    </w:p>
    <w:p w14:paraId="5A447EEF" w14:textId="77777777" w:rsidR="00CA7C31" w:rsidRPr="00AD21FF" w:rsidRDefault="00CA7C31" w:rsidP="00CA7C31">
      <w:pPr>
        <w:pStyle w:val="ManualHeading3"/>
        <w:rPr>
          <w:noProof/>
        </w:rPr>
      </w:pPr>
      <w:r w:rsidRPr="00AD21FF">
        <w:rPr>
          <w:noProof/>
        </w:rPr>
        <w:t>2.2.3.</w:t>
      </w:r>
      <w:r w:rsidRPr="00AD21FF">
        <w:rPr>
          <w:noProof/>
        </w:rPr>
        <w:tab/>
        <w:t xml:space="preserve">Estimation and justification of the cost-effectiveness of the controls (ratio between the control costs and the value of the related funds managed), and assessment of the expected levels of risk of error (at payment &amp; at closure) </w:t>
      </w:r>
    </w:p>
    <w:p w14:paraId="10C67D7B"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The initiative involves limited administrative expenditure. Standard Commission control procedures apply. As no funding programmes or multi-layered delivery mechanisms are created, control activities remain straightforward and cost-effective.</w:t>
      </w:r>
    </w:p>
    <w:p w14:paraId="29C88551"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Controls are carried out entirely under direct management, using standard ex-post audits under the Commission’s internal control framework. This ensures an appropriate balance between control effort and the limited value of funds managed.</w:t>
      </w:r>
    </w:p>
    <w:p w14:paraId="0CAF3FA8"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Given the simplified set-up and the absence of high-risk financial operations, the expected error rate at payment and at closure is low and comfortably below the materiality threshold. The control system therefore provides a high level of assurance at proportionate cost.</w:t>
      </w:r>
    </w:p>
    <w:p w14:paraId="3A29D198" w14:textId="77777777" w:rsidR="00CA7C31" w:rsidRPr="00AD21FF" w:rsidRDefault="00CA7C31" w:rsidP="00CA7C31">
      <w:pPr>
        <w:pStyle w:val="ManualHeading2"/>
        <w:rPr>
          <w:bCs/>
          <w:noProof/>
          <w:szCs w:val="24"/>
        </w:rPr>
      </w:pPr>
      <w:r w:rsidRPr="00AD21FF">
        <w:rPr>
          <w:noProof/>
        </w:rPr>
        <w:t>2.3.</w:t>
      </w:r>
      <w:r w:rsidRPr="00AD21FF">
        <w:rPr>
          <w:noProof/>
        </w:rPr>
        <w:tab/>
        <w:t xml:space="preserve">Measures to prevent fraud and irregularities </w:t>
      </w:r>
    </w:p>
    <w:p w14:paraId="715A8B95"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The initiative does not establish funding programmes or financial support schemes. It therefore relies on the Commission’s existing internal control framework and Anti-Fraud Strategy. Standard preventive and detective measures apply, including risk-based internal controls, segregation of duties and established workflows for administrative expenditure.</w:t>
      </w:r>
    </w:p>
    <w:p w14:paraId="39A9CB64"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 xml:space="preserve">The Commission will ensure that appropriate measures are in place so that, when implementing the tasks arising from this Regulation, the financial interests </w:t>
      </w:r>
    </w:p>
    <w:p w14:paraId="41EC8356" w14:textId="77777777" w:rsidR="00CA7C31" w:rsidRPr="00AD21FF" w:rsidRDefault="00CA7C31" w:rsidP="00CA7C31">
      <w:pPr>
        <w:pStyle w:val="Text1"/>
        <w:pBdr>
          <w:top w:val="single" w:sz="4" w:space="1" w:color="auto"/>
          <w:left w:val="single" w:sz="4" w:space="4" w:color="auto"/>
          <w:bottom w:val="single" w:sz="4" w:space="1" w:color="auto"/>
          <w:right w:val="single" w:sz="4" w:space="4" w:color="auto"/>
        </w:pBdr>
        <w:rPr>
          <w:noProof/>
        </w:rPr>
      </w:pPr>
      <w:r w:rsidRPr="00AD21FF">
        <w:rPr>
          <w:noProof/>
        </w:rPr>
        <w:t>As with all Commission-managed activities, the European Anti-Fraud Office (OLAF) and the European Public Prosecutor’s Office (EPPO) may exercise their powers in accordance with their respective legal bases to investigate fraud, corruption or other illegal activities affecting the EU’s financial interests. The European Court of Auditors retains its standard audit rights over Commission expenditure.</w:t>
      </w:r>
    </w:p>
    <w:p w14:paraId="29774313" w14:textId="77777777" w:rsidR="00CA7C31" w:rsidRPr="00AD21FF" w:rsidRDefault="00CA7C31" w:rsidP="00CA7C31">
      <w:pPr>
        <w:rPr>
          <w:noProof/>
        </w:rPr>
        <w:sectPr w:rsidR="00CA7C31" w:rsidRPr="00AD21FF" w:rsidSect="00052996">
          <w:pgSz w:w="11907" w:h="16840" w:code="9"/>
          <w:pgMar w:top="1134" w:right="1418" w:bottom="1134" w:left="1418" w:header="709" w:footer="709" w:gutter="0"/>
          <w:cols w:space="708"/>
          <w:docGrid w:linePitch="360"/>
        </w:sectPr>
      </w:pPr>
    </w:p>
    <w:p w14:paraId="5F54F8A8" w14:textId="77777777" w:rsidR="00CA7C31" w:rsidRPr="00AD21FF" w:rsidRDefault="00CA7C31" w:rsidP="00CA7C31">
      <w:pPr>
        <w:pStyle w:val="ManualHeading1"/>
        <w:rPr>
          <w:bCs/>
          <w:noProof/>
          <w:szCs w:val="24"/>
        </w:rPr>
      </w:pPr>
      <w:r w:rsidRPr="00AD21FF">
        <w:rPr>
          <w:noProof/>
        </w:rPr>
        <w:t>3.</w:t>
      </w:r>
      <w:r w:rsidRPr="00AD21FF">
        <w:rPr>
          <w:noProof/>
        </w:rPr>
        <w:tab/>
        <w:t xml:space="preserve">ESTIMATED FINANCIAL IMPACT OF THE PROPOSAL/INITIATIVE </w:t>
      </w:r>
    </w:p>
    <w:p w14:paraId="59D42D2E" w14:textId="77777777" w:rsidR="00CA7C31" w:rsidRPr="00AD21FF" w:rsidRDefault="00CA7C31" w:rsidP="00CA7C31">
      <w:pPr>
        <w:pStyle w:val="ManualHeading2"/>
        <w:rPr>
          <w:noProof/>
        </w:rPr>
      </w:pPr>
      <w:r w:rsidRPr="00AD21FF">
        <w:rPr>
          <w:noProof/>
        </w:rPr>
        <w:t>3.1.</w:t>
      </w:r>
      <w:r w:rsidRPr="00AD21FF">
        <w:rPr>
          <w:noProof/>
        </w:rPr>
        <w:tab/>
        <w:t>Heading(s) of the multiannual financial framework and expenditure budget line(s) affected</w:t>
      </w:r>
    </w:p>
    <w:p w14:paraId="3BD629FC" w14:textId="77777777" w:rsidR="00CA7C31" w:rsidRPr="00AD21FF" w:rsidRDefault="00CA7C31" w:rsidP="00CA7C31">
      <w:pPr>
        <w:pStyle w:val="ListBullet1"/>
        <w:rPr>
          <w:noProof/>
        </w:rPr>
      </w:pPr>
      <w:r w:rsidRPr="00AD21FF">
        <w:rPr>
          <w:noProof/>
        </w:rPr>
        <w:t xml:space="preserve">Existing budget lines </w:t>
      </w:r>
    </w:p>
    <w:p w14:paraId="22156E15" w14:textId="77777777" w:rsidR="00CA7C31" w:rsidRPr="00AD21FF" w:rsidRDefault="00CA7C31" w:rsidP="00CA7C31">
      <w:pPr>
        <w:pStyle w:val="Text1"/>
        <w:rPr>
          <w:i/>
          <w:noProof/>
        </w:rPr>
      </w:pPr>
      <w:r w:rsidRPr="00AD21FF">
        <w:rPr>
          <w:i/>
          <w:noProof/>
          <w:u w:val="single"/>
        </w:rPr>
        <w:t>In order</w:t>
      </w:r>
      <w:r w:rsidRPr="00AD21FF">
        <w:rPr>
          <w:i/>
          <w:noProof/>
        </w:rPr>
        <w:t xml:space="preserve"> of multiannual financial framework headings and budget lines.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1"/>
        <w:gridCol w:w="3483"/>
        <w:gridCol w:w="951"/>
        <w:gridCol w:w="841"/>
        <w:gridCol w:w="951"/>
        <w:gridCol w:w="841"/>
        <w:gridCol w:w="1269"/>
      </w:tblGrid>
      <w:tr w:rsidR="00CA7C31" w:rsidRPr="00AD21FF" w14:paraId="55126AF5" w14:textId="77777777" w:rsidTr="00131EB6">
        <w:trPr>
          <w:jc w:val="center"/>
        </w:trPr>
        <w:tc>
          <w:tcPr>
            <w:tcW w:w="512" w:type="pct"/>
            <w:vMerge w:val="restart"/>
            <w:vAlign w:val="center"/>
          </w:tcPr>
          <w:p w14:paraId="2B2CE4B0" w14:textId="77777777" w:rsidR="00CA7C31" w:rsidRPr="00AD21FF" w:rsidRDefault="00CA7C31">
            <w:pPr>
              <w:spacing w:before="60" w:after="60"/>
              <w:jc w:val="center"/>
              <w:rPr>
                <w:noProof/>
              </w:rPr>
            </w:pPr>
            <w:r w:rsidRPr="00AD21FF">
              <w:rPr>
                <w:noProof/>
                <w:sz w:val="18"/>
              </w:rPr>
              <w:t>Heading of multiannual financial framework</w:t>
            </w:r>
          </w:p>
        </w:tc>
        <w:tc>
          <w:tcPr>
            <w:tcW w:w="1875" w:type="pct"/>
            <w:vAlign w:val="center"/>
          </w:tcPr>
          <w:p w14:paraId="744DEB3B" w14:textId="77777777" w:rsidR="00CA7C31" w:rsidRPr="00AD21FF" w:rsidRDefault="00CA7C31">
            <w:pPr>
              <w:spacing w:before="60" w:after="60"/>
              <w:jc w:val="center"/>
              <w:rPr>
                <w:noProof/>
              </w:rPr>
            </w:pPr>
            <w:r w:rsidRPr="00AD21FF">
              <w:rPr>
                <w:noProof/>
                <w:sz w:val="20"/>
              </w:rPr>
              <w:t>Budget line</w:t>
            </w:r>
          </w:p>
        </w:tc>
        <w:tc>
          <w:tcPr>
            <w:tcW w:w="512" w:type="pct"/>
            <w:vAlign w:val="center"/>
          </w:tcPr>
          <w:p w14:paraId="6C463895" w14:textId="77777777" w:rsidR="00CA7C31" w:rsidRPr="00AD21FF" w:rsidRDefault="00CA7C31">
            <w:pPr>
              <w:spacing w:before="60" w:after="60"/>
              <w:jc w:val="center"/>
              <w:rPr>
                <w:noProof/>
              </w:rPr>
            </w:pPr>
            <w:r w:rsidRPr="00AD21FF">
              <w:rPr>
                <w:noProof/>
                <w:sz w:val="18"/>
              </w:rPr>
              <w:t>Type of expenditure</w:t>
            </w:r>
          </w:p>
        </w:tc>
        <w:tc>
          <w:tcPr>
            <w:tcW w:w="2101" w:type="pct"/>
            <w:gridSpan w:val="4"/>
            <w:vAlign w:val="center"/>
          </w:tcPr>
          <w:p w14:paraId="5CF59999" w14:textId="77777777" w:rsidR="00CA7C31" w:rsidRPr="00AD21FF" w:rsidRDefault="00CA7C31">
            <w:pPr>
              <w:spacing w:before="60" w:after="60"/>
              <w:jc w:val="center"/>
              <w:rPr>
                <w:noProof/>
              </w:rPr>
            </w:pPr>
            <w:r w:rsidRPr="00AD21FF">
              <w:rPr>
                <w:noProof/>
                <w:sz w:val="20"/>
              </w:rPr>
              <w:t xml:space="preserve">Contribution </w:t>
            </w:r>
          </w:p>
        </w:tc>
      </w:tr>
      <w:tr w:rsidR="00CA7C31" w:rsidRPr="00AD21FF" w14:paraId="18842921" w14:textId="77777777" w:rsidTr="00131EB6">
        <w:trPr>
          <w:cantSplit/>
          <w:jc w:val="center"/>
        </w:trPr>
        <w:tc>
          <w:tcPr>
            <w:tcW w:w="512" w:type="pct"/>
            <w:vMerge/>
            <w:vAlign w:val="center"/>
          </w:tcPr>
          <w:p w14:paraId="3E9E13D1" w14:textId="77777777" w:rsidR="00CA7C31" w:rsidRPr="00AD21FF" w:rsidRDefault="00CA7C31">
            <w:pPr>
              <w:jc w:val="center"/>
              <w:rPr>
                <w:noProof/>
              </w:rPr>
            </w:pPr>
          </w:p>
        </w:tc>
        <w:tc>
          <w:tcPr>
            <w:tcW w:w="1875" w:type="pct"/>
            <w:vAlign w:val="center"/>
          </w:tcPr>
          <w:p w14:paraId="516B1875" w14:textId="77777777" w:rsidR="00CA7C31" w:rsidRPr="00AD21FF" w:rsidRDefault="00CA7C31">
            <w:pPr>
              <w:rPr>
                <w:noProof/>
              </w:rPr>
            </w:pPr>
            <w:r w:rsidRPr="00AD21FF">
              <w:rPr>
                <w:noProof/>
                <w:sz w:val="20"/>
              </w:rPr>
              <w:t xml:space="preserve">Number </w:t>
            </w:r>
            <w:r w:rsidRPr="00AD21FF">
              <w:rPr>
                <w:noProof/>
                <w:sz w:val="22"/>
              </w:rPr>
              <w:br/>
            </w:r>
          </w:p>
        </w:tc>
        <w:tc>
          <w:tcPr>
            <w:tcW w:w="512" w:type="pct"/>
            <w:vAlign w:val="center"/>
          </w:tcPr>
          <w:p w14:paraId="1496310D" w14:textId="77777777" w:rsidR="00CA7C31" w:rsidRPr="00AD21FF" w:rsidRDefault="00CA7C31">
            <w:pPr>
              <w:jc w:val="center"/>
              <w:rPr>
                <w:noProof/>
              </w:rPr>
            </w:pPr>
            <w:r w:rsidRPr="00AD21FF">
              <w:rPr>
                <w:noProof/>
                <w:sz w:val="18"/>
                <w:szCs w:val="18"/>
              </w:rPr>
              <w:t>Diff./Non-diff.</w:t>
            </w:r>
            <w:r w:rsidRPr="00AD21FF">
              <w:rPr>
                <w:rStyle w:val="FootnoteReference"/>
                <w:noProof/>
                <w:sz w:val="18"/>
                <w:szCs w:val="18"/>
              </w:rPr>
              <w:footnoteReference w:id="70"/>
            </w:r>
          </w:p>
        </w:tc>
        <w:tc>
          <w:tcPr>
            <w:tcW w:w="453" w:type="pct"/>
            <w:vAlign w:val="center"/>
          </w:tcPr>
          <w:p w14:paraId="60E46C74" w14:textId="77777777" w:rsidR="00CA7C31" w:rsidRPr="00AD21FF" w:rsidRDefault="00CA7C31">
            <w:pPr>
              <w:jc w:val="center"/>
              <w:rPr>
                <w:b/>
                <w:noProof/>
                <w:sz w:val="18"/>
              </w:rPr>
            </w:pPr>
            <w:r w:rsidRPr="00AD21FF">
              <w:rPr>
                <w:noProof/>
                <w:sz w:val="18"/>
                <w:szCs w:val="18"/>
              </w:rPr>
              <w:t>from EFTA countries</w:t>
            </w:r>
            <w:r w:rsidRPr="00AD21FF">
              <w:rPr>
                <w:rStyle w:val="FootnoteReference"/>
                <w:noProof/>
                <w:sz w:val="18"/>
                <w:szCs w:val="18"/>
              </w:rPr>
              <w:footnoteReference w:id="71"/>
            </w:r>
          </w:p>
        </w:tc>
        <w:tc>
          <w:tcPr>
            <w:tcW w:w="512" w:type="pct"/>
            <w:vAlign w:val="center"/>
          </w:tcPr>
          <w:p w14:paraId="362188D7" w14:textId="77777777" w:rsidR="00CA7C31" w:rsidRPr="00AD21FF" w:rsidRDefault="00CA7C31">
            <w:pPr>
              <w:jc w:val="center"/>
              <w:rPr>
                <w:noProof/>
                <w:sz w:val="18"/>
              </w:rPr>
            </w:pPr>
            <w:r w:rsidRPr="00AD21FF">
              <w:rPr>
                <w:noProof/>
                <w:sz w:val="18"/>
                <w:szCs w:val="18"/>
              </w:rPr>
              <w:t>from candidate countries and potential candidates</w:t>
            </w:r>
            <w:r w:rsidRPr="00AD21FF">
              <w:rPr>
                <w:rStyle w:val="FootnoteReference"/>
                <w:noProof/>
                <w:sz w:val="18"/>
                <w:szCs w:val="18"/>
              </w:rPr>
              <w:footnoteReference w:id="72"/>
            </w:r>
          </w:p>
        </w:tc>
        <w:tc>
          <w:tcPr>
            <w:tcW w:w="453" w:type="pct"/>
            <w:vAlign w:val="center"/>
          </w:tcPr>
          <w:p w14:paraId="3F8B6CC2" w14:textId="77777777" w:rsidR="00CA7C31" w:rsidRPr="00AD21FF" w:rsidRDefault="00CA7C31">
            <w:pPr>
              <w:jc w:val="center"/>
              <w:rPr>
                <w:noProof/>
                <w:sz w:val="18"/>
              </w:rPr>
            </w:pPr>
            <w:r w:rsidRPr="00AD21FF">
              <w:rPr>
                <w:noProof/>
                <w:sz w:val="18"/>
              </w:rPr>
              <w:t>From other third countries</w:t>
            </w:r>
          </w:p>
        </w:tc>
        <w:tc>
          <w:tcPr>
            <w:tcW w:w="683" w:type="pct"/>
            <w:vAlign w:val="center"/>
          </w:tcPr>
          <w:p w14:paraId="62D82158" w14:textId="77777777" w:rsidR="00CA7C31" w:rsidRPr="00AD21FF" w:rsidRDefault="00CA7C31">
            <w:pPr>
              <w:jc w:val="center"/>
              <w:rPr>
                <w:noProof/>
              </w:rPr>
            </w:pPr>
            <w:r w:rsidRPr="00AD21FF">
              <w:rPr>
                <w:noProof/>
                <w:sz w:val="18"/>
                <w:szCs w:val="18"/>
              </w:rPr>
              <w:t>other assigned revenue</w:t>
            </w:r>
          </w:p>
        </w:tc>
      </w:tr>
      <w:tr w:rsidR="00CE074D" w:rsidRPr="00AD21FF" w14:paraId="513D82C0" w14:textId="77777777" w:rsidTr="00131EB6">
        <w:trPr>
          <w:jc w:val="center"/>
        </w:trPr>
        <w:tc>
          <w:tcPr>
            <w:tcW w:w="512" w:type="pct"/>
            <w:vAlign w:val="center"/>
          </w:tcPr>
          <w:p w14:paraId="212A89A4" w14:textId="77777777" w:rsidR="00CE074D" w:rsidRPr="00AD21FF" w:rsidRDefault="00CE074D" w:rsidP="00CE074D">
            <w:pPr>
              <w:jc w:val="center"/>
              <w:rPr>
                <w:noProof/>
                <w:color w:val="0000FF"/>
              </w:rPr>
            </w:pPr>
            <w:r>
              <w:rPr>
                <w:noProof/>
                <w:color w:val="0000FF"/>
              </w:rPr>
              <w:t>1</w:t>
            </w:r>
          </w:p>
        </w:tc>
        <w:tc>
          <w:tcPr>
            <w:tcW w:w="1875" w:type="pct"/>
            <w:vAlign w:val="center"/>
          </w:tcPr>
          <w:p w14:paraId="77EF2A52" w14:textId="77777777" w:rsidR="00CE074D" w:rsidRPr="00AD21FF" w:rsidRDefault="00CE074D" w:rsidP="00CE074D">
            <w:pPr>
              <w:spacing w:before="60"/>
              <w:rPr>
                <w:rFonts w:eastAsia="Times New Roman"/>
                <w:noProof/>
                <w:sz w:val="20"/>
                <w:szCs w:val="20"/>
                <w:lang w:eastAsia="en-IE"/>
              </w:rPr>
            </w:pPr>
            <w:r w:rsidRPr="00E97CCC">
              <w:rPr>
                <w:rFonts w:eastAsia="Times New Roman"/>
                <w:noProof/>
                <w:sz w:val="20"/>
                <w:szCs w:val="20"/>
                <w:lang w:eastAsia="en-IE"/>
              </w:rPr>
              <w:t>03 02 01 02</w:t>
            </w:r>
          </w:p>
        </w:tc>
        <w:tc>
          <w:tcPr>
            <w:tcW w:w="512" w:type="pct"/>
            <w:vAlign w:val="center"/>
          </w:tcPr>
          <w:p w14:paraId="2D379283" w14:textId="77777777" w:rsidR="00CE074D" w:rsidRPr="00AD21FF" w:rsidRDefault="004D1CBA" w:rsidP="00CE074D">
            <w:pPr>
              <w:jc w:val="center"/>
              <w:rPr>
                <w:noProof/>
                <w:color w:val="0000FF"/>
              </w:rPr>
            </w:pPr>
            <w:r w:rsidRPr="081F0B3B">
              <w:rPr>
                <w:noProof/>
                <w:color w:val="0000FF"/>
                <w:sz w:val="20"/>
                <w:szCs w:val="20"/>
              </w:rPr>
              <w:t>Diff.</w:t>
            </w:r>
          </w:p>
        </w:tc>
        <w:tc>
          <w:tcPr>
            <w:tcW w:w="453" w:type="pct"/>
            <w:vAlign w:val="center"/>
          </w:tcPr>
          <w:p w14:paraId="47FC75D8" w14:textId="77777777" w:rsidR="00CE074D" w:rsidRPr="00AD21FF" w:rsidRDefault="004D1CBA" w:rsidP="00CE074D">
            <w:pPr>
              <w:jc w:val="center"/>
              <w:rPr>
                <w:noProof/>
                <w:sz w:val="20"/>
                <w:szCs w:val="20"/>
              </w:rPr>
            </w:pPr>
            <w:r w:rsidRPr="004D1CBA">
              <w:rPr>
                <w:noProof/>
                <w:sz w:val="20"/>
                <w:szCs w:val="20"/>
              </w:rPr>
              <w:t>Yes</w:t>
            </w:r>
          </w:p>
        </w:tc>
        <w:tc>
          <w:tcPr>
            <w:tcW w:w="512" w:type="pct"/>
            <w:vAlign w:val="center"/>
          </w:tcPr>
          <w:p w14:paraId="3B41B988" w14:textId="77777777" w:rsidR="00CE074D" w:rsidRPr="00AD21FF" w:rsidRDefault="004D1CBA" w:rsidP="00CE074D">
            <w:pPr>
              <w:jc w:val="center"/>
              <w:rPr>
                <w:noProof/>
                <w:sz w:val="20"/>
                <w:szCs w:val="20"/>
              </w:rPr>
            </w:pPr>
            <w:r w:rsidRPr="004D1CBA">
              <w:rPr>
                <w:noProof/>
                <w:sz w:val="20"/>
                <w:szCs w:val="20"/>
              </w:rPr>
              <w:t>No</w:t>
            </w:r>
          </w:p>
        </w:tc>
        <w:tc>
          <w:tcPr>
            <w:tcW w:w="453" w:type="pct"/>
            <w:vAlign w:val="center"/>
          </w:tcPr>
          <w:p w14:paraId="63777CFB" w14:textId="77777777" w:rsidR="00CE074D" w:rsidRPr="00AD21FF" w:rsidRDefault="004D1CBA" w:rsidP="00CE074D">
            <w:pPr>
              <w:jc w:val="center"/>
              <w:rPr>
                <w:noProof/>
                <w:sz w:val="20"/>
                <w:szCs w:val="20"/>
              </w:rPr>
            </w:pPr>
            <w:r w:rsidRPr="004D1CBA">
              <w:rPr>
                <w:noProof/>
                <w:sz w:val="20"/>
                <w:szCs w:val="20"/>
              </w:rPr>
              <w:t>No</w:t>
            </w:r>
          </w:p>
        </w:tc>
        <w:tc>
          <w:tcPr>
            <w:tcW w:w="683" w:type="pct"/>
            <w:vAlign w:val="center"/>
          </w:tcPr>
          <w:p w14:paraId="7A029C92" w14:textId="77777777" w:rsidR="00CE074D" w:rsidRPr="00AD21FF" w:rsidRDefault="004D1CBA" w:rsidP="00CE074D">
            <w:pPr>
              <w:jc w:val="center"/>
              <w:rPr>
                <w:noProof/>
                <w:sz w:val="20"/>
                <w:szCs w:val="20"/>
              </w:rPr>
            </w:pPr>
            <w:r w:rsidRPr="004D1CBA">
              <w:rPr>
                <w:noProof/>
                <w:sz w:val="20"/>
                <w:szCs w:val="20"/>
              </w:rPr>
              <w:t>No</w:t>
            </w:r>
          </w:p>
        </w:tc>
      </w:tr>
      <w:tr w:rsidR="00CA7C31" w:rsidRPr="00AD21FF" w14:paraId="09C2A963" w14:textId="77777777" w:rsidTr="00131EB6">
        <w:trPr>
          <w:jc w:val="center"/>
        </w:trPr>
        <w:tc>
          <w:tcPr>
            <w:tcW w:w="512" w:type="pct"/>
            <w:vAlign w:val="center"/>
          </w:tcPr>
          <w:p w14:paraId="3FCDE760" w14:textId="77777777" w:rsidR="00CA7C31" w:rsidRPr="00AD21FF" w:rsidRDefault="00CA7C31">
            <w:pPr>
              <w:jc w:val="center"/>
              <w:rPr>
                <w:noProof/>
                <w:color w:val="0000FF"/>
              </w:rPr>
            </w:pPr>
            <w:r w:rsidRPr="00AD21FF">
              <w:rPr>
                <w:noProof/>
                <w:color w:val="0000FF"/>
              </w:rPr>
              <w:t>7</w:t>
            </w:r>
          </w:p>
        </w:tc>
        <w:tc>
          <w:tcPr>
            <w:tcW w:w="1875" w:type="pct"/>
            <w:vAlign w:val="center"/>
          </w:tcPr>
          <w:p w14:paraId="59322FBB" w14:textId="77777777" w:rsidR="00CA7C31" w:rsidRPr="00AD21FF" w:rsidRDefault="00CA7C31">
            <w:pPr>
              <w:spacing w:before="60"/>
              <w:rPr>
                <w:noProof/>
              </w:rPr>
            </w:pPr>
            <w:r w:rsidRPr="00AD21FF">
              <w:rPr>
                <w:rFonts w:eastAsia="Times New Roman"/>
                <w:noProof/>
                <w:sz w:val="20"/>
                <w:szCs w:val="20"/>
                <w:lang w:eastAsia="en-IE"/>
              </w:rPr>
              <w:t>20 01 02 01</w:t>
            </w:r>
          </w:p>
        </w:tc>
        <w:tc>
          <w:tcPr>
            <w:tcW w:w="512" w:type="pct"/>
            <w:vAlign w:val="center"/>
          </w:tcPr>
          <w:p w14:paraId="755DFB50" w14:textId="77777777" w:rsidR="00CA7C31" w:rsidRPr="00AD21FF" w:rsidRDefault="004D1CBA">
            <w:pPr>
              <w:jc w:val="center"/>
              <w:rPr>
                <w:noProof/>
                <w:color w:val="0000FF"/>
              </w:rPr>
            </w:pPr>
            <w:r w:rsidRPr="004D1CBA">
              <w:rPr>
                <w:noProof/>
                <w:color w:val="0000FF"/>
                <w:sz w:val="20"/>
                <w:szCs w:val="18"/>
              </w:rPr>
              <w:t>Non-diff.</w:t>
            </w:r>
          </w:p>
        </w:tc>
        <w:tc>
          <w:tcPr>
            <w:tcW w:w="453" w:type="pct"/>
            <w:vAlign w:val="center"/>
          </w:tcPr>
          <w:p w14:paraId="317F18DC" w14:textId="77777777" w:rsidR="00CA7C31" w:rsidRPr="00AD21FF" w:rsidRDefault="004D1CBA">
            <w:pPr>
              <w:jc w:val="center"/>
              <w:rPr>
                <w:noProof/>
                <w:sz w:val="20"/>
                <w:szCs w:val="20"/>
              </w:rPr>
            </w:pPr>
            <w:r w:rsidRPr="004D1CBA">
              <w:rPr>
                <w:noProof/>
                <w:sz w:val="20"/>
                <w:szCs w:val="20"/>
              </w:rPr>
              <w:t>No</w:t>
            </w:r>
          </w:p>
        </w:tc>
        <w:tc>
          <w:tcPr>
            <w:tcW w:w="512" w:type="pct"/>
            <w:vAlign w:val="center"/>
          </w:tcPr>
          <w:p w14:paraId="73E97FDE" w14:textId="77777777" w:rsidR="00CA7C31" w:rsidRPr="00AD21FF" w:rsidRDefault="004D1CBA">
            <w:pPr>
              <w:jc w:val="center"/>
              <w:rPr>
                <w:noProof/>
                <w:sz w:val="20"/>
                <w:szCs w:val="20"/>
              </w:rPr>
            </w:pPr>
            <w:r w:rsidRPr="004D1CBA">
              <w:rPr>
                <w:noProof/>
                <w:sz w:val="20"/>
                <w:szCs w:val="20"/>
              </w:rPr>
              <w:t>No</w:t>
            </w:r>
          </w:p>
        </w:tc>
        <w:tc>
          <w:tcPr>
            <w:tcW w:w="453" w:type="pct"/>
            <w:vAlign w:val="center"/>
          </w:tcPr>
          <w:p w14:paraId="5FDB6095" w14:textId="77777777" w:rsidR="00CA7C31" w:rsidRPr="00AD21FF" w:rsidRDefault="004D1CBA">
            <w:pPr>
              <w:jc w:val="center"/>
              <w:rPr>
                <w:noProof/>
                <w:sz w:val="20"/>
                <w:szCs w:val="20"/>
              </w:rPr>
            </w:pPr>
            <w:r w:rsidRPr="004D1CBA">
              <w:rPr>
                <w:noProof/>
                <w:sz w:val="20"/>
                <w:szCs w:val="20"/>
              </w:rPr>
              <w:t>No</w:t>
            </w:r>
          </w:p>
        </w:tc>
        <w:tc>
          <w:tcPr>
            <w:tcW w:w="683" w:type="pct"/>
            <w:vAlign w:val="center"/>
          </w:tcPr>
          <w:p w14:paraId="7E15148F" w14:textId="77777777" w:rsidR="00CA7C31" w:rsidRPr="00AD21FF" w:rsidRDefault="004D1CBA">
            <w:pPr>
              <w:jc w:val="center"/>
              <w:rPr>
                <w:noProof/>
                <w:sz w:val="20"/>
                <w:szCs w:val="20"/>
              </w:rPr>
            </w:pPr>
            <w:r w:rsidRPr="004D1CBA">
              <w:rPr>
                <w:noProof/>
                <w:sz w:val="20"/>
                <w:szCs w:val="20"/>
              </w:rPr>
              <w:t>No</w:t>
            </w:r>
          </w:p>
        </w:tc>
      </w:tr>
    </w:tbl>
    <w:p w14:paraId="0BE90320" w14:textId="77777777" w:rsidR="00CA7C31" w:rsidRPr="00AD21FF" w:rsidRDefault="00CA7C31" w:rsidP="00CA7C31">
      <w:pPr>
        <w:pStyle w:val="ListBullet1"/>
        <w:rPr>
          <w:noProof/>
        </w:rPr>
      </w:pPr>
      <w:r w:rsidRPr="00AD21FF">
        <w:rPr>
          <w:noProof/>
        </w:rPr>
        <w:t xml:space="preserve">New budget lines requested </w:t>
      </w:r>
    </w:p>
    <w:p w14:paraId="05299308" w14:textId="77777777" w:rsidR="00CA7C31" w:rsidRPr="00AD21FF" w:rsidRDefault="00CA7C31" w:rsidP="00CA7C31">
      <w:pPr>
        <w:pStyle w:val="Text1"/>
        <w:rPr>
          <w:i/>
          <w:noProof/>
          <w:sz w:val="20"/>
        </w:rPr>
      </w:pPr>
      <w:r w:rsidRPr="00AD21FF">
        <w:rPr>
          <w:i/>
          <w:noProof/>
          <w:u w:val="single"/>
        </w:rPr>
        <w:t>In order</w:t>
      </w:r>
      <w:r w:rsidRPr="00AD21FF">
        <w:rPr>
          <w:i/>
          <w:noProof/>
        </w:rPr>
        <w:t xml:space="preserve"> of multiannual financial framework headings and budget lines.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1"/>
        <w:gridCol w:w="3483"/>
        <w:gridCol w:w="951"/>
        <w:gridCol w:w="841"/>
        <w:gridCol w:w="951"/>
        <w:gridCol w:w="841"/>
        <w:gridCol w:w="1269"/>
      </w:tblGrid>
      <w:tr w:rsidR="00CA7C31" w:rsidRPr="00AD21FF" w14:paraId="36652BC8" w14:textId="77777777">
        <w:trPr>
          <w:jc w:val="center"/>
        </w:trPr>
        <w:tc>
          <w:tcPr>
            <w:tcW w:w="512" w:type="pct"/>
            <w:vMerge w:val="restart"/>
            <w:vAlign w:val="center"/>
          </w:tcPr>
          <w:p w14:paraId="26FA5A6C" w14:textId="77777777" w:rsidR="00CA7C31" w:rsidRPr="00AD21FF" w:rsidRDefault="00CA7C31">
            <w:pPr>
              <w:spacing w:before="60" w:after="60"/>
              <w:jc w:val="center"/>
              <w:rPr>
                <w:noProof/>
                <w:sz w:val="18"/>
                <w:szCs w:val="18"/>
              </w:rPr>
            </w:pPr>
            <w:r w:rsidRPr="00AD21FF">
              <w:rPr>
                <w:noProof/>
                <w:sz w:val="18"/>
              </w:rPr>
              <w:t>Heading of multiannual financial framework</w:t>
            </w:r>
          </w:p>
        </w:tc>
        <w:tc>
          <w:tcPr>
            <w:tcW w:w="1875" w:type="pct"/>
            <w:vAlign w:val="center"/>
          </w:tcPr>
          <w:p w14:paraId="6D6BA3C5" w14:textId="77777777" w:rsidR="00CA7C31" w:rsidRPr="00AD21FF" w:rsidRDefault="00CA7C31">
            <w:pPr>
              <w:spacing w:before="60" w:after="60"/>
              <w:jc w:val="center"/>
              <w:rPr>
                <w:noProof/>
              </w:rPr>
            </w:pPr>
            <w:r w:rsidRPr="00AD21FF">
              <w:rPr>
                <w:noProof/>
                <w:sz w:val="20"/>
              </w:rPr>
              <w:t>Budget line</w:t>
            </w:r>
          </w:p>
        </w:tc>
        <w:tc>
          <w:tcPr>
            <w:tcW w:w="512" w:type="pct"/>
            <w:vAlign w:val="center"/>
          </w:tcPr>
          <w:p w14:paraId="5576A1CB" w14:textId="77777777" w:rsidR="00CA7C31" w:rsidRPr="00AD21FF" w:rsidRDefault="00CA7C31">
            <w:pPr>
              <w:spacing w:before="60" w:after="60"/>
              <w:jc w:val="center"/>
              <w:rPr>
                <w:noProof/>
              </w:rPr>
            </w:pPr>
            <w:r w:rsidRPr="00AD21FF">
              <w:rPr>
                <w:noProof/>
                <w:sz w:val="18"/>
              </w:rPr>
              <w:t>Type of expenditure</w:t>
            </w:r>
          </w:p>
        </w:tc>
        <w:tc>
          <w:tcPr>
            <w:tcW w:w="2102" w:type="pct"/>
            <w:gridSpan w:val="4"/>
            <w:vAlign w:val="center"/>
          </w:tcPr>
          <w:p w14:paraId="4329D1DF" w14:textId="77777777" w:rsidR="00CA7C31" w:rsidRPr="00AD21FF" w:rsidRDefault="00CA7C31">
            <w:pPr>
              <w:spacing w:before="60" w:after="60"/>
              <w:jc w:val="center"/>
              <w:rPr>
                <w:noProof/>
              </w:rPr>
            </w:pPr>
            <w:r w:rsidRPr="00AD21FF">
              <w:rPr>
                <w:noProof/>
                <w:sz w:val="20"/>
              </w:rPr>
              <w:t xml:space="preserve">Contribution </w:t>
            </w:r>
          </w:p>
        </w:tc>
      </w:tr>
      <w:tr w:rsidR="00CA7C31" w:rsidRPr="00AD21FF" w14:paraId="0B2458E8" w14:textId="77777777">
        <w:trPr>
          <w:cantSplit/>
          <w:jc w:val="center"/>
        </w:trPr>
        <w:tc>
          <w:tcPr>
            <w:tcW w:w="512" w:type="pct"/>
            <w:vMerge/>
            <w:vAlign w:val="center"/>
          </w:tcPr>
          <w:p w14:paraId="624D7457" w14:textId="77777777" w:rsidR="00CA7C31" w:rsidRPr="00AD21FF" w:rsidRDefault="00CA7C31">
            <w:pPr>
              <w:jc w:val="center"/>
              <w:rPr>
                <w:noProof/>
              </w:rPr>
            </w:pPr>
          </w:p>
        </w:tc>
        <w:tc>
          <w:tcPr>
            <w:tcW w:w="1875" w:type="pct"/>
            <w:vAlign w:val="center"/>
          </w:tcPr>
          <w:p w14:paraId="507521E5" w14:textId="77777777" w:rsidR="00CA7C31" w:rsidRPr="00AD21FF" w:rsidRDefault="00CA7C31">
            <w:pPr>
              <w:rPr>
                <w:noProof/>
              </w:rPr>
            </w:pPr>
            <w:r w:rsidRPr="00AD21FF">
              <w:rPr>
                <w:noProof/>
                <w:sz w:val="20"/>
              </w:rPr>
              <w:t xml:space="preserve">Number </w:t>
            </w:r>
            <w:r w:rsidRPr="00AD21FF">
              <w:rPr>
                <w:noProof/>
                <w:sz w:val="22"/>
              </w:rPr>
              <w:br/>
            </w:r>
          </w:p>
        </w:tc>
        <w:tc>
          <w:tcPr>
            <w:tcW w:w="512" w:type="pct"/>
            <w:vAlign w:val="center"/>
          </w:tcPr>
          <w:p w14:paraId="38A2246F" w14:textId="77777777" w:rsidR="00CA7C31" w:rsidRPr="00AD21FF" w:rsidRDefault="00CA7C31">
            <w:pPr>
              <w:jc w:val="center"/>
              <w:rPr>
                <w:noProof/>
              </w:rPr>
            </w:pPr>
            <w:r w:rsidRPr="00AD21FF">
              <w:rPr>
                <w:noProof/>
                <w:sz w:val="18"/>
              </w:rPr>
              <w:t>Diff./Non-diff.</w:t>
            </w:r>
          </w:p>
        </w:tc>
        <w:tc>
          <w:tcPr>
            <w:tcW w:w="453" w:type="pct"/>
            <w:vAlign w:val="center"/>
          </w:tcPr>
          <w:p w14:paraId="3F5C92C9" w14:textId="77777777" w:rsidR="00CA7C31" w:rsidRPr="00AD21FF" w:rsidRDefault="00CA7C31">
            <w:pPr>
              <w:jc w:val="center"/>
              <w:rPr>
                <w:noProof/>
                <w:sz w:val="18"/>
              </w:rPr>
            </w:pPr>
            <w:r w:rsidRPr="00AD21FF">
              <w:rPr>
                <w:noProof/>
                <w:sz w:val="18"/>
              </w:rPr>
              <w:t>from EFTA countries</w:t>
            </w:r>
          </w:p>
        </w:tc>
        <w:tc>
          <w:tcPr>
            <w:tcW w:w="512" w:type="pct"/>
            <w:vAlign w:val="center"/>
          </w:tcPr>
          <w:p w14:paraId="5D780867" w14:textId="77777777" w:rsidR="00CA7C31" w:rsidRPr="00AD21FF" w:rsidRDefault="00CA7C31">
            <w:pPr>
              <w:jc w:val="center"/>
              <w:rPr>
                <w:noProof/>
                <w:sz w:val="18"/>
              </w:rPr>
            </w:pPr>
            <w:r w:rsidRPr="00AD21FF">
              <w:rPr>
                <w:noProof/>
                <w:sz w:val="18"/>
              </w:rPr>
              <w:t>from candidate countries and potential candidates</w:t>
            </w:r>
          </w:p>
        </w:tc>
        <w:tc>
          <w:tcPr>
            <w:tcW w:w="453" w:type="pct"/>
            <w:vAlign w:val="center"/>
          </w:tcPr>
          <w:p w14:paraId="60E73A06" w14:textId="77777777" w:rsidR="00CA7C31" w:rsidRPr="00AD21FF" w:rsidRDefault="00CA7C31">
            <w:pPr>
              <w:jc w:val="center"/>
              <w:rPr>
                <w:noProof/>
                <w:sz w:val="18"/>
              </w:rPr>
            </w:pPr>
            <w:r w:rsidRPr="00AD21FF">
              <w:rPr>
                <w:noProof/>
                <w:sz w:val="18"/>
              </w:rPr>
              <w:t>from other third countries</w:t>
            </w:r>
          </w:p>
        </w:tc>
        <w:tc>
          <w:tcPr>
            <w:tcW w:w="685" w:type="pct"/>
            <w:vAlign w:val="center"/>
          </w:tcPr>
          <w:p w14:paraId="21A9D385" w14:textId="77777777" w:rsidR="00CA7C31" w:rsidRPr="00AD21FF" w:rsidRDefault="00CA7C31">
            <w:pPr>
              <w:jc w:val="center"/>
              <w:rPr>
                <w:noProof/>
              </w:rPr>
            </w:pPr>
            <w:r w:rsidRPr="00AD21FF">
              <w:rPr>
                <w:noProof/>
                <w:sz w:val="18"/>
                <w:szCs w:val="18"/>
              </w:rPr>
              <w:t xml:space="preserve">other assigned revenue </w:t>
            </w:r>
          </w:p>
        </w:tc>
      </w:tr>
      <w:tr w:rsidR="00CA7C31" w:rsidRPr="00AD21FF" w14:paraId="66DFD2A0" w14:textId="77777777">
        <w:trPr>
          <w:cantSplit/>
          <w:jc w:val="center"/>
        </w:trPr>
        <w:tc>
          <w:tcPr>
            <w:tcW w:w="512" w:type="pct"/>
            <w:vAlign w:val="center"/>
          </w:tcPr>
          <w:p w14:paraId="0C73699E" w14:textId="77777777" w:rsidR="00CA7C31" w:rsidRPr="00AD21FF" w:rsidRDefault="00CA7C31">
            <w:pPr>
              <w:jc w:val="center"/>
              <w:rPr>
                <w:noProof/>
                <w:color w:val="0000FF"/>
              </w:rPr>
            </w:pPr>
          </w:p>
        </w:tc>
        <w:tc>
          <w:tcPr>
            <w:tcW w:w="1875" w:type="pct"/>
            <w:vAlign w:val="center"/>
          </w:tcPr>
          <w:p w14:paraId="42A781C1" w14:textId="77777777" w:rsidR="00CA7C31" w:rsidRPr="00AD21FF" w:rsidRDefault="00CA7C31">
            <w:pPr>
              <w:spacing w:before="60"/>
              <w:rPr>
                <w:noProof/>
              </w:rPr>
            </w:pPr>
            <w:r w:rsidRPr="00AD21FF">
              <w:rPr>
                <w:rFonts w:eastAsia="Times New Roman"/>
                <w:noProof/>
                <w:sz w:val="20"/>
                <w:szCs w:val="20"/>
                <w:lang w:eastAsia="en-IE"/>
              </w:rPr>
              <w:t>N/A</w:t>
            </w:r>
          </w:p>
        </w:tc>
        <w:tc>
          <w:tcPr>
            <w:tcW w:w="512" w:type="pct"/>
            <w:vAlign w:val="center"/>
          </w:tcPr>
          <w:p w14:paraId="2F299B29" w14:textId="77777777" w:rsidR="00CA7C31" w:rsidRPr="00AD21FF" w:rsidRDefault="00CA7C31">
            <w:pPr>
              <w:jc w:val="center"/>
              <w:rPr>
                <w:noProof/>
                <w:color w:val="0000FF"/>
              </w:rPr>
            </w:pPr>
          </w:p>
        </w:tc>
        <w:tc>
          <w:tcPr>
            <w:tcW w:w="453" w:type="pct"/>
            <w:vAlign w:val="center"/>
          </w:tcPr>
          <w:p w14:paraId="6A3249C3" w14:textId="77777777" w:rsidR="00CA7C31" w:rsidRPr="00AD21FF" w:rsidRDefault="00CA7C31">
            <w:pPr>
              <w:jc w:val="center"/>
              <w:rPr>
                <w:noProof/>
                <w:sz w:val="20"/>
                <w:szCs w:val="20"/>
              </w:rPr>
            </w:pPr>
          </w:p>
        </w:tc>
        <w:tc>
          <w:tcPr>
            <w:tcW w:w="512" w:type="pct"/>
            <w:vAlign w:val="center"/>
          </w:tcPr>
          <w:p w14:paraId="26449DD3" w14:textId="77777777" w:rsidR="00CA7C31" w:rsidRPr="00AD21FF" w:rsidRDefault="00CA7C31">
            <w:pPr>
              <w:jc w:val="center"/>
              <w:rPr>
                <w:noProof/>
                <w:sz w:val="20"/>
                <w:szCs w:val="20"/>
              </w:rPr>
            </w:pPr>
          </w:p>
        </w:tc>
        <w:tc>
          <w:tcPr>
            <w:tcW w:w="453" w:type="pct"/>
            <w:vAlign w:val="center"/>
          </w:tcPr>
          <w:p w14:paraId="31677547" w14:textId="77777777" w:rsidR="00CA7C31" w:rsidRPr="00AD21FF" w:rsidRDefault="00CA7C31">
            <w:pPr>
              <w:jc w:val="center"/>
              <w:rPr>
                <w:noProof/>
                <w:sz w:val="20"/>
                <w:szCs w:val="20"/>
              </w:rPr>
            </w:pPr>
          </w:p>
        </w:tc>
        <w:tc>
          <w:tcPr>
            <w:tcW w:w="685" w:type="pct"/>
            <w:vAlign w:val="center"/>
          </w:tcPr>
          <w:p w14:paraId="690B0586" w14:textId="77777777" w:rsidR="00CA7C31" w:rsidRPr="00AD21FF" w:rsidRDefault="00CA7C31">
            <w:pPr>
              <w:jc w:val="center"/>
              <w:rPr>
                <w:noProof/>
                <w:sz w:val="20"/>
                <w:szCs w:val="20"/>
              </w:rPr>
            </w:pPr>
          </w:p>
        </w:tc>
      </w:tr>
    </w:tbl>
    <w:p w14:paraId="33A02203" w14:textId="77777777" w:rsidR="00CA7C31" w:rsidRPr="00AD21FF" w:rsidRDefault="00CA7C31" w:rsidP="00CA7C31">
      <w:pPr>
        <w:rPr>
          <w:noProof/>
        </w:rPr>
        <w:sectPr w:rsidR="00CA7C31" w:rsidRPr="00AD21FF" w:rsidSect="00052996">
          <w:pgSz w:w="11907" w:h="16840" w:code="1"/>
          <w:pgMar w:top="1134" w:right="1418" w:bottom="1134" w:left="1418" w:header="709" w:footer="709" w:gutter="0"/>
          <w:cols w:space="708"/>
          <w:docGrid w:linePitch="360"/>
        </w:sectPr>
      </w:pPr>
    </w:p>
    <w:p w14:paraId="2145976C" w14:textId="77777777" w:rsidR="00CA7C31" w:rsidRPr="00AD21FF" w:rsidRDefault="00CA7C31" w:rsidP="00CA7C31">
      <w:pPr>
        <w:pStyle w:val="ManualHeading2"/>
        <w:rPr>
          <w:bCs/>
          <w:noProof/>
          <w:szCs w:val="24"/>
        </w:rPr>
      </w:pPr>
      <w:r w:rsidRPr="00AD21FF">
        <w:rPr>
          <w:noProof/>
        </w:rPr>
        <w:t>3.2.</w:t>
      </w:r>
      <w:r w:rsidRPr="00AD21FF">
        <w:rPr>
          <w:noProof/>
        </w:rPr>
        <w:tab/>
        <w:t xml:space="preserve">Estimated financial impact of the proposal on appropriations </w:t>
      </w:r>
    </w:p>
    <w:p w14:paraId="05CEC4E8" w14:textId="77777777" w:rsidR="00CA7C31" w:rsidRPr="00AD21FF" w:rsidRDefault="00CA7C31" w:rsidP="00CA7C31">
      <w:pPr>
        <w:pStyle w:val="ManualHeading3"/>
        <w:rPr>
          <w:noProof/>
        </w:rPr>
      </w:pPr>
      <w:r w:rsidRPr="00AD21FF">
        <w:rPr>
          <w:noProof/>
        </w:rPr>
        <w:t>3.2.1.</w:t>
      </w:r>
      <w:r w:rsidRPr="00AD21FF">
        <w:rPr>
          <w:noProof/>
        </w:rPr>
        <w:tab/>
        <w:t xml:space="preserve">Summary of estimated impact on operational appropriations </w:t>
      </w:r>
    </w:p>
    <w:p w14:paraId="6864B45F" w14:textId="77777777" w:rsidR="00CA7C31" w:rsidRPr="00AD21FF" w:rsidRDefault="00A80D28" w:rsidP="00CA7C31">
      <w:pPr>
        <w:pStyle w:val="ListDash1"/>
        <w:ind w:left="1134" w:hanging="283"/>
        <w:rPr>
          <w:noProof/>
        </w:rPr>
      </w:pPr>
      <w:r w:rsidRPr="00AD21FF">
        <w:rPr>
          <w:rFonts w:ascii="Wingdings" w:eastAsia="Wingdings" w:hAnsi="Wingdings" w:cs="Wingdings"/>
          <w:noProof/>
        </w:rPr>
        <w:t></w:t>
      </w:r>
      <w:r>
        <w:rPr>
          <w:noProof/>
        </w:rPr>
        <w:t xml:space="preserve"> </w:t>
      </w:r>
      <w:r w:rsidR="00CA7C31" w:rsidRPr="00AD21FF">
        <w:rPr>
          <w:noProof/>
        </w:rPr>
        <w:t xml:space="preserve">The proposal/initiative does not require the use of operational appropriations </w:t>
      </w:r>
    </w:p>
    <w:p w14:paraId="7A689446" w14:textId="77777777" w:rsidR="00CA7C31" w:rsidRPr="00AD21FF" w:rsidRDefault="00A80D28" w:rsidP="00CA7C31">
      <w:pPr>
        <w:pStyle w:val="ListDash1"/>
        <w:ind w:left="1134" w:hanging="283"/>
        <w:rPr>
          <w:noProof/>
        </w:rPr>
      </w:pPr>
      <w:r w:rsidRPr="00A80D28">
        <w:rPr>
          <w:rFonts w:ascii="Wingdings" w:eastAsia="Wingdings" w:hAnsi="Wingdings" w:cs="Wingdings"/>
          <w:noProof/>
        </w:rPr>
        <w:t></w:t>
      </w:r>
      <w:r w:rsidR="00CA7C31" w:rsidRPr="00AD21FF">
        <w:rPr>
          <w:noProof/>
        </w:rPr>
        <w:tab/>
        <w:t>The proposal/initiative requires the use of operational appropriations, as explained below</w:t>
      </w:r>
    </w:p>
    <w:p w14:paraId="190D33A0" w14:textId="77777777" w:rsidR="00CA7C31" w:rsidRPr="00AD21FF" w:rsidRDefault="00CA7C31" w:rsidP="00CA7C31">
      <w:pPr>
        <w:pStyle w:val="ManualHeading3"/>
        <w:rPr>
          <w:noProof/>
        </w:rPr>
      </w:pPr>
      <w:r w:rsidRPr="00AD21FF">
        <w:rPr>
          <w:noProof/>
        </w:rPr>
        <w:t>3.2.1.1.</w:t>
      </w:r>
      <w:r w:rsidRPr="00AD21FF">
        <w:rPr>
          <w:noProof/>
        </w:rPr>
        <w:tab/>
        <w:t>Appropriations from voted budget</w:t>
      </w:r>
    </w:p>
    <w:p w14:paraId="2A822DB5" w14:textId="77777777" w:rsidR="00CA7C31" w:rsidRPr="00815F65" w:rsidRDefault="00CA7C31" w:rsidP="00CA7C31">
      <w:pPr>
        <w:jc w:val="right"/>
        <w:rPr>
          <w:noProof/>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A7C31" w:rsidRPr="00AD21FF" w14:paraId="263DD07B" w14:textId="77777777">
        <w:tc>
          <w:tcPr>
            <w:tcW w:w="1739" w:type="pct"/>
            <w:shd w:val="thinDiagStripe" w:color="C0C0C0" w:fill="auto"/>
            <w:vAlign w:val="center"/>
          </w:tcPr>
          <w:p w14:paraId="5F205583" w14:textId="77777777" w:rsidR="00CA7C31" w:rsidRPr="00AD21FF" w:rsidRDefault="00CA7C31">
            <w:pPr>
              <w:spacing w:before="60" w:after="60"/>
              <w:jc w:val="center"/>
              <w:rPr>
                <w:b/>
                <w:noProof/>
              </w:rPr>
            </w:pPr>
            <w:r w:rsidRPr="00AD21FF">
              <w:rPr>
                <w:b/>
                <w:noProof/>
                <w:sz w:val="22"/>
              </w:rPr>
              <w:t xml:space="preserve">Heading of multiannual financial framework </w:t>
            </w:r>
          </w:p>
        </w:tc>
        <w:tc>
          <w:tcPr>
            <w:tcW w:w="396" w:type="pct"/>
            <w:vAlign w:val="center"/>
          </w:tcPr>
          <w:p w14:paraId="767D7DD8" w14:textId="77777777" w:rsidR="00CA7C31" w:rsidRPr="00AD21FF" w:rsidRDefault="00FF3B15">
            <w:pPr>
              <w:spacing w:before="60" w:after="60"/>
              <w:jc w:val="center"/>
              <w:rPr>
                <w:noProof/>
              </w:rPr>
            </w:pPr>
            <w:r>
              <w:rPr>
                <w:noProof/>
                <w:sz w:val="22"/>
              </w:rPr>
              <w:t>1</w:t>
            </w:r>
          </w:p>
        </w:tc>
        <w:tc>
          <w:tcPr>
            <w:tcW w:w="2865" w:type="pct"/>
            <w:vAlign w:val="center"/>
          </w:tcPr>
          <w:p w14:paraId="4751BFF4" w14:textId="77777777" w:rsidR="00CA7C31" w:rsidRPr="00AD21FF" w:rsidRDefault="00FF3B15">
            <w:pPr>
              <w:spacing w:before="60" w:after="60"/>
              <w:rPr>
                <w:noProof/>
              </w:rPr>
            </w:pPr>
            <w:r>
              <w:rPr>
                <w:noProof/>
                <w:sz w:val="22"/>
              </w:rPr>
              <w:t>‘</w:t>
            </w:r>
            <w:r w:rsidRPr="00C00966">
              <w:rPr>
                <w:noProof/>
                <w:sz w:val="22"/>
              </w:rPr>
              <w:t>Single Market, Innovation and Digital</w:t>
            </w:r>
            <w:r>
              <w:rPr>
                <w:noProof/>
                <w:sz w:val="22"/>
              </w:rPr>
              <w:t>’</w:t>
            </w:r>
          </w:p>
        </w:tc>
      </w:tr>
    </w:tbl>
    <w:p w14:paraId="2C73B42F" w14:textId="77777777" w:rsidR="00D630EC" w:rsidRPr="00815F65" w:rsidRDefault="00D630EC" w:rsidP="00D630EC">
      <w:pPr>
        <w:jc w:val="right"/>
        <w:rPr>
          <w:noProof/>
          <w:sz w:val="20"/>
        </w:rPr>
      </w:pPr>
      <w:r w:rsidRPr="00815F65">
        <w:rPr>
          <w:noProof/>
          <w:sz w:val="20"/>
        </w:rPr>
        <w:t>EUR million (to three decimal places)</w:t>
      </w:r>
    </w:p>
    <w:tbl>
      <w:tblPr>
        <w:tblW w:w="5000" w:type="pct"/>
        <w:tblLook w:val="04A0" w:firstRow="1" w:lastRow="0" w:firstColumn="1" w:lastColumn="0" w:noHBand="0" w:noVBand="1"/>
      </w:tblPr>
      <w:tblGrid>
        <w:gridCol w:w="3608"/>
        <w:gridCol w:w="1345"/>
        <w:gridCol w:w="1263"/>
        <w:gridCol w:w="1263"/>
        <w:gridCol w:w="1263"/>
        <w:gridCol w:w="1263"/>
        <w:gridCol w:w="1214"/>
        <w:gridCol w:w="1502"/>
        <w:gridCol w:w="1499"/>
      </w:tblGrid>
      <w:tr w:rsidR="007D345D" w:rsidRPr="00AD21FF" w14:paraId="6EB1D2FF" w14:textId="77777777" w:rsidTr="00963B95">
        <w:trPr>
          <w:trHeight w:val="420"/>
        </w:trPr>
        <w:tc>
          <w:tcPr>
            <w:tcW w:w="2186" w:type="pct"/>
            <w:gridSpan w:val="3"/>
            <w:vMerge w:val="restart"/>
            <w:tcBorders>
              <w:top w:val="single" w:sz="8" w:space="0" w:color="auto"/>
              <w:left w:val="single" w:sz="8" w:space="0" w:color="auto"/>
              <w:bottom w:val="single" w:sz="8" w:space="0" w:color="auto"/>
              <w:right w:val="single" w:sz="8" w:space="0" w:color="auto"/>
            </w:tcBorders>
            <w:vAlign w:val="center"/>
          </w:tcPr>
          <w:p w14:paraId="6DD43D12" w14:textId="77777777" w:rsidR="00577B55" w:rsidRPr="00AD21FF" w:rsidRDefault="00577B55" w:rsidP="00577B55">
            <w:pPr>
              <w:spacing w:before="0" w:after="0"/>
              <w:jc w:val="center"/>
              <w:rPr>
                <w:noProof/>
                <w:color w:val="000000"/>
                <w:sz w:val="22"/>
                <w:lang w:eastAsia="en-IE"/>
              </w:rPr>
            </w:pPr>
            <w:r w:rsidRPr="00BF0CAD">
              <w:rPr>
                <w:noProof/>
                <w:color w:val="000000"/>
                <w:sz w:val="22"/>
                <w:lang w:eastAsia="en-IE"/>
              </w:rPr>
              <w:t xml:space="preserve">DG: </w:t>
            </w:r>
            <w:r>
              <w:rPr>
                <w:noProof/>
                <w:color w:val="000000"/>
                <w:sz w:val="22"/>
                <w:lang w:eastAsia="en-IE"/>
              </w:rPr>
              <w:t>GROW</w:t>
            </w:r>
          </w:p>
        </w:tc>
        <w:tc>
          <w:tcPr>
            <w:tcW w:w="444" w:type="pct"/>
            <w:tcBorders>
              <w:top w:val="single" w:sz="8" w:space="0" w:color="auto"/>
              <w:left w:val="nil"/>
              <w:bottom w:val="single" w:sz="8" w:space="0" w:color="auto"/>
              <w:right w:val="single" w:sz="8" w:space="0" w:color="auto"/>
            </w:tcBorders>
            <w:vAlign w:val="center"/>
          </w:tcPr>
          <w:p w14:paraId="0237DF1E" w14:textId="77777777" w:rsidR="00577B55" w:rsidRPr="00AD21FF" w:rsidRDefault="00577B55" w:rsidP="00577B55">
            <w:pPr>
              <w:spacing w:before="0" w:after="0"/>
              <w:jc w:val="center"/>
              <w:rPr>
                <w:noProof/>
                <w:color w:val="000000"/>
                <w:sz w:val="20"/>
                <w:szCs w:val="20"/>
                <w:lang w:eastAsia="en-IE"/>
              </w:rPr>
            </w:pPr>
            <w:r w:rsidRPr="00BF0CAD">
              <w:rPr>
                <w:noProof/>
                <w:color w:val="000000"/>
                <w:sz w:val="20"/>
                <w:szCs w:val="20"/>
                <w:lang w:eastAsia="en-IE"/>
              </w:rPr>
              <w:t>Year</w:t>
            </w:r>
          </w:p>
        </w:tc>
        <w:tc>
          <w:tcPr>
            <w:tcW w:w="444" w:type="pct"/>
            <w:tcBorders>
              <w:top w:val="single" w:sz="8" w:space="0" w:color="auto"/>
              <w:left w:val="nil"/>
              <w:bottom w:val="single" w:sz="8" w:space="0" w:color="auto"/>
              <w:right w:val="single" w:sz="8" w:space="0" w:color="auto"/>
            </w:tcBorders>
            <w:vAlign w:val="center"/>
          </w:tcPr>
          <w:p w14:paraId="347733E0" w14:textId="77777777" w:rsidR="00577B55" w:rsidRPr="00AD21FF" w:rsidRDefault="00577B55" w:rsidP="00577B55">
            <w:pPr>
              <w:spacing w:before="0" w:after="0"/>
              <w:jc w:val="center"/>
              <w:rPr>
                <w:noProof/>
                <w:color w:val="000000"/>
                <w:sz w:val="20"/>
                <w:szCs w:val="20"/>
                <w:lang w:eastAsia="en-IE"/>
              </w:rPr>
            </w:pPr>
            <w:r w:rsidRPr="00BF0CAD">
              <w:rPr>
                <w:noProof/>
                <w:color w:val="000000"/>
                <w:sz w:val="20"/>
                <w:szCs w:val="20"/>
                <w:lang w:eastAsia="en-IE"/>
              </w:rPr>
              <w:t>Year</w:t>
            </w:r>
          </w:p>
        </w:tc>
        <w:tc>
          <w:tcPr>
            <w:tcW w:w="444" w:type="pct"/>
            <w:tcBorders>
              <w:top w:val="single" w:sz="8" w:space="0" w:color="auto"/>
              <w:left w:val="nil"/>
              <w:bottom w:val="single" w:sz="8" w:space="0" w:color="auto"/>
              <w:right w:val="single" w:sz="8" w:space="0" w:color="auto"/>
            </w:tcBorders>
            <w:vAlign w:val="center"/>
          </w:tcPr>
          <w:p w14:paraId="5C0DF822" w14:textId="77777777" w:rsidR="00577B55" w:rsidRPr="00AD21FF" w:rsidRDefault="00577B55" w:rsidP="00577B55">
            <w:pPr>
              <w:spacing w:before="0" w:after="0"/>
              <w:jc w:val="center"/>
              <w:rPr>
                <w:noProof/>
                <w:color w:val="000000"/>
                <w:sz w:val="20"/>
                <w:szCs w:val="20"/>
                <w:lang w:eastAsia="en-IE"/>
              </w:rPr>
            </w:pPr>
            <w:r w:rsidRPr="00BF0CAD">
              <w:rPr>
                <w:noProof/>
                <w:color w:val="000000"/>
                <w:sz w:val="20"/>
                <w:szCs w:val="20"/>
                <w:lang w:eastAsia="en-IE"/>
              </w:rPr>
              <w:t>Year</w:t>
            </w:r>
          </w:p>
        </w:tc>
        <w:tc>
          <w:tcPr>
            <w:tcW w:w="427" w:type="pct"/>
            <w:tcBorders>
              <w:top w:val="single" w:sz="8" w:space="0" w:color="auto"/>
              <w:left w:val="nil"/>
              <w:bottom w:val="single" w:sz="8" w:space="0" w:color="auto"/>
              <w:right w:val="single" w:sz="4" w:space="0" w:color="auto"/>
            </w:tcBorders>
            <w:vAlign w:val="center"/>
          </w:tcPr>
          <w:p w14:paraId="1EF52671" w14:textId="77777777" w:rsidR="00577B55" w:rsidRPr="00AD21FF" w:rsidRDefault="00577B55" w:rsidP="00577B55">
            <w:pPr>
              <w:spacing w:before="0" w:after="0"/>
              <w:jc w:val="center"/>
              <w:rPr>
                <w:noProof/>
                <w:color w:val="000000"/>
                <w:sz w:val="20"/>
                <w:szCs w:val="20"/>
                <w:lang w:eastAsia="en-IE"/>
              </w:rPr>
            </w:pPr>
            <w:r w:rsidRPr="00BF0CAD">
              <w:rPr>
                <w:noProof/>
                <w:color w:val="000000"/>
                <w:sz w:val="20"/>
                <w:szCs w:val="20"/>
                <w:lang w:eastAsia="en-IE"/>
              </w:rPr>
              <w:t>Year</w:t>
            </w:r>
          </w:p>
        </w:tc>
        <w:tc>
          <w:tcPr>
            <w:tcW w:w="528" w:type="pct"/>
            <w:vMerge w:val="restart"/>
            <w:tcBorders>
              <w:top w:val="single" w:sz="8" w:space="0" w:color="auto"/>
              <w:left w:val="single" w:sz="4" w:space="0" w:color="auto"/>
              <w:bottom w:val="single" w:sz="8" w:space="0" w:color="auto"/>
              <w:right w:val="single" w:sz="8" w:space="0" w:color="auto"/>
            </w:tcBorders>
            <w:vAlign w:val="center"/>
          </w:tcPr>
          <w:p w14:paraId="3DD07AB8" w14:textId="77777777" w:rsidR="00577B55" w:rsidRPr="00AD21FF" w:rsidRDefault="00577B55" w:rsidP="00D76136">
            <w:pPr>
              <w:spacing w:before="0" w:after="0"/>
              <w:jc w:val="center"/>
              <w:rPr>
                <w:b/>
                <w:noProof/>
                <w:color w:val="000000"/>
                <w:sz w:val="20"/>
                <w:szCs w:val="20"/>
                <w:lang w:eastAsia="en-IE"/>
              </w:rPr>
            </w:pPr>
            <w:r w:rsidRPr="00BF0CAD">
              <w:rPr>
                <w:b/>
                <w:noProof/>
                <w:color w:val="000000"/>
                <w:sz w:val="20"/>
                <w:szCs w:val="20"/>
                <w:lang w:eastAsia="en-IE"/>
              </w:rPr>
              <w:t>TOTAL MFF 2021-2027</w:t>
            </w:r>
          </w:p>
        </w:tc>
        <w:tc>
          <w:tcPr>
            <w:tcW w:w="527" w:type="pct"/>
            <w:vMerge w:val="restart"/>
            <w:tcBorders>
              <w:top w:val="single" w:sz="8" w:space="0" w:color="auto"/>
              <w:left w:val="single" w:sz="8" w:space="0" w:color="auto"/>
              <w:right w:val="single" w:sz="8" w:space="0" w:color="auto"/>
            </w:tcBorders>
            <w:vAlign w:val="center"/>
          </w:tcPr>
          <w:p w14:paraId="0200AB21" w14:textId="77777777" w:rsidR="00577B55" w:rsidRPr="00BF0CAD" w:rsidRDefault="00577B55" w:rsidP="00D76136">
            <w:pPr>
              <w:spacing w:before="0" w:after="0"/>
              <w:jc w:val="center"/>
              <w:rPr>
                <w:b/>
                <w:noProof/>
                <w:color w:val="000000"/>
                <w:sz w:val="20"/>
                <w:szCs w:val="20"/>
                <w:lang w:eastAsia="en-IE"/>
              </w:rPr>
            </w:pPr>
            <w:r w:rsidRPr="00850EF8">
              <w:rPr>
                <w:b/>
                <w:noProof/>
                <w:color w:val="000000"/>
                <w:sz w:val="20"/>
                <w:szCs w:val="20"/>
                <w:lang w:eastAsia="en-IE"/>
              </w:rPr>
              <w:t>TOTAL MFF 202</w:t>
            </w:r>
            <w:r>
              <w:rPr>
                <w:b/>
                <w:noProof/>
                <w:color w:val="000000"/>
                <w:sz w:val="20"/>
                <w:szCs w:val="20"/>
                <w:lang w:eastAsia="en-IE"/>
              </w:rPr>
              <w:t>8</w:t>
            </w:r>
            <w:r w:rsidRPr="00850EF8">
              <w:rPr>
                <w:b/>
                <w:noProof/>
                <w:color w:val="000000"/>
                <w:sz w:val="20"/>
                <w:szCs w:val="20"/>
                <w:lang w:eastAsia="en-IE"/>
              </w:rPr>
              <w:t>-20</w:t>
            </w:r>
            <w:r>
              <w:rPr>
                <w:b/>
                <w:noProof/>
                <w:color w:val="000000"/>
                <w:sz w:val="20"/>
                <w:szCs w:val="20"/>
                <w:lang w:eastAsia="en-IE"/>
              </w:rPr>
              <w:t>34</w:t>
            </w:r>
            <w:r w:rsidR="00A86410">
              <w:rPr>
                <w:rStyle w:val="FootnoteReference"/>
                <w:b/>
                <w:noProof/>
                <w:color w:val="000000"/>
                <w:sz w:val="20"/>
                <w:szCs w:val="20"/>
                <w:lang w:eastAsia="en-IE"/>
              </w:rPr>
              <w:footnoteReference w:id="73"/>
            </w:r>
          </w:p>
        </w:tc>
      </w:tr>
      <w:tr w:rsidR="00577B55" w:rsidRPr="00AD21FF" w14:paraId="589C9E4C" w14:textId="77777777" w:rsidTr="00963B95">
        <w:trPr>
          <w:trHeight w:val="288"/>
        </w:trPr>
        <w:tc>
          <w:tcPr>
            <w:tcW w:w="2186" w:type="pct"/>
            <w:gridSpan w:val="3"/>
            <w:vMerge/>
            <w:tcBorders>
              <w:right w:val="single" w:sz="4" w:space="0" w:color="auto"/>
            </w:tcBorders>
            <w:vAlign w:val="center"/>
          </w:tcPr>
          <w:p w14:paraId="36F881D1" w14:textId="77777777" w:rsidR="00577B55" w:rsidRPr="00AD21FF" w:rsidRDefault="00577B55" w:rsidP="00577B55">
            <w:pPr>
              <w:spacing w:before="0" w:after="0"/>
              <w:jc w:val="left"/>
              <w:rPr>
                <w:noProof/>
                <w:color w:val="000000"/>
                <w:sz w:val="22"/>
                <w:lang w:eastAsia="en-IE"/>
              </w:rPr>
            </w:pPr>
          </w:p>
        </w:tc>
        <w:tc>
          <w:tcPr>
            <w:tcW w:w="444" w:type="pct"/>
            <w:tcBorders>
              <w:top w:val="single" w:sz="8" w:space="0" w:color="auto"/>
              <w:left w:val="single" w:sz="4" w:space="0" w:color="auto"/>
              <w:bottom w:val="single" w:sz="8" w:space="0" w:color="auto"/>
              <w:right w:val="single" w:sz="8" w:space="0" w:color="auto"/>
            </w:tcBorders>
            <w:vAlign w:val="center"/>
          </w:tcPr>
          <w:p w14:paraId="7698FF2C" w14:textId="77777777" w:rsidR="00577B55" w:rsidRPr="00AD21FF" w:rsidRDefault="00577B55" w:rsidP="00577B55">
            <w:pPr>
              <w:spacing w:before="0" w:after="0"/>
              <w:jc w:val="center"/>
              <w:rPr>
                <w:b/>
                <w:noProof/>
                <w:color w:val="000000"/>
                <w:sz w:val="20"/>
                <w:szCs w:val="20"/>
                <w:lang w:eastAsia="en-IE"/>
              </w:rPr>
            </w:pPr>
            <w:r w:rsidRPr="001A4B75">
              <w:rPr>
                <w:b/>
                <w:noProof/>
                <w:color w:val="000000"/>
                <w:sz w:val="20"/>
                <w:szCs w:val="20"/>
                <w:lang w:eastAsia="en-IE"/>
              </w:rPr>
              <w:t>2024</w:t>
            </w:r>
          </w:p>
        </w:tc>
        <w:tc>
          <w:tcPr>
            <w:tcW w:w="444" w:type="pct"/>
            <w:tcBorders>
              <w:top w:val="nil"/>
              <w:left w:val="nil"/>
              <w:bottom w:val="single" w:sz="8" w:space="0" w:color="auto"/>
              <w:right w:val="single" w:sz="8" w:space="0" w:color="auto"/>
            </w:tcBorders>
            <w:vAlign w:val="center"/>
          </w:tcPr>
          <w:p w14:paraId="6682296D" w14:textId="77777777" w:rsidR="00577B55" w:rsidRPr="00AD21FF" w:rsidRDefault="00577B55" w:rsidP="00577B55">
            <w:pPr>
              <w:spacing w:before="0" w:after="0"/>
              <w:jc w:val="center"/>
              <w:rPr>
                <w:b/>
                <w:noProof/>
                <w:color w:val="000000"/>
                <w:sz w:val="20"/>
                <w:szCs w:val="20"/>
                <w:lang w:eastAsia="en-IE"/>
              </w:rPr>
            </w:pPr>
            <w:r w:rsidRPr="001A4B75">
              <w:rPr>
                <w:b/>
                <w:noProof/>
                <w:color w:val="000000"/>
                <w:sz w:val="20"/>
                <w:szCs w:val="20"/>
                <w:lang w:eastAsia="en-IE"/>
              </w:rPr>
              <w:t>2025</w:t>
            </w:r>
          </w:p>
        </w:tc>
        <w:tc>
          <w:tcPr>
            <w:tcW w:w="444" w:type="pct"/>
            <w:tcBorders>
              <w:top w:val="nil"/>
              <w:left w:val="nil"/>
              <w:bottom w:val="single" w:sz="8" w:space="0" w:color="auto"/>
              <w:right w:val="single" w:sz="8" w:space="0" w:color="auto"/>
            </w:tcBorders>
            <w:vAlign w:val="center"/>
          </w:tcPr>
          <w:p w14:paraId="2A7C30E9" w14:textId="77777777" w:rsidR="00577B55" w:rsidRPr="00AD21FF" w:rsidRDefault="00577B55" w:rsidP="00577B55">
            <w:pPr>
              <w:spacing w:before="0" w:after="0"/>
              <w:jc w:val="center"/>
              <w:rPr>
                <w:b/>
                <w:noProof/>
                <w:color w:val="000000"/>
                <w:sz w:val="20"/>
                <w:szCs w:val="20"/>
                <w:lang w:eastAsia="en-IE"/>
              </w:rPr>
            </w:pPr>
            <w:r w:rsidRPr="001A4B75">
              <w:rPr>
                <w:b/>
                <w:noProof/>
                <w:color w:val="000000"/>
                <w:sz w:val="20"/>
                <w:szCs w:val="20"/>
                <w:lang w:eastAsia="en-IE"/>
              </w:rPr>
              <w:t>2026</w:t>
            </w:r>
          </w:p>
        </w:tc>
        <w:tc>
          <w:tcPr>
            <w:tcW w:w="427" w:type="pct"/>
            <w:tcBorders>
              <w:top w:val="nil"/>
              <w:left w:val="nil"/>
              <w:bottom w:val="single" w:sz="8" w:space="0" w:color="auto"/>
              <w:right w:val="single" w:sz="4" w:space="0" w:color="auto"/>
            </w:tcBorders>
            <w:vAlign w:val="center"/>
          </w:tcPr>
          <w:p w14:paraId="796D2D36" w14:textId="77777777" w:rsidR="00577B55" w:rsidRPr="00AD21FF" w:rsidRDefault="00577B55" w:rsidP="00577B55">
            <w:pPr>
              <w:spacing w:before="0" w:after="0"/>
              <w:jc w:val="center"/>
              <w:rPr>
                <w:b/>
                <w:noProof/>
                <w:color w:val="000000"/>
                <w:sz w:val="20"/>
                <w:szCs w:val="20"/>
                <w:lang w:eastAsia="en-IE"/>
              </w:rPr>
            </w:pPr>
            <w:r w:rsidRPr="001A4B75">
              <w:rPr>
                <w:b/>
                <w:noProof/>
                <w:color w:val="000000"/>
                <w:sz w:val="20"/>
                <w:szCs w:val="20"/>
                <w:lang w:eastAsia="en-IE"/>
              </w:rPr>
              <w:t>2027</w:t>
            </w:r>
          </w:p>
        </w:tc>
        <w:tc>
          <w:tcPr>
            <w:tcW w:w="528" w:type="pct"/>
            <w:vMerge/>
            <w:tcBorders>
              <w:top w:val="single" w:sz="8" w:space="0" w:color="auto"/>
              <w:left w:val="single" w:sz="4" w:space="0" w:color="auto"/>
              <w:right w:val="single" w:sz="8" w:space="0" w:color="auto"/>
            </w:tcBorders>
            <w:vAlign w:val="center"/>
          </w:tcPr>
          <w:p w14:paraId="6C6C7743" w14:textId="77777777" w:rsidR="00577B55" w:rsidRPr="00AD21FF" w:rsidRDefault="00577B55" w:rsidP="00577B55">
            <w:pPr>
              <w:spacing w:before="0" w:after="0"/>
              <w:jc w:val="left"/>
              <w:rPr>
                <w:b/>
                <w:noProof/>
                <w:color w:val="000000"/>
                <w:sz w:val="20"/>
                <w:szCs w:val="20"/>
                <w:lang w:eastAsia="en-IE"/>
              </w:rPr>
            </w:pPr>
          </w:p>
        </w:tc>
        <w:tc>
          <w:tcPr>
            <w:tcW w:w="527" w:type="pct"/>
            <w:vMerge/>
            <w:tcBorders>
              <w:top w:val="single" w:sz="8" w:space="0" w:color="auto"/>
              <w:left w:val="single" w:sz="8" w:space="0" w:color="auto"/>
              <w:right w:val="single" w:sz="8" w:space="0" w:color="auto"/>
            </w:tcBorders>
          </w:tcPr>
          <w:p w14:paraId="18282EEB" w14:textId="77777777" w:rsidR="00577B55" w:rsidRPr="00AD21FF" w:rsidRDefault="00577B55" w:rsidP="00577B55">
            <w:pPr>
              <w:spacing w:before="0" w:after="0"/>
              <w:jc w:val="left"/>
              <w:rPr>
                <w:b/>
                <w:noProof/>
                <w:color w:val="000000"/>
                <w:sz w:val="20"/>
                <w:szCs w:val="20"/>
                <w:lang w:eastAsia="en-IE"/>
              </w:rPr>
            </w:pPr>
          </w:p>
        </w:tc>
      </w:tr>
      <w:tr w:rsidR="00577B55" w:rsidRPr="00AD21FF" w14:paraId="251BFBF9" w14:textId="77777777" w:rsidTr="00577B55">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tcPr>
          <w:p w14:paraId="0B71BAE8" w14:textId="77777777" w:rsidR="00577B55" w:rsidRPr="00C2043F" w:rsidRDefault="00577B55" w:rsidP="00577B55">
            <w:pPr>
              <w:spacing w:before="0" w:after="0"/>
              <w:jc w:val="left"/>
              <w:rPr>
                <w:noProof/>
                <w:color w:val="000000"/>
                <w:sz w:val="21"/>
                <w:szCs w:val="21"/>
                <w:lang w:val="en-IE" w:eastAsia="en-IE"/>
              </w:rPr>
            </w:pPr>
            <w:r w:rsidRPr="00C2043F">
              <w:rPr>
                <w:noProof/>
                <w:color w:val="000000"/>
                <w:sz w:val="21"/>
                <w:szCs w:val="21"/>
                <w:lang w:val="en-IE" w:eastAsia="en-IE"/>
              </w:rPr>
              <w:t xml:space="preserve">Operational appropriations </w:t>
            </w:r>
          </w:p>
        </w:tc>
      </w:tr>
      <w:tr w:rsidR="00CC40F3" w:rsidRPr="00AD21FF" w14:paraId="7EAE7846" w14:textId="77777777" w:rsidTr="00A86410">
        <w:trPr>
          <w:trHeight w:val="288"/>
        </w:trPr>
        <w:tc>
          <w:tcPr>
            <w:tcW w:w="1269" w:type="pct"/>
            <w:vMerge w:val="restart"/>
            <w:tcBorders>
              <w:top w:val="single" w:sz="4" w:space="0" w:color="auto"/>
              <w:left w:val="single" w:sz="4" w:space="0" w:color="auto"/>
              <w:bottom w:val="single" w:sz="4" w:space="0" w:color="auto"/>
              <w:right w:val="single" w:sz="4" w:space="0" w:color="auto"/>
            </w:tcBorders>
            <w:noWrap/>
            <w:vAlign w:val="center"/>
          </w:tcPr>
          <w:p w14:paraId="3D9E40F2" w14:textId="77777777" w:rsidR="00CC40F3" w:rsidRPr="00AD21FF" w:rsidRDefault="00CC40F3" w:rsidP="00CC40F3">
            <w:pPr>
              <w:spacing w:before="0" w:after="0"/>
              <w:jc w:val="left"/>
              <w:rPr>
                <w:noProof/>
                <w:color w:val="000000"/>
                <w:sz w:val="22"/>
                <w:lang w:eastAsia="en-IE"/>
              </w:rPr>
            </w:pPr>
            <w:r w:rsidRPr="00033F2D">
              <w:rPr>
                <w:noProof/>
                <w:color w:val="000000"/>
                <w:sz w:val="22"/>
                <w:lang w:val="en-IE" w:eastAsia="en-IE"/>
              </w:rPr>
              <w:t>03 02 01 02</w:t>
            </w:r>
          </w:p>
        </w:tc>
        <w:tc>
          <w:tcPr>
            <w:tcW w:w="473" w:type="pct"/>
            <w:tcBorders>
              <w:top w:val="nil"/>
              <w:left w:val="single" w:sz="4" w:space="0" w:color="auto"/>
              <w:bottom w:val="single" w:sz="8" w:space="0" w:color="auto"/>
              <w:right w:val="single" w:sz="8" w:space="0" w:color="auto"/>
            </w:tcBorders>
            <w:vAlign w:val="center"/>
          </w:tcPr>
          <w:p w14:paraId="7B2E544F" w14:textId="77777777" w:rsidR="00CC40F3" w:rsidRPr="00AD21FF" w:rsidRDefault="00CC40F3" w:rsidP="00CC40F3">
            <w:pPr>
              <w:spacing w:before="0" w:after="0"/>
              <w:rPr>
                <w:noProof/>
                <w:color w:val="000000"/>
                <w:sz w:val="18"/>
                <w:szCs w:val="18"/>
                <w:lang w:eastAsia="en-IE"/>
              </w:rPr>
            </w:pPr>
            <w:r w:rsidRPr="00C2043F">
              <w:rPr>
                <w:noProof/>
                <w:color w:val="000000"/>
                <w:sz w:val="18"/>
                <w:szCs w:val="18"/>
                <w:lang w:val="en-IE" w:eastAsia="en-IE"/>
              </w:rPr>
              <w:t>Commitments</w:t>
            </w:r>
          </w:p>
        </w:tc>
        <w:tc>
          <w:tcPr>
            <w:tcW w:w="444" w:type="pct"/>
            <w:tcBorders>
              <w:top w:val="single" w:sz="8" w:space="0" w:color="auto"/>
              <w:left w:val="nil"/>
              <w:bottom w:val="single" w:sz="8" w:space="0" w:color="auto"/>
              <w:right w:val="single" w:sz="8" w:space="0" w:color="auto"/>
            </w:tcBorders>
            <w:vAlign w:val="center"/>
          </w:tcPr>
          <w:p w14:paraId="3B655715" w14:textId="77777777" w:rsidR="00CC40F3" w:rsidRPr="00AD21FF" w:rsidRDefault="00CC40F3" w:rsidP="00CC40F3">
            <w:pPr>
              <w:spacing w:before="0" w:after="0"/>
              <w:jc w:val="center"/>
              <w:rPr>
                <w:noProof/>
                <w:color w:val="000000"/>
                <w:sz w:val="14"/>
                <w:szCs w:val="14"/>
                <w:lang w:eastAsia="en-IE"/>
              </w:rPr>
            </w:pPr>
            <w:r w:rsidRPr="00C2043F">
              <w:rPr>
                <w:noProof/>
                <w:color w:val="000000"/>
                <w:sz w:val="14"/>
                <w:szCs w:val="14"/>
                <w:lang w:val="en-IE" w:eastAsia="en-IE"/>
              </w:rPr>
              <w:t>(1a)</w:t>
            </w:r>
          </w:p>
        </w:tc>
        <w:tc>
          <w:tcPr>
            <w:tcW w:w="444" w:type="pct"/>
            <w:tcBorders>
              <w:top w:val="nil"/>
              <w:left w:val="nil"/>
              <w:bottom w:val="single" w:sz="8" w:space="0" w:color="auto"/>
              <w:right w:val="single" w:sz="8" w:space="0" w:color="auto"/>
            </w:tcBorders>
            <w:vAlign w:val="center"/>
          </w:tcPr>
          <w:p w14:paraId="39CA8830" w14:textId="77777777" w:rsidR="00CC40F3" w:rsidRPr="00AD21FF" w:rsidRDefault="00CC40F3" w:rsidP="00CC40F3">
            <w:pPr>
              <w:spacing w:before="0" w:after="0"/>
              <w:jc w:val="right"/>
              <w:rPr>
                <w:noProof/>
                <w:color w:val="000000"/>
                <w:sz w:val="20"/>
                <w:szCs w:val="20"/>
                <w:lang w:eastAsia="en-IE"/>
              </w:rPr>
            </w:pPr>
            <w:r w:rsidRPr="00AD21FF">
              <w:rPr>
                <w:noProof/>
                <w:color w:val="000000"/>
                <w:sz w:val="20"/>
                <w:szCs w:val="20"/>
                <w:lang w:eastAsia="en-IE"/>
              </w:rPr>
              <w:t>0.000</w:t>
            </w:r>
          </w:p>
        </w:tc>
        <w:tc>
          <w:tcPr>
            <w:tcW w:w="444" w:type="pct"/>
            <w:tcBorders>
              <w:top w:val="nil"/>
              <w:left w:val="nil"/>
              <w:bottom w:val="single" w:sz="8" w:space="0" w:color="auto"/>
              <w:right w:val="single" w:sz="8" w:space="0" w:color="auto"/>
            </w:tcBorders>
            <w:vAlign w:val="center"/>
          </w:tcPr>
          <w:p w14:paraId="29D75ED3" w14:textId="77777777" w:rsidR="00CC40F3" w:rsidRPr="00AD21FF" w:rsidRDefault="00CC40F3" w:rsidP="00CC40F3">
            <w:pPr>
              <w:spacing w:before="0" w:after="0"/>
              <w:jc w:val="right"/>
              <w:rPr>
                <w:noProof/>
                <w:color w:val="000000"/>
                <w:sz w:val="20"/>
                <w:szCs w:val="20"/>
                <w:lang w:eastAsia="en-IE"/>
              </w:rPr>
            </w:pPr>
            <w:r w:rsidRPr="00AD21FF">
              <w:rPr>
                <w:noProof/>
                <w:color w:val="000000"/>
                <w:sz w:val="20"/>
                <w:szCs w:val="20"/>
                <w:lang w:eastAsia="en-IE"/>
              </w:rPr>
              <w:t>0.000</w:t>
            </w:r>
          </w:p>
        </w:tc>
        <w:tc>
          <w:tcPr>
            <w:tcW w:w="444" w:type="pct"/>
            <w:tcBorders>
              <w:top w:val="nil"/>
              <w:left w:val="nil"/>
              <w:bottom w:val="single" w:sz="8" w:space="0" w:color="auto"/>
              <w:right w:val="single" w:sz="8" w:space="0" w:color="auto"/>
            </w:tcBorders>
            <w:vAlign w:val="center"/>
          </w:tcPr>
          <w:p w14:paraId="465D7FC5" w14:textId="77777777" w:rsidR="00CC40F3" w:rsidRPr="00AD21FF" w:rsidRDefault="00CC40F3" w:rsidP="00CC40F3">
            <w:pPr>
              <w:spacing w:before="0" w:after="0"/>
              <w:jc w:val="right"/>
              <w:rPr>
                <w:noProof/>
                <w:color w:val="000000"/>
                <w:sz w:val="20"/>
                <w:szCs w:val="20"/>
                <w:lang w:eastAsia="en-IE"/>
              </w:rPr>
            </w:pPr>
            <w:r w:rsidRPr="00AD21FF">
              <w:rPr>
                <w:noProof/>
                <w:color w:val="000000"/>
                <w:sz w:val="20"/>
                <w:szCs w:val="20"/>
                <w:lang w:eastAsia="en-IE"/>
              </w:rPr>
              <w:t>0.000</w:t>
            </w:r>
          </w:p>
        </w:tc>
        <w:tc>
          <w:tcPr>
            <w:tcW w:w="427" w:type="pct"/>
            <w:tcBorders>
              <w:top w:val="nil"/>
              <w:left w:val="nil"/>
              <w:bottom w:val="single" w:sz="8" w:space="0" w:color="auto"/>
              <w:right w:val="single" w:sz="8" w:space="0" w:color="auto"/>
            </w:tcBorders>
            <w:vAlign w:val="center"/>
          </w:tcPr>
          <w:p w14:paraId="0BFB8E79" w14:textId="77777777" w:rsidR="00CC40F3" w:rsidRPr="00AD21FF" w:rsidRDefault="00CC40F3" w:rsidP="00CC40F3">
            <w:pPr>
              <w:spacing w:before="0" w:after="0"/>
              <w:jc w:val="right"/>
              <w:rPr>
                <w:noProof/>
                <w:color w:val="000000"/>
                <w:sz w:val="20"/>
                <w:szCs w:val="20"/>
                <w:lang w:eastAsia="en-IE"/>
              </w:rPr>
            </w:pPr>
            <w:r w:rsidRPr="00743341">
              <w:rPr>
                <w:noProof/>
                <w:color w:val="000000"/>
                <w:sz w:val="20"/>
                <w:szCs w:val="20"/>
                <w:lang w:val="en-IE" w:eastAsia="en-IE"/>
              </w:rPr>
              <w:t>0.</w:t>
            </w:r>
            <w:r w:rsidRPr="00131EB6">
              <w:rPr>
                <w:noProof/>
                <w:color w:val="000000"/>
                <w:sz w:val="20"/>
                <w:szCs w:val="20"/>
                <w:lang w:val="en-IE" w:eastAsia="en-IE"/>
              </w:rPr>
              <w:t>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4C956CA2" w14:textId="77777777" w:rsidR="00CC40F3" w:rsidRPr="00AD21FF" w:rsidRDefault="00CC40F3" w:rsidP="00CC40F3">
            <w:pPr>
              <w:spacing w:before="0" w:after="0"/>
              <w:jc w:val="right"/>
              <w:rPr>
                <w:b/>
                <w:noProof/>
                <w:color w:val="000000"/>
                <w:sz w:val="20"/>
                <w:szCs w:val="20"/>
                <w:lang w:eastAsia="en-IE"/>
              </w:rPr>
            </w:pPr>
            <w:r w:rsidRPr="00C2043F">
              <w:rPr>
                <w:b/>
                <w:bCs/>
                <w:noProof/>
                <w:color w:val="000000"/>
                <w:sz w:val="20"/>
                <w:szCs w:val="20"/>
                <w:lang w:val="en-IE" w:eastAsia="en-IE"/>
              </w:rPr>
              <w:t>0.0</w:t>
            </w:r>
            <w:r>
              <w:rPr>
                <w:b/>
                <w:bCs/>
                <w:noProof/>
                <w:color w:val="000000"/>
                <w:sz w:val="20"/>
                <w:szCs w:val="20"/>
                <w:lang w:val="en-IE" w:eastAsia="en-IE"/>
              </w:rPr>
              <w:t>4</w:t>
            </w:r>
            <w:r w:rsidRPr="00C2043F">
              <w:rPr>
                <w:b/>
                <w:bCs/>
                <w:noProof/>
                <w:color w:val="000000"/>
                <w:sz w:val="20"/>
                <w:szCs w:val="20"/>
                <w:lang w:val="en-IE" w:eastAsia="en-IE"/>
              </w:rPr>
              <w:t>0</w:t>
            </w:r>
          </w:p>
        </w:tc>
        <w:tc>
          <w:tcPr>
            <w:tcW w:w="527" w:type="pct"/>
            <w:tcBorders>
              <w:top w:val="nil"/>
              <w:left w:val="nil"/>
              <w:bottom w:val="single" w:sz="8" w:space="0" w:color="auto"/>
              <w:right w:val="single" w:sz="8" w:space="0" w:color="auto"/>
            </w:tcBorders>
            <w:shd w:val="clear" w:color="auto" w:fill="D9D9D9" w:themeFill="background1" w:themeFillShade="D9"/>
          </w:tcPr>
          <w:p w14:paraId="1B7550EE" w14:textId="77777777" w:rsidR="00CC40F3" w:rsidRPr="00C2043F" w:rsidRDefault="00CC40F3" w:rsidP="00CC40F3">
            <w:pPr>
              <w:spacing w:before="0" w:after="0"/>
              <w:jc w:val="right"/>
              <w:rPr>
                <w:b/>
                <w:bCs/>
                <w:noProof/>
                <w:color w:val="000000"/>
                <w:sz w:val="20"/>
                <w:szCs w:val="20"/>
                <w:lang w:val="en-IE" w:eastAsia="en-IE"/>
              </w:rPr>
            </w:pPr>
            <w:r>
              <w:rPr>
                <w:b/>
                <w:bCs/>
                <w:noProof/>
                <w:color w:val="000000"/>
                <w:sz w:val="20"/>
                <w:szCs w:val="20"/>
                <w:lang w:val="en-IE" w:eastAsia="en-IE"/>
              </w:rPr>
              <w:t>0.140</w:t>
            </w:r>
          </w:p>
        </w:tc>
      </w:tr>
      <w:tr w:rsidR="00CC40F3" w:rsidRPr="00AD21FF" w14:paraId="4E4CC716" w14:textId="77777777" w:rsidTr="00A86410">
        <w:trPr>
          <w:trHeight w:val="315"/>
        </w:trPr>
        <w:tc>
          <w:tcPr>
            <w:tcW w:w="1269" w:type="pct"/>
            <w:vMerge/>
            <w:tcBorders>
              <w:top w:val="single" w:sz="4" w:space="0" w:color="auto"/>
              <w:left w:val="single" w:sz="4" w:space="0" w:color="auto"/>
              <w:bottom w:val="single" w:sz="4" w:space="0" w:color="auto"/>
              <w:right w:val="single" w:sz="4" w:space="0" w:color="auto"/>
            </w:tcBorders>
            <w:vAlign w:val="center"/>
          </w:tcPr>
          <w:p w14:paraId="06491004" w14:textId="77777777" w:rsidR="00CC40F3" w:rsidRPr="00AD21FF" w:rsidRDefault="00CC40F3" w:rsidP="00CC40F3">
            <w:pPr>
              <w:spacing w:before="0" w:after="0"/>
              <w:jc w:val="left"/>
              <w:rPr>
                <w:noProof/>
                <w:color w:val="000000"/>
                <w:sz w:val="22"/>
                <w:lang w:eastAsia="en-IE"/>
              </w:rPr>
            </w:pPr>
          </w:p>
        </w:tc>
        <w:tc>
          <w:tcPr>
            <w:tcW w:w="473" w:type="pct"/>
            <w:tcBorders>
              <w:top w:val="nil"/>
              <w:left w:val="single" w:sz="4" w:space="0" w:color="auto"/>
              <w:bottom w:val="single" w:sz="8" w:space="0" w:color="auto"/>
              <w:right w:val="single" w:sz="8" w:space="0" w:color="auto"/>
            </w:tcBorders>
            <w:vAlign w:val="center"/>
          </w:tcPr>
          <w:p w14:paraId="3BF82339" w14:textId="77777777" w:rsidR="00CC40F3" w:rsidRPr="00AD21FF" w:rsidRDefault="00CC40F3" w:rsidP="00CC40F3">
            <w:pPr>
              <w:spacing w:before="0" w:after="0"/>
              <w:rPr>
                <w:noProof/>
                <w:color w:val="000000"/>
                <w:sz w:val="18"/>
                <w:szCs w:val="18"/>
                <w:lang w:eastAsia="en-IE"/>
              </w:rPr>
            </w:pPr>
            <w:r w:rsidRPr="00C2043F">
              <w:rPr>
                <w:noProof/>
                <w:color w:val="000000"/>
                <w:sz w:val="18"/>
                <w:szCs w:val="18"/>
                <w:lang w:val="en-IE" w:eastAsia="en-IE"/>
              </w:rPr>
              <w:t>Payments</w:t>
            </w:r>
          </w:p>
        </w:tc>
        <w:tc>
          <w:tcPr>
            <w:tcW w:w="444" w:type="pct"/>
            <w:tcBorders>
              <w:top w:val="single" w:sz="8" w:space="0" w:color="auto"/>
              <w:left w:val="nil"/>
              <w:bottom w:val="single" w:sz="8" w:space="0" w:color="auto"/>
              <w:right w:val="single" w:sz="8" w:space="0" w:color="auto"/>
            </w:tcBorders>
            <w:vAlign w:val="center"/>
          </w:tcPr>
          <w:p w14:paraId="396C1D45" w14:textId="77777777" w:rsidR="00CC40F3" w:rsidRPr="00AD21FF" w:rsidRDefault="00CC40F3" w:rsidP="00CC40F3">
            <w:pPr>
              <w:spacing w:before="0" w:after="0"/>
              <w:jc w:val="center"/>
              <w:rPr>
                <w:noProof/>
                <w:color w:val="000000"/>
                <w:sz w:val="14"/>
                <w:szCs w:val="14"/>
                <w:lang w:eastAsia="en-IE"/>
              </w:rPr>
            </w:pPr>
            <w:r w:rsidRPr="00C2043F">
              <w:rPr>
                <w:noProof/>
                <w:color w:val="000000"/>
                <w:sz w:val="14"/>
                <w:szCs w:val="14"/>
                <w:lang w:val="en-IE" w:eastAsia="en-IE"/>
              </w:rPr>
              <w:t>(2a)</w:t>
            </w:r>
          </w:p>
        </w:tc>
        <w:tc>
          <w:tcPr>
            <w:tcW w:w="444" w:type="pct"/>
            <w:tcBorders>
              <w:top w:val="nil"/>
              <w:left w:val="nil"/>
              <w:bottom w:val="single" w:sz="8" w:space="0" w:color="auto"/>
              <w:right w:val="single" w:sz="8" w:space="0" w:color="auto"/>
            </w:tcBorders>
            <w:vAlign w:val="center"/>
          </w:tcPr>
          <w:p w14:paraId="03ABB890" w14:textId="77777777" w:rsidR="00CC40F3" w:rsidRPr="00AD21FF" w:rsidRDefault="00CC40F3" w:rsidP="00CC40F3">
            <w:pPr>
              <w:spacing w:before="0" w:after="0"/>
              <w:jc w:val="right"/>
              <w:rPr>
                <w:noProof/>
                <w:color w:val="000000"/>
                <w:sz w:val="20"/>
                <w:szCs w:val="20"/>
                <w:lang w:eastAsia="en-IE"/>
              </w:rPr>
            </w:pPr>
            <w:r w:rsidRPr="00AD21FF">
              <w:rPr>
                <w:noProof/>
                <w:color w:val="000000"/>
                <w:sz w:val="20"/>
                <w:szCs w:val="20"/>
                <w:lang w:eastAsia="en-IE"/>
              </w:rPr>
              <w:t>0.000</w:t>
            </w:r>
          </w:p>
        </w:tc>
        <w:tc>
          <w:tcPr>
            <w:tcW w:w="444" w:type="pct"/>
            <w:tcBorders>
              <w:top w:val="nil"/>
              <w:left w:val="nil"/>
              <w:bottom w:val="single" w:sz="8" w:space="0" w:color="auto"/>
              <w:right w:val="single" w:sz="8" w:space="0" w:color="auto"/>
            </w:tcBorders>
            <w:vAlign w:val="center"/>
          </w:tcPr>
          <w:p w14:paraId="6DD40D47" w14:textId="77777777" w:rsidR="00CC40F3" w:rsidRPr="00AD21FF" w:rsidRDefault="00CC40F3" w:rsidP="00CC40F3">
            <w:pPr>
              <w:spacing w:before="0" w:after="0"/>
              <w:jc w:val="right"/>
              <w:rPr>
                <w:noProof/>
                <w:color w:val="000000"/>
                <w:sz w:val="20"/>
                <w:szCs w:val="20"/>
                <w:lang w:eastAsia="en-IE"/>
              </w:rPr>
            </w:pPr>
            <w:r w:rsidRPr="00AD21FF">
              <w:rPr>
                <w:noProof/>
                <w:color w:val="000000"/>
                <w:sz w:val="20"/>
                <w:szCs w:val="20"/>
                <w:lang w:eastAsia="en-IE"/>
              </w:rPr>
              <w:t>0.000</w:t>
            </w:r>
          </w:p>
        </w:tc>
        <w:tc>
          <w:tcPr>
            <w:tcW w:w="444" w:type="pct"/>
            <w:tcBorders>
              <w:top w:val="nil"/>
              <w:left w:val="nil"/>
              <w:bottom w:val="single" w:sz="8" w:space="0" w:color="auto"/>
              <w:right w:val="single" w:sz="8" w:space="0" w:color="auto"/>
            </w:tcBorders>
            <w:vAlign w:val="center"/>
          </w:tcPr>
          <w:p w14:paraId="7B0E59FF" w14:textId="77777777" w:rsidR="00CC40F3" w:rsidRPr="00AD21FF" w:rsidRDefault="00CC40F3" w:rsidP="00CC40F3">
            <w:pPr>
              <w:spacing w:before="0" w:after="0"/>
              <w:jc w:val="right"/>
              <w:rPr>
                <w:noProof/>
                <w:color w:val="000000"/>
                <w:sz w:val="20"/>
                <w:szCs w:val="20"/>
                <w:lang w:eastAsia="en-IE"/>
              </w:rPr>
            </w:pPr>
            <w:r w:rsidRPr="00AD21FF">
              <w:rPr>
                <w:noProof/>
                <w:color w:val="000000"/>
                <w:sz w:val="20"/>
                <w:szCs w:val="20"/>
                <w:lang w:eastAsia="en-IE"/>
              </w:rPr>
              <w:t>0.000</w:t>
            </w:r>
          </w:p>
        </w:tc>
        <w:tc>
          <w:tcPr>
            <w:tcW w:w="427" w:type="pct"/>
            <w:tcBorders>
              <w:top w:val="nil"/>
              <w:left w:val="nil"/>
              <w:bottom w:val="single" w:sz="8" w:space="0" w:color="auto"/>
              <w:right w:val="single" w:sz="8" w:space="0" w:color="auto"/>
            </w:tcBorders>
            <w:vAlign w:val="center"/>
          </w:tcPr>
          <w:p w14:paraId="709F798E" w14:textId="77777777" w:rsidR="00CC40F3" w:rsidRPr="00AD21FF" w:rsidRDefault="00CC40F3" w:rsidP="00CC40F3">
            <w:pPr>
              <w:spacing w:before="0" w:after="0"/>
              <w:jc w:val="right"/>
              <w:rPr>
                <w:noProof/>
                <w:color w:val="000000"/>
                <w:sz w:val="20"/>
                <w:szCs w:val="20"/>
                <w:lang w:eastAsia="en-IE"/>
              </w:rPr>
            </w:pPr>
            <w:r w:rsidRPr="00743341">
              <w:rPr>
                <w:noProof/>
                <w:color w:val="000000"/>
                <w:sz w:val="20"/>
                <w:szCs w:val="20"/>
                <w:lang w:val="en-IE" w:eastAsia="en-IE"/>
              </w:rPr>
              <w:t>0.</w:t>
            </w:r>
            <w:r w:rsidRPr="00131EB6">
              <w:rPr>
                <w:noProof/>
                <w:color w:val="000000"/>
                <w:sz w:val="20"/>
                <w:szCs w:val="20"/>
                <w:lang w:val="en-IE" w:eastAsia="en-IE"/>
              </w:rPr>
              <w:t>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31072869" w14:textId="77777777" w:rsidR="00CC40F3" w:rsidRPr="00AD21FF" w:rsidRDefault="00CC40F3" w:rsidP="00CC40F3">
            <w:pPr>
              <w:spacing w:before="0" w:after="0"/>
              <w:jc w:val="right"/>
              <w:rPr>
                <w:b/>
                <w:noProof/>
                <w:color w:val="000000"/>
                <w:sz w:val="20"/>
                <w:szCs w:val="20"/>
                <w:lang w:eastAsia="en-IE"/>
              </w:rPr>
            </w:pPr>
            <w:r w:rsidRPr="00C2043F">
              <w:rPr>
                <w:b/>
                <w:bCs/>
                <w:noProof/>
                <w:color w:val="000000"/>
                <w:sz w:val="20"/>
                <w:szCs w:val="20"/>
                <w:lang w:val="en-IE" w:eastAsia="en-IE"/>
              </w:rPr>
              <w:t>0.0</w:t>
            </w:r>
            <w:r>
              <w:rPr>
                <w:b/>
                <w:bCs/>
                <w:noProof/>
                <w:color w:val="000000"/>
                <w:sz w:val="20"/>
                <w:szCs w:val="20"/>
                <w:lang w:val="en-IE" w:eastAsia="en-IE"/>
              </w:rPr>
              <w:t>4</w:t>
            </w:r>
            <w:r w:rsidRPr="00C2043F">
              <w:rPr>
                <w:b/>
                <w:bCs/>
                <w:noProof/>
                <w:color w:val="000000"/>
                <w:sz w:val="20"/>
                <w:szCs w:val="20"/>
                <w:lang w:val="en-IE" w:eastAsia="en-IE"/>
              </w:rPr>
              <w:t>0</w:t>
            </w:r>
          </w:p>
        </w:tc>
        <w:tc>
          <w:tcPr>
            <w:tcW w:w="527" w:type="pct"/>
            <w:tcBorders>
              <w:top w:val="nil"/>
              <w:left w:val="nil"/>
              <w:bottom w:val="single" w:sz="8" w:space="0" w:color="auto"/>
              <w:right w:val="single" w:sz="8" w:space="0" w:color="auto"/>
            </w:tcBorders>
            <w:shd w:val="clear" w:color="auto" w:fill="D9D9D9" w:themeFill="background1" w:themeFillShade="D9"/>
          </w:tcPr>
          <w:p w14:paraId="7AA6064E" w14:textId="77777777" w:rsidR="00CC40F3" w:rsidRPr="00C2043F" w:rsidRDefault="00CC40F3" w:rsidP="00CC40F3">
            <w:pPr>
              <w:spacing w:before="0" w:after="0"/>
              <w:jc w:val="right"/>
              <w:rPr>
                <w:b/>
                <w:bCs/>
                <w:noProof/>
                <w:color w:val="000000"/>
                <w:sz w:val="20"/>
                <w:szCs w:val="20"/>
                <w:lang w:val="en-IE" w:eastAsia="en-IE"/>
              </w:rPr>
            </w:pPr>
            <w:r w:rsidRPr="00352335">
              <w:rPr>
                <w:b/>
                <w:bCs/>
                <w:noProof/>
                <w:color w:val="000000"/>
                <w:sz w:val="20"/>
                <w:szCs w:val="20"/>
                <w:lang w:val="en-IE" w:eastAsia="en-IE"/>
              </w:rPr>
              <w:t>0.140</w:t>
            </w:r>
          </w:p>
        </w:tc>
      </w:tr>
      <w:tr w:rsidR="00B706A3" w:rsidRPr="00AD21FF" w14:paraId="45DD76B4" w14:textId="77777777" w:rsidTr="00A86410">
        <w:trPr>
          <w:trHeight w:val="315"/>
        </w:trPr>
        <w:tc>
          <w:tcPr>
            <w:tcW w:w="1269" w:type="pct"/>
            <w:vMerge w:val="restart"/>
            <w:tcBorders>
              <w:top w:val="single" w:sz="4" w:space="0" w:color="auto"/>
              <w:left w:val="single" w:sz="4" w:space="0" w:color="auto"/>
              <w:bottom w:val="single" w:sz="4" w:space="0" w:color="auto"/>
              <w:right w:val="single" w:sz="4" w:space="0" w:color="auto"/>
            </w:tcBorders>
            <w:vAlign w:val="center"/>
          </w:tcPr>
          <w:p w14:paraId="727E6E6E" w14:textId="77777777" w:rsidR="00577B55" w:rsidRPr="00C2043F" w:rsidRDefault="00577B55" w:rsidP="00131EB6">
            <w:pPr>
              <w:spacing w:before="0" w:after="0"/>
              <w:rPr>
                <w:b/>
                <w:bCs/>
                <w:noProof/>
                <w:color w:val="000000"/>
                <w:sz w:val="22"/>
                <w:lang w:val="en-IE" w:eastAsia="en-IE"/>
              </w:rPr>
            </w:pPr>
            <w:r w:rsidRPr="00C2043F">
              <w:rPr>
                <w:b/>
                <w:bCs/>
                <w:noProof/>
                <w:color w:val="000000"/>
                <w:sz w:val="22"/>
                <w:lang w:val="en-IE" w:eastAsia="en-IE"/>
              </w:rPr>
              <w:t>TOTAL appropriations</w:t>
            </w:r>
          </w:p>
          <w:p w14:paraId="775F7130" w14:textId="77777777" w:rsidR="00577B55" w:rsidRPr="00AD21FF" w:rsidRDefault="00577B55" w:rsidP="00577B55">
            <w:pPr>
              <w:spacing w:before="0" w:after="0"/>
              <w:rPr>
                <w:noProof/>
                <w:color w:val="000000"/>
                <w:sz w:val="20"/>
                <w:szCs w:val="20"/>
                <w:lang w:eastAsia="en-IE"/>
              </w:rPr>
            </w:pPr>
            <w:r w:rsidRPr="00C2043F">
              <w:rPr>
                <w:b/>
                <w:bCs/>
                <w:noProof/>
                <w:color w:val="000000"/>
                <w:sz w:val="22"/>
                <w:lang w:val="en-IE" w:eastAsia="en-IE"/>
              </w:rPr>
              <w:t xml:space="preserve">for DG </w:t>
            </w:r>
            <w:r>
              <w:rPr>
                <w:b/>
                <w:bCs/>
                <w:noProof/>
                <w:color w:val="000000"/>
                <w:sz w:val="22"/>
                <w:lang w:val="en-IE" w:eastAsia="en-IE"/>
              </w:rPr>
              <w:t>GROW</w:t>
            </w:r>
          </w:p>
        </w:tc>
        <w:tc>
          <w:tcPr>
            <w:tcW w:w="473" w:type="pct"/>
            <w:tcBorders>
              <w:top w:val="nil"/>
              <w:left w:val="single" w:sz="4" w:space="0" w:color="auto"/>
              <w:bottom w:val="single" w:sz="8" w:space="0" w:color="auto"/>
              <w:right w:val="single" w:sz="8" w:space="0" w:color="auto"/>
            </w:tcBorders>
            <w:vAlign w:val="center"/>
          </w:tcPr>
          <w:p w14:paraId="238628C3" w14:textId="77777777" w:rsidR="00577B55" w:rsidRPr="00AD21FF" w:rsidRDefault="00577B55" w:rsidP="00577B55">
            <w:pPr>
              <w:spacing w:before="0" w:after="0"/>
              <w:rPr>
                <w:noProof/>
                <w:color w:val="000000"/>
                <w:sz w:val="18"/>
                <w:szCs w:val="18"/>
                <w:lang w:eastAsia="en-IE"/>
              </w:rPr>
            </w:pPr>
            <w:r w:rsidRPr="00C2043F">
              <w:rPr>
                <w:noProof/>
                <w:color w:val="000000"/>
                <w:sz w:val="18"/>
                <w:szCs w:val="18"/>
                <w:lang w:val="en-IE" w:eastAsia="en-IE"/>
              </w:rPr>
              <w:t>Commitments</w:t>
            </w:r>
          </w:p>
        </w:tc>
        <w:tc>
          <w:tcPr>
            <w:tcW w:w="444" w:type="pct"/>
            <w:tcBorders>
              <w:top w:val="single" w:sz="8" w:space="0" w:color="auto"/>
              <w:left w:val="nil"/>
              <w:bottom w:val="single" w:sz="8" w:space="0" w:color="auto"/>
              <w:right w:val="single" w:sz="8" w:space="0" w:color="auto"/>
            </w:tcBorders>
            <w:vAlign w:val="center"/>
          </w:tcPr>
          <w:p w14:paraId="6CD69116" w14:textId="77777777" w:rsidR="00577B55" w:rsidRPr="00AD21FF" w:rsidRDefault="00577B55" w:rsidP="00577B55">
            <w:pPr>
              <w:spacing w:before="0" w:after="0"/>
              <w:jc w:val="center"/>
              <w:rPr>
                <w:noProof/>
                <w:color w:val="000000"/>
                <w:sz w:val="14"/>
                <w:szCs w:val="14"/>
                <w:lang w:eastAsia="en-IE"/>
              </w:rPr>
            </w:pPr>
            <w:r w:rsidRPr="00C2043F">
              <w:rPr>
                <w:noProof/>
                <w:color w:val="000000"/>
                <w:sz w:val="14"/>
                <w:szCs w:val="14"/>
                <w:lang w:val="en-IE" w:eastAsia="en-IE"/>
              </w:rPr>
              <w:t>=1a+1b</w:t>
            </w:r>
          </w:p>
        </w:tc>
        <w:tc>
          <w:tcPr>
            <w:tcW w:w="444" w:type="pct"/>
            <w:tcBorders>
              <w:top w:val="nil"/>
              <w:left w:val="nil"/>
              <w:bottom w:val="single" w:sz="8" w:space="0" w:color="auto"/>
              <w:right w:val="single" w:sz="8" w:space="0" w:color="auto"/>
            </w:tcBorders>
            <w:vAlign w:val="center"/>
          </w:tcPr>
          <w:p w14:paraId="7E88E76F" w14:textId="77777777" w:rsidR="00577B55" w:rsidRPr="00AD21FF" w:rsidRDefault="00577B55" w:rsidP="00577B55">
            <w:pPr>
              <w:spacing w:before="0" w:after="0"/>
              <w:jc w:val="right"/>
              <w:rPr>
                <w:noProof/>
                <w:color w:val="000000"/>
                <w:sz w:val="20"/>
                <w:szCs w:val="20"/>
                <w:lang w:eastAsia="en-IE"/>
              </w:rPr>
            </w:pPr>
            <w:r w:rsidRPr="00C2043F">
              <w:rPr>
                <w:b/>
                <w:bCs/>
                <w:noProof/>
                <w:color w:val="000000"/>
                <w:sz w:val="20"/>
                <w:szCs w:val="20"/>
                <w:lang w:val="en-IE" w:eastAsia="en-IE"/>
              </w:rPr>
              <w:t>0.000</w:t>
            </w:r>
          </w:p>
        </w:tc>
        <w:tc>
          <w:tcPr>
            <w:tcW w:w="444" w:type="pct"/>
            <w:tcBorders>
              <w:top w:val="nil"/>
              <w:left w:val="nil"/>
              <w:bottom w:val="single" w:sz="8" w:space="0" w:color="auto"/>
              <w:right w:val="single" w:sz="8" w:space="0" w:color="auto"/>
            </w:tcBorders>
            <w:vAlign w:val="center"/>
          </w:tcPr>
          <w:p w14:paraId="652383A2" w14:textId="77777777" w:rsidR="00577B55" w:rsidRPr="00AD21FF" w:rsidRDefault="00577B55" w:rsidP="00577B55">
            <w:pPr>
              <w:spacing w:before="0" w:after="0"/>
              <w:jc w:val="right"/>
              <w:rPr>
                <w:noProof/>
                <w:color w:val="000000"/>
                <w:sz w:val="20"/>
                <w:szCs w:val="20"/>
                <w:lang w:eastAsia="en-IE"/>
              </w:rPr>
            </w:pPr>
            <w:r w:rsidRPr="00C2043F">
              <w:rPr>
                <w:b/>
                <w:bCs/>
                <w:noProof/>
                <w:color w:val="000000"/>
                <w:sz w:val="20"/>
                <w:szCs w:val="20"/>
                <w:lang w:val="en-IE" w:eastAsia="en-IE"/>
              </w:rPr>
              <w:t>0.000</w:t>
            </w:r>
          </w:p>
        </w:tc>
        <w:tc>
          <w:tcPr>
            <w:tcW w:w="444" w:type="pct"/>
            <w:tcBorders>
              <w:top w:val="nil"/>
              <w:left w:val="nil"/>
              <w:bottom w:val="single" w:sz="8" w:space="0" w:color="auto"/>
              <w:right w:val="single" w:sz="8" w:space="0" w:color="auto"/>
            </w:tcBorders>
            <w:vAlign w:val="center"/>
          </w:tcPr>
          <w:p w14:paraId="1E7DD6DD" w14:textId="77777777" w:rsidR="00577B55" w:rsidRPr="00AD21FF" w:rsidRDefault="00577B55" w:rsidP="00577B55">
            <w:pPr>
              <w:spacing w:before="0" w:after="0"/>
              <w:jc w:val="right"/>
              <w:rPr>
                <w:noProof/>
                <w:color w:val="000000"/>
                <w:sz w:val="20"/>
                <w:szCs w:val="20"/>
                <w:lang w:eastAsia="en-IE"/>
              </w:rPr>
            </w:pPr>
            <w:r w:rsidRPr="00C2043F">
              <w:rPr>
                <w:b/>
                <w:bCs/>
                <w:noProof/>
                <w:color w:val="000000"/>
                <w:sz w:val="20"/>
                <w:szCs w:val="20"/>
                <w:lang w:val="en-IE" w:eastAsia="en-IE"/>
              </w:rPr>
              <w:t>0.000</w:t>
            </w:r>
          </w:p>
        </w:tc>
        <w:tc>
          <w:tcPr>
            <w:tcW w:w="427" w:type="pct"/>
            <w:tcBorders>
              <w:top w:val="nil"/>
              <w:left w:val="nil"/>
              <w:bottom w:val="single" w:sz="8" w:space="0" w:color="auto"/>
              <w:right w:val="single" w:sz="8" w:space="0" w:color="auto"/>
            </w:tcBorders>
            <w:vAlign w:val="center"/>
          </w:tcPr>
          <w:p w14:paraId="5CA89D2C" w14:textId="77777777" w:rsidR="00577B55" w:rsidRPr="00AD21FF" w:rsidRDefault="00577B55" w:rsidP="00577B55">
            <w:pPr>
              <w:spacing w:before="0" w:after="0"/>
              <w:jc w:val="right"/>
              <w:rPr>
                <w:noProof/>
                <w:color w:val="000000"/>
                <w:sz w:val="20"/>
                <w:szCs w:val="20"/>
                <w:lang w:eastAsia="en-IE"/>
              </w:rPr>
            </w:pPr>
            <w:r w:rsidRPr="00C2043F">
              <w:rPr>
                <w:b/>
                <w:bCs/>
                <w:noProof/>
                <w:color w:val="000000"/>
                <w:sz w:val="20"/>
                <w:szCs w:val="20"/>
                <w:lang w:val="en-IE" w:eastAsia="en-IE"/>
              </w:rPr>
              <w:t>0.0</w:t>
            </w:r>
            <w:r>
              <w:rPr>
                <w:b/>
                <w:bCs/>
                <w:noProof/>
                <w:color w:val="000000"/>
                <w:sz w:val="20"/>
                <w:szCs w:val="20"/>
                <w:lang w:val="en-IE" w:eastAsia="en-IE"/>
              </w:rPr>
              <w:t>4</w:t>
            </w:r>
            <w:r w:rsidRPr="00C2043F">
              <w:rPr>
                <w:b/>
                <w:bCs/>
                <w:noProof/>
                <w:color w:val="000000"/>
                <w:sz w:val="20"/>
                <w:szCs w:val="20"/>
                <w:lang w:val="en-IE" w:eastAsia="en-IE"/>
              </w:rPr>
              <w:t>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4BA2865D" w14:textId="77777777" w:rsidR="00577B55" w:rsidRPr="00AD21FF" w:rsidRDefault="00577B55" w:rsidP="00577B55">
            <w:pPr>
              <w:spacing w:before="0" w:after="0"/>
              <w:jc w:val="right"/>
              <w:rPr>
                <w:b/>
                <w:noProof/>
                <w:color w:val="000000"/>
                <w:sz w:val="20"/>
                <w:szCs w:val="20"/>
                <w:lang w:eastAsia="en-IE"/>
              </w:rPr>
            </w:pPr>
            <w:r w:rsidRPr="00C2043F">
              <w:rPr>
                <w:b/>
                <w:bCs/>
                <w:noProof/>
                <w:color w:val="000000"/>
                <w:sz w:val="20"/>
                <w:szCs w:val="20"/>
                <w:lang w:val="en-IE" w:eastAsia="en-IE"/>
              </w:rPr>
              <w:t>0.0</w:t>
            </w:r>
            <w:r>
              <w:rPr>
                <w:b/>
                <w:bCs/>
                <w:noProof/>
                <w:color w:val="000000"/>
                <w:sz w:val="20"/>
                <w:szCs w:val="20"/>
                <w:lang w:val="en-IE" w:eastAsia="en-IE"/>
              </w:rPr>
              <w:t>4</w:t>
            </w:r>
            <w:r w:rsidRPr="00C2043F">
              <w:rPr>
                <w:b/>
                <w:bCs/>
                <w:noProof/>
                <w:color w:val="000000"/>
                <w:sz w:val="20"/>
                <w:szCs w:val="20"/>
                <w:lang w:val="en-IE" w:eastAsia="en-IE"/>
              </w:rPr>
              <w:t>0</w:t>
            </w:r>
          </w:p>
        </w:tc>
        <w:tc>
          <w:tcPr>
            <w:tcW w:w="527" w:type="pct"/>
            <w:tcBorders>
              <w:top w:val="nil"/>
              <w:left w:val="nil"/>
              <w:bottom w:val="single" w:sz="8" w:space="0" w:color="auto"/>
              <w:right w:val="single" w:sz="8" w:space="0" w:color="auto"/>
            </w:tcBorders>
            <w:shd w:val="clear" w:color="auto" w:fill="D9D9D9" w:themeFill="background1" w:themeFillShade="D9"/>
          </w:tcPr>
          <w:p w14:paraId="35096E69" w14:textId="77777777" w:rsidR="00577B55" w:rsidRPr="00C2043F" w:rsidRDefault="00352335" w:rsidP="00577B55">
            <w:pPr>
              <w:spacing w:before="0" w:after="0"/>
              <w:jc w:val="right"/>
              <w:rPr>
                <w:b/>
                <w:bCs/>
                <w:noProof/>
                <w:color w:val="000000"/>
                <w:sz w:val="20"/>
                <w:szCs w:val="20"/>
                <w:lang w:val="en-IE" w:eastAsia="en-IE"/>
              </w:rPr>
            </w:pPr>
            <w:r w:rsidRPr="0A00588A">
              <w:rPr>
                <w:b/>
                <w:noProof/>
                <w:color w:val="000000" w:themeColor="text1"/>
                <w:sz w:val="20"/>
                <w:szCs w:val="20"/>
                <w:lang w:val="en-IE" w:eastAsia="en-IE"/>
              </w:rPr>
              <w:t>0.140</w:t>
            </w:r>
          </w:p>
        </w:tc>
      </w:tr>
      <w:tr w:rsidR="00B706A3" w:rsidRPr="00AD21FF" w14:paraId="150B2B9B" w14:textId="77777777" w:rsidTr="00A86410">
        <w:trPr>
          <w:trHeight w:val="315"/>
        </w:trPr>
        <w:tc>
          <w:tcPr>
            <w:tcW w:w="1269" w:type="pct"/>
            <w:vMerge/>
            <w:tcBorders>
              <w:top w:val="single" w:sz="4" w:space="0" w:color="auto"/>
              <w:left w:val="single" w:sz="4" w:space="0" w:color="auto"/>
              <w:bottom w:val="single" w:sz="4" w:space="0" w:color="auto"/>
              <w:right w:val="single" w:sz="4" w:space="0" w:color="auto"/>
            </w:tcBorders>
            <w:vAlign w:val="center"/>
          </w:tcPr>
          <w:p w14:paraId="5C1FB8F2" w14:textId="77777777" w:rsidR="00577B55" w:rsidRPr="00AD21FF" w:rsidRDefault="00577B55" w:rsidP="00577B55">
            <w:pPr>
              <w:spacing w:before="0" w:after="0"/>
              <w:jc w:val="left"/>
              <w:rPr>
                <w:noProof/>
                <w:color w:val="000000"/>
                <w:sz w:val="20"/>
                <w:szCs w:val="20"/>
                <w:lang w:eastAsia="en-IE"/>
              </w:rPr>
            </w:pPr>
          </w:p>
        </w:tc>
        <w:tc>
          <w:tcPr>
            <w:tcW w:w="473" w:type="pct"/>
            <w:tcBorders>
              <w:top w:val="nil"/>
              <w:left w:val="single" w:sz="4" w:space="0" w:color="auto"/>
              <w:bottom w:val="single" w:sz="8" w:space="0" w:color="auto"/>
              <w:right w:val="single" w:sz="8" w:space="0" w:color="auto"/>
            </w:tcBorders>
            <w:vAlign w:val="center"/>
          </w:tcPr>
          <w:p w14:paraId="480708C9" w14:textId="77777777" w:rsidR="00577B55" w:rsidRPr="00AD21FF" w:rsidRDefault="00577B55" w:rsidP="00577B55">
            <w:pPr>
              <w:spacing w:before="0" w:after="0"/>
              <w:rPr>
                <w:noProof/>
                <w:color w:val="000000"/>
                <w:sz w:val="18"/>
                <w:szCs w:val="18"/>
                <w:lang w:eastAsia="en-IE"/>
              </w:rPr>
            </w:pPr>
            <w:r w:rsidRPr="00C2043F">
              <w:rPr>
                <w:noProof/>
                <w:color w:val="000000"/>
                <w:sz w:val="18"/>
                <w:szCs w:val="18"/>
                <w:lang w:val="en-IE" w:eastAsia="en-IE"/>
              </w:rPr>
              <w:t>Payments</w:t>
            </w:r>
          </w:p>
        </w:tc>
        <w:tc>
          <w:tcPr>
            <w:tcW w:w="444" w:type="pct"/>
            <w:tcBorders>
              <w:top w:val="single" w:sz="8" w:space="0" w:color="auto"/>
              <w:left w:val="nil"/>
              <w:bottom w:val="single" w:sz="8" w:space="0" w:color="auto"/>
              <w:right w:val="single" w:sz="8" w:space="0" w:color="auto"/>
            </w:tcBorders>
            <w:vAlign w:val="center"/>
          </w:tcPr>
          <w:p w14:paraId="50E8DDF0" w14:textId="77777777" w:rsidR="00577B55" w:rsidRPr="00AD21FF" w:rsidRDefault="00577B55" w:rsidP="00577B55">
            <w:pPr>
              <w:spacing w:before="0" w:after="0"/>
              <w:jc w:val="center"/>
              <w:rPr>
                <w:noProof/>
                <w:color w:val="000000"/>
                <w:sz w:val="14"/>
                <w:szCs w:val="14"/>
                <w:lang w:eastAsia="en-IE"/>
              </w:rPr>
            </w:pPr>
            <w:r w:rsidRPr="00C2043F">
              <w:rPr>
                <w:noProof/>
                <w:color w:val="000000"/>
                <w:sz w:val="14"/>
                <w:szCs w:val="14"/>
                <w:lang w:val="en-IE" w:eastAsia="en-IE"/>
              </w:rPr>
              <w:t>=2a+2b</w:t>
            </w:r>
          </w:p>
        </w:tc>
        <w:tc>
          <w:tcPr>
            <w:tcW w:w="444" w:type="pct"/>
            <w:tcBorders>
              <w:top w:val="nil"/>
              <w:left w:val="nil"/>
              <w:bottom w:val="single" w:sz="8" w:space="0" w:color="auto"/>
              <w:right w:val="single" w:sz="8" w:space="0" w:color="auto"/>
            </w:tcBorders>
            <w:vAlign w:val="center"/>
          </w:tcPr>
          <w:p w14:paraId="10970EA4" w14:textId="77777777" w:rsidR="00577B55" w:rsidRPr="00AD21FF" w:rsidRDefault="00577B55" w:rsidP="00577B55">
            <w:pPr>
              <w:spacing w:before="0" w:after="0"/>
              <w:jc w:val="right"/>
              <w:rPr>
                <w:noProof/>
                <w:color w:val="000000"/>
                <w:sz w:val="20"/>
                <w:szCs w:val="20"/>
                <w:lang w:eastAsia="en-IE"/>
              </w:rPr>
            </w:pPr>
            <w:r w:rsidRPr="00C2043F">
              <w:rPr>
                <w:b/>
                <w:bCs/>
                <w:noProof/>
                <w:color w:val="000000"/>
                <w:sz w:val="20"/>
                <w:szCs w:val="20"/>
                <w:lang w:val="en-IE" w:eastAsia="en-IE"/>
              </w:rPr>
              <w:t>0.000</w:t>
            </w:r>
          </w:p>
        </w:tc>
        <w:tc>
          <w:tcPr>
            <w:tcW w:w="444" w:type="pct"/>
            <w:tcBorders>
              <w:top w:val="nil"/>
              <w:left w:val="nil"/>
              <w:bottom w:val="single" w:sz="8" w:space="0" w:color="auto"/>
              <w:right w:val="single" w:sz="8" w:space="0" w:color="auto"/>
            </w:tcBorders>
            <w:vAlign w:val="center"/>
          </w:tcPr>
          <w:p w14:paraId="0E1963E0" w14:textId="77777777" w:rsidR="00577B55" w:rsidRPr="00AD21FF" w:rsidRDefault="00577B55" w:rsidP="00577B55">
            <w:pPr>
              <w:spacing w:before="0" w:after="0"/>
              <w:jc w:val="right"/>
              <w:rPr>
                <w:noProof/>
                <w:color w:val="000000"/>
                <w:sz w:val="20"/>
                <w:szCs w:val="20"/>
                <w:lang w:eastAsia="en-IE"/>
              </w:rPr>
            </w:pPr>
            <w:r w:rsidRPr="00C2043F">
              <w:rPr>
                <w:b/>
                <w:bCs/>
                <w:noProof/>
                <w:color w:val="000000"/>
                <w:sz w:val="20"/>
                <w:szCs w:val="20"/>
                <w:lang w:val="en-IE" w:eastAsia="en-IE"/>
              </w:rPr>
              <w:t>0.000</w:t>
            </w:r>
          </w:p>
        </w:tc>
        <w:tc>
          <w:tcPr>
            <w:tcW w:w="444" w:type="pct"/>
            <w:tcBorders>
              <w:top w:val="nil"/>
              <w:left w:val="nil"/>
              <w:bottom w:val="single" w:sz="8" w:space="0" w:color="auto"/>
              <w:right w:val="single" w:sz="8" w:space="0" w:color="auto"/>
            </w:tcBorders>
            <w:vAlign w:val="center"/>
          </w:tcPr>
          <w:p w14:paraId="7F1947FC" w14:textId="77777777" w:rsidR="00577B55" w:rsidRPr="00AD21FF" w:rsidRDefault="00577B55" w:rsidP="00577B55">
            <w:pPr>
              <w:spacing w:before="0" w:after="0"/>
              <w:jc w:val="right"/>
              <w:rPr>
                <w:noProof/>
                <w:color w:val="000000"/>
                <w:sz w:val="20"/>
                <w:szCs w:val="20"/>
                <w:lang w:eastAsia="en-IE"/>
              </w:rPr>
            </w:pPr>
            <w:r w:rsidRPr="00C2043F">
              <w:rPr>
                <w:b/>
                <w:bCs/>
                <w:noProof/>
                <w:color w:val="000000"/>
                <w:sz w:val="20"/>
                <w:szCs w:val="20"/>
                <w:lang w:val="en-IE" w:eastAsia="en-IE"/>
              </w:rPr>
              <w:t>0.000</w:t>
            </w:r>
          </w:p>
        </w:tc>
        <w:tc>
          <w:tcPr>
            <w:tcW w:w="427" w:type="pct"/>
            <w:tcBorders>
              <w:top w:val="nil"/>
              <w:left w:val="nil"/>
              <w:bottom w:val="single" w:sz="8" w:space="0" w:color="auto"/>
              <w:right w:val="single" w:sz="8" w:space="0" w:color="auto"/>
            </w:tcBorders>
            <w:vAlign w:val="center"/>
          </w:tcPr>
          <w:p w14:paraId="07EB96EC" w14:textId="77777777" w:rsidR="00577B55" w:rsidRPr="00AD21FF" w:rsidRDefault="00577B55" w:rsidP="00577B55">
            <w:pPr>
              <w:spacing w:before="0" w:after="0"/>
              <w:jc w:val="right"/>
              <w:rPr>
                <w:noProof/>
                <w:color w:val="000000"/>
                <w:sz w:val="20"/>
                <w:szCs w:val="20"/>
                <w:lang w:eastAsia="en-IE"/>
              </w:rPr>
            </w:pPr>
            <w:r w:rsidRPr="00C2043F">
              <w:rPr>
                <w:b/>
                <w:bCs/>
                <w:noProof/>
                <w:color w:val="000000"/>
                <w:sz w:val="20"/>
                <w:szCs w:val="20"/>
                <w:lang w:val="en-IE" w:eastAsia="en-IE"/>
              </w:rPr>
              <w:t>0.0</w:t>
            </w:r>
            <w:r>
              <w:rPr>
                <w:b/>
                <w:bCs/>
                <w:noProof/>
                <w:color w:val="000000"/>
                <w:sz w:val="20"/>
                <w:szCs w:val="20"/>
                <w:lang w:val="en-IE" w:eastAsia="en-IE"/>
              </w:rPr>
              <w:t>4</w:t>
            </w:r>
            <w:r w:rsidRPr="00C2043F">
              <w:rPr>
                <w:b/>
                <w:bCs/>
                <w:noProof/>
                <w:color w:val="000000"/>
                <w:sz w:val="20"/>
                <w:szCs w:val="20"/>
                <w:lang w:val="en-IE" w:eastAsia="en-IE"/>
              </w:rPr>
              <w:t>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74097F53" w14:textId="77777777" w:rsidR="00577B55" w:rsidRPr="00AD21FF" w:rsidRDefault="00577B55" w:rsidP="00577B55">
            <w:pPr>
              <w:spacing w:before="0" w:after="0"/>
              <w:jc w:val="right"/>
              <w:rPr>
                <w:b/>
                <w:noProof/>
                <w:color w:val="000000"/>
                <w:sz w:val="20"/>
                <w:szCs w:val="20"/>
                <w:lang w:eastAsia="en-IE"/>
              </w:rPr>
            </w:pPr>
            <w:r w:rsidRPr="00C2043F">
              <w:rPr>
                <w:b/>
                <w:bCs/>
                <w:noProof/>
                <w:color w:val="000000"/>
                <w:sz w:val="20"/>
                <w:szCs w:val="20"/>
                <w:lang w:val="en-IE" w:eastAsia="en-IE"/>
              </w:rPr>
              <w:t>0.0</w:t>
            </w:r>
            <w:r>
              <w:rPr>
                <w:b/>
                <w:bCs/>
                <w:noProof/>
                <w:color w:val="000000"/>
                <w:sz w:val="20"/>
                <w:szCs w:val="20"/>
                <w:lang w:val="en-IE" w:eastAsia="en-IE"/>
              </w:rPr>
              <w:t>4</w:t>
            </w:r>
            <w:r w:rsidRPr="00C2043F">
              <w:rPr>
                <w:b/>
                <w:bCs/>
                <w:noProof/>
                <w:color w:val="000000"/>
                <w:sz w:val="20"/>
                <w:szCs w:val="20"/>
                <w:lang w:val="en-IE" w:eastAsia="en-IE"/>
              </w:rPr>
              <w:t>0</w:t>
            </w:r>
          </w:p>
        </w:tc>
        <w:tc>
          <w:tcPr>
            <w:tcW w:w="527" w:type="pct"/>
            <w:tcBorders>
              <w:top w:val="nil"/>
              <w:left w:val="nil"/>
              <w:bottom w:val="single" w:sz="8" w:space="0" w:color="auto"/>
              <w:right w:val="single" w:sz="8" w:space="0" w:color="auto"/>
            </w:tcBorders>
            <w:shd w:val="clear" w:color="auto" w:fill="D9D9D9" w:themeFill="background1" w:themeFillShade="D9"/>
          </w:tcPr>
          <w:p w14:paraId="2B6677B5" w14:textId="77777777" w:rsidR="00577B55" w:rsidRPr="00C2043F" w:rsidRDefault="00352335" w:rsidP="00577B55">
            <w:pPr>
              <w:spacing w:before="0" w:after="0"/>
              <w:jc w:val="right"/>
              <w:rPr>
                <w:b/>
                <w:bCs/>
                <w:noProof/>
                <w:color w:val="000000"/>
                <w:sz w:val="20"/>
                <w:szCs w:val="20"/>
                <w:lang w:val="en-IE" w:eastAsia="en-IE"/>
              </w:rPr>
            </w:pPr>
            <w:r w:rsidRPr="00352335">
              <w:rPr>
                <w:b/>
                <w:bCs/>
                <w:noProof/>
                <w:color w:val="000000"/>
                <w:sz w:val="20"/>
                <w:szCs w:val="20"/>
                <w:lang w:val="en-IE" w:eastAsia="en-IE"/>
              </w:rPr>
              <w:t>0.140</w:t>
            </w:r>
          </w:p>
        </w:tc>
      </w:tr>
    </w:tbl>
    <w:p w14:paraId="68948C68" w14:textId="77777777" w:rsidR="001070C7" w:rsidRPr="00781B63" w:rsidRDefault="001070C7" w:rsidP="001070C7">
      <w:pPr>
        <w:jc w:val="right"/>
        <w:rPr>
          <w:noProof/>
        </w:rPr>
      </w:pPr>
      <w:r w:rsidRPr="00AD21FF">
        <w:rPr>
          <w:noProof/>
          <w:sz w:val="20"/>
        </w:rPr>
        <w:t>EUR million (to three decimal places)</w:t>
      </w:r>
    </w:p>
    <w:tbl>
      <w:tblPr>
        <w:tblW w:w="5000" w:type="pct"/>
        <w:tblLook w:val="04A0" w:firstRow="1" w:lastRow="0" w:firstColumn="1" w:lastColumn="0" w:noHBand="0" w:noVBand="1"/>
      </w:tblPr>
      <w:tblGrid>
        <w:gridCol w:w="3149"/>
        <w:gridCol w:w="1237"/>
        <w:gridCol w:w="1064"/>
        <w:gridCol w:w="1106"/>
        <w:gridCol w:w="873"/>
        <w:gridCol w:w="1126"/>
        <w:gridCol w:w="1106"/>
        <w:gridCol w:w="1106"/>
        <w:gridCol w:w="1081"/>
        <w:gridCol w:w="1058"/>
        <w:gridCol w:w="1314"/>
      </w:tblGrid>
      <w:tr w:rsidR="00841BFE" w:rsidRPr="00841BFE" w14:paraId="2A6E59EC" w14:textId="77777777" w:rsidTr="00DC1AB1">
        <w:trPr>
          <w:trHeight w:val="420"/>
        </w:trPr>
        <w:tc>
          <w:tcPr>
            <w:tcW w:w="1916"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25DB6D57" w14:textId="77777777" w:rsidR="00841BFE" w:rsidRPr="00841BFE" w:rsidRDefault="00841BFE" w:rsidP="00841BFE">
            <w:pPr>
              <w:spacing w:before="0" w:after="0"/>
              <w:jc w:val="center"/>
              <w:rPr>
                <w:rFonts w:eastAsia="Times New Roman"/>
                <w:noProof/>
                <w:color w:val="000000"/>
                <w:sz w:val="22"/>
                <w:lang w:val="en-IE" w:eastAsia="en-IE"/>
              </w:rPr>
            </w:pPr>
            <w:r w:rsidRPr="00841BFE">
              <w:rPr>
                <w:rFonts w:eastAsia="Times New Roman"/>
                <w:noProof/>
                <w:color w:val="000000"/>
                <w:sz w:val="22"/>
                <w:lang w:val="en-IE" w:eastAsia="en-IE"/>
              </w:rPr>
              <w:t>DG: GROW</w:t>
            </w:r>
          </w:p>
        </w:tc>
        <w:tc>
          <w:tcPr>
            <w:tcW w:w="389" w:type="pct"/>
            <w:tcBorders>
              <w:top w:val="single" w:sz="8" w:space="0" w:color="auto"/>
              <w:left w:val="nil"/>
              <w:bottom w:val="single" w:sz="8" w:space="0" w:color="auto"/>
              <w:right w:val="single" w:sz="8" w:space="0" w:color="auto"/>
            </w:tcBorders>
            <w:vAlign w:val="center"/>
            <w:hideMark/>
          </w:tcPr>
          <w:p w14:paraId="6DFE6A3C" w14:textId="77777777" w:rsidR="00841BFE" w:rsidRPr="00841BFE" w:rsidRDefault="00841BFE" w:rsidP="00841BFE">
            <w:pPr>
              <w:spacing w:before="0" w:after="0"/>
              <w:jc w:val="center"/>
              <w:rPr>
                <w:rFonts w:eastAsia="Times New Roman"/>
                <w:noProof/>
                <w:color w:val="000000"/>
                <w:sz w:val="20"/>
                <w:szCs w:val="20"/>
                <w:lang w:val="en-IE" w:eastAsia="en-IE"/>
              </w:rPr>
            </w:pPr>
            <w:r w:rsidRPr="00841BFE">
              <w:rPr>
                <w:rFonts w:eastAsia="Times New Roman"/>
                <w:noProof/>
                <w:color w:val="000000"/>
                <w:sz w:val="20"/>
                <w:szCs w:val="20"/>
                <w:lang w:val="en-IE" w:eastAsia="en-IE"/>
              </w:rPr>
              <w:t>Year</w:t>
            </w:r>
          </w:p>
        </w:tc>
        <w:tc>
          <w:tcPr>
            <w:tcW w:w="307" w:type="pct"/>
            <w:tcBorders>
              <w:top w:val="single" w:sz="8" w:space="0" w:color="auto"/>
              <w:left w:val="nil"/>
              <w:bottom w:val="single" w:sz="8" w:space="0" w:color="auto"/>
              <w:right w:val="single" w:sz="8" w:space="0" w:color="auto"/>
            </w:tcBorders>
            <w:vAlign w:val="center"/>
            <w:hideMark/>
          </w:tcPr>
          <w:p w14:paraId="543E7283" w14:textId="77777777" w:rsidR="00841BFE" w:rsidRPr="00841BFE" w:rsidRDefault="00841BFE" w:rsidP="00841BFE">
            <w:pPr>
              <w:spacing w:before="0" w:after="0"/>
              <w:jc w:val="center"/>
              <w:rPr>
                <w:rFonts w:eastAsia="Times New Roman"/>
                <w:noProof/>
                <w:color w:val="000000"/>
                <w:sz w:val="20"/>
                <w:szCs w:val="20"/>
                <w:lang w:val="en-IE" w:eastAsia="en-IE"/>
              </w:rPr>
            </w:pPr>
            <w:r w:rsidRPr="00841BFE">
              <w:rPr>
                <w:rFonts w:eastAsia="Times New Roman"/>
                <w:noProof/>
                <w:color w:val="000000"/>
                <w:sz w:val="20"/>
                <w:szCs w:val="20"/>
                <w:lang w:val="en-IE" w:eastAsia="en-IE"/>
              </w:rPr>
              <w:t>Year</w:t>
            </w:r>
          </w:p>
        </w:tc>
        <w:tc>
          <w:tcPr>
            <w:tcW w:w="396" w:type="pct"/>
            <w:tcBorders>
              <w:top w:val="single" w:sz="8" w:space="0" w:color="auto"/>
              <w:left w:val="nil"/>
              <w:bottom w:val="single" w:sz="8" w:space="0" w:color="auto"/>
              <w:right w:val="single" w:sz="8" w:space="0" w:color="auto"/>
            </w:tcBorders>
            <w:vAlign w:val="center"/>
            <w:hideMark/>
          </w:tcPr>
          <w:p w14:paraId="7ABBE906" w14:textId="77777777" w:rsidR="00841BFE" w:rsidRPr="00841BFE" w:rsidRDefault="00841BFE" w:rsidP="00841BFE">
            <w:pPr>
              <w:spacing w:before="0" w:after="0"/>
              <w:jc w:val="center"/>
              <w:rPr>
                <w:rFonts w:eastAsia="Times New Roman"/>
                <w:noProof/>
                <w:color w:val="000000"/>
                <w:sz w:val="20"/>
                <w:szCs w:val="20"/>
                <w:lang w:val="en-IE" w:eastAsia="en-IE"/>
              </w:rPr>
            </w:pPr>
            <w:r w:rsidRPr="00841BFE">
              <w:rPr>
                <w:rFonts w:eastAsia="Times New Roman"/>
                <w:noProof/>
                <w:color w:val="000000"/>
                <w:sz w:val="20"/>
                <w:szCs w:val="20"/>
                <w:lang w:val="en-IE" w:eastAsia="en-IE"/>
              </w:rPr>
              <w:t>Year</w:t>
            </w:r>
          </w:p>
        </w:tc>
        <w:tc>
          <w:tcPr>
            <w:tcW w:w="389" w:type="pct"/>
            <w:tcBorders>
              <w:top w:val="single" w:sz="8" w:space="0" w:color="auto"/>
              <w:left w:val="nil"/>
              <w:bottom w:val="single" w:sz="8" w:space="0" w:color="auto"/>
              <w:right w:val="single" w:sz="8" w:space="0" w:color="auto"/>
            </w:tcBorders>
            <w:vAlign w:val="center"/>
            <w:hideMark/>
          </w:tcPr>
          <w:p w14:paraId="15E7786E" w14:textId="77777777" w:rsidR="00841BFE" w:rsidRPr="00841BFE" w:rsidRDefault="00841BFE" w:rsidP="00841BFE">
            <w:pPr>
              <w:spacing w:before="0" w:after="0"/>
              <w:jc w:val="center"/>
              <w:rPr>
                <w:rFonts w:eastAsia="Times New Roman"/>
                <w:noProof/>
                <w:color w:val="000000"/>
                <w:sz w:val="20"/>
                <w:szCs w:val="20"/>
                <w:lang w:val="en-IE" w:eastAsia="en-IE"/>
              </w:rPr>
            </w:pPr>
            <w:r w:rsidRPr="00841BFE">
              <w:rPr>
                <w:rFonts w:eastAsia="Times New Roman"/>
                <w:noProof/>
                <w:color w:val="000000"/>
                <w:sz w:val="20"/>
                <w:szCs w:val="20"/>
                <w:lang w:val="en-IE" w:eastAsia="en-IE"/>
              </w:rPr>
              <w:t>Year</w:t>
            </w:r>
          </w:p>
        </w:tc>
        <w:tc>
          <w:tcPr>
            <w:tcW w:w="389" w:type="pct"/>
            <w:tcBorders>
              <w:top w:val="single" w:sz="8" w:space="0" w:color="auto"/>
              <w:left w:val="nil"/>
              <w:bottom w:val="single" w:sz="8" w:space="0" w:color="auto"/>
              <w:right w:val="single" w:sz="8" w:space="0" w:color="auto"/>
            </w:tcBorders>
            <w:vAlign w:val="center"/>
            <w:hideMark/>
          </w:tcPr>
          <w:p w14:paraId="6C03C124" w14:textId="77777777" w:rsidR="00841BFE" w:rsidRPr="00841BFE" w:rsidRDefault="00841BFE" w:rsidP="00841BFE">
            <w:pPr>
              <w:spacing w:before="0" w:after="0"/>
              <w:jc w:val="center"/>
              <w:rPr>
                <w:rFonts w:eastAsia="Times New Roman"/>
                <w:noProof/>
                <w:color w:val="000000"/>
                <w:sz w:val="20"/>
                <w:szCs w:val="20"/>
                <w:lang w:val="en-IE" w:eastAsia="en-IE"/>
              </w:rPr>
            </w:pPr>
            <w:r w:rsidRPr="00841BFE">
              <w:rPr>
                <w:rFonts w:eastAsia="Times New Roman"/>
                <w:noProof/>
                <w:color w:val="000000"/>
                <w:sz w:val="20"/>
                <w:szCs w:val="20"/>
                <w:lang w:val="en-IE" w:eastAsia="en-IE"/>
              </w:rPr>
              <w:t>Year</w:t>
            </w:r>
          </w:p>
        </w:tc>
        <w:tc>
          <w:tcPr>
            <w:tcW w:w="380" w:type="pct"/>
            <w:tcBorders>
              <w:top w:val="single" w:sz="8" w:space="0" w:color="auto"/>
              <w:left w:val="nil"/>
              <w:bottom w:val="single" w:sz="8" w:space="0" w:color="auto"/>
              <w:right w:val="single" w:sz="8" w:space="0" w:color="auto"/>
            </w:tcBorders>
            <w:vAlign w:val="center"/>
            <w:hideMark/>
          </w:tcPr>
          <w:p w14:paraId="67157038" w14:textId="77777777" w:rsidR="00841BFE" w:rsidRPr="00841BFE" w:rsidRDefault="00841BFE" w:rsidP="00841BFE">
            <w:pPr>
              <w:spacing w:before="0" w:after="0"/>
              <w:jc w:val="center"/>
              <w:rPr>
                <w:rFonts w:eastAsia="Times New Roman"/>
                <w:noProof/>
                <w:color w:val="000000"/>
                <w:sz w:val="20"/>
                <w:szCs w:val="20"/>
                <w:lang w:val="en-IE" w:eastAsia="en-IE"/>
              </w:rPr>
            </w:pPr>
            <w:r w:rsidRPr="00841BFE">
              <w:rPr>
                <w:rFonts w:eastAsia="Times New Roman"/>
                <w:noProof/>
                <w:color w:val="000000"/>
                <w:sz w:val="20"/>
                <w:szCs w:val="20"/>
                <w:lang w:val="en-IE" w:eastAsia="en-IE"/>
              </w:rPr>
              <w:t>Year</w:t>
            </w:r>
          </w:p>
        </w:tc>
        <w:tc>
          <w:tcPr>
            <w:tcW w:w="372" w:type="pct"/>
            <w:tcBorders>
              <w:top w:val="single" w:sz="8" w:space="0" w:color="auto"/>
              <w:left w:val="nil"/>
              <w:bottom w:val="single" w:sz="8" w:space="0" w:color="auto"/>
              <w:right w:val="single" w:sz="8" w:space="0" w:color="auto"/>
            </w:tcBorders>
            <w:vAlign w:val="center"/>
            <w:hideMark/>
          </w:tcPr>
          <w:p w14:paraId="3C7F1525" w14:textId="77777777" w:rsidR="00841BFE" w:rsidRPr="00841BFE" w:rsidRDefault="00841BFE" w:rsidP="00841BFE">
            <w:pPr>
              <w:spacing w:before="0" w:after="0"/>
              <w:jc w:val="center"/>
              <w:rPr>
                <w:rFonts w:eastAsia="Times New Roman"/>
                <w:noProof/>
                <w:color w:val="000000"/>
                <w:sz w:val="20"/>
                <w:szCs w:val="20"/>
                <w:lang w:val="en-IE" w:eastAsia="en-IE"/>
              </w:rPr>
            </w:pPr>
            <w:r w:rsidRPr="00841BFE">
              <w:rPr>
                <w:rFonts w:eastAsia="Times New Roman"/>
                <w:noProof/>
                <w:color w:val="000000"/>
                <w:sz w:val="20"/>
                <w:szCs w:val="20"/>
                <w:lang w:val="en-IE" w:eastAsia="en-IE"/>
              </w:rPr>
              <w:t>Year</w:t>
            </w:r>
          </w:p>
        </w:tc>
        <w:tc>
          <w:tcPr>
            <w:tcW w:w="462" w:type="pct"/>
            <w:vMerge w:val="restart"/>
            <w:tcBorders>
              <w:top w:val="single" w:sz="8" w:space="0" w:color="auto"/>
              <w:left w:val="single" w:sz="8" w:space="0" w:color="auto"/>
              <w:bottom w:val="single" w:sz="8" w:space="0" w:color="auto"/>
              <w:right w:val="single" w:sz="8" w:space="0" w:color="auto"/>
            </w:tcBorders>
            <w:vAlign w:val="center"/>
            <w:hideMark/>
          </w:tcPr>
          <w:p w14:paraId="725B0F7E" w14:textId="77777777" w:rsidR="00841BFE" w:rsidRPr="00841BFE" w:rsidRDefault="00841BFE" w:rsidP="00841BFE">
            <w:pPr>
              <w:spacing w:before="0" w:after="0"/>
              <w:jc w:val="center"/>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TOTAL MFF</w:t>
            </w:r>
            <w:r w:rsidRPr="00841BFE">
              <w:rPr>
                <w:rFonts w:eastAsia="Times New Roman"/>
                <w:b/>
                <w:bCs/>
                <w:noProof/>
                <w:color w:val="000000"/>
                <w:sz w:val="20"/>
                <w:szCs w:val="20"/>
                <w:lang w:val="en-IE" w:eastAsia="en-IE"/>
              </w:rPr>
              <w:br/>
              <w:t>2028-2034</w:t>
            </w:r>
            <w:r w:rsidR="00D630EC">
              <w:rPr>
                <w:rStyle w:val="FootnoteReference"/>
                <w:rFonts w:eastAsia="Times New Roman"/>
                <w:b/>
                <w:bCs/>
                <w:noProof/>
                <w:color w:val="000000"/>
                <w:sz w:val="20"/>
                <w:szCs w:val="20"/>
                <w:lang w:val="en-IE" w:eastAsia="en-IE"/>
              </w:rPr>
              <w:footnoteReference w:id="74"/>
            </w:r>
          </w:p>
        </w:tc>
      </w:tr>
      <w:tr w:rsidR="00841BFE" w:rsidRPr="00841BFE" w14:paraId="6EB7099F" w14:textId="77777777" w:rsidTr="00DC1AB1">
        <w:trPr>
          <w:trHeight w:val="315"/>
        </w:trPr>
        <w:tc>
          <w:tcPr>
            <w:tcW w:w="1916" w:type="pct"/>
            <w:gridSpan w:val="3"/>
            <w:vMerge/>
            <w:tcBorders>
              <w:top w:val="single" w:sz="8" w:space="0" w:color="auto"/>
              <w:left w:val="single" w:sz="8" w:space="0" w:color="auto"/>
              <w:bottom w:val="single" w:sz="8" w:space="0" w:color="auto"/>
              <w:right w:val="single" w:sz="8" w:space="0" w:color="auto"/>
            </w:tcBorders>
            <w:vAlign w:val="center"/>
            <w:hideMark/>
          </w:tcPr>
          <w:p w14:paraId="667C8408" w14:textId="77777777" w:rsidR="00841BFE" w:rsidRPr="00841BFE" w:rsidRDefault="00841BFE" w:rsidP="00841BFE">
            <w:pPr>
              <w:spacing w:before="0" w:after="0"/>
              <w:jc w:val="left"/>
              <w:rPr>
                <w:rFonts w:eastAsia="Times New Roman"/>
                <w:noProof/>
                <w:color w:val="000000"/>
                <w:sz w:val="22"/>
                <w:lang w:val="en-IE" w:eastAsia="en-IE"/>
              </w:rPr>
            </w:pPr>
          </w:p>
        </w:tc>
        <w:tc>
          <w:tcPr>
            <w:tcW w:w="389" w:type="pct"/>
            <w:tcBorders>
              <w:top w:val="nil"/>
              <w:left w:val="nil"/>
              <w:bottom w:val="single" w:sz="8" w:space="0" w:color="auto"/>
              <w:right w:val="single" w:sz="8" w:space="0" w:color="auto"/>
            </w:tcBorders>
            <w:vAlign w:val="center"/>
            <w:hideMark/>
          </w:tcPr>
          <w:p w14:paraId="51E203D1" w14:textId="77777777" w:rsidR="00841BFE" w:rsidRPr="00841BFE" w:rsidRDefault="00841BFE" w:rsidP="00841BFE">
            <w:pPr>
              <w:spacing w:before="0" w:after="0"/>
              <w:jc w:val="center"/>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2028</w:t>
            </w:r>
          </w:p>
        </w:tc>
        <w:tc>
          <w:tcPr>
            <w:tcW w:w="307" w:type="pct"/>
            <w:tcBorders>
              <w:top w:val="nil"/>
              <w:left w:val="nil"/>
              <w:bottom w:val="single" w:sz="8" w:space="0" w:color="auto"/>
              <w:right w:val="single" w:sz="8" w:space="0" w:color="auto"/>
            </w:tcBorders>
            <w:vAlign w:val="center"/>
            <w:hideMark/>
          </w:tcPr>
          <w:p w14:paraId="66B94BC1" w14:textId="77777777" w:rsidR="00841BFE" w:rsidRPr="00841BFE" w:rsidRDefault="00841BFE" w:rsidP="00841BFE">
            <w:pPr>
              <w:spacing w:before="0" w:after="0"/>
              <w:jc w:val="center"/>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2029</w:t>
            </w:r>
          </w:p>
        </w:tc>
        <w:tc>
          <w:tcPr>
            <w:tcW w:w="396" w:type="pct"/>
            <w:tcBorders>
              <w:top w:val="nil"/>
              <w:left w:val="nil"/>
              <w:bottom w:val="single" w:sz="8" w:space="0" w:color="auto"/>
              <w:right w:val="single" w:sz="8" w:space="0" w:color="auto"/>
            </w:tcBorders>
            <w:vAlign w:val="center"/>
            <w:hideMark/>
          </w:tcPr>
          <w:p w14:paraId="6D9C1B5A" w14:textId="77777777" w:rsidR="00841BFE" w:rsidRPr="00841BFE" w:rsidRDefault="00841BFE" w:rsidP="00841BFE">
            <w:pPr>
              <w:spacing w:before="0" w:after="0"/>
              <w:jc w:val="center"/>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2030</w:t>
            </w:r>
          </w:p>
        </w:tc>
        <w:tc>
          <w:tcPr>
            <w:tcW w:w="389" w:type="pct"/>
            <w:tcBorders>
              <w:top w:val="nil"/>
              <w:left w:val="nil"/>
              <w:bottom w:val="single" w:sz="8" w:space="0" w:color="auto"/>
              <w:right w:val="single" w:sz="8" w:space="0" w:color="auto"/>
            </w:tcBorders>
            <w:vAlign w:val="center"/>
            <w:hideMark/>
          </w:tcPr>
          <w:p w14:paraId="18D24FA6" w14:textId="77777777" w:rsidR="00841BFE" w:rsidRPr="00841BFE" w:rsidRDefault="00841BFE" w:rsidP="00841BFE">
            <w:pPr>
              <w:spacing w:before="0" w:after="0"/>
              <w:jc w:val="center"/>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2031</w:t>
            </w:r>
          </w:p>
        </w:tc>
        <w:tc>
          <w:tcPr>
            <w:tcW w:w="389" w:type="pct"/>
            <w:tcBorders>
              <w:top w:val="nil"/>
              <w:left w:val="nil"/>
              <w:bottom w:val="single" w:sz="8" w:space="0" w:color="auto"/>
              <w:right w:val="single" w:sz="8" w:space="0" w:color="auto"/>
            </w:tcBorders>
            <w:vAlign w:val="center"/>
            <w:hideMark/>
          </w:tcPr>
          <w:p w14:paraId="574641D6" w14:textId="77777777" w:rsidR="00841BFE" w:rsidRPr="00841BFE" w:rsidRDefault="00841BFE" w:rsidP="00841BFE">
            <w:pPr>
              <w:spacing w:before="0" w:after="0"/>
              <w:jc w:val="center"/>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2032</w:t>
            </w:r>
          </w:p>
        </w:tc>
        <w:tc>
          <w:tcPr>
            <w:tcW w:w="380" w:type="pct"/>
            <w:tcBorders>
              <w:top w:val="nil"/>
              <w:left w:val="nil"/>
              <w:bottom w:val="single" w:sz="8" w:space="0" w:color="auto"/>
              <w:right w:val="single" w:sz="8" w:space="0" w:color="auto"/>
            </w:tcBorders>
            <w:vAlign w:val="center"/>
            <w:hideMark/>
          </w:tcPr>
          <w:p w14:paraId="3D5880DD" w14:textId="77777777" w:rsidR="00841BFE" w:rsidRPr="00841BFE" w:rsidRDefault="00841BFE" w:rsidP="00841BFE">
            <w:pPr>
              <w:spacing w:before="0" w:after="0"/>
              <w:jc w:val="center"/>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2033</w:t>
            </w:r>
          </w:p>
        </w:tc>
        <w:tc>
          <w:tcPr>
            <w:tcW w:w="372" w:type="pct"/>
            <w:tcBorders>
              <w:top w:val="nil"/>
              <w:left w:val="nil"/>
              <w:bottom w:val="single" w:sz="8" w:space="0" w:color="auto"/>
              <w:right w:val="single" w:sz="8" w:space="0" w:color="auto"/>
            </w:tcBorders>
            <w:vAlign w:val="center"/>
            <w:hideMark/>
          </w:tcPr>
          <w:p w14:paraId="07547B20" w14:textId="77777777" w:rsidR="00841BFE" w:rsidRPr="00841BFE" w:rsidRDefault="00841BFE" w:rsidP="00841BFE">
            <w:pPr>
              <w:spacing w:before="0" w:after="0"/>
              <w:jc w:val="center"/>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2034</w:t>
            </w:r>
          </w:p>
        </w:tc>
        <w:tc>
          <w:tcPr>
            <w:tcW w:w="462" w:type="pct"/>
            <w:vMerge/>
            <w:tcBorders>
              <w:top w:val="single" w:sz="8" w:space="0" w:color="auto"/>
              <w:left w:val="single" w:sz="8" w:space="0" w:color="auto"/>
              <w:bottom w:val="single" w:sz="8" w:space="0" w:color="auto"/>
              <w:right w:val="single" w:sz="8" w:space="0" w:color="auto"/>
            </w:tcBorders>
            <w:vAlign w:val="center"/>
            <w:hideMark/>
          </w:tcPr>
          <w:p w14:paraId="4F043020" w14:textId="77777777" w:rsidR="00841BFE" w:rsidRPr="00841BFE" w:rsidRDefault="00841BFE" w:rsidP="00841BFE">
            <w:pPr>
              <w:spacing w:before="0" w:after="0"/>
              <w:jc w:val="left"/>
              <w:rPr>
                <w:rFonts w:eastAsia="Times New Roman"/>
                <w:b/>
                <w:bCs/>
                <w:noProof/>
                <w:color w:val="000000"/>
                <w:sz w:val="20"/>
                <w:szCs w:val="20"/>
                <w:lang w:val="en-IE" w:eastAsia="en-IE"/>
              </w:rPr>
            </w:pPr>
          </w:p>
        </w:tc>
      </w:tr>
      <w:tr w:rsidR="00841BFE" w:rsidRPr="00841BFE" w14:paraId="35C0E795" w14:textId="77777777" w:rsidTr="00841BFE">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14:paraId="7EF91C55" w14:textId="77777777" w:rsidR="00841BFE" w:rsidRPr="00841BFE" w:rsidRDefault="00841BFE" w:rsidP="00841BFE">
            <w:pPr>
              <w:spacing w:before="0" w:after="0"/>
              <w:jc w:val="left"/>
              <w:rPr>
                <w:rFonts w:eastAsia="Times New Roman"/>
                <w:noProof/>
                <w:color w:val="000000"/>
                <w:sz w:val="21"/>
                <w:szCs w:val="21"/>
                <w:lang w:val="en-IE" w:eastAsia="en-IE"/>
              </w:rPr>
            </w:pPr>
            <w:r w:rsidRPr="00841BFE">
              <w:rPr>
                <w:rFonts w:eastAsia="Times New Roman"/>
                <w:noProof/>
                <w:color w:val="000000"/>
                <w:sz w:val="21"/>
                <w:szCs w:val="21"/>
                <w:lang w:val="en-IE" w:eastAsia="en-IE"/>
              </w:rPr>
              <w:t xml:space="preserve">Operational appropriations </w:t>
            </w:r>
          </w:p>
        </w:tc>
      </w:tr>
      <w:tr w:rsidR="00A429A0" w:rsidRPr="00841BFE" w14:paraId="1A2EB048" w14:textId="77777777" w:rsidTr="00DC1AB1">
        <w:trPr>
          <w:trHeight w:val="315"/>
        </w:trPr>
        <w:tc>
          <w:tcPr>
            <w:tcW w:w="1107" w:type="pct"/>
            <w:vMerge w:val="restart"/>
            <w:tcBorders>
              <w:top w:val="nil"/>
              <w:left w:val="single" w:sz="8" w:space="0" w:color="auto"/>
              <w:bottom w:val="single" w:sz="8" w:space="0" w:color="auto"/>
              <w:right w:val="single" w:sz="8" w:space="0" w:color="auto"/>
            </w:tcBorders>
            <w:noWrap/>
            <w:vAlign w:val="center"/>
            <w:hideMark/>
          </w:tcPr>
          <w:p w14:paraId="44811EF6" w14:textId="77777777" w:rsidR="00841BFE" w:rsidRPr="00841BFE" w:rsidRDefault="00841BFE" w:rsidP="00841BFE">
            <w:pPr>
              <w:spacing w:before="0" w:after="0"/>
              <w:jc w:val="left"/>
              <w:rPr>
                <w:rFonts w:eastAsia="Times New Roman"/>
                <w:noProof/>
                <w:color w:val="000000"/>
                <w:sz w:val="22"/>
                <w:lang w:val="en-IE" w:eastAsia="en-IE"/>
              </w:rPr>
            </w:pPr>
            <w:r w:rsidRPr="00841BFE">
              <w:rPr>
                <w:rFonts w:eastAsia="Times New Roman"/>
                <w:noProof/>
                <w:color w:val="000000"/>
                <w:sz w:val="22"/>
                <w:lang w:val="en-IE" w:eastAsia="en-IE"/>
              </w:rPr>
              <w:t>03 02 01 02</w:t>
            </w:r>
          </w:p>
        </w:tc>
        <w:tc>
          <w:tcPr>
            <w:tcW w:w="435" w:type="pct"/>
            <w:tcBorders>
              <w:top w:val="nil"/>
              <w:left w:val="nil"/>
              <w:bottom w:val="single" w:sz="8" w:space="0" w:color="auto"/>
              <w:right w:val="single" w:sz="8" w:space="0" w:color="auto"/>
            </w:tcBorders>
            <w:vAlign w:val="center"/>
            <w:hideMark/>
          </w:tcPr>
          <w:p w14:paraId="288DA96C" w14:textId="77777777" w:rsidR="00841BFE" w:rsidRPr="00841BFE" w:rsidRDefault="00841BFE" w:rsidP="00841BFE">
            <w:pPr>
              <w:spacing w:before="0" w:after="0"/>
              <w:rPr>
                <w:rFonts w:eastAsia="Times New Roman"/>
                <w:noProof/>
                <w:color w:val="000000"/>
                <w:sz w:val="18"/>
                <w:szCs w:val="18"/>
                <w:lang w:val="en-IE" w:eastAsia="en-IE"/>
              </w:rPr>
            </w:pPr>
            <w:r w:rsidRPr="00841BFE">
              <w:rPr>
                <w:rFonts w:eastAsia="Times New Roman"/>
                <w:noProof/>
                <w:color w:val="000000"/>
                <w:sz w:val="18"/>
                <w:szCs w:val="18"/>
                <w:lang w:val="en-IE" w:eastAsia="en-IE"/>
              </w:rPr>
              <w:t>Commitments</w:t>
            </w:r>
          </w:p>
        </w:tc>
        <w:tc>
          <w:tcPr>
            <w:tcW w:w="374" w:type="pct"/>
            <w:tcBorders>
              <w:top w:val="single" w:sz="8" w:space="0" w:color="auto"/>
              <w:left w:val="nil"/>
              <w:bottom w:val="single" w:sz="8" w:space="0" w:color="auto"/>
              <w:right w:val="single" w:sz="8" w:space="0" w:color="auto"/>
            </w:tcBorders>
            <w:vAlign w:val="center"/>
            <w:hideMark/>
          </w:tcPr>
          <w:p w14:paraId="5DA956D8" w14:textId="77777777" w:rsidR="00841BFE" w:rsidRPr="00841BFE" w:rsidRDefault="00841BFE" w:rsidP="00841BFE">
            <w:pPr>
              <w:spacing w:before="0" w:after="0"/>
              <w:jc w:val="center"/>
              <w:rPr>
                <w:rFonts w:eastAsia="Times New Roman"/>
                <w:noProof/>
                <w:color w:val="000000"/>
                <w:sz w:val="14"/>
                <w:szCs w:val="14"/>
                <w:lang w:val="en-IE" w:eastAsia="en-IE"/>
              </w:rPr>
            </w:pPr>
            <w:r w:rsidRPr="00841BFE">
              <w:rPr>
                <w:rFonts w:eastAsia="Times New Roman"/>
                <w:noProof/>
                <w:color w:val="000000"/>
                <w:sz w:val="14"/>
                <w:szCs w:val="14"/>
                <w:lang w:val="en-IE" w:eastAsia="en-IE"/>
              </w:rPr>
              <w:t>(1a)</w:t>
            </w:r>
          </w:p>
        </w:tc>
        <w:tc>
          <w:tcPr>
            <w:tcW w:w="389" w:type="pct"/>
            <w:tcBorders>
              <w:top w:val="nil"/>
              <w:left w:val="nil"/>
              <w:bottom w:val="single" w:sz="8" w:space="0" w:color="auto"/>
              <w:right w:val="single" w:sz="8" w:space="0" w:color="auto"/>
            </w:tcBorders>
            <w:vAlign w:val="center"/>
            <w:hideMark/>
          </w:tcPr>
          <w:p w14:paraId="447588AA"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07" w:type="pct"/>
            <w:tcBorders>
              <w:top w:val="nil"/>
              <w:left w:val="nil"/>
              <w:bottom w:val="single" w:sz="8" w:space="0" w:color="auto"/>
              <w:right w:val="single" w:sz="8" w:space="0" w:color="auto"/>
            </w:tcBorders>
            <w:vAlign w:val="center"/>
            <w:hideMark/>
          </w:tcPr>
          <w:p w14:paraId="6C08C6AF"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96" w:type="pct"/>
            <w:tcBorders>
              <w:top w:val="nil"/>
              <w:left w:val="nil"/>
              <w:bottom w:val="single" w:sz="8" w:space="0" w:color="auto"/>
              <w:right w:val="single" w:sz="8" w:space="0" w:color="auto"/>
            </w:tcBorders>
            <w:vAlign w:val="center"/>
            <w:hideMark/>
          </w:tcPr>
          <w:p w14:paraId="27BB1B1E"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89" w:type="pct"/>
            <w:tcBorders>
              <w:top w:val="nil"/>
              <w:left w:val="nil"/>
              <w:bottom w:val="single" w:sz="8" w:space="0" w:color="auto"/>
              <w:right w:val="single" w:sz="8" w:space="0" w:color="auto"/>
            </w:tcBorders>
            <w:vAlign w:val="center"/>
            <w:hideMark/>
          </w:tcPr>
          <w:p w14:paraId="500C04F8"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89" w:type="pct"/>
            <w:tcBorders>
              <w:top w:val="nil"/>
              <w:left w:val="nil"/>
              <w:bottom w:val="single" w:sz="8" w:space="0" w:color="auto"/>
              <w:right w:val="single" w:sz="8" w:space="0" w:color="auto"/>
            </w:tcBorders>
            <w:vAlign w:val="center"/>
            <w:hideMark/>
          </w:tcPr>
          <w:p w14:paraId="78278B56"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80" w:type="pct"/>
            <w:tcBorders>
              <w:top w:val="nil"/>
              <w:left w:val="nil"/>
              <w:bottom w:val="single" w:sz="8" w:space="0" w:color="auto"/>
              <w:right w:val="single" w:sz="8" w:space="0" w:color="auto"/>
            </w:tcBorders>
            <w:vAlign w:val="center"/>
            <w:hideMark/>
          </w:tcPr>
          <w:p w14:paraId="20195C01"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72" w:type="pct"/>
            <w:tcBorders>
              <w:top w:val="nil"/>
              <w:left w:val="nil"/>
              <w:bottom w:val="single" w:sz="8" w:space="0" w:color="auto"/>
              <w:right w:val="single" w:sz="8" w:space="0" w:color="auto"/>
            </w:tcBorders>
            <w:vAlign w:val="center"/>
            <w:hideMark/>
          </w:tcPr>
          <w:p w14:paraId="07EB4C49"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462" w:type="pct"/>
            <w:tcBorders>
              <w:top w:val="nil"/>
              <w:left w:val="nil"/>
              <w:bottom w:val="single" w:sz="8" w:space="0" w:color="auto"/>
              <w:right w:val="single" w:sz="8" w:space="0" w:color="auto"/>
            </w:tcBorders>
            <w:shd w:val="clear" w:color="000000" w:fill="D9D9D9"/>
            <w:vAlign w:val="center"/>
            <w:hideMark/>
          </w:tcPr>
          <w:p w14:paraId="68DA4FA7" w14:textId="77777777" w:rsidR="00841BFE" w:rsidRPr="00841BFE" w:rsidRDefault="00841BFE"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0.140</w:t>
            </w:r>
          </w:p>
        </w:tc>
      </w:tr>
      <w:tr w:rsidR="00A429A0" w:rsidRPr="00841BFE" w14:paraId="52FBAC03" w14:textId="77777777" w:rsidTr="00DC1AB1">
        <w:trPr>
          <w:trHeight w:val="315"/>
        </w:trPr>
        <w:tc>
          <w:tcPr>
            <w:tcW w:w="1107" w:type="pct"/>
            <w:vMerge/>
            <w:tcBorders>
              <w:top w:val="nil"/>
              <w:left w:val="single" w:sz="8" w:space="0" w:color="auto"/>
              <w:bottom w:val="single" w:sz="8" w:space="0" w:color="auto"/>
              <w:right w:val="single" w:sz="8" w:space="0" w:color="auto"/>
            </w:tcBorders>
            <w:vAlign w:val="center"/>
            <w:hideMark/>
          </w:tcPr>
          <w:p w14:paraId="0C2D823E" w14:textId="77777777" w:rsidR="00841BFE" w:rsidRPr="00841BFE" w:rsidRDefault="00841BFE" w:rsidP="00841BFE">
            <w:pPr>
              <w:spacing w:before="0" w:after="0"/>
              <w:jc w:val="left"/>
              <w:rPr>
                <w:rFonts w:eastAsia="Times New Roman"/>
                <w:noProof/>
                <w:color w:val="000000"/>
                <w:sz w:val="22"/>
                <w:lang w:val="en-IE" w:eastAsia="en-IE"/>
              </w:rPr>
            </w:pPr>
          </w:p>
        </w:tc>
        <w:tc>
          <w:tcPr>
            <w:tcW w:w="435" w:type="pct"/>
            <w:tcBorders>
              <w:top w:val="nil"/>
              <w:left w:val="nil"/>
              <w:bottom w:val="single" w:sz="8" w:space="0" w:color="auto"/>
              <w:right w:val="single" w:sz="8" w:space="0" w:color="auto"/>
            </w:tcBorders>
            <w:vAlign w:val="center"/>
            <w:hideMark/>
          </w:tcPr>
          <w:p w14:paraId="48EA2DF5" w14:textId="77777777" w:rsidR="00841BFE" w:rsidRPr="00841BFE" w:rsidRDefault="00841BFE" w:rsidP="00841BFE">
            <w:pPr>
              <w:spacing w:before="0" w:after="0"/>
              <w:rPr>
                <w:rFonts w:eastAsia="Times New Roman"/>
                <w:noProof/>
                <w:color w:val="000000"/>
                <w:sz w:val="18"/>
                <w:szCs w:val="18"/>
                <w:lang w:val="en-IE" w:eastAsia="en-IE"/>
              </w:rPr>
            </w:pPr>
            <w:r w:rsidRPr="00841BFE">
              <w:rPr>
                <w:rFonts w:eastAsia="Times New Roman"/>
                <w:noProof/>
                <w:color w:val="000000"/>
                <w:sz w:val="18"/>
                <w:szCs w:val="18"/>
                <w:lang w:val="en-IE" w:eastAsia="en-IE"/>
              </w:rPr>
              <w:t>Payments</w:t>
            </w:r>
          </w:p>
        </w:tc>
        <w:tc>
          <w:tcPr>
            <w:tcW w:w="374" w:type="pct"/>
            <w:tcBorders>
              <w:top w:val="single" w:sz="8" w:space="0" w:color="auto"/>
              <w:left w:val="nil"/>
              <w:bottom w:val="single" w:sz="8" w:space="0" w:color="auto"/>
              <w:right w:val="single" w:sz="8" w:space="0" w:color="auto"/>
            </w:tcBorders>
            <w:vAlign w:val="center"/>
            <w:hideMark/>
          </w:tcPr>
          <w:p w14:paraId="5AF1FB00" w14:textId="77777777" w:rsidR="00841BFE" w:rsidRPr="00841BFE" w:rsidRDefault="00841BFE" w:rsidP="00841BFE">
            <w:pPr>
              <w:spacing w:before="0" w:after="0"/>
              <w:jc w:val="center"/>
              <w:rPr>
                <w:rFonts w:eastAsia="Times New Roman"/>
                <w:noProof/>
                <w:color w:val="000000"/>
                <w:sz w:val="14"/>
                <w:szCs w:val="14"/>
                <w:lang w:val="en-IE" w:eastAsia="en-IE"/>
              </w:rPr>
            </w:pPr>
            <w:r w:rsidRPr="00841BFE">
              <w:rPr>
                <w:rFonts w:eastAsia="Times New Roman"/>
                <w:noProof/>
                <w:color w:val="000000"/>
                <w:sz w:val="14"/>
                <w:szCs w:val="14"/>
                <w:lang w:val="en-IE" w:eastAsia="en-IE"/>
              </w:rPr>
              <w:t>(2a)</w:t>
            </w:r>
          </w:p>
        </w:tc>
        <w:tc>
          <w:tcPr>
            <w:tcW w:w="389" w:type="pct"/>
            <w:tcBorders>
              <w:top w:val="nil"/>
              <w:left w:val="nil"/>
              <w:bottom w:val="single" w:sz="8" w:space="0" w:color="auto"/>
              <w:right w:val="single" w:sz="8" w:space="0" w:color="auto"/>
            </w:tcBorders>
            <w:vAlign w:val="center"/>
            <w:hideMark/>
          </w:tcPr>
          <w:p w14:paraId="10371787"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07" w:type="pct"/>
            <w:tcBorders>
              <w:top w:val="nil"/>
              <w:left w:val="nil"/>
              <w:bottom w:val="single" w:sz="8" w:space="0" w:color="auto"/>
              <w:right w:val="single" w:sz="8" w:space="0" w:color="auto"/>
            </w:tcBorders>
            <w:vAlign w:val="center"/>
            <w:hideMark/>
          </w:tcPr>
          <w:p w14:paraId="2C8E586E"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96" w:type="pct"/>
            <w:tcBorders>
              <w:top w:val="nil"/>
              <w:left w:val="nil"/>
              <w:bottom w:val="single" w:sz="8" w:space="0" w:color="auto"/>
              <w:right w:val="single" w:sz="8" w:space="0" w:color="auto"/>
            </w:tcBorders>
            <w:vAlign w:val="center"/>
            <w:hideMark/>
          </w:tcPr>
          <w:p w14:paraId="6BE34B40"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89" w:type="pct"/>
            <w:tcBorders>
              <w:top w:val="nil"/>
              <w:left w:val="nil"/>
              <w:bottom w:val="single" w:sz="8" w:space="0" w:color="auto"/>
              <w:right w:val="single" w:sz="8" w:space="0" w:color="auto"/>
            </w:tcBorders>
            <w:vAlign w:val="center"/>
            <w:hideMark/>
          </w:tcPr>
          <w:p w14:paraId="09CAC78C"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89" w:type="pct"/>
            <w:tcBorders>
              <w:top w:val="nil"/>
              <w:left w:val="nil"/>
              <w:bottom w:val="single" w:sz="8" w:space="0" w:color="auto"/>
              <w:right w:val="single" w:sz="8" w:space="0" w:color="auto"/>
            </w:tcBorders>
            <w:vAlign w:val="center"/>
            <w:hideMark/>
          </w:tcPr>
          <w:p w14:paraId="4355EB8C"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80" w:type="pct"/>
            <w:tcBorders>
              <w:top w:val="nil"/>
              <w:left w:val="nil"/>
              <w:bottom w:val="single" w:sz="8" w:space="0" w:color="auto"/>
              <w:right w:val="single" w:sz="8" w:space="0" w:color="auto"/>
            </w:tcBorders>
            <w:vAlign w:val="center"/>
            <w:hideMark/>
          </w:tcPr>
          <w:p w14:paraId="523A41B6"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372" w:type="pct"/>
            <w:tcBorders>
              <w:top w:val="nil"/>
              <w:left w:val="nil"/>
              <w:bottom w:val="single" w:sz="8" w:space="0" w:color="auto"/>
              <w:right w:val="single" w:sz="8" w:space="0" w:color="auto"/>
            </w:tcBorders>
            <w:vAlign w:val="center"/>
            <w:hideMark/>
          </w:tcPr>
          <w:p w14:paraId="1FF7B384" w14:textId="77777777" w:rsidR="00841BFE" w:rsidRPr="00841BFE" w:rsidRDefault="00841BFE" w:rsidP="00841BFE">
            <w:pPr>
              <w:spacing w:before="0" w:after="0"/>
              <w:jc w:val="right"/>
              <w:rPr>
                <w:rFonts w:eastAsia="Times New Roman"/>
                <w:noProof/>
                <w:color w:val="000000"/>
                <w:sz w:val="20"/>
                <w:szCs w:val="20"/>
                <w:lang w:val="en-IE" w:eastAsia="en-IE"/>
              </w:rPr>
            </w:pPr>
            <w:r w:rsidRPr="00841BFE">
              <w:rPr>
                <w:rFonts w:eastAsia="Times New Roman"/>
                <w:noProof/>
                <w:color w:val="000000"/>
                <w:sz w:val="20"/>
                <w:szCs w:val="20"/>
                <w:lang w:val="en-IE" w:eastAsia="en-IE"/>
              </w:rPr>
              <w:t>0.020</w:t>
            </w:r>
          </w:p>
        </w:tc>
        <w:tc>
          <w:tcPr>
            <w:tcW w:w="462" w:type="pct"/>
            <w:tcBorders>
              <w:top w:val="nil"/>
              <w:left w:val="nil"/>
              <w:bottom w:val="single" w:sz="8" w:space="0" w:color="auto"/>
              <w:right w:val="single" w:sz="8" w:space="0" w:color="auto"/>
            </w:tcBorders>
            <w:shd w:val="clear" w:color="000000" w:fill="D9D9D9"/>
            <w:vAlign w:val="center"/>
            <w:hideMark/>
          </w:tcPr>
          <w:p w14:paraId="7CAEA4F8" w14:textId="77777777" w:rsidR="00841BFE" w:rsidRPr="00841BFE" w:rsidRDefault="00841BFE"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0.140</w:t>
            </w:r>
          </w:p>
        </w:tc>
      </w:tr>
      <w:tr w:rsidR="000A5BC6" w:rsidRPr="00841BFE" w14:paraId="183C8EE7" w14:textId="77777777">
        <w:trPr>
          <w:trHeight w:val="315"/>
        </w:trPr>
        <w:tc>
          <w:tcPr>
            <w:tcW w:w="1107" w:type="pct"/>
            <w:vMerge w:val="restart"/>
            <w:tcBorders>
              <w:top w:val="nil"/>
              <w:left w:val="single" w:sz="8" w:space="0" w:color="auto"/>
              <w:right w:val="single" w:sz="8" w:space="0" w:color="auto"/>
            </w:tcBorders>
            <w:vAlign w:val="center"/>
            <w:hideMark/>
          </w:tcPr>
          <w:p w14:paraId="1C02DAEA" w14:textId="77777777" w:rsidR="000A5BC6" w:rsidRDefault="000A5BC6" w:rsidP="000A5BC6">
            <w:pPr>
              <w:spacing w:before="0" w:after="0"/>
              <w:rPr>
                <w:b/>
                <w:bCs/>
                <w:noProof/>
                <w:color w:val="000000"/>
                <w:sz w:val="22"/>
                <w:lang w:val="en-IE" w:eastAsia="en-IE"/>
              </w:rPr>
            </w:pPr>
            <w:r w:rsidRPr="00841BFE">
              <w:rPr>
                <w:rFonts w:eastAsia="Times New Roman"/>
                <w:b/>
                <w:bCs/>
                <w:noProof/>
                <w:color w:val="000000"/>
                <w:sz w:val="22"/>
                <w:lang w:val="en-IE" w:eastAsia="en-IE"/>
              </w:rPr>
              <w:t xml:space="preserve">TOTAL </w:t>
            </w:r>
            <w:r w:rsidRPr="00841BFE">
              <w:rPr>
                <w:rFonts w:eastAsia="Times New Roman"/>
                <w:b/>
                <w:noProof/>
                <w:color w:val="000000"/>
                <w:sz w:val="22"/>
                <w:lang w:val="en-IE" w:eastAsia="en-IE"/>
              </w:rPr>
              <w:t>appropriations</w:t>
            </w:r>
            <w:r>
              <w:rPr>
                <w:b/>
                <w:bCs/>
                <w:noProof/>
                <w:color w:val="000000"/>
                <w:sz w:val="22"/>
                <w:lang w:val="en-IE" w:eastAsia="en-IE"/>
              </w:rPr>
              <w:t xml:space="preserve"> </w:t>
            </w:r>
          </w:p>
          <w:p w14:paraId="34950518" w14:textId="77777777" w:rsidR="000A5BC6" w:rsidRPr="00841BFE" w:rsidRDefault="000A5BC6" w:rsidP="000A5BC6">
            <w:pPr>
              <w:spacing w:before="0" w:after="0"/>
              <w:rPr>
                <w:rFonts w:eastAsia="Times New Roman"/>
                <w:b/>
                <w:bCs/>
                <w:noProof/>
                <w:color w:val="000000"/>
                <w:sz w:val="22"/>
                <w:lang w:val="en-IE" w:eastAsia="en-IE"/>
              </w:rPr>
            </w:pPr>
            <w:r w:rsidRPr="00841BFE">
              <w:rPr>
                <w:rFonts w:eastAsia="Times New Roman"/>
                <w:b/>
                <w:bCs/>
                <w:noProof/>
                <w:color w:val="000000"/>
                <w:sz w:val="22"/>
                <w:lang w:val="en-IE" w:eastAsia="en-IE"/>
              </w:rPr>
              <w:t>for DG GROW</w:t>
            </w:r>
          </w:p>
        </w:tc>
        <w:tc>
          <w:tcPr>
            <w:tcW w:w="435" w:type="pct"/>
            <w:tcBorders>
              <w:top w:val="nil"/>
              <w:left w:val="nil"/>
              <w:bottom w:val="single" w:sz="8" w:space="0" w:color="auto"/>
              <w:right w:val="single" w:sz="8" w:space="0" w:color="auto"/>
            </w:tcBorders>
            <w:vAlign w:val="center"/>
            <w:hideMark/>
          </w:tcPr>
          <w:p w14:paraId="53F14B80" w14:textId="77777777" w:rsidR="000A5BC6" w:rsidRPr="00841BFE" w:rsidRDefault="000A5BC6" w:rsidP="00841BFE">
            <w:pPr>
              <w:spacing w:before="0" w:after="0"/>
              <w:rPr>
                <w:rFonts w:eastAsia="Times New Roman"/>
                <w:noProof/>
                <w:color w:val="000000"/>
                <w:sz w:val="18"/>
                <w:szCs w:val="18"/>
                <w:lang w:val="en-IE" w:eastAsia="en-IE"/>
              </w:rPr>
            </w:pPr>
            <w:r w:rsidRPr="00841BFE">
              <w:rPr>
                <w:rFonts w:eastAsia="Times New Roman"/>
                <w:noProof/>
                <w:color w:val="000000"/>
                <w:sz w:val="18"/>
                <w:szCs w:val="18"/>
                <w:lang w:val="en-IE" w:eastAsia="en-IE"/>
              </w:rPr>
              <w:t>Commitments</w:t>
            </w:r>
          </w:p>
        </w:tc>
        <w:tc>
          <w:tcPr>
            <w:tcW w:w="374" w:type="pct"/>
            <w:tcBorders>
              <w:top w:val="single" w:sz="8" w:space="0" w:color="auto"/>
              <w:left w:val="nil"/>
              <w:bottom w:val="single" w:sz="8" w:space="0" w:color="auto"/>
              <w:right w:val="single" w:sz="8" w:space="0" w:color="auto"/>
            </w:tcBorders>
            <w:vAlign w:val="center"/>
            <w:hideMark/>
          </w:tcPr>
          <w:p w14:paraId="6AEA48E9" w14:textId="77777777" w:rsidR="000A5BC6" w:rsidRPr="00841BFE" w:rsidRDefault="000A5BC6" w:rsidP="00841BFE">
            <w:pPr>
              <w:spacing w:before="0" w:after="0"/>
              <w:jc w:val="center"/>
              <w:rPr>
                <w:rFonts w:eastAsia="Times New Roman"/>
                <w:noProof/>
                <w:color w:val="000000"/>
                <w:sz w:val="14"/>
                <w:szCs w:val="14"/>
                <w:lang w:val="en-IE" w:eastAsia="en-IE"/>
              </w:rPr>
            </w:pPr>
            <w:r w:rsidRPr="00841BFE">
              <w:rPr>
                <w:rFonts w:eastAsia="Times New Roman"/>
                <w:noProof/>
                <w:color w:val="000000"/>
                <w:sz w:val="14"/>
                <w:szCs w:val="14"/>
                <w:lang w:val="en-IE" w:eastAsia="en-IE"/>
              </w:rPr>
              <w:t>=1a+1b</w:t>
            </w:r>
          </w:p>
        </w:tc>
        <w:tc>
          <w:tcPr>
            <w:tcW w:w="389" w:type="pct"/>
            <w:tcBorders>
              <w:top w:val="nil"/>
              <w:left w:val="nil"/>
              <w:bottom w:val="single" w:sz="8" w:space="0" w:color="auto"/>
              <w:right w:val="single" w:sz="8" w:space="0" w:color="auto"/>
            </w:tcBorders>
            <w:shd w:val="clear" w:color="000000" w:fill="D9D9D9"/>
            <w:vAlign w:val="center"/>
            <w:hideMark/>
          </w:tcPr>
          <w:p w14:paraId="38FC0390"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07" w:type="pct"/>
            <w:tcBorders>
              <w:top w:val="nil"/>
              <w:left w:val="nil"/>
              <w:bottom w:val="single" w:sz="8" w:space="0" w:color="auto"/>
              <w:right w:val="single" w:sz="8" w:space="0" w:color="auto"/>
            </w:tcBorders>
            <w:shd w:val="clear" w:color="000000" w:fill="D9D9D9"/>
            <w:vAlign w:val="center"/>
            <w:hideMark/>
          </w:tcPr>
          <w:p w14:paraId="37217AF6"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96" w:type="pct"/>
            <w:tcBorders>
              <w:top w:val="nil"/>
              <w:left w:val="nil"/>
              <w:bottom w:val="single" w:sz="8" w:space="0" w:color="auto"/>
              <w:right w:val="single" w:sz="8" w:space="0" w:color="auto"/>
            </w:tcBorders>
            <w:shd w:val="clear" w:color="000000" w:fill="D9D9D9"/>
            <w:vAlign w:val="center"/>
            <w:hideMark/>
          </w:tcPr>
          <w:p w14:paraId="1A770C6E"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89" w:type="pct"/>
            <w:tcBorders>
              <w:top w:val="nil"/>
              <w:left w:val="nil"/>
              <w:bottom w:val="single" w:sz="8" w:space="0" w:color="auto"/>
              <w:right w:val="single" w:sz="8" w:space="0" w:color="auto"/>
            </w:tcBorders>
            <w:shd w:val="clear" w:color="000000" w:fill="D9D9D9"/>
            <w:vAlign w:val="center"/>
            <w:hideMark/>
          </w:tcPr>
          <w:p w14:paraId="6424A25D"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89" w:type="pct"/>
            <w:tcBorders>
              <w:top w:val="nil"/>
              <w:left w:val="nil"/>
              <w:bottom w:val="single" w:sz="8" w:space="0" w:color="auto"/>
              <w:right w:val="single" w:sz="8" w:space="0" w:color="auto"/>
            </w:tcBorders>
            <w:shd w:val="clear" w:color="000000" w:fill="D9D9D9"/>
            <w:vAlign w:val="center"/>
            <w:hideMark/>
          </w:tcPr>
          <w:p w14:paraId="6C75B1C9"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80" w:type="pct"/>
            <w:tcBorders>
              <w:top w:val="nil"/>
              <w:left w:val="nil"/>
              <w:bottom w:val="single" w:sz="8" w:space="0" w:color="auto"/>
              <w:right w:val="single" w:sz="8" w:space="0" w:color="auto"/>
            </w:tcBorders>
            <w:shd w:val="clear" w:color="000000" w:fill="D9D9D9"/>
            <w:vAlign w:val="center"/>
            <w:hideMark/>
          </w:tcPr>
          <w:p w14:paraId="7A324A5A"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72" w:type="pct"/>
            <w:tcBorders>
              <w:top w:val="nil"/>
              <w:left w:val="nil"/>
              <w:bottom w:val="single" w:sz="8" w:space="0" w:color="auto"/>
              <w:right w:val="single" w:sz="8" w:space="0" w:color="auto"/>
            </w:tcBorders>
            <w:shd w:val="clear" w:color="000000" w:fill="D9D9D9"/>
            <w:vAlign w:val="center"/>
            <w:hideMark/>
          </w:tcPr>
          <w:p w14:paraId="765B52E8"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462" w:type="pct"/>
            <w:tcBorders>
              <w:top w:val="nil"/>
              <w:left w:val="nil"/>
              <w:bottom w:val="single" w:sz="8" w:space="0" w:color="auto"/>
              <w:right w:val="single" w:sz="8" w:space="0" w:color="auto"/>
            </w:tcBorders>
            <w:shd w:val="clear" w:color="000000" w:fill="D9D9D9"/>
            <w:vAlign w:val="center"/>
            <w:hideMark/>
          </w:tcPr>
          <w:p w14:paraId="288883FF"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0.140</w:t>
            </w:r>
          </w:p>
        </w:tc>
      </w:tr>
      <w:tr w:rsidR="000A5BC6" w:rsidRPr="00841BFE" w14:paraId="78DBB134" w14:textId="77777777">
        <w:trPr>
          <w:trHeight w:val="315"/>
        </w:trPr>
        <w:tc>
          <w:tcPr>
            <w:tcW w:w="1107" w:type="pct"/>
            <w:vMerge/>
            <w:tcBorders>
              <w:left w:val="single" w:sz="8" w:space="0" w:color="auto"/>
              <w:bottom w:val="single" w:sz="8" w:space="0" w:color="auto"/>
              <w:right w:val="single" w:sz="8" w:space="0" w:color="auto"/>
            </w:tcBorders>
            <w:vAlign w:val="center"/>
            <w:hideMark/>
          </w:tcPr>
          <w:p w14:paraId="6642EF69" w14:textId="77777777" w:rsidR="000A5BC6" w:rsidRPr="00841BFE" w:rsidRDefault="000A5BC6" w:rsidP="00841BFE">
            <w:pPr>
              <w:spacing w:before="0" w:after="0"/>
              <w:jc w:val="center"/>
              <w:rPr>
                <w:rFonts w:eastAsia="Times New Roman"/>
                <w:b/>
                <w:bCs/>
                <w:noProof/>
                <w:color w:val="000000"/>
                <w:sz w:val="22"/>
                <w:lang w:val="en-IE" w:eastAsia="en-IE"/>
              </w:rPr>
            </w:pPr>
          </w:p>
        </w:tc>
        <w:tc>
          <w:tcPr>
            <w:tcW w:w="435" w:type="pct"/>
            <w:tcBorders>
              <w:top w:val="nil"/>
              <w:left w:val="nil"/>
              <w:bottom w:val="single" w:sz="8" w:space="0" w:color="auto"/>
              <w:right w:val="single" w:sz="8" w:space="0" w:color="auto"/>
            </w:tcBorders>
            <w:vAlign w:val="center"/>
            <w:hideMark/>
          </w:tcPr>
          <w:p w14:paraId="30E77187" w14:textId="77777777" w:rsidR="000A5BC6" w:rsidRPr="00841BFE" w:rsidRDefault="000A5BC6" w:rsidP="00841BFE">
            <w:pPr>
              <w:spacing w:before="0" w:after="0"/>
              <w:rPr>
                <w:rFonts w:eastAsia="Times New Roman"/>
                <w:noProof/>
                <w:color w:val="000000"/>
                <w:sz w:val="18"/>
                <w:szCs w:val="18"/>
                <w:lang w:val="en-IE" w:eastAsia="en-IE"/>
              </w:rPr>
            </w:pPr>
            <w:r w:rsidRPr="00841BFE">
              <w:rPr>
                <w:rFonts w:eastAsia="Times New Roman"/>
                <w:noProof/>
                <w:color w:val="000000"/>
                <w:sz w:val="18"/>
                <w:szCs w:val="18"/>
                <w:lang w:val="en-IE" w:eastAsia="en-IE"/>
              </w:rPr>
              <w:t>Payments</w:t>
            </w:r>
          </w:p>
        </w:tc>
        <w:tc>
          <w:tcPr>
            <w:tcW w:w="374" w:type="pct"/>
            <w:tcBorders>
              <w:top w:val="single" w:sz="8" w:space="0" w:color="auto"/>
              <w:left w:val="nil"/>
              <w:bottom w:val="single" w:sz="8" w:space="0" w:color="auto"/>
              <w:right w:val="single" w:sz="8" w:space="0" w:color="auto"/>
            </w:tcBorders>
            <w:vAlign w:val="center"/>
            <w:hideMark/>
          </w:tcPr>
          <w:p w14:paraId="39FB0E7A" w14:textId="77777777" w:rsidR="000A5BC6" w:rsidRPr="00841BFE" w:rsidRDefault="000A5BC6" w:rsidP="00841BFE">
            <w:pPr>
              <w:spacing w:before="0" w:after="0"/>
              <w:jc w:val="center"/>
              <w:rPr>
                <w:rFonts w:eastAsia="Times New Roman"/>
                <w:noProof/>
                <w:color w:val="000000"/>
                <w:sz w:val="14"/>
                <w:szCs w:val="14"/>
                <w:lang w:val="en-IE" w:eastAsia="en-IE"/>
              </w:rPr>
            </w:pPr>
            <w:r w:rsidRPr="00841BFE">
              <w:rPr>
                <w:rFonts w:eastAsia="Times New Roman"/>
                <w:noProof/>
                <w:color w:val="000000"/>
                <w:sz w:val="14"/>
                <w:szCs w:val="14"/>
                <w:lang w:val="en-IE" w:eastAsia="en-IE"/>
              </w:rPr>
              <w:t>=2a+2b</w:t>
            </w:r>
          </w:p>
        </w:tc>
        <w:tc>
          <w:tcPr>
            <w:tcW w:w="389" w:type="pct"/>
            <w:tcBorders>
              <w:top w:val="nil"/>
              <w:left w:val="nil"/>
              <w:bottom w:val="single" w:sz="8" w:space="0" w:color="auto"/>
              <w:right w:val="single" w:sz="8" w:space="0" w:color="auto"/>
            </w:tcBorders>
            <w:shd w:val="clear" w:color="000000" w:fill="D9D9D9"/>
            <w:vAlign w:val="center"/>
            <w:hideMark/>
          </w:tcPr>
          <w:p w14:paraId="6F672E44"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07" w:type="pct"/>
            <w:tcBorders>
              <w:top w:val="nil"/>
              <w:left w:val="nil"/>
              <w:bottom w:val="single" w:sz="8" w:space="0" w:color="auto"/>
              <w:right w:val="single" w:sz="8" w:space="0" w:color="auto"/>
            </w:tcBorders>
            <w:shd w:val="clear" w:color="000000" w:fill="D9D9D9"/>
            <w:vAlign w:val="center"/>
            <w:hideMark/>
          </w:tcPr>
          <w:p w14:paraId="6466DFA3"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96" w:type="pct"/>
            <w:tcBorders>
              <w:top w:val="nil"/>
              <w:left w:val="nil"/>
              <w:bottom w:val="single" w:sz="8" w:space="0" w:color="auto"/>
              <w:right w:val="single" w:sz="8" w:space="0" w:color="auto"/>
            </w:tcBorders>
            <w:shd w:val="clear" w:color="000000" w:fill="D9D9D9"/>
            <w:vAlign w:val="center"/>
            <w:hideMark/>
          </w:tcPr>
          <w:p w14:paraId="599E50A5"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89" w:type="pct"/>
            <w:tcBorders>
              <w:top w:val="nil"/>
              <w:left w:val="nil"/>
              <w:bottom w:val="single" w:sz="8" w:space="0" w:color="auto"/>
              <w:right w:val="single" w:sz="8" w:space="0" w:color="auto"/>
            </w:tcBorders>
            <w:shd w:val="clear" w:color="000000" w:fill="D9D9D9"/>
            <w:vAlign w:val="center"/>
            <w:hideMark/>
          </w:tcPr>
          <w:p w14:paraId="2988C161"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89" w:type="pct"/>
            <w:tcBorders>
              <w:top w:val="nil"/>
              <w:left w:val="nil"/>
              <w:bottom w:val="single" w:sz="8" w:space="0" w:color="auto"/>
              <w:right w:val="single" w:sz="8" w:space="0" w:color="auto"/>
            </w:tcBorders>
            <w:shd w:val="clear" w:color="000000" w:fill="D9D9D9"/>
            <w:vAlign w:val="center"/>
            <w:hideMark/>
          </w:tcPr>
          <w:p w14:paraId="7E6F6E3E"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80" w:type="pct"/>
            <w:tcBorders>
              <w:top w:val="nil"/>
              <w:left w:val="nil"/>
              <w:bottom w:val="single" w:sz="8" w:space="0" w:color="auto"/>
              <w:right w:val="single" w:sz="8" w:space="0" w:color="auto"/>
            </w:tcBorders>
            <w:shd w:val="clear" w:color="000000" w:fill="D9D9D9"/>
            <w:vAlign w:val="center"/>
            <w:hideMark/>
          </w:tcPr>
          <w:p w14:paraId="13E52FB8"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372" w:type="pct"/>
            <w:tcBorders>
              <w:top w:val="nil"/>
              <w:left w:val="nil"/>
              <w:bottom w:val="single" w:sz="8" w:space="0" w:color="auto"/>
              <w:right w:val="single" w:sz="8" w:space="0" w:color="auto"/>
            </w:tcBorders>
            <w:shd w:val="clear" w:color="000000" w:fill="D9D9D9"/>
            <w:vAlign w:val="center"/>
            <w:hideMark/>
          </w:tcPr>
          <w:p w14:paraId="5A646E99"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0.020</w:t>
            </w:r>
          </w:p>
        </w:tc>
        <w:tc>
          <w:tcPr>
            <w:tcW w:w="462" w:type="pct"/>
            <w:tcBorders>
              <w:top w:val="nil"/>
              <w:left w:val="nil"/>
              <w:bottom w:val="single" w:sz="8" w:space="0" w:color="auto"/>
              <w:right w:val="single" w:sz="8" w:space="0" w:color="auto"/>
            </w:tcBorders>
            <w:shd w:val="clear" w:color="000000" w:fill="D9D9D9"/>
            <w:vAlign w:val="center"/>
            <w:hideMark/>
          </w:tcPr>
          <w:p w14:paraId="59F3CBBB" w14:textId="77777777" w:rsidR="000A5BC6" w:rsidRPr="00841BFE" w:rsidRDefault="000A5BC6" w:rsidP="00841BFE">
            <w:pPr>
              <w:spacing w:before="0" w:after="0"/>
              <w:jc w:val="right"/>
              <w:rPr>
                <w:rFonts w:eastAsia="Times New Roman"/>
                <w:b/>
                <w:bCs/>
                <w:noProof/>
                <w:color w:val="000000"/>
                <w:sz w:val="20"/>
                <w:szCs w:val="20"/>
                <w:lang w:val="en-IE" w:eastAsia="en-IE"/>
              </w:rPr>
            </w:pPr>
            <w:r w:rsidRPr="00841BFE">
              <w:rPr>
                <w:rFonts w:eastAsia="Times New Roman"/>
                <w:b/>
                <w:bCs/>
                <w:noProof/>
                <w:color w:val="000000"/>
                <w:sz w:val="20"/>
                <w:szCs w:val="20"/>
                <w:lang w:val="en-IE" w:eastAsia="en-IE"/>
              </w:rPr>
              <w:t>0.140</w:t>
            </w:r>
          </w:p>
        </w:tc>
      </w:tr>
    </w:tbl>
    <w:p w14:paraId="1F2A03CA" w14:textId="77777777" w:rsidR="001070C7" w:rsidRDefault="001070C7" w:rsidP="001070C7">
      <w:pPr>
        <w:jc w:val="right"/>
        <w:rPr>
          <w:noProof/>
          <w:sz w:val="20"/>
        </w:rPr>
      </w:pPr>
    </w:p>
    <w:p w14:paraId="29E02571" w14:textId="77777777" w:rsidR="001070C7" w:rsidRPr="00781B63" w:rsidRDefault="001070C7" w:rsidP="001070C7">
      <w:pPr>
        <w:jc w:val="right"/>
        <w:rPr>
          <w:noProof/>
        </w:rPr>
      </w:pPr>
      <w:r w:rsidRPr="00AD21FF">
        <w:rPr>
          <w:noProof/>
          <w:sz w:val="20"/>
        </w:rPr>
        <w:t>EUR million (to three decimal places)</w:t>
      </w:r>
    </w:p>
    <w:tbl>
      <w:tblPr>
        <w:tblW w:w="5000" w:type="pct"/>
        <w:tblLook w:val="04A0" w:firstRow="1" w:lastRow="0" w:firstColumn="1" w:lastColumn="0" w:noHBand="0" w:noVBand="1"/>
      </w:tblPr>
      <w:tblGrid>
        <w:gridCol w:w="3483"/>
        <w:gridCol w:w="2258"/>
        <w:gridCol w:w="1135"/>
        <w:gridCol w:w="1135"/>
        <w:gridCol w:w="1135"/>
        <w:gridCol w:w="1135"/>
        <w:gridCol w:w="1135"/>
        <w:gridCol w:w="1402"/>
        <w:gridCol w:w="1402"/>
      </w:tblGrid>
      <w:tr w:rsidR="007D345D" w:rsidRPr="00AD21FF" w14:paraId="3DE1B757" w14:textId="77777777" w:rsidTr="00D76136">
        <w:trPr>
          <w:trHeight w:val="300"/>
        </w:trPr>
        <w:tc>
          <w:tcPr>
            <w:tcW w:w="2418"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1709175A" w14:textId="77777777" w:rsidR="00850EF8" w:rsidRPr="00AD21FF" w:rsidRDefault="00850EF8" w:rsidP="00850EF8">
            <w:pPr>
              <w:spacing w:before="0" w:after="0"/>
              <w:jc w:val="center"/>
              <w:rPr>
                <w:b/>
                <w:noProof/>
                <w:color w:val="000000"/>
                <w:sz w:val="22"/>
                <w:lang w:eastAsia="en-IE"/>
              </w:rPr>
            </w:pPr>
            <w:r w:rsidRPr="00AD21FF">
              <w:rPr>
                <w:b/>
                <w:noProof/>
                <w:color w:val="000000"/>
                <w:sz w:val="22"/>
                <w:lang w:eastAsia="en-IE"/>
              </w:rPr>
              <w:t> </w:t>
            </w:r>
          </w:p>
        </w:tc>
        <w:tc>
          <w:tcPr>
            <w:tcW w:w="399" w:type="pct"/>
            <w:tcBorders>
              <w:top w:val="single" w:sz="8" w:space="0" w:color="auto"/>
              <w:left w:val="nil"/>
              <w:bottom w:val="single" w:sz="8" w:space="0" w:color="auto"/>
              <w:right w:val="single" w:sz="8" w:space="0" w:color="auto"/>
            </w:tcBorders>
            <w:vAlign w:val="center"/>
            <w:hideMark/>
          </w:tcPr>
          <w:p w14:paraId="52D18D1E" w14:textId="77777777" w:rsidR="00850EF8" w:rsidRPr="00AD21FF" w:rsidRDefault="00850EF8" w:rsidP="00850EF8">
            <w:pPr>
              <w:spacing w:before="0" w:after="0"/>
              <w:jc w:val="center"/>
              <w:rPr>
                <w:noProof/>
                <w:color w:val="000000"/>
                <w:sz w:val="20"/>
                <w:szCs w:val="20"/>
                <w:lang w:eastAsia="en-IE"/>
              </w:rPr>
            </w:pPr>
            <w:r w:rsidRPr="00AD21FF">
              <w:rPr>
                <w:noProof/>
                <w:color w:val="000000"/>
                <w:sz w:val="20"/>
                <w:szCs w:val="20"/>
                <w:lang w:eastAsia="en-IE"/>
              </w:rPr>
              <w:t>Year</w:t>
            </w:r>
          </w:p>
        </w:tc>
        <w:tc>
          <w:tcPr>
            <w:tcW w:w="399" w:type="pct"/>
            <w:tcBorders>
              <w:top w:val="single" w:sz="8" w:space="0" w:color="auto"/>
              <w:left w:val="nil"/>
              <w:bottom w:val="single" w:sz="8" w:space="0" w:color="auto"/>
              <w:right w:val="single" w:sz="8" w:space="0" w:color="auto"/>
            </w:tcBorders>
            <w:vAlign w:val="center"/>
            <w:hideMark/>
          </w:tcPr>
          <w:p w14:paraId="4C1FA54B" w14:textId="77777777" w:rsidR="00850EF8" w:rsidRPr="00AD21FF" w:rsidRDefault="00850EF8" w:rsidP="00850EF8">
            <w:pPr>
              <w:spacing w:before="0" w:after="0"/>
              <w:jc w:val="center"/>
              <w:rPr>
                <w:noProof/>
                <w:color w:val="000000"/>
                <w:sz w:val="20"/>
                <w:szCs w:val="20"/>
                <w:lang w:eastAsia="en-IE"/>
              </w:rPr>
            </w:pPr>
            <w:r w:rsidRPr="00AD21FF">
              <w:rPr>
                <w:noProof/>
                <w:color w:val="000000"/>
                <w:sz w:val="20"/>
                <w:szCs w:val="20"/>
                <w:lang w:eastAsia="en-IE"/>
              </w:rPr>
              <w:t>Year</w:t>
            </w:r>
          </w:p>
        </w:tc>
        <w:tc>
          <w:tcPr>
            <w:tcW w:w="399" w:type="pct"/>
            <w:tcBorders>
              <w:top w:val="single" w:sz="8" w:space="0" w:color="auto"/>
              <w:left w:val="nil"/>
              <w:bottom w:val="single" w:sz="8" w:space="0" w:color="auto"/>
              <w:right w:val="single" w:sz="8" w:space="0" w:color="auto"/>
            </w:tcBorders>
            <w:vAlign w:val="center"/>
            <w:hideMark/>
          </w:tcPr>
          <w:p w14:paraId="75150F93" w14:textId="77777777" w:rsidR="00850EF8" w:rsidRPr="00AD21FF" w:rsidRDefault="00850EF8" w:rsidP="00850EF8">
            <w:pPr>
              <w:spacing w:before="0" w:after="0"/>
              <w:jc w:val="center"/>
              <w:rPr>
                <w:noProof/>
                <w:color w:val="000000"/>
                <w:sz w:val="20"/>
                <w:szCs w:val="20"/>
                <w:lang w:eastAsia="en-IE"/>
              </w:rPr>
            </w:pPr>
            <w:r w:rsidRPr="00AD21FF">
              <w:rPr>
                <w:noProof/>
                <w:color w:val="000000"/>
                <w:sz w:val="20"/>
                <w:szCs w:val="20"/>
                <w:lang w:eastAsia="en-IE"/>
              </w:rPr>
              <w:t>Year</w:t>
            </w:r>
          </w:p>
        </w:tc>
        <w:tc>
          <w:tcPr>
            <w:tcW w:w="399" w:type="pct"/>
            <w:tcBorders>
              <w:top w:val="single" w:sz="8" w:space="0" w:color="auto"/>
              <w:left w:val="nil"/>
              <w:bottom w:val="single" w:sz="8" w:space="0" w:color="auto"/>
              <w:right w:val="single" w:sz="8" w:space="0" w:color="auto"/>
            </w:tcBorders>
            <w:vAlign w:val="center"/>
            <w:hideMark/>
          </w:tcPr>
          <w:p w14:paraId="440378BB" w14:textId="77777777" w:rsidR="00850EF8" w:rsidRPr="00AD21FF" w:rsidRDefault="00850EF8" w:rsidP="00850EF8">
            <w:pPr>
              <w:spacing w:before="0" w:after="0"/>
              <w:jc w:val="center"/>
              <w:rPr>
                <w:noProof/>
                <w:color w:val="000000"/>
                <w:sz w:val="20"/>
                <w:szCs w:val="20"/>
                <w:lang w:eastAsia="en-IE"/>
              </w:rPr>
            </w:pPr>
            <w:r w:rsidRPr="00AD21FF">
              <w:rPr>
                <w:noProof/>
                <w:color w:val="000000"/>
                <w:sz w:val="20"/>
                <w:szCs w:val="20"/>
                <w:lang w:eastAsia="en-IE"/>
              </w:rPr>
              <w:t>Year</w:t>
            </w:r>
          </w:p>
        </w:tc>
        <w:tc>
          <w:tcPr>
            <w:tcW w:w="493" w:type="pct"/>
            <w:vMerge w:val="restart"/>
            <w:tcBorders>
              <w:top w:val="single" w:sz="8" w:space="0" w:color="auto"/>
              <w:left w:val="single" w:sz="8" w:space="0" w:color="auto"/>
              <w:bottom w:val="single" w:sz="8" w:space="0" w:color="auto"/>
              <w:right w:val="single" w:sz="8" w:space="0" w:color="auto"/>
            </w:tcBorders>
            <w:vAlign w:val="center"/>
            <w:hideMark/>
          </w:tcPr>
          <w:p w14:paraId="543B815D" w14:textId="77777777" w:rsidR="00850EF8" w:rsidRPr="00AD21FF" w:rsidRDefault="00850EF8" w:rsidP="00D76136">
            <w:pPr>
              <w:spacing w:before="0" w:after="0"/>
              <w:jc w:val="center"/>
              <w:rPr>
                <w:b/>
                <w:noProof/>
                <w:color w:val="000000"/>
                <w:sz w:val="20"/>
                <w:szCs w:val="20"/>
                <w:lang w:eastAsia="en-IE"/>
              </w:rPr>
            </w:pPr>
            <w:r w:rsidRPr="00AD21FF">
              <w:rPr>
                <w:b/>
                <w:noProof/>
                <w:color w:val="000000"/>
                <w:sz w:val="20"/>
                <w:szCs w:val="20"/>
                <w:lang w:eastAsia="en-IE"/>
              </w:rPr>
              <w:t>TOTAL MFF 2021-2027</w:t>
            </w:r>
          </w:p>
        </w:tc>
        <w:tc>
          <w:tcPr>
            <w:tcW w:w="493" w:type="pct"/>
            <w:vMerge w:val="restart"/>
            <w:tcBorders>
              <w:top w:val="single" w:sz="8" w:space="0" w:color="auto"/>
              <w:left w:val="single" w:sz="8" w:space="0" w:color="auto"/>
              <w:right w:val="single" w:sz="8" w:space="0" w:color="auto"/>
            </w:tcBorders>
            <w:vAlign w:val="center"/>
          </w:tcPr>
          <w:p w14:paraId="09DEA80D" w14:textId="77777777" w:rsidR="00850EF8" w:rsidRPr="00AD21FF" w:rsidRDefault="00850EF8" w:rsidP="00D76136">
            <w:pPr>
              <w:spacing w:before="0" w:after="0"/>
              <w:jc w:val="center"/>
              <w:rPr>
                <w:b/>
                <w:noProof/>
                <w:color w:val="000000"/>
                <w:sz w:val="20"/>
                <w:szCs w:val="20"/>
                <w:lang w:eastAsia="en-IE"/>
              </w:rPr>
            </w:pPr>
            <w:r w:rsidRPr="00850EF8">
              <w:rPr>
                <w:b/>
                <w:noProof/>
                <w:color w:val="000000"/>
                <w:sz w:val="20"/>
                <w:szCs w:val="20"/>
                <w:lang w:eastAsia="en-IE"/>
              </w:rPr>
              <w:t>TOTAL MFF 202</w:t>
            </w:r>
            <w:r>
              <w:rPr>
                <w:b/>
                <w:noProof/>
                <w:color w:val="000000"/>
                <w:sz w:val="20"/>
                <w:szCs w:val="20"/>
                <w:lang w:eastAsia="en-IE"/>
              </w:rPr>
              <w:t>8</w:t>
            </w:r>
            <w:r w:rsidRPr="00850EF8">
              <w:rPr>
                <w:b/>
                <w:noProof/>
                <w:color w:val="000000"/>
                <w:sz w:val="20"/>
                <w:szCs w:val="20"/>
                <w:lang w:eastAsia="en-IE"/>
              </w:rPr>
              <w:t>-20</w:t>
            </w:r>
            <w:r>
              <w:rPr>
                <w:b/>
                <w:noProof/>
                <w:color w:val="000000"/>
                <w:sz w:val="20"/>
                <w:szCs w:val="20"/>
                <w:lang w:eastAsia="en-IE"/>
              </w:rPr>
              <w:t>34</w:t>
            </w:r>
            <w:r w:rsidR="00914E40">
              <w:rPr>
                <w:rStyle w:val="FootnoteReference"/>
                <w:b/>
                <w:noProof/>
                <w:color w:val="000000"/>
                <w:sz w:val="20"/>
                <w:szCs w:val="20"/>
                <w:lang w:eastAsia="en-IE"/>
              </w:rPr>
              <w:footnoteReference w:id="75"/>
            </w:r>
          </w:p>
        </w:tc>
      </w:tr>
      <w:tr w:rsidR="00850EF8" w:rsidRPr="00AD21FF" w14:paraId="1CF4DDD6" w14:textId="77777777">
        <w:trPr>
          <w:trHeight w:val="300"/>
        </w:trPr>
        <w:tc>
          <w:tcPr>
            <w:tcW w:w="2418" w:type="pct"/>
            <w:gridSpan w:val="3"/>
            <w:vMerge/>
            <w:tcBorders>
              <w:top w:val="single" w:sz="8" w:space="0" w:color="auto"/>
              <w:left w:val="single" w:sz="8" w:space="0" w:color="auto"/>
              <w:bottom w:val="single" w:sz="8" w:space="0" w:color="000000"/>
              <w:right w:val="single" w:sz="8" w:space="0" w:color="000000"/>
            </w:tcBorders>
            <w:vAlign w:val="center"/>
            <w:hideMark/>
          </w:tcPr>
          <w:p w14:paraId="17435C6D" w14:textId="77777777" w:rsidR="00850EF8" w:rsidRPr="00AD21FF" w:rsidRDefault="00850EF8" w:rsidP="00850EF8">
            <w:pPr>
              <w:spacing w:before="0" w:after="0"/>
              <w:jc w:val="left"/>
              <w:rPr>
                <w:b/>
                <w:noProof/>
                <w:color w:val="000000"/>
                <w:sz w:val="22"/>
                <w:lang w:eastAsia="en-IE"/>
              </w:rPr>
            </w:pPr>
          </w:p>
        </w:tc>
        <w:tc>
          <w:tcPr>
            <w:tcW w:w="399" w:type="pct"/>
            <w:tcBorders>
              <w:top w:val="nil"/>
              <w:left w:val="nil"/>
              <w:bottom w:val="single" w:sz="8" w:space="0" w:color="auto"/>
              <w:right w:val="single" w:sz="8" w:space="0" w:color="auto"/>
            </w:tcBorders>
            <w:vAlign w:val="center"/>
            <w:hideMark/>
          </w:tcPr>
          <w:p w14:paraId="0E3D7095" w14:textId="77777777" w:rsidR="00850EF8" w:rsidRPr="00AD21FF" w:rsidRDefault="00850EF8" w:rsidP="00850EF8">
            <w:pPr>
              <w:spacing w:before="0" w:after="0"/>
              <w:jc w:val="center"/>
              <w:rPr>
                <w:b/>
                <w:noProof/>
                <w:color w:val="000000"/>
                <w:sz w:val="20"/>
                <w:szCs w:val="20"/>
                <w:lang w:eastAsia="en-IE"/>
              </w:rPr>
            </w:pPr>
            <w:r w:rsidRPr="00AD21FF">
              <w:rPr>
                <w:b/>
                <w:noProof/>
                <w:color w:val="000000"/>
                <w:sz w:val="20"/>
                <w:szCs w:val="20"/>
                <w:lang w:eastAsia="en-IE"/>
              </w:rPr>
              <w:t>2024</w:t>
            </w:r>
          </w:p>
        </w:tc>
        <w:tc>
          <w:tcPr>
            <w:tcW w:w="399" w:type="pct"/>
            <w:tcBorders>
              <w:top w:val="nil"/>
              <w:left w:val="nil"/>
              <w:bottom w:val="single" w:sz="8" w:space="0" w:color="auto"/>
              <w:right w:val="single" w:sz="8" w:space="0" w:color="auto"/>
            </w:tcBorders>
            <w:vAlign w:val="center"/>
            <w:hideMark/>
          </w:tcPr>
          <w:p w14:paraId="6614B355" w14:textId="77777777" w:rsidR="00850EF8" w:rsidRPr="00AD21FF" w:rsidRDefault="00850EF8" w:rsidP="00850EF8">
            <w:pPr>
              <w:spacing w:before="0" w:after="0"/>
              <w:jc w:val="center"/>
              <w:rPr>
                <w:b/>
                <w:noProof/>
                <w:color w:val="000000"/>
                <w:sz w:val="20"/>
                <w:szCs w:val="20"/>
                <w:lang w:eastAsia="en-IE"/>
              </w:rPr>
            </w:pPr>
            <w:r w:rsidRPr="00AD21FF">
              <w:rPr>
                <w:b/>
                <w:noProof/>
                <w:color w:val="000000"/>
                <w:sz w:val="20"/>
                <w:szCs w:val="20"/>
                <w:lang w:eastAsia="en-IE"/>
              </w:rPr>
              <w:t>2025</w:t>
            </w:r>
          </w:p>
        </w:tc>
        <w:tc>
          <w:tcPr>
            <w:tcW w:w="399" w:type="pct"/>
            <w:tcBorders>
              <w:top w:val="nil"/>
              <w:left w:val="nil"/>
              <w:bottom w:val="single" w:sz="8" w:space="0" w:color="auto"/>
              <w:right w:val="single" w:sz="8" w:space="0" w:color="auto"/>
            </w:tcBorders>
            <w:vAlign w:val="center"/>
            <w:hideMark/>
          </w:tcPr>
          <w:p w14:paraId="4330AE5A" w14:textId="77777777" w:rsidR="00850EF8" w:rsidRPr="00AD21FF" w:rsidRDefault="00850EF8" w:rsidP="00850EF8">
            <w:pPr>
              <w:spacing w:before="0" w:after="0"/>
              <w:jc w:val="center"/>
              <w:rPr>
                <w:b/>
                <w:noProof/>
                <w:color w:val="000000"/>
                <w:sz w:val="20"/>
                <w:szCs w:val="20"/>
                <w:lang w:eastAsia="en-IE"/>
              </w:rPr>
            </w:pPr>
            <w:r w:rsidRPr="00AD21FF">
              <w:rPr>
                <w:b/>
                <w:noProof/>
                <w:color w:val="000000"/>
                <w:sz w:val="20"/>
                <w:szCs w:val="20"/>
                <w:lang w:eastAsia="en-IE"/>
              </w:rPr>
              <w:t>2026</w:t>
            </w:r>
          </w:p>
        </w:tc>
        <w:tc>
          <w:tcPr>
            <w:tcW w:w="399" w:type="pct"/>
            <w:tcBorders>
              <w:top w:val="nil"/>
              <w:left w:val="nil"/>
              <w:bottom w:val="single" w:sz="8" w:space="0" w:color="auto"/>
              <w:right w:val="single" w:sz="8" w:space="0" w:color="auto"/>
            </w:tcBorders>
            <w:vAlign w:val="center"/>
            <w:hideMark/>
          </w:tcPr>
          <w:p w14:paraId="3D9D90CE" w14:textId="77777777" w:rsidR="00850EF8" w:rsidRPr="00AD21FF" w:rsidRDefault="00850EF8" w:rsidP="00850EF8">
            <w:pPr>
              <w:spacing w:before="0" w:after="0"/>
              <w:jc w:val="center"/>
              <w:rPr>
                <w:b/>
                <w:noProof/>
                <w:color w:val="000000"/>
                <w:sz w:val="20"/>
                <w:szCs w:val="20"/>
                <w:lang w:eastAsia="en-IE"/>
              </w:rPr>
            </w:pPr>
            <w:r w:rsidRPr="00AD21FF">
              <w:rPr>
                <w:b/>
                <w:noProof/>
                <w:color w:val="000000"/>
                <w:sz w:val="20"/>
                <w:szCs w:val="20"/>
                <w:lang w:eastAsia="en-IE"/>
              </w:rPr>
              <w:t>2027</w:t>
            </w:r>
          </w:p>
        </w:tc>
        <w:tc>
          <w:tcPr>
            <w:tcW w:w="493" w:type="pct"/>
            <w:vMerge/>
            <w:tcBorders>
              <w:top w:val="single" w:sz="8" w:space="0" w:color="auto"/>
              <w:left w:val="single" w:sz="8" w:space="0" w:color="auto"/>
              <w:bottom w:val="single" w:sz="8" w:space="0" w:color="auto"/>
              <w:right w:val="single" w:sz="8" w:space="0" w:color="auto"/>
            </w:tcBorders>
            <w:vAlign w:val="center"/>
            <w:hideMark/>
          </w:tcPr>
          <w:p w14:paraId="60C90E11" w14:textId="77777777" w:rsidR="00850EF8" w:rsidRPr="00AD21FF" w:rsidRDefault="00850EF8" w:rsidP="00850EF8">
            <w:pPr>
              <w:spacing w:before="0" w:after="0"/>
              <w:jc w:val="left"/>
              <w:rPr>
                <w:b/>
                <w:noProof/>
                <w:color w:val="000000"/>
                <w:sz w:val="20"/>
                <w:szCs w:val="20"/>
                <w:lang w:eastAsia="en-IE"/>
              </w:rPr>
            </w:pPr>
          </w:p>
        </w:tc>
        <w:tc>
          <w:tcPr>
            <w:tcW w:w="493" w:type="pct"/>
            <w:vMerge/>
            <w:tcBorders>
              <w:left w:val="single" w:sz="8" w:space="0" w:color="auto"/>
              <w:bottom w:val="single" w:sz="8" w:space="0" w:color="auto"/>
              <w:right w:val="single" w:sz="8" w:space="0" w:color="auto"/>
            </w:tcBorders>
          </w:tcPr>
          <w:p w14:paraId="1C2D9D36" w14:textId="77777777" w:rsidR="00850EF8" w:rsidRPr="00AD21FF" w:rsidRDefault="00850EF8" w:rsidP="00850EF8">
            <w:pPr>
              <w:spacing w:before="0" w:after="0"/>
              <w:jc w:val="left"/>
              <w:rPr>
                <w:b/>
                <w:noProof/>
                <w:color w:val="000000"/>
                <w:sz w:val="20"/>
                <w:szCs w:val="20"/>
                <w:lang w:eastAsia="en-IE"/>
              </w:rPr>
            </w:pPr>
          </w:p>
        </w:tc>
      </w:tr>
      <w:tr w:rsidR="006176CB" w:rsidRPr="00AD21FF" w14:paraId="7264C7EB" w14:textId="77777777" w:rsidTr="006021A8">
        <w:trPr>
          <w:trHeight w:val="432"/>
        </w:trPr>
        <w:tc>
          <w:tcPr>
            <w:tcW w:w="1225" w:type="pct"/>
            <w:vMerge w:val="restart"/>
            <w:tcBorders>
              <w:top w:val="nil"/>
              <w:left w:val="single" w:sz="8" w:space="0" w:color="auto"/>
              <w:bottom w:val="single" w:sz="8" w:space="0" w:color="auto"/>
              <w:right w:val="single" w:sz="8" w:space="0" w:color="auto"/>
            </w:tcBorders>
            <w:vAlign w:val="center"/>
            <w:hideMark/>
          </w:tcPr>
          <w:p w14:paraId="78EF1D93" w14:textId="77777777" w:rsidR="006021A8" w:rsidRPr="00AD21FF" w:rsidRDefault="006021A8" w:rsidP="006021A8">
            <w:pPr>
              <w:spacing w:before="0" w:after="0"/>
              <w:rPr>
                <w:noProof/>
                <w:color w:val="000000"/>
                <w:sz w:val="21"/>
                <w:szCs w:val="21"/>
                <w:lang w:eastAsia="en-IE"/>
              </w:rPr>
            </w:pPr>
            <w:r w:rsidRPr="00AD21FF">
              <w:rPr>
                <w:noProof/>
                <w:color w:val="000000"/>
                <w:sz w:val="21"/>
                <w:szCs w:val="21"/>
                <w:lang w:eastAsia="en-IE"/>
              </w:rPr>
              <w:t xml:space="preserve">TOTAL operational appropriations </w:t>
            </w:r>
            <w:r w:rsidRPr="00AD21FF">
              <w:rPr>
                <w:noProof/>
                <w:color w:val="000000"/>
                <w:sz w:val="21"/>
                <w:szCs w:val="21"/>
                <w:lang w:eastAsia="en-IE"/>
              </w:rPr>
              <w:br/>
            </w:r>
          </w:p>
        </w:tc>
        <w:tc>
          <w:tcPr>
            <w:tcW w:w="794" w:type="pct"/>
            <w:tcBorders>
              <w:top w:val="nil"/>
              <w:left w:val="nil"/>
              <w:bottom w:val="single" w:sz="8" w:space="0" w:color="auto"/>
              <w:right w:val="single" w:sz="8" w:space="0" w:color="auto"/>
            </w:tcBorders>
            <w:vAlign w:val="center"/>
            <w:hideMark/>
          </w:tcPr>
          <w:p w14:paraId="084E9182" w14:textId="77777777" w:rsidR="006021A8" w:rsidRPr="00AD21FF" w:rsidRDefault="006021A8" w:rsidP="006021A8">
            <w:pPr>
              <w:spacing w:before="0" w:after="0"/>
              <w:rPr>
                <w:noProof/>
                <w:color w:val="000000"/>
                <w:sz w:val="18"/>
                <w:szCs w:val="18"/>
                <w:lang w:eastAsia="en-IE"/>
              </w:rPr>
            </w:pPr>
            <w:r w:rsidRPr="00AD21FF">
              <w:rPr>
                <w:noProof/>
                <w:color w:val="000000"/>
                <w:sz w:val="18"/>
                <w:szCs w:val="18"/>
                <w:lang w:eastAsia="en-IE"/>
              </w:rPr>
              <w:t>Commitments</w:t>
            </w:r>
          </w:p>
        </w:tc>
        <w:tc>
          <w:tcPr>
            <w:tcW w:w="399" w:type="pct"/>
            <w:tcBorders>
              <w:top w:val="single" w:sz="8" w:space="0" w:color="auto"/>
              <w:left w:val="nil"/>
              <w:bottom w:val="single" w:sz="8" w:space="0" w:color="auto"/>
              <w:right w:val="single" w:sz="8" w:space="0" w:color="auto"/>
            </w:tcBorders>
            <w:vAlign w:val="center"/>
            <w:hideMark/>
          </w:tcPr>
          <w:p w14:paraId="4930DA81" w14:textId="77777777" w:rsidR="006021A8" w:rsidRPr="00AD21FF" w:rsidRDefault="006021A8" w:rsidP="006021A8">
            <w:pPr>
              <w:spacing w:before="0" w:after="0"/>
              <w:jc w:val="center"/>
              <w:rPr>
                <w:noProof/>
                <w:color w:val="000000"/>
                <w:sz w:val="14"/>
                <w:szCs w:val="14"/>
                <w:lang w:eastAsia="en-IE"/>
              </w:rPr>
            </w:pPr>
            <w:r w:rsidRPr="00AD21FF">
              <w:rPr>
                <w:noProof/>
                <w:color w:val="000000"/>
                <w:sz w:val="14"/>
                <w:szCs w:val="14"/>
                <w:lang w:eastAsia="en-IE"/>
              </w:rPr>
              <w:t>(4)</w:t>
            </w:r>
          </w:p>
        </w:tc>
        <w:tc>
          <w:tcPr>
            <w:tcW w:w="399" w:type="pct"/>
            <w:tcBorders>
              <w:top w:val="nil"/>
              <w:left w:val="nil"/>
              <w:bottom w:val="single" w:sz="8" w:space="0" w:color="auto"/>
              <w:right w:val="single" w:sz="8" w:space="0" w:color="auto"/>
            </w:tcBorders>
            <w:shd w:val="clear" w:color="000000" w:fill="D9D9D9"/>
            <w:vAlign w:val="center"/>
            <w:hideMark/>
          </w:tcPr>
          <w:p w14:paraId="723B5C21" w14:textId="77777777" w:rsidR="006021A8" w:rsidRPr="00AD21FF" w:rsidRDefault="006021A8" w:rsidP="006021A8">
            <w:pPr>
              <w:spacing w:before="0" w:after="0"/>
              <w:jc w:val="right"/>
              <w:rPr>
                <w:noProof/>
                <w:color w:val="000000"/>
                <w:sz w:val="20"/>
                <w:szCs w:val="20"/>
                <w:lang w:eastAsia="en-IE"/>
              </w:rPr>
            </w:pPr>
            <w:r w:rsidRPr="00AD21FF">
              <w:rPr>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6A4A52F3" w14:textId="77777777" w:rsidR="006021A8" w:rsidRPr="00AD21FF" w:rsidRDefault="006021A8" w:rsidP="006021A8">
            <w:pPr>
              <w:spacing w:before="0" w:after="0"/>
              <w:jc w:val="right"/>
              <w:rPr>
                <w:noProof/>
                <w:color w:val="000000"/>
                <w:sz w:val="20"/>
                <w:szCs w:val="20"/>
                <w:lang w:eastAsia="en-IE"/>
              </w:rPr>
            </w:pPr>
            <w:r w:rsidRPr="00AD21FF">
              <w:rPr>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405D22F2" w14:textId="77777777" w:rsidR="006021A8" w:rsidRPr="00AD21FF" w:rsidRDefault="006021A8" w:rsidP="006021A8">
            <w:pPr>
              <w:spacing w:before="0" w:after="0"/>
              <w:jc w:val="right"/>
              <w:rPr>
                <w:noProof/>
                <w:color w:val="000000"/>
                <w:sz w:val="20"/>
                <w:szCs w:val="20"/>
                <w:lang w:eastAsia="en-IE"/>
              </w:rPr>
            </w:pPr>
            <w:r w:rsidRPr="00AD21FF">
              <w:rPr>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5012829E" w14:textId="77777777" w:rsidR="006021A8" w:rsidRPr="00AD21FF" w:rsidRDefault="006021A8" w:rsidP="006021A8">
            <w:pPr>
              <w:spacing w:before="0" w:after="0"/>
              <w:jc w:val="right"/>
              <w:rPr>
                <w:noProof/>
                <w:color w:val="000000"/>
                <w:sz w:val="20"/>
                <w:szCs w:val="20"/>
                <w:lang w:eastAsia="en-IE"/>
              </w:rPr>
            </w:pPr>
            <w:r w:rsidRPr="001A4B75">
              <w:rPr>
                <w:noProof/>
                <w:color w:val="000000"/>
                <w:sz w:val="20"/>
                <w:szCs w:val="20"/>
                <w:lang w:eastAsia="en-IE"/>
              </w:rPr>
              <w:t>0.0</w:t>
            </w:r>
            <w:r>
              <w:rPr>
                <w:noProof/>
                <w:color w:val="000000"/>
                <w:sz w:val="20"/>
                <w:szCs w:val="20"/>
                <w:lang w:eastAsia="en-IE"/>
              </w:rPr>
              <w:t>4</w:t>
            </w:r>
            <w:r w:rsidRPr="001A4B75">
              <w:rPr>
                <w:noProof/>
                <w:color w:val="000000"/>
                <w:sz w:val="20"/>
                <w:szCs w:val="20"/>
                <w:lang w:eastAsia="en-IE"/>
              </w:rPr>
              <w:t>0</w:t>
            </w:r>
          </w:p>
        </w:tc>
        <w:tc>
          <w:tcPr>
            <w:tcW w:w="493" w:type="pct"/>
            <w:tcBorders>
              <w:top w:val="nil"/>
              <w:left w:val="nil"/>
              <w:bottom w:val="single" w:sz="8" w:space="0" w:color="auto"/>
              <w:right w:val="single" w:sz="8" w:space="0" w:color="auto"/>
            </w:tcBorders>
            <w:shd w:val="clear" w:color="000000" w:fill="D9D9D9"/>
            <w:vAlign w:val="center"/>
            <w:hideMark/>
          </w:tcPr>
          <w:p w14:paraId="7129C608" w14:textId="77777777" w:rsidR="006021A8" w:rsidRPr="00AD21FF" w:rsidRDefault="006021A8" w:rsidP="006021A8">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93" w:type="pct"/>
            <w:tcBorders>
              <w:top w:val="nil"/>
              <w:left w:val="nil"/>
              <w:bottom w:val="single" w:sz="8" w:space="0" w:color="auto"/>
              <w:right w:val="single" w:sz="8" w:space="0" w:color="auto"/>
            </w:tcBorders>
            <w:shd w:val="clear" w:color="000000" w:fill="D9D9D9"/>
            <w:vAlign w:val="center"/>
          </w:tcPr>
          <w:p w14:paraId="6A9F0A8E" w14:textId="77777777" w:rsidR="006021A8" w:rsidRPr="001A4B75" w:rsidRDefault="006021A8" w:rsidP="006021A8">
            <w:pPr>
              <w:spacing w:before="0" w:after="0"/>
              <w:jc w:val="right"/>
              <w:rPr>
                <w:b/>
                <w:noProof/>
                <w:color w:val="000000"/>
                <w:sz w:val="20"/>
                <w:szCs w:val="20"/>
                <w:lang w:eastAsia="en-IE"/>
              </w:rPr>
            </w:pPr>
            <w:r w:rsidRPr="00352335">
              <w:rPr>
                <w:b/>
                <w:bCs/>
                <w:noProof/>
                <w:color w:val="000000"/>
                <w:sz w:val="20"/>
                <w:szCs w:val="20"/>
                <w:lang w:val="en-IE" w:eastAsia="en-IE"/>
              </w:rPr>
              <w:t>0.140</w:t>
            </w:r>
          </w:p>
        </w:tc>
      </w:tr>
      <w:tr w:rsidR="006176CB" w:rsidRPr="00AD21FF" w14:paraId="441A78AD" w14:textId="77777777" w:rsidTr="006021A8">
        <w:trPr>
          <w:trHeight w:val="456"/>
        </w:trPr>
        <w:tc>
          <w:tcPr>
            <w:tcW w:w="1225" w:type="pct"/>
            <w:vMerge/>
            <w:tcBorders>
              <w:top w:val="nil"/>
              <w:left w:val="single" w:sz="8" w:space="0" w:color="auto"/>
              <w:bottom w:val="single" w:sz="8" w:space="0" w:color="auto"/>
              <w:right w:val="single" w:sz="8" w:space="0" w:color="auto"/>
            </w:tcBorders>
            <w:vAlign w:val="center"/>
            <w:hideMark/>
          </w:tcPr>
          <w:p w14:paraId="1F567683" w14:textId="77777777" w:rsidR="006021A8" w:rsidRPr="00AD21FF" w:rsidRDefault="006021A8" w:rsidP="006021A8">
            <w:pPr>
              <w:spacing w:before="0" w:after="0"/>
              <w:jc w:val="left"/>
              <w:rPr>
                <w:noProof/>
                <w:color w:val="000000"/>
                <w:sz w:val="21"/>
                <w:szCs w:val="21"/>
                <w:lang w:eastAsia="en-IE"/>
              </w:rPr>
            </w:pPr>
          </w:p>
        </w:tc>
        <w:tc>
          <w:tcPr>
            <w:tcW w:w="794" w:type="pct"/>
            <w:tcBorders>
              <w:top w:val="nil"/>
              <w:left w:val="nil"/>
              <w:bottom w:val="single" w:sz="8" w:space="0" w:color="auto"/>
              <w:right w:val="single" w:sz="8" w:space="0" w:color="auto"/>
            </w:tcBorders>
            <w:vAlign w:val="center"/>
            <w:hideMark/>
          </w:tcPr>
          <w:p w14:paraId="530D480B" w14:textId="77777777" w:rsidR="006021A8" w:rsidRPr="00AD21FF" w:rsidRDefault="006021A8" w:rsidP="006021A8">
            <w:pPr>
              <w:spacing w:before="0" w:after="0"/>
              <w:rPr>
                <w:noProof/>
                <w:color w:val="000000"/>
                <w:sz w:val="18"/>
                <w:szCs w:val="18"/>
                <w:lang w:eastAsia="en-IE"/>
              </w:rPr>
            </w:pPr>
            <w:r w:rsidRPr="00AD21FF">
              <w:rPr>
                <w:noProof/>
                <w:color w:val="000000"/>
                <w:sz w:val="18"/>
                <w:szCs w:val="18"/>
                <w:lang w:eastAsia="en-IE"/>
              </w:rPr>
              <w:t>Payments</w:t>
            </w:r>
          </w:p>
        </w:tc>
        <w:tc>
          <w:tcPr>
            <w:tcW w:w="399" w:type="pct"/>
            <w:tcBorders>
              <w:top w:val="single" w:sz="8" w:space="0" w:color="auto"/>
              <w:left w:val="nil"/>
              <w:bottom w:val="single" w:sz="8" w:space="0" w:color="auto"/>
              <w:right w:val="single" w:sz="8" w:space="0" w:color="auto"/>
            </w:tcBorders>
            <w:vAlign w:val="center"/>
            <w:hideMark/>
          </w:tcPr>
          <w:p w14:paraId="3F91C0A3" w14:textId="77777777" w:rsidR="006021A8" w:rsidRPr="00AD21FF" w:rsidRDefault="006021A8" w:rsidP="006021A8">
            <w:pPr>
              <w:spacing w:before="0" w:after="0"/>
              <w:jc w:val="center"/>
              <w:rPr>
                <w:noProof/>
                <w:color w:val="000000"/>
                <w:sz w:val="14"/>
                <w:szCs w:val="14"/>
                <w:lang w:eastAsia="en-IE"/>
              </w:rPr>
            </w:pPr>
            <w:r w:rsidRPr="00AD21FF">
              <w:rPr>
                <w:noProof/>
                <w:color w:val="000000"/>
                <w:sz w:val="14"/>
                <w:szCs w:val="14"/>
                <w:lang w:eastAsia="en-IE"/>
              </w:rPr>
              <w:t>(5)</w:t>
            </w:r>
          </w:p>
        </w:tc>
        <w:tc>
          <w:tcPr>
            <w:tcW w:w="399" w:type="pct"/>
            <w:tcBorders>
              <w:top w:val="nil"/>
              <w:left w:val="nil"/>
              <w:bottom w:val="single" w:sz="8" w:space="0" w:color="auto"/>
              <w:right w:val="single" w:sz="8" w:space="0" w:color="auto"/>
            </w:tcBorders>
            <w:shd w:val="clear" w:color="000000" w:fill="D9D9D9"/>
            <w:vAlign w:val="center"/>
            <w:hideMark/>
          </w:tcPr>
          <w:p w14:paraId="5598039B" w14:textId="77777777" w:rsidR="006021A8" w:rsidRPr="00AD21FF" w:rsidRDefault="006021A8" w:rsidP="006021A8">
            <w:pPr>
              <w:spacing w:before="0" w:after="0"/>
              <w:jc w:val="right"/>
              <w:rPr>
                <w:noProof/>
                <w:color w:val="000000"/>
                <w:sz w:val="20"/>
                <w:szCs w:val="20"/>
                <w:lang w:eastAsia="en-IE"/>
              </w:rPr>
            </w:pPr>
            <w:r w:rsidRPr="00AD21FF">
              <w:rPr>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43CF3BB5" w14:textId="77777777" w:rsidR="006021A8" w:rsidRPr="00AD21FF" w:rsidRDefault="006021A8" w:rsidP="006021A8">
            <w:pPr>
              <w:spacing w:before="0" w:after="0"/>
              <w:jc w:val="right"/>
              <w:rPr>
                <w:noProof/>
                <w:color w:val="000000"/>
                <w:sz w:val="20"/>
                <w:szCs w:val="20"/>
                <w:lang w:eastAsia="en-IE"/>
              </w:rPr>
            </w:pPr>
            <w:r w:rsidRPr="00AD21FF">
              <w:rPr>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003265E6" w14:textId="77777777" w:rsidR="006021A8" w:rsidRPr="00AD21FF" w:rsidRDefault="006021A8" w:rsidP="006021A8">
            <w:pPr>
              <w:spacing w:before="0" w:after="0"/>
              <w:jc w:val="right"/>
              <w:rPr>
                <w:noProof/>
                <w:color w:val="000000"/>
                <w:sz w:val="20"/>
                <w:szCs w:val="20"/>
                <w:lang w:eastAsia="en-IE"/>
              </w:rPr>
            </w:pPr>
            <w:r w:rsidRPr="00AD21FF">
              <w:rPr>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287BE58C" w14:textId="77777777" w:rsidR="006021A8" w:rsidRPr="00AD21FF" w:rsidRDefault="006021A8" w:rsidP="006021A8">
            <w:pPr>
              <w:spacing w:before="0" w:after="0"/>
              <w:jc w:val="right"/>
              <w:rPr>
                <w:noProof/>
                <w:color w:val="000000"/>
                <w:sz w:val="20"/>
                <w:szCs w:val="20"/>
                <w:lang w:eastAsia="en-IE"/>
              </w:rPr>
            </w:pPr>
            <w:r w:rsidRPr="001A4B75">
              <w:rPr>
                <w:noProof/>
                <w:color w:val="000000"/>
                <w:sz w:val="20"/>
                <w:szCs w:val="20"/>
                <w:lang w:eastAsia="en-IE"/>
              </w:rPr>
              <w:t>0.0</w:t>
            </w:r>
            <w:r>
              <w:rPr>
                <w:noProof/>
                <w:color w:val="000000"/>
                <w:sz w:val="20"/>
                <w:szCs w:val="20"/>
                <w:lang w:eastAsia="en-IE"/>
              </w:rPr>
              <w:t>4</w:t>
            </w:r>
            <w:r w:rsidRPr="001A4B75">
              <w:rPr>
                <w:noProof/>
                <w:color w:val="000000"/>
                <w:sz w:val="20"/>
                <w:szCs w:val="20"/>
                <w:lang w:eastAsia="en-IE"/>
              </w:rPr>
              <w:t>0</w:t>
            </w:r>
          </w:p>
        </w:tc>
        <w:tc>
          <w:tcPr>
            <w:tcW w:w="493" w:type="pct"/>
            <w:tcBorders>
              <w:top w:val="nil"/>
              <w:left w:val="nil"/>
              <w:bottom w:val="single" w:sz="8" w:space="0" w:color="auto"/>
              <w:right w:val="single" w:sz="8" w:space="0" w:color="auto"/>
            </w:tcBorders>
            <w:shd w:val="clear" w:color="000000" w:fill="D9D9D9"/>
            <w:vAlign w:val="center"/>
            <w:hideMark/>
          </w:tcPr>
          <w:p w14:paraId="34220028" w14:textId="77777777" w:rsidR="006021A8" w:rsidRPr="00AD21FF" w:rsidRDefault="006021A8" w:rsidP="006021A8">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93" w:type="pct"/>
            <w:tcBorders>
              <w:top w:val="nil"/>
              <w:left w:val="nil"/>
              <w:bottom w:val="single" w:sz="8" w:space="0" w:color="auto"/>
              <w:right w:val="single" w:sz="8" w:space="0" w:color="auto"/>
            </w:tcBorders>
            <w:shd w:val="clear" w:color="000000" w:fill="D9D9D9"/>
            <w:vAlign w:val="center"/>
          </w:tcPr>
          <w:p w14:paraId="176CCDA9" w14:textId="77777777" w:rsidR="006021A8" w:rsidRPr="001A4B75" w:rsidRDefault="006021A8" w:rsidP="006021A8">
            <w:pPr>
              <w:spacing w:before="0" w:after="0"/>
              <w:jc w:val="right"/>
              <w:rPr>
                <w:b/>
                <w:noProof/>
                <w:color w:val="000000"/>
                <w:sz w:val="20"/>
                <w:szCs w:val="20"/>
                <w:lang w:eastAsia="en-IE"/>
              </w:rPr>
            </w:pPr>
            <w:r w:rsidRPr="00352335">
              <w:rPr>
                <w:b/>
                <w:bCs/>
                <w:noProof/>
                <w:color w:val="000000"/>
                <w:sz w:val="20"/>
                <w:szCs w:val="20"/>
                <w:lang w:val="en-IE" w:eastAsia="en-IE"/>
              </w:rPr>
              <w:t>0.140</w:t>
            </w:r>
          </w:p>
        </w:tc>
      </w:tr>
      <w:tr w:rsidR="00F4211D" w:rsidRPr="00AD21FF" w14:paraId="4C04564B" w14:textId="77777777">
        <w:trPr>
          <w:trHeight w:val="924"/>
        </w:trPr>
        <w:tc>
          <w:tcPr>
            <w:tcW w:w="2019" w:type="pct"/>
            <w:gridSpan w:val="2"/>
            <w:tcBorders>
              <w:top w:val="single" w:sz="8" w:space="0" w:color="auto"/>
              <w:left w:val="single" w:sz="8" w:space="0" w:color="auto"/>
              <w:bottom w:val="single" w:sz="8" w:space="0" w:color="auto"/>
              <w:right w:val="single" w:sz="8" w:space="0" w:color="auto"/>
            </w:tcBorders>
            <w:vAlign w:val="center"/>
            <w:hideMark/>
          </w:tcPr>
          <w:p w14:paraId="46946C19" w14:textId="77777777" w:rsidR="00F4211D" w:rsidRPr="00AD21FF" w:rsidRDefault="00F4211D" w:rsidP="00F4211D">
            <w:pPr>
              <w:spacing w:before="0" w:after="0"/>
              <w:rPr>
                <w:noProof/>
                <w:color w:val="000000"/>
                <w:sz w:val="21"/>
                <w:szCs w:val="21"/>
                <w:lang w:eastAsia="en-IE"/>
              </w:rPr>
            </w:pPr>
            <w:r w:rsidRPr="00AD21FF">
              <w:rPr>
                <w:noProof/>
                <w:color w:val="000000"/>
                <w:sz w:val="21"/>
                <w:szCs w:val="21"/>
                <w:lang w:eastAsia="en-IE"/>
              </w:rPr>
              <w:t xml:space="preserve">TOTAL appropriations of an administrative nature financed from the envelope for specific programmes </w:t>
            </w:r>
          </w:p>
        </w:tc>
        <w:tc>
          <w:tcPr>
            <w:tcW w:w="399" w:type="pct"/>
            <w:tcBorders>
              <w:top w:val="single" w:sz="8" w:space="0" w:color="auto"/>
              <w:left w:val="nil"/>
              <w:bottom w:val="single" w:sz="8" w:space="0" w:color="auto"/>
              <w:right w:val="single" w:sz="8" w:space="0" w:color="auto"/>
            </w:tcBorders>
            <w:vAlign w:val="center"/>
            <w:hideMark/>
          </w:tcPr>
          <w:p w14:paraId="4703E076" w14:textId="77777777" w:rsidR="00F4211D" w:rsidRPr="00AD21FF" w:rsidRDefault="00F4211D" w:rsidP="00F4211D">
            <w:pPr>
              <w:spacing w:before="0" w:after="0"/>
              <w:jc w:val="center"/>
              <w:rPr>
                <w:noProof/>
                <w:color w:val="000000"/>
                <w:sz w:val="14"/>
                <w:szCs w:val="14"/>
                <w:lang w:eastAsia="en-IE"/>
              </w:rPr>
            </w:pPr>
            <w:r w:rsidRPr="00AD21FF">
              <w:rPr>
                <w:noProof/>
                <w:color w:val="000000"/>
                <w:sz w:val="14"/>
                <w:szCs w:val="14"/>
                <w:lang w:eastAsia="en-IE"/>
              </w:rPr>
              <w:t>(6)</w:t>
            </w:r>
          </w:p>
        </w:tc>
        <w:tc>
          <w:tcPr>
            <w:tcW w:w="399" w:type="pct"/>
            <w:tcBorders>
              <w:top w:val="nil"/>
              <w:left w:val="nil"/>
              <w:bottom w:val="single" w:sz="8" w:space="0" w:color="auto"/>
              <w:right w:val="single" w:sz="8" w:space="0" w:color="auto"/>
            </w:tcBorders>
            <w:shd w:val="clear" w:color="000000" w:fill="D9D9D9"/>
            <w:vAlign w:val="center"/>
            <w:hideMark/>
          </w:tcPr>
          <w:p w14:paraId="7AC6DF7D" w14:textId="77777777" w:rsidR="00F4211D" w:rsidRPr="00AD21FF" w:rsidRDefault="00F4211D" w:rsidP="00F4211D">
            <w:pPr>
              <w:spacing w:before="0" w:after="0"/>
              <w:jc w:val="right"/>
              <w:rPr>
                <w:noProof/>
                <w:color w:val="000000"/>
                <w:sz w:val="20"/>
                <w:szCs w:val="20"/>
                <w:lang w:eastAsia="en-IE"/>
              </w:rPr>
            </w:pPr>
            <w:r w:rsidRPr="00AD21FF">
              <w:rPr>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3A78A955" w14:textId="77777777" w:rsidR="00F4211D" w:rsidRPr="00AD21FF" w:rsidRDefault="00F4211D" w:rsidP="00F4211D">
            <w:pPr>
              <w:spacing w:before="0" w:after="0"/>
              <w:jc w:val="right"/>
              <w:rPr>
                <w:noProof/>
                <w:color w:val="000000"/>
                <w:sz w:val="20"/>
                <w:szCs w:val="20"/>
                <w:lang w:eastAsia="en-IE"/>
              </w:rPr>
            </w:pPr>
            <w:r w:rsidRPr="00AD21FF">
              <w:rPr>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42050383" w14:textId="77777777" w:rsidR="00F4211D" w:rsidRPr="00AD21FF" w:rsidRDefault="00F4211D" w:rsidP="00F4211D">
            <w:pPr>
              <w:spacing w:before="0" w:after="0"/>
              <w:jc w:val="right"/>
              <w:rPr>
                <w:noProof/>
                <w:color w:val="000000"/>
                <w:sz w:val="20"/>
                <w:szCs w:val="20"/>
                <w:lang w:eastAsia="en-IE"/>
              </w:rPr>
            </w:pPr>
            <w:r w:rsidRPr="00AD21FF">
              <w:rPr>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55648611" w14:textId="77777777" w:rsidR="00F4211D" w:rsidRPr="00AD21FF" w:rsidRDefault="00F4211D" w:rsidP="00F4211D">
            <w:pPr>
              <w:spacing w:before="0" w:after="0"/>
              <w:jc w:val="right"/>
              <w:rPr>
                <w:noProof/>
                <w:color w:val="000000"/>
                <w:sz w:val="20"/>
                <w:szCs w:val="20"/>
                <w:lang w:eastAsia="en-IE"/>
              </w:rPr>
            </w:pPr>
            <w:r w:rsidRPr="00AD21FF">
              <w:rPr>
                <w:noProof/>
                <w:color w:val="000000"/>
                <w:sz w:val="20"/>
                <w:szCs w:val="20"/>
                <w:lang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C780CFA"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493" w:type="pct"/>
            <w:tcBorders>
              <w:top w:val="nil"/>
              <w:left w:val="nil"/>
              <w:bottom w:val="single" w:sz="8" w:space="0" w:color="auto"/>
              <w:right w:val="single" w:sz="8" w:space="0" w:color="auto"/>
            </w:tcBorders>
            <w:shd w:val="clear" w:color="000000" w:fill="D9D9D9"/>
            <w:vAlign w:val="center"/>
          </w:tcPr>
          <w:p w14:paraId="74967B47" w14:textId="77777777" w:rsidR="00F4211D" w:rsidRPr="001A4B75"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r>
      <w:tr w:rsidR="00F4211D" w:rsidRPr="00AD21FF" w14:paraId="16487B2D" w14:textId="77777777" w:rsidTr="00622FD3">
        <w:trPr>
          <w:trHeight w:val="564"/>
        </w:trPr>
        <w:tc>
          <w:tcPr>
            <w:tcW w:w="1225" w:type="pct"/>
            <w:tcBorders>
              <w:top w:val="nil"/>
              <w:left w:val="single" w:sz="8" w:space="0" w:color="auto"/>
              <w:bottom w:val="nil"/>
              <w:right w:val="single" w:sz="8" w:space="0" w:color="auto"/>
            </w:tcBorders>
            <w:shd w:val="thinDiagStripe" w:color="C0C0C0" w:fill="F1F1F1"/>
            <w:vAlign w:val="center"/>
            <w:hideMark/>
          </w:tcPr>
          <w:p w14:paraId="5D6F4CB1" w14:textId="77777777" w:rsidR="00F4211D" w:rsidRPr="00AD21FF" w:rsidRDefault="00F4211D" w:rsidP="00F4211D">
            <w:pPr>
              <w:spacing w:before="0" w:after="0"/>
              <w:jc w:val="center"/>
              <w:rPr>
                <w:b/>
                <w:noProof/>
                <w:color w:val="000000"/>
                <w:sz w:val="22"/>
                <w:lang w:eastAsia="en-IE"/>
              </w:rPr>
            </w:pPr>
            <w:r w:rsidRPr="001A4B75">
              <w:rPr>
                <w:b/>
                <w:noProof/>
                <w:color w:val="000000"/>
                <w:sz w:val="22"/>
                <w:lang w:eastAsia="en-IE"/>
              </w:rPr>
              <w:t xml:space="preserve">TOTAL appropriations under HEADING </w:t>
            </w:r>
            <w:r>
              <w:rPr>
                <w:b/>
                <w:noProof/>
                <w:color w:val="000000"/>
                <w:sz w:val="22"/>
                <w:lang w:eastAsia="en-IE"/>
              </w:rPr>
              <w:t>1</w:t>
            </w:r>
          </w:p>
        </w:tc>
        <w:tc>
          <w:tcPr>
            <w:tcW w:w="794" w:type="pct"/>
            <w:tcBorders>
              <w:top w:val="nil"/>
              <w:left w:val="nil"/>
              <w:bottom w:val="single" w:sz="8" w:space="0" w:color="auto"/>
              <w:right w:val="single" w:sz="8" w:space="0" w:color="auto"/>
            </w:tcBorders>
            <w:vAlign w:val="center"/>
            <w:hideMark/>
          </w:tcPr>
          <w:p w14:paraId="11DE0D27" w14:textId="77777777" w:rsidR="00F4211D" w:rsidRPr="00AD21FF" w:rsidRDefault="00F4211D" w:rsidP="00F4211D">
            <w:pPr>
              <w:spacing w:before="0" w:after="0"/>
              <w:rPr>
                <w:noProof/>
                <w:color w:val="000000"/>
                <w:sz w:val="18"/>
                <w:szCs w:val="18"/>
                <w:lang w:eastAsia="en-IE"/>
              </w:rPr>
            </w:pPr>
            <w:r w:rsidRPr="00AD21FF">
              <w:rPr>
                <w:noProof/>
                <w:color w:val="000000"/>
                <w:sz w:val="18"/>
                <w:szCs w:val="18"/>
                <w:lang w:eastAsia="en-IE"/>
              </w:rPr>
              <w:t>Commitments</w:t>
            </w:r>
          </w:p>
        </w:tc>
        <w:tc>
          <w:tcPr>
            <w:tcW w:w="399" w:type="pct"/>
            <w:tcBorders>
              <w:top w:val="single" w:sz="8" w:space="0" w:color="auto"/>
              <w:left w:val="nil"/>
              <w:bottom w:val="single" w:sz="8" w:space="0" w:color="auto"/>
              <w:right w:val="single" w:sz="8" w:space="0" w:color="auto"/>
            </w:tcBorders>
            <w:vAlign w:val="center"/>
            <w:hideMark/>
          </w:tcPr>
          <w:p w14:paraId="0EAB4565" w14:textId="77777777" w:rsidR="00F4211D" w:rsidRPr="00AD21FF" w:rsidRDefault="00F4211D" w:rsidP="00F4211D">
            <w:pPr>
              <w:spacing w:before="0" w:after="0"/>
              <w:jc w:val="center"/>
              <w:rPr>
                <w:noProof/>
                <w:color w:val="000000"/>
                <w:sz w:val="14"/>
                <w:szCs w:val="14"/>
                <w:lang w:eastAsia="en-IE"/>
              </w:rPr>
            </w:pPr>
            <w:r w:rsidRPr="00AD21FF">
              <w:rPr>
                <w:noProof/>
                <w:color w:val="000000"/>
                <w:sz w:val="14"/>
                <w:szCs w:val="14"/>
                <w:lang w:eastAsia="en-IE"/>
              </w:rPr>
              <w:t>=4+6</w:t>
            </w:r>
          </w:p>
        </w:tc>
        <w:tc>
          <w:tcPr>
            <w:tcW w:w="399" w:type="pct"/>
            <w:tcBorders>
              <w:top w:val="nil"/>
              <w:left w:val="nil"/>
              <w:bottom w:val="single" w:sz="8" w:space="0" w:color="auto"/>
              <w:right w:val="single" w:sz="8" w:space="0" w:color="auto"/>
            </w:tcBorders>
            <w:shd w:val="clear" w:color="000000" w:fill="D9D9D9"/>
            <w:vAlign w:val="center"/>
            <w:hideMark/>
          </w:tcPr>
          <w:p w14:paraId="5B91FE52"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0AD66656"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5E209CD9"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242E2619" w14:textId="77777777" w:rsidR="00F4211D" w:rsidRPr="00AD21FF" w:rsidRDefault="00F4211D" w:rsidP="00F4211D">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93" w:type="pct"/>
            <w:tcBorders>
              <w:top w:val="nil"/>
              <w:left w:val="nil"/>
              <w:bottom w:val="single" w:sz="8" w:space="0" w:color="auto"/>
              <w:right w:val="single" w:sz="8" w:space="0" w:color="auto"/>
            </w:tcBorders>
            <w:shd w:val="clear" w:color="000000" w:fill="D9D9D9"/>
            <w:vAlign w:val="center"/>
            <w:hideMark/>
          </w:tcPr>
          <w:p w14:paraId="19784AD3" w14:textId="77777777" w:rsidR="00F4211D" w:rsidRPr="00AD21FF" w:rsidRDefault="00F4211D" w:rsidP="00F4211D">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93" w:type="pct"/>
            <w:tcBorders>
              <w:top w:val="nil"/>
              <w:left w:val="nil"/>
              <w:bottom w:val="single" w:sz="8" w:space="0" w:color="auto"/>
              <w:right w:val="single" w:sz="8" w:space="0" w:color="auto"/>
            </w:tcBorders>
            <w:shd w:val="clear" w:color="000000" w:fill="D9D9D9"/>
            <w:vAlign w:val="center"/>
          </w:tcPr>
          <w:p w14:paraId="36DB4DE8" w14:textId="77777777" w:rsidR="00F4211D" w:rsidRPr="001A4B75" w:rsidRDefault="00F4211D" w:rsidP="00F4211D">
            <w:pPr>
              <w:spacing w:before="0" w:after="0"/>
              <w:jc w:val="right"/>
              <w:rPr>
                <w:b/>
                <w:noProof/>
                <w:color w:val="000000"/>
                <w:sz w:val="20"/>
                <w:szCs w:val="20"/>
                <w:lang w:eastAsia="en-IE"/>
              </w:rPr>
            </w:pPr>
            <w:r w:rsidRPr="00352335">
              <w:rPr>
                <w:b/>
                <w:bCs/>
                <w:noProof/>
                <w:color w:val="000000"/>
                <w:sz w:val="20"/>
                <w:szCs w:val="20"/>
                <w:lang w:val="en-IE" w:eastAsia="en-IE"/>
              </w:rPr>
              <w:t>0.140</w:t>
            </w:r>
          </w:p>
        </w:tc>
      </w:tr>
      <w:tr w:rsidR="00F4211D" w:rsidRPr="00AD21FF" w14:paraId="2D730456" w14:textId="77777777" w:rsidTr="00622FD3">
        <w:trPr>
          <w:trHeight w:val="528"/>
        </w:trPr>
        <w:tc>
          <w:tcPr>
            <w:tcW w:w="1225" w:type="pct"/>
            <w:tcBorders>
              <w:top w:val="nil"/>
              <w:left w:val="single" w:sz="8" w:space="0" w:color="auto"/>
              <w:bottom w:val="single" w:sz="8" w:space="0" w:color="auto"/>
              <w:right w:val="single" w:sz="8" w:space="0" w:color="auto"/>
            </w:tcBorders>
            <w:shd w:val="thinDiagStripe" w:color="C0C0C0" w:fill="F1F1F1"/>
            <w:vAlign w:val="center"/>
            <w:hideMark/>
          </w:tcPr>
          <w:p w14:paraId="75AA222B" w14:textId="77777777" w:rsidR="00F4211D" w:rsidRPr="00AD21FF" w:rsidRDefault="00F4211D" w:rsidP="00F4211D">
            <w:pPr>
              <w:spacing w:before="0" w:after="0"/>
              <w:jc w:val="center"/>
              <w:rPr>
                <w:noProof/>
                <w:color w:val="000000"/>
                <w:sz w:val="22"/>
                <w:lang w:eastAsia="en-IE"/>
              </w:rPr>
            </w:pPr>
            <w:r w:rsidRPr="00AD21FF">
              <w:rPr>
                <w:noProof/>
                <w:color w:val="000000"/>
                <w:sz w:val="22"/>
                <w:lang w:eastAsia="en-IE"/>
              </w:rPr>
              <w:t>of the multiannual financial framework</w:t>
            </w:r>
          </w:p>
        </w:tc>
        <w:tc>
          <w:tcPr>
            <w:tcW w:w="794" w:type="pct"/>
            <w:tcBorders>
              <w:top w:val="nil"/>
              <w:left w:val="nil"/>
              <w:bottom w:val="single" w:sz="8" w:space="0" w:color="auto"/>
              <w:right w:val="single" w:sz="8" w:space="0" w:color="auto"/>
            </w:tcBorders>
            <w:vAlign w:val="center"/>
            <w:hideMark/>
          </w:tcPr>
          <w:p w14:paraId="1AEDCE00" w14:textId="77777777" w:rsidR="00F4211D" w:rsidRPr="00AD21FF" w:rsidRDefault="00F4211D" w:rsidP="00F4211D">
            <w:pPr>
              <w:spacing w:before="0" w:after="0"/>
              <w:rPr>
                <w:noProof/>
                <w:color w:val="000000"/>
                <w:sz w:val="18"/>
                <w:szCs w:val="18"/>
                <w:lang w:eastAsia="en-IE"/>
              </w:rPr>
            </w:pPr>
            <w:r w:rsidRPr="00AD21FF">
              <w:rPr>
                <w:noProof/>
                <w:color w:val="000000"/>
                <w:sz w:val="18"/>
                <w:szCs w:val="18"/>
                <w:lang w:eastAsia="en-IE"/>
              </w:rPr>
              <w:t>Payments</w:t>
            </w:r>
          </w:p>
        </w:tc>
        <w:tc>
          <w:tcPr>
            <w:tcW w:w="399" w:type="pct"/>
            <w:tcBorders>
              <w:top w:val="single" w:sz="8" w:space="0" w:color="auto"/>
              <w:left w:val="nil"/>
              <w:bottom w:val="single" w:sz="8" w:space="0" w:color="auto"/>
              <w:right w:val="single" w:sz="8" w:space="0" w:color="auto"/>
            </w:tcBorders>
            <w:vAlign w:val="center"/>
            <w:hideMark/>
          </w:tcPr>
          <w:p w14:paraId="30048B93" w14:textId="77777777" w:rsidR="00F4211D" w:rsidRPr="00AD21FF" w:rsidRDefault="00F4211D" w:rsidP="00F4211D">
            <w:pPr>
              <w:spacing w:before="0" w:after="0"/>
              <w:jc w:val="center"/>
              <w:rPr>
                <w:noProof/>
                <w:color w:val="000000"/>
                <w:sz w:val="14"/>
                <w:szCs w:val="14"/>
                <w:lang w:eastAsia="en-IE"/>
              </w:rPr>
            </w:pPr>
            <w:r w:rsidRPr="00AD21FF">
              <w:rPr>
                <w:noProof/>
                <w:color w:val="000000"/>
                <w:sz w:val="14"/>
                <w:szCs w:val="14"/>
                <w:lang w:eastAsia="en-IE"/>
              </w:rPr>
              <w:t>=5+6</w:t>
            </w:r>
          </w:p>
        </w:tc>
        <w:tc>
          <w:tcPr>
            <w:tcW w:w="399" w:type="pct"/>
            <w:tcBorders>
              <w:top w:val="nil"/>
              <w:left w:val="nil"/>
              <w:bottom w:val="single" w:sz="8" w:space="0" w:color="auto"/>
              <w:right w:val="single" w:sz="8" w:space="0" w:color="auto"/>
            </w:tcBorders>
            <w:shd w:val="clear" w:color="000000" w:fill="D9D9D9"/>
            <w:vAlign w:val="center"/>
            <w:hideMark/>
          </w:tcPr>
          <w:p w14:paraId="396B5B5F"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669D2499"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359200A9"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9" w:type="pct"/>
            <w:tcBorders>
              <w:top w:val="nil"/>
              <w:left w:val="nil"/>
              <w:bottom w:val="single" w:sz="8" w:space="0" w:color="auto"/>
              <w:right w:val="single" w:sz="8" w:space="0" w:color="auto"/>
            </w:tcBorders>
            <w:shd w:val="clear" w:color="000000" w:fill="D9D9D9"/>
            <w:vAlign w:val="center"/>
            <w:hideMark/>
          </w:tcPr>
          <w:p w14:paraId="3D302FA2" w14:textId="77777777" w:rsidR="00F4211D" w:rsidRPr="00AD21FF" w:rsidRDefault="00F4211D" w:rsidP="00F4211D">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93" w:type="pct"/>
            <w:tcBorders>
              <w:top w:val="nil"/>
              <w:left w:val="nil"/>
              <w:bottom w:val="single" w:sz="8" w:space="0" w:color="auto"/>
              <w:right w:val="single" w:sz="8" w:space="0" w:color="auto"/>
            </w:tcBorders>
            <w:shd w:val="clear" w:color="000000" w:fill="D9D9D9"/>
            <w:vAlign w:val="center"/>
            <w:hideMark/>
          </w:tcPr>
          <w:p w14:paraId="7CA02454" w14:textId="77777777" w:rsidR="00F4211D" w:rsidRPr="00AD21FF" w:rsidRDefault="00F4211D" w:rsidP="00F4211D">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93" w:type="pct"/>
            <w:tcBorders>
              <w:top w:val="nil"/>
              <w:left w:val="nil"/>
              <w:bottom w:val="single" w:sz="8" w:space="0" w:color="auto"/>
              <w:right w:val="single" w:sz="8" w:space="0" w:color="auto"/>
            </w:tcBorders>
            <w:shd w:val="clear" w:color="000000" w:fill="D9D9D9"/>
            <w:vAlign w:val="center"/>
          </w:tcPr>
          <w:p w14:paraId="269E997C" w14:textId="77777777" w:rsidR="00F4211D" w:rsidRPr="001A4B75" w:rsidRDefault="00F4211D" w:rsidP="00F4211D">
            <w:pPr>
              <w:spacing w:before="0" w:after="0"/>
              <w:jc w:val="right"/>
              <w:rPr>
                <w:b/>
                <w:noProof/>
                <w:color w:val="000000"/>
                <w:sz w:val="20"/>
                <w:szCs w:val="20"/>
                <w:lang w:eastAsia="en-IE"/>
              </w:rPr>
            </w:pPr>
            <w:r w:rsidRPr="00352335">
              <w:rPr>
                <w:b/>
                <w:bCs/>
                <w:noProof/>
                <w:color w:val="000000"/>
                <w:sz w:val="20"/>
                <w:szCs w:val="20"/>
                <w:lang w:val="en-IE" w:eastAsia="en-IE"/>
              </w:rPr>
              <w:t>0.140</w:t>
            </w:r>
          </w:p>
        </w:tc>
      </w:tr>
    </w:tbl>
    <w:p w14:paraId="307A2C5D" w14:textId="77777777" w:rsidR="001070C7" w:rsidRDefault="001070C7" w:rsidP="001070C7">
      <w:pPr>
        <w:jc w:val="right"/>
        <w:rPr>
          <w:noProof/>
          <w:sz w:val="20"/>
        </w:rPr>
      </w:pPr>
    </w:p>
    <w:p w14:paraId="5A04AC72" w14:textId="77777777" w:rsidR="001070C7" w:rsidRPr="00781B63" w:rsidRDefault="001070C7" w:rsidP="001070C7">
      <w:pPr>
        <w:jc w:val="right"/>
        <w:rPr>
          <w:noProof/>
        </w:rPr>
      </w:pPr>
      <w:r w:rsidRPr="00AD21FF">
        <w:rPr>
          <w:noProof/>
          <w:sz w:val="20"/>
        </w:rPr>
        <w:t>EUR million (to three decimal places)</w:t>
      </w:r>
    </w:p>
    <w:tbl>
      <w:tblPr>
        <w:tblW w:w="5000" w:type="pct"/>
        <w:tblLook w:val="04A0" w:firstRow="1" w:lastRow="0" w:firstColumn="1" w:lastColumn="0" w:noHBand="0" w:noVBand="1"/>
      </w:tblPr>
      <w:tblGrid>
        <w:gridCol w:w="3122"/>
        <w:gridCol w:w="1237"/>
        <w:gridCol w:w="1060"/>
        <w:gridCol w:w="1101"/>
        <w:gridCol w:w="870"/>
        <w:gridCol w:w="1118"/>
        <w:gridCol w:w="1101"/>
        <w:gridCol w:w="1101"/>
        <w:gridCol w:w="1101"/>
        <w:gridCol w:w="1101"/>
        <w:gridCol w:w="1308"/>
      </w:tblGrid>
      <w:tr w:rsidR="00D5566C" w:rsidRPr="00D5566C" w14:paraId="635A850D" w14:textId="77777777" w:rsidTr="00855F93">
        <w:trPr>
          <w:trHeight w:val="300"/>
        </w:trPr>
        <w:tc>
          <w:tcPr>
            <w:tcW w:w="1905"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0588841" w14:textId="77777777" w:rsidR="00D5566C" w:rsidRPr="00D5566C" w:rsidRDefault="00D5566C" w:rsidP="00D5566C">
            <w:pPr>
              <w:spacing w:before="0" w:after="0"/>
              <w:jc w:val="center"/>
              <w:rPr>
                <w:rFonts w:eastAsia="Times New Roman"/>
                <w:b/>
                <w:bCs/>
                <w:noProof/>
                <w:color w:val="000000"/>
                <w:sz w:val="22"/>
                <w:lang w:val="en-IE" w:eastAsia="en-IE"/>
              </w:rPr>
            </w:pPr>
            <w:r w:rsidRPr="00D5566C">
              <w:rPr>
                <w:rFonts w:eastAsia="Times New Roman"/>
                <w:b/>
                <w:bCs/>
                <w:noProof/>
                <w:color w:val="000000"/>
                <w:sz w:val="22"/>
                <w:lang w:val="en-IE" w:eastAsia="en-IE"/>
              </w:rPr>
              <w:t> </w:t>
            </w:r>
          </w:p>
        </w:tc>
        <w:tc>
          <w:tcPr>
            <w:tcW w:w="387" w:type="pct"/>
            <w:tcBorders>
              <w:top w:val="single" w:sz="8" w:space="0" w:color="auto"/>
              <w:left w:val="nil"/>
              <w:bottom w:val="single" w:sz="8" w:space="0" w:color="auto"/>
              <w:right w:val="single" w:sz="8" w:space="0" w:color="auto"/>
            </w:tcBorders>
            <w:vAlign w:val="center"/>
            <w:hideMark/>
          </w:tcPr>
          <w:p w14:paraId="5F6FDC3C" w14:textId="77777777" w:rsidR="00D5566C" w:rsidRPr="00D5566C" w:rsidRDefault="00D5566C" w:rsidP="00D5566C">
            <w:pPr>
              <w:spacing w:before="0" w:after="0"/>
              <w:jc w:val="center"/>
              <w:rPr>
                <w:rFonts w:eastAsia="Times New Roman"/>
                <w:noProof/>
                <w:color w:val="000000"/>
                <w:sz w:val="20"/>
                <w:szCs w:val="20"/>
                <w:lang w:val="en-IE" w:eastAsia="en-IE"/>
              </w:rPr>
            </w:pPr>
            <w:r w:rsidRPr="00D5566C">
              <w:rPr>
                <w:rFonts w:eastAsia="Times New Roman"/>
                <w:noProof/>
                <w:color w:val="000000"/>
                <w:sz w:val="20"/>
                <w:szCs w:val="20"/>
                <w:lang w:val="en-IE" w:eastAsia="en-IE"/>
              </w:rPr>
              <w:t>Year</w:t>
            </w:r>
          </w:p>
        </w:tc>
        <w:tc>
          <w:tcPr>
            <w:tcW w:w="306" w:type="pct"/>
            <w:tcBorders>
              <w:top w:val="single" w:sz="8" w:space="0" w:color="auto"/>
              <w:left w:val="nil"/>
              <w:bottom w:val="single" w:sz="8" w:space="0" w:color="auto"/>
              <w:right w:val="single" w:sz="8" w:space="0" w:color="auto"/>
            </w:tcBorders>
            <w:vAlign w:val="center"/>
            <w:hideMark/>
          </w:tcPr>
          <w:p w14:paraId="6160D398" w14:textId="77777777" w:rsidR="00D5566C" w:rsidRPr="00D5566C" w:rsidRDefault="00D5566C" w:rsidP="00D5566C">
            <w:pPr>
              <w:spacing w:before="0" w:after="0"/>
              <w:jc w:val="center"/>
              <w:rPr>
                <w:rFonts w:eastAsia="Times New Roman"/>
                <w:noProof/>
                <w:color w:val="000000"/>
                <w:sz w:val="20"/>
                <w:szCs w:val="20"/>
                <w:lang w:val="en-IE" w:eastAsia="en-IE"/>
              </w:rPr>
            </w:pPr>
            <w:r w:rsidRPr="00D5566C">
              <w:rPr>
                <w:rFonts w:eastAsia="Times New Roman"/>
                <w:noProof/>
                <w:color w:val="000000"/>
                <w:sz w:val="20"/>
                <w:szCs w:val="20"/>
                <w:lang w:val="en-IE" w:eastAsia="en-IE"/>
              </w:rPr>
              <w:t>Year</w:t>
            </w:r>
          </w:p>
        </w:tc>
        <w:tc>
          <w:tcPr>
            <w:tcW w:w="393" w:type="pct"/>
            <w:tcBorders>
              <w:top w:val="single" w:sz="8" w:space="0" w:color="auto"/>
              <w:left w:val="nil"/>
              <w:bottom w:val="single" w:sz="8" w:space="0" w:color="auto"/>
              <w:right w:val="single" w:sz="8" w:space="0" w:color="auto"/>
            </w:tcBorders>
            <w:vAlign w:val="center"/>
            <w:hideMark/>
          </w:tcPr>
          <w:p w14:paraId="5AA268BA" w14:textId="77777777" w:rsidR="00D5566C" w:rsidRPr="00D5566C" w:rsidRDefault="00D5566C" w:rsidP="00D5566C">
            <w:pPr>
              <w:spacing w:before="0" w:after="0"/>
              <w:jc w:val="center"/>
              <w:rPr>
                <w:rFonts w:eastAsia="Times New Roman"/>
                <w:noProof/>
                <w:color w:val="000000"/>
                <w:sz w:val="20"/>
                <w:szCs w:val="20"/>
                <w:lang w:val="en-IE" w:eastAsia="en-IE"/>
              </w:rPr>
            </w:pPr>
            <w:r w:rsidRPr="00D5566C">
              <w:rPr>
                <w:rFonts w:eastAsia="Times New Roman"/>
                <w:noProof/>
                <w:color w:val="000000"/>
                <w:sz w:val="20"/>
                <w:szCs w:val="20"/>
                <w:lang w:val="en-IE" w:eastAsia="en-IE"/>
              </w:rPr>
              <w:t>Year</w:t>
            </w:r>
          </w:p>
        </w:tc>
        <w:tc>
          <w:tcPr>
            <w:tcW w:w="387" w:type="pct"/>
            <w:tcBorders>
              <w:top w:val="single" w:sz="8" w:space="0" w:color="auto"/>
              <w:left w:val="nil"/>
              <w:bottom w:val="single" w:sz="8" w:space="0" w:color="auto"/>
              <w:right w:val="single" w:sz="8" w:space="0" w:color="auto"/>
            </w:tcBorders>
            <w:vAlign w:val="center"/>
            <w:hideMark/>
          </w:tcPr>
          <w:p w14:paraId="239880BD" w14:textId="77777777" w:rsidR="00D5566C" w:rsidRPr="00D5566C" w:rsidRDefault="00D5566C" w:rsidP="00D5566C">
            <w:pPr>
              <w:spacing w:before="0" w:after="0"/>
              <w:jc w:val="center"/>
              <w:rPr>
                <w:rFonts w:eastAsia="Times New Roman"/>
                <w:noProof/>
                <w:color w:val="000000"/>
                <w:sz w:val="20"/>
                <w:szCs w:val="20"/>
                <w:lang w:val="en-IE" w:eastAsia="en-IE"/>
              </w:rPr>
            </w:pPr>
            <w:r w:rsidRPr="00D5566C">
              <w:rPr>
                <w:rFonts w:eastAsia="Times New Roman"/>
                <w:noProof/>
                <w:color w:val="000000"/>
                <w:sz w:val="20"/>
                <w:szCs w:val="20"/>
                <w:lang w:val="en-IE" w:eastAsia="en-IE"/>
              </w:rPr>
              <w:t>Year</w:t>
            </w:r>
          </w:p>
        </w:tc>
        <w:tc>
          <w:tcPr>
            <w:tcW w:w="387" w:type="pct"/>
            <w:tcBorders>
              <w:top w:val="single" w:sz="8" w:space="0" w:color="auto"/>
              <w:left w:val="nil"/>
              <w:bottom w:val="single" w:sz="8" w:space="0" w:color="auto"/>
              <w:right w:val="single" w:sz="8" w:space="0" w:color="auto"/>
            </w:tcBorders>
            <w:vAlign w:val="center"/>
            <w:hideMark/>
          </w:tcPr>
          <w:p w14:paraId="2C8F8BFB" w14:textId="77777777" w:rsidR="00D5566C" w:rsidRPr="00D5566C" w:rsidRDefault="00D5566C" w:rsidP="00D5566C">
            <w:pPr>
              <w:spacing w:before="0" w:after="0"/>
              <w:jc w:val="center"/>
              <w:rPr>
                <w:rFonts w:eastAsia="Times New Roman"/>
                <w:noProof/>
                <w:color w:val="000000"/>
                <w:sz w:val="20"/>
                <w:szCs w:val="20"/>
                <w:lang w:val="en-IE" w:eastAsia="en-IE"/>
              </w:rPr>
            </w:pPr>
            <w:r w:rsidRPr="00D5566C">
              <w:rPr>
                <w:rFonts w:eastAsia="Times New Roman"/>
                <w:noProof/>
                <w:color w:val="000000"/>
                <w:sz w:val="20"/>
                <w:szCs w:val="20"/>
                <w:lang w:val="en-IE" w:eastAsia="en-IE"/>
              </w:rPr>
              <w:t>Year</w:t>
            </w:r>
          </w:p>
        </w:tc>
        <w:tc>
          <w:tcPr>
            <w:tcW w:w="387" w:type="pct"/>
            <w:tcBorders>
              <w:top w:val="single" w:sz="8" w:space="0" w:color="auto"/>
              <w:left w:val="nil"/>
              <w:bottom w:val="single" w:sz="8" w:space="0" w:color="auto"/>
              <w:right w:val="single" w:sz="8" w:space="0" w:color="auto"/>
            </w:tcBorders>
            <w:vAlign w:val="center"/>
            <w:hideMark/>
          </w:tcPr>
          <w:p w14:paraId="19F9F44D" w14:textId="77777777" w:rsidR="00D5566C" w:rsidRPr="00D5566C" w:rsidRDefault="00D5566C" w:rsidP="00D5566C">
            <w:pPr>
              <w:spacing w:before="0" w:after="0"/>
              <w:jc w:val="center"/>
              <w:rPr>
                <w:rFonts w:eastAsia="Times New Roman"/>
                <w:noProof/>
                <w:color w:val="000000"/>
                <w:sz w:val="20"/>
                <w:szCs w:val="20"/>
                <w:lang w:val="en-IE" w:eastAsia="en-IE"/>
              </w:rPr>
            </w:pPr>
            <w:r w:rsidRPr="00D5566C">
              <w:rPr>
                <w:rFonts w:eastAsia="Times New Roman"/>
                <w:noProof/>
                <w:color w:val="000000"/>
                <w:sz w:val="20"/>
                <w:szCs w:val="20"/>
                <w:lang w:val="en-IE" w:eastAsia="en-IE"/>
              </w:rPr>
              <w:t>Year</w:t>
            </w:r>
          </w:p>
        </w:tc>
        <w:tc>
          <w:tcPr>
            <w:tcW w:w="387" w:type="pct"/>
            <w:tcBorders>
              <w:top w:val="single" w:sz="8" w:space="0" w:color="auto"/>
              <w:left w:val="nil"/>
              <w:bottom w:val="single" w:sz="8" w:space="0" w:color="auto"/>
              <w:right w:val="single" w:sz="8" w:space="0" w:color="auto"/>
            </w:tcBorders>
            <w:vAlign w:val="center"/>
            <w:hideMark/>
          </w:tcPr>
          <w:p w14:paraId="251DF8D4" w14:textId="77777777" w:rsidR="00D5566C" w:rsidRPr="00D5566C" w:rsidRDefault="00D5566C" w:rsidP="00D5566C">
            <w:pPr>
              <w:spacing w:before="0" w:after="0"/>
              <w:jc w:val="center"/>
              <w:rPr>
                <w:rFonts w:eastAsia="Times New Roman"/>
                <w:noProof/>
                <w:color w:val="000000"/>
                <w:sz w:val="20"/>
                <w:szCs w:val="20"/>
                <w:lang w:val="en-IE" w:eastAsia="en-IE"/>
              </w:rPr>
            </w:pPr>
            <w:r w:rsidRPr="00D5566C">
              <w:rPr>
                <w:rFonts w:eastAsia="Times New Roman"/>
                <w:noProof/>
                <w:color w:val="000000"/>
                <w:sz w:val="20"/>
                <w:szCs w:val="20"/>
                <w:lang w:val="en-IE" w:eastAsia="en-IE"/>
              </w:rPr>
              <w:t>Year</w:t>
            </w:r>
          </w:p>
        </w:tc>
        <w:tc>
          <w:tcPr>
            <w:tcW w:w="460" w:type="pct"/>
            <w:vMerge w:val="restart"/>
            <w:tcBorders>
              <w:top w:val="single" w:sz="8" w:space="0" w:color="auto"/>
              <w:left w:val="single" w:sz="8" w:space="0" w:color="auto"/>
              <w:bottom w:val="single" w:sz="8" w:space="0" w:color="auto"/>
              <w:right w:val="single" w:sz="8" w:space="0" w:color="auto"/>
            </w:tcBorders>
            <w:vAlign w:val="center"/>
            <w:hideMark/>
          </w:tcPr>
          <w:p w14:paraId="09DFA21A" w14:textId="77777777" w:rsidR="00D5566C" w:rsidRPr="00D5566C" w:rsidRDefault="00D5566C" w:rsidP="00D5566C">
            <w:pPr>
              <w:spacing w:before="0" w:after="0"/>
              <w:jc w:val="center"/>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TOTAL MFF</w:t>
            </w:r>
            <w:r w:rsidRPr="00D5566C">
              <w:rPr>
                <w:rFonts w:eastAsia="Times New Roman"/>
                <w:b/>
                <w:bCs/>
                <w:noProof/>
                <w:color w:val="000000"/>
                <w:sz w:val="20"/>
                <w:szCs w:val="20"/>
                <w:lang w:val="en-IE" w:eastAsia="en-IE"/>
              </w:rPr>
              <w:br/>
              <w:t>2028-2034</w:t>
            </w:r>
            <w:r w:rsidR="00914E40">
              <w:rPr>
                <w:rStyle w:val="FootnoteReference"/>
                <w:rFonts w:eastAsia="Times New Roman"/>
                <w:b/>
                <w:bCs/>
                <w:noProof/>
                <w:color w:val="000000"/>
                <w:sz w:val="20"/>
                <w:szCs w:val="20"/>
                <w:lang w:val="en-IE" w:eastAsia="en-IE"/>
              </w:rPr>
              <w:footnoteReference w:id="76"/>
            </w:r>
          </w:p>
        </w:tc>
      </w:tr>
      <w:tr w:rsidR="00D5566C" w:rsidRPr="00D5566C" w14:paraId="530968E6" w14:textId="77777777" w:rsidTr="00855F93">
        <w:trPr>
          <w:trHeight w:val="300"/>
        </w:trPr>
        <w:tc>
          <w:tcPr>
            <w:tcW w:w="1905" w:type="pct"/>
            <w:gridSpan w:val="3"/>
            <w:vMerge/>
            <w:tcBorders>
              <w:top w:val="single" w:sz="8" w:space="0" w:color="auto"/>
              <w:left w:val="single" w:sz="8" w:space="0" w:color="auto"/>
              <w:bottom w:val="single" w:sz="8" w:space="0" w:color="000000"/>
              <w:right w:val="single" w:sz="8" w:space="0" w:color="000000"/>
            </w:tcBorders>
            <w:vAlign w:val="center"/>
            <w:hideMark/>
          </w:tcPr>
          <w:p w14:paraId="22AF3A1D" w14:textId="77777777" w:rsidR="00D5566C" w:rsidRPr="00D5566C" w:rsidRDefault="00D5566C" w:rsidP="00D5566C">
            <w:pPr>
              <w:spacing w:before="0" w:after="0"/>
              <w:jc w:val="left"/>
              <w:rPr>
                <w:rFonts w:eastAsia="Times New Roman"/>
                <w:b/>
                <w:bCs/>
                <w:noProof/>
                <w:color w:val="000000"/>
                <w:sz w:val="22"/>
                <w:lang w:val="en-IE" w:eastAsia="en-IE"/>
              </w:rPr>
            </w:pPr>
          </w:p>
        </w:tc>
        <w:tc>
          <w:tcPr>
            <w:tcW w:w="387" w:type="pct"/>
            <w:tcBorders>
              <w:top w:val="nil"/>
              <w:left w:val="nil"/>
              <w:bottom w:val="single" w:sz="8" w:space="0" w:color="auto"/>
              <w:right w:val="single" w:sz="8" w:space="0" w:color="auto"/>
            </w:tcBorders>
            <w:vAlign w:val="center"/>
            <w:hideMark/>
          </w:tcPr>
          <w:p w14:paraId="37551DB6" w14:textId="77777777" w:rsidR="00D5566C" w:rsidRPr="00D5566C" w:rsidRDefault="00D5566C" w:rsidP="00D5566C">
            <w:pPr>
              <w:spacing w:before="0" w:after="0"/>
              <w:jc w:val="center"/>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2028</w:t>
            </w:r>
          </w:p>
        </w:tc>
        <w:tc>
          <w:tcPr>
            <w:tcW w:w="306" w:type="pct"/>
            <w:tcBorders>
              <w:top w:val="nil"/>
              <w:left w:val="nil"/>
              <w:bottom w:val="single" w:sz="8" w:space="0" w:color="auto"/>
              <w:right w:val="single" w:sz="8" w:space="0" w:color="auto"/>
            </w:tcBorders>
            <w:vAlign w:val="center"/>
            <w:hideMark/>
          </w:tcPr>
          <w:p w14:paraId="5761AB47" w14:textId="77777777" w:rsidR="00D5566C" w:rsidRPr="00D5566C" w:rsidRDefault="00D5566C" w:rsidP="00D5566C">
            <w:pPr>
              <w:spacing w:before="0" w:after="0"/>
              <w:jc w:val="center"/>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2029</w:t>
            </w:r>
          </w:p>
        </w:tc>
        <w:tc>
          <w:tcPr>
            <w:tcW w:w="393" w:type="pct"/>
            <w:tcBorders>
              <w:top w:val="nil"/>
              <w:left w:val="nil"/>
              <w:bottom w:val="single" w:sz="8" w:space="0" w:color="auto"/>
              <w:right w:val="single" w:sz="8" w:space="0" w:color="auto"/>
            </w:tcBorders>
            <w:vAlign w:val="center"/>
            <w:hideMark/>
          </w:tcPr>
          <w:p w14:paraId="58F4ACAA" w14:textId="77777777" w:rsidR="00D5566C" w:rsidRPr="00D5566C" w:rsidRDefault="00D5566C" w:rsidP="00D5566C">
            <w:pPr>
              <w:spacing w:before="0" w:after="0"/>
              <w:jc w:val="center"/>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2030</w:t>
            </w:r>
          </w:p>
        </w:tc>
        <w:tc>
          <w:tcPr>
            <w:tcW w:w="387" w:type="pct"/>
            <w:tcBorders>
              <w:top w:val="nil"/>
              <w:left w:val="nil"/>
              <w:bottom w:val="single" w:sz="8" w:space="0" w:color="auto"/>
              <w:right w:val="single" w:sz="8" w:space="0" w:color="auto"/>
            </w:tcBorders>
            <w:vAlign w:val="center"/>
            <w:hideMark/>
          </w:tcPr>
          <w:p w14:paraId="3D90E8D9" w14:textId="77777777" w:rsidR="00D5566C" w:rsidRPr="00D5566C" w:rsidRDefault="00D5566C" w:rsidP="00D5566C">
            <w:pPr>
              <w:spacing w:before="0" w:after="0"/>
              <w:jc w:val="center"/>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2031</w:t>
            </w:r>
          </w:p>
        </w:tc>
        <w:tc>
          <w:tcPr>
            <w:tcW w:w="387" w:type="pct"/>
            <w:tcBorders>
              <w:top w:val="nil"/>
              <w:left w:val="nil"/>
              <w:bottom w:val="single" w:sz="8" w:space="0" w:color="auto"/>
              <w:right w:val="single" w:sz="8" w:space="0" w:color="auto"/>
            </w:tcBorders>
            <w:vAlign w:val="center"/>
            <w:hideMark/>
          </w:tcPr>
          <w:p w14:paraId="7B41A6AB" w14:textId="77777777" w:rsidR="00D5566C" w:rsidRPr="00D5566C" w:rsidRDefault="00D5566C" w:rsidP="00D5566C">
            <w:pPr>
              <w:spacing w:before="0" w:after="0"/>
              <w:jc w:val="center"/>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2032</w:t>
            </w:r>
          </w:p>
        </w:tc>
        <w:tc>
          <w:tcPr>
            <w:tcW w:w="387" w:type="pct"/>
            <w:tcBorders>
              <w:top w:val="nil"/>
              <w:left w:val="nil"/>
              <w:bottom w:val="single" w:sz="8" w:space="0" w:color="auto"/>
              <w:right w:val="single" w:sz="8" w:space="0" w:color="auto"/>
            </w:tcBorders>
            <w:vAlign w:val="center"/>
            <w:hideMark/>
          </w:tcPr>
          <w:p w14:paraId="20A3E629" w14:textId="77777777" w:rsidR="00D5566C" w:rsidRPr="00D5566C" w:rsidRDefault="00D5566C" w:rsidP="00D5566C">
            <w:pPr>
              <w:spacing w:before="0" w:after="0"/>
              <w:jc w:val="center"/>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2033</w:t>
            </w:r>
          </w:p>
        </w:tc>
        <w:tc>
          <w:tcPr>
            <w:tcW w:w="387" w:type="pct"/>
            <w:tcBorders>
              <w:top w:val="nil"/>
              <w:left w:val="nil"/>
              <w:bottom w:val="single" w:sz="8" w:space="0" w:color="auto"/>
              <w:right w:val="single" w:sz="8" w:space="0" w:color="auto"/>
            </w:tcBorders>
            <w:vAlign w:val="center"/>
            <w:hideMark/>
          </w:tcPr>
          <w:p w14:paraId="4AC16612" w14:textId="77777777" w:rsidR="00D5566C" w:rsidRPr="00D5566C" w:rsidRDefault="00D5566C" w:rsidP="00D5566C">
            <w:pPr>
              <w:spacing w:before="0" w:after="0"/>
              <w:jc w:val="center"/>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2034</w:t>
            </w:r>
          </w:p>
        </w:tc>
        <w:tc>
          <w:tcPr>
            <w:tcW w:w="460" w:type="pct"/>
            <w:vMerge/>
            <w:tcBorders>
              <w:top w:val="single" w:sz="8" w:space="0" w:color="auto"/>
              <w:left w:val="single" w:sz="8" w:space="0" w:color="auto"/>
              <w:bottom w:val="single" w:sz="8" w:space="0" w:color="auto"/>
              <w:right w:val="single" w:sz="8" w:space="0" w:color="auto"/>
            </w:tcBorders>
            <w:vAlign w:val="center"/>
            <w:hideMark/>
          </w:tcPr>
          <w:p w14:paraId="78759CB3" w14:textId="77777777" w:rsidR="00D5566C" w:rsidRPr="00D5566C" w:rsidRDefault="00D5566C" w:rsidP="00D5566C">
            <w:pPr>
              <w:spacing w:before="0" w:after="0"/>
              <w:jc w:val="left"/>
              <w:rPr>
                <w:rFonts w:eastAsia="Times New Roman"/>
                <w:b/>
                <w:bCs/>
                <w:noProof/>
                <w:color w:val="000000"/>
                <w:sz w:val="20"/>
                <w:szCs w:val="20"/>
                <w:lang w:val="en-IE" w:eastAsia="en-IE"/>
              </w:rPr>
            </w:pPr>
          </w:p>
        </w:tc>
      </w:tr>
      <w:tr w:rsidR="00A429A0" w:rsidRPr="00D5566C" w14:paraId="4746F513" w14:textId="77777777" w:rsidTr="00855F93">
        <w:trPr>
          <w:trHeight w:val="432"/>
        </w:trPr>
        <w:tc>
          <w:tcPr>
            <w:tcW w:w="1098" w:type="pct"/>
            <w:vMerge w:val="restart"/>
            <w:tcBorders>
              <w:top w:val="nil"/>
              <w:left w:val="single" w:sz="8" w:space="0" w:color="auto"/>
              <w:bottom w:val="single" w:sz="8" w:space="0" w:color="auto"/>
              <w:right w:val="single" w:sz="8" w:space="0" w:color="auto"/>
            </w:tcBorders>
            <w:vAlign w:val="center"/>
            <w:hideMark/>
          </w:tcPr>
          <w:p w14:paraId="2B0A32B9" w14:textId="77777777" w:rsidR="00D5566C" w:rsidRPr="00D5566C" w:rsidRDefault="00D5566C" w:rsidP="00D5566C">
            <w:pPr>
              <w:spacing w:before="0" w:after="0"/>
              <w:rPr>
                <w:rFonts w:eastAsia="Times New Roman"/>
                <w:noProof/>
                <w:color w:val="000000"/>
                <w:sz w:val="21"/>
                <w:szCs w:val="21"/>
                <w:lang w:val="en-IE" w:eastAsia="en-IE"/>
              </w:rPr>
            </w:pPr>
            <w:r w:rsidRPr="00D5566C">
              <w:rPr>
                <w:rFonts w:eastAsia="Times New Roman"/>
                <w:noProof/>
                <w:color w:val="000000"/>
                <w:sz w:val="21"/>
                <w:szCs w:val="21"/>
                <w:lang w:val="en-IE" w:eastAsia="en-IE"/>
              </w:rPr>
              <w:t xml:space="preserve">TOTAL operational appropriations </w:t>
            </w:r>
            <w:r w:rsidRPr="00D5566C">
              <w:rPr>
                <w:rFonts w:eastAsia="Times New Roman"/>
                <w:noProof/>
                <w:color w:val="000000"/>
                <w:sz w:val="21"/>
                <w:szCs w:val="21"/>
                <w:lang w:val="en-IE" w:eastAsia="en-IE"/>
              </w:rPr>
              <w:br/>
              <w:t>(including contribution to decentralised agency)</w:t>
            </w:r>
          </w:p>
        </w:tc>
        <w:tc>
          <w:tcPr>
            <w:tcW w:w="435" w:type="pct"/>
            <w:tcBorders>
              <w:top w:val="nil"/>
              <w:left w:val="nil"/>
              <w:bottom w:val="single" w:sz="8" w:space="0" w:color="auto"/>
              <w:right w:val="single" w:sz="8" w:space="0" w:color="auto"/>
            </w:tcBorders>
            <w:vAlign w:val="center"/>
            <w:hideMark/>
          </w:tcPr>
          <w:p w14:paraId="41489DA7" w14:textId="77777777" w:rsidR="00D5566C" w:rsidRPr="00D5566C" w:rsidRDefault="00D5566C" w:rsidP="00D5566C">
            <w:pPr>
              <w:spacing w:before="0" w:after="0"/>
              <w:rPr>
                <w:rFonts w:eastAsia="Times New Roman"/>
                <w:noProof/>
                <w:color w:val="000000"/>
                <w:sz w:val="18"/>
                <w:szCs w:val="18"/>
                <w:lang w:val="en-IE" w:eastAsia="en-IE"/>
              </w:rPr>
            </w:pPr>
            <w:r w:rsidRPr="00D5566C">
              <w:rPr>
                <w:rFonts w:eastAsia="Times New Roman"/>
                <w:noProof/>
                <w:color w:val="000000"/>
                <w:sz w:val="18"/>
                <w:szCs w:val="18"/>
                <w:lang w:val="en-IE" w:eastAsia="en-IE"/>
              </w:rPr>
              <w:t>Commitments</w:t>
            </w:r>
          </w:p>
        </w:tc>
        <w:tc>
          <w:tcPr>
            <w:tcW w:w="373" w:type="pct"/>
            <w:tcBorders>
              <w:top w:val="single" w:sz="8" w:space="0" w:color="auto"/>
              <w:left w:val="nil"/>
              <w:bottom w:val="single" w:sz="8" w:space="0" w:color="auto"/>
              <w:right w:val="single" w:sz="8" w:space="0" w:color="auto"/>
            </w:tcBorders>
            <w:vAlign w:val="center"/>
            <w:hideMark/>
          </w:tcPr>
          <w:p w14:paraId="19D4DD39" w14:textId="77777777" w:rsidR="00D5566C" w:rsidRPr="00D5566C" w:rsidRDefault="00D5566C" w:rsidP="00D5566C">
            <w:pPr>
              <w:spacing w:before="0" w:after="0"/>
              <w:jc w:val="center"/>
              <w:rPr>
                <w:rFonts w:eastAsia="Times New Roman"/>
                <w:noProof/>
                <w:color w:val="000000"/>
                <w:sz w:val="14"/>
                <w:szCs w:val="14"/>
                <w:lang w:val="en-IE" w:eastAsia="en-IE"/>
              </w:rPr>
            </w:pPr>
            <w:r w:rsidRPr="00D5566C">
              <w:rPr>
                <w:rFonts w:eastAsia="Times New Roman"/>
                <w:noProof/>
                <w:color w:val="000000"/>
                <w:sz w:val="14"/>
                <w:szCs w:val="14"/>
                <w:lang w:val="en-IE" w:eastAsia="en-IE"/>
              </w:rPr>
              <w:t>(4)</w:t>
            </w:r>
          </w:p>
        </w:tc>
        <w:tc>
          <w:tcPr>
            <w:tcW w:w="387" w:type="pct"/>
            <w:tcBorders>
              <w:top w:val="nil"/>
              <w:left w:val="nil"/>
              <w:bottom w:val="single" w:sz="8" w:space="0" w:color="auto"/>
              <w:right w:val="single" w:sz="8" w:space="0" w:color="auto"/>
            </w:tcBorders>
            <w:shd w:val="clear" w:color="000000" w:fill="D9D9D9"/>
            <w:vAlign w:val="center"/>
            <w:hideMark/>
          </w:tcPr>
          <w:p w14:paraId="1637871C"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06" w:type="pct"/>
            <w:tcBorders>
              <w:top w:val="nil"/>
              <w:left w:val="nil"/>
              <w:bottom w:val="single" w:sz="8" w:space="0" w:color="auto"/>
              <w:right w:val="single" w:sz="8" w:space="0" w:color="auto"/>
            </w:tcBorders>
            <w:shd w:val="clear" w:color="000000" w:fill="D9D9D9"/>
            <w:vAlign w:val="center"/>
            <w:hideMark/>
          </w:tcPr>
          <w:p w14:paraId="6B4707E0"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93" w:type="pct"/>
            <w:tcBorders>
              <w:top w:val="nil"/>
              <w:left w:val="nil"/>
              <w:bottom w:val="single" w:sz="8" w:space="0" w:color="auto"/>
              <w:right w:val="single" w:sz="8" w:space="0" w:color="auto"/>
            </w:tcBorders>
            <w:shd w:val="clear" w:color="000000" w:fill="D9D9D9"/>
            <w:vAlign w:val="center"/>
            <w:hideMark/>
          </w:tcPr>
          <w:p w14:paraId="1F05F9E3"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43504751"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79CCBDB2"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3E965C9C"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296BABC2"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460" w:type="pct"/>
            <w:tcBorders>
              <w:top w:val="nil"/>
              <w:left w:val="nil"/>
              <w:bottom w:val="single" w:sz="8" w:space="0" w:color="auto"/>
              <w:right w:val="single" w:sz="8" w:space="0" w:color="auto"/>
            </w:tcBorders>
            <w:shd w:val="clear" w:color="000000" w:fill="D9D9D9"/>
            <w:vAlign w:val="center"/>
            <w:hideMark/>
          </w:tcPr>
          <w:p w14:paraId="22A8F836"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0.140</w:t>
            </w:r>
          </w:p>
        </w:tc>
      </w:tr>
      <w:tr w:rsidR="00A429A0" w:rsidRPr="00D5566C" w14:paraId="6432AA1D" w14:textId="77777777" w:rsidTr="00855F93">
        <w:trPr>
          <w:trHeight w:val="462"/>
        </w:trPr>
        <w:tc>
          <w:tcPr>
            <w:tcW w:w="1098" w:type="pct"/>
            <w:vMerge/>
            <w:tcBorders>
              <w:top w:val="nil"/>
              <w:left w:val="single" w:sz="8" w:space="0" w:color="auto"/>
              <w:bottom w:val="single" w:sz="8" w:space="0" w:color="auto"/>
              <w:right w:val="single" w:sz="8" w:space="0" w:color="auto"/>
            </w:tcBorders>
            <w:vAlign w:val="center"/>
            <w:hideMark/>
          </w:tcPr>
          <w:p w14:paraId="0834C25B" w14:textId="77777777" w:rsidR="00D5566C" w:rsidRPr="00D5566C" w:rsidRDefault="00D5566C" w:rsidP="00D5566C">
            <w:pPr>
              <w:spacing w:before="0" w:after="0"/>
              <w:jc w:val="left"/>
              <w:rPr>
                <w:rFonts w:eastAsia="Times New Roman"/>
                <w:noProof/>
                <w:color w:val="000000"/>
                <w:sz w:val="21"/>
                <w:szCs w:val="21"/>
                <w:lang w:val="en-IE" w:eastAsia="en-IE"/>
              </w:rPr>
            </w:pPr>
          </w:p>
        </w:tc>
        <w:tc>
          <w:tcPr>
            <w:tcW w:w="435" w:type="pct"/>
            <w:tcBorders>
              <w:top w:val="nil"/>
              <w:left w:val="nil"/>
              <w:bottom w:val="single" w:sz="8" w:space="0" w:color="auto"/>
              <w:right w:val="single" w:sz="8" w:space="0" w:color="auto"/>
            </w:tcBorders>
            <w:vAlign w:val="center"/>
            <w:hideMark/>
          </w:tcPr>
          <w:p w14:paraId="6B10D879" w14:textId="77777777" w:rsidR="00D5566C" w:rsidRPr="00D5566C" w:rsidRDefault="00D5566C" w:rsidP="00D5566C">
            <w:pPr>
              <w:spacing w:before="0" w:after="0"/>
              <w:rPr>
                <w:rFonts w:eastAsia="Times New Roman"/>
                <w:noProof/>
                <w:color w:val="000000"/>
                <w:sz w:val="18"/>
                <w:szCs w:val="18"/>
                <w:lang w:val="en-IE" w:eastAsia="en-IE"/>
              </w:rPr>
            </w:pPr>
            <w:r w:rsidRPr="00D5566C">
              <w:rPr>
                <w:rFonts w:eastAsia="Times New Roman"/>
                <w:noProof/>
                <w:color w:val="000000"/>
                <w:sz w:val="18"/>
                <w:szCs w:val="18"/>
                <w:lang w:val="en-IE" w:eastAsia="en-IE"/>
              </w:rPr>
              <w:t>Payments</w:t>
            </w:r>
          </w:p>
        </w:tc>
        <w:tc>
          <w:tcPr>
            <w:tcW w:w="373" w:type="pct"/>
            <w:tcBorders>
              <w:top w:val="single" w:sz="8" w:space="0" w:color="auto"/>
              <w:left w:val="nil"/>
              <w:bottom w:val="single" w:sz="8" w:space="0" w:color="auto"/>
              <w:right w:val="single" w:sz="8" w:space="0" w:color="auto"/>
            </w:tcBorders>
            <w:vAlign w:val="center"/>
            <w:hideMark/>
          </w:tcPr>
          <w:p w14:paraId="004D9BBD" w14:textId="77777777" w:rsidR="00D5566C" w:rsidRPr="00D5566C" w:rsidRDefault="00D5566C" w:rsidP="00D5566C">
            <w:pPr>
              <w:spacing w:before="0" w:after="0"/>
              <w:jc w:val="center"/>
              <w:rPr>
                <w:rFonts w:eastAsia="Times New Roman"/>
                <w:noProof/>
                <w:color w:val="000000"/>
                <w:sz w:val="14"/>
                <w:szCs w:val="14"/>
                <w:lang w:val="en-IE" w:eastAsia="en-IE"/>
              </w:rPr>
            </w:pPr>
            <w:r w:rsidRPr="00D5566C">
              <w:rPr>
                <w:rFonts w:eastAsia="Times New Roman"/>
                <w:noProof/>
                <w:color w:val="000000"/>
                <w:sz w:val="14"/>
                <w:szCs w:val="14"/>
                <w:lang w:val="en-IE" w:eastAsia="en-IE"/>
              </w:rPr>
              <w:t>(5)</w:t>
            </w:r>
          </w:p>
        </w:tc>
        <w:tc>
          <w:tcPr>
            <w:tcW w:w="387" w:type="pct"/>
            <w:tcBorders>
              <w:top w:val="nil"/>
              <w:left w:val="nil"/>
              <w:bottom w:val="single" w:sz="8" w:space="0" w:color="auto"/>
              <w:right w:val="single" w:sz="8" w:space="0" w:color="auto"/>
            </w:tcBorders>
            <w:shd w:val="clear" w:color="000000" w:fill="D9D9D9"/>
            <w:vAlign w:val="center"/>
            <w:hideMark/>
          </w:tcPr>
          <w:p w14:paraId="3C5C45DA"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06" w:type="pct"/>
            <w:tcBorders>
              <w:top w:val="nil"/>
              <w:left w:val="nil"/>
              <w:bottom w:val="single" w:sz="8" w:space="0" w:color="auto"/>
              <w:right w:val="single" w:sz="8" w:space="0" w:color="auto"/>
            </w:tcBorders>
            <w:shd w:val="clear" w:color="000000" w:fill="D9D9D9"/>
            <w:vAlign w:val="center"/>
            <w:hideMark/>
          </w:tcPr>
          <w:p w14:paraId="3AF08BC5"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93" w:type="pct"/>
            <w:tcBorders>
              <w:top w:val="nil"/>
              <w:left w:val="nil"/>
              <w:bottom w:val="single" w:sz="8" w:space="0" w:color="auto"/>
              <w:right w:val="single" w:sz="8" w:space="0" w:color="auto"/>
            </w:tcBorders>
            <w:shd w:val="clear" w:color="000000" w:fill="D9D9D9"/>
            <w:vAlign w:val="center"/>
            <w:hideMark/>
          </w:tcPr>
          <w:p w14:paraId="392EE90C"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57AF3B16"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787AB100"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15E5506D"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194B3027"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0.020</w:t>
            </w:r>
          </w:p>
        </w:tc>
        <w:tc>
          <w:tcPr>
            <w:tcW w:w="460" w:type="pct"/>
            <w:tcBorders>
              <w:top w:val="nil"/>
              <w:left w:val="nil"/>
              <w:bottom w:val="single" w:sz="8" w:space="0" w:color="auto"/>
              <w:right w:val="single" w:sz="8" w:space="0" w:color="auto"/>
            </w:tcBorders>
            <w:shd w:val="clear" w:color="000000" w:fill="D9D9D9"/>
            <w:vAlign w:val="center"/>
            <w:hideMark/>
          </w:tcPr>
          <w:p w14:paraId="748317BD"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0.140</w:t>
            </w:r>
          </w:p>
        </w:tc>
      </w:tr>
      <w:tr w:rsidR="00D5566C" w:rsidRPr="00D5566C" w14:paraId="644AB52B" w14:textId="77777777" w:rsidTr="00855F93">
        <w:trPr>
          <w:trHeight w:val="927"/>
        </w:trPr>
        <w:tc>
          <w:tcPr>
            <w:tcW w:w="1533" w:type="pct"/>
            <w:gridSpan w:val="2"/>
            <w:tcBorders>
              <w:top w:val="single" w:sz="8" w:space="0" w:color="auto"/>
              <w:left w:val="single" w:sz="8" w:space="0" w:color="auto"/>
              <w:bottom w:val="single" w:sz="8" w:space="0" w:color="auto"/>
              <w:right w:val="single" w:sz="8" w:space="0" w:color="auto"/>
            </w:tcBorders>
            <w:vAlign w:val="center"/>
            <w:hideMark/>
          </w:tcPr>
          <w:p w14:paraId="06B50F81" w14:textId="77777777" w:rsidR="00D5566C" w:rsidRPr="00D5566C" w:rsidRDefault="00D5566C" w:rsidP="00D5566C">
            <w:pPr>
              <w:spacing w:before="0" w:after="0"/>
              <w:rPr>
                <w:rFonts w:eastAsia="Times New Roman"/>
                <w:noProof/>
                <w:color w:val="000000"/>
                <w:sz w:val="21"/>
                <w:szCs w:val="21"/>
                <w:lang w:val="en-IE" w:eastAsia="en-IE"/>
              </w:rPr>
            </w:pPr>
            <w:r w:rsidRPr="00D5566C">
              <w:rPr>
                <w:rFonts w:eastAsia="Times New Roman"/>
                <w:noProof/>
                <w:color w:val="000000"/>
                <w:sz w:val="21"/>
                <w:szCs w:val="21"/>
                <w:lang w:val="en-IE" w:eastAsia="en-IE"/>
              </w:rPr>
              <w:t xml:space="preserve">TOTAL appropriations of an administrative nature financed from the envelope for specific programmes </w:t>
            </w:r>
          </w:p>
        </w:tc>
        <w:tc>
          <w:tcPr>
            <w:tcW w:w="373" w:type="pct"/>
            <w:tcBorders>
              <w:top w:val="single" w:sz="8" w:space="0" w:color="auto"/>
              <w:left w:val="nil"/>
              <w:bottom w:val="single" w:sz="8" w:space="0" w:color="auto"/>
              <w:right w:val="single" w:sz="8" w:space="0" w:color="auto"/>
            </w:tcBorders>
            <w:vAlign w:val="center"/>
            <w:hideMark/>
          </w:tcPr>
          <w:p w14:paraId="6B2069BB" w14:textId="77777777" w:rsidR="00D5566C" w:rsidRPr="00D5566C" w:rsidRDefault="00D5566C" w:rsidP="00D5566C">
            <w:pPr>
              <w:spacing w:before="0" w:after="0"/>
              <w:jc w:val="center"/>
              <w:rPr>
                <w:rFonts w:eastAsia="Times New Roman"/>
                <w:noProof/>
                <w:color w:val="000000"/>
                <w:sz w:val="14"/>
                <w:szCs w:val="14"/>
                <w:lang w:val="en-IE" w:eastAsia="en-IE"/>
              </w:rPr>
            </w:pPr>
            <w:r w:rsidRPr="00D5566C">
              <w:rPr>
                <w:rFonts w:eastAsia="Times New Roman"/>
                <w:noProof/>
                <w:color w:val="000000"/>
                <w:sz w:val="14"/>
                <w:szCs w:val="14"/>
                <w:lang w:val="en-IE" w:eastAsia="en-IE"/>
              </w:rPr>
              <w:t>(6)</w:t>
            </w:r>
          </w:p>
        </w:tc>
        <w:tc>
          <w:tcPr>
            <w:tcW w:w="387" w:type="pct"/>
            <w:tcBorders>
              <w:top w:val="nil"/>
              <w:left w:val="nil"/>
              <w:bottom w:val="single" w:sz="8" w:space="0" w:color="auto"/>
              <w:right w:val="single" w:sz="8" w:space="0" w:color="auto"/>
            </w:tcBorders>
            <w:shd w:val="clear" w:color="000000" w:fill="D9D9D9"/>
            <w:vAlign w:val="center"/>
            <w:hideMark/>
          </w:tcPr>
          <w:p w14:paraId="558508AB"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0.000</w:t>
            </w:r>
          </w:p>
        </w:tc>
        <w:tc>
          <w:tcPr>
            <w:tcW w:w="306" w:type="pct"/>
            <w:tcBorders>
              <w:top w:val="nil"/>
              <w:left w:val="nil"/>
              <w:bottom w:val="single" w:sz="8" w:space="0" w:color="auto"/>
              <w:right w:val="single" w:sz="8" w:space="0" w:color="auto"/>
            </w:tcBorders>
            <w:shd w:val="clear" w:color="000000" w:fill="D9D9D9"/>
            <w:vAlign w:val="center"/>
            <w:hideMark/>
          </w:tcPr>
          <w:p w14:paraId="6BAA6AF3"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0.000</w:t>
            </w:r>
          </w:p>
        </w:tc>
        <w:tc>
          <w:tcPr>
            <w:tcW w:w="393" w:type="pct"/>
            <w:tcBorders>
              <w:top w:val="nil"/>
              <w:left w:val="nil"/>
              <w:bottom w:val="single" w:sz="8" w:space="0" w:color="auto"/>
              <w:right w:val="single" w:sz="8" w:space="0" w:color="auto"/>
            </w:tcBorders>
            <w:shd w:val="clear" w:color="000000" w:fill="D9D9D9"/>
            <w:vAlign w:val="center"/>
            <w:hideMark/>
          </w:tcPr>
          <w:p w14:paraId="03D5DC86"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0.000</w:t>
            </w:r>
          </w:p>
        </w:tc>
        <w:tc>
          <w:tcPr>
            <w:tcW w:w="387" w:type="pct"/>
            <w:tcBorders>
              <w:top w:val="nil"/>
              <w:left w:val="nil"/>
              <w:bottom w:val="single" w:sz="8" w:space="0" w:color="auto"/>
              <w:right w:val="single" w:sz="8" w:space="0" w:color="auto"/>
            </w:tcBorders>
            <w:shd w:val="clear" w:color="000000" w:fill="D9D9D9"/>
            <w:vAlign w:val="center"/>
            <w:hideMark/>
          </w:tcPr>
          <w:p w14:paraId="3E79B80D"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0.000</w:t>
            </w:r>
          </w:p>
        </w:tc>
        <w:tc>
          <w:tcPr>
            <w:tcW w:w="387" w:type="pct"/>
            <w:tcBorders>
              <w:top w:val="nil"/>
              <w:left w:val="nil"/>
              <w:bottom w:val="single" w:sz="8" w:space="0" w:color="auto"/>
              <w:right w:val="single" w:sz="8" w:space="0" w:color="auto"/>
            </w:tcBorders>
            <w:shd w:val="clear" w:color="000000" w:fill="D9D9D9"/>
            <w:vAlign w:val="center"/>
            <w:hideMark/>
          </w:tcPr>
          <w:p w14:paraId="5E96AD7A"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0.000</w:t>
            </w:r>
          </w:p>
        </w:tc>
        <w:tc>
          <w:tcPr>
            <w:tcW w:w="387" w:type="pct"/>
            <w:tcBorders>
              <w:top w:val="nil"/>
              <w:left w:val="nil"/>
              <w:bottom w:val="single" w:sz="8" w:space="0" w:color="auto"/>
              <w:right w:val="single" w:sz="8" w:space="0" w:color="auto"/>
            </w:tcBorders>
            <w:shd w:val="clear" w:color="000000" w:fill="D9D9D9"/>
            <w:vAlign w:val="center"/>
            <w:hideMark/>
          </w:tcPr>
          <w:p w14:paraId="558A0A98"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0.000</w:t>
            </w:r>
          </w:p>
        </w:tc>
        <w:tc>
          <w:tcPr>
            <w:tcW w:w="387" w:type="pct"/>
            <w:tcBorders>
              <w:top w:val="nil"/>
              <w:left w:val="nil"/>
              <w:bottom w:val="single" w:sz="8" w:space="0" w:color="auto"/>
              <w:right w:val="single" w:sz="8" w:space="0" w:color="auto"/>
            </w:tcBorders>
            <w:shd w:val="clear" w:color="000000" w:fill="D9D9D9"/>
            <w:vAlign w:val="center"/>
            <w:hideMark/>
          </w:tcPr>
          <w:p w14:paraId="2BC54AED" w14:textId="77777777" w:rsidR="00D5566C" w:rsidRPr="00D5566C" w:rsidRDefault="00D5566C" w:rsidP="00D5566C">
            <w:pPr>
              <w:spacing w:before="0" w:after="0"/>
              <w:jc w:val="right"/>
              <w:rPr>
                <w:rFonts w:eastAsia="Times New Roman"/>
                <w:noProof/>
                <w:color w:val="000000"/>
                <w:sz w:val="20"/>
                <w:szCs w:val="20"/>
                <w:lang w:val="en-IE" w:eastAsia="en-IE"/>
              </w:rPr>
            </w:pPr>
            <w:r w:rsidRPr="00D5566C">
              <w:rPr>
                <w:rFonts w:eastAsia="Times New Roman"/>
                <w:noProof/>
                <w:color w:val="000000"/>
                <w:sz w:val="20"/>
                <w:szCs w:val="20"/>
                <w:lang w:val="en-IE" w:eastAsia="en-IE"/>
              </w:rPr>
              <w:t>0.000</w:t>
            </w:r>
          </w:p>
        </w:tc>
        <w:tc>
          <w:tcPr>
            <w:tcW w:w="460" w:type="pct"/>
            <w:tcBorders>
              <w:top w:val="nil"/>
              <w:left w:val="nil"/>
              <w:bottom w:val="single" w:sz="8" w:space="0" w:color="auto"/>
              <w:right w:val="single" w:sz="8" w:space="0" w:color="auto"/>
            </w:tcBorders>
            <w:shd w:val="clear" w:color="000000" w:fill="D9D9D9"/>
            <w:vAlign w:val="center"/>
            <w:hideMark/>
          </w:tcPr>
          <w:p w14:paraId="4AD83A8B"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0.000</w:t>
            </w:r>
          </w:p>
        </w:tc>
      </w:tr>
      <w:tr w:rsidR="00A429A0" w:rsidRPr="00D5566C" w14:paraId="6807C9F2" w14:textId="77777777" w:rsidTr="00855F93">
        <w:trPr>
          <w:trHeight w:val="585"/>
        </w:trPr>
        <w:tc>
          <w:tcPr>
            <w:tcW w:w="1098" w:type="pct"/>
            <w:tcBorders>
              <w:top w:val="nil"/>
              <w:left w:val="single" w:sz="8" w:space="0" w:color="auto"/>
              <w:bottom w:val="nil"/>
              <w:right w:val="single" w:sz="8" w:space="0" w:color="auto"/>
            </w:tcBorders>
            <w:shd w:val="thinDiagStripe" w:color="C0C0C0" w:fill="F1F1F1"/>
            <w:vAlign w:val="center"/>
            <w:hideMark/>
          </w:tcPr>
          <w:p w14:paraId="21152830" w14:textId="77777777" w:rsidR="00D5566C" w:rsidRPr="00D5566C" w:rsidRDefault="00D5566C" w:rsidP="00D5566C">
            <w:pPr>
              <w:spacing w:before="0" w:after="0"/>
              <w:jc w:val="center"/>
              <w:rPr>
                <w:rFonts w:eastAsia="Times New Roman"/>
                <w:b/>
                <w:bCs/>
                <w:noProof/>
                <w:color w:val="000000"/>
                <w:sz w:val="22"/>
                <w:lang w:val="en-IE" w:eastAsia="en-IE"/>
              </w:rPr>
            </w:pPr>
            <w:r w:rsidRPr="001A4B75">
              <w:rPr>
                <w:b/>
                <w:noProof/>
                <w:color w:val="000000"/>
                <w:sz w:val="22"/>
                <w:lang w:eastAsia="en-IE"/>
              </w:rPr>
              <w:t xml:space="preserve">TOTAL appropriations under HEADING </w:t>
            </w:r>
            <w:r>
              <w:rPr>
                <w:b/>
                <w:noProof/>
                <w:color w:val="000000"/>
                <w:sz w:val="22"/>
                <w:lang w:eastAsia="en-IE"/>
              </w:rPr>
              <w:t>1</w:t>
            </w:r>
          </w:p>
        </w:tc>
        <w:tc>
          <w:tcPr>
            <w:tcW w:w="435" w:type="pct"/>
            <w:tcBorders>
              <w:top w:val="nil"/>
              <w:left w:val="nil"/>
              <w:bottom w:val="single" w:sz="8" w:space="0" w:color="auto"/>
              <w:right w:val="single" w:sz="8" w:space="0" w:color="auto"/>
            </w:tcBorders>
            <w:vAlign w:val="center"/>
            <w:hideMark/>
          </w:tcPr>
          <w:p w14:paraId="43B36CB0" w14:textId="77777777" w:rsidR="00D5566C" w:rsidRPr="00D5566C" w:rsidRDefault="00D5566C" w:rsidP="00D5566C">
            <w:pPr>
              <w:spacing w:before="0" w:after="0"/>
              <w:rPr>
                <w:rFonts w:eastAsia="Times New Roman"/>
                <w:noProof/>
                <w:color w:val="000000"/>
                <w:sz w:val="18"/>
                <w:szCs w:val="18"/>
                <w:lang w:val="en-IE" w:eastAsia="en-IE"/>
              </w:rPr>
            </w:pPr>
            <w:r w:rsidRPr="00D5566C">
              <w:rPr>
                <w:rFonts w:eastAsia="Times New Roman"/>
                <w:noProof/>
                <w:color w:val="000000"/>
                <w:sz w:val="18"/>
                <w:szCs w:val="18"/>
                <w:lang w:val="en-IE" w:eastAsia="en-IE"/>
              </w:rPr>
              <w:t>Commitments</w:t>
            </w:r>
          </w:p>
        </w:tc>
        <w:tc>
          <w:tcPr>
            <w:tcW w:w="373" w:type="pct"/>
            <w:tcBorders>
              <w:top w:val="single" w:sz="8" w:space="0" w:color="auto"/>
              <w:left w:val="nil"/>
              <w:bottom w:val="single" w:sz="8" w:space="0" w:color="auto"/>
              <w:right w:val="single" w:sz="8" w:space="0" w:color="auto"/>
            </w:tcBorders>
            <w:vAlign w:val="center"/>
            <w:hideMark/>
          </w:tcPr>
          <w:p w14:paraId="555D7F11" w14:textId="77777777" w:rsidR="00D5566C" w:rsidRPr="00D5566C" w:rsidRDefault="00D5566C" w:rsidP="00D5566C">
            <w:pPr>
              <w:spacing w:before="0" w:after="0"/>
              <w:jc w:val="center"/>
              <w:rPr>
                <w:rFonts w:eastAsia="Times New Roman"/>
                <w:noProof/>
                <w:color w:val="000000"/>
                <w:sz w:val="14"/>
                <w:szCs w:val="14"/>
                <w:lang w:val="en-IE" w:eastAsia="en-IE"/>
              </w:rPr>
            </w:pPr>
            <w:r w:rsidRPr="00D5566C">
              <w:rPr>
                <w:rFonts w:eastAsia="Times New Roman"/>
                <w:noProof/>
                <w:color w:val="000000"/>
                <w:sz w:val="14"/>
                <w:szCs w:val="14"/>
                <w:lang w:val="en-IE" w:eastAsia="en-IE"/>
              </w:rPr>
              <w:t>=4+6</w:t>
            </w:r>
          </w:p>
        </w:tc>
        <w:tc>
          <w:tcPr>
            <w:tcW w:w="387" w:type="pct"/>
            <w:tcBorders>
              <w:top w:val="nil"/>
              <w:left w:val="nil"/>
              <w:bottom w:val="single" w:sz="8" w:space="0" w:color="auto"/>
              <w:right w:val="single" w:sz="8" w:space="0" w:color="auto"/>
            </w:tcBorders>
            <w:shd w:val="clear" w:color="000000" w:fill="D9D9D9"/>
            <w:vAlign w:val="center"/>
            <w:hideMark/>
          </w:tcPr>
          <w:p w14:paraId="7EE094ED"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06" w:type="pct"/>
            <w:tcBorders>
              <w:top w:val="nil"/>
              <w:left w:val="nil"/>
              <w:bottom w:val="single" w:sz="8" w:space="0" w:color="auto"/>
              <w:right w:val="single" w:sz="8" w:space="0" w:color="auto"/>
            </w:tcBorders>
            <w:shd w:val="clear" w:color="000000" w:fill="D9D9D9"/>
            <w:vAlign w:val="center"/>
            <w:hideMark/>
          </w:tcPr>
          <w:p w14:paraId="08BE3B91"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93" w:type="pct"/>
            <w:tcBorders>
              <w:top w:val="nil"/>
              <w:left w:val="nil"/>
              <w:bottom w:val="single" w:sz="8" w:space="0" w:color="auto"/>
              <w:right w:val="single" w:sz="8" w:space="0" w:color="auto"/>
            </w:tcBorders>
            <w:shd w:val="clear" w:color="000000" w:fill="D9D9D9"/>
            <w:vAlign w:val="center"/>
            <w:hideMark/>
          </w:tcPr>
          <w:p w14:paraId="04FFD9B5"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664FB8C9"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1B70F487"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57619C09"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56ABD990"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460" w:type="pct"/>
            <w:tcBorders>
              <w:top w:val="nil"/>
              <w:left w:val="nil"/>
              <w:bottom w:val="single" w:sz="8" w:space="0" w:color="auto"/>
              <w:right w:val="single" w:sz="8" w:space="0" w:color="auto"/>
            </w:tcBorders>
            <w:shd w:val="clear" w:color="000000" w:fill="D9D9D9"/>
            <w:vAlign w:val="center"/>
            <w:hideMark/>
          </w:tcPr>
          <w:p w14:paraId="19C6506B"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0.140</w:t>
            </w:r>
          </w:p>
        </w:tc>
      </w:tr>
      <w:tr w:rsidR="00A429A0" w:rsidRPr="00D5566C" w14:paraId="1BCCF4DE" w14:textId="77777777" w:rsidTr="00855F93">
        <w:trPr>
          <w:trHeight w:val="529"/>
        </w:trPr>
        <w:tc>
          <w:tcPr>
            <w:tcW w:w="1098" w:type="pct"/>
            <w:tcBorders>
              <w:top w:val="nil"/>
              <w:left w:val="single" w:sz="8" w:space="0" w:color="auto"/>
              <w:bottom w:val="single" w:sz="8" w:space="0" w:color="auto"/>
              <w:right w:val="single" w:sz="8" w:space="0" w:color="auto"/>
            </w:tcBorders>
            <w:shd w:val="thinDiagStripe" w:color="C0C0C0" w:fill="F1F1F1"/>
            <w:vAlign w:val="center"/>
            <w:hideMark/>
          </w:tcPr>
          <w:p w14:paraId="0DDB4825" w14:textId="77777777" w:rsidR="00D5566C" w:rsidRPr="00D5566C" w:rsidRDefault="00D5566C" w:rsidP="00D5566C">
            <w:pPr>
              <w:spacing w:before="0" w:after="0"/>
              <w:jc w:val="center"/>
              <w:rPr>
                <w:rFonts w:eastAsia="Times New Roman"/>
                <w:noProof/>
                <w:color w:val="000000"/>
                <w:sz w:val="22"/>
                <w:lang w:val="en-IE" w:eastAsia="en-IE"/>
              </w:rPr>
            </w:pPr>
            <w:r w:rsidRPr="00AD21FF">
              <w:rPr>
                <w:noProof/>
                <w:color w:val="000000"/>
                <w:sz w:val="22"/>
                <w:lang w:eastAsia="en-IE"/>
              </w:rPr>
              <w:t>of the multiannual financial framework</w:t>
            </w:r>
          </w:p>
        </w:tc>
        <w:tc>
          <w:tcPr>
            <w:tcW w:w="435" w:type="pct"/>
            <w:tcBorders>
              <w:top w:val="nil"/>
              <w:left w:val="nil"/>
              <w:bottom w:val="single" w:sz="8" w:space="0" w:color="auto"/>
              <w:right w:val="single" w:sz="8" w:space="0" w:color="auto"/>
            </w:tcBorders>
            <w:vAlign w:val="center"/>
            <w:hideMark/>
          </w:tcPr>
          <w:p w14:paraId="306B7741" w14:textId="77777777" w:rsidR="00D5566C" w:rsidRPr="00D5566C" w:rsidRDefault="00D5566C" w:rsidP="00D5566C">
            <w:pPr>
              <w:spacing w:before="0" w:after="0"/>
              <w:rPr>
                <w:rFonts w:eastAsia="Times New Roman"/>
                <w:noProof/>
                <w:color w:val="000000"/>
                <w:sz w:val="18"/>
                <w:szCs w:val="18"/>
                <w:lang w:val="en-IE" w:eastAsia="en-IE"/>
              </w:rPr>
            </w:pPr>
            <w:r w:rsidRPr="00D5566C">
              <w:rPr>
                <w:rFonts w:eastAsia="Times New Roman"/>
                <w:noProof/>
                <w:color w:val="000000"/>
                <w:sz w:val="18"/>
                <w:szCs w:val="18"/>
                <w:lang w:val="en-IE" w:eastAsia="en-IE"/>
              </w:rPr>
              <w:t>Payments</w:t>
            </w:r>
          </w:p>
        </w:tc>
        <w:tc>
          <w:tcPr>
            <w:tcW w:w="373" w:type="pct"/>
            <w:tcBorders>
              <w:top w:val="single" w:sz="8" w:space="0" w:color="auto"/>
              <w:left w:val="nil"/>
              <w:bottom w:val="single" w:sz="8" w:space="0" w:color="auto"/>
              <w:right w:val="single" w:sz="8" w:space="0" w:color="auto"/>
            </w:tcBorders>
            <w:vAlign w:val="center"/>
            <w:hideMark/>
          </w:tcPr>
          <w:p w14:paraId="25CABADA" w14:textId="77777777" w:rsidR="00D5566C" w:rsidRPr="00D5566C" w:rsidRDefault="00D5566C" w:rsidP="00D5566C">
            <w:pPr>
              <w:spacing w:before="0" w:after="0"/>
              <w:jc w:val="center"/>
              <w:rPr>
                <w:rFonts w:eastAsia="Times New Roman"/>
                <w:noProof/>
                <w:color w:val="000000"/>
                <w:sz w:val="14"/>
                <w:szCs w:val="14"/>
                <w:lang w:val="en-IE" w:eastAsia="en-IE"/>
              </w:rPr>
            </w:pPr>
            <w:r w:rsidRPr="00D5566C">
              <w:rPr>
                <w:rFonts w:eastAsia="Times New Roman"/>
                <w:noProof/>
                <w:color w:val="000000"/>
                <w:sz w:val="14"/>
                <w:szCs w:val="14"/>
                <w:lang w:val="en-IE" w:eastAsia="en-IE"/>
              </w:rPr>
              <w:t>=5+6</w:t>
            </w:r>
          </w:p>
        </w:tc>
        <w:tc>
          <w:tcPr>
            <w:tcW w:w="387" w:type="pct"/>
            <w:tcBorders>
              <w:top w:val="nil"/>
              <w:left w:val="nil"/>
              <w:bottom w:val="single" w:sz="8" w:space="0" w:color="auto"/>
              <w:right w:val="single" w:sz="8" w:space="0" w:color="auto"/>
            </w:tcBorders>
            <w:shd w:val="clear" w:color="000000" w:fill="D9D9D9"/>
            <w:vAlign w:val="center"/>
            <w:hideMark/>
          </w:tcPr>
          <w:p w14:paraId="6D6F068C"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06" w:type="pct"/>
            <w:tcBorders>
              <w:top w:val="nil"/>
              <w:left w:val="nil"/>
              <w:bottom w:val="single" w:sz="8" w:space="0" w:color="auto"/>
              <w:right w:val="single" w:sz="8" w:space="0" w:color="auto"/>
            </w:tcBorders>
            <w:shd w:val="clear" w:color="000000" w:fill="D9D9D9"/>
            <w:vAlign w:val="center"/>
            <w:hideMark/>
          </w:tcPr>
          <w:p w14:paraId="575B2264"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93" w:type="pct"/>
            <w:tcBorders>
              <w:top w:val="nil"/>
              <w:left w:val="nil"/>
              <w:bottom w:val="single" w:sz="8" w:space="0" w:color="auto"/>
              <w:right w:val="single" w:sz="8" w:space="0" w:color="auto"/>
            </w:tcBorders>
            <w:shd w:val="clear" w:color="000000" w:fill="D9D9D9"/>
            <w:vAlign w:val="center"/>
            <w:hideMark/>
          </w:tcPr>
          <w:p w14:paraId="5E434825"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563389E8"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123E7AA7"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01F40554"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387" w:type="pct"/>
            <w:tcBorders>
              <w:top w:val="nil"/>
              <w:left w:val="nil"/>
              <w:bottom w:val="single" w:sz="8" w:space="0" w:color="auto"/>
              <w:right w:val="single" w:sz="8" w:space="0" w:color="auto"/>
            </w:tcBorders>
            <w:shd w:val="clear" w:color="000000" w:fill="D9D9D9"/>
            <w:vAlign w:val="center"/>
            <w:hideMark/>
          </w:tcPr>
          <w:p w14:paraId="097D24E3"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0.020</w:t>
            </w:r>
          </w:p>
        </w:tc>
        <w:tc>
          <w:tcPr>
            <w:tcW w:w="460" w:type="pct"/>
            <w:tcBorders>
              <w:top w:val="nil"/>
              <w:left w:val="nil"/>
              <w:bottom w:val="single" w:sz="8" w:space="0" w:color="auto"/>
              <w:right w:val="single" w:sz="8" w:space="0" w:color="auto"/>
            </w:tcBorders>
            <w:shd w:val="clear" w:color="000000" w:fill="D9D9D9"/>
            <w:vAlign w:val="center"/>
            <w:hideMark/>
          </w:tcPr>
          <w:p w14:paraId="20FCC2E1" w14:textId="77777777" w:rsidR="00D5566C" w:rsidRPr="00D5566C" w:rsidRDefault="00D5566C" w:rsidP="00D5566C">
            <w:pPr>
              <w:spacing w:before="0" w:after="0"/>
              <w:jc w:val="right"/>
              <w:rPr>
                <w:rFonts w:eastAsia="Times New Roman"/>
                <w:b/>
                <w:bCs/>
                <w:noProof/>
                <w:color w:val="000000"/>
                <w:sz w:val="20"/>
                <w:szCs w:val="20"/>
                <w:lang w:val="en-IE" w:eastAsia="en-IE"/>
              </w:rPr>
            </w:pPr>
            <w:r w:rsidRPr="00D5566C">
              <w:rPr>
                <w:rFonts w:eastAsia="Times New Roman"/>
                <w:b/>
                <w:bCs/>
                <w:noProof/>
                <w:color w:val="000000"/>
                <w:sz w:val="20"/>
                <w:szCs w:val="20"/>
                <w:lang w:val="en-IE" w:eastAsia="en-IE"/>
              </w:rPr>
              <w:t>0.140</w:t>
            </w:r>
          </w:p>
        </w:tc>
      </w:tr>
    </w:tbl>
    <w:p w14:paraId="20DAA9A7" w14:textId="77777777" w:rsidR="001070C7" w:rsidRDefault="001070C7" w:rsidP="001070C7">
      <w:pPr>
        <w:jc w:val="right"/>
        <w:rPr>
          <w:noProof/>
          <w:sz w:val="20"/>
        </w:rPr>
      </w:pPr>
    </w:p>
    <w:p w14:paraId="7FAB21F3" w14:textId="77777777" w:rsidR="00D5566C" w:rsidRPr="001070C7" w:rsidRDefault="001070C7" w:rsidP="001070C7">
      <w:pPr>
        <w:jc w:val="right"/>
        <w:rPr>
          <w:noProof/>
          <w:sz w:val="20"/>
        </w:rPr>
      </w:pPr>
      <w:r w:rsidRPr="00AD21FF">
        <w:rPr>
          <w:noProof/>
          <w:sz w:val="20"/>
        </w:rPr>
        <w:t>EUR million (to three decimal places)</w:t>
      </w:r>
    </w:p>
    <w:tbl>
      <w:tblPr>
        <w:tblW w:w="5000" w:type="pct"/>
        <w:tblLook w:val="04A0" w:firstRow="1" w:lastRow="0" w:firstColumn="1" w:lastColumn="0" w:noHBand="0" w:noVBand="1"/>
      </w:tblPr>
      <w:tblGrid>
        <w:gridCol w:w="3733"/>
        <w:gridCol w:w="2258"/>
        <w:gridCol w:w="734"/>
        <w:gridCol w:w="737"/>
        <w:gridCol w:w="1115"/>
        <w:gridCol w:w="1115"/>
        <w:gridCol w:w="1115"/>
        <w:gridCol w:w="1115"/>
        <w:gridCol w:w="1149"/>
        <w:gridCol w:w="1149"/>
      </w:tblGrid>
      <w:tr w:rsidR="00850EF8" w:rsidRPr="00AD21FF" w14:paraId="06B0726A" w14:textId="77777777">
        <w:trPr>
          <w:trHeight w:val="288"/>
        </w:trPr>
        <w:tc>
          <w:tcPr>
            <w:tcW w:w="1313" w:type="pct"/>
            <w:tcBorders>
              <w:top w:val="nil"/>
              <w:left w:val="nil"/>
              <w:bottom w:val="nil"/>
              <w:right w:val="nil"/>
            </w:tcBorders>
            <w:noWrap/>
            <w:vAlign w:val="bottom"/>
            <w:hideMark/>
          </w:tcPr>
          <w:p w14:paraId="63426B43" w14:textId="77777777" w:rsidR="00850EF8" w:rsidRPr="00AD21FF" w:rsidRDefault="00850EF8">
            <w:pPr>
              <w:spacing w:before="0" w:after="0"/>
              <w:jc w:val="left"/>
              <w:rPr>
                <w:noProof/>
                <w:sz w:val="20"/>
                <w:szCs w:val="24"/>
                <w:lang w:eastAsia="en-IE"/>
              </w:rPr>
            </w:pPr>
          </w:p>
        </w:tc>
        <w:tc>
          <w:tcPr>
            <w:tcW w:w="794" w:type="pct"/>
            <w:tcBorders>
              <w:top w:val="nil"/>
              <w:left w:val="nil"/>
              <w:bottom w:val="nil"/>
              <w:right w:val="nil"/>
            </w:tcBorders>
            <w:noWrap/>
            <w:vAlign w:val="bottom"/>
            <w:hideMark/>
          </w:tcPr>
          <w:p w14:paraId="0619D4DE" w14:textId="77777777" w:rsidR="00850EF8" w:rsidRPr="00AD21FF" w:rsidRDefault="00850EF8">
            <w:pPr>
              <w:spacing w:before="0" w:after="0"/>
              <w:jc w:val="left"/>
              <w:rPr>
                <w:noProof/>
                <w:sz w:val="20"/>
                <w:szCs w:val="20"/>
                <w:lang w:eastAsia="en-IE"/>
              </w:rPr>
            </w:pPr>
          </w:p>
        </w:tc>
        <w:tc>
          <w:tcPr>
            <w:tcW w:w="258" w:type="pct"/>
            <w:tcBorders>
              <w:top w:val="nil"/>
              <w:left w:val="nil"/>
              <w:bottom w:val="nil"/>
              <w:right w:val="nil"/>
            </w:tcBorders>
            <w:noWrap/>
            <w:vAlign w:val="bottom"/>
            <w:hideMark/>
          </w:tcPr>
          <w:p w14:paraId="2807EEDD" w14:textId="77777777" w:rsidR="00850EF8" w:rsidRPr="00AD21FF" w:rsidRDefault="00850EF8">
            <w:pPr>
              <w:spacing w:before="0" w:after="0"/>
              <w:jc w:val="left"/>
              <w:rPr>
                <w:noProof/>
                <w:sz w:val="20"/>
                <w:szCs w:val="20"/>
                <w:lang w:eastAsia="en-IE"/>
              </w:rPr>
            </w:pPr>
          </w:p>
        </w:tc>
        <w:tc>
          <w:tcPr>
            <w:tcW w:w="259" w:type="pct"/>
            <w:tcBorders>
              <w:top w:val="nil"/>
              <w:left w:val="nil"/>
              <w:bottom w:val="nil"/>
              <w:right w:val="single" w:sz="4" w:space="0" w:color="auto"/>
            </w:tcBorders>
            <w:noWrap/>
            <w:vAlign w:val="bottom"/>
            <w:hideMark/>
          </w:tcPr>
          <w:p w14:paraId="53636030" w14:textId="77777777" w:rsidR="00850EF8" w:rsidRPr="00AD21FF" w:rsidRDefault="00850EF8">
            <w:pPr>
              <w:spacing w:before="0" w:after="0"/>
              <w:jc w:val="left"/>
              <w:rPr>
                <w:noProof/>
                <w:sz w:val="20"/>
                <w:szCs w:val="20"/>
                <w:lang w:eastAsia="en-IE"/>
              </w:rPr>
            </w:pPr>
          </w:p>
        </w:tc>
        <w:tc>
          <w:tcPr>
            <w:tcW w:w="392" w:type="pct"/>
            <w:tcBorders>
              <w:top w:val="single" w:sz="8" w:space="0" w:color="auto"/>
              <w:left w:val="single" w:sz="4" w:space="0" w:color="auto"/>
              <w:bottom w:val="nil"/>
              <w:right w:val="single" w:sz="8" w:space="0" w:color="auto"/>
            </w:tcBorders>
            <w:vAlign w:val="center"/>
            <w:hideMark/>
          </w:tcPr>
          <w:p w14:paraId="266DEB5A" w14:textId="77777777" w:rsidR="00850EF8" w:rsidRPr="00AD21FF" w:rsidRDefault="00850EF8">
            <w:pPr>
              <w:spacing w:before="0" w:after="0"/>
              <w:jc w:val="center"/>
              <w:rPr>
                <w:noProof/>
                <w:color w:val="000000"/>
                <w:sz w:val="20"/>
                <w:szCs w:val="20"/>
                <w:lang w:eastAsia="en-IE"/>
              </w:rPr>
            </w:pPr>
            <w:r w:rsidRPr="00AD21FF">
              <w:rPr>
                <w:noProof/>
                <w:color w:val="000000"/>
                <w:sz w:val="20"/>
                <w:szCs w:val="20"/>
                <w:lang w:eastAsia="en-IE"/>
              </w:rPr>
              <w:t>Year</w:t>
            </w:r>
          </w:p>
        </w:tc>
        <w:tc>
          <w:tcPr>
            <w:tcW w:w="392" w:type="pct"/>
            <w:tcBorders>
              <w:top w:val="single" w:sz="8" w:space="0" w:color="auto"/>
              <w:left w:val="nil"/>
              <w:bottom w:val="nil"/>
              <w:right w:val="single" w:sz="8" w:space="0" w:color="auto"/>
            </w:tcBorders>
            <w:vAlign w:val="center"/>
            <w:hideMark/>
          </w:tcPr>
          <w:p w14:paraId="61EAB455" w14:textId="77777777" w:rsidR="00850EF8" w:rsidRPr="00AD21FF" w:rsidRDefault="00850EF8">
            <w:pPr>
              <w:spacing w:before="0" w:after="0"/>
              <w:jc w:val="center"/>
              <w:rPr>
                <w:noProof/>
                <w:color w:val="000000"/>
                <w:sz w:val="20"/>
                <w:szCs w:val="20"/>
                <w:lang w:eastAsia="en-IE"/>
              </w:rPr>
            </w:pPr>
            <w:r w:rsidRPr="00AD21FF">
              <w:rPr>
                <w:noProof/>
                <w:color w:val="000000"/>
                <w:sz w:val="20"/>
                <w:szCs w:val="20"/>
                <w:lang w:eastAsia="en-IE"/>
              </w:rPr>
              <w:t>Year</w:t>
            </w:r>
          </w:p>
        </w:tc>
        <w:tc>
          <w:tcPr>
            <w:tcW w:w="392" w:type="pct"/>
            <w:tcBorders>
              <w:top w:val="single" w:sz="8" w:space="0" w:color="auto"/>
              <w:left w:val="nil"/>
              <w:bottom w:val="nil"/>
              <w:right w:val="single" w:sz="8" w:space="0" w:color="auto"/>
            </w:tcBorders>
            <w:vAlign w:val="center"/>
            <w:hideMark/>
          </w:tcPr>
          <w:p w14:paraId="04151C84" w14:textId="77777777" w:rsidR="00850EF8" w:rsidRPr="00AD21FF" w:rsidRDefault="00850EF8">
            <w:pPr>
              <w:spacing w:before="0" w:after="0"/>
              <w:jc w:val="center"/>
              <w:rPr>
                <w:noProof/>
                <w:color w:val="000000"/>
                <w:sz w:val="20"/>
                <w:szCs w:val="20"/>
                <w:lang w:eastAsia="en-IE"/>
              </w:rPr>
            </w:pPr>
            <w:r w:rsidRPr="00AD21FF">
              <w:rPr>
                <w:noProof/>
                <w:color w:val="000000"/>
                <w:sz w:val="20"/>
                <w:szCs w:val="20"/>
                <w:lang w:eastAsia="en-IE"/>
              </w:rPr>
              <w:t>Year</w:t>
            </w:r>
          </w:p>
        </w:tc>
        <w:tc>
          <w:tcPr>
            <w:tcW w:w="392" w:type="pct"/>
            <w:tcBorders>
              <w:top w:val="single" w:sz="8" w:space="0" w:color="auto"/>
              <w:left w:val="nil"/>
              <w:bottom w:val="nil"/>
              <w:right w:val="single" w:sz="8" w:space="0" w:color="auto"/>
            </w:tcBorders>
            <w:vAlign w:val="center"/>
            <w:hideMark/>
          </w:tcPr>
          <w:p w14:paraId="38F39C31" w14:textId="77777777" w:rsidR="00850EF8" w:rsidRPr="00AD21FF" w:rsidRDefault="00850EF8">
            <w:pPr>
              <w:spacing w:before="0" w:after="0"/>
              <w:jc w:val="center"/>
              <w:rPr>
                <w:noProof/>
                <w:color w:val="000000"/>
                <w:sz w:val="20"/>
                <w:szCs w:val="20"/>
                <w:lang w:eastAsia="en-IE"/>
              </w:rPr>
            </w:pPr>
            <w:r w:rsidRPr="00AD21FF">
              <w:rPr>
                <w:noProof/>
                <w:color w:val="000000"/>
                <w:sz w:val="20"/>
                <w:szCs w:val="20"/>
                <w:lang w:eastAsia="en-IE"/>
              </w:rPr>
              <w:t>Year</w:t>
            </w:r>
          </w:p>
        </w:tc>
        <w:tc>
          <w:tcPr>
            <w:tcW w:w="404" w:type="pct"/>
            <w:vMerge w:val="restart"/>
            <w:tcBorders>
              <w:top w:val="single" w:sz="8" w:space="0" w:color="auto"/>
              <w:left w:val="single" w:sz="8" w:space="0" w:color="auto"/>
              <w:bottom w:val="single" w:sz="8" w:space="0" w:color="000000"/>
              <w:right w:val="single" w:sz="8" w:space="0" w:color="auto"/>
            </w:tcBorders>
            <w:vAlign w:val="center"/>
            <w:hideMark/>
          </w:tcPr>
          <w:p w14:paraId="74BBCC07" w14:textId="77777777" w:rsidR="00850EF8" w:rsidRPr="00AD21FF" w:rsidRDefault="00850EF8">
            <w:pPr>
              <w:spacing w:before="0" w:after="0"/>
              <w:jc w:val="center"/>
              <w:rPr>
                <w:b/>
                <w:noProof/>
                <w:color w:val="000000"/>
                <w:sz w:val="20"/>
                <w:szCs w:val="20"/>
                <w:lang w:eastAsia="en-IE"/>
              </w:rPr>
            </w:pPr>
            <w:r w:rsidRPr="00AD21FF">
              <w:rPr>
                <w:b/>
                <w:noProof/>
                <w:color w:val="000000"/>
                <w:sz w:val="20"/>
                <w:szCs w:val="20"/>
                <w:lang w:eastAsia="en-IE"/>
              </w:rPr>
              <w:t>TOTAL MFF 2021-2027</w:t>
            </w:r>
          </w:p>
        </w:tc>
        <w:tc>
          <w:tcPr>
            <w:tcW w:w="404" w:type="pct"/>
            <w:vMerge w:val="restart"/>
            <w:tcBorders>
              <w:top w:val="single" w:sz="8" w:space="0" w:color="auto"/>
              <w:left w:val="single" w:sz="8" w:space="0" w:color="auto"/>
              <w:right w:val="single" w:sz="8" w:space="0" w:color="auto"/>
            </w:tcBorders>
          </w:tcPr>
          <w:p w14:paraId="638F2CA4" w14:textId="77777777" w:rsidR="00850EF8" w:rsidRPr="00AD21FF" w:rsidRDefault="00850EF8">
            <w:pPr>
              <w:spacing w:before="0" w:after="0"/>
              <w:jc w:val="center"/>
              <w:rPr>
                <w:b/>
                <w:noProof/>
                <w:color w:val="000000"/>
                <w:sz w:val="20"/>
                <w:szCs w:val="20"/>
                <w:lang w:eastAsia="en-IE"/>
              </w:rPr>
            </w:pPr>
            <w:r w:rsidRPr="00850EF8">
              <w:rPr>
                <w:b/>
                <w:noProof/>
                <w:color w:val="000000"/>
                <w:sz w:val="20"/>
                <w:szCs w:val="20"/>
                <w:lang w:eastAsia="en-IE"/>
              </w:rPr>
              <w:t>TOTAL MFF 202</w:t>
            </w:r>
            <w:r>
              <w:rPr>
                <w:b/>
                <w:noProof/>
                <w:color w:val="000000"/>
                <w:sz w:val="20"/>
                <w:szCs w:val="20"/>
                <w:lang w:eastAsia="en-IE"/>
              </w:rPr>
              <w:t>8</w:t>
            </w:r>
            <w:r w:rsidRPr="00850EF8">
              <w:rPr>
                <w:b/>
                <w:noProof/>
                <w:color w:val="000000"/>
                <w:sz w:val="20"/>
                <w:szCs w:val="20"/>
                <w:lang w:eastAsia="en-IE"/>
              </w:rPr>
              <w:t>-20</w:t>
            </w:r>
            <w:r>
              <w:rPr>
                <w:b/>
                <w:noProof/>
                <w:color w:val="000000"/>
                <w:sz w:val="20"/>
                <w:szCs w:val="20"/>
                <w:lang w:eastAsia="en-IE"/>
              </w:rPr>
              <w:t>34</w:t>
            </w:r>
            <w:r w:rsidR="00E81723">
              <w:rPr>
                <w:rStyle w:val="FootnoteReference"/>
                <w:b/>
                <w:noProof/>
                <w:color w:val="000000"/>
                <w:sz w:val="20"/>
                <w:szCs w:val="20"/>
                <w:lang w:eastAsia="en-IE"/>
              </w:rPr>
              <w:footnoteReference w:id="77"/>
            </w:r>
          </w:p>
        </w:tc>
      </w:tr>
      <w:tr w:rsidR="00850EF8" w:rsidRPr="00AD21FF" w14:paraId="7E7885E3" w14:textId="77777777">
        <w:trPr>
          <w:trHeight w:val="300"/>
        </w:trPr>
        <w:tc>
          <w:tcPr>
            <w:tcW w:w="1313" w:type="pct"/>
            <w:tcBorders>
              <w:top w:val="nil"/>
              <w:left w:val="nil"/>
              <w:bottom w:val="nil"/>
              <w:right w:val="nil"/>
            </w:tcBorders>
            <w:noWrap/>
            <w:vAlign w:val="bottom"/>
            <w:hideMark/>
          </w:tcPr>
          <w:p w14:paraId="3A21F006" w14:textId="77777777" w:rsidR="00850EF8" w:rsidRPr="00AD21FF" w:rsidRDefault="00850EF8">
            <w:pPr>
              <w:spacing w:before="0" w:after="0"/>
              <w:jc w:val="center"/>
              <w:rPr>
                <w:b/>
                <w:noProof/>
                <w:color w:val="000000"/>
                <w:sz w:val="20"/>
                <w:szCs w:val="20"/>
                <w:lang w:eastAsia="en-IE"/>
              </w:rPr>
            </w:pPr>
          </w:p>
        </w:tc>
        <w:tc>
          <w:tcPr>
            <w:tcW w:w="794" w:type="pct"/>
            <w:tcBorders>
              <w:top w:val="nil"/>
              <w:left w:val="nil"/>
              <w:bottom w:val="nil"/>
              <w:right w:val="nil"/>
            </w:tcBorders>
            <w:noWrap/>
            <w:vAlign w:val="bottom"/>
            <w:hideMark/>
          </w:tcPr>
          <w:p w14:paraId="4301F3C4" w14:textId="77777777" w:rsidR="00850EF8" w:rsidRPr="00AD21FF" w:rsidRDefault="00850EF8">
            <w:pPr>
              <w:spacing w:before="0" w:after="0"/>
              <w:jc w:val="left"/>
              <w:rPr>
                <w:noProof/>
                <w:sz w:val="20"/>
                <w:szCs w:val="20"/>
                <w:lang w:eastAsia="en-IE"/>
              </w:rPr>
            </w:pPr>
          </w:p>
        </w:tc>
        <w:tc>
          <w:tcPr>
            <w:tcW w:w="258" w:type="pct"/>
            <w:tcBorders>
              <w:top w:val="nil"/>
              <w:left w:val="nil"/>
              <w:bottom w:val="nil"/>
              <w:right w:val="nil"/>
            </w:tcBorders>
            <w:noWrap/>
            <w:vAlign w:val="bottom"/>
            <w:hideMark/>
          </w:tcPr>
          <w:p w14:paraId="3CF17B06" w14:textId="77777777" w:rsidR="00850EF8" w:rsidRPr="00AD21FF" w:rsidRDefault="00850EF8">
            <w:pPr>
              <w:spacing w:before="0" w:after="0"/>
              <w:jc w:val="left"/>
              <w:rPr>
                <w:noProof/>
                <w:sz w:val="20"/>
                <w:szCs w:val="20"/>
                <w:lang w:eastAsia="en-IE"/>
              </w:rPr>
            </w:pPr>
          </w:p>
        </w:tc>
        <w:tc>
          <w:tcPr>
            <w:tcW w:w="259" w:type="pct"/>
            <w:tcBorders>
              <w:top w:val="nil"/>
              <w:left w:val="nil"/>
              <w:bottom w:val="nil"/>
              <w:right w:val="single" w:sz="4" w:space="0" w:color="auto"/>
            </w:tcBorders>
            <w:noWrap/>
            <w:vAlign w:val="bottom"/>
            <w:hideMark/>
          </w:tcPr>
          <w:p w14:paraId="17096056" w14:textId="77777777" w:rsidR="00850EF8" w:rsidRPr="00AD21FF" w:rsidRDefault="00850EF8">
            <w:pPr>
              <w:spacing w:before="0" w:after="0"/>
              <w:jc w:val="left"/>
              <w:rPr>
                <w:noProof/>
                <w:sz w:val="20"/>
                <w:szCs w:val="20"/>
                <w:lang w:eastAsia="en-IE"/>
              </w:rPr>
            </w:pPr>
          </w:p>
        </w:tc>
        <w:tc>
          <w:tcPr>
            <w:tcW w:w="392" w:type="pct"/>
            <w:tcBorders>
              <w:top w:val="nil"/>
              <w:left w:val="single" w:sz="4" w:space="0" w:color="auto"/>
              <w:bottom w:val="single" w:sz="8" w:space="0" w:color="auto"/>
              <w:right w:val="single" w:sz="8" w:space="0" w:color="auto"/>
            </w:tcBorders>
            <w:vAlign w:val="center"/>
            <w:hideMark/>
          </w:tcPr>
          <w:p w14:paraId="5DC17DD6" w14:textId="77777777" w:rsidR="00850EF8" w:rsidRPr="00AD21FF" w:rsidRDefault="00850EF8">
            <w:pPr>
              <w:spacing w:before="0" w:after="0"/>
              <w:jc w:val="center"/>
              <w:rPr>
                <w:b/>
                <w:noProof/>
                <w:color w:val="000000"/>
                <w:sz w:val="20"/>
                <w:szCs w:val="20"/>
                <w:lang w:eastAsia="en-IE"/>
              </w:rPr>
            </w:pPr>
            <w:r w:rsidRPr="00AD21FF">
              <w:rPr>
                <w:b/>
                <w:noProof/>
                <w:color w:val="000000"/>
                <w:sz w:val="20"/>
                <w:szCs w:val="20"/>
                <w:lang w:eastAsia="en-IE"/>
              </w:rPr>
              <w:t>2024</w:t>
            </w:r>
          </w:p>
        </w:tc>
        <w:tc>
          <w:tcPr>
            <w:tcW w:w="392" w:type="pct"/>
            <w:tcBorders>
              <w:top w:val="nil"/>
              <w:left w:val="nil"/>
              <w:bottom w:val="single" w:sz="8" w:space="0" w:color="auto"/>
              <w:right w:val="single" w:sz="8" w:space="0" w:color="auto"/>
            </w:tcBorders>
            <w:vAlign w:val="center"/>
            <w:hideMark/>
          </w:tcPr>
          <w:p w14:paraId="6305563A" w14:textId="77777777" w:rsidR="00850EF8" w:rsidRPr="00AD21FF" w:rsidRDefault="00850EF8">
            <w:pPr>
              <w:spacing w:before="0" w:after="0"/>
              <w:jc w:val="center"/>
              <w:rPr>
                <w:b/>
                <w:noProof/>
                <w:color w:val="000000"/>
                <w:sz w:val="20"/>
                <w:szCs w:val="20"/>
                <w:lang w:eastAsia="en-IE"/>
              </w:rPr>
            </w:pPr>
            <w:r w:rsidRPr="00AD21FF">
              <w:rPr>
                <w:b/>
                <w:noProof/>
                <w:color w:val="000000"/>
                <w:sz w:val="20"/>
                <w:szCs w:val="20"/>
                <w:lang w:eastAsia="en-IE"/>
              </w:rPr>
              <w:t>2025</w:t>
            </w:r>
          </w:p>
        </w:tc>
        <w:tc>
          <w:tcPr>
            <w:tcW w:w="392" w:type="pct"/>
            <w:tcBorders>
              <w:top w:val="nil"/>
              <w:left w:val="nil"/>
              <w:bottom w:val="single" w:sz="8" w:space="0" w:color="auto"/>
              <w:right w:val="single" w:sz="8" w:space="0" w:color="auto"/>
            </w:tcBorders>
            <w:vAlign w:val="center"/>
            <w:hideMark/>
          </w:tcPr>
          <w:p w14:paraId="5EC9E6F4" w14:textId="77777777" w:rsidR="00850EF8" w:rsidRPr="00AD21FF" w:rsidRDefault="00850EF8">
            <w:pPr>
              <w:spacing w:before="0" w:after="0"/>
              <w:jc w:val="center"/>
              <w:rPr>
                <w:b/>
                <w:noProof/>
                <w:color w:val="000000"/>
                <w:sz w:val="20"/>
                <w:szCs w:val="20"/>
                <w:lang w:eastAsia="en-IE"/>
              </w:rPr>
            </w:pPr>
            <w:r w:rsidRPr="00AD21FF">
              <w:rPr>
                <w:b/>
                <w:noProof/>
                <w:color w:val="000000"/>
                <w:sz w:val="20"/>
                <w:szCs w:val="20"/>
                <w:lang w:eastAsia="en-IE"/>
              </w:rPr>
              <w:t>2026</w:t>
            </w:r>
          </w:p>
        </w:tc>
        <w:tc>
          <w:tcPr>
            <w:tcW w:w="392" w:type="pct"/>
            <w:tcBorders>
              <w:top w:val="nil"/>
              <w:left w:val="nil"/>
              <w:bottom w:val="single" w:sz="8" w:space="0" w:color="auto"/>
              <w:right w:val="single" w:sz="8" w:space="0" w:color="auto"/>
            </w:tcBorders>
            <w:vAlign w:val="center"/>
            <w:hideMark/>
          </w:tcPr>
          <w:p w14:paraId="02AE1076" w14:textId="77777777" w:rsidR="00850EF8" w:rsidRPr="00AD21FF" w:rsidRDefault="00850EF8">
            <w:pPr>
              <w:spacing w:before="0" w:after="0"/>
              <w:jc w:val="center"/>
              <w:rPr>
                <w:b/>
                <w:noProof/>
                <w:color w:val="000000"/>
                <w:sz w:val="20"/>
                <w:szCs w:val="20"/>
                <w:lang w:eastAsia="en-IE"/>
              </w:rPr>
            </w:pPr>
            <w:r w:rsidRPr="00AD21FF">
              <w:rPr>
                <w:b/>
                <w:noProof/>
                <w:color w:val="000000"/>
                <w:sz w:val="20"/>
                <w:szCs w:val="20"/>
                <w:lang w:eastAsia="en-IE"/>
              </w:rPr>
              <w:t>2027</w:t>
            </w:r>
          </w:p>
        </w:tc>
        <w:tc>
          <w:tcPr>
            <w:tcW w:w="404" w:type="pct"/>
            <w:vMerge/>
            <w:tcBorders>
              <w:top w:val="single" w:sz="8" w:space="0" w:color="auto"/>
              <w:left w:val="single" w:sz="8" w:space="0" w:color="auto"/>
              <w:bottom w:val="single" w:sz="8" w:space="0" w:color="000000"/>
              <w:right w:val="single" w:sz="8" w:space="0" w:color="auto"/>
            </w:tcBorders>
            <w:vAlign w:val="center"/>
            <w:hideMark/>
          </w:tcPr>
          <w:p w14:paraId="6ABA2EF8" w14:textId="77777777" w:rsidR="00850EF8" w:rsidRPr="00AD21FF" w:rsidRDefault="00850EF8">
            <w:pPr>
              <w:spacing w:before="0" w:after="0"/>
              <w:jc w:val="left"/>
              <w:rPr>
                <w:b/>
                <w:noProof/>
                <w:color w:val="000000"/>
                <w:sz w:val="20"/>
                <w:szCs w:val="20"/>
                <w:lang w:eastAsia="en-IE"/>
              </w:rPr>
            </w:pPr>
          </w:p>
        </w:tc>
        <w:tc>
          <w:tcPr>
            <w:tcW w:w="404" w:type="pct"/>
            <w:vMerge/>
            <w:tcBorders>
              <w:left w:val="single" w:sz="8" w:space="0" w:color="auto"/>
              <w:bottom w:val="single" w:sz="8" w:space="0" w:color="000000"/>
              <w:right w:val="single" w:sz="8" w:space="0" w:color="auto"/>
            </w:tcBorders>
          </w:tcPr>
          <w:p w14:paraId="03A8D177" w14:textId="77777777" w:rsidR="00850EF8" w:rsidRPr="00AD21FF" w:rsidRDefault="00850EF8">
            <w:pPr>
              <w:spacing w:before="0" w:after="0"/>
              <w:jc w:val="left"/>
              <w:rPr>
                <w:b/>
                <w:noProof/>
                <w:color w:val="000000"/>
                <w:sz w:val="20"/>
                <w:szCs w:val="20"/>
                <w:lang w:eastAsia="en-IE"/>
              </w:rPr>
            </w:pPr>
          </w:p>
        </w:tc>
      </w:tr>
      <w:tr w:rsidR="006176CB" w:rsidRPr="00AD21FF" w14:paraId="646FB313" w14:textId="77777777">
        <w:trPr>
          <w:trHeight w:val="300"/>
        </w:trPr>
        <w:tc>
          <w:tcPr>
            <w:tcW w:w="1313" w:type="pct"/>
            <w:vMerge w:val="restart"/>
            <w:tcBorders>
              <w:top w:val="single" w:sz="8" w:space="0" w:color="auto"/>
              <w:left w:val="single" w:sz="8" w:space="0" w:color="auto"/>
              <w:bottom w:val="single" w:sz="8" w:space="0" w:color="auto"/>
              <w:right w:val="single" w:sz="8" w:space="0" w:color="auto"/>
            </w:tcBorders>
            <w:vAlign w:val="center"/>
            <w:hideMark/>
          </w:tcPr>
          <w:p w14:paraId="70B5567D" w14:textId="77777777" w:rsidR="00E75E53" w:rsidRPr="00AD21FF" w:rsidRDefault="00E75E53" w:rsidP="00E75E53">
            <w:pPr>
              <w:spacing w:before="0" w:after="0"/>
              <w:rPr>
                <w:noProof/>
                <w:color w:val="000000"/>
                <w:sz w:val="21"/>
                <w:szCs w:val="21"/>
                <w:lang w:eastAsia="en-IE"/>
              </w:rPr>
            </w:pPr>
            <w:r w:rsidRPr="00AD21FF">
              <w:rPr>
                <w:rFonts w:ascii="Calibri" w:hAnsi="Calibri" w:cs="Calibri"/>
                <w:noProof/>
                <w:color w:val="000000"/>
                <w:sz w:val="21"/>
                <w:szCs w:val="21"/>
                <w:lang w:eastAsia="en-IE"/>
              </w:rPr>
              <w:t xml:space="preserve">• </w:t>
            </w:r>
            <w:r w:rsidRPr="00AD21FF">
              <w:rPr>
                <w:noProof/>
                <w:color w:val="000000"/>
                <w:sz w:val="21"/>
                <w:szCs w:val="21"/>
                <w:lang w:eastAsia="en-IE"/>
              </w:rPr>
              <w:t>TOTAL operational appropriations (all operational headings)</w:t>
            </w:r>
          </w:p>
        </w:tc>
        <w:tc>
          <w:tcPr>
            <w:tcW w:w="794" w:type="pct"/>
            <w:tcBorders>
              <w:top w:val="single" w:sz="8" w:space="0" w:color="auto"/>
              <w:left w:val="nil"/>
              <w:bottom w:val="single" w:sz="8" w:space="0" w:color="auto"/>
              <w:right w:val="single" w:sz="8" w:space="0" w:color="auto"/>
            </w:tcBorders>
            <w:vAlign w:val="center"/>
            <w:hideMark/>
          </w:tcPr>
          <w:p w14:paraId="77C3F184" w14:textId="77777777" w:rsidR="00E75E53" w:rsidRPr="00AD21FF" w:rsidRDefault="00E75E53" w:rsidP="00E75E53">
            <w:pPr>
              <w:spacing w:before="0" w:after="0"/>
              <w:rPr>
                <w:noProof/>
                <w:color w:val="000000"/>
                <w:sz w:val="18"/>
                <w:szCs w:val="18"/>
                <w:lang w:eastAsia="en-IE"/>
              </w:rPr>
            </w:pPr>
            <w:r w:rsidRPr="00AD21FF">
              <w:rPr>
                <w:noProof/>
                <w:color w:val="000000"/>
                <w:sz w:val="18"/>
                <w:szCs w:val="18"/>
                <w:lang w:eastAsia="en-IE"/>
              </w:rPr>
              <w:t>Commitments</w:t>
            </w:r>
          </w:p>
        </w:tc>
        <w:tc>
          <w:tcPr>
            <w:tcW w:w="517" w:type="pct"/>
            <w:gridSpan w:val="2"/>
            <w:tcBorders>
              <w:top w:val="single" w:sz="8" w:space="0" w:color="auto"/>
              <w:left w:val="nil"/>
              <w:bottom w:val="single" w:sz="8" w:space="0" w:color="auto"/>
              <w:right w:val="single" w:sz="8" w:space="0" w:color="000000"/>
            </w:tcBorders>
            <w:vAlign w:val="center"/>
            <w:hideMark/>
          </w:tcPr>
          <w:p w14:paraId="33155BC0" w14:textId="77777777" w:rsidR="00E75E53" w:rsidRPr="00AD21FF" w:rsidRDefault="00E75E53" w:rsidP="00E75E53">
            <w:pPr>
              <w:spacing w:before="0" w:after="0"/>
              <w:jc w:val="center"/>
              <w:rPr>
                <w:noProof/>
                <w:color w:val="000000"/>
                <w:sz w:val="14"/>
                <w:szCs w:val="14"/>
                <w:lang w:eastAsia="en-IE"/>
              </w:rPr>
            </w:pPr>
            <w:r w:rsidRPr="00AD21FF">
              <w:rPr>
                <w:noProof/>
                <w:color w:val="000000"/>
                <w:sz w:val="14"/>
                <w:szCs w:val="14"/>
                <w:lang w:eastAsia="en-IE"/>
              </w:rPr>
              <w:t>(4)</w:t>
            </w:r>
          </w:p>
        </w:tc>
        <w:tc>
          <w:tcPr>
            <w:tcW w:w="392" w:type="pct"/>
            <w:tcBorders>
              <w:top w:val="nil"/>
              <w:left w:val="nil"/>
              <w:bottom w:val="single" w:sz="8" w:space="0" w:color="auto"/>
              <w:right w:val="single" w:sz="8" w:space="0" w:color="auto"/>
            </w:tcBorders>
            <w:shd w:val="clear" w:color="000000" w:fill="D9D9D9"/>
            <w:vAlign w:val="center"/>
            <w:hideMark/>
          </w:tcPr>
          <w:p w14:paraId="556DA5E5" w14:textId="77777777" w:rsidR="00E75E53" w:rsidRPr="00AD21FF" w:rsidRDefault="00E75E53" w:rsidP="00E75E53">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6A823787" w14:textId="77777777" w:rsidR="00E75E53" w:rsidRPr="00AD21FF" w:rsidRDefault="00E75E53" w:rsidP="00E75E53">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2099211E" w14:textId="77777777" w:rsidR="00E75E53" w:rsidRPr="00AD21FF" w:rsidRDefault="00E75E53" w:rsidP="00E75E53">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2D984508" w14:textId="77777777" w:rsidR="00E75E53" w:rsidRPr="00AD21FF" w:rsidRDefault="00E75E53" w:rsidP="00E75E53">
            <w:pPr>
              <w:spacing w:before="0" w:after="0"/>
              <w:jc w:val="right"/>
              <w:rPr>
                <w:noProof/>
                <w:color w:val="000000"/>
                <w:sz w:val="20"/>
                <w:szCs w:val="20"/>
                <w:lang w:eastAsia="en-IE"/>
              </w:rPr>
            </w:pPr>
            <w:r w:rsidRPr="001A4B75">
              <w:rPr>
                <w:noProof/>
                <w:color w:val="000000"/>
                <w:sz w:val="20"/>
                <w:szCs w:val="20"/>
                <w:lang w:eastAsia="en-IE"/>
              </w:rPr>
              <w:t>0.0</w:t>
            </w:r>
            <w:r>
              <w:rPr>
                <w:noProof/>
                <w:color w:val="000000"/>
                <w:sz w:val="20"/>
                <w:szCs w:val="20"/>
                <w:lang w:eastAsia="en-IE"/>
              </w:rPr>
              <w:t>4</w:t>
            </w:r>
            <w:r w:rsidRPr="001A4B75">
              <w:rPr>
                <w:noProof/>
                <w:color w:val="000000"/>
                <w:sz w:val="20"/>
                <w:szCs w:val="20"/>
                <w:lang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59D022C" w14:textId="77777777" w:rsidR="00E75E53" w:rsidRPr="00AD21FF" w:rsidRDefault="00E75E53" w:rsidP="00E75E53">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04" w:type="pct"/>
            <w:tcBorders>
              <w:top w:val="nil"/>
              <w:left w:val="nil"/>
              <w:bottom w:val="single" w:sz="8" w:space="0" w:color="auto"/>
              <w:right w:val="single" w:sz="8" w:space="0" w:color="auto"/>
            </w:tcBorders>
            <w:shd w:val="clear" w:color="000000" w:fill="D9D9D9"/>
            <w:vAlign w:val="center"/>
          </w:tcPr>
          <w:p w14:paraId="336929A7" w14:textId="77777777" w:rsidR="00E75E53" w:rsidRPr="001A4B75" w:rsidRDefault="00E75E53" w:rsidP="00E75E53">
            <w:pPr>
              <w:spacing w:before="0" w:after="0"/>
              <w:jc w:val="right"/>
              <w:rPr>
                <w:b/>
                <w:noProof/>
                <w:color w:val="000000"/>
                <w:sz w:val="20"/>
                <w:szCs w:val="20"/>
                <w:lang w:eastAsia="en-IE"/>
              </w:rPr>
            </w:pPr>
            <w:r w:rsidRPr="00352335">
              <w:rPr>
                <w:b/>
                <w:bCs/>
                <w:noProof/>
                <w:color w:val="000000"/>
                <w:sz w:val="20"/>
                <w:szCs w:val="20"/>
                <w:lang w:val="en-IE" w:eastAsia="en-IE"/>
              </w:rPr>
              <w:t>0.140</w:t>
            </w:r>
          </w:p>
        </w:tc>
      </w:tr>
      <w:tr w:rsidR="006176CB" w:rsidRPr="00AD21FF" w14:paraId="2ECE2BA6" w14:textId="77777777">
        <w:trPr>
          <w:trHeight w:val="300"/>
        </w:trPr>
        <w:tc>
          <w:tcPr>
            <w:tcW w:w="1313" w:type="pct"/>
            <w:vMerge/>
            <w:tcBorders>
              <w:top w:val="single" w:sz="8" w:space="0" w:color="auto"/>
              <w:left w:val="single" w:sz="8" w:space="0" w:color="auto"/>
              <w:bottom w:val="single" w:sz="8" w:space="0" w:color="auto"/>
              <w:right w:val="single" w:sz="8" w:space="0" w:color="auto"/>
            </w:tcBorders>
            <w:vAlign w:val="center"/>
            <w:hideMark/>
          </w:tcPr>
          <w:p w14:paraId="2C35BDB7" w14:textId="77777777" w:rsidR="00E75E53" w:rsidRPr="00AD21FF" w:rsidRDefault="00E75E53" w:rsidP="00E75E53">
            <w:pPr>
              <w:spacing w:before="0" w:after="0"/>
              <w:jc w:val="left"/>
              <w:rPr>
                <w:noProof/>
                <w:color w:val="000000"/>
                <w:sz w:val="21"/>
                <w:szCs w:val="21"/>
                <w:lang w:eastAsia="en-IE"/>
              </w:rPr>
            </w:pPr>
          </w:p>
        </w:tc>
        <w:tc>
          <w:tcPr>
            <w:tcW w:w="794" w:type="pct"/>
            <w:tcBorders>
              <w:top w:val="nil"/>
              <w:left w:val="nil"/>
              <w:bottom w:val="single" w:sz="8" w:space="0" w:color="auto"/>
              <w:right w:val="single" w:sz="8" w:space="0" w:color="auto"/>
            </w:tcBorders>
            <w:vAlign w:val="center"/>
            <w:hideMark/>
          </w:tcPr>
          <w:p w14:paraId="24BBD8D8" w14:textId="77777777" w:rsidR="00E75E53" w:rsidRPr="00AD21FF" w:rsidRDefault="00E75E53" w:rsidP="00E75E53">
            <w:pPr>
              <w:spacing w:before="0" w:after="0"/>
              <w:rPr>
                <w:noProof/>
                <w:color w:val="000000"/>
                <w:sz w:val="18"/>
                <w:szCs w:val="18"/>
                <w:lang w:eastAsia="en-IE"/>
              </w:rPr>
            </w:pPr>
            <w:r w:rsidRPr="00AD21FF">
              <w:rPr>
                <w:noProof/>
                <w:color w:val="000000"/>
                <w:sz w:val="18"/>
                <w:szCs w:val="18"/>
                <w:lang w:eastAsia="en-IE"/>
              </w:rPr>
              <w:t>Payments</w:t>
            </w:r>
          </w:p>
        </w:tc>
        <w:tc>
          <w:tcPr>
            <w:tcW w:w="517" w:type="pct"/>
            <w:gridSpan w:val="2"/>
            <w:tcBorders>
              <w:top w:val="single" w:sz="8" w:space="0" w:color="auto"/>
              <w:left w:val="nil"/>
              <w:bottom w:val="single" w:sz="8" w:space="0" w:color="auto"/>
              <w:right w:val="single" w:sz="8" w:space="0" w:color="000000"/>
            </w:tcBorders>
            <w:vAlign w:val="center"/>
            <w:hideMark/>
          </w:tcPr>
          <w:p w14:paraId="557A9542" w14:textId="77777777" w:rsidR="00E75E53" w:rsidRPr="00AD21FF" w:rsidRDefault="00E75E53" w:rsidP="00E75E53">
            <w:pPr>
              <w:spacing w:before="0" w:after="0"/>
              <w:jc w:val="center"/>
              <w:rPr>
                <w:noProof/>
                <w:color w:val="000000"/>
                <w:sz w:val="14"/>
                <w:szCs w:val="14"/>
                <w:lang w:eastAsia="en-IE"/>
              </w:rPr>
            </w:pPr>
            <w:r w:rsidRPr="00AD21FF">
              <w:rPr>
                <w:noProof/>
                <w:color w:val="000000"/>
                <w:sz w:val="14"/>
                <w:szCs w:val="14"/>
                <w:lang w:eastAsia="en-IE"/>
              </w:rPr>
              <w:t>(5)</w:t>
            </w:r>
          </w:p>
        </w:tc>
        <w:tc>
          <w:tcPr>
            <w:tcW w:w="392" w:type="pct"/>
            <w:tcBorders>
              <w:top w:val="nil"/>
              <w:left w:val="nil"/>
              <w:bottom w:val="single" w:sz="8" w:space="0" w:color="auto"/>
              <w:right w:val="single" w:sz="8" w:space="0" w:color="auto"/>
            </w:tcBorders>
            <w:shd w:val="clear" w:color="000000" w:fill="D9D9D9"/>
            <w:vAlign w:val="center"/>
            <w:hideMark/>
          </w:tcPr>
          <w:p w14:paraId="5ABCE70E" w14:textId="77777777" w:rsidR="00E75E53" w:rsidRPr="00AD21FF" w:rsidRDefault="00E75E53" w:rsidP="00E75E53">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1BF8FB60" w14:textId="77777777" w:rsidR="00E75E53" w:rsidRPr="00AD21FF" w:rsidRDefault="00E75E53" w:rsidP="00E75E53">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39D04BF2" w14:textId="77777777" w:rsidR="00E75E53" w:rsidRPr="00AD21FF" w:rsidRDefault="00E75E53" w:rsidP="00E75E53">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06FE53FE" w14:textId="77777777" w:rsidR="00E75E53" w:rsidRPr="00AD21FF" w:rsidRDefault="00E75E53" w:rsidP="00E75E53">
            <w:pPr>
              <w:spacing w:before="0" w:after="0"/>
              <w:jc w:val="right"/>
              <w:rPr>
                <w:noProof/>
                <w:color w:val="000000"/>
                <w:sz w:val="20"/>
                <w:szCs w:val="20"/>
                <w:lang w:eastAsia="en-IE"/>
              </w:rPr>
            </w:pPr>
            <w:r w:rsidRPr="001A4B75">
              <w:rPr>
                <w:noProof/>
                <w:color w:val="000000"/>
                <w:sz w:val="20"/>
                <w:szCs w:val="20"/>
                <w:lang w:eastAsia="en-IE"/>
              </w:rPr>
              <w:t>0.0</w:t>
            </w:r>
            <w:r>
              <w:rPr>
                <w:noProof/>
                <w:color w:val="000000"/>
                <w:sz w:val="20"/>
                <w:szCs w:val="20"/>
                <w:lang w:eastAsia="en-IE"/>
              </w:rPr>
              <w:t>4</w:t>
            </w:r>
            <w:r w:rsidRPr="001A4B75">
              <w:rPr>
                <w:noProof/>
                <w:color w:val="000000"/>
                <w:sz w:val="20"/>
                <w:szCs w:val="20"/>
                <w:lang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65E8D8EA" w14:textId="77777777" w:rsidR="00E75E53" w:rsidRPr="00AD21FF" w:rsidRDefault="00E75E53" w:rsidP="00E75E53">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04" w:type="pct"/>
            <w:tcBorders>
              <w:top w:val="nil"/>
              <w:left w:val="nil"/>
              <w:bottom w:val="single" w:sz="8" w:space="0" w:color="auto"/>
              <w:right w:val="single" w:sz="8" w:space="0" w:color="auto"/>
            </w:tcBorders>
            <w:shd w:val="clear" w:color="000000" w:fill="D9D9D9"/>
            <w:vAlign w:val="center"/>
          </w:tcPr>
          <w:p w14:paraId="30D67834" w14:textId="77777777" w:rsidR="00E75E53" w:rsidRPr="001A4B75" w:rsidRDefault="00E75E53" w:rsidP="00E75E53">
            <w:pPr>
              <w:spacing w:before="0" w:after="0"/>
              <w:jc w:val="right"/>
              <w:rPr>
                <w:b/>
                <w:noProof/>
                <w:color w:val="000000"/>
                <w:sz w:val="20"/>
                <w:szCs w:val="20"/>
                <w:lang w:eastAsia="en-IE"/>
              </w:rPr>
            </w:pPr>
            <w:r w:rsidRPr="00352335">
              <w:rPr>
                <w:b/>
                <w:bCs/>
                <w:noProof/>
                <w:color w:val="000000"/>
                <w:sz w:val="20"/>
                <w:szCs w:val="20"/>
                <w:lang w:val="en-IE" w:eastAsia="en-IE"/>
              </w:rPr>
              <w:t>0.140</w:t>
            </w:r>
          </w:p>
        </w:tc>
      </w:tr>
      <w:tr w:rsidR="00F4211D" w:rsidRPr="00AD21FF" w14:paraId="46AE517B" w14:textId="77777777" w:rsidTr="00F4211D">
        <w:trPr>
          <w:trHeight w:val="990"/>
        </w:trPr>
        <w:tc>
          <w:tcPr>
            <w:tcW w:w="2107" w:type="pct"/>
            <w:gridSpan w:val="2"/>
            <w:tcBorders>
              <w:top w:val="single" w:sz="8" w:space="0" w:color="auto"/>
              <w:left w:val="single" w:sz="8" w:space="0" w:color="auto"/>
              <w:bottom w:val="single" w:sz="8" w:space="0" w:color="auto"/>
              <w:right w:val="single" w:sz="8" w:space="0" w:color="000000"/>
            </w:tcBorders>
            <w:vAlign w:val="center"/>
            <w:hideMark/>
          </w:tcPr>
          <w:p w14:paraId="366D4118" w14:textId="77777777" w:rsidR="00F4211D" w:rsidRPr="00AD21FF" w:rsidRDefault="00F4211D" w:rsidP="00F4211D">
            <w:pPr>
              <w:spacing w:before="0" w:after="0"/>
              <w:rPr>
                <w:noProof/>
                <w:color w:val="000000"/>
                <w:sz w:val="21"/>
                <w:szCs w:val="21"/>
                <w:lang w:eastAsia="en-IE"/>
              </w:rPr>
            </w:pPr>
            <w:r w:rsidRPr="00AD21FF">
              <w:rPr>
                <w:rFonts w:ascii="Calibri" w:hAnsi="Calibri" w:cs="Calibri"/>
                <w:noProof/>
                <w:color w:val="000000"/>
                <w:sz w:val="21"/>
                <w:szCs w:val="21"/>
                <w:lang w:eastAsia="en-IE"/>
              </w:rPr>
              <w:t>•</w:t>
            </w:r>
            <w:r w:rsidRPr="00AD21FF">
              <w:rPr>
                <w:noProof/>
                <w:color w:val="000000"/>
                <w:sz w:val="21"/>
                <w:szCs w:val="21"/>
                <w:lang w:eastAsia="en-IE"/>
              </w:rPr>
              <w:t xml:space="preserve"> TOTAL appropriations of an administrative nature financed from the envelope for specific programmes (all operational headings)</w:t>
            </w:r>
          </w:p>
        </w:tc>
        <w:tc>
          <w:tcPr>
            <w:tcW w:w="517" w:type="pct"/>
            <w:gridSpan w:val="2"/>
            <w:tcBorders>
              <w:top w:val="single" w:sz="8" w:space="0" w:color="auto"/>
              <w:left w:val="nil"/>
              <w:bottom w:val="single" w:sz="8" w:space="0" w:color="auto"/>
              <w:right w:val="single" w:sz="8" w:space="0" w:color="000000"/>
            </w:tcBorders>
            <w:vAlign w:val="center"/>
            <w:hideMark/>
          </w:tcPr>
          <w:p w14:paraId="1866FBA1" w14:textId="77777777" w:rsidR="00F4211D" w:rsidRPr="00AD21FF" w:rsidRDefault="00F4211D" w:rsidP="00F4211D">
            <w:pPr>
              <w:spacing w:before="0" w:after="0"/>
              <w:jc w:val="center"/>
              <w:rPr>
                <w:noProof/>
                <w:color w:val="000000"/>
                <w:sz w:val="14"/>
                <w:szCs w:val="14"/>
                <w:lang w:eastAsia="en-IE"/>
              </w:rPr>
            </w:pPr>
            <w:r w:rsidRPr="00AD21FF">
              <w:rPr>
                <w:noProof/>
                <w:color w:val="000000"/>
                <w:sz w:val="14"/>
                <w:szCs w:val="14"/>
                <w:lang w:eastAsia="en-IE"/>
              </w:rPr>
              <w:t>(6)</w:t>
            </w:r>
          </w:p>
        </w:tc>
        <w:tc>
          <w:tcPr>
            <w:tcW w:w="392" w:type="pct"/>
            <w:tcBorders>
              <w:top w:val="nil"/>
              <w:left w:val="nil"/>
              <w:bottom w:val="single" w:sz="8" w:space="0" w:color="auto"/>
              <w:right w:val="single" w:sz="8" w:space="0" w:color="auto"/>
            </w:tcBorders>
            <w:shd w:val="clear" w:color="000000" w:fill="D9D9D9"/>
            <w:vAlign w:val="center"/>
            <w:hideMark/>
          </w:tcPr>
          <w:p w14:paraId="41D01506" w14:textId="77777777" w:rsidR="00F4211D" w:rsidRPr="00AD21FF" w:rsidRDefault="00F4211D" w:rsidP="00F4211D">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66C3503C" w14:textId="77777777" w:rsidR="00F4211D" w:rsidRPr="00AD21FF" w:rsidRDefault="00F4211D" w:rsidP="00F4211D">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6DE9EB74" w14:textId="77777777" w:rsidR="00F4211D" w:rsidRPr="00AD21FF" w:rsidRDefault="00F4211D" w:rsidP="00F4211D">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41FAC34B" w14:textId="77777777" w:rsidR="00F4211D" w:rsidRPr="00AD21FF" w:rsidRDefault="00F4211D" w:rsidP="00F4211D">
            <w:pPr>
              <w:spacing w:before="0" w:after="0"/>
              <w:jc w:val="right"/>
              <w:rPr>
                <w:noProof/>
                <w:color w:val="000000"/>
                <w:sz w:val="20"/>
                <w:szCs w:val="20"/>
                <w:lang w:eastAsia="en-IE"/>
              </w:rPr>
            </w:pPr>
            <w:r w:rsidRPr="00AD21FF">
              <w:rPr>
                <w:noProof/>
                <w:color w:val="000000"/>
                <w:sz w:val="20"/>
                <w:szCs w:val="20"/>
                <w:lang w:eastAsia="en-IE"/>
              </w:rPr>
              <w:t>0.000</w:t>
            </w:r>
          </w:p>
        </w:tc>
        <w:tc>
          <w:tcPr>
            <w:tcW w:w="404" w:type="pct"/>
            <w:tcBorders>
              <w:top w:val="nil"/>
              <w:left w:val="nil"/>
              <w:bottom w:val="single" w:sz="8" w:space="0" w:color="auto"/>
              <w:right w:val="single" w:sz="8" w:space="0" w:color="auto"/>
            </w:tcBorders>
            <w:shd w:val="clear" w:color="000000" w:fill="D9D9D9"/>
            <w:vAlign w:val="center"/>
            <w:hideMark/>
          </w:tcPr>
          <w:p w14:paraId="4C22DB5A" w14:textId="77777777" w:rsidR="00F4211D" w:rsidRPr="00E75E53" w:rsidRDefault="00F4211D" w:rsidP="00F4211D">
            <w:pPr>
              <w:spacing w:before="0" w:after="0"/>
              <w:jc w:val="right"/>
              <w:rPr>
                <w:b/>
                <w:bCs/>
                <w:noProof/>
                <w:color w:val="000000"/>
                <w:sz w:val="20"/>
                <w:szCs w:val="20"/>
                <w:lang w:eastAsia="en-IE"/>
              </w:rPr>
            </w:pPr>
            <w:r w:rsidRPr="00E75E53">
              <w:rPr>
                <w:b/>
                <w:bCs/>
                <w:noProof/>
                <w:color w:val="000000"/>
                <w:sz w:val="20"/>
                <w:szCs w:val="20"/>
                <w:lang w:eastAsia="en-IE"/>
              </w:rPr>
              <w:t>0.000</w:t>
            </w:r>
          </w:p>
        </w:tc>
        <w:tc>
          <w:tcPr>
            <w:tcW w:w="404" w:type="pct"/>
            <w:tcBorders>
              <w:top w:val="nil"/>
              <w:left w:val="nil"/>
              <w:bottom w:val="single" w:sz="8" w:space="0" w:color="auto"/>
              <w:right w:val="single" w:sz="8" w:space="0" w:color="auto"/>
            </w:tcBorders>
            <w:shd w:val="clear" w:color="000000" w:fill="D9D9D9"/>
            <w:vAlign w:val="center"/>
          </w:tcPr>
          <w:p w14:paraId="7045F3FE" w14:textId="77777777" w:rsidR="00F4211D" w:rsidRPr="001A4B75" w:rsidRDefault="00F4211D" w:rsidP="00F4211D">
            <w:pPr>
              <w:spacing w:before="0" w:after="0"/>
              <w:jc w:val="right"/>
              <w:rPr>
                <w:noProof/>
                <w:color w:val="000000"/>
                <w:sz w:val="20"/>
                <w:szCs w:val="20"/>
                <w:lang w:eastAsia="en-IE"/>
              </w:rPr>
            </w:pPr>
            <w:r w:rsidRPr="00AD21FF">
              <w:rPr>
                <w:b/>
                <w:noProof/>
                <w:color w:val="000000"/>
                <w:sz w:val="20"/>
                <w:szCs w:val="20"/>
                <w:lang w:eastAsia="en-IE"/>
              </w:rPr>
              <w:t>0.000</w:t>
            </w:r>
          </w:p>
        </w:tc>
      </w:tr>
      <w:tr w:rsidR="00F4211D" w:rsidRPr="00AD21FF" w14:paraId="616DF5DC" w14:textId="77777777">
        <w:trPr>
          <w:trHeight w:val="564"/>
        </w:trPr>
        <w:tc>
          <w:tcPr>
            <w:tcW w:w="1313" w:type="pct"/>
            <w:tcBorders>
              <w:top w:val="nil"/>
              <w:left w:val="single" w:sz="8" w:space="0" w:color="auto"/>
              <w:bottom w:val="nil"/>
              <w:right w:val="single" w:sz="8" w:space="0" w:color="auto"/>
            </w:tcBorders>
            <w:shd w:val="thinDiagStripe" w:color="C0C0C0" w:fill="F1F1F1"/>
            <w:vAlign w:val="center"/>
            <w:hideMark/>
          </w:tcPr>
          <w:p w14:paraId="2878BF6A" w14:textId="77777777" w:rsidR="00F4211D" w:rsidRPr="00AD21FF" w:rsidRDefault="00F4211D" w:rsidP="00F4211D">
            <w:pPr>
              <w:spacing w:before="0" w:after="0"/>
              <w:jc w:val="center"/>
              <w:rPr>
                <w:b/>
                <w:noProof/>
                <w:color w:val="000000"/>
                <w:sz w:val="22"/>
                <w:lang w:eastAsia="en-IE"/>
              </w:rPr>
            </w:pPr>
            <w:r w:rsidRPr="00AD21FF">
              <w:rPr>
                <w:b/>
                <w:noProof/>
                <w:color w:val="000000"/>
                <w:sz w:val="22"/>
                <w:lang w:eastAsia="en-IE"/>
              </w:rPr>
              <w:t>TOTAL appropriations Under          Heading 1 to 6</w:t>
            </w:r>
          </w:p>
        </w:tc>
        <w:tc>
          <w:tcPr>
            <w:tcW w:w="794" w:type="pct"/>
            <w:tcBorders>
              <w:top w:val="nil"/>
              <w:left w:val="nil"/>
              <w:bottom w:val="nil"/>
              <w:right w:val="single" w:sz="8" w:space="0" w:color="auto"/>
            </w:tcBorders>
            <w:vAlign w:val="center"/>
            <w:hideMark/>
          </w:tcPr>
          <w:p w14:paraId="3B541648" w14:textId="77777777" w:rsidR="00F4211D" w:rsidRPr="00AD21FF" w:rsidRDefault="00F4211D" w:rsidP="00F4211D">
            <w:pPr>
              <w:spacing w:before="0" w:after="0"/>
              <w:rPr>
                <w:noProof/>
                <w:color w:val="000000"/>
                <w:sz w:val="18"/>
                <w:szCs w:val="18"/>
                <w:lang w:eastAsia="en-IE"/>
              </w:rPr>
            </w:pPr>
            <w:r w:rsidRPr="00AD21FF">
              <w:rPr>
                <w:noProof/>
                <w:color w:val="000000"/>
                <w:sz w:val="18"/>
                <w:szCs w:val="18"/>
                <w:lang w:eastAsia="en-IE"/>
              </w:rPr>
              <w:t>Commitments</w:t>
            </w:r>
          </w:p>
        </w:tc>
        <w:tc>
          <w:tcPr>
            <w:tcW w:w="517" w:type="pct"/>
            <w:gridSpan w:val="2"/>
            <w:tcBorders>
              <w:top w:val="single" w:sz="8" w:space="0" w:color="auto"/>
              <w:left w:val="nil"/>
              <w:bottom w:val="nil"/>
              <w:right w:val="single" w:sz="8" w:space="0" w:color="000000"/>
            </w:tcBorders>
            <w:vAlign w:val="center"/>
            <w:hideMark/>
          </w:tcPr>
          <w:p w14:paraId="23E79AA8" w14:textId="77777777" w:rsidR="00F4211D" w:rsidRPr="00AD21FF" w:rsidRDefault="00F4211D" w:rsidP="00F4211D">
            <w:pPr>
              <w:spacing w:before="0" w:after="0"/>
              <w:jc w:val="center"/>
              <w:rPr>
                <w:noProof/>
                <w:color w:val="000000"/>
                <w:sz w:val="14"/>
                <w:szCs w:val="14"/>
                <w:lang w:eastAsia="en-IE"/>
              </w:rPr>
            </w:pPr>
            <w:r w:rsidRPr="00AD21FF">
              <w:rPr>
                <w:noProof/>
                <w:color w:val="000000"/>
                <w:sz w:val="14"/>
                <w:szCs w:val="14"/>
                <w:lang w:eastAsia="en-IE"/>
              </w:rPr>
              <w:t>=4+6</w:t>
            </w:r>
          </w:p>
        </w:tc>
        <w:tc>
          <w:tcPr>
            <w:tcW w:w="392" w:type="pct"/>
            <w:tcBorders>
              <w:top w:val="nil"/>
              <w:left w:val="nil"/>
              <w:bottom w:val="single" w:sz="8" w:space="0" w:color="auto"/>
              <w:right w:val="single" w:sz="8" w:space="0" w:color="auto"/>
            </w:tcBorders>
            <w:shd w:val="clear" w:color="000000" w:fill="D9D9D9"/>
            <w:vAlign w:val="center"/>
            <w:hideMark/>
          </w:tcPr>
          <w:p w14:paraId="0724D1FC"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2A9877CE"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3638E9B6"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406AB6B8" w14:textId="77777777" w:rsidR="00F4211D" w:rsidRPr="00AD21FF" w:rsidRDefault="00F4211D" w:rsidP="00F4211D">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8F0953F" w14:textId="77777777" w:rsidR="00F4211D" w:rsidRPr="00AD21FF" w:rsidRDefault="00F4211D" w:rsidP="00F4211D">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04" w:type="pct"/>
            <w:tcBorders>
              <w:top w:val="nil"/>
              <w:left w:val="nil"/>
              <w:bottom w:val="single" w:sz="8" w:space="0" w:color="auto"/>
              <w:right w:val="single" w:sz="8" w:space="0" w:color="auto"/>
            </w:tcBorders>
            <w:shd w:val="clear" w:color="000000" w:fill="D9D9D9"/>
            <w:vAlign w:val="center"/>
          </w:tcPr>
          <w:p w14:paraId="209A7B03" w14:textId="77777777" w:rsidR="00F4211D" w:rsidRPr="001A4B75" w:rsidRDefault="00F4211D" w:rsidP="00F4211D">
            <w:pPr>
              <w:spacing w:before="0" w:after="0"/>
              <w:jc w:val="right"/>
              <w:rPr>
                <w:b/>
                <w:noProof/>
                <w:color w:val="000000"/>
                <w:sz w:val="20"/>
                <w:szCs w:val="20"/>
                <w:lang w:eastAsia="en-IE"/>
              </w:rPr>
            </w:pPr>
            <w:r w:rsidRPr="00352335">
              <w:rPr>
                <w:b/>
                <w:bCs/>
                <w:noProof/>
                <w:color w:val="000000"/>
                <w:sz w:val="20"/>
                <w:szCs w:val="20"/>
                <w:lang w:val="en-IE" w:eastAsia="en-IE"/>
              </w:rPr>
              <w:t>0.140</w:t>
            </w:r>
          </w:p>
        </w:tc>
      </w:tr>
      <w:tr w:rsidR="00F4211D" w:rsidRPr="00AD21FF" w14:paraId="19BFE5C6" w14:textId="77777777">
        <w:trPr>
          <w:trHeight w:val="588"/>
        </w:trPr>
        <w:tc>
          <w:tcPr>
            <w:tcW w:w="1313" w:type="pct"/>
            <w:tcBorders>
              <w:top w:val="nil"/>
              <w:left w:val="single" w:sz="8" w:space="0" w:color="auto"/>
              <w:bottom w:val="single" w:sz="8" w:space="0" w:color="auto"/>
              <w:right w:val="single" w:sz="8" w:space="0" w:color="auto"/>
            </w:tcBorders>
            <w:shd w:val="thinDiagStripe" w:color="C0C0C0" w:fill="F1F1F1"/>
            <w:vAlign w:val="center"/>
            <w:hideMark/>
          </w:tcPr>
          <w:p w14:paraId="527DD59B" w14:textId="77777777" w:rsidR="00F4211D" w:rsidRPr="00AD21FF" w:rsidRDefault="00F4211D" w:rsidP="00F4211D">
            <w:pPr>
              <w:spacing w:before="0" w:after="0"/>
              <w:jc w:val="center"/>
              <w:rPr>
                <w:noProof/>
                <w:color w:val="000000"/>
                <w:sz w:val="20"/>
                <w:szCs w:val="20"/>
                <w:lang w:eastAsia="en-IE"/>
              </w:rPr>
            </w:pPr>
            <w:r w:rsidRPr="00AD21FF">
              <w:rPr>
                <w:noProof/>
                <w:color w:val="000000"/>
                <w:sz w:val="20"/>
                <w:szCs w:val="20"/>
                <w:lang w:eastAsia="en-IE"/>
              </w:rPr>
              <w:t>of the multiannual financial framework</w:t>
            </w:r>
            <w:r w:rsidRPr="00AD21FF">
              <w:rPr>
                <w:noProof/>
                <w:color w:val="000000"/>
                <w:sz w:val="20"/>
                <w:szCs w:val="20"/>
                <w:lang w:eastAsia="en-IE"/>
              </w:rPr>
              <w:br/>
              <w:t>(Reference amount)</w:t>
            </w:r>
          </w:p>
        </w:tc>
        <w:tc>
          <w:tcPr>
            <w:tcW w:w="794" w:type="pct"/>
            <w:tcBorders>
              <w:top w:val="nil"/>
              <w:left w:val="nil"/>
              <w:bottom w:val="single" w:sz="8" w:space="0" w:color="auto"/>
              <w:right w:val="single" w:sz="8" w:space="0" w:color="auto"/>
            </w:tcBorders>
            <w:vAlign w:val="center"/>
            <w:hideMark/>
          </w:tcPr>
          <w:p w14:paraId="40788F99" w14:textId="77777777" w:rsidR="00F4211D" w:rsidRPr="00AD21FF" w:rsidRDefault="00F4211D" w:rsidP="00F4211D">
            <w:pPr>
              <w:spacing w:before="0" w:after="0"/>
              <w:rPr>
                <w:noProof/>
                <w:color w:val="000000"/>
                <w:sz w:val="18"/>
                <w:szCs w:val="18"/>
                <w:lang w:eastAsia="en-IE"/>
              </w:rPr>
            </w:pPr>
            <w:r w:rsidRPr="00AD21FF">
              <w:rPr>
                <w:noProof/>
                <w:color w:val="000000"/>
                <w:sz w:val="18"/>
                <w:szCs w:val="18"/>
                <w:lang w:eastAsia="en-IE"/>
              </w:rPr>
              <w:t>Payments</w:t>
            </w:r>
          </w:p>
        </w:tc>
        <w:tc>
          <w:tcPr>
            <w:tcW w:w="517" w:type="pct"/>
            <w:gridSpan w:val="2"/>
            <w:tcBorders>
              <w:top w:val="single" w:sz="8" w:space="0" w:color="auto"/>
              <w:left w:val="nil"/>
              <w:bottom w:val="single" w:sz="8" w:space="0" w:color="auto"/>
              <w:right w:val="single" w:sz="8" w:space="0" w:color="000000"/>
            </w:tcBorders>
            <w:vAlign w:val="center"/>
            <w:hideMark/>
          </w:tcPr>
          <w:p w14:paraId="6C29B6D2" w14:textId="77777777" w:rsidR="00F4211D" w:rsidRPr="00AD21FF" w:rsidRDefault="00F4211D" w:rsidP="00F4211D">
            <w:pPr>
              <w:spacing w:before="0" w:after="0"/>
              <w:jc w:val="center"/>
              <w:rPr>
                <w:noProof/>
                <w:color w:val="000000"/>
                <w:sz w:val="14"/>
                <w:szCs w:val="14"/>
                <w:lang w:eastAsia="en-IE"/>
              </w:rPr>
            </w:pPr>
            <w:r w:rsidRPr="00AD21FF">
              <w:rPr>
                <w:noProof/>
                <w:color w:val="000000"/>
                <w:sz w:val="14"/>
                <w:szCs w:val="14"/>
                <w:lang w:eastAsia="en-IE"/>
              </w:rPr>
              <w:t>=5+6</w:t>
            </w:r>
          </w:p>
        </w:tc>
        <w:tc>
          <w:tcPr>
            <w:tcW w:w="392" w:type="pct"/>
            <w:tcBorders>
              <w:top w:val="nil"/>
              <w:left w:val="nil"/>
              <w:bottom w:val="single" w:sz="8" w:space="0" w:color="auto"/>
              <w:right w:val="single" w:sz="8" w:space="0" w:color="auto"/>
            </w:tcBorders>
            <w:shd w:val="clear" w:color="000000" w:fill="D9D9D9"/>
            <w:vAlign w:val="center"/>
            <w:hideMark/>
          </w:tcPr>
          <w:p w14:paraId="1757991E"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1699CD12"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255CF5B8" w14:textId="77777777" w:rsidR="00F4211D" w:rsidRPr="00AD21FF" w:rsidRDefault="00F4211D" w:rsidP="00F4211D">
            <w:pPr>
              <w:spacing w:before="0" w:after="0"/>
              <w:jc w:val="right"/>
              <w:rPr>
                <w:b/>
                <w:noProof/>
                <w:color w:val="000000"/>
                <w:sz w:val="20"/>
                <w:szCs w:val="20"/>
                <w:lang w:eastAsia="en-IE"/>
              </w:rPr>
            </w:pPr>
            <w:r w:rsidRPr="00AD21FF">
              <w:rPr>
                <w:b/>
                <w:noProof/>
                <w:color w:val="000000"/>
                <w:sz w:val="20"/>
                <w:szCs w:val="20"/>
                <w:lang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7A4B66F0" w14:textId="77777777" w:rsidR="00F4211D" w:rsidRPr="00AD21FF" w:rsidRDefault="00F4211D" w:rsidP="00F4211D">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9B8EFE3" w14:textId="77777777" w:rsidR="00F4211D" w:rsidRPr="00AD21FF" w:rsidRDefault="00F4211D" w:rsidP="00F4211D">
            <w:pPr>
              <w:spacing w:before="0" w:after="0"/>
              <w:jc w:val="right"/>
              <w:rPr>
                <w:b/>
                <w:noProof/>
                <w:color w:val="000000"/>
                <w:sz w:val="20"/>
                <w:szCs w:val="20"/>
                <w:lang w:eastAsia="en-IE"/>
              </w:rPr>
            </w:pPr>
            <w:r w:rsidRPr="001A4B75">
              <w:rPr>
                <w:b/>
                <w:noProof/>
                <w:color w:val="000000"/>
                <w:sz w:val="20"/>
                <w:szCs w:val="20"/>
                <w:lang w:eastAsia="en-IE"/>
              </w:rPr>
              <w:t>0.0</w:t>
            </w:r>
            <w:r>
              <w:rPr>
                <w:b/>
                <w:noProof/>
                <w:color w:val="000000"/>
                <w:sz w:val="20"/>
                <w:szCs w:val="20"/>
                <w:lang w:eastAsia="en-IE"/>
              </w:rPr>
              <w:t>4</w:t>
            </w:r>
            <w:r w:rsidRPr="001A4B75">
              <w:rPr>
                <w:b/>
                <w:noProof/>
                <w:color w:val="000000"/>
                <w:sz w:val="20"/>
                <w:szCs w:val="20"/>
                <w:lang w:eastAsia="en-IE"/>
              </w:rPr>
              <w:t>0</w:t>
            </w:r>
          </w:p>
        </w:tc>
        <w:tc>
          <w:tcPr>
            <w:tcW w:w="404" w:type="pct"/>
            <w:tcBorders>
              <w:top w:val="nil"/>
              <w:left w:val="nil"/>
              <w:bottom w:val="single" w:sz="8" w:space="0" w:color="auto"/>
              <w:right w:val="single" w:sz="8" w:space="0" w:color="auto"/>
            </w:tcBorders>
            <w:shd w:val="clear" w:color="000000" w:fill="D9D9D9"/>
            <w:vAlign w:val="center"/>
          </w:tcPr>
          <w:p w14:paraId="06D7A41F" w14:textId="77777777" w:rsidR="00F4211D" w:rsidRPr="001A4B75" w:rsidRDefault="00F4211D" w:rsidP="00F4211D">
            <w:pPr>
              <w:spacing w:before="0" w:after="0"/>
              <w:jc w:val="right"/>
              <w:rPr>
                <w:b/>
                <w:noProof/>
                <w:color w:val="000000"/>
                <w:sz w:val="20"/>
                <w:szCs w:val="20"/>
                <w:lang w:eastAsia="en-IE"/>
              </w:rPr>
            </w:pPr>
            <w:r w:rsidRPr="00352335">
              <w:rPr>
                <w:b/>
                <w:bCs/>
                <w:noProof/>
                <w:color w:val="000000"/>
                <w:sz w:val="20"/>
                <w:szCs w:val="20"/>
                <w:lang w:val="en-IE" w:eastAsia="en-IE"/>
              </w:rPr>
              <w:t>0.140</w:t>
            </w:r>
          </w:p>
        </w:tc>
      </w:tr>
    </w:tbl>
    <w:p w14:paraId="71DE8C5B" w14:textId="77777777" w:rsidR="001070C7" w:rsidRDefault="001070C7" w:rsidP="001070C7">
      <w:pPr>
        <w:jc w:val="right"/>
        <w:rPr>
          <w:noProof/>
          <w:sz w:val="20"/>
        </w:rPr>
      </w:pPr>
    </w:p>
    <w:p w14:paraId="01BB7E71" w14:textId="77777777" w:rsidR="001070C7" w:rsidRPr="00781B63" w:rsidRDefault="001070C7" w:rsidP="001070C7">
      <w:pPr>
        <w:jc w:val="right"/>
        <w:rPr>
          <w:noProof/>
        </w:rPr>
      </w:pPr>
      <w:r w:rsidRPr="00AD21FF">
        <w:rPr>
          <w:noProof/>
          <w:sz w:val="20"/>
        </w:rPr>
        <w:t>EUR million (to three decimal places)</w:t>
      </w:r>
    </w:p>
    <w:tbl>
      <w:tblPr>
        <w:tblW w:w="5000" w:type="pct"/>
        <w:tblLook w:val="04A0" w:firstRow="1" w:lastRow="0" w:firstColumn="1" w:lastColumn="0" w:noHBand="0" w:noVBand="1"/>
      </w:tblPr>
      <w:tblGrid>
        <w:gridCol w:w="3148"/>
        <w:gridCol w:w="1240"/>
        <w:gridCol w:w="620"/>
        <w:gridCol w:w="444"/>
        <w:gridCol w:w="1095"/>
        <w:gridCol w:w="867"/>
        <w:gridCol w:w="1115"/>
        <w:gridCol w:w="1095"/>
        <w:gridCol w:w="1095"/>
        <w:gridCol w:w="1095"/>
        <w:gridCol w:w="1095"/>
        <w:gridCol w:w="1311"/>
      </w:tblGrid>
      <w:tr w:rsidR="009D2BDE" w:rsidRPr="009D2BDE" w14:paraId="7EDF9A46" w14:textId="77777777" w:rsidTr="00DD5867">
        <w:trPr>
          <w:trHeight w:val="300"/>
        </w:trPr>
        <w:tc>
          <w:tcPr>
            <w:tcW w:w="1107" w:type="pct"/>
            <w:tcBorders>
              <w:top w:val="nil"/>
              <w:left w:val="nil"/>
              <w:bottom w:val="nil"/>
              <w:right w:val="nil"/>
            </w:tcBorders>
            <w:noWrap/>
            <w:vAlign w:val="bottom"/>
            <w:hideMark/>
          </w:tcPr>
          <w:p w14:paraId="10EE6070" w14:textId="77777777" w:rsidR="009D2BDE" w:rsidRPr="009D2BDE" w:rsidRDefault="009D2BDE" w:rsidP="009D2BDE">
            <w:pPr>
              <w:spacing w:before="0" w:after="0"/>
              <w:jc w:val="left"/>
              <w:rPr>
                <w:rFonts w:eastAsia="Times New Roman"/>
                <w:noProof/>
                <w:sz w:val="20"/>
                <w:szCs w:val="24"/>
                <w:lang w:val="en-IE" w:eastAsia="en-IE"/>
              </w:rPr>
            </w:pPr>
          </w:p>
        </w:tc>
        <w:tc>
          <w:tcPr>
            <w:tcW w:w="435" w:type="pct"/>
            <w:tcBorders>
              <w:top w:val="nil"/>
              <w:left w:val="nil"/>
              <w:bottom w:val="nil"/>
              <w:right w:val="nil"/>
            </w:tcBorders>
            <w:noWrap/>
            <w:vAlign w:val="bottom"/>
            <w:hideMark/>
          </w:tcPr>
          <w:p w14:paraId="23F662B0" w14:textId="77777777" w:rsidR="009D2BDE" w:rsidRPr="009D2BDE" w:rsidRDefault="009D2BDE" w:rsidP="009D2BDE">
            <w:pPr>
              <w:spacing w:before="0" w:after="0"/>
              <w:jc w:val="left"/>
              <w:rPr>
                <w:rFonts w:eastAsia="Times New Roman"/>
                <w:noProof/>
                <w:sz w:val="20"/>
                <w:szCs w:val="20"/>
                <w:lang w:val="en-IE" w:eastAsia="en-IE"/>
              </w:rPr>
            </w:pPr>
          </w:p>
        </w:tc>
        <w:tc>
          <w:tcPr>
            <w:tcW w:w="218" w:type="pct"/>
            <w:tcBorders>
              <w:top w:val="nil"/>
              <w:left w:val="nil"/>
              <w:bottom w:val="nil"/>
              <w:right w:val="nil"/>
            </w:tcBorders>
            <w:noWrap/>
            <w:vAlign w:val="bottom"/>
            <w:hideMark/>
          </w:tcPr>
          <w:p w14:paraId="3E34B4AF" w14:textId="77777777" w:rsidR="009D2BDE" w:rsidRPr="009D2BDE" w:rsidRDefault="009D2BDE" w:rsidP="009D2BDE">
            <w:pPr>
              <w:spacing w:before="0" w:after="0"/>
              <w:jc w:val="left"/>
              <w:rPr>
                <w:rFonts w:eastAsia="Times New Roman"/>
                <w:noProof/>
                <w:sz w:val="20"/>
                <w:szCs w:val="20"/>
                <w:lang w:val="en-IE" w:eastAsia="en-IE"/>
              </w:rPr>
            </w:pPr>
          </w:p>
        </w:tc>
        <w:tc>
          <w:tcPr>
            <w:tcW w:w="156" w:type="pct"/>
            <w:tcBorders>
              <w:top w:val="nil"/>
              <w:left w:val="nil"/>
              <w:bottom w:val="nil"/>
              <w:right w:val="nil"/>
            </w:tcBorders>
            <w:noWrap/>
            <w:vAlign w:val="bottom"/>
            <w:hideMark/>
          </w:tcPr>
          <w:p w14:paraId="070460A4" w14:textId="77777777" w:rsidR="009D2BDE" w:rsidRPr="009D2BDE" w:rsidRDefault="009D2BDE" w:rsidP="009D2BDE">
            <w:pPr>
              <w:spacing w:before="0" w:after="0"/>
              <w:jc w:val="left"/>
              <w:rPr>
                <w:rFonts w:eastAsia="Times New Roman"/>
                <w:noProof/>
                <w:sz w:val="20"/>
                <w:szCs w:val="20"/>
                <w:lang w:val="en-IE" w:eastAsia="en-IE"/>
              </w:rPr>
            </w:pPr>
          </w:p>
        </w:tc>
        <w:tc>
          <w:tcPr>
            <w:tcW w:w="385" w:type="pct"/>
            <w:tcBorders>
              <w:top w:val="single" w:sz="8" w:space="0" w:color="auto"/>
              <w:left w:val="nil"/>
              <w:bottom w:val="nil"/>
              <w:right w:val="single" w:sz="8" w:space="0" w:color="auto"/>
            </w:tcBorders>
            <w:vAlign w:val="center"/>
            <w:hideMark/>
          </w:tcPr>
          <w:p w14:paraId="4DFC167F" w14:textId="77777777" w:rsidR="009D2BDE" w:rsidRPr="009D2BDE" w:rsidRDefault="009D2BDE" w:rsidP="009D2BDE">
            <w:pPr>
              <w:spacing w:before="0" w:after="0"/>
              <w:jc w:val="center"/>
              <w:rPr>
                <w:rFonts w:eastAsia="Times New Roman"/>
                <w:noProof/>
                <w:color w:val="000000"/>
                <w:sz w:val="20"/>
                <w:szCs w:val="20"/>
                <w:lang w:val="en-IE" w:eastAsia="en-IE"/>
              </w:rPr>
            </w:pPr>
            <w:r w:rsidRPr="009D2BDE">
              <w:rPr>
                <w:rFonts w:eastAsia="Times New Roman"/>
                <w:noProof/>
                <w:color w:val="000000"/>
                <w:sz w:val="20"/>
                <w:szCs w:val="20"/>
                <w:lang w:val="en-IE" w:eastAsia="en-IE"/>
              </w:rPr>
              <w:t>Year</w:t>
            </w:r>
          </w:p>
        </w:tc>
        <w:tc>
          <w:tcPr>
            <w:tcW w:w="305" w:type="pct"/>
            <w:tcBorders>
              <w:top w:val="single" w:sz="8" w:space="0" w:color="auto"/>
              <w:left w:val="nil"/>
              <w:bottom w:val="nil"/>
              <w:right w:val="single" w:sz="8" w:space="0" w:color="auto"/>
            </w:tcBorders>
            <w:vAlign w:val="center"/>
            <w:hideMark/>
          </w:tcPr>
          <w:p w14:paraId="5AF7D256" w14:textId="77777777" w:rsidR="009D2BDE" w:rsidRPr="009D2BDE" w:rsidRDefault="009D2BDE" w:rsidP="009D2BDE">
            <w:pPr>
              <w:spacing w:before="0" w:after="0"/>
              <w:jc w:val="center"/>
              <w:rPr>
                <w:rFonts w:eastAsia="Times New Roman"/>
                <w:noProof/>
                <w:color w:val="000000"/>
                <w:sz w:val="20"/>
                <w:szCs w:val="20"/>
                <w:lang w:val="en-IE" w:eastAsia="en-IE"/>
              </w:rPr>
            </w:pPr>
            <w:r w:rsidRPr="009D2BDE">
              <w:rPr>
                <w:rFonts w:eastAsia="Times New Roman"/>
                <w:noProof/>
                <w:color w:val="000000"/>
                <w:sz w:val="20"/>
                <w:szCs w:val="20"/>
                <w:lang w:val="en-IE" w:eastAsia="en-IE"/>
              </w:rPr>
              <w:t>Year</w:t>
            </w:r>
          </w:p>
        </w:tc>
        <w:tc>
          <w:tcPr>
            <w:tcW w:w="392" w:type="pct"/>
            <w:tcBorders>
              <w:top w:val="single" w:sz="8" w:space="0" w:color="auto"/>
              <w:left w:val="nil"/>
              <w:bottom w:val="nil"/>
              <w:right w:val="single" w:sz="8" w:space="0" w:color="auto"/>
            </w:tcBorders>
            <w:vAlign w:val="center"/>
            <w:hideMark/>
          </w:tcPr>
          <w:p w14:paraId="704D2307" w14:textId="77777777" w:rsidR="009D2BDE" w:rsidRPr="009D2BDE" w:rsidRDefault="009D2BDE" w:rsidP="009D2BDE">
            <w:pPr>
              <w:spacing w:before="0" w:after="0"/>
              <w:jc w:val="center"/>
              <w:rPr>
                <w:rFonts w:eastAsia="Times New Roman"/>
                <w:noProof/>
                <w:color w:val="000000"/>
                <w:sz w:val="20"/>
                <w:szCs w:val="20"/>
                <w:lang w:val="en-IE" w:eastAsia="en-IE"/>
              </w:rPr>
            </w:pPr>
            <w:r w:rsidRPr="009D2BDE">
              <w:rPr>
                <w:rFonts w:eastAsia="Times New Roman"/>
                <w:noProof/>
                <w:color w:val="000000"/>
                <w:sz w:val="20"/>
                <w:szCs w:val="20"/>
                <w:lang w:val="en-IE" w:eastAsia="en-IE"/>
              </w:rPr>
              <w:t>Year</w:t>
            </w:r>
          </w:p>
        </w:tc>
        <w:tc>
          <w:tcPr>
            <w:tcW w:w="385" w:type="pct"/>
            <w:tcBorders>
              <w:top w:val="single" w:sz="8" w:space="0" w:color="auto"/>
              <w:left w:val="nil"/>
              <w:bottom w:val="nil"/>
              <w:right w:val="single" w:sz="8" w:space="0" w:color="auto"/>
            </w:tcBorders>
            <w:vAlign w:val="center"/>
            <w:hideMark/>
          </w:tcPr>
          <w:p w14:paraId="5A45B210" w14:textId="77777777" w:rsidR="009D2BDE" w:rsidRPr="009D2BDE" w:rsidRDefault="009D2BDE" w:rsidP="009D2BDE">
            <w:pPr>
              <w:spacing w:before="0" w:after="0"/>
              <w:jc w:val="center"/>
              <w:rPr>
                <w:rFonts w:eastAsia="Times New Roman"/>
                <w:noProof/>
                <w:color w:val="000000"/>
                <w:sz w:val="20"/>
                <w:szCs w:val="20"/>
                <w:lang w:val="en-IE" w:eastAsia="en-IE"/>
              </w:rPr>
            </w:pPr>
            <w:r w:rsidRPr="009D2BDE">
              <w:rPr>
                <w:rFonts w:eastAsia="Times New Roman"/>
                <w:noProof/>
                <w:color w:val="000000"/>
                <w:sz w:val="20"/>
                <w:szCs w:val="20"/>
                <w:lang w:val="en-IE" w:eastAsia="en-IE"/>
              </w:rPr>
              <w:t>Year</w:t>
            </w:r>
          </w:p>
        </w:tc>
        <w:tc>
          <w:tcPr>
            <w:tcW w:w="385" w:type="pct"/>
            <w:tcBorders>
              <w:top w:val="single" w:sz="8" w:space="0" w:color="auto"/>
              <w:left w:val="nil"/>
              <w:bottom w:val="nil"/>
              <w:right w:val="single" w:sz="8" w:space="0" w:color="auto"/>
            </w:tcBorders>
            <w:vAlign w:val="center"/>
            <w:hideMark/>
          </w:tcPr>
          <w:p w14:paraId="3ECCE6A8" w14:textId="77777777" w:rsidR="009D2BDE" w:rsidRPr="009D2BDE" w:rsidRDefault="009D2BDE" w:rsidP="009D2BDE">
            <w:pPr>
              <w:spacing w:before="0" w:after="0"/>
              <w:jc w:val="center"/>
              <w:rPr>
                <w:rFonts w:eastAsia="Times New Roman"/>
                <w:noProof/>
                <w:color w:val="000000"/>
                <w:sz w:val="20"/>
                <w:szCs w:val="20"/>
                <w:lang w:val="en-IE" w:eastAsia="en-IE"/>
              </w:rPr>
            </w:pPr>
            <w:r w:rsidRPr="009D2BDE">
              <w:rPr>
                <w:rFonts w:eastAsia="Times New Roman"/>
                <w:noProof/>
                <w:color w:val="000000"/>
                <w:sz w:val="20"/>
                <w:szCs w:val="20"/>
                <w:lang w:val="en-IE" w:eastAsia="en-IE"/>
              </w:rPr>
              <w:t>Year</w:t>
            </w:r>
          </w:p>
        </w:tc>
        <w:tc>
          <w:tcPr>
            <w:tcW w:w="385" w:type="pct"/>
            <w:tcBorders>
              <w:top w:val="single" w:sz="8" w:space="0" w:color="auto"/>
              <w:left w:val="nil"/>
              <w:bottom w:val="nil"/>
              <w:right w:val="single" w:sz="8" w:space="0" w:color="auto"/>
            </w:tcBorders>
            <w:vAlign w:val="center"/>
            <w:hideMark/>
          </w:tcPr>
          <w:p w14:paraId="55B98283" w14:textId="77777777" w:rsidR="009D2BDE" w:rsidRPr="009D2BDE" w:rsidRDefault="009D2BDE" w:rsidP="009D2BDE">
            <w:pPr>
              <w:spacing w:before="0" w:after="0"/>
              <w:jc w:val="center"/>
              <w:rPr>
                <w:rFonts w:eastAsia="Times New Roman"/>
                <w:noProof/>
                <w:color w:val="000000"/>
                <w:sz w:val="20"/>
                <w:szCs w:val="20"/>
                <w:lang w:val="en-IE" w:eastAsia="en-IE"/>
              </w:rPr>
            </w:pPr>
            <w:r w:rsidRPr="009D2BDE">
              <w:rPr>
                <w:rFonts w:eastAsia="Times New Roman"/>
                <w:noProof/>
                <w:color w:val="000000"/>
                <w:sz w:val="20"/>
                <w:szCs w:val="20"/>
                <w:lang w:val="en-IE" w:eastAsia="en-IE"/>
              </w:rPr>
              <w:t>Year</w:t>
            </w:r>
          </w:p>
        </w:tc>
        <w:tc>
          <w:tcPr>
            <w:tcW w:w="385" w:type="pct"/>
            <w:tcBorders>
              <w:top w:val="single" w:sz="8" w:space="0" w:color="auto"/>
              <w:left w:val="nil"/>
              <w:bottom w:val="nil"/>
              <w:right w:val="single" w:sz="8" w:space="0" w:color="auto"/>
            </w:tcBorders>
            <w:vAlign w:val="center"/>
            <w:hideMark/>
          </w:tcPr>
          <w:p w14:paraId="48D0C05E" w14:textId="77777777" w:rsidR="009D2BDE" w:rsidRPr="009D2BDE" w:rsidRDefault="009D2BDE" w:rsidP="009D2BDE">
            <w:pPr>
              <w:spacing w:before="0" w:after="0"/>
              <w:jc w:val="center"/>
              <w:rPr>
                <w:rFonts w:eastAsia="Times New Roman"/>
                <w:noProof/>
                <w:color w:val="000000"/>
                <w:sz w:val="20"/>
                <w:szCs w:val="20"/>
                <w:lang w:val="en-IE" w:eastAsia="en-IE"/>
              </w:rPr>
            </w:pPr>
            <w:r w:rsidRPr="009D2BDE">
              <w:rPr>
                <w:rFonts w:eastAsia="Times New Roman"/>
                <w:noProof/>
                <w:color w:val="000000"/>
                <w:sz w:val="20"/>
                <w:szCs w:val="20"/>
                <w:lang w:val="en-IE" w:eastAsia="en-IE"/>
              </w:rPr>
              <w:t>Year</w:t>
            </w:r>
          </w:p>
        </w:tc>
        <w:tc>
          <w:tcPr>
            <w:tcW w:w="461" w:type="pct"/>
            <w:vMerge w:val="restart"/>
            <w:tcBorders>
              <w:top w:val="single" w:sz="8" w:space="0" w:color="auto"/>
              <w:left w:val="single" w:sz="8" w:space="0" w:color="auto"/>
              <w:bottom w:val="single" w:sz="8" w:space="0" w:color="000000"/>
              <w:right w:val="single" w:sz="8" w:space="0" w:color="auto"/>
            </w:tcBorders>
            <w:vAlign w:val="center"/>
            <w:hideMark/>
          </w:tcPr>
          <w:p w14:paraId="0B70BBC1" w14:textId="77777777" w:rsidR="009D2BDE" w:rsidRPr="009D2BDE" w:rsidRDefault="009D2BDE" w:rsidP="009D2BDE">
            <w:pPr>
              <w:spacing w:before="0" w:after="0"/>
              <w:jc w:val="center"/>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TOTAL MFF</w:t>
            </w:r>
            <w:r w:rsidRPr="009D2BDE">
              <w:rPr>
                <w:rFonts w:eastAsia="Times New Roman"/>
                <w:b/>
                <w:bCs/>
                <w:noProof/>
                <w:color w:val="000000"/>
                <w:sz w:val="20"/>
                <w:szCs w:val="20"/>
                <w:lang w:val="en-IE" w:eastAsia="en-IE"/>
              </w:rPr>
              <w:br/>
              <w:t>2028-2034</w:t>
            </w:r>
            <w:r w:rsidR="007E3C0F">
              <w:rPr>
                <w:rStyle w:val="FootnoteReference"/>
                <w:rFonts w:eastAsia="Times New Roman"/>
                <w:b/>
                <w:bCs/>
                <w:noProof/>
                <w:color w:val="000000"/>
                <w:sz w:val="20"/>
                <w:szCs w:val="20"/>
                <w:lang w:val="en-IE" w:eastAsia="en-IE"/>
              </w:rPr>
              <w:footnoteReference w:id="78"/>
            </w:r>
          </w:p>
        </w:tc>
      </w:tr>
      <w:tr w:rsidR="009D2BDE" w:rsidRPr="009D2BDE" w14:paraId="55C53EA8" w14:textId="77777777" w:rsidTr="00DD5867">
        <w:trPr>
          <w:trHeight w:val="315"/>
        </w:trPr>
        <w:tc>
          <w:tcPr>
            <w:tcW w:w="1107" w:type="pct"/>
            <w:tcBorders>
              <w:top w:val="nil"/>
              <w:left w:val="nil"/>
              <w:bottom w:val="nil"/>
              <w:right w:val="nil"/>
            </w:tcBorders>
            <w:noWrap/>
            <w:vAlign w:val="bottom"/>
            <w:hideMark/>
          </w:tcPr>
          <w:p w14:paraId="632E745A" w14:textId="77777777" w:rsidR="009D2BDE" w:rsidRPr="009D2BDE" w:rsidRDefault="009D2BDE" w:rsidP="009D2BDE">
            <w:pPr>
              <w:spacing w:before="0" w:after="0"/>
              <w:jc w:val="center"/>
              <w:rPr>
                <w:rFonts w:eastAsia="Times New Roman"/>
                <w:b/>
                <w:bCs/>
                <w:noProof/>
                <w:color w:val="000000"/>
                <w:sz w:val="20"/>
                <w:szCs w:val="20"/>
                <w:lang w:val="en-IE" w:eastAsia="en-IE"/>
              </w:rPr>
            </w:pPr>
          </w:p>
        </w:tc>
        <w:tc>
          <w:tcPr>
            <w:tcW w:w="435" w:type="pct"/>
            <w:tcBorders>
              <w:top w:val="nil"/>
              <w:left w:val="nil"/>
              <w:bottom w:val="nil"/>
              <w:right w:val="nil"/>
            </w:tcBorders>
            <w:noWrap/>
            <w:vAlign w:val="bottom"/>
            <w:hideMark/>
          </w:tcPr>
          <w:p w14:paraId="08328388" w14:textId="77777777" w:rsidR="009D2BDE" w:rsidRPr="009D2BDE" w:rsidRDefault="009D2BDE" w:rsidP="009D2BDE">
            <w:pPr>
              <w:spacing w:before="0" w:after="0"/>
              <w:jc w:val="left"/>
              <w:rPr>
                <w:rFonts w:eastAsia="Times New Roman"/>
                <w:noProof/>
                <w:sz w:val="20"/>
                <w:szCs w:val="20"/>
                <w:lang w:val="en-IE" w:eastAsia="en-IE"/>
              </w:rPr>
            </w:pPr>
          </w:p>
        </w:tc>
        <w:tc>
          <w:tcPr>
            <w:tcW w:w="218" w:type="pct"/>
            <w:tcBorders>
              <w:top w:val="nil"/>
              <w:left w:val="nil"/>
              <w:bottom w:val="nil"/>
              <w:right w:val="nil"/>
            </w:tcBorders>
            <w:noWrap/>
            <w:vAlign w:val="bottom"/>
            <w:hideMark/>
          </w:tcPr>
          <w:p w14:paraId="14EC9BED" w14:textId="77777777" w:rsidR="009D2BDE" w:rsidRPr="009D2BDE" w:rsidRDefault="009D2BDE" w:rsidP="009D2BDE">
            <w:pPr>
              <w:spacing w:before="0" w:after="0"/>
              <w:jc w:val="left"/>
              <w:rPr>
                <w:rFonts w:eastAsia="Times New Roman"/>
                <w:noProof/>
                <w:sz w:val="20"/>
                <w:szCs w:val="20"/>
                <w:lang w:val="en-IE" w:eastAsia="en-IE"/>
              </w:rPr>
            </w:pPr>
          </w:p>
        </w:tc>
        <w:tc>
          <w:tcPr>
            <w:tcW w:w="156" w:type="pct"/>
            <w:tcBorders>
              <w:top w:val="nil"/>
              <w:left w:val="nil"/>
              <w:bottom w:val="nil"/>
              <w:right w:val="nil"/>
            </w:tcBorders>
            <w:noWrap/>
            <w:vAlign w:val="bottom"/>
            <w:hideMark/>
          </w:tcPr>
          <w:p w14:paraId="54268A52" w14:textId="77777777" w:rsidR="009D2BDE" w:rsidRPr="009D2BDE" w:rsidRDefault="009D2BDE" w:rsidP="009D2BDE">
            <w:pPr>
              <w:spacing w:before="0" w:after="0"/>
              <w:jc w:val="left"/>
              <w:rPr>
                <w:rFonts w:eastAsia="Times New Roman"/>
                <w:noProof/>
                <w:sz w:val="20"/>
                <w:szCs w:val="20"/>
                <w:lang w:val="en-IE" w:eastAsia="en-IE"/>
              </w:rPr>
            </w:pPr>
          </w:p>
        </w:tc>
        <w:tc>
          <w:tcPr>
            <w:tcW w:w="385" w:type="pct"/>
            <w:tcBorders>
              <w:top w:val="nil"/>
              <w:left w:val="nil"/>
              <w:bottom w:val="single" w:sz="8" w:space="0" w:color="auto"/>
              <w:right w:val="single" w:sz="8" w:space="0" w:color="auto"/>
            </w:tcBorders>
            <w:vAlign w:val="center"/>
            <w:hideMark/>
          </w:tcPr>
          <w:p w14:paraId="6595409B" w14:textId="77777777" w:rsidR="009D2BDE" w:rsidRPr="009D2BDE" w:rsidRDefault="009D2BDE" w:rsidP="009D2BDE">
            <w:pPr>
              <w:spacing w:before="0" w:after="0"/>
              <w:jc w:val="center"/>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2028</w:t>
            </w:r>
          </w:p>
        </w:tc>
        <w:tc>
          <w:tcPr>
            <w:tcW w:w="305" w:type="pct"/>
            <w:tcBorders>
              <w:top w:val="nil"/>
              <w:left w:val="nil"/>
              <w:bottom w:val="single" w:sz="8" w:space="0" w:color="auto"/>
              <w:right w:val="single" w:sz="8" w:space="0" w:color="auto"/>
            </w:tcBorders>
            <w:vAlign w:val="center"/>
            <w:hideMark/>
          </w:tcPr>
          <w:p w14:paraId="29DC6BD4" w14:textId="77777777" w:rsidR="009D2BDE" w:rsidRPr="009D2BDE" w:rsidRDefault="009D2BDE" w:rsidP="009D2BDE">
            <w:pPr>
              <w:spacing w:before="0" w:after="0"/>
              <w:jc w:val="center"/>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2029</w:t>
            </w:r>
          </w:p>
        </w:tc>
        <w:tc>
          <w:tcPr>
            <w:tcW w:w="392" w:type="pct"/>
            <w:tcBorders>
              <w:top w:val="nil"/>
              <w:left w:val="nil"/>
              <w:bottom w:val="single" w:sz="8" w:space="0" w:color="auto"/>
              <w:right w:val="single" w:sz="8" w:space="0" w:color="auto"/>
            </w:tcBorders>
            <w:vAlign w:val="center"/>
            <w:hideMark/>
          </w:tcPr>
          <w:p w14:paraId="08215E9D" w14:textId="77777777" w:rsidR="009D2BDE" w:rsidRPr="009D2BDE" w:rsidRDefault="009D2BDE" w:rsidP="009D2BDE">
            <w:pPr>
              <w:spacing w:before="0" w:after="0"/>
              <w:jc w:val="center"/>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2030</w:t>
            </w:r>
          </w:p>
        </w:tc>
        <w:tc>
          <w:tcPr>
            <w:tcW w:w="385" w:type="pct"/>
            <w:tcBorders>
              <w:top w:val="nil"/>
              <w:left w:val="nil"/>
              <w:bottom w:val="single" w:sz="8" w:space="0" w:color="auto"/>
              <w:right w:val="single" w:sz="8" w:space="0" w:color="auto"/>
            </w:tcBorders>
            <w:vAlign w:val="center"/>
            <w:hideMark/>
          </w:tcPr>
          <w:p w14:paraId="0337622A" w14:textId="77777777" w:rsidR="009D2BDE" w:rsidRPr="009D2BDE" w:rsidRDefault="009D2BDE" w:rsidP="009D2BDE">
            <w:pPr>
              <w:spacing w:before="0" w:after="0"/>
              <w:jc w:val="center"/>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2031</w:t>
            </w:r>
          </w:p>
        </w:tc>
        <w:tc>
          <w:tcPr>
            <w:tcW w:w="385" w:type="pct"/>
            <w:tcBorders>
              <w:top w:val="nil"/>
              <w:left w:val="nil"/>
              <w:bottom w:val="single" w:sz="8" w:space="0" w:color="auto"/>
              <w:right w:val="single" w:sz="8" w:space="0" w:color="auto"/>
            </w:tcBorders>
            <w:vAlign w:val="center"/>
            <w:hideMark/>
          </w:tcPr>
          <w:p w14:paraId="7EBD906A" w14:textId="77777777" w:rsidR="009D2BDE" w:rsidRPr="009D2BDE" w:rsidRDefault="009D2BDE" w:rsidP="009D2BDE">
            <w:pPr>
              <w:spacing w:before="0" w:after="0"/>
              <w:jc w:val="center"/>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2032</w:t>
            </w:r>
          </w:p>
        </w:tc>
        <w:tc>
          <w:tcPr>
            <w:tcW w:w="385" w:type="pct"/>
            <w:tcBorders>
              <w:top w:val="nil"/>
              <w:left w:val="nil"/>
              <w:bottom w:val="single" w:sz="8" w:space="0" w:color="auto"/>
              <w:right w:val="single" w:sz="8" w:space="0" w:color="auto"/>
            </w:tcBorders>
            <w:vAlign w:val="center"/>
            <w:hideMark/>
          </w:tcPr>
          <w:p w14:paraId="495A2453" w14:textId="77777777" w:rsidR="009D2BDE" w:rsidRPr="009D2BDE" w:rsidRDefault="009D2BDE" w:rsidP="009D2BDE">
            <w:pPr>
              <w:spacing w:before="0" w:after="0"/>
              <w:jc w:val="center"/>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2033</w:t>
            </w:r>
          </w:p>
        </w:tc>
        <w:tc>
          <w:tcPr>
            <w:tcW w:w="385" w:type="pct"/>
            <w:tcBorders>
              <w:top w:val="nil"/>
              <w:left w:val="nil"/>
              <w:bottom w:val="single" w:sz="8" w:space="0" w:color="auto"/>
              <w:right w:val="single" w:sz="8" w:space="0" w:color="auto"/>
            </w:tcBorders>
            <w:vAlign w:val="center"/>
            <w:hideMark/>
          </w:tcPr>
          <w:p w14:paraId="223071A0" w14:textId="77777777" w:rsidR="009D2BDE" w:rsidRPr="009D2BDE" w:rsidRDefault="009D2BDE" w:rsidP="009D2BDE">
            <w:pPr>
              <w:spacing w:before="0" w:after="0"/>
              <w:jc w:val="center"/>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2034</w:t>
            </w:r>
          </w:p>
        </w:tc>
        <w:tc>
          <w:tcPr>
            <w:tcW w:w="461" w:type="pct"/>
            <w:vMerge/>
            <w:tcBorders>
              <w:top w:val="single" w:sz="8" w:space="0" w:color="auto"/>
              <w:left w:val="single" w:sz="8" w:space="0" w:color="auto"/>
              <w:bottom w:val="single" w:sz="8" w:space="0" w:color="000000"/>
              <w:right w:val="single" w:sz="8" w:space="0" w:color="auto"/>
            </w:tcBorders>
            <w:vAlign w:val="center"/>
            <w:hideMark/>
          </w:tcPr>
          <w:p w14:paraId="3783C910" w14:textId="77777777" w:rsidR="009D2BDE" w:rsidRPr="009D2BDE" w:rsidRDefault="009D2BDE" w:rsidP="009D2BDE">
            <w:pPr>
              <w:spacing w:before="0" w:after="0"/>
              <w:jc w:val="left"/>
              <w:rPr>
                <w:rFonts w:eastAsia="Times New Roman"/>
                <w:b/>
                <w:bCs/>
                <w:noProof/>
                <w:color w:val="000000"/>
                <w:sz w:val="20"/>
                <w:szCs w:val="20"/>
                <w:lang w:val="en-IE" w:eastAsia="en-IE"/>
              </w:rPr>
            </w:pPr>
          </w:p>
        </w:tc>
      </w:tr>
      <w:tr w:rsidR="00A429A0" w:rsidRPr="009D2BDE" w14:paraId="764BF32F" w14:textId="77777777" w:rsidTr="00DD5867">
        <w:trPr>
          <w:trHeight w:val="315"/>
        </w:trPr>
        <w:tc>
          <w:tcPr>
            <w:tcW w:w="1107" w:type="pct"/>
            <w:vMerge w:val="restart"/>
            <w:tcBorders>
              <w:top w:val="single" w:sz="8" w:space="0" w:color="auto"/>
              <w:left w:val="single" w:sz="8" w:space="0" w:color="auto"/>
              <w:bottom w:val="single" w:sz="8" w:space="0" w:color="auto"/>
              <w:right w:val="single" w:sz="8" w:space="0" w:color="auto"/>
            </w:tcBorders>
            <w:vAlign w:val="center"/>
            <w:hideMark/>
          </w:tcPr>
          <w:p w14:paraId="0B0196B0" w14:textId="77777777" w:rsidR="009D2BDE" w:rsidRPr="009D2BDE" w:rsidRDefault="009D2BDE" w:rsidP="009D2BDE">
            <w:pPr>
              <w:spacing w:before="0" w:after="0"/>
              <w:rPr>
                <w:rFonts w:eastAsia="Times New Roman"/>
                <w:noProof/>
                <w:color w:val="000000"/>
                <w:sz w:val="21"/>
                <w:szCs w:val="21"/>
                <w:lang w:val="en-IE" w:eastAsia="en-IE"/>
              </w:rPr>
            </w:pPr>
            <w:r w:rsidRPr="009D2BDE">
              <w:rPr>
                <w:rFonts w:eastAsia="Times New Roman"/>
                <w:noProof/>
                <w:color w:val="000000"/>
                <w:sz w:val="21"/>
                <w:szCs w:val="21"/>
                <w:lang w:val="en-IE" w:eastAsia="en-IE"/>
              </w:rPr>
              <w:t>• TOTAL operational appropriations (all operational headings)</w:t>
            </w:r>
          </w:p>
        </w:tc>
        <w:tc>
          <w:tcPr>
            <w:tcW w:w="435" w:type="pct"/>
            <w:tcBorders>
              <w:top w:val="single" w:sz="8" w:space="0" w:color="auto"/>
              <w:left w:val="nil"/>
              <w:bottom w:val="single" w:sz="8" w:space="0" w:color="auto"/>
              <w:right w:val="single" w:sz="8" w:space="0" w:color="auto"/>
            </w:tcBorders>
            <w:vAlign w:val="center"/>
            <w:hideMark/>
          </w:tcPr>
          <w:p w14:paraId="56FEA7BE" w14:textId="77777777" w:rsidR="009D2BDE" w:rsidRPr="009D2BDE" w:rsidRDefault="009D2BDE" w:rsidP="009D2BDE">
            <w:pPr>
              <w:spacing w:before="0" w:after="0"/>
              <w:rPr>
                <w:rFonts w:eastAsia="Times New Roman"/>
                <w:noProof/>
                <w:color w:val="000000"/>
                <w:sz w:val="18"/>
                <w:szCs w:val="18"/>
                <w:lang w:val="en-IE" w:eastAsia="en-IE"/>
              </w:rPr>
            </w:pPr>
            <w:r w:rsidRPr="009D2BDE">
              <w:rPr>
                <w:rFonts w:eastAsia="Times New Roman"/>
                <w:noProof/>
                <w:color w:val="000000"/>
                <w:sz w:val="18"/>
                <w:szCs w:val="18"/>
                <w:lang w:val="en-IE" w:eastAsia="en-IE"/>
              </w:rPr>
              <w:t>Commitments</w:t>
            </w:r>
          </w:p>
        </w:tc>
        <w:tc>
          <w:tcPr>
            <w:tcW w:w="374" w:type="pct"/>
            <w:gridSpan w:val="2"/>
            <w:tcBorders>
              <w:top w:val="single" w:sz="8" w:space="0" w:color="auto"/>
              <w:left w:val="nil"/>
              <w:bottom w:val="single" w:sz="8" w:space="0" w:color="auto"/>
              <w:right w:val="single" w:sz="8" w:space="0" w:color="000000"/>
            </w:tcBorders>
            <w:vAlign w:val="center"/>
            <w:hideMark/>
          </w:tcPr>
          <w:p w14:paraId="0275FAA5" w14:textId="77777777" w:rsidR="009D2BDE" w:rsidRPr="009D2BDE" w:rsidRDefault="009D2BDE" w:rsidP="009D2BDE">
            <w:pPr>
              <w:spacing w:before="0" w:after="0"/>
              <w:jc w:val="center"/>
              <w:rPr>
                <w:rFonts w:eastAsia="Times New Roman"/>
                <w:noProof/>
                <w:color w:val="000000"/>
                <w:sz w:val="14"/>
                <w:szCs w:val="14"/>
                <w:lang w:val="en-IE" w:eastAsia="en-IE"/>
              </w:rPr>
            </w:pPr>
            <w:r w:rsidRPr="009D2BDE">
              <w:rPr>
                <w:rFonts w:eastAsia="Times New Roman"/>
                <w:noProof/>
                <w:color w:val="000000"/>
                <w:sz w:val="14"/>
                <w:szCs w:val="14"/>
                <w:lang w:val="en-IE" w:eastAsia="en-IE"/>
              </w:rPr>
              <w:t>(4)</w:t>
            </w:r>
          </w:p>
        </w:tc>
        <w:tc>
          <w:tcPr>
            <w:tcW w:w="385" w:type="pct"/>
            <w:tcBorders>
              <w:top w:val="nil"/>
              <w:left w:val="nil"/>
              <w:bottom w:val="single" w:sz="8" w:space="0" w:color="auto"/>
              <w:right w:val="single" w:sz="8" w:space="0" w:color="auto"/>
            </w:tcBorders>
            <w:shd w:val="clear" w:color="000000" w:fill="D9D9D9"/>
            <w:vAlign w:val="center"/>
            <w:hideMark/>
          </w:tcPr>
          <w:p w14:paraId="031D3E86"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05" w:type="pct"/>
            <w:tcBorders>
              <w:top w:val="nil"/>
              <w:left w:val="nil"/>
              <w:bottom w:val="single" w:sz="8" w:space="0" w:color="auto"/>
              <w:right w:val="single" w:sz="8" w:space="0" w:color="auto"/>
            </w:tcBorders>
            <w:shd w:val="clear" w:color="000000" w:fill="D9D9D9"/>
            <w:vAlign w:val="center"/>
            <w:hideMark/>
          </w:tcPr>
          <w:p w14:paraId="13F43F1A"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92" w:type="pct"/>
            <w:tcBorders>
              <w:top w:val="nil"/>
              <w:left w:val="nil"/>
              <w:bottom w:val="single" w:sz="8" w:space="0" w:color="auto"/>
              <w:right w:val="single" w:sz="8" w:space="0" w:color="auto"/>
            </w:tcBorders>
            <w:shd w:val="clear" w:color="000000" w:fill="D9D9D9"/>
            <w:vAlign w:val="center"/>
            <w:hideMark/>
          </w:tcPr>
          <w:p w14:paraId="1C257733"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645A9891"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029BCD6B"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2E243413"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3DEE8B35"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461" w:type="pct"/>
            <w:tcBorders>
              <w:top w:val="nil"/>
              <w:left w:val="nil"/>
              <w:bottom w:val="single" w:sz="8" w:space="0" w:color="auto"/>
              <w:right w:val="single" w:sz="8" w:space="0" w:color="auto"/>
            </w:tcBorders>
            <w:shd w:val="clear" w:color="000000" w:fill="D9D9D9"/>
            <w:vAlign w:val="center"/>
            <w:hideMark/>
          </w:tcPr>
          <w:p w14:paraId="035F339E"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0.140</w:t>
            </w:r>
          </w:p>
        </w:tc>
      </w:tr>
      <w:tr w:rsidR="008E7258" w:rsidRPr="009D2BDE" w14:paraId="5DD324E6" w14:textId="77777777" w:rsidTr="00DD5867">
        <w:trPr>
          <w:trHeight w:val="315"/>
        </w:trPr>
        <w:tc>
          <w:tcPr>
            <w:tcW w:w="1107" w:type="pct"/>
            <w:vMerge/>
            <w:tcBorders>
              <w:top w:val="single" w:sz="8" w:space="0" w:color="auto"/>
              <w:left w:val="single" w:sz="8" w:space="0" w:color="auto"/>
              <w:bottom w:val="single" w:sz="8" w:space="0" w:color="auto"/>
              <w:right w:val="single" w:sz="8" w:space="0" w:color="auto"/>
            </w:tcBorders>
            <w:vAlign w:val="center"/>
            <w:hideMark/>
          </w:tcPr>
          <w:p w14:paraId="5ABD5A84" w14:textId="77777777" w:rsidR="009D2BDE" w:rsidRPr="009D2BDE" w:rsidRDefault="009D2BDE" w:rsidP="009D2BDE">
            <w:pPr>
              <w:spacing w:before="0" w:after="0"/>
              <w:jc w:val="left"/>
              <w:rPr>
                <w:rFonts w:eastAsia="Times New Roman"/>
                <w:noProof/>
                <w:color w:val="000000"/>
                <w:sz w:val="21"/>
                <w:szCs w:val="21"/>
                <w:lang w:val="en-IE" w:eastAsia="en-IE"/>
              </w:rPr>
            </w:pPr>
          </w:p>
        </w:tc>
        <w:tc>
          <w:tcPr>
            <w:tcW w:w="435" w:type="pct"/>
            <w:tcBorders>
              <w:top w:val="nil"/>
              <w:left w:val="nil"/>
              <w:bottom w:val="single" w:sz="8" w:space="0" w:color="auto"/>
              <w:right w:val="single" w:sz="8" w:space="0" w:color="auto"/>
            </w:tcBorders>
            <w:vAlign w:val="center"/>
            <w:hideMark/>
          </w:tcPr>
          <w:p w14:paraId="2D467151" w14:textId="77777777" w:rsidR="009D2BDE" w:rsidRPr="009D2BDE" w:rsidRDefault="009D2BDE" w:rsidP="009D2BDE">
            <w:pPr>
              <w:spacing w:before="0" w:after="0"/>
              <w:rPr>
                <w:rFonts w:eastAsia="Times New Roman"/>
                <w:noProof/>
                <w:color w:val="000000"/>
                <w:sz w:val="18"/>
                <w:szCs w:val="18"/>
                <w:lang w:val="en-IE" w:eastAsia="en-IE"/>
              </w:rPr>
            </w:pPr>
            <w:r w:rsidRPr="009D2BDE">
              <w:rPr>
                <w:rFonts w:eastAsia="Times New Roman"/>
                <w:noProof/>
                <w:color w:val="000000"/>
                <w:sz w:val="18"/>
                <w:szCs w:val="18"/>
                <w:lang w:val="en-IE" w:eastAsia="en-IE"/>
              </w:rPr>
              <w:t>Payments</w:t>
            </w:r>
          </w:p>
        </w:tc>
        <w:tc>
          <w:tcPr>
            <w:tcW w:w="374" w:type="pct"/>
            <w:gridSpan w:val="2"/>
            <w:tcBorders>
              <w:top w:val="single" w:sz="8" w:space="0" w:color="auto"/>
              <w:left w:val="nil"/>
              <w:bottom w:val="single" w:sz="8" w:space="0" w:color="auto"/>
              <w:right w:val="single" w:sz="8" w:space="0" w:color="000000"/>
            </w:tcBorders>
            <w:vAlign w:val="center"/>
            <w:hideMark/>
          </w:tcPr>
          <w:p w14:paraId="0275F178" w14:textId="77777777" w:rsidR="009D2BDE" w:rsidRPr="009D2BDE" w:rsidRDefault="009D2BDE" w:rsidP="009D2BDE">
            <w:pPr>
              <w:spacing w:before="0" w:after="0"/>
              <w:jc w:val="center"/>
              <w:rPr>
                <w:rFonts w:eastAsia="Times New Roman"/>
                <w:noProof/>
                <w:color w:val="000000"/>
                <w:sz w:val="14"/>
                <w:szCs w:val="14"/>
                <w:lang w:val="en-IE" w:eastAsia="en-IE"/>
              </w:rPr>
            </w:pPr>
            <w:r w:rsidRPr="009D2BDE">
              <w:rPr>
                <w:rFonts w:eastAsia="Times New Roman"/>
                <w:noProof/>
                <w:color w:val="000000"/>
                <w:sz w:val="14"/>
                <w:szCs w:val="14"/>
                <w:lang w:val="en-IE" w:eastAsia="en-IE"/>
              </w:rPr>
              <w:t>(5)</w:t>
            </w:r>
          </w:p>
        </w:tc>
        <w:tc>
          <w:tcPr>
            <w:tcW w:w="385" w:type="pct"/>
            <w:tcBorders>
              <w:top w:val="nil"/>
              <w:left w:val="nil"/>
              <w:bottom w:val="single" w:sz="8" w:space="0" w:color="auto"/>
              <w:right w:val="single" w:sz="8" w:space="0" w:color="auto"/>
            </w:tcBorders>
            <w:shd w:val="clear" w:color="000000" w:fill="D9D9D9"/>
            <w:vAlign w:val="center"/>
            <w:hideMark/>
          </w:tcPr>
          <w:p w14:paraId="01BD2F30"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05" w:type="pct"/>
            <w:tcBorders>
              <w:top w:val="nil"/>
              <w:left w:val="nil"/>
              <w:bottom w:val="single" w:sz="8" w:space="0" w:color="auto"/>
              <w:right w:val="single" w:sz="8" w:space="0" w:color="auto"/>
            </w:tcBorders>
            <w:shd w:val="clear" w:color="000000" w:fill="D9D9D9"/>
            <w:vAlign w:val="center"/>
            <w:hideMark/>
          </w:tcPr>
          <w:p w14:paraId="51C7E675"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92" w:type="pct"/>
            <w:tcBorders>
              <w:top w:val="nil"/>
              <w:left w:val="nil"/>
              <w:bottom w:val="single" w:sz="8" w:space="0" w:color="auto"/>
              <w:right w:val="single" w:sz="8" w:space="0" w:color="auto"/>
            </w:tcBorders>
            <w:shd w:val="clear" w:color="000000" w:fill="D9D9D9"/>
            <w:vAlign w:val="center"/>
            <w:hideMark/>
          </w:tcPr>
          <w:p w14:paraId="7CE0F2CF"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5CCFDF5E"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2DB8EFD8"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2AD5EB04"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6BA5BF1C"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0.020</w:t>
            </w:r>
          </w:p>
        </w:tc>
        <w:tc>
          <w:tcPr>
            <w:tcW w:w="461" w:type="pct"/>
            <w:tcBorders>
              <w:top w:val="nil"/>
              <w:left w:val="nil"/>
              <w:bottom w:val="single" w:sz="8" w:space="0" w:color="auto"/>
              <w:right w:val="single" w:sz="8" w:space="0" w:color="auto"/>
            </w:tcBorders>
            <w:shd w:val="clear" w:color="000000" w:fill="D9D9D9"/>
            <w:vAlign w:val="center"/>
            <w:hideMark/>
          </w:tcPr>
          <w:p w14:paraId="50A17A06"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0.140</w:t>
            </w:r>
          </w:p>
        </w:tc>
      </w:tr>
      <w:tr w:rsidR="00A429A0" w:rsidRPr="009D2BDE" w14:paraId="77C78906" w14:textId="77777777" w:rsidTr="001070C7">
        <w:trPr>
          <w:trHeight w:val="990"/>
        </w:trPr>
        <w:tc>
          <w:tcPr>
            <w:tcW w:w="1543" w:type="pct"/>
            <w:gridSpan w:val="2"/>
            <w:tcBorders>
              <w:top w:val="single" w:sz="8" w:space="0" w:color="auto"/>
              <w:left w:val="single" w:sz="8" w:space="0" w:color="auto"/>
              <w:bottom w:val="single" w:sz="8" w:space="0" w:color="auto"/>
              <w:right w:val="single" w:sz="8" w:space="0" w:color="000000"/>
            </w:tcBorders>
            <w:vAlign w:val="center"/>
            <w:hideMark/>
          </w:tcPr>
          <w:p w14:paraId="083B7AE7" w14:textId="77777777" w:rsidR="009D2BDE" w:rsidRPr="009D2BDE" w:rsidRDefault="009D2BDE" w:rsidP="009D2BDE">
            <w:pPr>
              <w:spacing w:before="0" w:after="0"/>
              <w:rPr>
                <w:rFonts w:eastAsia="Times New Roman"/>
                <w:noProof/>
                <w:color w:val="000000"/>
                <w:sz w:val="21"/>
                <w:szCs w:val="21"/>
                <w:lang w:val="en-IE" w:eastAsia="en-IE"/>
              </w:rPr>
            </w:pPr>
            <w:r w:rsidRPr="009D2BDE">
              <w:rPr>
                <w:rFonts w:eastAsia="Times New Roman"/>
                <w:noProof/>
                <w:color w:val="000000"/>
                <w:sz w:val="21"/>
                <w:szCs w:val="21"/>
                <w:lang w:val="en-IE" w:eastAsia="en-IE"/>
              </w:rPr>
              <w:t>• TOTAL appropriations of an administrative nature financed from the envelope for specific programmes (all operational headings)</w:t>
            </w:r>
          </w:p>
        </w:tc>
        <w:tc>
          <w:tcPr>
            <w:tcW w:w="374" w:type="pct"/>
            <w:gridSpan w:val="2"/>
            <w:tcBorders>
              <w:top w:val="single" w:sz="8" w:space="0" w:color="auto"/>
              <w:left w:val="nil"/>
              <w:bottom w:val="single" w:sz="8" w:space="0" w:color="auto"/>
              <w:right w:val="single" w:sz="8" w:space="0" w:color="000000"/>
            </w:tcBorders>
            <w:vAlign w:val="center"/>
            <w:hideMark/>
          </w:tcPr>
          <w:p w14:paraId="6CE6A03F" w14:textId="77777777" w:rsidR="009D2BDE" w:rsidRPr="009D2BDE" w:rsidRDefault="009D2BDE" w:rsidP="009D2BDE">
            <w:pPr>
              <w:spacing w:before="0" w:after="0"/>
              <w:jc w:val="center"/>
              <w:rPr>
                <w:rFonts w:eastAsia="Times New Roman"/>
                <w:noProof/>
                <w:color w:val="000000"/>
                <w:sz w:val="14"/>
                <w:szCs w:val="14"/>
                <w:lang w:val="en-IE" w:eastAsia="en-IE"/>
              </w:rPr>
            </w:pPr>
            <w:r w:rsidRPr="009D2BDE">
              <w:rPr>
                <w:rFonts w:eastAsia="Times New Roman"/>
                <w:noProof/>
                <w:color w:val="000000"/>
                <w:sz w:val="14"/>
                <w:szCs w:val="14"/>
                <w:lang w:val="en-IE" w:eastAsia="en-IE"/>
              </w:rPr>
              <w:t>(6)</w:t>
            </w:r>
          </w:p>
        </w:tc>
        <w:tc>
          <w:tcPr>
            <w:tcW w:w="385" w:type="pct"/>
            <w:tcBorders>
              <w:top w:val="nil"/>
              <w:left w:val="nil"/>
              <w:bottom w:val="single" w:sz="8" w:space="0" w:color="auto"/>
              <w:right w:val="single" w:sz="8" w:space="0" w:color="auto"/>
            </w:tcBorders>
            <w:shd w:val="clear" w:color="000000" w:fill="D9D9D9"/>
            <w:vAlign w:val="center"/>
            <w:hideMark/>
          </w:tcPr>
          <w:p w14:paraId="669E70CB"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0.000</w:t>
            </w:r>
          </w:p>
        </w:tc>
        <w:tc>
          <w:tcPr>
            <w:tcW w:w="305" w:type="pct"/>
            <w:tcBorders>
              <w:top w:val="nil"/>
              <w:left w:val="nil"/>
              <w:bottom w:val="single" w:sz="8" w:space="0" w:color="auto"/>
              <w:right w:val="single" w:sz="8" w:space="0" w:color="auto"/>
            </w:tcBorders>
            <w:shd w:val="clear" w:color="000000" w:fill="D9D9D9"/>
            <w:vAlign w:val="center"/>
            <w:hideMark/>
          </w:tcPr>
          <w:p w14:paraId="675A08C4"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040F2C10"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14:paraId="551A01A8"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14:paraId="61BE6B70"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14:paraId="612C869F"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0.000</w:t>
            </w:r>
          </w:p>
        </w:tc>
        <w:tc>
          <w:tcPr>
            <w:tcW w:w="385" w:type="pct"/>
            <w:tcBorders>
              <w:top w:val="nil"/>
              <w:left w:val="nil"/>
              <w:bottom w:val="single" w:sz="8" w:space="0" w:color="auto"/>
              <w:right w:val="single" w:sz="8" w:space="0" w:color="auto"/>
            </w:tcBorders>
            <w:shd w:val="clear" w:color="000000" w:fill="D9D9D9"/>
            <w:vAlign w:val="center"/>
            <w:hideMark/>
          </w:tcPr>
          <w:p w14:paraId="043560ED" w14:textId="77777777" w:rsidR="009D2BDE" w:rsidRPr="009D2BDE" w:rsidRDefault="009D2BDE" w:rsidP="009D2BDE">
            <w:pPr>
              <w:spacing w:before="0" w:after="0"/>
              <w:jc w:val="right"/>
              <w:rPr>
                <w:rFonts w:eastAsia="Times New Roman"/>
                <w:noProof/>
                <w:color w:val="000000"/>
                <w:sz w:val="20"/>
                <w:szCs w:val="20"/>
                <w:lang w:val="en-IE" w:eastAsia="en-IE"/>
              </w:rPr>
            </w:pPr>
            <w:r w:rsidRPr="009D2BDE">
              <w:rPr>
                <w:rFonts w:eastAsia="Times New Roman"/>
                <w:noProof/>
                <w:color w:val="000000"/>
                <w:sz w:val="20"/>
                <w:szCs w:val="20"/>
                <w:lang w:val="en-IE" w:eastAsia="en-IE"/>
              </w:rPr>
              <w:t>0.000</w:t>
            </w:r>
          </w:p>
        </w:tc>
        <w:tc>
          <w:tcPr>
            <w:tcW w:w="461" w:type="pct"/>
            <w:tcBorders>
              <w:top w:val="nil"/>
              <w:left w:val="nil"/>
              <w:bottom w:val="single" w:sz="8" w:space="0" w:color="auto"/>
              <w:right w:val="single" w:sz="8" w:space="0" w:color="auto"/>
            </w:tcBorders>
            <w:shd w:val="clear" w:color="000000" w:fill="D9D9D9"/>
            <w:vAlign w:val="center"/>
            <w:hideMark/>
          </w:tcPr>
          <w:p w14:paraId="0ED40B70"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0.000</w:t>
            </w:r>
          </w:p>
        </w:tc>
      </w:tr>
      <w:tr w:rsidR="00A429A0" w:rsidRPr="009D2BDE" w14:paraId="65AA3F83" w14:textId="77777777" w:rsidTr="00DD5867">
        <w:trPr>
          <w:trHeight w:val="585"/>
        </w:trPr>
        <w:tc>
          <w:tcPr>
            <w:tcW w:w="1107" w:type="pct"/>
            <w:tcBorders>
              <w:top w:val="nil"/>
              <w:left w:val="single" w:sz="8" w:space="0" w:color="auto"/>
              <w:bottom w:val="nil"/>
              <w:right w:val="single" w:sz="8" w:space="0" w:color="auto"/>
            </w:tcBorders>
            <w:shd w:val="thinDiagStripe" w:color="C0C0C0" w:fill="F1F1F1"/>
            <w:vAlign w:val="center"/>
            <w:hideMark/>
          </w:tcPr>
          <w:p w14:paraId="3CE09401" w14:textId="77777777" w:rsidR="009D2BDE" w:rsidRPr="009D2BDE" w:rsidRDefault="009D2BDE" w:rsidP="009D2BDE">
            <w:pPr>
              <w:spacing w:before="0" w:after="0"/>
              <w:jc w:val="center"/>
              <w:rPr>
                <w:rFonts w:eastAsia="Times New Roman"/>
                <w:b/>
                <w:bCs/>
                <w:noProof/>
                <w:color w:val="000000"/>
                <w:sz w:val="22"/>
                <w:lang w:val="en-IE" w:eastAsia="en-IE"/>
              </w:rPr>
            </w:pPr>
            <w:r w:rsidRPr="009D2BDE">
              <w:rPr>
                <w:rFonts w:eastAsia="Times New Roman"/>
                <w:b/>
                <w:bCs/>
                <w:noProof/>
                <w:color w:val="000000"/>
                <w:sz w:val="22"/>
                <w:lang w:val="en-IE" w:eastAsia="en-IE"/>
              </w:rPr>
              <w:t>TOTAL appropriations</w:t>
            </w:r>
            <w:r w:rsidRPr="009D2BDE">
              <w:rPr>
                <w:rFonts w:eastAsia="Times New Roman"/>
                <w:b/>
                <w:bCs/>
                <w:noProof/>
                <w:color w:val="000000"/>
                <w:sz w:val="22"/>
                <w:lang w:val="en-IE" w:eastAsia="en-IE"/>
              </w:rPr>
              <w:br/>
              <w:t>Under Heading 1 to 6</w:t>
            </w:r>
          </w:p>
        </w:tc>
        <w:tc>
          <w:tcPr>
            <w:tcW w:w="435" w:type="pct"/>
            <w:tcBorders>
              <w:top w:val="nil"/>
              <w:left w:val="nil"/>
              <w:bottom w:val="nil"/>
              <w:right w:val="single" w:sz="8" w:space="0" w:color="auto"/>
            </w:tcBorders>
            <w:vAlign w:val="center"/>
            <w:hideMark/>
          </w:tcPr>
          <w:p w14:paraId="0E9AC8B4" w14:textId="77777777" w:rsidR="009D2BDE" w:rsidRPr="009D2BDE" w:rsidRDefault="009D2BDE" w:rsidP="009D2BDE">
            <w:pPr>
              <w:spacing w:before="0" w:after="0"/>
              <w:rPr>
                <w:rFonts w:eastAsia="Times New Roman"/>
                <w:noProof/>
                <w:color w:val="000000"/>
                <w:sz w:val="18"/>
                <w:szCs w:val="18"/>
                <w:lang w:val="en-IE" w:eastAsia="en-IE"/>
              </w:rPr>
            </w:pPr>
            <w:r w:rsidRPr="009D2BDE">
              <w:rPr>
                <w:rFonts w:eastAsia="Times New Roman"/>
                <w:noProof/>
                <w:color w:val="000000"/>
                <w:sz w:val="18"/>
                <w:szCs w:val="18"/>
                <w:lang w:val="en-IE" w:eastAsia="en-IE"/>
              </w:rPr>
              <w:t>Commitments</w:t>
            </w:r>
          </w:p>
        </w:tc>
        <w:tc>
          <w:tcPr>
            <w:tcW w:w="374" w:type="pct"/>
            <w:gridSpan w:val="2"/>
            <w:tcBorders>
              <w:top w:val="single" w:sz="8" w:space="0" w:color="auto"/>
              <w:left w:val="nil"/>
              <w:bottom w:val="nil"/>
              <w:right w:val="single" w:sz="8" w:space="0" w:color="000000"/>
            </w:tcBorders>
            <w:vAlign w:val="center"/>
            <w:hideMark/>
          </w:tcPr>
          <w:p w14:paraId="631248CD" w14:textId="77777777" w:rsidR="009D2BDE" w:rsidRPr="009D2BDE" w:rsidRDefault="009D2BDE" w:rsidP="009D2BDE">
            <w:pPr>
              <w:spacing w:before="0" w:after="0"/>
              <w:jc w:val="center"/>
              <w:rPr>
                <w:rFonts w:eastAsia="Times New Roman"/>
                <w:noProof/>
                <w:color w:val="000000"/>
                <w:sz w:val="14"/>
                <w:szCs w:val="14"/>
                <w:lang w:val="en-IE" w:eastAsia="en-IE"/>
              </w:rPr>
            </w:pPr>
            <w:r w:rsidRPr="009D2BDE">
              <w:rPr>
                <w:rFonts w:eastAsia="Times New Roman"/>
                <w:noProof/>
                <w:color w:val="000000"/>
                <w:sz w:val="14"/>
                <w:szCs w:val="14"/>
                <w:lang w:val="en-IE" w:eastAsia="en-IE"/>
              </w:rPr>
              <w:t>=4+6</w:t>
            </w:r>
          </w:p>
        </w:tc>
        <w:tc>
          <w:tcPr>
            <w:tcW w:w="385" w:type="pct"/>
            <w:tcBorders>
              <w:top w:val="nil"/>
              <w:left w:val="nil"/>
              <w:bottom w:val="single" w:sz="8" w:space="0" w:color="auto"/>
              <w:right w:val="single" w:sz="8" w:space="0" w:color="auto"/>
            </w:tcBorders>
            <w:shd w:val="clear" w:color="000000" w:fill="D9D9D9"/>
            <w:vAlign w:val="center"/>
            <w:hideMark/>
          </w:tcPr>
          <w:p w14:paraId="4F7FCF24"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05" w:type="pct"/>
            <w:tcBorders>
              <w:top w:val="nil"/>
              <w:left w:val="nil"/>
              <w:bottom w:val="single" w:sz="8" w:space="0" w:color="auto"/>
              <w:right w:val="single" w:sz="8" w:space="0" w:color="auto"/>
            </w:tcBorders>
            <w:shd w:val="clear" w:color="000000" w:fill="D9D9D9"/>
            <w:vAlign w:val="center"/>
            <w:hideMark/>
          </w:tcPr>
          <w:p w14:paraId="753A7CC7"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92" w:type="pct"/>
            <w:tcBorders>
              <w:top w:val="nil"/>
              <w:left w:val="nil"/>
              <w:bottom w:val="single" w:sz="8" w:space="0" w:color="auto"/>
              <w:right w:val="single" w:sz="8" w:space="0" w:color="auto"/>
            </w:tcBorders>
            <w:shd w:val="clear" w:color="000000" w:fill="D9D9D9"/>
            <w:vAlign w:val="center"/>
            <w:hideMark/>
          </w:tcPr>
          <w:p w14:paraId="5FD1E34A"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1209779C"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103E5A77"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432142F3"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6E123533"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461" w:type="pct"/>
            <w:tcBorders>
              <w:top w:val="nil"/>
              <w:left w:val="nil"/>
              <w:bottom w:val="single" w:sz="8" w:space="0" w:color="auto"/>
              <w:right w:val="single" w:sz="8" w:space="0" w:color="auto"/>
            </w:tcBorders>
            <w:shd w:val="clear" w:color="000000" w:fill="D9D9D9"/>
            <w:vAlign w:val="center"/>
            <w:hideMark/>
          </w:tcPr>
          <w:p w14:paraId="4B8FC5F6"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0.140</w:t>
            </w:r>
          </w:p>
        </w:tc>
      </w:tr>
      <w:tr w:rsidR="00A429A0" w:rsidRPr="009D2BDE" w14:paraId="0EC216B1" w14:textId="77777777" w:rsidTr="00DD5867">
        <w:trPr>
          <w:trHeight w:val="589"/>
        </w:trPr>
        <w:tc>
          <w:tcPr>
            <w:tcW w:w="1107" w:type="pct"/>
            <w:tcBorders>
              <w:top w:val="nil"/>
              <w:left w:val="single" w:sz="8" w:space="0" w:color="auto"/>
              <w:bottom w:val="single" w:sz="8" w:space="0" w:color="auto"/>
              <w:right w:val="single" w:sz="8" w:space="0" w:color="auto"/>
            </w:tcBorders>
            <w:shd w:val="thinDiagStripe" w:color="C0C0C0" w:fill="F1F1F1"/>
            <w:vAlign w:val="center"/>
            <w:hideMark/>
          </w:tcPr>
          <w:p w14:paraId="4F5379ED" w14:textId="77777777" w:rsidR="009D2BDE" w:rsidRPr="009D2BDE" w:rsidRDefault="009D2BDE" w:rsidP="009D2BDE">
            <w:pPr>
              <w:spacing w:before="0" w:after="0"/>
              <w:jc w:val="center"/>
              <w:rPr>
                <w:rFonts w:eastAsia="Times New Roman"/>
                <w:noProof/>
                <w:color w:val="000000"/>
                <w:sz w:val="20"/>
                <w:szCs w:val="20"/>
                <w:lang w:val="en-IE" w:eastAsia="en-IE"/>
              </w:rPr>
            </w:pPr>
            <w:r w:rsidRPr="009D2BDE">
              <w:rPr>
                <w:rFonts w:eastAsia="Times New Roman"/>
                <w:noProof/>
                <w:color w:val="000000"/>
                <w:sz w:val="20"/>
                <w:szCs w:val="20"/>
                <w:lang w:val="en-IE" w:eastAsia="en-IE"/>
              </w:rPr>
              <w:t>of the multiannual financial framework</w:t>
            </w:r>
            <w:r w:rsidRPr="009D2BDE">
              <w:rPr>
                <w:rFonts w:eastAsia="Times New Roman"/>
                <w:noProof/>
                <w:color w:val="000000"/>
                <w:sz w:val="20"/>
                <w:szCs w:val="20"/>
                <w:lang w:val="en-IE" w:eastAsia="en-IE"/>
              </w:rPr>
              <w:br/>
              <w:t>(Reference amount)</w:t>
            </w:r>
          </w:p>
        </w:tc>
        <w:tc>
          <w:tcPr>
            <w:tcW w:w="435" w:type="pct"/>
            <w:tcBorders>
              <w:top w:val="nil"/>
              <w:left w:val="nil"/>
              <w:bottom w:val="single" w:sz="8" w:space="0" w:color="auto"/>
              <w:right w:val="single" w:sz="8" w:space="0" w:color="auto"/>
            </w:tcBorders>
            <w:vAlign w:val="center"/>
            <w:hideMark/>
          </w:tcPr>
          <w:p w14:paraId="5079642B" w14:textId="77777777" w:rsidR="009D2BDE" w:rsidRPr="009D2BDE" w:rsidRDefault="009D2BDE" w:rsidP="009D2BDE">
            <w:pPr>
              <w:spacing w:before="0" w:after="0"/>
              <w:rPr>
                <w:rFonts w:eastAsia="Times New Roman"/>
                <w:noProof/>
                <w:color w:val="000000"/>
                <w:sz w:val="18"/>
                <w:szCs w:val="18"/>
                <w:lang w:val="en-IE" w:eastAsia="en-IE"/>
              </w:rPr>
            </w:pPr>
            <w:r w:rsidRPr="009D2BDE">
              <w:rPr>
                <w:rFonts w:eastAsia="Times New Roman"/>
                <w:noProof/>
                <w:color w:val="000000"/>
                <w:sz w:val="18"/>
                <w:szCs w:val="18"/>
                <w:lang w:val="en-IE" w:eastAsia="en-IE"/>
              </w:rPr>
              <w:t>Payments</w:t>
            </w:r>
          </w:p>
        </w:tc>
        <w:tc>
          <w:tcPr>
            <w:tcW w:w="374" w:type="pct"/>
            <w:gridSpan w:val="2"/>
            <w:tcBorders>
              <w:top w:val="single" w:sz="8" w:space="0" w:color="auto"/>
              <w:left w:val="nil"/>
              <w:bottom w:val="single" w:sz="8" w:space="0" w:color="auto"/>
              <w:right w:val="single" w:sz="8" w:space="0" w:color="000000"/>
            </w:tcBorders>
            <w:vAlign w:val="center"/>
            <w:hideMark/>
          </w:tcPr>
          <w:p w14:paraId="5C04B51D" w14:textId="77777777" w:rsidR="009D2BDE" w:rsidRPr="009D2BDE" w:rsidRDefault="009D2BDE" w:rsidP="009D2BDE">
            <w:pPr>
              <w:spacing w:before="0" w:after="0"/>
              <w:jc w:val="center"/>
              <w:rPr>
                <w:rFonts w:eastAsia="Times New Roman"/>
                <w:noProof/>
                <w:color w:val="000000"/>
                <w:sz w:val="14"/>
                <w:szCs w:val="14"/>
                <w:lang w:val="en-IE" w:eastAsia="en-IE"/>
              </w:rPr>
            </w:pPr>
            <w:r w:rsidRPr="009D2BDE">
              <w:rPr>
                <w:rFonts w:eastAsia="Times New Roman"/>
                <w:noProof/>
                <w:color w:val="000000"/>
                <w:sz w:val="14"/>
                <w:szCs w:val="14"/>
                <w:lang w:val="en-IE" w:eastAsia="en-IE"/>
              </w:rPr>
              <w:t>=5+6</w:t>
            </w:r>
          </w:p>
        </w:tc>
        <w:tc>
          <w:tcPr>
            <w:tcW w:w="385" w:type="pct"/>
            <w:tcBorders>
              <w:top w:val="nil"/>
              <w:left w:val="nil"/>
              <w:bottom w:val="single" w:sz="8" w:space="0" w:color="auto"/>
              <w:right w:val="single" w:sz="8" w:space="0" w:color="auto"/>
            </w:tcBorders>
            <w:shd w:val="clear" w:color="000000" w:fill="D9D9D9"/>
            <w:vAlign w:val="center"/>
            <w:hideMark/>
          </w:tcPr>
          <w:p w14:paraId="3BA4FE2A"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05" w:type="pct"/>
            <w:tcBorders>
              <w:top w:val="nil"/>
              <w:left w:val="nil"/>
              <w:bottom w:val="single" w:sz="8" w:space="0" w:color="auto"/>
              <w:right w:val="single" w:sz="8" w:space="0" w:color="auto"/>
            </w:tcBorders>
            <w:shd w:val="clear" w:color="000000" w:fill="D9D9D9"/>
            <w:vAlign w:val="center"/>
            <w:hideMark/>
          </w:tcPr>
          <w:p w14:paraId="43B768ED"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92" w:type="pct"/>
            <w:tcBorders>
              <w:top w:val="nil"/>
              <w:left w:val="nil"/>
              <w:bottom w:val="single" w:sz="8" w:space="0" w:color="auto"/>
              <w:right w:val="single" w:sz="8" w:space="0" w:color="auto"/>
            </w:tcBorders>
            <w:shd w:val="clear" w:color="000000" w:fill="D9D9D9"/>
            <w:vAlign w:val="center"/>
            <w:hideMark/>
          </w:tcPr>
          <w:p w14:paraId="6E411380"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519619AC"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0663C536"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3C916768"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385" w:type="pct"/>
            <w:tcBorders>
              <w:top w:val="nil"/>
              <w:left w:val="nil"/>
              <w:bottom w:val="single" w:sz="8" w:space="0" w:color="auto"/>
              <w:right w:val="single" w:sz="8" w:space="0" w:color="auto"/>
            </w:tcBorders>
            <w:shd w:val="clear" w:color="000000" w:fill="D9D9D9"/>
            <w:vAlign w:val="center"/>
            <w:hideMark/>
          </w:tcPr>
          <w:p w14:paraId="3138E2DD"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0.020</w:t>
            </w:r>
          </w:p>
        </w:tc>
        <w:tc>
          <w:tcPr>
            <w:tcW w:w="461" w:type="pct"/>
            <w:tcBorders>
              <w:top w:val="nil"/>
              <w:left w:val="nil"/>
              <w:bottom w:val="single" w:sz="8" w:space="0" w:color="auto"/>
              <w:right w:val="single" w:sz="8" w:space="0" w:color="auto"/>
            </w:tcBorders>
            <w:shd w:val="clear" w:color="000000" w:fill="D9D9D9"/>
            <w:vAlign w:val="center"/>
            <w:hideMark/>
          </w:tcPr>
          <w:p w14:paraId="6E640935" w14:textId="77777777" w:rsidR="009D2BDE" w:rsidRPr="009D2BDE" w:rsidRDefault="009D2BDE" w:rsidP="009D2BDE">
            <w:pPr>
              <w:spacing w:before="0" w:after="0"/>
              <w:jc w:val="right"/>
              <w:rPr>
                <w:rFonts w:eastAsia="Times New Roman"/>
                <w:b/>
                <w:bCs/>
                <w:noProof/>
                <w:color w:val="000000"/>
                <w:sz w:val="20"/>
                <w:szCs w:val="20"/>
                <w:lang w:val="en-IE" w:eastAsia="en-IE"/>
              </w:rPr>
            </w:pPr>
            <w:r w:rsidRPr="009D2BDE">
              <w:rPr>
                <w:rFonts w:eastAsia="Times New Roman"/>
                <w:b/>
                <w:bCs/>
                <w:noProof/>
                <w:color w:val="000000"/>
                <w:sz w:val="20"/>
                <w:szCs w:val="20"/>
                <w:lang w:val="en-IE" w:eastAsia="en-IE"/>
              </w:rPr>
              <w:t>0.140</w:t>
            </w:r>
          </w:p>
        </w:tc>
      </w:tr>
    </w:tbl>
    <w:p w14:paraId="46ED2F16" w14:textId="77777777" w:rsidR="00DD5867" w:rsidRPr="00AD21FF" w:rsidRDefault="00DD5867" w:rsidP="00CA7C31">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A7C31" w:rsidRPr="00AD21FF" w14:paraId="7CEE525B" w14:textId="77777777">
        <w:trPr>
          <w:jc w:val="center"/>
        </w:trPr>
        <w:tc>
          <w:tcPr>
            <w:tcW w:w="1739" w:type="pct"/>
            <w:shd w:val="thinDiagStripe" w:color="C0C0C0" w:fill="auto"/>
            <w:vAlign w:val="center"/>
          </w:tcPr>
          <w:p w14:paraId="14342DF8" w14:textId="77777777" w:rsidR="00CA7C31" w:rsidRPr="00AD21FF" w:rsidRDefault="00CA7C31">
            <w:pPr>
              <w:spacing w:before="60" w:after="60"/>
              <w:jc w:val="center"/>
              <w:rPr>
                <w:b/>
                <w:noProof/>
              </w:rPr>
            </w:pPr>
            <w:r w:rsidRPr="00AD21FF">
              <w:rPr>
                <w:noProof/>
                <w:sz w:val="22"/>
              </w:rPr>
              <w:br w:type="page"/>
            </w:r>
            <w:r w:rsidRPr="00AD21FF">
              <w:rPr>
                <w:b/>
                <w:noProof/>
                <w:sz w:val="22"/>
              </w:rPr>
              <w:t xml:space="preserve">Heading of multiannual financial framework </w:t>
            </w:r>
          </w:p>
        </w:tc>
        <w:tc>
          <w:tcPr>
            <w:tcW w:w="396" w:type="pct"/>
            <w:shd w:val="thinDiagStripe" w:color="C0C0C0" w:fill="auto"/>
            <w:vAlign w:val="center"/>
          </w:tcPr>
          <w:p w14:paraId="30D447CE" w14:textId="77777777" w:rsidR="00CA7C31" w:rsidRPr="00AD21FF" w:rsidRDefault="00CA7C31">
            <w:pPr>
              <w:spacing w:before="60" w:after="60"/>
              <w:jc w:val="center"/>
              <w:rPr>
                <w:noProof/>
              </w:rPr>
            </w:pPr>
            <w:r w:rsidRPr="00325BD9">
              <w:rPr>
                <w:noProof/>
                <w:sz w:val="22"/>
              </w:rPr>
              <w:t>7</w:t>
            </w:r>
          </w:p>
        </w:tc>
        <w:tc>
          <w:tcPr>
            <w:tcW w:w="2865" w:type="pct"/>
            <w:vAlign w:val="center"/>
          </w:tcPr>
          <w:p w14:paraId="5AD372F7" w14:textId="77777777" w:rsidR="00CA7C31" w:rsidRPr="00AD21FF" w:rsidRDefault="00CA7C31">
            <w:pPr>
              <w:spacing w:before="60" w:after="60"/>
              <w:rPr>
                <w:noProof/>
              </w:rPr>
            </w:pPr>
            <w:r w:rsidRPr="00AD21FF">
              <w:rPr>
                <w:noProof/>
                <w:sz w:val="22"/>
              </w:rPr>
              <w:t>‘Administrative expenditure’</w:t>
            </w:r>
            <w:r w:rsidRPr="00AD21FF">
              <w:rPr>
                <w:noProof/>
              </w:rPr>
              <w:t xml:space="preserve"> </w:t>
            </w:r>
          </w:p>
        </w:tc>
      </w:tr>
    </w:tbl>
    <w:p w14:paraId="5DDA6B16" w14:textId="77777777" w:rsidR="00CA7C31" w:rsidRPr="00781B63" w:rsidRDefault="001070C7" w:rsidP="001070C7">
      <w:pPr>
        <w:jc w:val="right"/>
        <w:rPr>
          <w:noProof/>
        </w:rPr>
      </w:pPr>
      <w:r w:rsidRPr="00AD21FF">
        <w:rPr>
          <w:noProof/>
          <w:sz w:val="20"/>
        </w:rPr>
        <w:t>EUR million (to three decimal places)</w:t>
      </w:r>
    </w:p>
    <w:tbl>
      <w:tblPr>
        <w:tblW w:w="5000" w:type="pct"/>
        <w:tblLook w:val="04A0" w:firstRow="1" w:lastRow="0" w:firstColumn="1" w:lastColumn="0" w:noHBand="0" w:noVBand="1"/>
      </w:tblPr>
      <w:tblGrid>
        <w:gridCol w:w="4301"/>
        <w:gridCol w:w="2435"/>
        <w:gridCol w:w="598"/>
        <w:gridCol w:w="606"/>
        <w:gridCol w:w="975"/>
        <w:gridCol w:w="975"/>
        <w:gridCol w:w="975"/>
        <w:gridCol w:w="975"/>
        <w:gridCol w:w="139"/>
        <w:gridCol w:w="1186"/>
        <w:gridCol w:w="1055"/>
      </w:tblGrid>
      <w:tr w:rsidR="00395C70" w:rsidRPr="00AD21FF" w14:paraId="1BC4BF2A" w14:textId="77777777" w:rsidTr="00AC046C">
        <w:trPr>
          <w:trHeight w:val="288"/>
        </w:trPr>
        <w:tc>
          <w:tcPr>
            <w:tcW w:w="2776"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1F4B18EA" w14:textId="77777777" w:rsidR="00395C70" w:rsidRPr="00AD21FF" w:rsidRDefault="00395C70" w:rsidP="00B065D6">
            <w:pPr>
              <w:spacing w:before="0" w:after="0"/>
              <w:jc w:val="center"/>
              <w:rPr>
                <w:noProof/>
                <w:color w:val="000000"/>
                <w:szCs w:val="24"/>
                <w:lang w:eastAsia="en-IE"/>
              </w:rPr>
            </w:pPr>
            <w:r w:rsidRPr="00AD21FF">
              <w:rPr>
                <w:noProof/>
                <w:color w:val="000000"/>
                <w:szCs w:val="24"/>
                <w:lang w:eastAsia="en-IE"/>
              </w:rPr>
              <w:t>DG: GROW</w:t>
            </w:r>
          </w:p>
        </w:tc>
        <w:tc>
          <w:tcPr>
            <w:tcW w:w="336" w:type="pct"/>
            <w:tcBorders>
              <w:top w:val="single" w:sz="8" w:space="0" w:color="auto"/>
              <w:left w:val="nil"/>
              <w:bottom w:val="nil"/>
              <w:right w:val="single" w:sz="8" w:space="0" w:color="auto"/>
            </w:tcBorders>
            <w:vAlign w:val="center"/>
            <w:hideMark/>
          </w:tcPr>
          <w:p w14:paraId="1F078E65" w14:textId="77777777" w:rsidR="00395C70" w:rsidRPr="00AD21FF" w:rsidRDefault="00395C70" w:rsidP="00B065D6">
            <w:pPr>
              <w:spacing w:before="0" w:after="0"/>
              <w:jc w:val="center"/>
              <w:rPr>
                <w:noProof/>
                <w:color w:val="000000"/>
                <w:sz w:val="20"/>
                <w:szCs w:val="20"/>
                <w:lang w:eastAsia="en-IE"/>
              </w:rPr>
            </w:pPr>
            <w:r w:rsidRPr="00AD21FF">
              <w:rPr>
                <w:noProof/>
                <w:color w:val="000000"/>
                <w:sz w:val="20"/>
                <w:szCs w:val="20"/>
                <w:lang w:eastAsia="en-IE"/>
              </w:rPr>
              <w:t>Year</w:t>
            </w:r>
          </w:p>
        </w:tc>
        <w:tc>
          <w:tcPr>
            <w:tcW w:w="336" w:type="pct"/>
            <w:tcBorders>
              <w:top w:val="single" w:sz="8" w:space="0" w:color="auto"/>
              <w:left w:val="nil"/>
              <w:bottom w:val="nil"/>
              <w:right w:val="single" w:sz="8" w:space="0" w:color="auto"/>
            </w:tcBorders>
            <w:vAlign w:val="center"/>
            <w:hideMark/>
          </w:tcPr>
          <w:p w14:paraId="7FEE73CE" w14:textId="77777777" w:rsidR="00395C70" w:rsidRPr="00AD21FF" w:rsidRDefault="00395C70" w:rsidP="00B065D6">
            <w:pPr>
              <w:spacing w:before="0" w:after="0"/>
              <w:jc w:val="center"/>
              <w:rPr>
                <w:noProof/>
                <w:color w:val="000000"/>
                <w:sz w:val="20"/>
                <w:szCs w:val="20"/>
                <w:lang w:eastAsia="en-IE"/>
              </w:rPr>
            </w:pPr>
            <w:r w:rsidRPr="00AD21FF">
              <w:rPr>
                <w:noProof/>
                <w:color w:val="000000"/>
                <w:sz w:val="20"/>
                <w:szCs w:val="20"/>
                <w:lang w:eastAsia="en-IE"/>
              </w:rPr>
              <w:t>Year</w:t>
            </w:r>
          </w:p>
        </w:tc>
        <w:tc>
          <w:tcPr>
            <w:tcW w:w="336" w:type="pct"/>
            <w:tcBorders>
              <w:top w:val="single" w:sz="8" w:space="0" w:color="auto"/>
              <w:left w:val="nil"/>
              <w:bottom w:val="nil"/>
              <w:right w:val="single" w:sz="8" w:space="0" w:color="auto"/>
            </w:tcBorders>
            <w:vAlign w:val="center"/>
            <w:hideMark/>
          </w:tcPr>
          <w:p w14:paraId="79DDB219" w14:textId="77777777" w:rsidR="00395C70" w:rsidRPr="00AD21FF" w:rsidRDefault="00395C70" w:rsidP="00B065D6">
            <w:pPr>
              <w:spacing w:before="0" w:after="0"/>
              <w:jc w:val="center"/>
              <w:rPr>
                <w:noProof/>
                <w:color w:val="000000"/>
                <w:sz w:val="20"/>
                <w:szCs w:val="20"/>
                <w:lang w:eastAsia="en-IE"/>
              </w:rPr>
            </w:pPr>
            <w:r w:rsidRPr="00AD21FF">
              <w:rPr>
                <w:noProof/>
                <w:color w:val="000000"/>
                <w:sz w:val="20"/>
                <w:szCs w:val="20"/>
                <w:lang w:eastAsia="en-IE"/>
              </w:rPr>
              <w:t>Year</w:t>
            </w:r>
          </w:p>
        </w:tc>
        <w:tc>
          <w:tcPr>
            <w:tcW w:w="392" w:type="pct"/>
            <w:gridSpan w:val="2"/>
            <w:tcBorders>
              <w:top w:val="single" w:sz="8" w:space="0" w:color="auto"/>
              <w:left w:val="nil"/>
              <w:bottom w:val="nil"/>
              <w:right w:val="single" w:sz="8" w:space="0" w:color="auto"/>
            </w:tcBorders>
            <w:vAlign w:val="center"/>
            <w:hideMark/>
          </w:tcPr>
          <w:p w14:paraId="49066A7C" w14:textId="77777777" w:rsidR="00395C70" w:rsidRPr="00AD21FF" w:rsidRDefault="00395C70" w:rsidP="00B065D6">
            <w:pPr>
              <w:spacing w:before="0" w:after="0"/>
              <w:jc w:val="center"/>
              <w:rPr>
                <w:noProof/>
                <w:color w:val="000000"/>
                <w:sz w:val="20"/>
                <w:szCs w:val="20"/>
                <w:lang w:eastAsia="en-IE"/>
              </w:rPr>
            </w:pPr>
            <w:r w:rsidRPr="00AD21FF">
              <w:rPr>
                <w:noProof/>
                <w:color w:val="000000"/>
                <w:sz w:val="20"/>
                <w:szCs w:val="20"/>
                <w:lang w:eastAsia="en-IE"/>
              </w:rPr>
              <w:t>Year</w:t>
            </w:r>
          </w:p>
        </w:tc>
        <w:tc>
          <w:tcPr>
            <w:tcW w:w="417" w:type="pct"/>
            <w:vMerge w:val="restart"/>
            <w:tcBorders>
              <w:top w:val="single" w:sz="8" w:space="0" w:color="auto"/>
              <w:left w:val="single" w:sz="8" w:space="0" w:color="auto"/>
              <w:bottom w:val="single" w:sz="8" w:space="0" w:color="000000"/>
              <w:right w:val="single" w:sz="8" w:space="0" w:color="auto"/>
            </w:tcBorders>
            <w:vAlign w:val="center"/>
            <w:hideMark/>
          </w:tcPr>
          <w:p w14:paraId="162FE533" w14:textId="77777777" w:rsidR="00395C70" w:rsidRPr="00AD21FF" w:rsidRDefault="00395C70" w:rsidP="00B065D6">
            <w:pPr>
              <w:spacing w:before="0" w:after="0"/>
              <w:jc w:val="center"/>
              <w:rPr>
                <w:b/>
                <w:noProof/>
                <w:color w:val="000000"/>
                <w:sz w:val="20"/>
                <w:szCs w:val="20"/>
                <w:lang w:eastAsia="en-IE"/>
              </w:rPr>
            </w:pPr>
            <w:r w:rsidRPr="00AD21FF">
              <w:rPr>
                <w:b/>
                <w:noProof/>
                <w:color w:val="000000"/>
                <w:sz w:val="20"/>
                <w:szCs w:val="20"/>
                <w:lang w:eastAsia="en-IE"/>
              </w:rPr>
              <w:t>TOTAL MFF 2021-2027</w:t>
            </w:r>
          </w:p>
        </w:tc>
        <w:tc>
          <w:tcPr>
            <w:tcW w:w="406" w:type="pct"/>
            <w:vMerge w:val="restart"/>
            <w:tcBorders>
              <w:top w:val="single" w:sz="8" w:space="0" w:color="auto"/>
              <w:left w:val="single" w:sz="8" w:space="0" w:color="auto"/>
              <w:right w:val="single" w:sz="8" w:space="0" w:color="auto"/>
            </w:tcBorders>
          </w:tcPr>
          <w:p w14:paraId="46789A50" w14:textId="77777777" w:rsidR="00395C70" w:rsidRPr="00AD21FF" w:rsidRDefault="00395C70" w:rsidP="00B065D6">
            <w:pPr>
              <w:spacing w:before="0" w:after="0"/>
              <w:jc w:val="center"/>
              <w:rPr>
                <w:b/>
                <w:noProof/>
                <w:color w:val="000000"/>
                <w:sz w:val="20"/>
                <w:szCs w:val="20"/>
                <w:lang w:eastAsia="en-IE"/>
              </w:rPr>
            </w:pPr>
            <w:r w:rsidRPr="00850EF8">
              <w:rPr>
                <w:b/>
                <w:noProof/>
                <w:color w:val="000000"/>
                <w:sz w:val="20"/>
                <w:szCs w:val="20"/>
                <w:lang w:eastAsia="en-IE"/>
              </w:rPr>
              <w:t>TOTAL MFF 202</w:t>
            </w:r>
            <w:r>
              <w:rPr>
                <w:b/>
                <w:noProof/>
                <w:color w:val="000000"/>
                <w:sz w:val="20"/>
                <w:szCs w:val="20"/>
                <w:lang w:eastAsia="en-IE"/>
              </w:rPr>
              <w:t>8</w:t>
            </w:r>
            <w:r w:rsidRPr="00850EF8">
              <w:rPr>
                <w:b/>
                <w:noProof/>
                <w:color w:val="000000"/>
                <w:sz w:val="20"/>
                <w:szCs w:val="20"/>
                <w:lang w:eastAsia="en-IE"/>
              </w:rPr>
              <w:t>-20</w:t>
            </w:r>
            <w:r>
              <w:rPr>
                <w:b/>
                <w:noProof/>
                <w:color w:val="000000"/>
                <w:sz w:val="20"/>
                <w:szCs w:val="20"/>
                <w:lang w:eastAsia="en-IE"/>
              </w:rPr>
              <w:t>34</w:t>
            </w:r>
            <w:r w:rsidR="007E3C0F">
              <w:rPr>
                <w:rStyle w:val="FootnoteReference"/>
                <w:b/>
                <w:noProof/>
                <w:color w:val="000000"/>
                <w:sz w:val="20"/>
                <w:szCs w:val="20"/>
                <w:lang w:eastAsia="en-IE"/>
              </w:rPr>
              <w:footnoteReference w:id="79"/>
            </w:r>
          </w:p>
        </w:tc>
      </w:tr>
      <w:tr w:rsidR="00395C70" w:rsidRPr="00AD21FF" w14:paraId="607253FB" w14:textId="77777777" w:rsidTr="00AC046C">
        <w:trPr>
          <w:trHeight w:val="300"/>
        </w:trPr>
        <w:tc>
          <w:tcPr>
            <w:tcW w:w="2776" w:type="pct"/>
            <w:gridSpan w:val="4"/>
            <w:vMerge/>
            <w:tcBorders>
              <w:top w:val="single" w:sz="8" w:space="0" w:color="auto"/>
              <w:left w:val="single" w:sz="8" w:space="0" w:color="auto"/>
              <w:bottom w:val="single" w:sz="8" w:space="0" w:color="auto"/>
              <w:right w:val="single" w:sz="8" w:space="0" w:color="auto"/>
            </w:tcBorders>
            <w:vAlign w:val="center"/>
            <w:hideMark/>
          </w:tcPr>
          <w:p w14:paraId="65E66866" w14:textId="77777777" w:rsidR="00395C70" w:rsidRPr="00AD21FF" w:rsidRDefault="00395C70" w:rsidP="00B065D6">
            <w:pPr>
              <w:spacing w:before="0" w:after="0"/>
              <w:jc w:val="left"/>
              <w:rPr>
                <w:noProof/>
                <w:color w:val="000000"/>
                <w:szCs w:val="24"/>
                <w:lang w:eastAsia="en-IE"/>
              </w:rPr>
            </w:pPr>
          </w:p>
        </w:tc>
        <w:tc>
          <w:tcPr>
            <w:tcW w:w="336" w:type="pct"/>
            <w:tcBorders>
              <w:top w:val="nil"/>
              <w:left w:val="nil"/>
              <w:bottom w:val="single" w:sz="8" w:space="0" w:color="auto"/>
              <w:right w:val="single" w:sz="8" w:space="0" w:color="auto"/>
            </w:tcBorders>
            <w:vAlign w:val="center"/>
            <w:hideMark/>
          </w:tcPr>
          <w:p w14:paraId="53400F75" w14:textId="77777777" w:rsidR="00395C70" w:rsidRPr="00AD21FF" w:rsidRDefault="00395C70" w:rsidP="00B065D6">
            <w:pPr>
              <w:spacing w:before="0" w:after="0"/>
              <w:jc w:val="center"/>
              <w:rPr>
                <w:b/>
                <w:noProof/>
                <w:color w:val="000000"/>
                <w:sz w:val="20"/>
                <w:szCs w:val="20"/>
                <w:lang w:eastAsia="en-IE"/>
              </w:rPr>
            </w:pPr>
            <w:r w:rsidRPr="00AD21FF">
              <w:rPr>
                <w:b/>
                <w:noProof/>
                <w:color w:val="000000"/>
                <w:sz w:val="20"/>
                <w:szCs w:val="20"/>
                <w:lang w:eastAsia="en-IE"/>
              </w:rPr>
              <w:t>2024</w:t>
            </w:r>
          </w:p>
        </w:tc>
        <w:tc>
          <w:tcPr>
            <w:tcW w:w="336" w:type="pct"/>
            <w:tcBorders>
              <w:top w:val="nil"/>
              <w:left w:val="nil"/>
              <w:bottom w:val="single" w:sz="8" w:space="0" w:color="auto"/>
              <w:right w:val="single" w:sz="8" w:space="0" w:color="auto"/>
            </w:tcBorders>
            <w:vAlign w:val="center"/>
            <w:hideMark/>
          </w:tcPr>
          <w:p w14:paraId="5B9DE5C0" w14:textId="77777777" w:rsidR="00395C70" w:rsidRPr="00AD21FF" w:rsidRDefault="00395C70" w:rsidP="00B065D6">
            <w:pPr>
              <w:spacing w:before="0" w:after="0"/>
              <w:jc w:val="center"/>
              <w:rPr>
                <w:b/>
                <w:noProof/>
                <w:color w:val="000000"/>
                <w:sz w:val="20"/>
                <w:szCs w:val="20"/>
                <w:lang w:eastAsia="en-IE"/>
              </w:rPr>
            </w:pPr>
            <w:r w:rsidRPr="00AD21FF">
              <w:rPr>
                <w:b/>
                <w:noProof/>
                <w:color w:val="000000"/>
                <w:sz w:val="20"/>
                <w:szCs w:val="20"/>
                <w:lang w:eastAsia="en-IE"/>
              </w:rPr>
              <w:t>2025</w:t>
            </w:r>
          </w:p>
        </w:tc>
        <w:tc>
          <w:tcPr>
            <w:tcW w:w="336" w:type="pct"/>
            <w:tcBorders>
              <w:top w:val="nil"/>
              <w:left w:val="nil"/>
              <w:bottom w:val="single" w:sz="8" w:space="0" w:color="auto"/>
              <w:right w:val="single" w:sz="8" w:space="0" w:color="auto"/>
            </w:tcBorders>
            <w:vAlign w:val="center"/>
            <w:hideMark/>
          </w:tcPr>
          <w:p w14:paraId="5383E651" w14:textId="77777777" w:rsidR="00395C70" w:rsidRPr="00AD21FF" w:rsidRDefault="00395C70" w:rsidP="00B065D6">
            <w:pPr>
              <w:spacing w:before="0" w:after="0"/>
              <w:jc w:val="center"/>
              <w:rPr>
                <w:b/>
                <w:noProof/>
                <w:color w:val="000000"/>
                <w:sz w:val="20"/>
                <w:szCs w:val="20"/>
                <w:lang w:eastAsia="en-IE"/>
              </w:rPr>
            </w:pPr>
            <w:r w:rsidRPr="00AD21FF">
              <w:rPr>
                <w:b/>
                <w:noProof/>
                <w:color w:val="000000"/>
                <w:sz w:val="20"/>
                <w:szCs w:val="20"/>
                <w:lang w:eastAsia="en-IE"/>
              </w:rPr>
              <w:t>2026</w:t>
            </w:r>
          </w:p>
        </w:tc>
        <w:tc>
          <w:tcPr>
            <w:tcW w:w="392" w:type="pct"/>
            <w:gridSpan w:val="2"/>
            <w:tcBorders>
              <w:top w:val="nil"/>
              <w:left w:val="nil"/>
              <w:bottom w:val="single" w:sz="8" w:space="0" w:color="auto"/>
              <w:right w:val="single" w:sz="8" w:space="0" w:color="auto"/>
            </w:tcBorders>
            <w:vAlign w:val="center"/>
            <w:hideMark/>
          </w:tcPr>
          <w:p w14:paraId="06279D07" w14:textId="77777777" w:rsidR="00395C70" w:rsidRPr="00AD21FF" w:rsidRDefault="00395C70" w:rsidP="00B065D6">
            <w:pPr>
              <w:spacing w:before="0" w:after="0"/>
              <w:jc w:val="center"/>
              <w:rPr>
                <w:b/>
                <w:noProof/>
                <w:color w:val="000000"/>
                <w:sz w:val="20"/>
                <w:szCs w:val="20"/>
                <w:lang w:eastAsia="en-IE"/>
              </w:rPr>
            </w:pPr>
            <w:r w:rsidRPr="00AD21FF">
              <w:rPr>
                <w:b/>
                <w:noProof/>
                <w:color w:val="000000"/>
                <w:sz w:val="20"/>
                <w:szCs w:val="20"/>
                <w:lang w:eastAsia="en-IE"/>
              </w:rPr>
              <w:t>2027</w:t>
            </w:r>
          </w:p>
        </w:tc>
        <w:tc>
          <w:tcPr>
            <w:tcW w:w="417" w:type="pct"/>
            <w:vMerge/>
            <w:tcBorders>
              <w:top w:val="single" w:sz="8" w:space="0" w:color="auto"/>
              <w:left w:val="single" w:sz="8" w:space="0" w:color="auto"/>
              <w:bottom w:val="single" w:sz="8" w:space="0" w:color="000000"/>
              <w:right w:val="single" w:sz="8" w:space="0" w:color="auto"/>
            </w:tcBorders>
            <w:vAlign w:val="center"/>
            <w:hideMark/>
          </w:tcPr>
          <w:p w14:paraId="38BFC2BA" w14:textId="77777777" w:rsidR="00395C70" w:rsidRPr="00AD21FF" w:rsidRDefault="00395C70" w:rsidP="00B065D6">
            <w:pPr>
              <w:spacing w:before="0" w:after="0"/>
              <w:jc w:val="left"/>
              <w:rPr>
                <w:b/>
                <w:noProof/>
                <w:color w:val="000000"/>
                <w:sz w:val="20"/>
                <w:szCs w:val="20"/>
                <w:lang w:eastAsia="en-IE"/>
              </w:rPr>
            </w:pPr>
          </w:p>
        </w:tc>
        <w:tc>
          <w:tcPr>
            <w:tcW w:w="406" w:type="pct"/>
            <w:vMerge/>
            <w:tcBorders>
              <w:left w:val="single" w:sz="8" w:space="0" w:color="auto"/>
              <w:bottom w:val="single" w:sz="8" w:space="0" w:color="000000"/>
              <w:right w:val="single" w:sz="8" w:space="0" w:color="auto"/>
            </w:tcBorders>
          </w:tcPr>
          <w:p w14:paraId="2F9E215A" w14:textId="77777777" w:rsidR="00395C70" w:rsidRPr="00AD21FF" w:rsidRDefault="00395C70" w:rsidP="00B065D6">
            <w:pPr>
              <w:spacing w:before="0" w:after="0"/>
              <w:jc w:val="left"/>
              <w:rPr>
                <w:b/>
                <w:noProof/>
                <w:color w:val="000000"/>
                <w:sz w:val="20"/>
                <w:szCs w:val="20"/>
                <w:lang w:eastAsia="en-IE"/>
              </w:rPr>
            </w:pPr>
          </w:p>
        </w:tc>
      </w:tr>
      <w:tr w:rsidR="00AC046C" w:rsidRPr="00AD21FF" w14:paraId="403B4886" w14:textId="77777777" w:rsidTr="00AC046C">
        <w:trPr>
          <w:trHeight w:val="300"/>
        </w:trPr>
        <w:tc>
          <w:tcPr>
            <w:tcW w:w="2776" w:type="pct"/>
            <w:gridSpan w:val="4"/>
            <w:tcBorders>
              <w:top w:val="single" w:sz="8" w:space="0" w:color="auto"/>
              <w:left w:val="single" w:sz="8" w:space="0" w:color="auto"/>
              <w:bottom w:val="single" w:sz="8" w:space="0" w:color="auto"/>
              <w:right w:val="single" w:sz="8" w:space="0" w:color="auto"/>
            </w:tcBorders>
            <w:vAlign w:val="center"/>
            <w:hideMark/>
          </w:tcPr>
          <w:p w14:paraId="1D0CBFAB" w14:textId="77777777" w:rsidR="00AC046C" w:rsidRPr="00AD21FF" w:rsidRDefault="00AC046C" w:rsidP="00AC046C">
            <w:pPr>
              <w:spacing w:before="0" w:after="0"/>
              <w:jc w:val="left"/>
              <w:rPr>
                <w:rFonts w:ascii="Wingdings" w:hAnsi="Wingdings" w:cs="Calibri"/>
                <w:noProof/>
                <w:color w:val="000000"/>
                <w:sz w:val="22"/>
                <w:lang w:eastAsia="en-IE"/>
              </w:rPr>
            </w:pPr>
            <w:r w:rsidRPr="00AD21FF">
              <w:rPr>
                <w:rFonts w:ascii="Wingdings" w:hAnsi="Wingdings" w:cs="Calibri"/>
                <w:noProof/>
                <w:color w:val="000000"/>
                <w:sz w:val="22"/>
                <w:lang w:eastAsia="en-IE"/>
              </w:rPr>
              <w:t></w:t>
            </w:r>
            <w:r w:rsidRPr="00AD21FF">
              <w:rPr>
                <w:noProof/>
                <w:color w:val="000000"/>
                <w:sz w:val="22"/>
                <w:lang w:eastAsia="en-IE"/>
              </w:rPr>
              <w:t xml:space="preserve"> Human resources </w:t>
            </w:r>
          </w:p>
        </w:tc>
        <w:tc>
          <w:tcPr>
            <w:tcW w:w="336" w:type="pct"/>
            <w:tcBorders>
              <w:top w:val="nil"/>
              <w:left w:val="nil"/>
              <w:bottom w:val="single" w:sz="8" w:space="0" w:color="auto"/>
              <w:right w:val="single" w:sz="8" w:space="0" w:color="auto"/>
            </w:tcBorders>
            <w:shd w:val="clear" w:color="000000" w:fill="D9D9D9"/>
            <w:vAlign w:val="center"/>
            <w:hideMark/>
          </w:tcPr>
          <w:p w14:paraId="0D21C3CA" w14:textId="77777777" w:rsidR="00AC046C" w:rsidRPr="00AD21FF" w:rsidRDefault="00AC046C" w:rsidP="00AC046C">
            <w:pPr>
              <w:spacing w:before="0" w:after="0"/>
              <w:jc w:val="right"/>
              <w:rPr>
                <w:noProof/>
                <w:color w:val="000000"/>
                <w:sz w:val="20"/>
                <w:szCs w:val="20"/>
                <w:lang w:eastAsia="en-IE"/>
              </w:rPr>
            </w:pPr>
            <w:r w:rsidRPr="00AD21FF">
              <w:rPr>
                <w:noProof/>
                <w:sz w:val="20"/>
                <w:szCs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6360C67E" w14:textId="77777777" w:rsidR="00AC046C" w:rsidRPr="00AD21FF" w:rsidRDefault="00AC046C" w:rsidP="00AC046C">
            <w:pPr>
              <w:spacing w:before="0" w:after="0"/>
              <w:jc w:val="right"/>
              <w:rPr>
                <w:noProof/>
                <w:color w:val="000000"/>
                <w:sz w:val="20"/>
                <w:szCs w:val="20"/>
                <w:lang w:eastAsia="en-IE"/>
              </w:rPr>
            </w:pPr>
            <w:r w:rsidRPr="00AD21FF">
              <w:rPr>
                <w:noProof/>
                <w:sz w:val="20"/>
                <w:szCs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12ABACC3" w14:textId="77777777" w:rsidR="00AC046C" w:rsidRPr="00AD21FF" w:rsidRDefault="00AC046C" w:rsidP="00AC046C">
            <w:pPr>
              <w:spacing w:before="0" w:after="0"/>
              <w:jc w:val="right"/>
              <w:rPr>
                <w:noProof/>
                <w:color w:val="000000"/>
                <w:sz w:val="20"/>
                <w:szCs w:val="20"/>
                <w:lang w:eastAsia="en-IE"/>
              </w:rPr>
            </w:pPr>
            <w:r w:rsidRPr="00AD21FF">
              <w:rPr>
                <w:noProof/>
                <w:sz w:val="20"/>
                <w:szCs w:val="20"/>
              </w:rPr>
              <w:t>0.000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5F0F7846" w14:textId="77777777" w:rsidR="00AC046C" w:rsidRPr="00AC046C" w:rsidRDefault="00E2196F" w:rsidP="00AC046C">
            <w:pPr>
              <w:jc w:val="right"/>
              <w:rPr>
                <w:noProof/>
                <w:color w:val="000000"/>
                <w:sz w:val="20"/>
                <w:szCs w:val="20"/>
                <w:lang w:eastAsia="en-IE"/>
              </w:rPr>
            </w:pPr>
            <w:r>
              <w:rPr>
                <w:rFonts w:eastAsia="Times New Roman"/>
                <w:noProof/>
                <w:color w:val="000000"/>
                <w:sz w:val="20"/>
                <w:szCs w:val="20"/>
                <w:lang w:val="en-IE" w:eastAsia="en-IE"/>
              </w:rPr>
              <w:t>1.164</w:t>
            </w:r>
          </w:p>
        </w:tc>
        <w:tc>
          <w:tcPr>
            <w:tcW w:w="417" w:type="pct"/>
            <w:tcBorders>
              <w:top w:val="nil"/>
              <w:left w:val="nil"/>
              <w:bottom w:val="single" w:sz="8" w:space="0" w:color="auto"/>
              <w:right w:val="single" w:sz="8" w:space="0" w:color="auto"/>
            </w:tcBorders>
            <w:shd w:val="clear" w:color="000000" w:fill="D9D9D9"/>
            <w:vAlign w:val="center"/>
            <w:hideMark/>
          </w:tcPr>
          <w:p w14:paraId="6F86018C" w14:textId="77777777" w:rsidR="00AC046C" w:rsidRPr="00F606C9" w:rsidRDefault="00E2196F" w:rsidP="00AC046C">
            <w:pPr>
              <w:spacing w:before="0" w:after="0"/>
              <w:jc w:val="right"/>
              <w:rPr>
                <w:b/>
                <w:noProof/>
                <w:sz w:val="20"/>
                <w:szCs w:val="20"/>
              </w:rPr>
            </w:pPr>
            <w:r w:rsidRPr="00F606C9">
              <w:rPr>
                <w:rFonts w:eastAsia="Times New Roman"/>
                <w:b/>
                <w:noProof/>
                <w:color w:val="000000"/>
                <w:sz w:val="20"/>
                <w:szCs w:val="20"/>
                <w:lang w:val="en-IE" w:eastAsia="en-IE"/>
              </w:rPr>
              <w:t>1.164</w:t>
            </w:r>
          </w:p>
        </w:tc>
        <w:tc>
          <w:tcPr>
            <w:tcW w:w="406" w:type="pct"/>
            <w:tcBorders>
              <w:top w:val="nil"/>
              <w:left w:val="nil"/>
              <w:bottom w:val="single" w:sz="8" w:space="0" w:color="auto"/>
              <w:right w:val="single" w:sz="8" w:space="0" w:color="auto"/>
            </w:tcBorders>
            <w:shd w:val="clear" w:color="000000" w:fill="D9D9D9"/>
            <w:vAlign w:val="center"/>
          </w:tcPr>
          <w:p w14:paraId="02F65C30" w14:textId="77777777" w:rsidR="00AC046C" w:rsidRPr="00AC046C" w:rsidRDefault="00F606C9" w:rsidP="00AC046C">
            <w:pPr>
              <w:spacing w:before="0" w:after="0"/>
              <w:jc w:val="right"/>
              <w:rPr>
                <w:b/>
                <w:bCs/>
                <w:noProof/>
                <w:sz w:val="20"/>
                <w:szCs w:val="20"/>
              </w:rPr>
            </w:pPr>
            <w:r w:rsidRPr="003313E5">
              <w:rPr>
                <w:rFonts w:eastAsia="Times New Roman"/>
                <w:b/>
                <w:bCs/>
                <w:noProof/>
                <w:color w:val="000000"/>
                <w:sz w:val="20"/>
                <w:szCs w:val="20"/>
                <w:lang w:val="en-IE" w:eastAsia="en-IE"/>
              </w:rPr>
              <w:t>8.148</w:t>
            </w:r>
          </w:p>
        </w:tc>
      </w:tr>
      <w:tr w:rsidR="00B065D6" w:rsidRPr="00AD21FF" w14:paraId="4835FDA6" w14:textId="77777777" w:rsidTr="00AC046C">
        <w:trPr>
          <w:trHeight w:val="300"/>
        </w:trPr>
        <w:tc>
          <w:tcPr>
            <w:tcW w:w="2776" w:type="pct"/>
            <w:gridSpan w:val="4"/>
            <w:tcBorders>
              <w:top w:val="single" w:sz="8" w:space="0" w:color="auto"/>
              <w:left w:val="single" w:sz="8" w:space="0" w:color="auto"/>
              <w:bottom w:val="single" w:sz="8" w:space="0" w:color="auto"/>
              <w:right w:val="single" w:sz="8" w:space="0" w:color="auto"/>
            </w:tcBorders>
            <w:vAlign w:val="center"/>
            <w:hideMark/>
          </w:tcPr>
          <w:p w14:paraId="3D5A012B" w14:textId="77777777" w:rsidR="00B065D6" w:rsidRPr="00AD21FF" w:rsidRDefault="00B065D6" w:rsidP="00B065D6">
            <w:pPr>
              <w:spacing w:before="0" w:after="0"/>
              <w:jc w:val="left"/>
              <w:rPr>
                <w:rFonts w:ascii="Wingdings" w:hAnsi="Wingdings" w:cs="Calibri"/>
                <w:noProof/>
                <w:color w:val="000000"/>
                <w:sz w:val="22"/>
                <w:lang w:eastAsia="en-IE"/>
              </w:rPr>
            </w:pPr>
            <w:r w:rsidRPr="00AD21FF">
              <w:rPr>
                <w:rFonts w:ascii="Wingdings" w:hAnsi="Wingdings" w:cs="Calibri"/>
                <w:noProof/>
                <w:color w:val="000000"/>
                <w:sz w:val="22"/>
                <w:lang w:eastAsia="en-IE"/>
              </w:rPr>
              <w:t></w:t>
            </w:r>
            <w:r w:rsidRPr="00AD21FF">
              <w:rPr>
                <w:noProof/>
                <w:color w:val="000000"/>
                <w:sz w:val="22"/>
                <w:lang w:eastAsia="en-IE"/>
              </w:rPr>
              <w:t xml:space="preserve"> Other administrative expenditure </w:t>
            </w:r>
          </w:p>
        </w:tc>
        <w:tc>
          <w:tcPr>
            <w:tcW w:w="336" w:type="pct"/>
            <w:tcBorders>
              <w:top w:val="nil"/>
              <w:left w:val="nil"/>
              <w:bottom w:val="single" w:sz="8" w:space="0" w:color="auto"/>
              <w:right w:val="single" w:sz="8" w:space="0" w:color="auto"/>
            </w:tcBorders>
            <w:shd w:val="clear" w:color="000000" w:fill="D9D9D9"/>
            <w:vAlign w:val="center"/>
            <w:hideMark/>
          </w:tcPr>
          <w:p w14:paraId="40EB99D9" w14:textId="77777777" w:rsidR="00B065D6" w:rsidRPr="00AD21FF" w:rsidRDefault="00B065D6" w:rsidP="00B065D6">
            <w:pPr>
              <w:spacing w:before="0" w:after="0"/>
              <w:jc w:val="right"/>
              <w:rPr>
                <w:noProof/>
                <w:color w:val="000000"/>
                <w:sz w:val="20"/>
                <w:szCs w:val="20"/>
                <w:lang w:eastAsia="en-IE"/>
              </w:rPr>
            </w:pPr>
            <w:r w:rsidRPr="00AD21FF">
              <w:rPr>
                <w:noProof/>
                <w:color w:val="000000"/>
                <w:sz w:val="20"/>
                <w:szCs w:val="20"/>
                <w:lang w:eastAsia="en-IE"/>
              </w:rPr>
              <w:t>0.000</w:t>
            </w:r>
          </w:p>
        </w:tc>
        <w:tc>
          <w:tcPr>
            <w:tcW w:w="336" w:type="pct"/>
            <w:tcBorders>
              <w:top w:val="nil"/>
              <w:left w:val="nil"/>
              <w:bottom w:val="single" w:sz="8" w:space="0" w:color="auto"/>
              <w:right w:val="single" w:sz="8" w:space="0" w:color="auto"/>
            </w:tcBorders>
            <w:shd w:val="clear" w:color="000000" w:fill="D9D9D9"/>
            <w:vAlign w:val="center"/>
            <w:hideMark/>
          </w:tcPr>
          <w:p w14:paraId="297A01C2" w14:textId="77777777" w:rsidR="00B065D6" w:rsidRPr="00AD21FF" w:rsidRDefault="00B065D6" w:rsidP="00B065D6">
            <w:pPr>
              <w:spacing w:before="0" w:after="0"/>
              <w:jc w:val="right"/>
              <w:rPr>
                <w:noProof/>
                <w:color w:val="000000"/>
                <w:sz w:val="20"/>
                <w:szCs w:val="20"/>
                <w:lang w:eastAsia="en-IE"/>
              </w:rPr>
            </w:pPr>
            <w:r w:rsidRPr="00AD21FF">
              <w:rPr>
                <w:noProof/>
                <w:color w:val="000000"/>
                <w:sz w:val="20"/>
                <w:szCs w:val="20"/>
                <w:lang w:eastAsia="en-IE"/>
              </w:rPr>
              <w:t>0.000</w:t>
            </w:r>
          </w:p>
        </w:tc>
        <w:tc>
          <w:tcPr>
            <w:tcW w:w="336" w:type="pct"/>
            <w:tcBorders>
              <w:top w:val="nil"/>
              <w:left w:val="nil"/>
              <w:bottom w:val="single" w:sz="8" w:space="0" w:color="auto"/>
              <w:right w:val="single" w:sz="8" w:space="0" w:color="auto"/>
            </w:tcBorders>
            <w:shd w:val="clear" w:color="000000" w:fill="D9D9D9"/>
            <w:vAlign w:val="center"/>
            <w:hideMark/>
          </w:tcPr>
          <w:p w14:paraId="48A246D8" w14:textId="77777777" w:rsidR="00B065D6" w:rsidRPr="00AD21FF" w:rsidRDefault="00B065D6" w:rsidP="00B065D6">
            <w:pPr>
              <w:spacing w:before="0" w:after="0"/>
              <w:jc w:val="right"/>
              <w:rPr>
                <w:noProof/>
                <w:color w:val="000000"/>
                <w:sz w:val="20"/>
                <w:szCs w:val="20"/>
                <w:lang w:eastAsia="en-IE"/>
              </w:rPr>
            </w:pPr>
            <w:r w:rsidRPr="00AD21FF">
              <w:rPr>
                <w:noProof/>
                <w:color w:val="000000"/>
                <w:sz w:val="20"/>
                <w:szCs w:val="20"/>
                <w:lang w:eastAsia="en-IE"/>
              </w:rPr>
              <w:t>0.000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14849E5E" w14:textId="77777777" w:rsidR="00B065D6" w:rsidRPr="00AD21FF" w:rsidRDefault="00B065D6" w:rsidP="00B065D6">
            <w:pPr>
              <w:spacing w:before="0" w:after="0"/>
              <w:jc w:val="right"/>
              <w:rPr>
                <w:noProof/>
                <w:color w:val="000000"/>
                <w:sz w:val="20"/>
                <w:szCs w:val="20"/>
                <w:lang w:eastAsia="en-IE"/>
              </w:rPr>
            </w:pPr>
            <w:r w:rsidRPr="00AD21FF">
              <w:rPr>
                <w:noProof/>
                <w:color w:val="000000"/>
                <w:sz w:val="20"/>
                <w:szCs w:val="20"/>
                <w:lang w:eastAsia="en-IE"/>
              </w:rPr>
              <w:t>0.000</w:t>
            </w:r>
          </w:p>
        </w:tc>
        <w:tc>
          <w:tcPr>
            <w:tcW w:w="417" w:type="pct"/>
            <w:tcBorders>
              <w:top w:val="nil"/>
              <w:left w:val="nil"/>
              <w:bottom w:val="single" w:sz="8" w:space="0" w:color="auto"/>
              <w:right w:val="single" w:sz="8" w:space="0" w:color="auto"/>
            </w:tcBorders>
            <w:shd w:val="clear" w:color="000000" w:fill="D9D9D9"/>
            <w:vAlign w:val="center"/>
            <w:hideMark/>
          </w:tcPr>
          <w:p w14:paraId="3EBC4414" w14:textId="77777777" w:rsidR="00B065D6" w:rsidRPr="00AD21FF" w:rsidRDefault="00B065D6" w:rsidP="00B065D6">
            <w:pPr>
              <w:spacing w:before="0" w:after="0"/>
              <w:jc w:val="right"/>
              <w:rPr>
                <w:b/>
                <w:noProof/>
                <w:color w:val="000000"/>
                <w:sz w:val="20"/>
                <w:szCs w:val="20"/>
                <w:lang w:eastAsia="en-IE"/>
              </w:rPr>
            </w:pPr>
            <w:r w:rsidRPr="00AD21FF">
              <w:rPr>
                <w:b/>
                <w:noProof/>
                <w:color w:val="000000"/>
                <w:sz w:val="20"/>
                <w:szCs w:val="20"/>
                <w:lang w:eastAsia="en-IE"/>
              </w:rPr>
              <w:t>0.000</w:t>
            </w:r>
          </w:p>
        </w:tc>
        <w:tc>
          <w:tcPr>
            <w:tcW w:w="406" w:type="pct"/>
            <w:tcBorders>
              <w:top w:val="nil"/>
              <w:left w:val="nil"/>
              <w:bottom w:val="single" w:sz="8" w:space="0" w:color="auto"/>
              <w:right w:val="single" w:sz="8" w:space="0" w:color="auto"/>
            </w:tcBorders>
            <w:shd w:val="clear" w:color="000000" w:fill="D9D9D9"/>
            <w:vAlign w:val="center"/>
          </w:tcPr>
          <w:p w14:paraId="578C9B7D" w14:textId="77777777" w:rsidR="00B065D6" w:rsidRPr="00F606C9" w:rsidRDefault="007340B3" w:rsidP="00C90A84">
            <w:pPr>
              <w:spacing w:before="0" w:after="0"/>
              <w:jc w:val="right"/>
              <w:rPr>
                <w:b/>
                <w:noProof/>
                <w:sz w:val="20"/>
                <w:szCs w:val="20"/>
              </w:rPr>
            </w:pPr>
            <w:r w:rsidRPr="00F606C9">
              <w:rPr>
                <w:b/>
                <w:noProof/>
                <w:sz w:val="20"/>
                <w:szCs w:val="20"/>
              </w:rPr>
              <w:t>0.000</w:t>
            </w:r>
          </w:p>
        </w:tc>
      </w:tr>
      <w:tr w:rsidR="00AC046C" w:rsidRPr="00AD21FF" w14:paraId="2AC48D17" w14:textId="77777777" w:rsidTr="00AC046C">
        <w:trPr>
          <w:trHeight w:val="300"/>
        </w:trPr>
        <w:tc>
          <w:tcPr>
            <w:tcW w:w="1505" w:type="pct"/>
            <w:tcBorders>
              <w:top w:val="nil"/>
              <w:left w:val="single" w:sz="8" w:space="0" w:color="auto"/>
              <w:bottom w:val="single" w:sz="8" w:space="0" w:color="auto"/>
              <w:right w:val="single" w:sz="8" w:space="0" w:color="auto"/>
            </w:tcBorders>
            <w:vAlign w:val="center"/>
            <w:hideMark/>
          </w:tcPr>
          <w:p w14:paraId="5A50B114" w14:textId="77777777" w:rsidR="00AC046C" w:rsidRPr="00AD21FF" w:rsidRDefault="00AC046C" w:rsidP="00AC046C">
            <w:pPr>
              <w:spacing w:before="0" w:after="0"/>
              <w:jc w:val="center"/>
              <w:rPr>
                <w:b/>
                <w:noProof/>
                <w:color w:val="000000"/>
                <w:sz w:val="22"/>
                <w:lang w:eastAsia="en-IE"/>
              </w:rPr>
            </w:pPr>
            <w:r w:rsidRPr="00AD21FF">
              <w:rPr>
                <w:b/>
                <w:noProof/>
                <w:color w:val="000000"/>
                <w:sz w:val="22"/>
                <w:lang w:eastAsia="en-IE"/>
              </w:rPr>
              <w:t>TOTAL DG GROW</w:t>
            </w:r>
          </w:p>
        </w:tc>
        <w:tc>
          <w:tcPr>
            <w:tcW w:w="1272" w:type="pct"/>
            <w:gridSpan w:val="3"/>
            <w:tcBorders>
              <w:top w:val="single" w:sz="8" w:space="0" w:color="auto"/>
              <w:left w:val="nil"/>
              <w:bottom w:val="single" w:sz="8" w:space="0" w:color="auto"/>
              <w:right w:val="single" w:sz="8" w:space="0" w:color="auto"/>
            </w:tcBorders>
            <w:vAlign w:val="center"/>
            <w:hideMark/>
          </w:tcPr>
          <w:p w14:paraId="64A63C0F" w14:textId="77777777" w:rsidR="00AC046C" w:rsidRPr="00AD21FF" w:rsidRDefault="00AC046C" w:rsidP="00AC046C">
            <w:pPr>
              <w:spacing w:before="0" w:after="0"/>
              <w:jc w:val="left"/>
              <w:rPr>
                <w:noProof/>
                <w:color w:val="000000"/>
                <w:sz w:val="18"/>
                <w:szCs w:val="18"/>
                <w:lang w:eastAsia="en-IE"/>
              </w:rPr>
            </w:pPr>
            <w:r w:rsidRPr="00AD21FF">
              <w:rPr>
                <w:noProof/>
                <w:color w:val="000000"/>
                <w:sz w:val="18"/>
                <w:szCs w:val="18"/>
                <w:lang w:eastAsia="en-IE"/>
              </w:rPr>
              <w:t xml:space="preserve">Appropriations </w:t>
            </w:r>
          </w:p>
        </w:tc>
        <w:tc>
          <w:tcPr>
            <w:tcW w:w="336" w:type="pct"/>
            <w:tcBorders>
              <w:top w:val="nil"/>
              <w:left w:val="nil"/>
              <w:bottom w:val="single" w:sz="8" w:space="0" w:color="auto"/>
              <w:right w:val="single" w:sz="8" w:space="0" w:color="auto"/>
            </w:tcBorders>
            <w:shd w:val="clear" w:color="000000" w:fill="D9D9D9"/>
            <w:vAlign w:val="center"/>
            <w:hideMark/>
          </w:tcPr>
          <w:p w14:paraId="585AE596" w14:textId="77777777" w:rsidR="00AC046C" w:rsidRPr="00AD21FF" w:rsidRDefault="00AC046C" w:rsidP="00AC046C">
            <w:pPr>
              <w:spacing w:before="0" w:after="0"/>
              <w:jc w:val="right"/>
              <w:rPr>
                <w:b/>
                <w:noProof/>
                <w:color w:val="000000"/>
                <w:sz w:val="20"/>
                <w:szCs w:val="20"/>
                <w:lang w:eastAsia="en-IE"/>
              </w:rPr>
            </w:pPr>
            <w:r w:rsidRPr="00AD21FF">
              <w:rPr>
                <w:b/>
                <w:bCs/>
                <w:noProof/>
                <w:sz w:val="20"/>
                <w:szCs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3226990A" w14:textId="77777777" w:rsidR="00AC046C" w:rsidRPr="00AD21FF" w:rsidRDefault="00AC046C" w:rsidP="00AC046C">
            <w:pPr>
              <w:spacing w:before="0" w:after="0"/>
              <w:jc w:val="right"/>
              <w:rPr>
                <w:b/>
                <w:noProof/>
                <w:color w:val="000000"/>
                <w:sz w:val="20"/>
                <w:szCs w:val="20"/>
                <w:lang w:eastAsia="en-IE"/>
              </w:rPr>
            </w:pPr>
            <w:r w:rsidRPr="00AD21FF">
              <w:rPr>
                <w:b/>
                <w:bCs/>
                <w:noProof/>
                <w:sz w:val="20"/>
                <w:szCs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0DC9DD8B" w14:textId="77777777" w:rsidR="00AC046C" w:rsidRPr="00AD21FF" w:rsidRDefault="00AC046C" w:rsidP="00AC046C">
            <w:pPr>
              <w:spacing w:before="0" w:after="0"/>
              <w:jc w:val="right"/>
              <w:rPr>
                <w:b/>
                <w:noProof/>
                <w:color w:val="000000"/>
                <w:sz w:val="20"/>
                <w:szCs w:val="20"/>
                <w:lang w:eastAsia="en-IE"/>
              </w:rPr>
            </w:pPr>
            <w:r w:rsidRPr="00AD21FF">
              <w:rPr>
                <w:b/>
                <w:bCs/>
                <w:noProof/>
                <w:sz w:val="20"/>
                <w:szCs w:val="20"/>
              </w:rPr>
              <w:t>0.000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1444C6DC" w14:textId="77777777" w:rsidR="00AC046C" w:rsidRPr="00AD21FF" w:rsidRDefault="00E2196F" w:rsidP="00AC046C">
            <w:pPr>
              <w:spacing w:before="0" w:after="0"/>
              <w:jc w:val="right"/>
              <w:rPr>
                <w:b/>
                <w:noProof/>
                <w:color w:val="000000"/>
                <w:sz w:val="20"/>
                <w:szCs w:val="20"/>
                <w:lang w:eastAsia="en-IE"/>
              </w:rPr>
            </w:pPr>
            <w:r w:rsidRPr="00F606C9">
              <w:rPr>
                <w:rFonts w:eastAsia="Times New Roman"/>
                <w:b/>
                <w:noProof/>
                <w:color w:val="000000"/>
                <w:sz w:val="20"/>
                <w:szCs w:val="20"/>
                <w:lang w:val="en-IE" w:eastAsia="en-IE"/>
              </w:rPr>
              <w:t>1.164</w:t>
            </w:r>
          </w:p>
        </w:tc>
        <w:tc>
          <w:tcPr>
            <w:tcW w:w="417" w:type="pct"/>
            <w:tcBorders>
              <w:top w:val="nil"/>
              <w:left w:val="nil"/>
              <w:bottom w:val="single" w:sz="8" w:space="0" w:color="auto"/>
              <w:right w:val="single" w:sz="8" w:space="0" w:color="auto"/>
            </w:tcBorders>
            <w:shd w:val="clear" w:color="000000" w:fill="D9D9D9"/>
            <w:vAlign w:val="center"/>
            <w:hideMark/>
          </w:tcPr>
          <w:p w14:paraId="2D8DA397" w14:textId="77777777" w:rsidR="00AC046C" w:rsidRPr="00A51D68" w:rsidRDefault="00E2196F" w:rsidP="00AC046C">
            <w:pPr>
              <w:spacing w:before="0" w:after="0"/>
              <w:jc w:val="right"/>
              <w:rPr>
                <w:b/>
                <w:bCs/>
                <w:noProof/>
                <w:sz w:val="20"/>
                <w:szCs w:val="20"/>
              </w:rPr>
            </w:pPr>
            <w:r w:rsidRPr="00F606C9">
              <w:rPr>
                <w:rFonts w:eastAsia="Times New Roman"/>
                <w:b/>
                <w:noProof/>
                <w:color w:val="000000"/>
                <w:sz w:val="20"/>
                <w:szCs w:val="20"/>
                <w:lang w:val="en-IE" w:eastAsia="en-IE"/>
              </w:rPr>
              <w:t>1.164</w:t>
            </w:r>
          </w:p>
        </w:tc>
        <w:tc>
          <w:tcPr>
            <w:tcW w:w="406" w:type="pct"/>
            <w:tcBorders>
              <w:top w:val="nil"/>
              <w:left w:val="nil"/>
              <w:bottom w:val="single" w:sz="8" w:space="0" w:color="auto"/>
              <w:right w:val="single" w:sz="8" w:space="0" w:color="auto"/>
            </w:tcBorders>
            <w:shd w:val="clear" w:color="000000" w:fill="D9D9D9"/>
            <w:vAlign w:val="center"/>
          </w:tcPr>
          <w:p w14:paraId="2DC99E24" w14:textId="77777777" w:rsidR="00AC046C" w:rsidRPr="00A51D68" w:rsidRDefault="00F606C9" w:rsidP="00AC046C">
            <w:pPr>
              <w:spacing w:before="0" w:after="0"/>
              <w:jc w:val="right"/>
              <w:rPr>
                <w:b/>
                <w:bCs/>
                <w:noProof/>
                <w:sz w:val="20"/>
                <w:szCs w:val="20"/>
              </w:rPr>
            </w:pPr>
            <w:r w:rsidRPr="003313E5">
              <w:rPr>
                <w:rFonts w:eastAsia="Times New Roman"/>
                <w:b/>
                <w:bCs/>
                <w:noProof/>
                <w:color w:val="000000"/>
                <w:sz w:val="20"/>
                <w:szCs w:val="20"/>
                <w:lang w:val="en-IE" w:eastAsia="en-IE"/>
              </w:rPr>
              <w:t>8.148</w:t>
            </w:r>
          </w:p>
        </w:tc>
      </w:tr>
      <w:tr w:rsidR="00D245AF" w:rsidRPr="00AD21FF" w14:paraId="6E00E76C" w14:textId="77777777" w:rsidTr="003829E9">
        <w:trPr>
          <w:trHeight w:val="300"/>
        </w:trPr>
        <w:tc>
          <w:tcPr>
            <w:tcW w:w="1512" w:type="pct"/>
            <w:tcBorders>
              <w:top w:val="nil"/>
              <w:left w:val="nil"/>
              <w:bottom w:val="nil"/>
              <w:right w:val="nil"/>
            </w:tcBorders>
            <w:noWrap/>
            <w:vAlign w:val="bottom"/>
            <w:hideMark/>
          </w:tcPr>
          <w:p w14:paraId="5165862B" w14:textId="77777777" w:rsidR="00D245AF" w:rsidRPr="00AD21FF" w:rsidRDefault="00D245AF" w:rsidP="00F606C9">
            <w:pPr>
              <w:spacing w:before="0" w:after="200" w:line="276" w:lineRule="auto"/>
              <w:jc w:val="left"/>
              <w:rPr>
                <w:b/>
                <w:noProof/>
                <w:color w:val="000000"/>
                <w:sz w:val="20"/>
                <w:szCs w:val="20"/>
                <w:lang w:eastAsia="en-IE"/>
              </w:rPr>
            </w:pPr>
          </w:p>
        </w:tc>
        <w:tc>
          <w:tcPr>
            <w:tcW w:w="856" w:type="pct"/>
            <w:tcBorders>
              <w:top w:val="nil"/>
              <w:left w:val="nil"/>
              <w:bottom w:val="nil"/>
              <w:right w:val="nil"/>
            </w:tcBorders>
            <w:noWrap/>
            <w:vAlign w:val="bottom"/>
            <w:hideMark/>
          </w:tcPr>
          <w:p w14:paraId="3ED8FF28" w14:textId="77777777" w:rsidR="00D245AF" w:rsidRPr="00AD21FF" w:rsidRDefault="00D245AF">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25C16BB6" w14:textId="77777777" w:rsidR="00D245AF" w:rsidRPr="00AD21FF" w:rsidRDefault="00D245AF">
            <w:pPr>
              <w:spacing w:before="0" w:after="0"/>
              <w:jc w:val="left"/>
              <w:rPr>
                <w:noProof/>
                <w:sz w:val="20"/>
                <w:szCs w:val="20"/>
                <w:lang w:eastAsia="en-IE"/>
              </w:rPr>
            </w:pPr>
          </w:p>
        </w:tc>
        <w:tc>
          <w:tcPr>
            <w:tcW w:w="213" w:type="pct"/>
            <w:tcBorders>
              <w:top w:val="nil"/>
              <w:left w:val="nil"/>
              <w:bottom w:val="nil"/>
              <w:right w:val="nil"/>
            </w:tcBorders>
            <w:noWrap/>
            <w:vAlign w:val="bottom"/>
            <w:hideMark/>
          </w:tcPr>
          <w:p w14:paraId="084DF837" w14:textId="77777777" w:rsidR="00D245AF" w:rsidRPr="00AD21FF"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32381A51" w14:textId="77777777" w:rsidR="00D245AF" w:rsidRPr="00AD21FF"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2D566214" w14:textId="77777777" w:rsidR="00D245AF" w:rsidRPr="00AD21FF"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65FD6C22" w14:textId="77777777" w:rsidR="00D245AF" w:rsidRPr="00AD21FF"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462A5082" w14:textId="77777777" w:rsidR="00D245AF" w:rsidRPr="00AD21FF" w:rsidRDefault="00D245AF">
            <w:pPr>
              <w:spacing w:before="0" w:after="0"/>
              <w:jc w:val="left"/>
              <w:rPr>
                <w:noProof/>
                <w:sz w:val="20"/>
                <w:szCs w:val="20"/>
                <w:lang w:eastAsia="en-IE"/>
              </w:rPr>
            </w:pPr>
          </w:p>
        </w:tc>
        <w:tc>
          <w:tcPr>
            <w:tcW w:w="424" w:type="pct"/>
            <w:gridSpan w:val="2"/>
            <w:tcBorders>
              <w:top w:val="nil"/>
              <w:left w:val="nil"/>
              <w:bottom w:val="nil"/>
              <w:right w:val="nil"/>
            </w:tcBorders>
            <w:noWrap/>
            <w:vAlign w:val="bottom"/>
            <w:hideMark/>
          </w:tcPr>
          <w:p w14:paraId="605F643D" w14:textId="77777777" w:rsidR="00D245AF" w:rsidRPr="00AD21FF" w:rsidRDefault="00D245AF">
            <w:pPr>
              <w:spacing w:before="0" w:after="0"/>
              <w:jc w:val="left"/>
              <w:rPr>
                <w:noProof/>
                <w:sz w:val="20"/>
                <w:szCs w:val="20"/>
                <w:lang w:eastAsia="en-IE"/>
              </w:rPr>
            </w:pPr>
          </w:p>
        </w:tc>
        <w:tc>
          <w:tcPr>
            <w:tcW w:w="413" w:type="pct"/>
            <w:tcBorders>
              <w:top w:val="nil"/>
              <w:left w:val="nil"/>
              <w:bottom w:val="nil"/>
              <w:right w:val="nil"/>
            </w:tcBorders>
          </w:tcPr>
          <w:p w14:paraId="46957045" w14:textId="77777777" w:rsidR="00D245AF" w:rsidRPr="00AD21FF" w:rsidRDefault="00D245AF">
            <w:pPr>
              <w:spacing w:before="0" w:after="0"/>
              <w:jc w:val="left"/>
              <w:rPr>
                <w:noProof/>
                <w:sz w:val="20"/>
                <w:szCs w:val="20"/>
                <w:lang w:eastAsia="en-IE"/>
              </w:rPr>
            </w:pPr>
          </w:p>
        </w:tc>
      </w:tr>
      <w:tr w:rsidR="00FE020D" w:rsidRPr="00AD21FF" w14:paraId="64D0103D" w14:textId="77777777" w:rsidTr="003829E9">
        <w:trPr>
          <w:trHeight w:val="900"/>
        </w:trPr>
        <w:tc>
          <w:tcPr>
            <w:tcW w:w="2368"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33BB0AB4" w14:textId="77777777" w:rsidR="00FE020D" w:rsidRPr="00AD21FF" w:rsidRDefault="00FE020D" w:rsidP="00FE020D">
            <w:pPr>
              <w:spacing w:before="0" w:after="0"/>
              <w:jc w:val="center"/>
              <w:rPr>
                <w:b/>
                <w:noProof/>
                <w:color w:val="000000"/>
                <w:sz w:val="22"/>
                <w:lang w:eastAsia="en-IE"/>
              </w:rPr>
            </w:pPr>
            <w:r w:rsidRPr="00AD21FF">
              <w:rPr>
                <w:b/>
                <w:noProof/>
                <w:color w:val="000000"/>
                <w:sz w:val="22"/>
                <w:lang w:eastAsia="en-IE"/>
              </w:rPr>
              <w:t xml:space="preserve">TOTAL appropriations under HEADING 7 of the multiannual financial framework </w:t>
            </w:r>
          </w:p>
        </w:tc>
        <w:tc>
          <w:tcPr>
            <w:tcW w:w="423" w:type="pct"/>
            <w:gridSpan w:val="2"/>
            <w:tcBorders>
              <w:top w:val="single" w:sz="8" w:space="0" w:color="auto"/>
              <w:left w:val="nil"/>
              <w:bottom w:val="single" w:sz="8" w:space="0" w:color="auto"/>
              <w:right w:val="single" w:sz="8" w:space="0" w:color="auto"/>
            </w:tcBorders>
            <w:vAlign w:val="center"/>
            <w:hideMark/>
          </w:tcPr>
          <w:p w14:paraId="29966798" w14:textId="77777777" w:rsidR="00FE020D" w:rsidRPr="00AD21FF" w:rsidRDefault="00FE020D" w:rsidP="00FE020D">
            <w:pPr>
              <w:spacing w:before="0" w:after="0"/>
              <w:jc w:val="center"/>
              <w:rPr>
                <w:noProof/>
                <w:color w:val="000000"/>
                <w:sz w:val="18"/>
                <w:szCs w:val="18"/>
                <w:lang w:eastAsia="en-IE"/>
              </w:rPr>
            </w:pPr>
            <w:r w:rsidRPr="00AD21FF">
              <w:rPr>
                <w:noProof/>
                <w:color w:val="000000"/>
                <w:sz w:val="18"/>
                <w:szCs w:val="18"/>
                <w:lang w:eastAsia="en-IE"/>
              </w:rPr>
              <w:t>(Total commitments = Total payments)</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0A1101A5" w14:textId="77777777" w:rsidR="00FE020D" w:rsidRPr="00AD21FF" w:rsidRDefault="00FE020D" w:rsidP="00FE020D">
            <w:pPr>
              <w:spacing w:before="0" w:after="0"/>
              <w:jc w:val="right"/>
              <w:rPr>
                <w:b/>
                <w:noProof/>
                <w:color w:val="000000"/>
                <w:sz w:val="20"/>
                <w:szCs w:val="20"/>
                <w:lang w:eastAsia="en-IE"/>
              </w:rPr>
            </w:pPr>
            <w:r w:rsidRPr="00AD21FF">
              <w:rPr>
                <w:b/>
                <w:noProof/>
                <w:color w:val="000000"/>
                <w:sz w:val="20"/>
                <w:szCs w:val="20"/>
                <w:lang w:eastAsia="en-IE"/>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4978DF19" w14:textId="77777777" w:rsidR="00FE020D" w:rsidRPr="00AD21FF" w:rsidRDefault="00FE020D" w:rsidP="00FE020D">
            <w:pPr>
              <w:spacing w:before="0" w:after="0"/>
              <w:jc w:val="right"/>
              <w:rPr>
                <w:b/>
                <w:noProof/>
                <w:color w:val="000000"/>
                <w:sz w:val="20"/>
                <w:szCs w:val="20"/>
                <w:lang w:eastAsia="en-IE"/>
              </w:rPr>
            </w:pPr>
            <w:r w:rsidRPr="00AD21FF">
              <w:rPr>
                <w:b/>
                <w:noProof/>
                <w:color w:val="000000"/>
                <w:sz w:val="20"/>
                <w:szCs w:val="20"/>
                <w:lang w:eastAsia="en-IE"/>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D1398D9" w14:textId="77777777" w:rsidR="00FE020D" w:rsidRPr="00AD21FF" w:rsidRDefault="00FE020D" w:rsidP="00FE020D">
            <w:pPr>
              <w:spacing w:before="0" w:after="0"/>
              <w:jc w:val="right"/>
              <w:rPr>
                <w:b/>
                <w:noProof/>
                <w:color w:val="000000"/>
                <w:sz w:val="20"/>
                <w:szCs w:val="20"/>
                <w:lang w:eastAsia="en-IE"/>
              </w:rPr>
            </w:pPr>
            <w:r w:rsidRPr="00AD21FF">
              <w:rPr>
                <w:b/>
                <w:noProof/>
                <w:color w:val="000000"/>
                <w:sz w:val="20"/>
                <w:szCs w:val="20"/>
                <w:lang w:eastAsia="en-IE"/>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3DBA3B6" w14:textId="77777777" w:rsidR="00FE020D" w:rsidRPr="00AD21FF" w:rsidRDefault="00C75E0B" w:rsidP="00FE020D">
            <w:pPr>
              <w:jc w:val="right"/>
              <w:rPr>
                <w:b/>
                <w:noProof/>
                <w:color w:val="000000"/>
                <w:sz w:val="20"/>
                <w:szCs w:val="20"/>
                <w:lang w:eastAsia="en-IE"/>
              </w:rPr>
            </w:pPr>
            <w:r w:rsidRPr="00F606C9">
              <w:rPr>
                <w:rFonts w:eastAsia="Times New Roman"/>
                <w:b/>
                <w:bCs/>
                <w:noProof/>
                <w:color w:val="000000"/>
                <w:sz w:val="20"/>
                <w:szCs w:val="20"/>
                <w:lang w:val="en-IE" w:eastAsia="en-IE"/>
              </w:rPr>
              <w:t>1.164</w:t>
            </w:r>
          </w:p>
        </w:tc>
        <w:tc>
          <w:tcPr>
            <w:tcW w:w="424" w:type="pct"/>
            <w:gridSpan w:val="2"/>
            <w:tcBorders>
              <w:top w:val="single" w:sz="8" w:space="0" w:color="auto"/>
              <w:left w:val="nil"/>
              <w:bottom w:val="single" w:sz="8" w:space="0" w:color="auto"/>
              <w:right w:val="single" w:sz="8" w:space="0" w:color="auto"/>
            </w:tcBorders>
            <w:shd w:val="clear" w:color="000000" w:fill="D9D9D9"/>
            <w:vAlign w:val="center"/>
            <w:hideMark/>
          </w:tcPr>
          <w:p w14:paraId="0C243FA8" w14:textId="77777777" w:rsidR="00FE020D" w:rsidRPr="00AD21FF" w:rsidRDefault="00C75E0B" w:rsidP="00FE020D">
            <w:pPr>
              <w:spacing w:before="0" w:after="0"/>
              <w:jc w:val="right"/>
              <w:rPr>
                <w:b/>
                <w:noProof/>
                <w:color w:val="000000"/>
                <w:sz w:val="20"/>
                <w:szCs w:val="20"/>
                <w:lang w:eastAsia="en-IE"/>
              </w:rPr>
            </w:pPr>
            <w:r w:rsidRPr="00F606C9">
              <w:rPr>
                <w:rFonts w:eastAsia="Times New Roman"/>
                <w:b/>
                <w:bCs/>
                <w:noProof/>
                <w:color w:val="000000"/>
                <w:sz w:val="20"/>
                <w:szCs w:val="20"/>
                <w:lang w:val="en-IE" w:eastAsia="en-IE"/>
              </w:rPr>
              <w:t>1.164</w:t>
            </w:r>
          </w:p>
        </w:tc>
        <w:tc>
          <w:tcPr>
            <w:tcW w:w="413" w:type="pct"/>
            <w:tcBorders>
              <w:top w:val="single" w:sz="8" w:space="0" w:color="auto"/>
              <w:left w:val="nil"/>
              <w:bottom w:val="single" w:sz="8" w:space="0" w:color="auto"/>
              <w:right w:val="single" w:sz="8" w:space="0" w:color="auto"/>
            </w:tcBorders>
            <w:shd w:val="clear" w:color="000000" w:fill="D9D9D9"/>
            <w:vAlign w:val="center"/>
          </w:tcPr>
          <w:p w14:paraId="65AACEE5" w14:textId="77777777" w:rsidR="00FE020D" w:rsidRPr="007340B3" w:rsidRDefault="00C75E0B" w:rsidP="00FE020D">
            <w:pPr>
              <w:spacing w:before="0" w:after="0"/>
              <w:jc w:val="right"/>
              <w:rPr>
                <w:b/>
                <w:noProof/>
                <w:color w:val="000000"/>
                <w:sz w:val="20"/>
                <w:szCs w:val="20"/>
                <w:lang w:eastAsia="en-IE"/>
              </w:rPr>
            </w:pPr>
            <w:r w:rsidRPr="003313E5">
              <w:rPr>
                <w:rFonts w:eastAsia="Times New Roman"/>
                <w:b/>
                <w:bCs/>
                <w:noProof/>
                <w:color w:val="000000"/>
                <w:sz w:val="20"/>
                <w:szCs w:val="20"/>
                <w:lang w:val="en-IE" w:eastAsia="en-IE"/>
              </w:rPr>
              <w:t>8.148</w:t>
            </w:r>
          </w:p>
        </w:tc>
      </w:tr>
    </w:tbl>
    <w:p w14:paraId="1D0BE754" w14:textId="77777777" w:rsidR="001070C7" w:rsidRDefault="001070C7" w:rsidP="00CA7C31">
      <w:pPr>
        <w:jc w:val="right"/>
        <w:rPr>
          <w:noProof/>
          <w:sz w:val="20"/>
        </w:rPr>
      </w:pPr>
    </w:p>
    <w:p w14:paraId="6CB63BF5" w14:textId="77777777" w:rsidR="00CA7C31" w:rsidRPr="00AD21FF" w:rsidRDefault="00CA7C31" w:rsidP="00CA7C31">
      <w:pPr>
        <w:jc w:val="right"/>
        <w:rPr>
          <w:noProof/>
          <w:sz w:val="20"/>
        </w:rPr>
      </w:pPr>
      <w:r w:rsidRPr="00AD21FF">
        <w:rPr>
          <w:noProof/>
          <w:sz w:val="20"/>
        </w:rPr>
        <w:t>EUR million (to three decimal places)</w:t>
      </w:r>
    </w:p>
    <w:tbl>
      <w:tblPr>
        <w:tblW w:w="5000" w:type="pct"/>
        <w:tblLook w:val="04A0" w:firstRow="1" w:lastRow="0" w:firstColumn="1" w:lastColumn="0" w:noHBand="0" w:noVBand="1"/>
      </w:tblPr>
      <w:tblGrid>
        <w:gridCol w:w="5067"/>
        <w:gridCol w:w="1883"/>
        <w:gridCol w:w="1132"/>
        <w:gridCol w:w="1132"/>
        <w:gridCol w:w="1132"/>
        <w:gridCol w:w="1132"/>
        <w:gridCol w:w="1371"/>
        <w:gridCol w:w="1371"/>
      </w:tblGrid>
      <w:tr w:rsidR="007340B3" w:rsidRPr="00AD21FF" w14:paraId="0C7AA386" w14:textId="77777777">
        <w:trPr>
          <w:trHeight w:val="288"/>
        </w:trPr>
        <w:tc>
          <w:tcPr>
            <w:tcW w:w="2444" w:type="pct"/>
            <w:gridSpan w:val="2"/>
            <w:vMerge w:val="restart"/>
            <w:tcBorders>
              <w:top w:val="single" w:sz="8" w:space="0" w:color="auto"/>
              <w:left w:val="single" w:sz="8" w:space="0" w:color="auto"/>
              <w:bottom w:val="single" w:sz="8" w:space="0" w:color="auto"/>
              <w:right w:val="single" w:sz="4" w:space="0" w:color="auto"/>
            </w:tcBorders>
            <w:vAlign w:val="center"/>
            <w:hideMark/>
          </w:tcPr>
          <w:p w14:paraId="262719EB" w14:textId="77777777" w:rsidR="007340B3" w:rsidRPr="00AD21FF" w:rsidRDefault="007340B3" w:rsidP="007340B3">
            <w:pPr>
              <w:spacing w:before="0" w:after="0"/>
              <w:jc w:val="center"/>
              <w:rPr>
                <w:noProof/>
                <w:color w:val="000000"/>
                <w:szCs w:val="24"/>
                <w:lang w:eastAsia="en-IE"/>
              </w:rPr>
            </w:pPr>
            <w:r w:rsidRPr="00AD21FF">
              <w:rPr>
                <w:noProof/>
                <w:color w:val="000000"/>
                <w:szCs w:val="24"/>
                <w:lang w:eastAsia="en-IE"/>
              </w:rPr>
              <w:t> </w:t>
            </w:r>
          </w:p>
        </w:tc>
        <w:tc>
          <w:tcPr>
            <w:tcW w:w="398" w:type="pct"/>
            <w:tcBorders>
              <w:top w:val="single" w:sz="4" w:space="0" w:color="auto"/>
              <w:left w:val="single" w:sz="4" w:space="0" w:color="auto"/>
              <w:right w:val="single" w:sz="4" w:space="0" w:color="auto"/>
            </w:tcBorders>
            <w:vAlign w:val="center"/>
            <w:hideMark/>
          </w:tcPr>
          <w:p w14:paraId="451A2636" w14:textId="77777777" w:rsidR="007340B3" w:rsidRPr="00AD21FF" w:rsidRDefault="007340B3" w:rsidP="007340B3">
            <w:pPr>
              <w:spacing w:before="0" w:after="0"/>
              <w:jc w:val="center"/>
              <w:rPr>
                <w:noProof/>
                <w:color w:val="000000"/>
                <w:sz w:val="20"/>
                <w:szCs w:val="20"/>
                <w:lang w:eastAsia="en-IE"/>
              </w:rPr>
            </w:pPr>
            <w:r w:rsidRPr="00AD21FF">
              <w:rPr>
                <w:noProof/>
                <w:color w:val="000000"/>
                <w:sz w:val="20"/>
                <w:szCs w:val="20"/>
                <w:lang w:eastAsia="en-IE"/>
              </w:rPr>
              <w:t>Year</w:t>
            </w:r>
          </w:p>
        </w:tc>
        <w:tc>
          <w:tcPr>
            <w:tcW w:w="398" w:type="pct"/>
            <w:tcBorders>
              <w:top w:val="single" w:sz="8" w:space="0" w:color="auto"/>
              <w:left w:val="single" w:sz="4" w:space="0" w:color="auto"/>
              <w:bottom w:val="nil"/>
              <w:right w:val="single" w:sz="8" w:space="0" w:color="auto"/>
            </w:tcBorders>
            <w:vAlign w:val="center"/>
            <w:hideMark/>
          </w:tcPr>
          <w:p w14:paraId="1738B74B" w14:textId="77777777" w:rsidR="007340B3" w:rsidRPr="00AD21FF" w:rsidRDefault="007340B3" w:rsidP="007340B3">
            <w:pPr>
              <w:spacing w:before="0" w:after="0"/>
              <w:jc w:val="center"/>
              <w:rPr>
                <w:noProof/>
                <w:color w:val="000000"/>
                <w:sz w:val="20"/>
                <w:szCs w:val="20"/>
                <w:lang w:eastAsia="en-IE"/>
              </w:rPr>
            </w:pPr>
            <w:r w:rsidRPr="00AD21FF">
              <w:rPr>
                <w:noProof/>
                <w:color w:val="000000"/>
                <w:sz w:val="20"/>
                <w:szCs w:val="20"/>
                <w:lang w:eastAsia="en-IE"/>
              </w:rPr>
              <w:t>Year</w:t>
            </w:r>
          </w:p>
        </w:tc>
        <w:tc>
          <w:tcPr>
            <w:tcW w:w="398" w:type="pct"/>
            <w:tcBorders>
              <w:top w:val="single" w:sz="8" w:space="0" w:color="auto"/>
              <w:left w:val="nil"/>
              <w:bottom w:val="nil"/>
              <w:right w:val="single" w:sz="8" w:space="0" w:color="auto"/>
            </w:tcBorders>
            <w:vAlign w:val="center"/>
            <w:hideMark/>
          </w:tcPr>
          <w:p w14:paraId="75DC6B45" w14:textId="77777777" w:rsidR="007340B3" w:rsidRPr="00AD21FF" w:rsidRDefault="007340B3" w:rsidP="007340B3">
            <w:pPr>
              <w:spacing w:before="0" w:after="0"/>
              <w:jc w:val="center"/>
              <w:rPr>
                <w:noProof/>
                <w:color w:val="000000"/>
                <w:sz w:val="20"/>
                <w:szCs w:val="20"/>
                <w:lang w:eastAsia="en-IE"/>
              </w:rPr>
            </w:pPr>
            <w:r w:rsidRPr="00AD21FF">
              <w:rPr>
                <w:noProof/>
                <w:color w:val="000000"/>
                <w:sz w:val="20"/>
                <w:szCs w:val="20"/>
                <w:lang w:eastAsia="en-IE"/>
              </w:rPr>
              <w:t>Year</w:t>
            </w:r>
          </w:p>
        </w:tc>
        <w:tc>
          <w:tcPr>
            <w:tcW w:w="398" w:type="pct"/>
            <w:tcBorders>
              <w:top w:val="single" w:sz="8" w:space="0" w:color="auto"/>
              <w:left w:val="nil"/>
              <w:bottom w:val="nil"/>
              <w:right w:val="single" w:sz="4" w:space="0" w:color="auto"/>
            </w:tcBorders>
            <w:vAlign w:val="center"/>
            <w:hideMark/>
          </w:tcPr>
          <w:p w14:paraId="240C2AA8" w14:textId="77777777" w:rsidR="007340B3" w:rsidRPr="00AD21FF" w:rsidRDefault="007340B3" w:rsidP="007340B3">
            <w:pPr>
              <w:spacing w:before="0" w:after="0"/>
              <w:jc w:val="center"/>
              <w:rPr>
                <w:noProof/>
                <w:color w:val="000000"/>
                <w:sz w:val="20"/>
                <w:szCs w:val="20"/>
                <w:lang w:eastAsia="en-IE"/>
              </w:rPr>
            </w:pPr>
            <w:r w:rsidRPr="00AD21FF">
              <w:rPr>
                <w:noProof/>
                <w:color w:val="000000"/>
                <w:sz w:val="20"/>
                <w:szCs w:val="20"/>
                <w:lang w:eastAsia="en-IE"/>
              </w:rPr>
              <w:t>Year</w:t>
            </w:r>
          </w:p>
        </w:tc>
        <w:tc>
          <w:tcPr>
            <w:tcW w:w="482" w:type="pct"/>
            <w:vMerge w:val="restart"/>
            <w:tcBorders>
              <w:top w:val="single" w:sz="4" w:space="0" w:color="auto"/>
              <w:left w:val="single" w:sz="4" w:space="0" w:color="auto"/>
              <w:bottom w:val="single" w:sz="4" w:space="0" w:color="auto"/>
              <w:right w:val="single" w:sz="4" w:space="0" w:color="auto"/>
            </w:tcBorders>
            <w:vAlign w:val="center"/>
            <w:hideMark/>
          </w:tcPr>
          <w:p w14:paraId="01CD3ACA" w14:textId="77777777" w:rsidR="007340B3" w:rsidRPr="00AD21FF" w:rsidRDefault="007340B3" w:rsidP="007340B3">
            <w:pPr>
              <w:spacing w:before="0" w:after="0"/>
              <w:jc w:val="center"/>
              <w:rPr>
                <w:b/>
                <w:noProof/>
                <w:color w:val="000000"/>
                <w:sz w:val="20"/>
                <w:szCs w:val="20"/>
                <w:lang w:eastAsia="en-IE"/>
              </w:rPr>
            </w:pPr>
            <w:r w:rsidRPr="00AD21FF">
              <w:rPr>
                <w:b/>
                <w:noProof/>
                <w:color w:val="000000"/>
                <w:sz w:val="20"/>
                <w:szCs w:val="20"/>
                <w:lang w:eastAsia="en-IE"/>
              </w:rPr>
              <w:t>TOTAL MFF 2021-2027</w:t>
            </w:r>
          </w:p>
        </w:tc>
        <w:tc>
          <w:tcPr>
            <w:tcW w:w="482" w:type="pct"/>
            <w:vMerge w:val="restart"/>
            <w:tcBorders>
              <w:top w:val="single" w:sz="4" w:space="0" w:color="auto"/>
              <w:left w:val="single" w:sz="4" w:space="0" w:color="auto"/>
              <w:right w:val="single" w:sz="4" w:space="0" w:color="auto"/>
            </w:tcBorders>
          </w:tcPr>
          <w:p w14:paraId="3954FCFF" w14:textId="77777777" w:rsidR="007340B3" w:rsidRPr="00AD21FF" w:rsidRDefault="007340B3" w:rsidP="007340B3">
            <w:pPr>
              <w:spacing w:before="0" w:after="0"/>
              <w:jc w:val="center"/>
              <w:rPr>
                <w:b/>
                <w:noProof/>
                <w:color w:val="000000"/>
                <w:sz w:val="20"/>
                <w:szCs w:val="20"/>
                <w:lang w:eastAsia="en-IE"/>
              </w:rPr>
            </w:pPr>
            <w:r w:rsidRPr="00850EF8">
              <w:rPr>
                <w:b/>
                <w:noProof/>
                <w:color w:val="000000"/>
                <w:sz w:val="20"/>
                <w:szCs w:val="20"/>
                <w:lang w:eastAsia="en-IE"/>
              </w:rPr>
              <w:t>TOTAL MFF 202</w:t>
            </w:r>
            <w:r>
              <w:rPr>
                <w:b/>
                <w:noProof/>
                <w:color w:val="000000"/>
                <w:sz w:val="20"/>
                <w:szCs w:val="20"/>
                <w:lang w:eastAsia="en-IE"/>
              </w:rPr>
              <w:t>8</w:t>
            </w:r>
            <w:r w:rsidRPr="00850EF8">
              <w:rPr>
                <w:b/>
                <w:noProof/>
                <w:color w:val="000000"/>
                <w:sz w:val="20"/>
                <w:szCs w:val="20"/>
                <w:lang w:eastAsia="en-IE"/>
              </w:rPr>
              <w:t>-20</w:t>
            </w:r>
            <w:r>
              <w:rPr>
                <w:b/>
                <w:noProof/>
                <w:color w:val="000000"/>
                <w:sz w:val="20"/>
                <w:szCs w:val="20"/>
                <w:lang w:eastAsia="en-IE"/>
              </w:rPr>
              <w:t>34</w:t>
            </w:r>
            <w:r w:rsidR="007E3C0F">
              <w:rPr>
                <w:rStyle w:val="FootnoteReference"/>
                <w:b/>
                <w:noProof/>
                <w:color w:val="000000"/>
                <w:sz w:val="20"/>
                <w:szCs w:val="20"/>
                <w:lang w:eastAsia="en-IE"/>
              </w:rPr>
              <w:footnoteReference w:id="80"/>
            </w:r>
          </w:p>
        </w:tc>
      </w:tr>
      <w:tr w:rsidR="007340B3" w:rsidRPr="00AD21FF" w14:paraId="5D80DD8A" w14:textId="77777777">
        <w:trPr>
          <w:trHeight w:val="300"/>
        </w:trPr>
        <w:tc>
          <w:tcPr>
            <w:tcW w:w="2444" w:type="pct"/>
            <w:gridSpan w:val="2"/>
            <w:vMerge/>
            <w:tcBorders>
              <w:right w:val="single" w:sz="4" w:space="0" w:color="auto"/>
            </w:tcBorders>
            <w:vAlign w:val="center"/>
            <w:hideMark/>
          </w:tcPr>
          <w:p w14:paraId="57E010D6" w14:textId="77777777" w:rsidR="007340B3" w:rsidRPr="00AD21FF" w:rsidRDefault="007340B3" w:rsidP="007340B3">
            <w:pPr>
              <w:spacing w:before="0" w:after="0"/>
              <w:jc w:val="left"/>
              <w:rPr>
                <w:noProof/>
                <w:color w:val="000000"/>
                <w:szCs w:val="24"/>
                <w:lang w:eastAsia="en-IE"/>
              </w:rPr>
            </w:pPr>
          </w:p>
        </w:tc>
        <w:tc>
          <w:tcPr>
            <w:tcW w:w="398" w:type="pct"/>
            <w:tcBorders>
              <w:left w:val="single" w:sz="4" w:space="0" w:color="auto"/>
              <w:bottom w:val="single" w:sz="4" w:space="0" w:color="auto"/>
              <w:right w:val="single" w:sz="4" w:space="0" w:color="auto"/>
            </w:tcBorders>
            <w:vAlign w:val="center"/>
            <w:hideMark/>
          </w:tcPr>
          <w:p w14:paraId="49F2D4AF" w14:textId="77777777" w:rsidR="007340B3" w:rsidRPr="00AD21FF" w:rsidRDefault="007340B3" w:rsidP="007340B3">
            <w:pPr>
              <w:spacing w:before="0" w:after="0"/>
              <w:jc w:val="center"/>
              <w:rPr>
                <w:b/>
                <w:noProof/>
                <w:color w:val="000000"/>
                <w:sz w:val="20"/>
                <w:szCs w:val="20"/>
                <w:lang w:eastAsia="en-IE"/>
              </w:rPr>
            </w:pPr>
            <w:r w:rsidRPr="00AD21FF">
              <w:rPr>
                <w:b/>
                <w:noProof/>
                <w:color w:val="000000"/>
                <w:sz w:val="20"/>
                <w:szCs w:val="20"/>
                <w:lang w:eastAsia="en-IE"/>
              </w:rPr>
              <w:t>2024</w:t>
            </w:r>
          </w:p>
        </w:tc>
        <w:tc>
          <w:tcPr>
            <w:tcW w:w="398" w:type="pct"/>
            <w:tcBorders>
              <w:top w:val="nil"/>
              <w:left w:val="single" w:sz="4" w:space="0" w:color="auto"/>
              <w:bottom w:val="single" w:sz="8" w:space="0" w:color="auto"/>
              <w:right w:val="single" w:sz="8" w:space="0" w:color="auto"/>
            </w:tcBorders>
            <w:vAlign w:val="center"/>
            <w:hideMark/>
          </w:tcPr>
          <w:p w14:paraId="03D6097B" w14:textId="77777777" w:rsidR="007340B3" w:rsidRPr="00AD21FF" w:rsidRDefault="007340B3" w:rsidP="007340B3">
            <w:pPr>
              <w:spacing w:before="0" w:after="0"/>
              <w:jc w:val="center"/>
              <w:rPr>
                <w:b/>
                <w:noProof/>
                <w:color w:val="000000"/>
                <w:sz w:val="20"/>
                <w:szCs w:val="20"/>
                <w:lang w:eastAsia="en-IE"/>
              </w:rPr>
            </w:pPr>
            <w:r w:rsidRPr="00AD21FF">
              <w:rPr>
                <w:b/>
                <w:noProof/>
                <w:color w:val="000000"/>
                <w:sz w:val="20"/>
                <w:szCs w:val="20"/>
                <w:lang w:eastAsia="en-IE"/>
              </w:rPr>
              <w:t>2025</w:t>
            </w:r>
          </w:p>
        </w:tc>
        <w:tc>
          <w:tcPr>
            <w:tcW w:w="398" w:type="pct"/>
            <w:tcBorders>
              <w:top w:val="nil"/>
              <w:left w:val="nil"/>
              <w:bottom w:val="single" w:sz="8" w:space="0" w:color="auto"/>
              <w:right w:val="single" w:sz="8" w:space="0" w:color="auto"/>
            </w:tcBorders>
            <w:vAlign w:val="center"/>
            <w:hideMark/>
          </w:tcPr>
          <w:p w14:paraId="4536673C" w14:textId="77777777" w:rsidR="007340B3" w:rsidRPr="00AD21FF" w:rsidRDefault="007340B3" w:rsidP="007340B3">
            <w:pPr>
              <w:spacing w:before="0" w:after="0"/>
              <w:jc w:val="center"/>
              <w:rPr>
                <w:b/>
                <w:noProof/>
                <w:color w:val="000000"/>
                <w:sz w:val="20"/>
                <w:szCs w:val="20"/>
                <w:lang w:eastAsia="en-IE"/>
              </w:rPr>
            </w:pPr>
            <w:r w:rsidRPr="00AD21FF">
              <w:rPr>
                <w:b/>
                <w:noProof/>
                <w:color w:val="000000"/>
                <w:sz w:val="20"/>
                <w:szCs w:val="20"/>
                <w:lang w:eastAsia="en-IE"/>
              </w:rPr>
              <w:t>2026</w:t>
            </w:r>
          </w:p>
        </w:tc>
        <w:tc>
          <w:tcPr>
            <w:tcW w:w="398" w:type="pct"/>
            <w:tcBorders>
              <w:top w:val="nil"/>
              <w:left w:val="nil"/>
              <w:bottom w:val="single" w:sz="8" w:space="0" w:color="auto"/>
              <w:right w:val="single" w:sz="4" w:space="0" w:color="auto"/>
            </w:tcBorders>
            <w:vAlign w:val="center"/>
            <w:hideMark/>
          </w:tcPr>
          <w:p w14:paraId="53234170" w14:textId="77777777" w:rsidR="007340B3" w:rsidRPr="00AD21FF" w:rsidRDefault="007340B3" w:rsidP="007340B3">
            <w:pPr>
              <w:spacing w:before="0" w:after="0"/>
              <w:jc w:val="center"/>
              <w:rPr>
                <w:b/>
                <w:noProof/>
                <w:color w:val="000000"/>
                <w:sz w:val="20"/>
                <w:szCs w:val="20"/>
                <w:lang w:eastAsia="en-IE"/>
              </w:rPr>
            </w:pPr>
            <w:r w:rsidRPr="00AD21FF">
              <w:rPr>
                <w:b/>
                <w:noProof/>
                <w:color w:val="000000"/>
                <w:sz w:val="20"/>
                <w:szCs w:val="20"/>
                <w:lang w:eastAsia="en-IE"/>
              </w:rPr>
              <w:t>2027</w:t>
            </w:r>
          </w:p>
        </w:tc>
        <w:tc>
          <w:tcPr>
            <w:tcW w:w="482" w:type="pct"/>
            <w:vMerge/>
            <w:tcBorders>
              <w:top w:val="single" w:sz="4" w:space="0" w:color="auto"/>
              <w:left w:val="single" w:sz="4" w:space="0" w:color="auto"/>
              <w:bottom w:val="single" w:sz="4" w:space="0" w:color="auto"/>
              <w:right w:val="single" w:sz="4" w:space="0" w:color="auto"/>
            </w:tcBorders>
            <w:vAlign w:val="center"/>
            <w:hideMark/>
          </w:tcPr>
          <w:p w14:paraId="0A923AF6" w14:textId="77777777" w:rsidR="007340B3" w:rsidRPr="00AD21FF" w:rsidRDefault="007340B3" w:rsidP="007340B3">
            <w:pPr>
              <w:spacing w:before="0" w:after="0"/>
              <w:jc w:val="left"/>
              <w:rPr>
                <w:b/>
                <w:noProof/>
                <w:color w:val="000000"/>
                <w:sz w:val="20"/>
                <w:szCs w:val="20"/>
                <w:lang w:eastAsia="en-IE"/>
              </w:rPr>
            </w:pPr>
          </w:p>
        </w:tc>
        <w:tc>
          <w:tcPr>
            <w:tcW w:w="482" w:type="pct"/>
            <w:vMerge/>
            <w:tcBorders>
              <w:left w:val="single" w:sz="4" w:space="0" w:color="auto"/>
              <w:bottom w:val="single" w:sz="4" w:space="0" w:color="auto"/>
              <w:right w:val="single" w:sz="4" w:space="0" w:color="auto"/>
            </w:tcBorders>
          </w:tcPr>
          <w:p w14:paraId="26EC979B" w14:textId="77777777" w:rsidR="007340B3" w:rsidRPr="00AD21FF" w:rsidRDefault="007340B3" w:rsidP="007340B3">
            <w:pPr>
              <w:spacing w:before="0" w:after="0"/>
              <w:jc w:val="left"/>
              <w:rPr>
                <w:b/>
                <w:noProof/>
                <w:color w:val="000000"/>
                <w:sz w:val="20"/>
                <w:szCs w:val="20"/>
                <w:lang w:eastAsia="en-IE"/>
              </w:rPr>
            </w:pPr>
          </w:p>
        </w:tc>
      </w:tr>
      <w:tr w:rsidR="007340B3" w:rsidRPr="00AD21FF" w14:paraId="126EF683" w14:textId="77777777" w:rsidTr="007115F0">
        <w:trPr>
          <w:trHeight w:val="564"/>
        </w:trPr>
        <w:tc>
          <w:tcPr>
            <w:tcW w:w="1782"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3BFD4DF" w14:textId="77777777" w:rsidR="007340B3" w:rsidRPr="00AD21FF" w:rsidRDefault="007340B3" w:rsidP="007340B3">
            <w:pPr>
              <w:spacing w:before="0" w:after="0"/>
              <w:jc w:val="center"/>
              <w:rPr>
                <w:b/>
                <w:noProof/>
                <w:color w:val="000000"/>
                <w:sz w:val="22"/>
                <w:lang w:eastAsia="en-IE"/>
              </w:rPr>
            </w:pPr>
            <w:r w:rsidRPr="00AD21FF">
              <w:rPr>
                <w:b/>
                <w:noProof/>
                <w:color w:val="000000"/>
                <w:sz w:val="22"/>
                <w:lang w:eastAsia="en-IE"/>
              </w:rPr>
              <w:t>TOTAL appropriations under HEADINGS 1 to 7</w:t>
            </w:r>
          </w:p>
        </w:tc>
        <w:tc>
          <w:tcPr>
            <w:tcW w:w="662" w:type="pct"/>
            <w:tcBorders>
              <w:top w:val="single" w:sz="8" w:space="0" w:color="auto"/>
              <w:left w:val="nil"/>
              <w:bottom w:val="single" w:sz="8" w:space="0" w:color="auto"/>
              <w:right w:val="single" w:sz="8" w:space="0" w:color="auto"/>
            </w:tcBorders>
            <w:vAlign w:val="center"/>
            <w:hideMark/>
          </w:tcPr>
          <w:p w14:paraId="61562B67" w14:textId="77777777" w:rsidR="007340B3" w:rsidRPr="00AD21FF" w:rsidRDefault="007340B3" w:rsidP="007340B3">
            <w:pPr>
              <w:spacing w:before="0" w:after="0"/>
              <w:rPr>
                <w:noProof/>
                <w:color w:val="000000"/>
                <w:sz w:val="18"/>
                <w:szCs w:val="18"/>
                <w:lang w:eastAsia="en-IE"/>
              </w:rPr>
            </w:pPr>
            <w:r w:rsidRPr="00AD21FF">
              <w:rPr>
                <w:noProof/>
                <w:color w:val="000000"/>
                <w:sz w:val="18"/>
                <w:szCs w:val="18"/>
                <w:lang w:eastAsia="en-IE"/>
              </w:rPr>
              <w:t>Commitments</w:t>
            </w:r>
          </w:p>
        </w:tc>
        <w:tc>
          <w:tcPr>
            <w:tcW w:w="398"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1CBF7B1" w14:textId="77777777" w:rsidR="007340B3" w:rsidRPr="00AD21FF" w:rsidRDefault="007340B3" w:rsidP="007340B3">
            <w:pPr>
              <w:spacing w:before="0" w:after="0"/>
              <w:jc w:val="right"/>
              <w:rPr>
                <w:b/>
                <w:noProof/>
                <w:color w:val="000000"/>
                <w:szCs w:val="24"/>
                <w:lang w:eastAsia="en-IE"/>
              </w:rPr>
            </w:pPr>
            <w:r w:rsidRPr="00AD21FF">
              <w:rPr>
                <w:b/>
                <w:bCs/>
                <w:noProof/>
                <w:sz w:val="20"/>
                <w:szCs w:val="20"/>
              </w:rPr>
              <w:t>0.000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8EA2302" w14:textId="77777777" w:rsidR="007340B3" w:rsidRPr="00AD21FF" w:rsidRDefault="007340B3" w:rsidP="007340B3">
            <w:pPr>
              <w:spacing w:before="0" w:after="0"/>
              <w:jc w:val="right"/>
              <w:rPr>
                <w:b/>
                <w:noProof/>
                <w:color w:val="000000"/>
                <w:szCs w:val="24"/>
                <w:lang w:eastAsia="en-IE"/>
              </w:rPr>
            </w:pPr>
            <w:r w:rsidRPr="00AD21FF">
              <w:rPr>
                <w:b/>
                <w:bCs/>
                <w:noProof/>
                <w:sz w:val="20"/>
                <w:szCs w:val="20"/>
              </w:rPr>
              <w:t>0.000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594DD82B" w14:textId="77777777" w:rsidR="007340B3" w:rsidRPr="00AD21FF" w:rsidRDefault="007340B3" w:rsidP="007340B3">
            <w:pPr>
              <w:spacing w:before="0" w:after="0"/>
              <w:jc w:val="right"/>
              <w:rPr>
                <w:b/>
                <w:noProof/>
                <w:color w:val="000000"/>
                <w:szCs w:val="24"/>
                <w:lang w:eastAsia="en-IE"/>
              </w:rPr>
            </w:pPr>
            <w:r w:rsidRPr="00AD21FF">
              <w:rPr>
                <w:b/>
                <w:bCs/>
                <w:noProof/>
                <w:sz w:val="20"/>
                <w:szCs w:val="20"/>
              </w:rPr>
              <w:t>0.000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1A6ADEA9" w14:textId="77777777" w:rsidR="007340B3" w:rsidRPr="00AD21FF" w:rsidRDefault="007340B3" w:rsidP="007340B3">
            <w:pPr>
              <w:spacing w:before="0" w:after="0"/>
              <w:jc w:val="right"/>
              <w:rPr>
                <w:b/>
                <w:noProof/>
                <w:color w:val="000000"/>
                <w:szCs w:val="24"/>
                <w:lang w:eastAsia="en-IE"/>
              </w:rPr>
            </w:pPr>
            <w:r>
              <w:rPr>
                <w:b/>
                <w:bCs/>
                <w:noProof/>
                <w:sz w:val="20"/>
                <w:szCs w:val="20"/>
              </w:rPr>
              <w:t>1.204</w:t>
            </w:r>
          </w:p>
        </w:tc>
        <w:tc>
          <w:tcPr>
            <w:tcW w:w="482"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10ECC899" w14:textId="77777777" w:rsidR="007340B3" w:rsidRPr="00AD21FF" w:rsidRDefault="007340B3" w:rsidP="007340B3">
            <w:pPr>
              <w:spacing w:before="0" w:after="0"/>
              <w:jc w:val="right"/>
              <w:rPr>
                <w:b/>
                <w:noProof/>
                <w:color w:val="000000"/>
                <w:szCs w:val="24"/>
                <w:lang w:eastAsia="en-IE"/>
              </w:rPr>
            </w:pPr>
            <w:r>
              <w:rPr>
                <w:b/>
                <w:bCs/>
                <w:noProof/>
                <w:sz w:val="20"/>
                <w:szCs w:val="20"/>
              </w:rPr>
              <w:t xml:space="preserve"> 1.204</w:t>
            </w:r>
          </w:p>
        </w:tc>
        <w:tc>
          <w:tcPr>
            <w:tcW w:w="482" w:type="pct"/>
            <w:tcBorders>
              <w:top w:val="single" w:sz="4" w:space="0" w:color="auto"/>
              <w:left w:val="nil"/>
              <w:bottom w:val="single" w:sz="8" w:space="0" w:color="auto"/>
              <w:right w:val="single" w:sz="8" w:space="0" w:color="auto"/>
            </w:tcBorders>
            <w:shd w:val="clear" w:color="auto" w:fill="D9D9D9" w:themeFill="background1" w:themeFillShade="D9"/>
            <w:vAlign w:val="center"/>
          </w:tcPr>
          <w:p w14:paraId="66D848D5" w14:textId="77777777" w:rsidR="007340B3" w:rsidRDefault="002D4B09" w:rsidP="007115F0">
            <w:pPr>
              <w:spacing w:before="0" w:after="0"/>
              <w:jc w:val="right"/>
              <w:rPr>
                <w:b/>
                <w:bCs/>
                <w:noProof/>
                <w:sz w:val="20"/>
                <w:szCs w:val="20"/>
              </w:rPr>
            </w:pPr>
            <w:r>
              <w:rPr>
                <w:b/>
                <w:bCs/>
                <w:noProof/>
                <w:sz w:val="20"/>
                <w:szCs w:val="20"/>
              </w:rPr>
              <w:t>8.288</w:t>
            </w:r>
          </w:p>
        </w:tc>
      </w:tr>
      <w:tr w:rsidR="002D4B09" w:rsidRPr="00AD21FF" w14:paraId="7D0073F8" w14:textId="77777777" w:rsidTr="00A766D7">
        <w:trPr>
          <w:trHeight w:val="540"/>
        </w:trPr>
        <w:tc>
          <w:tcPr>
            <w:tcW w:w="1782"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45F3BEFB" w14:textId="77777777" w:rsidR="002D4B09" w:rsidRPr="00AD21FF" w:rsidRDefault="002D4B09" w:rsidP="002D4B09">
            <w:pPr>
              <w:spacing w:before="0" w:after="0"/>
              <w:jc w:val="center"/>
              <w:rPr>
                <w:noProof/>
                <w:color w:val="000000"/>
                <w:sz w:val="22"/>
                <w:lang w:eastAsia="en-IE"/>
              </w:rPr>
            </w:pPr>
            <w:r w:rsidRPr="00AD21FF">
              <w:rPr>
                <w:noProof/>
                <w:color w:val="000000"/>
                <w:sz w:val="22"/>
                <w:lang w:eastAsia="en-IE"/>
              </w:rPr>
              <w:t>of the multiannual financial framework</w:t>
            </w:r>
            <w:r w:rsidRPr="00AD21FF">
              <w:rPr>
                <w:b/>
                <w:noProof/>
                <w:color w:val="000000"/>
                <w:sz w:val="22"/>
                <w:lang w:eastAsia="en-IE"/>
              </w:rPr>
              <w:t xml:space="preserve"> </w:t>
            </w:r>
          </w:p>
        </w:tc>
        <w:tc>
          <w:tcPr>
            <w:tcW w:w="662" w:type="pct"/>
            <w:tcBorders>
              <w:top w:val="single" w:sz="8" w:space="0" w:color="auto"/>
              <w:left w:val="nil"/>
              <w:bottom w:val="single" w:sz="8" w:space="0" w:color="auto"/>
              <w:right w:val="single" w:sz="8" w:space="0" w:color="auto"/>
            </w:tcBorders>
            <w:vAlign w:val="center"/>
            <w:hideMark/>
          </w:tcPr>
          <w:p w14:paraId="32F27049" w14:textId="77777777" w:rsidR="002D4B09" w:rsidRPr="00AD21FF" w:rsidRDefault="002D4B09" w:rsidP="002D4B09">
            <w:pPr>
              <w:spacing w:before="0" w:after="0"/>
              <w:rPr>
                <w:noProof/>
                <w:color w:val="000000"/>
                <w:sz w:val="18"/>
                <w:szCs w:val="18"/>
                <w:lang w:eastAsia="en-IE"/>
              </w:rPr>
            </w:pPr>
            <w:r w:rsidRPr="00AD21FF">
              <w:rPr>
                <w:noProof/>
                <w:color w:val="000000"/>
                <w:sz w:val="18"/>
                <w:szCs w:val="18"/>
                <w:lang w:eastAsia="en-IE"/>
              </w:rPr>
              <w:t>Payments</w:t>
            </w:r>
          </w:p>
        </w:tc>
        <w:tc>
          <w:tcPr>
            <w:tcW w:w="398" w:type="pct"/>
            <w:tcBorders>
              <w:top w:val="nil"/>
              <w:left w:val="nil"/>
              <w:bottom w:val="nil"/>
              <w:right w:val="single" w:sz="8" w:space="0" w:color="auto"/>
            </w:tcBorders>
            <w:shd w:val="clear" w:color="auto" w:fill="D9D9D9" w:themeFill="background1" w:themeFillShade="D9"/>
            <w:vAlign w:val="center"/>
            <w:hideMark/>
          </w:tcPr>
          <w:p w14:paraId="19CA76D7" w14:textId="77777777" w:rsidR="002D4B09" w:rsidRPr="00AD21FF" w:rsidRDefault="002D4B09" w:rsidP="002D4B09">
            <w:pPr>
              <w:spacing w:before="0" w:after="0"/>
              <w:jc w:val="right"/>
              <w:rPr>
                <w:b/>
                <w:noProof/>
                <w:color w:val="000000"/>
                <w:szCs w:val="24"/>
                <w:lang w:eastAsia="en-IE"/>
              </w:rPr>
            </w:pPr>
            <w:r w:rsidRPr="00AD21FF">
              <w:rPr>
                <w:b/>
                <w:bCs/>
                <w:noProof/>
                <w:sz w:val="20"/>
                <w:szCs w:val="20"/>
              </w:rPr>
              <w:t>0.000</w:t>
            </w:r>
          </w:p>
        </w:tc>
        <w:tc>
          <w:tcPr>
            <w:tcW w:w="398" w:type="pct"/>
            <w:tcBorders>
              <w:top w:val="nil"/>
              <w:left w:val="nil"/>
              <w:bottom w:val="nil"/>
              <w:right w:val="single" w:sz="8" w:space="0" w:color="auto"/>
            </w:tcBorders>
            <w:shd w:val="clear" w:color="auto" w:fill="D9D9D9" w:themeFill="background1" w:themeFillShade="D9"/>
            <w:vAlign w:val="center"/>
            <w:hideMark/>
          </w:tcPr>
          <w:p w14:paraId="073DD32D" w14:textId="77777777" w:rsidR="002D4B09" w:rsidRPr="00AD21FF" w:rsidRDefault="002D4B09" w:rsidP="002D4B09">
            <w:pPr>
              <w:spacing w:before="0" w:after="0"/>
              <w:jc w:val="right"/>
              <w:rPr>
                <w:b/>
                <w:noProof/>
                <w:color w:val="000000"/>
                <w:szCs w:val="24"/>
                <w:lang w:eastAsia="en-IE"/>
              </w:rPr>
            </w:pPr>
            <w:r w:rsidRPr="00AD21FF">
              <w:rPr>
                <w:b/>
                <w:bCs/>
                <w:noProof/>
                <w:sz w:val="20"/>
                <w:szCs w:val="20"/>
              </w:rPr>
              <w:t>0.000</w:t>
            </w:r>
          </w:p>
        </w:tc>
        <w:tc>
          <w:tcPr>
            <w:tcW w:w="398" w:type="pct"/>
            <w:tcBorders>
              <w:top w:val="nil"/>
              <w:left w:val="nil"/>
              <w:bottom w:val="nil"/>
              <w:right w:val="single" w:sz="8" w:space="0" w:color="auto"/>
            </w:tcBorders>
            <w:shd w:val="clear" w:color="auto" w:fill="D9D9D9" w:themeFill="background1" w:themeFillShade="D9"/>
            <w:vAlign w:val="center"/>
            <w:hideMark/>
          </w:tcPr>
          <w:p w14:paraId="69DB1A3F" w14:textId="77777777" w:rsidR="002D4B09" w:rsidRPr="00AD21FF" w:rsidRDefault="002D4B09" w:rsidP="002D4B09">
            <w:pPr>
              <w:spacing w:before="0" w:after="0"/>
              <w:jc w:val="right"/>
              <w:rPr>
                <w:b/>
                <w:noProof/>
                <w:color w:val="000000"/>
                <w:szCs w:val="24"/>
                <w:lang w:eastAsia="en-IE"/>
              </w:rPr>
            </w:pPr>
            <w:r w:rsidRPr="00AD21FF">
              <w:rPr>
                <w:b/>
                <w:bCs/>
                <w:noProof/>
                <w:sz w:val="20"/>
                <w:szCs w:val="20"/>
              </w:rPr>
              <w:t>0.000</w:t>
            </w:r>
          </w:p>
        </w:tc>
        <w:tc>
          <w:tcPr>
            <w:tcW w:w="398" w:type="pct"/>
            <w:tcBorders>
              <w:top w:val="nil"/>
              <w:left w:val="nil"/>
              <w:bottom w:val="nil"/>
              <w:right w:val="single" w:sz="8" w:space="0" w:color="auto"/>
            </w:tcBorders>
            <w:shd w:val="clear" w:color="auto" w:fill="D9D9D9" w:themeFill="background1" w:themeFillShade="D9"/>
            <w:vAlign w:val="center"/>
            <w:hideMark/>
          </w:tcPr>
          <w:p w14:paraId="158AC5DF" w14:textId="77777777" w:rsidR="002D4B09" w:rsidRPr="00AD21FF" w:rsidRDefault="002D4B09" w:rsidP="002D4B09">
            <w:pPr>
              <w:spacing w:before="0" w:after="0"/>
              <w:jc w:val="right"/>
              <w:rPr>
                <w:b/>
                <w:noProof/>
                <w:color w:val="000000"/>
                <w:szCs w:val="24"/>
                <w:lang w:eastAsia="en-IE"/>
              </w:rPr>
            </w:pPr>
            <w:r>
              <w:rPr>
                <w:b/>
                <w:bCs/>
                <w:noProof/>
                <w:sz w:val="20"/>
                <w:szCs w:val="20"/>
              </w:rPr>
              <w:t>1.204</w:t>
            </w:r>
          </w:p>
        </w:tc>
        <w:tc>
          <w:tcPr>
            <w:tcW w:w="482" w:type="pct"/>
            <w:tcBorders>
              <w:top w:val="nil"/>
              <w:left w:val="nil"/>
              <w:bottom w:val="nil"/>
              <w:right w:val="single" w:sz="8" w:space="0" w:color="auto"/>
            </w:tcBorders>
            <w:shd w:val="clear" w:color="auto" w:fill="D9D9D9" w:themeFill="background1" w:themeFillShade="D9"/>
            <w:vAlign w:val="center"/>
            <w:hideMark/>
          </w:tcPr>
          <w:p w14:paraId="07D5AD78" w14:textId="77777777" w:rsidR="002D4B09" w:rsidRPr="00AD21FF" w:rsidRDefault="002D4B09" w:rsidP="002D4B09">
            <w:pPr>
              <w:spacing w:before="0" w:after="0"/>
              <w:jc w:val="right"/>
              <w:rPr>
                <w:noProof/>
                <w:color w:val="000000"/>
                <w:sz w:val="16"/>
                <w:szCs w:val="16"/>
                <w:lang w:eastAsia="en-IE"/>
              </w:rPr>
            </w:pPr>
            <w:r>
              <w:rPr>
                <w:b/>
                <w:noProof/>
                <w:sz w:val="20"/>
                <w:szCs w:val="20"/>
              </w:rPr>
              <w:t>1.</w:t>
            </w:r>
            <w:r>
              <w:rPr>
                <w:b/>
                <w:bCs/>
                <w:noProof/>
                <w:sz w:val="20"/>
                <w:szCs w:val="20"/>
              </w:rPr>
              <w:t>204</w:t>
            </w:r>
          </w:p>
        </w:tc>
        <w:tc>
          <w:tcPr>
            <w:tcW w:w="482" w:type="pct"/>
            <w:tcBorders>
              <w:top w:val="nil"/>
              <w:left w:val="nil"/>
              <w:bottom w:val="nil"/>
              <w:right w:val="single" w:sz="8" w:space="0" w:color="auto"/>
            </w:tcBorders>
            <w:shd w:val="clear" w:color="auto" w:fill="D9D9D9" w:themeFill="background1" w:themeFillShade="D9"/>
            <w:vAlign w:val="center"/>
          </w:tcPr>
          <w:p w14:paraId="2B6C8393" w14:textId="77777777" w:rsidR="002D4B09" w:rsidRDefault="002D4B09" w:rsidP="002D4B09">
            <w:pPr>
              <w:spacing w:before="0" w:after="0"/>
              <w:jc w:val="right"/>
              <w:rPr>
                <w:b/>
                <w:noProof/>
                <w:sz w:val="20"/>
                <w:szCs w:val="20"/>
              </w:rPr>
            </w:pPr>
            <w:r>
              <w:rPr>
                <w:b/>
                <w:bCs/>
                <w:noProof/>
                <w:sz w:val="20"/>
                <w:szCs w:val="20"/>
              </w:rPr>
              <w:t>8.288</w:t>
            </w:r>
          </w:p>
        </w:tc>
      </w:tr>
    </w:tbl>
    <w:p w14:paraId="156DDB92" w14:textId="77777777" w:rsidR="00665A0E" w:rsidRDefault="00665A0E">
      <w:pPr>
        <w:rPr>
          <w:noProof/>
        </w:rPr>
      </w:pPr>
    </w:p>
    <w:tbl>
      <w:tblPr>
        <w:tblW w:w="5000" w:type="pct"/>
        <w:tblLook w:val="04A0" w:firstRow="1" w:lastRow="0" w:firstColumn="1" w:lastColumn="0" w:noHBand="0" w:noVBand="1"/>
      </w:tblPr>
      <w:tblGrid>
        <w:gridCol w:w="4929"/>
        <w:gridCol w:w="1132"/>
        <w:gridCol w:w="8159"/>
      </w:tblGrid>
      <w:tr w:rsidR="00665A0E" w:rsidRPr="003313E5" w14:paraId="4BC43903" w14:textId="77777777" w:rsidTr="17A5AC17">
        <w:trPr>
          <w:trHeight w:val="406"/>
        </w:trPr>
        <w:tc>
          <w:tcPr>
            <w:tcW w:w="1733" w:type="pct"/>
            <w:tcBorders>
              <w:top w:val="single" w:sz="8" w:space="0" w:color="auto"/>
              <w:left w:val="single" w:sz="8" w:space="0" w:color="auto"/>
              <w:bottom w:val="single" w:sz="8" w:space="0" w:color="auto"/>
              <w:right w:val="single" w:sz="8" w:space="0" w:color="auto"/>
            </w:tcBorders>
            <w:shd w:val="clear" w:color="auto" w:fill="F1F1F1"/>
            <w:vAlign w:val="center"/>
            <w:hideMark/>
          </w:tcPr>
          <w:p w14:paraId="328D27DD" w14:textId="77777777" w:rsidR="003313E5" w:rsidRPr="003313E5" w:rsidRDefault="003313E5" w:rsidP="003313E5">
            <w:pPr>
              <w:spacing w:before="0" w:after="0"/>
              <w:jc w:val="center"/>
              <w:rPr>
                <w:rFonts w:eastAsia="Times New Roman"/>
                <w:b/>
                <w:bCs/>
                <w:noProof/>
                <w:color w:val="000000"/>
                <w:sz w:val="22"/>
                <w:lang w:val="en-IE" w:eastAsia="en-IE"/>
              </w:rPr>
            </w:pPr>
            <w:r w:rsidRPr="003313E5">
              <w:rPr>
                <w:rFonts w:eastAsia="Times New Roman"/>
                <w:b/>
                <w:bCs/>
                <w:noProof/>
                <w:color w:val="000000"/>
                <w:sz w:val="22"/>
                <w:lang w:val="en-IE" w:eastAsia="en-IE"/>
              </w:rPr>
              <w:t>Heading of multiannual financial</w:t>
            </w:r>
            <w:r w:rsidR="00665A0E">
              <w:rPr>
                <w:rFonts w:eastAsia="Times New Roman"/>
                <w:b/>
                <w:bCs/>
                <w:noProof/>
                <w:color w:val="000000"/>
                <w:sz w:val="22"/>
                <w:lang w:val="en-IE" w:eastAsia="en-IE"/>
              </w:rPr>
              <w:t xml:space="preserve"> </w:t>
            </w:r>
            <w:r w:rsidRPr="003313E5">
              <w:rPr>
                <w:rFonts w:eastAsia="Times New Roman"/>
                <w:b/>
                <w:bCs/>
                <w:noProof/>
                <w:color w:val="000000"/>
                <w:sz w:val="22"/>
                <w:lang w:val="en-IE" w:eastAsia="en-IE"/>
              </w:rPr>
              <w:t>framework</w:t>
            </w:r>
          </w:p>
        </w:tc>
        <w:tc>
          <w:tcPr>
            <w:tcW w:w="398" w:type="pct"/>
            <w:tcBorders>
              <w:top w:val="single" w:sz="8" w:space="0" w:color="auto"/>
              <w:left w:val="nil"/>
              <w:bottom w:val="single" w:sz="8" w:space="0" w:color="auto"/>
              <w:right w:val="single" w:sz="8" w:space="0" w:color="auto"/>
            </w:tcBorders>
            <w:shd w:val="clear" w:color="auto" w:fill="F1F1F1"/>
            <w:vAlign w:val="center"/>
            <w:hideMark/>
          </w:tcPr>
          <w:p w14:paraId="6C3F091F" w14:textId="77777777" w:rsidR="003313E5" w:rsidRPr="003313E5" w:rsidRDefault="003313E5" w:rsidP="003313E5">
            <w:pPr>
              <w:spacing w:before="0" w:after="0"/>
              <w:jc w:val="center"/>
              <w:rPr>
                <w:rFonts w:eastAsia="Times New Roman"/>
                <w:b/>
                <w:bCs/>
                <w:noProof/>
                <w:color w:val="000000"/>
                <w:sz w:val="22"/>
                <w:lang w:val="en-IE" w:eastAsia="en-IE"/>
              </w:rPr>
            </w:pPr>
            <w:r w:rsidRPr="003313E5">
              <w:rPr>
                <w:rFonts w:eastAsia="Times New Roman"/>
                <w:b/>
                <w:bCs/>
                <w:noProof/>
                <w:color w:val="000000"/>
                <w:sz w:val="22"/>
                <w:lang w:val="en-IE" w:eastAsia="en-IE"/>
              </w:rPr>
              <w:t>7</w:t>
            </w:r>
          </w:p>
        </w:tc>
        <w:tc>
          <w:tcPr>
            <w:tcW w:w="2869" w:type="pct"/>
            <w:tcBorders>
              <w:top w:val="nil"/>
              <w:left w:val="nil"/>
              <w:bottom w:val="nil"/>
              <w:right w:val="nil"/>
            </w:tcBorders>
            <w:noWrap/>
            <w:vAlign w:val="center"/>
            <w:hideMark/>
          </w:tcPr>
          <w:p w14:paraId="494DE12C" w14:textId="77777777" w:rsidR="003313E5" w:rsidRPr="003313E5" w:rsidRDefault="003313E5" w:rsidP="17A5AC17">
            <w:pPr>
              <w:spacing w:before="0" w:after="0"/>
              <w:jc w:val="left"/>
              <w:rPr>
                <w:rFonts w:eastAsia="Times New Roman"/>
                <w:noProof/>
                <w:color w:val="000000"/>
                <w:sz w:val="22"/>
                <w:lang w:eastAsia="en-IE"/>
              </w:rPr>
            </w:pPr>
            <w:r w:rsidRPr="17A5AC17">
              <w:rPr>
                <w:rFonts w:eastAsia="Times New Roman"/>
                <w:noProof/>
                <w:color w:val="000000" w:themeColor="text1"/>
                <w:sz w:val="22"/>
                <w:lang w:eastAsia="en-IE"/>
              </w:rPr>
              <w:t>‘Administrative expenditure’[1]</w:t>
            </w:r>
          </w:p>
        </w:tc>
      </w:tr>
    </w:tbl>
    <w:p w14:paraId="41CC14BC" w14:textId="77777777" w:rsidR="00665A0E" w:rsidRPr="00665A0E" w:rsidRDefault="00665A0E" w:rsidP="00665A0E">
      <w:pPr>
        <w:jc w:val="right"/>
        <w:rPr>
          <w:noProof/>
          <w:sz w:val="20"/>
        </w:rPr>
      </w:pPr>
      <w:r w:rsidRPr="00AD21FF">
        <w:rPr>
          <w:noProof/>
          <w:sz w:val="20"/>
        </w:rPr>
        <w:t>EUR million (to three decimal places)</w:t>
      </w:r>
    </w:p>
    <w:tbl>
      <w:tblPr>
        <w:tblW w:w="5000" w:type="pct"/>
        <w:tblLook w:val="04A0" w:firstRow="1" w:lastRow="0" w:firstColumn="1" w:lastColumn="0" w:noHBand="0" w:noVBand="1"/>
      </w:tblPr>
      <w:tblGrid>
        <w:gridCol w:w="2936"/>
        <w:gridCol w:w="1508"/>
        <w:gridCol w:w="1186"/>
        <w:gridCol w:w="1115"/>
        <w:gridCol w:w="1200"/>
        <w:gridCol w:w="1186"/>
        <w:gridCol w:w="1189"/>
        <w:gridCol w:w="1189"/>
        <w:gridCol w:w="1189"/>
        <w:gridCol w:w="1522"/>
      </w:tblGrid>
      <w:tr w:rsidR="001C6022" w:rsidRPr="003313E5" w14:paraId="4D3AA12D" w14:textId="77777777" w:rsidTr="005B18E8">
        <w:trPr>
          <w:trHeight w:val="289"/>
        </w:trPr>
        <w:tc>
          <w:tcPr>
            <w:tcW w:w="156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D4458AC" w14:textId="77777777" w:rsidR="003313E5" w:rsidRPr="003313E5" w:rsidRDefault="003313E5" w:rsidP="003313E5">
            <w:pPr>
              <w:spacing w:before="0" w:after="0"/>
              <w:jc w:val="center"/>
              <w:rPr>
                <w:rFonts w:eastAsia="Times New Roman"/>
                <w:noProof/>
                <w:color w:val="000000"/>
                <w:szCs w:val="24"/>
                <w:lang w:val="en-IE" w:eastAsia="en-IE"/>
              </w:rPr>
            </w:pPr>
            <w:r w:rsidRPr="003313E5">
              <w:rPr>
                <w:rFonts w:eastAsia="Times New Roman"/>
                <w:noProof/>
                <w:color w:val="000000"/>
                <w:szCs w:val="24"/>
                <w:lang w:val="en-IE" w:eastAsia="en-IE"/>
              </w:rPr>
              <w:t>DG: GROW</w:t>
            </w:r>
          </w:p>
        </w:tc>
        <w:tc>
          <w:tcPr>
            <w:tcW w:w="417" w:type="pct"/>
            <w:tcBorders>
              <w:top w:val="single" w:sz="8" w:space="0" w:color="auto"/>
              <w:left w:val="nil"/>
              <w:bottom w:val="nil"/>
              <w:right w:val="single" w:sz="8" w:space="0" w:color="auto"/>
            </w:tcBorders>
            <w:vAlign w:val="center"/>
            <w:hideMark/>
          </w:tcPr>
          <w:p w14:paraId="520A994C" w14:textId="77777777" w:rsidR="003313E5" w:rsidRPr="003313E5" w:rsidRDefault="003313E5" w:rsidP="003313E5">
            <w:pPr>
              <w:spacing w:before="0" w:after="0"/>
              <w:jc w:val="center"/>
              <w:rPr>
                <w:rFonts w:eastAsia="Times New Roman"/>
                <w:noProof/>
                <w:color w:val="000000"/>
                <w:sz w:val="20"/>
                <w:szCs w:val="20"/>
                <w:lang w:val="en-IE" w:eastAsia="en-IE"/>
              </w:rPr>
            </w:pPr>
            <w:r w:rsidRPr="003313E5">
              <w:rPr>
                <w:rFonts w:eastAsia="Times New Roman"/>
                <w:noProof/>
                <w:color w:val="000000"/>
                <w:sz w:val="20"/>
                <w:szCs w:val="20"/>
                <w:lang w:val="en-IE" w:eastAsia="en-IE"/>
              </w:rPr>
              <w:t>Year</w:t>
            </w:r>
          </w:p>
        </w:tc>
        <w:tc>
          <w:tcPr>
            <w:tcW w:w="392" w:type="pct"/>
            <w:tcBorders>
              <w:top w:val="single" w:sz="8" w:space="0" w:color="auto"/>
              <w:left w:val="nil"/>
              <w:bottom w:val="nil"/>
              <w:right w:val="single" w:sz="8" w:space="0" w:color="auto"/>
            </w:tcBorders>
            <w:vAlign w:val="center"/>
            <w:hideMark/>
          </w:tcPr>
          <w:p w14:paraId="7BA7D824" w14:textId="77777777" w:rsidR="003313E5" w:rsidRPr="003313E5" w:rsidRDefault="003313E5" w:rsidP="003313E5">
            <w:pPr>
              <w:spacing w:before="0" w:after="0"/>
              <w:jc w:val="center"/>
              <w:rPr>
                <w:rFonts w:eastAsia="Times New Roman"/>
                <w:noProof/>
                <w:color w:val="000000"/>
                <w:sz w:val="20"/>
                <w:szCs w:val="20"/>
                <w:lang w:val="en-IE" w:eastAsia="en-IE"/>
              </w:rPr>
            </w:pPr>
            <w:r w:rsidRPr="003313E5">
              <w:rPr>
                <w:rFonts w:eastAsia="Times New Roman"/>
                <w:noProof/>
                <w:color w:val="000000"/>
                <w:sz w:val="20"/>
                <w:szCs w:val="20"/>
                <w:lang w:val="en-IE" w:eastAsia="en-IE"/>
              </w:rPr>
              <w:t>Year</w:t>
            </w:r>
          </w:p>
        </w:tc>
        <w:tc>
          <w:tcPr>
            <w:tcW w:w="422" w:type="pct"/>
            <w:tcBorders>
              <w:top w:val="single" w:sz="8" w:space="0" w:color="auto"/>
              <w:left w:val="nil"/>
              <w:bottom w:val="nil"/>
              <w:right w:val="single" w:sz="8" w:space="0" w:color="auto"/>
            </w:tcBorders>
            <w:vAlign w:val="center"/>
            <w:hideMark/>
          </w:tcPr>
          <w:p w14:paraId="711BCD9E" w14:textId="77777777" w:rsidR="003313E5" w:rsidRPr="003313E5" w:rsidRDefault="003313E5" w:rsidP="003313E5">
            <w:pPr>
              <w:spacing w:before="0" w:after="0"/>
              <w:jc w:val="center"/>
              <w:rPr>
                <w:rFonts w:eastAsia="Times New Roman"/>
                <w:noProof/>
                <w:color w:val="000000"/>
                <w:sz w:val="20"/>
                <w:szCs w:val="20"/>
                <w:lang w:val="en-IE" w:eastAsia="en-IE"/>
              </w:rPr>
            </w:pPr>
            <w:r w:rsidRPr="003313E5">
              <w:rPr>
                <w:rFonts w:eastAsia="Times New Roman"/>
                <w:noProof/>
                <w:color w:val="000000"/>
                <w:sz w:val="20"/>
                <w:szCs w:val="20"/>
                <w:lang w:val="en-IE" w:eastAsia="en-IE"/>
              </w:rPr>
              <w:t>Year</w:t>
            </w:r>
          </w:p>
        </w:tc>
        <w:tc>
          <w:tcPr>
            <w:tcW w:w="417" w:type="pct"/>
            <w:tcBorders>
              <w:top w:val="single" w:sz="8" w:space="0" w:color="auto"/>
              <w:left w:val="nil"/>
              <w:bottom w:val="nil"/>
              <w:right w:val="single" w:sz="8" w:space="0" w:color="auto"/>
            </w:tcBorders>
            <w:vAlign w:val="center"/>
            <w:hideMark/>
          </w:tcPr>
          <w:p w14:paraId="52AC2002" w14:textId="77777777" w:rsidR="003313E5" w:rsidRPr="003313E5" w:rsidRDefault="003313E5" w:rsidP="003313E5">
            <w:pPr>
              <w:spacing w:before="0" w:after="0"/>
              <w:jc w:val="center"/>
              <w:rPr>
                <w:rFonts w:eastAsia="Times New Roman"/>
                <w:noProof/>
                <w:color w:val="000000"/>
                <w:sz w:val="20"/>
                <w:szCs w:val="20"/>
                <w:lang w:val="en-IE" w:eastAsia="en-IE"/>
              </w:rPr>
            </w:pPr>
            <w:r w:rsidRPr="003313E5">
              <w:rPr>
                <w:rFonts w:eastAsia="Times New Roman"/>
                <w:noProof/>
                <w:color w:val="000000"/>
                <w:sz w:val="20"/>
                <w:szCs w:val="20"/>
                <w:lang w:val="en-IE" w:eastAsia="en-IE"/>
              </w:rPr>
              <w:t>Year</w:t>
            </w:r>
          </w:p>
        </w:tc>
        <w:tc>
          <w:tcPr>
            <w:tcW w:w="418" w:type="pct"/>
            <w:tcBorders>
              <w:top w:val="single" w:sz="8" w:space="0" w:color="auto"/>
              <w:left w:val="nil"/>
              <w:bottom w:val="nil"/>
              <w:right w:val="single" w:sz="8" w:space="0" w:color="auto"/>
            </w:tcBorders>
            <w:vAlign w:val="center"/>
            <w:hideMark/>
          </w:tcPr>
          <w:p w14:paraId="3054BF13" w14:textId="77777777" w:rsidR="003313E5" w:rsidRPr="003313E5" w:rsidRDefault="003313E5" w:rsidP="003313E5">
            <w:pPr>
              <w:spacing w:before="0" w:after="0"/>
              <w:jc w:val="center"/>
              <w:rPr>
                <w:rFonts w:eastAsia="Times New Roman"/>
                <w:noProof/>
                <w:color w:val="000000"/>
                <w:sz w:val="20"/>
                <w:szCs w:val="20"/>
                <w:lang w:val="en-IE" w:eastAsia="en-IE"/>
              </w:rPr>
            </w:pPr>
            <w:r w:rsidRPr="003313E5">
              <w:rPr>
                <w:rFonts w:eastAsia="Times New Roman"/>
                <w:noProof/>
                <w:color w:val="000000"/>
                <w:sz w:val="20"/>
                <w:szCs w:val="20"/>
                <w:lang w:val="en-IE" w:eastAsia="en-IE"/>
              </w:rPr>
              <w:t>Year</w:t>
            </w:r>
          </w:p>
        </w:tc>
        <w:tc>
          <w:tcPr>
            <w:tcW w:w="418" w:type="pct"/>
            <w:tcBorders>
              <w:top w:val="single" w:sz="8" w:space="0" w:color="auto"/>
              <w:left w:val="nil"/>
              <w:bottom w:val="nil"/>
              <w:right w:val="single" w:sz="8" w:space="0" w:color="auto"/>
            </w:tcBorders>
            <w:vAlign w:val="center"/>
            <w:hideMark/>
          </w:tcPr>
          <w:p w14:paraId="3E330748" w14:textId="77777777" w:rsidR="003313E5" w:rsidRPr="003313E5" w:rsidRDefault="003313E5" w:rsidP="003313E5">
            <w:pPr>
              <w:spacing w:before="0" w:after="0"/>
              <w:jc w:val="center"/>
              <w:rPr>
                <w:rFonts w:eastAsia="Times New Roman"/>
                <w:noProof/>
                <w:color w:val="000000"/>
                <w:sz w:val="20"/>
                <w:szCs w:val="20"/>
                <w:lang w:val="en-IE" w:eastAsia="en-IE"/>
              </w:rPr>
            </w:pPr>
            <w:r w:rsidRPr="003313E5">
              <w:rPr>
                <w:rFonts w:eastAsia="Times New Roman"/>
                <w:noProof/>
                <w:color w:val="000000"/>
                <w:sz w:val="20"/>
                <w:szCs w:val="20"/>
                <w:lang w:val="en-IE" w:eastAsia="en-IE"/>
              </w:rPr>
              <w:t>Year</w:t>
            </w:r>
          </w:p>
        </w:tc>
        <w:tc>
          <w:tcPr>
            <w:tcW w:w="418" w:type="pct"/>
            <w:tcBorders>
              <w:top w:val="single" w:sz="8" w:space="0" w:color="auto"/>
              <w:left w:val="nil"/>
              <w:bottom w:val="nil"/>
              <w:right w:val="single" w:sz="8" w:space="0" w:color="auto"/>
            </w:tcBorders>
            <w:vAlign w:val="center"/>
            <w:hideMark/>
          </w:tcPr>
          <w:p w14:paraId="46AB24A8" w14:textId="77777777" w:rsidR="003313E5" w:rsidRPr="003313E5" w:rsidRDefault="003313E5" w:rsidP="003313E5">
            <w:pPr>
              <w:spacing w:before="0" w:after="0"/>
              <w:jc w:val="center"/>
              <w:rPr>
                <w:rFonts w:eastAsia="Times New Roman"/>
                <w:noProof/>
                <w:color w:val="000000"/>
                <w:sz w:val="20"/>
                <w:szCs w:val="20"/>
                <w:lang w:val="en-IE" w:eastAsia="en-IE"/>
              </w:rPr>
            </w:pPr>
            <w:r w:rsidRPr="003313E5">
              <w:rPr>
                <w:rFonts w:eastAsia="Times New Roman"/>
                <w:noProof/>
                <w:color w:val="000000"/>
                <w:sz w:val="20"/>
                <w:szCs w:val="20"/>
                <w:lang w:val="en-IE" w:eastAsia="en-IE"/>
              </w:rPr>
              <w:t>Year</w:t>
            </w:r>
          </w:p>
        </w:tc>
        <w:tc>
          <w:tcPr>
            <w:tcW w:w="535" w:type="pct"/>
            <w:vMerge w:val="restart"/>
            <w:tcBorders>
              <w:top w:val="single" w:sz="8" w:space="0" w:color="auto"/>
              <w:left w:val="single" w:sz="8" w:space="0" w:color="auto"/>
              <w:bottom w:val="single" w:sz="8" w:space="0" w:color="000000"/>
              <w:right w:val="single" w:sz="8" w:space="0" w:color="auto"/>
            </w:tcBorders>
            <w:vAlign w:val="center"/>
            <w:hideMark/>
          </w:tcPr>
          <w:p w14:paraId="2EAA1028" w14:textId="77777777" w:rsidR="003313E5" w:rsidRPr="003313E5" w:rsidRDefault="003313E5" w:rsidP="003313E5">
            <w:pPr>
              <w:spacing w:before="0" w:after="0"/>
              <w:jc w:val="center"/>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TOTAL MFF</w:t>
            </w:r>
            <w:r w:rsidRPr="003313E5">
              <w:rPr>
                <w:rFonts w:eastAsia="Times New Roman"/>
                <w:b/>
                <w:bCs/>
                <w:noProof/>
                <w:color w:val="000000"/>
                <w:sz w:val="20"/>
                <w:szCs w:val="20"/>
                <w:lang w:val="en-IE" w:eastAsia="en-IE"/>
              </w:rPr>
              <w:br/>
              <w:t>2028-2034</w:t>
            </w:r>
            <w:r w:rsidR="007E3C0F">
              <w:rPr>
                <w:rStyle w:val="FootnoteReference"/>
                <w:rFonts w:eastAsia="Times New Roman"/>
                <w:b/>
                <w:bCs/>
                <w:noProof/>
                <w:color w:val="000000"/>
                <w:sz w:val="20"/>
                <w:szCs w:val="20"/>
                <w:lang w:val="en-IE" w:eastAsia="en-IE"/>
              </w:rPr>
              <w:footnoteReference w:id="81"/>
            </w:r>
          </w:p>
        </w:tc>
      </w:tr>
      <w:tr w:rsidR="001C6022" w:rsidRPr="003313E5" w14:paraId="72ECD4F2" w14:textId="77777777" w:rsidTr="005B18E8">
        <w:trPr>
          <w:trHeight w:val="300"/>
        </w:trPr>
        <w:tc>
          <w:tcPr>
            <w:tcW w:w="1562" w:type="pct"/>
            <w:gridSpan w:val="2"/>
            <w:vMerge/>
            <w:tcBorders>
              <w:top w:val="single" w:sz="8" w:space="0" w:color="auto"/>
              <w:left w:val="single" w:sz="8" w:space="0" w:color="auto"/>
              <w:bottom w:val="single" w:sz="8" w:space="0" w:color="auto"/>
              <w:right w:val="single" w:sz="8" w:space="0" w:color="auto"/>
            </w:tcBorders>
            <w:vAlign w:val="center"/>
            <w:hideMark/>
          </w:tcPr>
          <w:p w14:paraId="5D462299" w14:textId="77777777" w:rsidR="003313E5" w:rsidRPr="003313E5" w:rsidRDefault="003313E5" w:rsidP="003313E5">
            <w:pPr>
              <w:spacing w:before="0" w:after="0"/>
              <w:jc w:val="left"/>
              <w:rPr>
                <w:rFonts w:eastAsia="Times New Roman"/>
                <w:noProof/>
                <w:color w:val="000000"/>
                <w:szCs w:val="24"/>
                <w:lang w:val="en-IE" w:eastAsia="en-IE"/>
              </w:rPr>
            </w:pPr>
          </w:p>
        </w:tc>
        <w:tc>
          <w:tcPr>
            <w:tcW w:w="417" w:type="pct"/>
            <w:tcBorders>
              <w:top w:val="nil"/>
              <w:left w:val="nil"/>
              <w:bottom w:val="single" w:sz="8" w:space="0" w:color="auto"/>
              <w:right w:val="single" w:sz="8" w:space="0" w:color="auto"/>
            </w:tcBorders>
            <w:vAlign w:val="center"/>
            <w:hideMark/>
          </w:tcPr>
          <w:p w14:paraId="66AA2CF5" w14:textId="77777777" w:rsidR="003313E5" w:rsidRPr="003313E5" w:rsidRDefault="003313E5" w:rsidP="003313E5">
            <w:pPr>
              <w:spacing w:before="0" w:after="0"/>
              <w:jc w:val="center"/>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2028</w:t>
            </w:r>
          </w:p>
        </w:tc>
        <w:tc>
          <w:tcPr>
            <w:tcW w:w="392" w:type="pct"/>
            <w:tcBorders>
              <w:top w:val="nil"/>
              <w:left w:val="nil"/>
              <w:bottom w:val="single" w:sz="8" w:space="0" w:color="auto"/>
              <w:right w:val="single" w:sz="8" w:space="0" w:color="auto"/>
            </w:tcBorders>
            <w:vAlign w:val="center"/>
            <w:hideMark/>
          </w:tcPr>
          <w:p w14:paraId="298BA9FE" w14:textId="77777777" w:rsidR="003313E5" w:rsidRPr="003313E5" w:rsidRDefault="003313E5" w:rsidP="003313E5">
            <w:pPr>
              <w:spacing w:before="0" w:after="0"/>
              <w:jc w:val="center"/>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2029</w:t>
            </w:r>
          </w:p>
        </w:tc>
        <w:tc>
          <w:tcPr>
            <w:tcW w:w="422" w:type="pct"/>
            <w:tcBorders>
              <w:top w:val="nil"/>
              <w:left w:val="nil"/>
              <w:bottom w:val="single" w:sz="8" w:space="0" w:color="auto"/>
              <w:right w:val="single" w:sz="8" w:space="0" w:color="auto"/>
            </w:tcBorders>
            <w:vAlign w:val="center"/>
            <w:hideMark/>
          </w:tcPr>
          <w:p w14:paraId="6E0539D5" w14:textId="77777777" w:rsidR="003313E5" w:rsidRPr="003313E5" w:rsidRDefault="003313E5" w:rsidP="003313E5">
            <w:pPr>
              <w:spacing w:before="0" w:after="0"/>
              <w:jc w:val="center"/>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2030</w:t>
            </w:r>
          </w:p>
        </w:tc>
        <w:tc>
          <w:tcPr>
            <w:tcW w:w="417" w:type="pct"/>
            <w:tcBorders>
              <w:top w:val="nil"/>
              <w:left w:val="nil"/>
              <w:bottom w:val="single" w:sz="8" w:space="0" w:color="auto"/>
              <w:right w:val="single" w:sz="8" w:space="0" w:color="auto"/>
            </w:tcBorders>
            <w:vAlign w:val="center"/>
            <w:hideMark/>
          </w:tcPr>
          <w:p w14:paraId="598881EF" w14:textId="77777777" w:rsidR="003313E5" w:rsidRPr="003313E5" w:rsidRDefault="003313E5" w:rsidP="003313E5">
            <w:pPr>
              <w:spacing w:before="0" w:after="0"/>
              <w:jc w:val="center"/>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2031</w:t>
            </w:r>
          </w:p>
        </w:tc>
        <w:tc>
          <w:tcPr>
            <w:tcW w:w="418" w:type="pct"/>
            <w:tcBorders>
              <w:top w:val="nil"/>
              <w:left w:val="nil"/>
              <w:bottom w:val="single" w:sz="8" w:space="0" w:color="auto"/>
              <w:right w:val="single" w:sz="8" w:space="0" w:color="auto"/>
            </w:tcBorders>
            <w:vAlign w:val="center"/>
            <w:hideMark/>
          </w:tcPr>
          <w:p w14:paraId="64ED9AD8" w14:textId="77777777" w:rsidR="003313E5" w:rsidRPr="003313E5" w:rsidRDefault="003313E5" w:rsidP="003313E5">
            <w:pPr>
              <w:spacing w:before="0" w:after="0"/>
              <w:jc w:val="center"/>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2032</w:t>
            </w:r>
          </w:p>
        </w:tc>
        <w:tc>
          <w:tcPr>
            <w:tcW w:w="418" w:type="pct"/>
            <w:tcBorders>
              <w:top w:val="nil"/>
              <w:left w:val="nil"/>
              <w:bottom w:val="single" w:sz="8" w:space="0" w:color="auto"/>
              <w:right w:val="single" w:sz="8" w:space="0" w:color="auto"/>
            </w:tcBorders>
            <w:vAlign w:val="center"/>
            <w:hideMark/>
          </w:tcPr>
          <w:p w14:paraId="0A5A3553" w14:textId="77777777" w:rsidR="003313E5" w:rsidRPr="003313E5" w:rsidRDefault="003313E5" w:rsidP="003313E5">
            <w:pPr>
              <w:spacing w:before="0" w:after="0"/>
              <w:jc w:val="center"/>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2033</w:t>
            </w:r>
          </w:p>
        </w:tc>
        <w:tc>
          <w:tcPr>
            <w:tcW w:w="418" w:type="pct"/>
            <w:tcBorders>
              <w:top w:val="nil"/>
              <w:left w:val="nil"/>
              <w:bottom w:val="single" w:sz="8" w:space="0" w:color="auto"/>
              <w:right w:val="single" w:sz="8" w:space="0" w:color="auto"/>
            </w:tcBorders>
            <w:vAlign w:val="center"/>
            <w:hideMark/>
          </w:tcPr>
          <w:p w14:paraId="41BC775C" w14:textId="77777777" w:rsidR="003313E5" w:rsidRPr="003313E5" w:rsidRDefault="003313E5" w:rsidP="003313E5">
            <w:pPr>
              <w:spacing w:before="0" w:after="0"/>
              <w:jc w:val="center"/>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2034</w:t>
            </w:r>
          </w:p>
        </w:tc>
        <w:tc>
          <w:tcPr>
            <w:tcW w:w="535" w:type="pct"/>
            <w:vMerge/>
            <w:tcBorders>
              <w:top w:val="single" w:sz="8" w:space="0" w:color="auto"/>
              <w:left w:val="single" w:sz="8" w:space="0" w:color="auto"/>
              <w:bottom w:val="single" w:sz="8" w:space="0" w:color="000000"/>
              <w:right w:val="single" w:sz="8" w:space="0" w:color="auto"/>
            </w:tcBorders>
            <w:vAlign w:val="center"/>
            <w:hideMark/>
          </w:tcPr>
          <w:p w14:paraId="763BE5D3" w14:textId="77777777" w:rsidR="003313E5" w:rsidRPr="003313E5" w:rsidRDefault="003313E5" w:rsidP="003313E5">
            <w:pPr>
              <w:spacing w:before="0" w:after="0"/>
              <w:jc w:val="left"/>
              <w:rPr>
                <w:rFonts w:eastAsia="Times New Roman"/>
                <w:b/>
                <w:bCs/>
                <w:noProof/>
                <w:color w:val="000000"/>
                <w:sz w:val="20"/>
                <w:szCs w:val="20"/>
                <w:lang w:val="en-IE" w:eastAsia="en-IE"/>
              </w:rPr>
            </w:pPr>
          </w:p>
        </w:tc>
      </w:tr>
      <w:tr w:rsidR="00A429A0" w:rsidRPr="003313E5" w14:paraId="3462315E" w14:textId="77777777" w:rsidTr="005B18E8">
        <w:trPr>
          <w:trHeight w:val="315"/>
        </w:trPr>
        <w:tc>
          <w:tcPr>
            <w:tcW w:w="1562" w:type="pct"/>
            <w:gridSpan w:val="2"/>
            <w:tcBorders>
              <w:top w:val="single" w:sz="8" w:space="0" w:color="auto"/>
              <w:left w:val="single" w:sz="8" w:space="0" w:color="auto"/>
              <w:bottom w:val="single" w:sz="8" w:space="0" w:color="auto"/>
              <w:right w:val="single" w:sz="8" w:space="0" w:color="auto"/>
            </w:tcBorders>
            <w:vAlign w:val="center"/>
            <w:hideMark/>
          </w:tcPr>
          <w:p w14:paraId="02B24D84" w14:textId="77777777" w:rsidR="00FE4240" w:rsidRPr="003313E5" w:rsidRDefault="00FE4240" w:rsidP="00FE4240">
            <w:pPr>
              <w:spacing w:before="0" w:after="0"/>
              <w:jc w:val="left"/>
              <w:rPr>
                <w:rFonts w:eastAsia="Times New Roman"/>
                <w:noProof/>
                <w:color w:val="000000"/>
                <w:sz w:val="22"/>
                <w:lang w:val="en-IE" w:eastAsia="en-IE"/>
              </w:rPr>
            </w:pPr>
            <w:r w:rsidRPr="00AD21FF">
              <w:rPr>
                <w:rFonts w:ascii="Wingdings" w:hAnsi="Wingdings" w:cs="Calibri"/>
                <w:noProof/>
                <w:color w:val="000000"/>
                <w:sz w:val="22"/>
                <w:lang w:eastAsia="en-IE"/>
              </w:rPr>
              <w:t></w:t>
            </w:r>
            <w:r w:rsidRPr="00AD21FF">
              <w:rPr>
                <w:noProof/>
                <w:color w:val="000000"/>
                <w:sz w:val="22"/>
                <w:lang w:eastAsia="en-IE"/>
              </w:rPr>
              <w:t xml:space="preserve"> Human resources </w:t>
            </w:r>
          </w:p>
        </w:tc>
        <w:tc>
          <w:tcPr>
            <w:tcW w:w="417" w:type="pct"/>
            <w:tcBorders>
              <w:top w:val="nil"/>
              <w:left w:val="nil"/>
              <w:bottom w:val="single" w:sz="8" w:space="0" w:color="auto"/>
              <w:right w:val="single" w:sz="8" w:space="0" w:color="auto"/>
            </w:tcBorders>
            <w:shd w:val="clear" w:color="000000" w:fill="D9D9D9"/>
            <w:vAlign w:val="center"/>
            <w:hideMark/>
          </w:tcPr>
          <w:p w14:paraId="0D546F56" w14:textId="77777777" w:rsidR="00FE4240" w:rsidRPr="003313E5" w:rsidRDefault="005B18E8" w:rsidP="00FE4240">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1.164</w:t>
            </w:r>
          </w:p>
        </w:tc>
        <w:tc>
          <w:tcPr>
            <w:tcW w:w="392" w:type="pct"/>
            <w:tcBorders>
              <w:top w:val="nil"/>
              <w:left w:val="nil"/>
              <w:bottom w:val="single" w:sz="8" w:space="0" w:color="auto"/>
              <w:right w:val="single" w:sz="8" w:space="0" w:color="auto"/>
            </w:tcBorders>
            <w:shd w:val="clear" w:color="000000" w:fill="D9D9D9"/>
            <w:vAlign w:val="center"/>
            <w:hideMark/>
          </w:tcPr>
          <w:p w14:paraId="7B3FFA6D" w14:textId="77777777" w:rsidR="00FE4240" w:rsidRPr="003313E5" w:rsidRDefault="005B18E8" w:rsidP="00FE4240">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1.164</w:t>
            </w:r>
          </w:p>
        </w:tc>
        <w:tc>
          <w:tcPr>
            <w:tcW w:w="422" w:type="pct"/>
            <w:tcBorders>
              <w:top w:val="nil"/>
              <w:left w:val="nil"/>
              <w:bottom w:val="single" w:sz="8" w:space="0" w:color="auto"/>
              <w:right w:val="single" w:sz="8" w:space="0" w:color="auto"/>
            </w:tcBorders>
            <w:shd w:val="clear" w:color="000000" w:fill="D9D9D9"/>
            <w:vAlign w:val="center"/>
            <w:hideMark/>
          </w:tcPr>
          <w:p w14:paraId="607723AB" w14:textId="77777777" w:rsidR="00FE4240" w:rsidRPr="003313E5" w:rsidRDefault="005B18E8" w:rsidP="00FE4240">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1.164</w:t>
            </w:r>
          </w:p>
        </w:tc>
        <w:tc>
          <w:tcPr>
            <w:tcW w:w="417" w:type="pct"/>
            <w:tcBorders>
              <w:top w:val="nil"/>
              <w:left w:val="nil"/>
              <w:bottom w:val="single" w:sz="8" w:space="0" w:color="auto"/>
              <w:right w:val="single" w:sz="8" w:space="0" w:color="auto"/>
            </w:tcBorders>
            <w:shd w:val="clear" w:color="000000" w:fill="D9D9D9"/>
            <w:vAlign w:val="center"/>
            <w:hideMark/>
          </w:tcPr>
          <w:p w14:paraId="55A04065" w14:textId="77777777" w:rsidR="00FE4240" w:rsidRPr="003313E5" w:rsidRDefault="005B18E8" w:rsidP="00FE4240">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1.164</w:t>
            </w:r>
          </w:p>
        </w:tc>
        <w:tc>
          <w:tcPr>
            <w:tcW w:w="418" w:type="pct"/>
            <w:tcBorders>
              <w:top w:val="nil"/>
              <w:left w:val="nil"/>
              <w:bottom w:val="single" w:sz="8" w:space="0" w:color="auto"/>
              <w:right w:val="single" w:sz="8" w:space="0" w:color="auto"/>
            </w:tcBorders>
            <w:shd w:val="clear" w:color="000000" w:fill="D9D9D9"/>
            <w:vAlign w:val="center"/>
            <w:hideMark/>
          </w:tcPr>
          <w:p w14:paraId="7FD34465" w14:textId="77777777" w:rsidR="00FE4240" w:rsidRPr="003313E5" w:rsidRDefault="005B18E8" w:rsidP="00FE4240">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1.164</w:t>
            </w:r>
          </w:p>
        </w:tc>
        <w:tc>
          <w:tcPr>
            <w:tcW w:w="418" w:type="pct"/>
            <w:tcBorders>
              <w:top w:val="nil"/>
              <w:left w:val="nil"/>
              <w:bottom w:val="single" w:sz="8" w:space="0" w:color="auto"/>
              <w:right w:val="single" w:sz="8" w:space="0" w:color="auto"/>
            </w:tcBorders>
            <w:shd w:val="clear" w:color="000000" w:fill="D9D9D9"/>
            <w:vAlign w:val="center"/>
            <w:hideMark/>
          </w:tcPr>
          <w:p w14:paraId="66F3D17F" w14:textId="77777777" w:rsidR="00FE4240" w:rsidRPr="003313E5" w:rsidRDefault="005B18E8" w:rsidP="00FE4240">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1.164</w:t>
            </w:r>
          </w:p>
        </w:tc>
        <w:tc>
          <w:tcPr>
            <w:tcW w:w="418" w:type="pct"/>
            <w:tcBorders>
              <w:top w:val="nil"/>
              <w:left w:val="nil"/>
              <w:bottom w:val="single" w:sz="8" w:space="0" w:color="auto"/>
              <w:right w:val="single" w:sz="8" w:space="0" w:color="auto"/>
            </w:tcBorders>
            <w:shd w:val="clear" w:color="000000" w:fill="D9D9D9"/>
            <w:vAlign w:val="center"/>
            <w:hideMark/>
          </w:tcPr>
          <w:p w14:paraId="32B8EA40" w14:textId="77777777" w:rsidR="00FE4240" w:rsidRPr="003313E5" w:rsidRDefault="005B18E8" w:rsidP="00FE4240">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1.164</w:t>
            </w:r>
          </w:p>
        </w:tc>
        <w:tc>
          <w:tcPr>
            <w:tcW w:w="535" w:type="pct"/>
            <w:tcBorders>
              <w:top w:val="nil"/>
              <w:left w:val="nil"/>
              <w:bottom w:val="single" w:sz="8" w:space="0" w:color="auto"/>
              <w:right w:val="single" w:sz="8" w:space="0" w:color="auto"/>
            </w:tcBorders>
            <w:shd w:val="clear" w:color="000000" w:fill="D9D9D9"/>
            <w:vAlign w:val="center"/>
            <w:hideMark/>
          </w:tcPr>
          <w:p w14:paraId="7AFF6F6A" w14:textId="77777777" w:rsidR="00FE4240" w:rsidRPr="003313E5" w:rsidRDefault="00D10F8A" w:rsidP="00FE4240">
            <w:pPr>
              <w:spacing w:before="0" w:after="0"/>
              <w:jc w:val="right"/>
              <w:rPr>
                <w:rFonts w:eastAsia="Times New Roman"/>
                <w:b/>
                <w:bCs/>
                <w:noProof/>
                <w:color w:val="000000"/>
                <w:sz w:val="20"/>
                <w:szCs w:val="20"/>
                <w:lang w:val="en-IE" w:eastAsia="en-IE"/>
              </w:rPr>
            </w:pPr>
            <w:r w:rsidRPr="00D10F8A">
              <w:rPr>
                <w:rFonts w:eastAsia="Times New Roman"/>
                <w:b/>
                <w:bCs/>
                <w:noProof/>
                <w:color w:val="000000"/>
                <w:sz w:val="20"/>
                <w:szCs w:val="20"/>
                <w:lang w:val="en-IE" w:eastAsia="en-IE"/>
              </w:rPr>
              <w:t>8.148</w:t>
            </w:r>
          </w:p>
        </w:tc>
      </w:tr>
      <w:tr w:rsidR="00A429A0" w:rsidRPr="003313E5" w14:paraId="52367658" w14:textId="77777777" w:rsidTr="005B18E8">
        <w:trPr>
          <w:trHeight w:val="315"/>
        </w:trPr>
        <w:tc>
          <w:tcPr>
            <w:tcW w:w="1562" w:type="pct"/>
            <w:gridSpan w:val="2"/>
            <w:tcBorders>
              <w:top w:val="single" w:sz="8" w:space="0" w:color="auto"/>
              <w:left w:val="single" w:sz="8" w:space="0" w:color="auto"/>
              <w:bottom w:val="single" w:sz="8" w:space="0" w:color="auto"/>
              <w:right w:val="single" w:sz="8" w:space="0" w:color="auto"/>
            </w:tcBorders>
            <w:vAlign w:val="center"/>
            <w:hideMark/>
          </w:tcPr>
          <w:p w14:paraId="360CA05E" w14:textId="77777777" w:rsidR="00FE4240" w:rsidRPr="003313E5" w:rsidRDefault="00FE4240" w:rsidP="00FE4240">
            <w:pPr>
              <w:spacing w:before="0" w:after="0"/>
              <w:jc w:val="left"/>
              <w:rPr>
                <w:rFonts w:eastAsia="Times New Roman"/>
                <w:noProof/>
                <w:color w:val="000000"/>
                <w:sz w:val="22"/>
                <w:lang w:val="en-IE" w:eastAsia="en-IE"/>
              </w:rPr>
            </w:pPr>
            <w:r w:rsidRPr="00AD21FF">
              <w:rPr>
                <w:rFonts w:ascii="Wingdings" w:hAnsi="Wingdings" w:cs="Calibri"/>
                <w:noProof/>
                <w:color w:val="000000"/>
                <w:sz w:val="22"/>
                <w:lang w:eastAsia="en-IE"/>
              </w:rPr>
              <w:t></w:t>
            </w:r>
            <w:r w:rsidRPr="00AD21FF">
              <w:rPr>
                <w:noProof/>
                <w:color w:val="000000"/>
                <w:sz w:val="22"/>
                <w:lang w:eastAsia="en-IE"/>
              </w:rPr>
              <w:t xml:space="preserve"> Other administrative expenditure </w:t>
            </w:r>
          </w:p>
        </w:tc>
        <w:tc>
          <w:tcPr>
            <w:tcW w:w="417" w:type="pct"/>
            <w:tcBorders>
              <w:top w:val="nil"/>
              <w:left w:val="nil"/>
              <w:bottom w:val="single" w:sz="8" w:space="0" w:color="auto"/>
              <w:right w:val="single" w:sz="8" w:space="0" w:color="auto"/>
            </w:tcBorders>
            <w:shd w:val="clear" w:color="000000" w:fill="D9D9D9"/>
            <w:vAlign w:val="center"/>
            <w:hideMark/>
          </w:tcPr>
          <w:p w14:paraId="1D70F8FD" w14:textId="77777777" w:rsidR="00FE4240" w:rsidRPr="003313E5" w:rsidRDefault="00FE4240" w:rsidP="00FE4240">
            <w:pPr>
              <w:spacing w:before="0" w:after="0"/>
              <w:jc w:val="right"/>
              <w:rPr>
                <w:rFonts w:eastAsia="Times New Roman"/>
                <w:noProof/>
                <w:color w:val="000000"/>
                <w:sz w:val="20"/>
                <w:szCs w:val="20"/>
                <w:lang w:val="en-IE" w:eastAsia="en-IE"/>
              </w:rPr>
            </w:pPr>
            <w:r w:rsidRPr="003313E5">
              <w:rPr>
                <w:rFonts w:eastAsia="Times New Roman"/>
                <w:noProof/>
                <w:color w:val="000000"/>
                <w:sz w:val="20"/>
                <w:szCs w:val="20"/>
                <w:lang w:val="en-IE" w:eastAsia="en-IE"/>
              </w:rPr>
              <w:t>0.000</w:t>
            </w:r>
          </w:p>
        </w:tc>
        <w:tc>
          <w:tcPr>
            <w:tcW w:w="392" w:type="pct"/>
            <w:tcBorders>
              <w:top w:val="nil"/>
              <w:left w:val="nil"/>
              <w:bottom w:val="single" w:sz="8" w:space="0" w:color="auto"/>
              <w:right w:val="single" w:sz="8" w:space="0" w:color="auto"/>
            </w:tcBorders>
            <w:shd w:val="clear" w:color="000000" w:fill="D9D9D9"/>
            <w:vAlign w:val="center"/>
            <w:hideMark/>
          </w:tcPr>
          <w:p w14:paraId="120CB64A" w14:textId="77777777" w:rsidR="00FE4240" w:rsidRPr="003313E5" w:rsidRDefault="00FE4240" w:rsidP="00FE4240">
            <w:pPr>
              <w:spacing w:before="0" w:after="0"/>
              <w:jc w:val="right"/>
              <w:rPr>
                <w:rFonts w:eastAsia="Times New Roman"/>
                <w:noProof/>
                <w:color w:val="000000"/>
                <w:sz w:val="20"/>
                <w:szCs w:val="20"/>
                <w:lang w:val="en-IE" w:eastAsia="en-IE"/>
              </w:rPr>
            </w:pPr>
            <w:r w:rsidRPr="003313E5">
              <w:rPr>
                <w:rFonts w:eastAsia="Times New Roman"/>
                <w:noProof/>
                <w:color w:val="000000"/>
                <w:sz w:val="20"/>
                <w:szCs w:val="20"/>
                <w:lang w:val="en-IE" w:eastAsia="en-IE"/>
              </w:rPr>
              <w:t>0.000</w:t>
            </w:r>
          </w:p>
        </w:tc>
        <w:tc>
          <w:tcPr>
            <w:tcW w:w="422" w:type="pct"/>
            <w:tcBorders>
              <w:top w:val="nil"/>
              <w:left w:val="nil"/>
              <w:bottom w:val="single" w:sz="8" w:space="0" w:color="auto"/>
              <w:right w:val="single" w:sz="8" w:space="0" w:color="auto"/>
            </w:tcBorders>
            <w:shd w:val="clear" w:color="000000" w:fill="D9D9D9"/>
            <w:vAlign w:val="center"/>
            <w:hideMark/>
          </w:tcPr>
          <w:p w14:paraId="0CB9E717" w14:textId="77777777" w:rsidR="00FE4240" w:rsidRPr="003313E5" w:rsidRDefault="00FE4240" w:rsidP="00FE4240">
            <w:pPr>
              <w:spacing w:before="0" w:after="0"/>
              <w:jc w:val="right"/>
              <w:rPr>
                <w:rFonts w:eastAsia="Times New Roman"/>
                <w:noProof/>
                <w:color w:val="000000"/>
                <w:sz w:val="20"/>
                <w:szCs w:val="20"/>
                <w:lang w:val="en-IE" w:eastAsia="en-IE"/>
              </w:rPr>
            </w:pPr>
            <w:r w:rsidRPr="003313E5">
              <w:rPr>
                <w:rFonts w:eastAsia="Times New Roman"/>
                <w:noProof/>
                <w:color w:val="000000"/>
                <w:sz w:val="20"/>
                <w:szCs w:val="20"/>
                <w:lang w:val="en-IE" w:eastAsia="en-IE"/>
              </w:rPr>
              <w:t>0.000</w:t>
            </w:r>
          </w:p>
        </w:tc>
        <w:tc>
          <w:tcPr>
            <w:tcW w:w="417" w:type="pct"/>
            <w:tcBorders>
              <w:top w:val="nil"/>
              <w:left w:val="nil"/>
              <w:bottom w:val="single" w:sz="8" w:space="0" w:color="auto"/>
              <w:right w:val="single" w:sz="8" w:space="0" w:color="auto"/>
            </w:tcBorders>
            <w:shd w:val="clear" w:color="000000" w:fill="D9D9D9"/>
            <w:vAlign w:val="center"/>
            <w:hideMark/>
          </w:tcPr>
          <w:p w14:paraId="52E3054B" w14:textId="77777777" w:rsidR="00FE4240" w:rsidRPr="003313E5" w:rsidRDefault="00FE4240" w:rsidP="00FE4240">
            <w:pPr>
              <w:spacing w:before="0" w:after="0"/>
              <w:jc w:val="right"/>
              <w:rPr>
                <w:rFonts w:eastAsia="Times New Roman"/>
                <w:noProof/>
                <w:color w:val="000000"/>
                <w:sz w:val="20"/>
                <w:szCs w:val="20"/>
                <w:lang w:val="en-IE" w:eastAsia="en-IE"/>
              </w:rPr>
            </w:pPr>
            <w:r w:rsidRPr="003313E5">
              <w:rPr>
                <w:rFonts w:eastAsia="Times New Roman"/>
                <w:noProof/>
                <w:color w:val="000000"/>
                <w:sz w:val="20"/>
                <w:szCs w:val="20"/>
                <w:lang w:val="en-IE" w:eastAsia="en-IE"/>
              </w:rPr>
              <w:t>0.000</w:t>
            </w:r>
          </w:p>
        </w:tc>
        <w:tc>
          <w:tcPr>
            <w:tcW w:w="418" w:type="pct"/>
            <w:tcBorders>
              <w:top w:val="nil"/>
              <w:left w:val="nil"/>
              <w:bottom w:val="single" w:sz="8" w:space="0" w:color="auto"/>
              <w:right w:val="single" w:sz="8" w:space="0" w:color="auto"/>
            </w:tcBorders>
            <w:shd w:val="clear" w:color="000000" w:fill="D9D9D9"/>
            <w:vAlign w:val="center"/>
            <w:hideMark/>
          </w:tcPr>
          <w:p w14:paraId="6A4EE0F7" w14:textId="77777777" w:rsidR="00FE4240" w:rsidRPr="003313E5" w:rsidRDefault="00FE4240" w:rsidP="00FE4240">
            <w:pPr>
              <w:spacing w:before="0" w:after="0"/>
              <w:jc w:val="right"/>
              <w:rPr>
                <w:rFonts w:eastAsia="Times New Roman"/>
                <w:noProof/>
                <w:color w:val="000000"/>
                <w:sz w:val="20"/>
                <w:szCs w:val="20"/>
                <w:lang w:val="en-IE" w:eastAsia="en-IE"/>
              </w:rPr>
            </w:pPr>
            <w:r w:rsidRPr="003313E5">
              <w:rPr>
                <w:rFonts w:eastAsia="Times New Roman"/>
                <w:noProof/>
                <w:color w:val="000000"/>
                <w:sz w:val="20"/>
                <w:szCs w:val="20"/>
                <w:lang w:val="en-IE" w:eastAsia="en-IE"/>
              </w:rPr>
              <w:t>0.000</w:t>
            </w:r>
          </w:p>
        </w:tc>
        <w:tc>
          <w:tcPr>
            <w:tcW w:w="418" w:type="pct"/>
            <w:tcBorders>
              <w:top w:val="nil"/>
              <w:left w:val="nil"/>
              <w:bottom w:val="single" w:sz="8" w:space="0" w:color="auto"/>
              <w:right w:val="single" w:sz="8" w:space="0" w:color="auto"/>
            </w:tcBorders>
            <w:shd w:val="clear" w:color="000000" w:fill="D9D9D9"/>
            <w:vAlign w:val="center"/>
            <w:hideMark/>
          </w:tcPr>
          <w:p w14:paraId="6F1951F3" w14:textId="77777777" w:rsidR="00FE4240" w:rsidRPr="003313E5" w:rsidRDefault="00FE4240" w:rsidP="00FE4240">
            <w:pPr>
              <w:spacing w:before="0" w:after="0"/>
              <w:jc w:val="right"/>
              <w:rPr>
                <w:rFonts w:eastAsia="Times New Roman"/>
                <w:noProof/>
                <w:color w:val="000000"/>
                <w:sz w:val="20"/>
                <w:szCs w:val="20"/>
                <w:lang w:val="en-IE" w:eastAsia="en-IE"/>
              </w:rPr>
            </w:pPr>
            <w:r w:rsidRPr="003313E5">
              <w:rPr>
                <w:rFonts w:eastAsia="Times New Roman"/>
                <w:noProof/>
                <w:color w:val="000000"/>
                <w:sz w:val="20"/>
                <w:szCs w:val="20"/>
                <w:lang w:val="en-IE" w:eastAsia="en-IE"/>
              </w:rPr>
              <w:t>0.000</w:t>
            </w:r>
          </w:p>
        </w:tc>
        <w:tc>
          <w:tcPr>
            <w:tcW w:w="418" w:type="pct"/>
            <w:tcBorders>
              <w:top w:val="nil"/>
              <w:left w:val="nil"/>
              <w:bottom w:val="single" w:sz="8" w:space="0" w:color="auto"/>
              <w:right w:val="single" w:sz="8" w:space="0" w:color="auto"/>
            </w:tcBorders>
            <w:shd w:val="clear" w:color="000000" w:fill="D9D9D9"/>
            <w:vAlign w:val="center"/>
            <w:hideMark/>
          </w:tcPr>
          <w:p w14:paraId="3969B889" w14:textId="77777777" w:rsidR="00FE4240" w:rsidRPr="003313E5" w:rsidRDefault="00FE4240" w:rsidP="00FE4240">
            <w:pPr>
              <w:spacing w:before="0" w:after="0"/>
              <w:jc w:val="right"/>
              <w:rPr>
                <w:rFonts w:eastAsia="Times New Roman"/>
                <w:noProof/>
                <w:color w:val="000000"/>
                <w:sz w:val="20"/>
                <w:szCs w:val="20"/>
                <w:lang w:val="en-IE" w:eastAsia="en-IE"/>
              </w:rPr>
            </w:pPr>
            <w:r w:rsidRPr="003313E5">
              <w:rPr>
                <w:rFonts w:eastAsia="Times New Roman"/>
                <w:noProof/>
                <w:color w:val="000000"/>
                <w:sz w:val="20"/>
                <w:szCs w:val="20"/>
                <w:lang w:val="en-IE" w:eastAsia="en-IE"/>
              </w:rPr>
              <w:t>0.000</w:t>
            </w:r>
          </w:p>
        </w:tc>
        <w:tc>
          <w:tcPr>
            <w:tcW w:w="535" w:type="pct"/>
            <w:tcBorders>
              <w:top w:val="nil"/>
              <w:left w:val="nil"/>
              <w:bottom w:val="single" w:sz="8" w:space="0" w:color="auto"/>
              <w:right w:val="single" w:sz="8" w:space="0" w:color="auto"/>
            </w:tcBorders>
            <w:shd w:val="clear" w:color="000000" w:fill="D9D9D9"/>
            <w:vAlign w:val="center"/>
            <w:hideMark/>
          </w:tcPr>
          <w:p w14:paraId="27D930EB" w14:textId="77777777" w:rsidR="00FE4240" w:rsidRPr="003313E5" w:rsidRDefault="00FE4240" w:rsidP="00FE4240">
            <w:pPr>
              <w:spacing w:before="0" w:after="0"/>
              <w:jc w:val="right"/>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0.000</w:t>
            </w:r>
          </w:p>
        </w:tc>
      </w:tr>
      <w:tr w:rsidR="00A429A0" w:rsidRPr="003313E5" w14:paraId="4A38235B" w14:textId="77777777" w:rsidTr="005B18E8">
        <w:trPr>
          <w:trHeight w:val="315"/>
        </w:trPr>
        <w:tc>
          <w:tcPr>
            <w:tcW w:w="1032" w:type="pct"/>
            <w:tcBorders>
              <w:top w:val="nil"/>
              <w:left w:val="single" w:sz="8" w:space="0" w:color="auto"/>
              <w:bottom w:val="single" w:sz="8" w:space="0" w:color="auto"/>
              <w:right w:val="single" w:sz="8" w:space="0" w:color="auto"/>
            </w:tcBorders>
            <w:vAlign w:val="center"/>
            <w:hideMark/>
          </w:tcPr>
          <w:p w14:paraId="0E66F90B" w14:textId="77777777" w:rsidR="003313E5" w:rsidRPr="003313E5" w:rsidRDefault="003313E5" w:rsidP="003313E5">
            <w:pPr>
              <w:spacing w:before="0" w:after="0"/>
              <w:jc w:val="center"/>
              <w:rPr>
                <w:rFonts w:eastAsia="Times New Roman"/>
                <w:b/>
                <w:bCs/>
                <w:noProof/>
                <w:color w:val="000000"/>
                <w:sz w:val="22"/>
                <w:lang w:val="en-IE" w:eastAsia="en-IE"/>
              </w:rPr>
            </w:pPr>
            <w:r w:rsidRPr="003313E5">
              <w:rPr>
                <w:rFonts w:eastAsia="Times New Roman"/>
                <w:b/>
                <w:bCs/>
                <w:noProof/>
                <w:color w:val="000000"/>
                <w:sz w:val="22"/>
                <w:lang w:val="en-IE" w:eastAsia="en-IE"/>
              </w:rPr>
              <w:t>TOTAL DG GROW</w:t>
            </w:r>
          </w:p>
        </w:tc>
        <w:tc>
          <w:tcPr>
            <w:tcW w:w="530" w:type="pct"/>
            <w:tcBorders>
              <w:top w:val="single" w:sz="8" w:space="0" w:color="auto"/>
              <w:left w:val="nil"/>
              <w:bottom w:val="single" w:sz="8" w:space="0" w:color="auto"/>
              <w:right w:val="single" w:sz="8" w:space="0" w:color="auto"/>
            </w:tcBorders>
            <w:vAlign w:val="center"/>
            <w:hideMark/>
          </w:tcPr>
          <w:p w14:paraId="1F6CE421" w14:textId="77777777" w:rsidR="003313E5" w:rsidRPr="003313E5" w:rsidRDefault="003313E5" w:rsidP="003313E5">
            <w:pPr>
              <w:spacing w:before="0" w:after="0"/>
              <w:jc w:val="left"/>
              <w:rPr>
                <w:rFonts w:eastAsia="Times New Roman"/>
                <w:noProof/>
                <w:color w:val="000000"/>
                <w:sz w:val="18"/>
                <w:szCs w:val="18"/>
                <w:lang w:val="en-IE" w:eastAsia="en-IE"/>
              </w:rPr>
            </w:pPr>
            <w:r w:rsidRPr="003313E5">
              <w:rPr>
                <w:rFonts w:eastAsia="Times New Roman"/>
                <w:noProof/>
                <w:color w:val="000000"/>
                <w:sz w:val="18"/>
                <w:szCs w:val="18"/>
                <w:lang w:val="en-IE" w:eastAsia="en-IE"/>
              </w:rPr>
              <w:t xml:space="preserve">Appropriations </w:t>
            </w:r>
          </w:p>
        </w:tc>
        <w:tc>
          <w:tcPr>
            <w:tcW w:w="417" w:type="pct"/>
            <w:tcBorders>
              <w:top w:val="nil"/>
              <w:left w:val="nil"/>
              <w:bottom w:val="single" w:sz="8" w:space="0" w:color="auto"/>
              <w:right w:val="single" w:sz="8" w:space="0" w:color="auto"/>
            </w:tcBorders>
            <w:shd w:val="clear" w:color="000000" w:fill="D9D9D9"/>
            <w:vAlign w:val="center"/>
            <w:hideMark/>
          </w:tcPr>
          <w:p w14:paraId="2F788441" w14:textId="77777777" w:rsidR="003313E5" w:rsidRPr="003313E5" w:rsidRDefault="005B18E8" w:rsidP="003313E5">
            <w:pPr>
              <w:spacing w:before="0" w:after="0"/>
              <w:jc w:val="right"/>
              <w:rPr>
                <w:rFonts w:eastAsia="Times New Roman"/>
                <w:b/>
                <w:bCs/>
                <w:noProof/>
                <w:color w:val="000000"/>
                <w:sz w:val="20"/>
                <w:szCs w:val="20"/>
                <w:lang w:val="en-IE" w:eastAsia="en-IE"/>
              </w:rPr>
            </w:pPr>
            <w:r w:rsidRPr="005B18E8">
              <w:rPr>
                <w:rFonts w:eastAsia="Times New Roman"/>
                <w:b/>
                <w:bCs/>
                <w:noProof/>
                <w:color w:val="000000"/>
                <w:sz w:val="20"/>
                <w:szCs w:val="20"/>
                <w:lang w:val="en-IE" w:eastAsia="en-IE"/>
              </w:rPr>
              <w:t>1.164</w:t>
            </w:r>
          </w:p>
        </w:tc>
        <w:tc>
          <w:tcPr>
            <w:tcW w:w="392" w:type="pct"/>
            <w:tcBorders>
              <w:top w:val="nil"/>
              <w:left w:val="nil"/>
              <w:bottom w:val="single" w:sz="8" w:space="0" w:color="auto"/>
              <w:right w:val="single" w:sz="8" w:space="0" w:color="auto"/>
            </w:tcBorders>
            <w:shd w:val="clear" w:color="000000" w:fill="D9D9D9"/>
            <w:vAlign w:val="center"/>
            <w:hideMark/>
          </w:tcPr>
          <w:p w14:paraId="3D768948" w14:textId="77777777" w:rsidR="003313E5" w:rsidRPr="003313E5" w:rsidRDefault="005B18E8" w:rsidP="003313E5">
            <w:pPr>
              <w:spacing w:before="0" w:after="0"/>
              <w:jc w:val="right"/>
              <w:rPr>
                <w:rFonts w:eastAsia="Times New Roman"/>
                <w:b/>
                <w:bCs/>
                <w:noProof/>
                <w:color w:val="000000"/>
                <w:sz w:val="20"/>
                <w:szCs w:val="20"/>
                <w:lang w:val="en-IE" w:eastAsia="en-IE"/>
              </w:rPr>
            </w:pPr>
            <w:r w:rsidRPr="005B18E8">
              <w:rPr>
                <w:rFonts w:eastAsia="Times New Roman"/>
                <w:b/>
                <w:bCs/>
                <w:noProof/>
                <w:color w:val="000000"/>
                <w:sz w:val="20"/>
                <w:szCs w:val="20"/>
                <w:lang w:val="en-IE" w:eastAsia="en-IE"/>
              </w:rPr>
              <w:t>1.164</w:t>
            </w:r>
          </w:p>
        </w:tc>
        <w:tc>
          <w:tcPr>
            <w:tcW w:w="422" w:type="pct"/>
            <w:tcBorders>
              <w:top w:val="nil"/>
              <w:left w:val="nil"/>
              <w:bottom w:val="single" w:sz="8" w:space="0" w:color="auto"/>
              <w:right w:val="single" w:sz="8" w:space="0" w:color="auto"/>
            </w:tcBorders>
            <w:shd w:val="clear" w:color="000000" w:fill="D9D9D9"/>
            <w:vAlign w:val="center"/>
            <w:hideMark/>
          </w:tcPr>
          <w:p w14:paraId="077D5691" w14:textId="77777777" w:rsidR="003313E5" w:rsidRPr="003313E5" w:rsidRDefault="005B18E8" w:rsidP="003313E5">
            <w:pPr>
              <w:spacing w:before="0" w:after="0"/>
              <w:jc w:val="right"/>
              <w:rPr>
                <w:rFonts w:eastAsia="Times New Roman"/>
                <w:b/>
                <w:bCs/>
                <w:noProof/>
                <w:color w:val="000000"/>
                <w:sz w:val="20"/>
                <w:szCs w:val="20"/>
                <w:lang w:val="en-IE" w:eastAsia="en-IE"/>
              </w:rPr>
            </w:pPr>
            <w:r w:rsidRPr="005B18E8">
              <w:rPr>
                <w:rFonts w:eastAsia="Times New Roman"/>
                <w:b/>
                <w:bCs/>
                <w:noProof/>
                <w:color w:val="000000"/>
                <w:sz w:val="20"/>
                <w:szCs w:val="20"/>
                <w:lang w:val="en-IE" w:eastAsia="en-IE"/>
              </w:rPr>
              <w:t>1.164</w:t>
            </w:r>
          </w:p>
        </w:tc>
        <w:tc>
          <w:tcPr>
            <w:tcW w:w="417" w:type="pct"/>
            <w:tcBorders>
              <w:top w:val="nil"/>
              <w:left w:val="nil"/>
              <w:bottom w:val="single" w:sz="8" w:space="0" w:color="auto"/>
              <w:right w:val="single" w:sz="8" w:space="0" w:color="auto"/>
            </w:tcBorders>
            <w:shd w:val="clear" w:color="000000" w:fill="D9D9D9"/>
            <w:vAlign w:val="center"/>
            <w:hideMark/>
          </w:tcPr>
          <w:p w14:paraId="6E6EB01F" w14:textId="77777777" w:rsidR="003313E5" w:rsidRPr="003313E5" w:rsidRDefault="005B18E8" w:rsidP="003313E5">
            <w:pPr>
              <w:spacing w:before="0" w:after="0"/>
              <w:jc w:val="right"/>
              <w:rPr>
                <w:rFonts w:eastAsia="Times New Roman"/>
                <w:b/>
                <w:bCs/>
                <w:noProof/>
                <w:color w:val="000000"/>
                <w:sz w:val="20"/>
                <w:szCs w:val="20"/>
                <w:lang w:val="en-IE" w:eastAsia="en-IE"/>
              </w:rPr>
            </w:pPr>
            <w:r w:rsidRPr="005B18E8">
              <w:rPr>
                <w:rFonts w:eastAsia="Times New Roman"/>
                <w:b/>
                <w:bCs/>
                <w:noProof/>
                <w:color w:val="000000"/>
                <w:sz w:val="20"/>
                <w:szCs w:val="20"/>
                <w:lang w:val="en-IE" w:eastAsia="en-IE"/>
              </w:rPr>
              <w:t>1.164</w:t>
            </w:r>
          </w:p>
        </w:tc>
        <w:tc>
          <w:tcPr>
            <w:tcW w:w="418" w:type="pct"/>
            <w:tcBorders>
              <w:top w:val="nil"/>
              <w:left w:val="nil"/>
              <w:bottom w:val="single" w:sz="8" w:space="0" w:color="auto"/>
              <w:right w:val="single" w:sz="8" w:space="0" w:color="auto"/>
            </w:tcBorders>
            <w:shd w:val="clear" w:color="000000" w:fill="D9D9D9"/>
            <w:vAlign w:val="center"/>
            <w:hideMark/>
          </w:tcPr>
          <w:p w14:paraId="27677EFD" w14:textId="77777777" w:rsidR="003313E5" w:rsidRPr="003313E5" w:rsidRDefault="005B18E8" w:rsidP="003313E5">
            <w:pPr>
              <w:spacing w:before="0" w:after="0"/>
              <w:jc w:val="right"/>
              <w:rPr>
                <w:rFonts w:eastAsia="Times New Roman"/>
                <w:b/>
                <w:bCs/>
                <w:noProof/>
                <w:color w:val="000000"/>
                <w:sz w:val="20"/>
                <w:szCs w:val="20"/>
                <w:lang w:val="en-IE" w:eastAsia="en-IE"/>
              </w:rPr>
            </w:pPr>
            <w:r w:rsidRPr="005B18E8">
              <w:rPr>
                <w:rFonts w:eastAsia="Times New Roman"/>
                <w:b/>
                <w:bCs/>
                <w:noProof/>
                <w:color w:val="000000"/>
                <w:sz w:val="20"/>
                <w:szCs w:val="20"/>
                <w:lang w:val="en-IE" w:eastAsia="en-IE"/>
              </w:rPr>
              <w:t>1.164</w:t>
            </w:r>
          </w:p>
        </w:tc>
        <w:tc>
          <w:tcPr>
            <w:tcW w:w="418" w:type="pct"/>
            <w:tcBorders>
              <w:top w:val="nil"/>
              <w:left w:val="nil"/>
              <w:bottom w:val="single" w:sz="8" w:space="0" w:color="auto"/>
              <w:right w:val="single" w:sz="8" w:space="0" w:color="auto"/>
            </w:tcBorders>
            <w:shd w:val="clear" w:color="000000" w:fill="D9D9D9"/>
            <w:vAlign w:val="center"/>
            <w:hideMark/>
          </w:tcPr>
          <w:p w14:paraId="487F6EC6" w14:textId="77777777" w:rsidR="003313E5" w:rsidRPr="003313E5" w:rsidRDefault="005B18E8" w:rsidP="003313E5">
            <w:pPr>
              <w:spacing w:before="0" w:after="0"/>
              <w:jc w:val="right"/>
              <w:rPr>
                <w:rFonts w:eastAsia="Times New Roman"/>
                <w:b/>
                <w:bCs/>
                <w:noProof/>
                <w:color w:val="000000"/>
                <w:sz w:val="20"/>
                <w:szCs w:val="20"/>
                <w:lang w:val="en-IE" w:eastAsia="en-IE"/>
              </w:rPr>
            </w:pPr>
            <w:r w:rsidRPr="005B18E8">
              <w:rPr>
                <w:rFonts w:eastAsia="Times New Roman"/>
                <w:b/>
                <w:bCs/>
                <w:noProof/>
                <w:color w:val="000000"/>
                <w:sz w:val="20"/>
                <w:szCs w:val="20"/>
                <w:lang w:val="en-IE" w:eastAsia="en-IE"/>
              </w:rPr>
              <w:t>1.164</w:t>
            </w:r>
          </w:p>
        </w:tc>
        <w:tc>
          <w:tcPr>
            <w:tcW w:w="418" w:type="pct"/>
            <w:tcBorders>
              <w:top w:val="nil"/>
              <w:left w:val="nil"/>
              <w:bottom w:val="single" w:sz="8" w:space="0" w:color="auto"/>
              <w:right w:val="single" w:sz="8" w:space="0" w:color="auto"/>
            </w:tcBorders>
            <w:shd w:val="clear" w:color="000000" w:fill="D9D9D9"/>
            <w:vAlign w:val="center"/>
            <w:hideMark/>
          </w:tcPr>
          <w:p w14:paraId="5BC98AFA" w14:textId="77777777" w:rsidR="003313E5" w:rsidRPr="003313E5" w:rsidRDefault="005B18E8" w:rsidP="003313E5">
            <w:pPr>
              <w:spacing w:before="0" w:after="0"/>
              <w:jc w:val="right"/>
              <w:rPr>
                <w:rFonts w:eastAsia="Times New Roman"/>
                <w:b/>
                <w:bCs/>
                <w:noProof/>
                <w:color w:val="000000"/>
                <w:sz w:val="20"/>
                <w:szCs w:val="20"/>
                <w:lang w:val="en-IE" w:eastAsia="en-IE"/>
              </w:rPr>
            </w:pPr>
            <w:r w:rsidRPr="005B18E8">
              <w:rPr>
                <w:rFonts w:eastAsia="Times New Roman"/>
                <w:b/>
                <w:bCs/>
                <w:noProof/>
                <w:color w:val="000000"/>
                <w:sz w:val="20"/>
                <w:szCs w:val="20"/>
                <w:lang w:val="en-IE" w:eastAsia="en-IE"/>
              </w:rPr>
              <w:t>1.164</w:t>
            </w:r>
          </w:p>
        </w:tc>
        <w:tc>
          <w:tcPr>
            <w:tcW w:w="535" w:type="pct"/>
            <w:tcBorders>
              <w:top w:val="nil"/>
              <w:left w:val="nil"/>
              <w:bottom w:val="single" w:sz="8" w:space="0" w:color="auto"/>
              <w:right w:val="single" w:sz="8" w:space="0" w:color="auto"/>
            </w:tcBorders>
            <w:shd w:val="clear" w:color="000000" w:fill="D9D9D9"/>
            <w:vAlign w:val="center"/>
            <w:hideMark/>
          </w:tcPr>
          <w:p w14:paraId="5DE58BFC" w14:textId="77777777" w:rsidR="003313E5" w:rsidRPr="003313E5" w:rsidRDefault="00D10F8A" w:rsidP="003313E5">
            <w:pPr>
              <w:spacing w:before="0" w:after="0"/>
              <w:jc w:val="right"/>
              <w:rPr>
                <w:rFonts w:eastAsia="Times New Roman"/>
                <w:b/>
                <w:bCs/>
                <w:noProof/>
                <w:color w:val="000000"/>
                <w:sz w:val="20"/>
                <w:szCs w:val="20"/>
                <w:lang w:val="en-IE" w:eastAsia="en-IE"/>
              </w:rPr>
            </w:pPr>
            <w:r w:rsidRPr="00D10F8A">
              <w:rPr>
                <w:rFonts w:eastAsia="Times New Roman"/>
                <w:b/>
                <w:bCs/>
                <w:noProof/>
                <w:color w:val="000000"/>
                <w:sz w:val="20"/>
                <w:szCs w:val="20"/>
                <w:lang w:val="en-IE" w:eastAsia="en-IE"/>
              </w:rPr>
              <w:t>8.148</w:t>
            </w:r>
          </w:p>
        </w:tc>
      </w:tr>
    </w:tbl>
    <w:p w14:paraId="66B1279B" w14:textId="77777777" w:rsidR="002C0EBB" w:rsidRDefault="002C0EBB" w:rsidP="002C0EBB">
      <w:pPr>
        <w:jc w:val="right"/>
        <w:rPr>
          <w:noProof/>
          <w:sz w:val="20"/>
        </w:rPr>
      </w:pPr>
    </w:p>
    <w:tbl>
      <w:tblPr>
        <w:tblW w:w="5000" w:type="pct"/>
        <w:tblLook w:val="04A0" w:firstRow="1" w:lastRow="0" w:firstColumn="1" w:lastColumn="0" w:noHBand="0" w:noVBand="1"/>
      </w:tblPr>
      <w:tblGrid>
        <w:gridCol w:w="3269"/>
        <w:gridCol w:w="1197"/>
        <w:gridCol w:w="1197"/>
        <w:gridCol w:w="1015"/>
        <w:gridCol w:w="1212"/>
        <w:gridCol w:w="1197"/>
        <w:gridCol w:w="1200"/>
        <w:gridCol w:w="1200"/>
        <w:gridCol w:w="1200"/>
        <w:gridCol w:w="1533"/>
      </w:tblGrid>
      <w:tr w:rsidR="00A429A0" w:rsidRPr="003313E5" w14:paraId="26ADEDA3" w14:textId="77777777" w:rsidTr="002C0EBB">
        <w:trPr>
          <w:trHeight w:val="900"/>
        </w:trPr>
        <w:tc>
          <w:tcPr>
            <w:tcW w:w="1149" w:type="pct"/>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35496570" w14:textId="77777777" w:rsidR="003313E5" w:rsidRPr="003313E5" w:rsidRDefault="003313E5" w:rsidP="003313E5">
            <w:pPr>
              <w:spacing w:before="0" w:after="0"/>
              <w:jc w:val="center"/>
              <w:rPr>
                <w:rFonts w:eastAsia="Times New Roman"/>
                <w:b/>
                <w:bCs/>
                <w:noProof/>
                <w:color w:val="000000"/>
                <w:sz w:val="22"/>
                <w:lang w:val="en-IE" w:eastAsia="en-IE"/>
              </w:rPr>
            </w:pPr>
            <w:r w:rsidRPr="003313E5">
              <w:rPr>
                <w:rFonts w:eastAsia="Times New Roman"/>
                <w:b/>
                <w:bCs/>
                <w:noProof/>
                <w:color w:val="000000"/>
                <w:sz w:val="22"/>
                <w:lang w:val="en-IE" w:eastAsia="en-IE"/>
              </w:rPr>
              <w:t>TOTAL appropriations</w:t>
            </w:r>
            <w:r w:rsidRPr="003313E5">
              <w:rPr>
                <w:rFonts w:eastAsia="Times New Roman"/>
                <w:b/>
                <w:bCs/>
                <w:noProof/>
                <w:color w:val="000000"/>
                <w:sz w:val="22"/>
                <w:lang w:val="en-IE" w:eastAsia="en-IE"/>
              </w:rPr>
              <w:br/>
              <w:t>under HEADING 7</w:t>
            </w:r>
            <w:r w:rsidRPr="003313E5">
              <w:rPr>
                <w:rFonts w:eastAsia="Times New Roman"/>
                <w:b/>
                <w:bCs/>
                <w:noProof/>
                <w:color w:val="000000"/>
                <w:sz w:val="22"/>
                <w:lang w:val="en-IE" w:eastAsia="en-IE"/>
              </w:rPr>
              <w:br/>
              <w:t xml:space="preserve">of the multiannual financial framework </w:t>
            </w:r>
          </w:p>
        </w:tc>
        <w:tc>
          <w:tcPr>
            <w:tcW w:w="421" w:type="pct"/>
            <w:tcBorders>
              <w:top w:val="single" w:sz="8" w:space="0" w:color="auto"/>
              <w:left w:val="nil"/>
              <w:bottom w:val="single" w:sz="8" w:space="0" w:color="auto"/>
              <w:right w:val="single" w:sz="8" w:space="0" w:color="auto"/>
            </w:tcBorders>
            <w:vAlign w:val="center"/>
            <w:hideMark/>
          </w:tcPr>
          <w:p w14:paraId="5BC54464" w14:textId="77777777" w:rsidR="003313E5" w:rsidRPr="003313E5" w:rsidRDefault="003313E5" w:rsidP="003313E5">
            <w:pPr>
              <w:spacing w:before="0" w:after="0"/>
              <w:jc w:val="center"/>
              <w:rPr>
                <w:rFonts w:eastAsia="Times New Roman"/>
                <w:noProof/>
                <w:color w:val="000000"/>
                <w:sz w:val="18"/>
                <w:szCs w:val="18"/>
                <w:lang w:val="en-IE" w:eastAsia="en-IE"/>
              </w:rPr>
            </w:pPr>
            <w:r w:rsidRPr="003313E5">
              <w:rPr>
                <w:rFonts w:eastAsia="Times New Roman"/>
                <w:noProof/>
                <w:color w:val="000000"/>
                <w:sz w:val="18"/>
                <w:szCs w:val="18"/>
                <w:lang w:val="en-IE" w:eastAsia="en-IE"/>
              </w:rPr>
              <w:t>(Total commitments = Total payments)</w:t>
            </w:r>
          </w:p>
        </w:tc>
        <w:tc>
          <w:tcPr>
            <w:tcW w:w="421" w:type="pct"/>
            <w:tcBorders>
              <w:top w:val="single" w:sz="8" w:space="0" w:color="auto"/>
              <w:left w:val="nil"/>
              <w:bottom w:val="single" w:sz="8" w:space="0" w:color="auto"/>
              <w:right w:val="single" w:sz="8" w:space="0" w:color="auto"/>
            </w:tcBorders>
            <w:shd w:val="clear" w:color="000000" w:fill="D9D9D9"/>
            <w:vAlign w:val="center"/>
            <w:hideMark/>
          </w:tcPr>
          <w:p w14:paraId="39DD8DD7" w14:textId="77777777" w:rsidR="003313E5" w:rsidRPr="003313E5" w:rsidRDefault="003313E5" w:rsidP="003313E5">
            <w:pPr>
              <w:spacing w:before="0" w:after="0"/>
              <w:jc w:val="right"/>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1.164</w:t>
            </w:r>
          </w:p>
        </w:tc>
        <w:tc>
          <w:tcPr>
            <w:tcW w:w="357" w:type="pct"/>
            <w:tcBorders>
              <w:top w:val="single" w:sz="8" w:space="0" w:color="auto"/>
              <w:left w:val="nil"/>
              <w:bottom w:val="single" w:sz="8" w:space="0" w:color="auto"/>
              <w:right w:val="single" w:sz="8" w:space="0" w:color="auto"/>
            </w:tcBorders>
            <w:shd w:val="clear" w:color="000000" w:fill="D9D9D9"/>
            <w:vAlign w:val="center"/>
            <w:hideMark/>
          </w:tcPr>
          <w:p w14:paraId="03973EF6" w14:textId="77777777" w:rsidR="003313E5" w:rsidRPr="003313E5" w:rsidRDefault="003313E5" w:rsidP="003313E5">
            <w:pPr>
              <w:spacing w:before="0" w:after="0"/>
              <w:jc w:val="right"/>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1.164</w:t>
            </w:r>
          </w:p>
        </w:tc>
        <w:tc>
          <w:tcPr>
            <w:tcW w:w="426" w:type="pct"/>
            <w:tcBorders>
              <w:top w:val="single" w:sz="8" w:space="0" w:color="auto"/>
              <w:left w:val="nil"/>
              <w:bottom w:val="single" w:sz="8" w:space="0" w:color="auto"/>
              <w:right w:val="single" w:sz="8" w:space="0" w:color="auto"/>
            </w:tcBorders>
            <w:shd w:val="clear" w:color="000000" w:fill="D9D9D9"/>
            <w:vAlign w:val="center"/>
            <w:hideMark/>
          </w:tcPr>
          <w:p w14:paraId="5C570C47" w14:textId="77777777" w:rsidR="003313E5" w:rsidRPr="003313E5" w:rsidRDefault="003313E5" w:rsidP="003313E5">
            <w:pPr>
              <w:spacing w:before="0" w:after="0"/>
              <w:jc w:val="right"/>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1.164</w:t>
            </w:r>
          </w:p>
        </w:tc>
        <w:tc>
          <w:tcPr>
            <w:tcW w:w="421" w:type="pct"/>
            <w:tcBorders>
              <w:top w:val="single" w:sz="8" w:space="0" w:color="auto"/>
              <w:left w:val="nil"/>
              <w:bottom w:val="single" w:sz="8" w:space="0" w:color="auto"/>
              <w:right w:val="single" w:sz="8" w:space="0" w:color="auto"/>
            </w:tcBorders>
            <w:shd w:val="clear" w:color="000000" w:fill="D9D9D9"/>
            <w:vAlign w:val="center"/>
            <w:hideMark/>
          </w:tcPr>
          <w:p w14:paraId="127EE061" w14:textId="77777777" w:rsidR="003313E5" w:rsidRPr="003313E5" w:rsidRDefault="003313E5" w:rsidP="003313E5">
            <w:pPr>
              <w:spacing w:before="0" w:after="0"/>
              <w:jc w:val="right"/>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1.164</w:t>
            </w:r>
          </w:p>
        </w:tc>
        <w:tc>
          <w:tcPr>
            <w:tcW w:w="422" w:type="pct"/>
            <w:tcBorders>
              <w:top w:val="single" w:sz="8" w:space="0" w:color="auto"/>
              <w:left w:val="nil"/>
              <w:bottom w:val="single" w:sz="8" w:space="0" w:color="auto"/>
              <w:right w:val="single" w:sz="8" w:space="0" w:color="auto"/>
            </w:tcBorders>
            <w:shd w:val="clear" w:color="000000" w:fill="D9D9D9"/>
            <w:vAlign w:val="center"/>
            <w:hideMark/>
          </w:tcPr>
          <w:p w14:paraId="2872A1E3" w14:textId="77777777" w:rsidR="003313E5" w:rsidRPr="003313E5" w:rsidRDefault="003313E5" w:rsidP="003313E5">
            <w:pPr>
              <w:spacing w:before="0" w:after="0"/>
              <w:jc w:val="right"/>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1.164</w:t>
            </w:r>
          </w:p>
        </w:tc>
        <w:tc>
          <w:tcPr>
            <w:tcW w:w="422" w:type="pct"/>
            <w:tcBorders>
              <w:top w:val="single" w:sz="8" w:space="0" w:color="auto"/>
              <w:left w:val="nil"/>
              <w:bottom w:val="single" w:sz="8" w:space="0" w:color="auto"/>
              <w:right w:val="single" w:sz="8" w:space="0" w:color="auto"/>
            </w:tcBorders>
            <w:shd w:val="clear" w:color="000000" w:fill="D9D9D9"/>
            <w:vAlign w:val="center"/>
            <w:hideMark/>
          </w:tcPr>
          <w:p w14:paraId="50B9413A" w14:textId="77777777" w:rsidR="003313E5" w:rsidRPr="003313E5" w:rsidRDefault="003313E5" w:rsidP="003313E5">
            <w:pPr>
              <w:spacing w:before="0" w:after="0"/>
              <w:jc w:val="right"/>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1.164</w:t>
            </w:r>
          </w:p>
        </w:tc>
        <w:tc>
          <w:tcPr>
            <w:tcW w:w="422" w:type="pct"/>
            <w:tcBorders>
              <w:top w:val="single" w:sz="8" w:space="0" w:color="auto"/>
              <w:left w:val="nil"/>
              <w:bottom w:val="single" w:sz="8" w:space="0" w:color="auto"/>
              <w:right w:val="single" w:sz="8" w:space="0" w:color="auto"/>
            </w:tcBorders>
            <w:shd w:val="clear" w:color="000000" w:fill="D9D9D9"/>
            <w:vAlign w:val="center"/>
            <w:hideMark/>
          </w:tcPr>
          <w:p w14:paraId="6E083E03" w14:textId="77777777" w:rsidR="003313E5" w:rsidRPr="003313E5" w:rsidRDefault="003313E5" w:rsidP="003313E5">
            <w:pPr>
              <w:spacing w:before="0" w:after="0"/>
              <w:jc w:val="right"/>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1.164</w:t>
            </w:r>
          </w:p>
        </w:tc>
        <w:tc>
          <w:tcPr>
            <w:tcW w:w="539" w:type="pct"/>
            <w:tcBorders>
              <w:top w:val="single" w:sz="8" w:space="0" w:color="auto"/>
              <w:left w:val="nil"/>
              <w:bottom w:val="single" w:sz="8" w:space="0" w:color="auto"/>
              <w:right w:val="single" w:sz="8" w:space="0" w:color="auto"/>
            </w:tcBorders>
            <w:shd w:val="clear" w:color="000000" w:fill="D9D9D9"/>
            <w:vAlign w:val="center"/>
            <w:hideMark/>
          </w:tcPr>
          <w:p w14:paraId="4D3FE12A" w14:textId="77777777" w:rsidR="003313E5" w:rsidRPr="003313E5" w:rsidRDefault="003313E5" w:rsidP="003313E5">
            <w:pPr>
              <w:spacing w:before="0" w:after="0"/>
              <w:jc w:val="right"/>
              <w:rPr>
                <w:rFonts w:eastAsia="Times New Roman"/>
                <w:b/>
                <w:bCs/>
                <w:noProof/>
                <w:color w:val="000000"/>
                <w:sz w:val="20"/>
                <w:szCs w:val="20"/>
                <w:lang w:val="en-IE" w:eastAsia="en-IE"/>
              </w:rPr>
            </w:pPr>
            <w:r w:rsidRPr="003313E5">
              <w:rPr>
                <w:rFonts w:eastAsia="Times New Roman"/>
                <w:b/>
                <w:bCs/>
                <w:noProof/>
                <w:color w:val="000000"/>
                <w:sz w:val="20"/>
                <w:szCs w:val="20"/>
                <w:lang w:val="en-IE" w:eastAsia="en-IE"/>
              </w:rPr>
              <w:t>8.148</w:t>
            </w:r>
          </w:p>
        </w:tc>
      </w:tr>
    </w:tbl>
    <w:p w14:paraId="798256D6" w14:textId="77777777" w:rsidR="000941A7" w:rsidRDefault="000941A7" w:rsidP="000941A7">
      <w:pPr>
        <w:jc w:val="right"/>
        <w:rPr>
          <w:noProof/>
          <w:sz w:val="20"/>
        </w:rPr>
      </w:pPr>
    </w:p>
    <w:p w14:paraId="184A3AAB" w14:textId="77777777" w:rsidR="003313E5" w:rsidRDefault="000941A7" w:rsidP="000941A7">
      <w:pPr>
        <w:jc w:val="right"/>
        <w:rPr>
          <w:noProof/>
        </w:rPr>
      </w:pPr>
      <w:r w:rsidRPr="00AD21FF">
        <w:rPr>
          <w:noProof/>
          <w:sz w:val="20"/>
        </w:rPr>
        <w:t>EUR million (to three decimal places)</w:t>
      </w:r>
    </w:p>
    <w:tbl>
      <w:tblPr>
        <w:tblW w:w="5000" w:type="pct"/>
        <w:tblLook w:val="04A0" w:firstRow="1" w:lastRow="0" w:firstColumn="1" w:lastColumn="0" w:noHBand="0" w:noVBand="1"/>
      </w:tblPr>
      <w:tblGrid>
        <w:gridCol w:w="4503"/>
        <w:gridCol w:w="1516"/>
        <w:gridCol w:w="927"/>
        <w:gridCol w:w="927"/>
        <w:gridCol w:w="927"/>
        <w:gridCol w:w="927"/>
        <w:gridCol w:w="927"/>
        <w:gridCol w:w="927"/>
        <w:gridCol w:w="927"/>
        <w:gridCol w:w="1712"/>
      </w:tblGrid>
      <w:tr w:rsidR="000941A7" w:rsidRPr="000941A7" w14:paraId="0FB533AD" w14:textId="77777777" w:rsidTr="000941A7">
        <w:trPr>
          <w:trHeight w:val="289"/>
        </w:trPr>
        <w:tc>
          <w:tcPr>
            <w:tcW w:w="211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2B96D63" w14:textId="77777777" w:rsidR="000941A7" w:rsidRPr="000941A7" w:rsidRDefault="000941A7" w:rsidP="000941A7">
            <w:pPr>
              <w:spacing w:before="0" w:after="0"/>
              <w:jc w:val="center"/>
              <w:rPr>
                <w:rFonts w:eastAsia="Times New Roman"/>
                <w:noProof/>
                <w:color w:val="000000"/>
                <w:szCs w:val="24"/>
                <w:lang w:val="en-IE" w:eastAsia="en-IE"/>
              </w:rPr>
            </w:pPr>
            <w:r w:rsidRPr="000941A7">
              <w:rPr>
                <w:rFonts w:eastAsia="Times New Roman"/>
                <w:noProof/>
                <w:color w:val="000000"/>
                <w:szCs w:val="24"/>
                <w:lang w:val="en-IE" w:eastAsia="en-IE"/>
              </w:rPr>
              <w:t> </w:t>
            </w:r>
          </w:p>
        </w:tc>
        <w:tc>
          <w:tcPr>
            <w:tcW w:w="326" w:type="pct"/>
            <w:tcBorders>
              <w:top w:val="single" w:sz="8" w:space="0" w:color="auto"/>
              <w:left w:val="nil"/>
              <w:bottom w:val="nil"/>
              <w:right w:val="single" w:sz="8" w:space="0" w:color="auto"/>
            </w:tcBorders>
            <w:vAlign w:val="center"/>
            <w:hideMark/>
          </w:tcPr>
          <w:p w14:paraId="4EA662CE" w14:textId="77777777" w:rsidR="000941A7" w:rsidRPr="000941A7" w:rsidRDefault="000941A7" w:rsidP="000941A7">
            <w:pPr>
              <w:spacing w:before="0" w:after="0"/>
              <w:jc w:val="center"/>
              <w:rPr>
                <w:rFonts w:eastAsia="Times New Roman"/>
                <w:noProof/>
                <w:color w:val="000000"/>
                <w:sz w:val="20"/>
                <w:szCs w:val="20"/>
                <w:lang w:val="en-IE" w:eastAsia="en-IE"/>
              </w:rPr>
            </w:pPr>
            <w:r w:rsidRPr="000941A7">
              <w:rPr>
                <w:rFonts w:eastAsia="Times New Roman"/>
                <w:noProof/>
                <w:color w:val="000000"/>
                <w:sz w:val="20"/>
                <w:szCs w:val="20"/>
                <w:lang w:val="en-IE" w:eastAsia="en-IE"/>
              </w:rPr>
              <w:t>Year</w:t>
            </w:r>
          </w:p>
        </w:tc>
        <w:tc>
          <w:tcPr>
            <w:tcW w:w="326" w:type="pct"/>
            <w:tcBorders>
              <w:top w:val="single" w:sz="8" w:space="0" w:color="auto"/>
              <w:left w:val="nil"/>
              <w:bottom w:val="nil"/>
              <w:right w:val="single" w:sz="8" w:space="0" w:color="auto"/>
            </w:tcBorders>
            <w:vAlign w:val="center"/>
            <w:hideMark/>
          </w:tcPr>
          <w:p w14:paraId="60294BC8" w14:textId="77777777" w:rsidR="000941A7" w:rsidRPr="000941A7" w:rsidRDefault="000941A7" w:rsidP="000941A7">
            <w:pPr>
              <w:spacing w:before="0" w:after="0"/>
              <w:jc w:val="center"/>
              <w:rPr>
                <w:rFonts w:eastAsia="Times New Roman"/>
                <w:noProof/>
                <w:color w:val="000000"/>
                <w:sz w:val="20"/>
                <w:szCs w:val="20"/>
                <w:lang w:val="en-IE" w:eastAsia="en-IE"/>
              </w:rPr>
            </w:pPr>
            <w:r w:rsidRPr="000941A7">
              <w:rPr>
                <w:rFonts w:eastAsia="Times New Roman"/>
                <w:noProof/>
                <w:color w:val="000000"/>
                <w:sz w:val="20"/>
                <w:szCs w:val="20"/>
                <w:lang w:val="en-IE" w:eastAsia="en-IE"/>
              </w:rPr>
              <w:t>Year</w:t>
            </w:r>
          </w:p>
        </w:tc>
        <w:tc>
          <w:tcPr>
            <w:tcW w:w="326" w:type="pct"/>
            <w:tcBorders>
              <w:top w:val="single" w:sz="8" w:space="0" w:color="auto"/>
              <w:left w:val="nil"/>
              <w:bottom w:val="nil"/>
              <w:right w:val="single" w:sz="8" w:space="0" w:color="auto"/>
            </w:tcBorders>
            <w:vAlign w:val="center"/>
            <w:hideMark/>
          </w:tcPr>
          <w:p w14:paraId="2B4D146B" w14:textId="77777777" w:rsidR="000941A7" w:rsidRPr="000941A7" w:rsidRDefault="000941A7" w:rsidP="000941A7">
            <w:pPr>
              <w:spacing w:before="0" w:after="0"/>
              <w:jc w:val="center"/>
              <w:rPr>
                <w:rFonts w:eastAsia="Times New Roman"/>
                <w:noProof/>
                <w:color w:val="000000"/>
                <w:sz w:val="20"/>
                <w:szCs w:val="20"/>
                <w:lang w:val="en-IE" w:eastAsia="en-IE"/>
              </w:rPr>
            </w:pPr>
            <w:r w:rsidRPr="000941A7">
              <w:rPr>
                <w:rFonts w:eastAsia="Times New Roman"/>
                <w:noProof/>
                <w:color w:val="000000"/>
                <w:sz w:val="20"/>
                <w:szCs w:val="20"/>
                <w:lang w:val="en-IE" w:eastAsia="en-IE"/>
              </w:rPr>
              <w:t>Year</w:t>
            </w:r>
          </w:p>
        </w:tc>
        <w:tc>
          <w:tcPr>
            <w:tcW w:w="326" w:type="pct"/>
            <w:tcBorders>
              <w:top w:val="single" w:sz="8" w:space="0" w:color="auto"/>
              <w:left w:val="nil"/>
              <w:bottom w:val="nil"/>
              <w:right w:val="single" w:sz="8" w:space="0" w:color="auto"/>
            </w:tcBorders>
            <w:vAlign w:val="center"/>
            <w:hideMark/>
          </w:tcPr>
          <w:p w14:paraId="471521C4" w14:textId="77777777" w:rsidR="000941A7" w:rsidRPr="000941A7" w:rsidRDefault="000941A7" w:rsidP="000941A7">
            <w:pPr>
              <w:spacing w:before="0" w:after="0"/>
              <w:jc w:val="center"/>
              <w:rPr>
                <w:rFonts w:eastAsia="Times New Roman"/>
                <w:noProof/>
                <w:color w:val="000000"/>
                <w:sz w:val="20"/>
                <w:szCs w:val="20"/>
                <w:lang w:val="en-IE" w:eastAsia="en-IE"/>
              </w:rPr>
            </w:pPr>
            <w:r w:rsidRPr="000941A7">
              <w:rPr>
                <w:rFonts w:eastAsia="Times New Roman"/>
                <w:noProof/>
                <w:color w:val="000000"/>
                <w:sz w:val="20"/>
                <w:szCs w:val="20"/>
                <w:lang w:val="en-IE" w:eastAsia="en-IE"/>
              </w:rPr>
              <w:t>Year</w:t>
            </w:r>
          </w:p>
        </w:tc>
        <w:tc>
          <w:tcPr>
            <w:tcW w:w="326" w:type="pct"/>
            <w:tcBorders>
              <w:top w:val="single" w:sz="8" w:space="0" w:color="auto"/>
              <w:left w:val="nil"/>
              <w:bottom w:val="nil"/>
              <w:right w:val="single" w:sz="8" w:space="0" w:color="auto"/>
            </w:tcBorders>
            <w:vAlign w:val="center"/>
            <w:hideMark/>
          </w:tcPr>
          <w:p w14:paraId="10BD2E54" w14:textId="77777777" w:rsidR="000941A7" w:rsidRPr="000941A7" w:rsidRDefault="000941A7" w:rsidP="000941A7">
            <w:pPr>
              <w:spacing w:before="0" w:after="0"/>
              <w:jc w:val="center"/>
              <w:rPr>
                <w:rFonts w:eastAsia="Times New Roman"/>
                <w:noProof/>
                <w:color w:val="000000"/>
                <w:sz w:val="20"/>
                <w:szCs w:val="20"/>
                <w:lang w:val="en-IE" w:eastAsia="en-IE"/>
              </w:rPr>
            </w:pPr>
            <w:r w:rsidRPr="000941A7">
              <w:rPr>
                <w:rFonts w:eastAsia="Times New Roman"/>
                <w:noProof/>
                <w:color w:val="000000"/>
                <w:sz w:val="20"/>
                <w:szCs w:val="20"/>
                <w:lang w:val="en-IE" w:eastAsia="en-IE"/>
              </w:rPr>
              <w:t>Year</w:t>
            </w:r>
          </w:p>
        </w:tc>
        <w:tc>
          <w:tcPr>
            <w:tcW w:w="326" w:type="pct"/>
            <w:tcBorders>
              <w:top w:val="single" w:sz="8" w:space="0" w:color="auto"/>
              <w:left w:val="nil"/>
              <w:bottom w:val="nil"/>
              <w:right w:val="single" w:sz="8" w:space="0" w:color="auto"/>
            </w:tcBorders>
            <w:vAlign w:val="center"/>
            <w:hideMark/>
          </w:tcPr>
          <w:p w14:paraId="44A702FD" w14:textId="77777777" w:rsidR="000941A7" w:rsidRPr="000941A7" w:rsidRDefault="000941A7" w:rsidP="000941A7">
            <w:pPr>
              <w:spacing w:before="0" w:after="0"/>
              <w:jc w:val="center"/>
              <w:rPr>
                <w:rFonts w:eastAsia="Times New Roman"/>
                <w:noProof/>
                <w:color w:val="000000"/>
                <w:sz w:val="20"/>
                <w:szCs w:val="20"/>
                <w:lang w:val="en-IE" w:eastAsia="en-IE"/>
              </w:rPr>
            </w:pPr>
            <w:r w:rsidRPr="000941A7">
              <w:rPr>
                <w:rFonts w:eastAsia="Times New Roman"/>
                <w:noProof/>
                <w:color w:val="000000"/>
                <w:sz w:val="20"/>
                <w:szCs w:val="20"/>
                <w:lang w:val="en-IE" w:eastAsia="en-IE"/>
              </w:rPr>
              <w:t>Year</w:t>
            </w:r>
          </w:p>
        </w:tc>
        <w:tc>
          <w:tcPr>
            <w:tcW w:w="326" w:type="pct"/>
            <w:tcBorders>
              <w:top w:val="single" w:sz="8" w:space="0" w:color="auto"/>
              <w:left w:val="nil"/>
              <w:bottom w:val="nil"/>
              <w:right w:val="single" w:sz="8" w:space="0" w:color="auto"/>
            </w:tcBorders>
            <w:vAlign w:val="center"/>
            <w:hideMark/>
          </w:tcPr>
          <w:p w14:paraId="562A7FC5" w14:textId="77777777" w:rsidR="000941A7" w:rsidRPr="000941A7" w:rsidRDefault="000941A7" w:rsidP="000941A7">
            <w:pPr>
              <w:spacing w:before="0" w:after="0"/>
              <w:jc w:val="center"/>
              <w:rPr>
                <w:rFonts w:eastAsia="Times New Roman"/>
                <w:noProof/>
                <w:color w:val="000000"/>
                <w:sz w:val="20"/>
                <w:szCs w:val="20"/>
                <w:lang w:val="en-IE" w:eastAsia="en-IE"/>
              </w:rPr>
            </w:pPr>
            <w:r w:rsidRPr="000941A7">
              <w:rPr>
                <w:rFonts w:eastAsia="Times New Roman"/>
                <w:noProof/>
                <w:color w:val="000000"/>
                <w:sz w:val="20"/>
                <w:szCs w:val="20"/>
                <w:lang w:val="en-IE" w:eastAsia="en-IE"/>
              </w:rPr>
              <w:t>Year</w:t>
            </w:r>
          </w:p>
        </w:tc>
        <w:tc>
          <w:tcPr>
            <w:tcW w:w="603" w:type="pct"/>
            <w:vMerge w:val="restart"/>
            <w:tcBorders>
              <w:top w:val="single" w:sz="8" w:space="0" w:color="auto"/>
              <w:left w:val="single" w:sz="8" w:space="0" w:color="auto"/>
              <w:bottom w:val="single" w:sz="8" w:space="0" w:color="000000"/>
              <w:right w:val="single" w:sz="8" w:space="0" w:color="auto"/>
            </w:tcBorders>
            <w:vAlign w:val="center"/>
            <w:hideMark/>
          </w:tcPr>
          <w:p w14:paraId="37749CEE" w14:textId="77777777" w:rsidR="000941A7" w:rsidRPr="000941A7" w:rsidRDefault="000941A7" w:rsidP="000941A7">
            <w:pPr>
              <w:spacing w:before="0" w:after="0"/>
              <w:jc w:val="center"/>
              <w:rPr>
                <w:rFonts w:eastAsia="Times New Roman"/>
                <w:b/>
                <w:bCs/>
                <w:noProof/>
                <w:color w:val="000000"/>
                <w:sz w:val="20"/>
                <w:szCs w:val="20"/>
                <w:lang w:val="en-IE" w:eastAsia="en-IE"/>
              </w:rPr>
            </w:pPr>
            <w:r w:rsidRPr="000941A7">
              <w:rPr>
                <w:rFonts w:eastAsia="Times New Roman"/>
                <w:b/>
                <w:bCs/>
                <w:noProof/>
                <w:color w:val="000000"/>
                <w:sz w:val="20"/>
                <w:szCs w:val="20"/>
                <w:lang w:val="en-IE" w:eastAsia="en-IE"/>
              </w:rPr>
              <w:t>TOTAL MFF</w:t>
            </w:r>
            <w:r w:rsidRPr="000941A7">
              <w:rPr>
                <w:rFonts w:eastAsia="Times New Roman"/>
                <w:b/>
                <w:bCs/>
                <w:noProof/>
                <w:color w:val="000000"/>
                <w:sz w:val="20"/>
                <w:szCs w:val="20"/>
                <w:lang w:val="en-IE" w:eastAsia="en-IE"/>
              </w:rPr>
              <w:br/>
              <w:t>2028-2034</w:t>
            </w:r>
            <w:r w:rsidR="007E3C0F">
              <w:rPr>
                <w:rStyle w:val="FootnoteReference"/>
                <w:rFonts w:eastAsia="Times New Roman"/>
                <w:b/>
                <w:bCs/>
                <w:noProof/>
                <w:color w:val="000000"/>
                <w:sz w:val="20"/>
                <w:szCs w:val="20"/>
                <w:lang w:val="en-IE" w:eastAsia="en-IE"/>
              </w:rPr>
              <w:footnoteReference w:id="82"/>
            </w:r>
          </w:p>
        </w:tc>
      </w:tr>
      <w:tr w:rsidR="000941A7" w:rsidRPr="000941A7" w14:paraId="719F265C" w14:textId="77777777" w:rsidTr="000941A7">
        <w:trPr>
          <w:trHeight w:val="300"/>
        </w:trPr>
        <w:tc>
          <w:tcPr>
            <w:tcW w:w="2116" w:type="pct"/>
            <w:gridSpan w:val="2"/>
            <w:vMerge/>
            <w:tcBorders>
              <w:top w:val="single" w:sz="8" w:space="0" w:color="auto"/>
              <w:left w:val="single" w:sz="8" w:space="0" w:color="auto"/>
              <w:bottom w:val="single" w:sz="8" w:space="0" w:color="auto"/>
              <w:right w:val="single" w:sz="8" w:space="0" w:color="auto"/>
            </w:tcBorders>
            <w:vAlign w:val="center"/>
            <w:hideMark/>
          </w:tcPr>
          <w:p w14:paraId="358C25D3" w14:textId="77777777" w:rsidR="000941A7" w:rsidRPr="000941A7" w:rsidRDefault="000941A7" w:rsidP="000941A7">
            <w:pPr>
              <w:spacing w:before="0" w:after="0"/>
              <w:jc w:val="left"/>
              <w:rPr>
                <w:rFonts w:eastAsia="Times New Roman"/>
                <w:noProof/>
                <w:color w:val="000000"/>
                <w:szCs w:val="24"/>
                <w:lang w:val="en-IE" w:eastAsia="en-IE"/>
              </w:rPr>
            </w:pPr>
          </w:p>
        </w:tc>
        <w:tc>
          <w:tcPr>
            <w:tcW w:w="326" w:type="pct"/>
            <w:tcBorders>
              <w:top w:val="nil"/>
              <w:left w:val="nil"/>
              <w:bottom w:val="single" w:sz="8" w:space="0" w:color="auto"/>
              <w:right w:val="single" w:sz="8" w:space="0" w:color="auto"/>
            </w:tcBorders>
            <w:vAlign w:val="center"/>
            <w:hideMark/>
          </w:tcPr>
          <w:p w14:paraId="5C93EF69" w14:textId="77777777" w:rsidR="000941A7" w:rsidRPr="000941A7" w:rsidRDefault="000941A7" w:rsidP="000941A7">
            <w:pPr>
              <w:spacing w:before="0" w:after="0"/>
              <w:jc w:val="center"/>
              <w:rPr>
                <w:rFonts w:eastAsia="Times New Roman"/>
                <w:b/>
                <w:bCs/>
                <w:noProof/>
                <w:color w:val="000000"/>
                <w:sz w:val="20"/>
                <w:szCs w:val="20"/>
                <w:lang w:val="en-IE" w:eastAsia="en-IE"/>
              </w:rPr>
            </w:pPr>
            <w:r w:rsidRPr="000941A7">
              <w:rPr>
                <w:rFonts w:eastAsia="Times New Roman"/>
                <w:b/>
                <w:bCs/>
                <w:noProof/>
                <w:color w:val="000000"/>
                <w:sz w:val="20"/>
                <w:szCs w:val="20"/>
                <w:lang w:val="en-IE" w:eastAsia="en-IE"/>
              </w:rPr>
              <w:t>2028</w:t>
            </w:r>
          </w:p>
        </w:tc>
        <w:tc>
          <w:tcPr>
            <w:tcW w:w="326" w:type="pct"/>
            <w:tcBorders>
              <w:top w:val="nil"/>
              <w:left w:val="nil"/>
              <w:bottom w:val="single" w:sz="8" w:space="0" w:color="auto"/>
              <w:right w:val="single" w:sz="8" w:space="0" w:color="auto"/>
            </w:tcBorders>
            <w:vAlign w:val="center"/>
            <w:hideMark/>
          </w:tcPr>
          <w:p w14:paraId="32546E3B" w14:textId="77777777" w:rsidR="000941A7" w:rsidRPr="000941A7" w:rsidRDefault="000941A7" w:rsidP="000941A7">
            <w:pPr>
              <w:spacing w:before="0" w:after="0"/>
              <w:jc w:val="center"/>
              <w:rPr>
                <w:rFonts w:eastAsia="Times New Roman"/>
                <w:b/>
                <w:bCs/>
                <w:noProof/>
                <w:color w:val="000000"/>
                <w:sz w:val="20"/>
                <w:szCs w:val="20"/>
                <w:lang w:val="en-IE" w:eastAsia="en-IE"/>
              </w:rPr>
            </w:pPr>
            <w:r w:rsidRPr="000941A7">
              <w:rPr>
                <w:rFonts w:eastAsia="Times New Roman"/>
                <w:b/>
                <w:bCs/>
                <w:noProof/>
                <w:color w:val="000000"/>
                <w:sz w:val="20"/>
                <w:szCs w:val="20"/>
                <w:lang w:val="en-IE" w:eastAsia="en-IE"/>
              </w:rPr>
              <w:t>2029</w:t>
            </w:r>
          </w:p>
        </w:tc>
        <w:tc>
          <w:tcPr>
            <w:tcW w:w="326" w:type="pct"/>
            <w:tcBorders>
              <w:top w:val="nil"/>
              <w:left w:val="nil"/>
              <w:bottom w:val="single" w:sz="8" w:space="0" w:color="auto"/>
              <w:right w:val="single" w:sz="8" w:space="0" w:color="auto"/>
            </w:tcBorders>
            <w:vAlign w:val="center"/>
            <w:hideMark/>
          </w:tcPr>
          <w:p w14:paraId="6C15942A" w14:textId="77777777" w:rsidR="000941A7" w:rsidRPr="000941A7" w:rsidRDefault="000941A7" w:rsidP="000941A7">
            <w:pPr>
              <w:spacing w:before="0" w:after="0"/>
              <w:jc w:val="center"/>
              <w:rPr>
                <w:rFonts w:eastAsia="Times New Roman"/>
                <w:b/>
                <w:bCs/>
                <w:noProof/>
                <w:color w:val="000000"/>
                <w:sz w:val="20"/>
                <w:szCs w:val="20"/>
                <w:lang w:val="en-IE" w:eastAsia="en-IE"/>
              </w:rPr>
            </w:pPr>
            <w:r w:rsidRPr="000941A7">
              <w:rPr>
                <w:rFonts w:eastAsia="Times New Roman"/>
                <w:b/>
                <w:bCs/>
                <w:noProof/>
                <w:color w:val="000000"/>
                <w:sz w:val="20"/>
                <w:szCs w:val="20"/>
                <w:lang w:val="en-IE" w:eastAsia="en-IE"/>
              </w:rPr>
              <w:t>2030</w:t>
            </w:r>
          </w:p>
        </w:tc>
        <w:tc>
          <w:tcPr>
            <w:tcW w:w="326" w:type="pct"/>
            <w:tcBorders>
              <w:top w:val="nil"/>
              <w:left w:val="nil"/>
              <w:bottom w:val="single" w:sz="8" w:space="0" w:color="auto"/>
              <w:right w:val="single" w:sz="8" w:space="0" w:color="auto"/>
            </w:tcBorders>
            <w:vAlign w:val="center"/>
            <w:hideMark/>
          </w:tcPr>
          <w:p w14:paraId="12E1FB15" w14:textId="77777777" w:rsidR="000941A7" w:rsidRPr="000941A7" w:rsidRDefault="000941A7" w:rsidP="000941A7">
            <w:pPr>
              <w:spacing w:before="0" w:after="0"/>
              <w:jc w:val="center"/>
              <w:rPr>
                <w:rFonts w:eastAsia="Times New Roman"/>
                <w:b/>
                <w:bCs/>
                <w:noProof/>
                <w:color w:val="000000"/>
                <w:sz w:val="20"/>
                <w:szCs w:val="20"/>
                <w:lang w:val="en-IE" w:eastAsia="en-IE"/>
              </w:rPr>
            </w:pPr>
            <w:r w:rsidRPr="000941A7">
              <w:rPr>
                <w:rFonts w:eastAsia="Times New Roman"/>
                <w:b/>
                <w:bCs/>
                <w:noProof/>
                <w:color w:val="000000"/>
                <w:sz w:val="20"/>
                <w:szCs w:val="20"/>
                <w:lang w:val="en-IE" w:eastAsia="en-IE"/>
              </w:rPr>
              <w:t>2031</w:t>
            </w:r>
          </w:p>
        </w:tc>
        <w:tc>
          <w:tcPr>
            <w:tcW w:w="326" w:type="pct"/>
            <w:tcBorders>
              <w:top w:val="nil"/>
              <w:left w:val="nil"/>
              <w:bottom w:val="single" w:sz="8" w:space="0" w:color="auto"/>
              <w:right w:val="single" w:sz="8" w:space="0" w:color="auto"/>
            </w:tcBorders>
            <w:vAlign w:val="center"/>
            <w:hideMark/>
          </w:tcPr>
          <w:p w14:paraId="026A16CB" w14:textId="77777777" w:rsidR="000941A7" w:rsidRPr="000941A7" w:rsidRDefault="000941A7" w:rsidP="000941A7">
            <w:pPr>
              <w:spacing w:before="0" w:after="0"/>
              <w:jc w:val="center"/>
              <w:rPr>
                <w:rFonts w:eastAsia="Times New Roman"/>
                <w:b/>
                <w:bCs/>
                <w:noProof/>
                <w:color w:val="000000"/>
                <w:sz w:val="20"/>
                <w:szCs w:val="20"/>
                <w:lang w:val="en-IE" w:eastAsia="en-IE"/>
              </w:rPr>
            </w:pPr>
            <w:r w:rsidRPr="000941A7">
              <w:rPr>
                <w:rFonts w:eastAsia="Times New Roman"/>
                <w:b/>
                <w:bCs/>
                <w:noProof/>
                <w:color w:val="000000"/>
                <w:sz w:val="20"/>
                <w:szCs w:val="20"/>
                <w:lang w:val="en-IE" w:eastAsia="en-IE"/>
              </w:rPr>
              <w:t>2032</w:t>
            </w:r>
          </w:p>
        </w:tc>
        <w:tc>
          <w:tcPr>
            <w:tcW w:w="326" w:type="pct"/>
            <w:tcBorders>
              <w:top w:val="nil"/>
              <w:left w:val="nil"/>
              <w:bottom w:val="single" w:sz="8" w:space="0" w:color="auto"/>
              <w:right w:val="single" w:sz="8" w:space="0" w:color="auto"/>
            </w:tcBorders>
            <w:vAlign w:val="center"/>
            <w:hideMark/>
          </w:tcPr>
          <w:p w14:paraId="3AF92C22" w14:textId="77777777" w:rsidR="000941A7" w:rsidRPr="000941A7" w:rsidRDefault="000941A7" w:rsidP="000941A7">
            <w:pPr>
              <w:spacing w:before="0" w:after="0"/>
              <w:jc w:val="center"/>
              <w:rPr>
                <w:rFonts w:eastAsia="Times New Roman"/>
                <w:b/>
                <w:bCs/>
                <w:noProof/>
                <w:color w:val="000000"/>
                <w:sz w:val="20"/>
                <w:szCs w:val="20"/>
                <w:lang w:val="en-IE" w:eastAsia="en-IE"/>
              </w:rPr>
            </w:pPr>
            <w:r w:rsidRPr="000941A7">
              <w:rPr>
                <w:rFonts w:eastAsia="Times New Roman"/>
                <w:b/>
                <w:bCs/>
                <w:noProof/>
                <w:color w:val="000000"/>
                <w:sz w:val="20"/>
                <w:szCs w:val="20"/>
                <w:lang w:val="en-IE" w:eastAsia="en-IE"/>
              </w:rPr>
              <w:t>2033</w:t>
            </w:r>
          </w:p>
        </w:tc>
        <w:tc>
          <w:tcPr>
            <w:tcW w:w="326" w:type="pct"/>
            <w:tcBorders>
              <w:top w:val="nil"/>
              <w:left w:val="nil"/>
              <w:bottom w:val="single" w:sz="8" w:space="0" w:color="auto"/>
              <w:right w:val="single" w:sz="8" w:space="0" w:color="auto"/>
            </w:tcBorders>
            <w:vAlign w:val="center"/>
            <w:hideMark/>
          </w:tcPr>
          <w:p w14:paraId="041EEBA6" w14:textId="77777777" w:rsidR="000941A7" w:rsidRPr="000941A7" w:rsidRDefault="000941A7" w:rsidP="000941A7">
            <w:pPr>
              <w:spacing w:before="0" w:after="0"/>
              <w:jc w:val="center"/>
              <w:rPr>
                <w:rFonts w:eastAsia="Times New Roman"/>
                <w:b/>
                <w:bCs/>
                <w:noProof/>
                <w:color w:val="000000"/>
                <w:sz w:val="20"/>
                <w:szCs w:val="20"/>
                <w:lang w:val="en-IE" w:eastAsia="en-IE"/>
              </w:rPr>
            </w:pPr>
            <w:r w:rsidRPr="000941A7">
              <w:rPr>
                <w:rFonts w:eastAsia="Times New Roman"/>
                <w:b/>
                <w:bCs/>
                <w:noProof/>
                <w:color w:val="000000"/>
                <w:sz w:val="20"/>
                <w:szCs w:val="20"/>
                <w:lang w:val="en-IE" w:eastAsia="en-IE"/>
              </w:rPr>
              <w:t>2034</w:t>
            </w:r>
          </w:p>
        </w:tc>
        <w:tc>
          <w:tcPr>
            <w:tcW w:w="603" w:type="pct"/>
            <w:vMerge/>
            <w:tcBorders>
              <w:top w:val="single" w:sz="8" w:space="0" w:color="auto"/>
              <w:left w:val="single" w:sz="8" w:space="0" w:color="auto"/>
              <w:bottom w:val="single" w:sz="8" w:space="0" w:color="000000"/>
              <w:right w:val="single" w:sz="8" w:space="0" w:color="auto"/>
            </w:tcBorders>
            <w:vAlign w:val="center"/>
            <w:hideMark/>
          </w:tcPr>
          <w:p w14:paraId="3142FAE0" w14:textId="77777777" w:rsidR="000941A7" w:rsidRPr="000941A7" w:rsidRDefault="000941A7" w:rsidP="000941A7">
            <w:pPr>
              <w:spacing w:before="0" w:after="0"/>
              <w:jc w:val="left"/>
              <w:rPr>
                <w:rFonts w:eastAsia="Times New Roman"/>
                <w:b/>
                <w:bCs/>
                <w:noProof/>
                <w:color w:val="000000"/>
                <w:sz w:val="20"/>
                <w:szCs w:val="20"/>
                <w:lang w:val="en-IE" w:eastAsia="en-IE"/>
              </w:rPr>
            </w:pPr>
          </w:p>
        </w:tc>
      </w:tr>
      <w:tr w:rsidR="00BF23C7" w:rsidRPr="000941A7" w14:paraId="09FC8063" w14:textId="77777777" w:rsidTr="000941A7">
        <w:trPr>
          <w:trHeight w:val="567"/>
        </w:trPr>
        <w:tc>
          <w:tcPr>
            <w:tcW w:w="1583"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018F801A" w14:textId="77777777" w:rsidR="000941A7" w:rsidRPr="000941A7" w:rsidRDefault="000941A7" w:rsidP="000941A7">
            <w:pPr>
              <w:spacing w:before="0" w:after="0"/>
              <w:jc w:val="center"/>
              <w:rPr>
                <w:rFonts w:eastAsia="Times New Roman"/>
                <w:b/>
                <w:bCs/>
                <w:noProof/>
                <w:color w:val="000000"/>
                <w:sz w:val="22"/>
                <w:lang w:val="en-IE" w:eastAsia="en-IE"/>
              </w:rPr>
            </w:pPr>
            <w:r w:rsidRPr="000941A7">
              <w:rPr>
                <w:rFonts w:eastAsia="Times New Roman"/>
                <w:b/>
                <w:bCs/>
                <w:noProof/>
                <w:color w:val="000000"/>
                <w:sz w:val="22"/>
                <w:lang w:val="en-IE" w:eastAsia="en-IE"/>
              </w:rPr>
              <w:t>TOTAL appropriations</w:t>
            </w:r>
            <w:r w:rsidRPr="000941A7">
              <w:rPr>
                <w:rFonts w:eastAsia="Times New Roman"/>
                <w:b/>
                <w:bCs/>
                <w:noProof/>
                <w:color w:val="000000"/>
                <w:sz w:val="22"/>
                <w:lang w:val="en-IE" w:eastAsia="en-IE"/>
              </w:rPr>
              <w:br/>
              <w:t>under HEADINGS 1 to 7</w:t>
            </w:r>
          </w:p>
        </w:tc>
        <w:tc>
          <w:tcPr>
            <w:tcW w:w="533" w:type="pct"/>
            <w:tcBorders>
              <w:top w:val="single" w:sz="8" w:space="0" w:color="auto"/>
              <w:left w:val="nil"/>
              <w:bottom w:val="single" w:sz="8" w:space="0" w:color="auto"/>
              <w:right w:val="single" w:sz="8" w:space="0" w:color="auto"/>
            </w:tcBorders>
            <w:vAlign w:val="center"/>
            <w:hideMark/>
          </w:tcPr>
          <w:p w14:paraId="79320F7A" w14:textId="77777777" w:rsidR="000941A7" w:rsidRPr="000941A7" w:rsidRDefault="000941A7" w:rsidP="000941A7">
            <w:pPr>
              <w:spacing w:before="0" w:after="0"/>
              <w:rPr>
                <w:rFonts w:eastAsia="Times New Roman"/>
                <w:noProof/>
                <w:color w:val="000000"/>
                <w:sz w:val="18"/>
                <w:szCs w:val="18"/>
                <w:lang w:val="en-IE" w:eastAsia="en-IE"/>
              </w:rPr>
            </w:pPr>
            <w:r w:rsidRPr="000941A7">
              <w:rPr>
                <w:rFonts w:eastAsia="Times New Roman"/>
                <w:noProof/>
                <w:color w:val="000000"/>
                <w:sz w:val="18"/>
                <w:szCs w:val="18"/>
                <w:lang w:val="en-IE" w:eastAsia="en-IE"/>
              </w:rPr>
              <w:t>Commitments</w:t>
            </w:r>
          </w:p>
        </w:tc>
        <w:tc>
          <w:tcPr>
            <w:tcW w:w="326" w:type="pct"/>
            <w:tcBorders>
              <w:top w:val="nil"/>
              <w:left w:val="nil"/>
              <w:bottom w:val="single" w:sz="8" w:space="0" w:color="auto"/>
              <w:right w:val="single" w:sz="8" w:space="0" w:color="auto"/>
            </w:tcBorders>
            <w:shd w:val="clear" w:color="000000" w:fill="D9D9D9"/>
            <w:vAlign w:val="center"/>
            <w:hideMark/>
          </w:tcPr>
          <w:p w14:paraId="1088B7B5"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67FC477C"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544F4ABE"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00F34E0B"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1105A882"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211E32A9"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1E8A3B8D"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603" w:type="pct"/>
            <w:tcBorders>
              <w:top w:val="nil"/>
              <w:left w:val="nil"/>
              <w:bottom w:val="single" w:sz="8" w:space="0" w:color="auto"/>
              <w:right w:val="single" w:sz="8" w:space="0" w:color="auto"/>
            </w:tcBorders>
            <w:shd w:val="clear" w:color="000000" w:fill="D9D9D9"/>
            <w:vAlign w:val="center"/>
            <w:hideMark/>
          </w:tcPr>
          <w:p w14:paraId="381B4A41" w14:textId="77777777" w:rsidR="000941A7" w:rsidRPr="000941A7" w:rsidRDefault="000941A7" w:rsidP="000941A7">
            <w:pPr>
              <w:spacing w:before="0" w:after="0"/>
              <w:jc w:val="right"/>
              <w:rPr>
                <w:b/>
                <w:bCs/>
                <w:noProof/>
                <w:sz w:val="20"/>
                <w:szCs w:val="20"/>
              </w:rPr>
            </w:pPr>
            <w:r w:rsidRPr="000941A7">
              <w:rPr>
                <w:b/>
                <w:bCs/>
                <w:noProof/>
                <w:sz w:val="20"/>
                <w:szCs w:val="20"/>
              </w:rPr>
              <w:t>8.288</w:t>
            </w:r>
          </w:p>
        </w:tc>
      </w:tr>
      <w:tr w:rsidR="00BF23C7" w:rsidRPr="000941A7" w14:paraId="4B821276" w14:textId="77777777" w:rsidTr="000941A7">
        <w:trPr>
          <w:trHeight w:val="540"/>
        </w:trPr>
        <w:tc>
          <w:tcPr>
            <w:tcW w:w="1583"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36D60CD0" w14:textId="77777777" w:rsidR="000941A7" w:rsidRPr="000941A7" w:rsidRDefault="000941A7" w:rsidP="000941A7">
            <w:pPr>
              <w:spacing w:before="0" w:after="0"/>
              <w:jc w:val="center"/>
              <w:rPr>
                <w:rFonts w:eastAsia="Times New Roman"/>
                <w:noProof/>
                <w:color w:val="000000"/>
                <w:sz w:val="22"/>
                <w:lang w:val="en-IE" w:eastAsia="en-IE"/>
              </w:rPr>
            </w:pPr>
            <w:r w:rsidRPr="000941A7">
              <w:rPr>
                <w:rFonts w:eastAsia="Times New Roman"/>
                <w:noProof/>
                <w:color w:val="000000"/>
                <w:sz w:val="22"/>
                <w:lang w:val="en-IE" w:eastAsia="en-IE"/>
              </w:rPr>
              <w:t>of the multiannual financial framework</w:t>
            </w:r>
            <w:r w:rsidRPr="000941A7">
              <w:rPr>
                <w:rFonts w:eastAsia="Times New Roman"/>
                <w:b/>
                <w:bCs/>
                <w:noProof/>
                <w:color w:val="000000"/>
                <w:sz w:val="22"/>
                <w:lang w:val="en-IE" w:eastAsia="en-IE"/>
              </w:rPr>
              <w:t xml:space="preserve"> </w:t>
            </w:r>
          </w:p>
        </w:tc>
        <w:tc>
          <w:tcPr>
            <w:tcW w:w="533" w:type="pct"/>
            <w:tcBorders>
              <w:top w:val="single" w:sz="8" w:space="0" w:color="auto"/>
              <w:left w:val="nil"/>
              <w:bottom w:val="single" w:sz="8" w:space="0" w:color="auto"/>
              <w:right w:val="single" w:sz="8" w:space="0" w:color="auto"/>
            </w:tcBorders>
            <w:vAlign w:val="center"/>
            <w:hideMark/>
          </w:tcPr>
          <w:p w14:paraId="4CB65FE7" w14:textId="77777777" w:rsidR="000941A7" w:rsidRPr="000941A7" w:rsidRDefault="000941A7" w:rsidP="000941A7">
            <w:pPr>
              <w:spacing w:before="0" w:after="0"/>
              <w:rPr>
                <w:rFonts w:eastAsia="Times New Roman"/>
                <w:noProof/>
                <w:color w:val="000000"/>
                <w:sz w:val="18"/>
                <w:szCs w:val="18"/>
                <w:lang w:val="en-IE" w:eastAsia="en-IE"/>
              </w:rPr>
            </w:pPr>
            <w:r w:rsidRPr="000941A7">
              <w:rPr>
                <w:rFonts w:eastAsia="Times New Roman"/>
                <w:noProof/>
                <w:color w:val="000000"/>
                <w:sz w:val="18"/>
                <w:szCs w:val="18"/>
                <w:lang w:val="en-IE" w:eastAsia="en-IE"/>
              </w:rPr>
              <w:t>Payments</w:t>
            </w:r>
          </w:p>
        </w:tc>
        <w:tc>
          <w:tcPr>
            <w:tcW w:w="326" w:type="pct"/>
            <w:tcBorders>
              <w:top w:val="nil"/>
              <w:left w:val="nil"/>
              <w:bottom w:val="single" w:sz="8" w:space="0" w:color="auto"/>
              <w:right w:val="single" w:sz="8" w:space="0" w:color="auto"/>
            </w:tcBorders>
            <w:shd w:val="clear" w:color="000000" w:fill="D9D9D9"/>
            <w:vAlign w:val="center"/>
            <w:hideMark/>
          </w:tcPr>
          <w:p w14:paraId="0B8A00AE"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4848CBEE"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2BC4568F"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26397169"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04C08B3C"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69AA3836"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423B7165" w14:textId="77777777" w:rsidR="000941A7" w:rsidRPr="000941A7" w:rsidRDefault="000941A7" w:rsidP="000941A7">
            <w:pPr>
              <w:spacing w:before="0" w:after="0"/>
              <w:jc w:val="right"/>
              <w:rPr>
                <w:b/>
                <w:bCs/>
                <w:noProof/>
                <w:sz w:val="20"/>
                <w:szCs w:val="20"/>
              </w:rPr>
            </w:pPr>
            <w:r w:rsidRPr="000941A7">
              <w:rPr>
                <w:b/>
                <w:bCs/>
                <w:noProof/>
                <w:sz w:val="20"/>
                <w:szCs w:val="20"/>
              </w:rPr>
              <w:t>1.184</w:t>
            </w:r>
          </w:p>
        </w:tc>
        <w:tc>
          <w:tcPr>
            <w:tcW w:w="603" w:type="pct"/>
            <w:tcBorders>
              <w:top w:val="nil"/>
              <w:left w:val="nil"/>
              <w:bottom w:val="single" w:sz="8" w:space="0" w:color="auto"/>
              <w:right w:val="single" w:sz="8" w:space="0" w:color="auto"/>
            </w:tcBorders>
            <w:shd w:val="clear" w:color="000000" w:fill="D9D9D9"/>
            <w:vAlign w:val="center"/>
            <w:hideMark/>
          </w:tcPr>
          <w:p w14:paraId="7D79FA3E" w14:textId="77777777" w:rsidR="000941A7" w:rsidRPr="000941A7" w:rsidRDefault="000941A7" w:rsidP="000941A7">
            <w:pPr>
              <w:spacing w:before="0" w:after="0"/>
              <w:jc w:val="right"/>
              <w:rPr>
                <w:b/>
                <w:bCs/>
                <w:noProof/>
                <w:sz w:val="20"/>
                <w:szCs w:val="20"/>
              </w:rPr>
            </w:pPr>
            <w:r w:rsidRPr="000941A7">
              <w:rPr>
                <w:b/>
                <w:bCs/>
                <w:noProof/>
                <w:sz w:val="20"/>
                <w:szCs w:val="20"/>
              </w:rPr>
              <w:t>8.288</w:t>
            </w:r>
          </w:p>
        </w:tc>
      </w:tr>
    </w:tbl>
    <w:p w14:paraId="580B0F1C" w14:textId="77777777" w:rsidR="000941A7" w:rsidRDefault="000941A7" w:rsidP="00A766D7">
      <w:pPr>
        <w:rPr>
          <w:noProof/>
        </w:rPr>
      </w:pPr>
    </w:p>
    <w:p w14:paraId="3B4F81A2" w14:textId="77777777" w:rsidR="00CA7C31" w:rsidRPr="00AD21FF" w:rsidRDefault="00CA7C31" w:rsidP="00CA7C31">
      <w:pPr>
        <w:pStyle w:val="ManualHeading3"/>
        <w:ind w:left="0" w:firstLine="0"/>
        <w:rPr>
          <w:bCs/>
          <w:noProof/>
          <w:szCs w:val="24"/>
        </w:rPr>
      </w:pPr>
      <w:r w:rsidRPr="00AD21FF">
        <w:rPr>
          <w:noProof/>
        </w:rPr>
        <w:t>3.2.2.</w:t>
      </w:r>
      <w:r w:rsidRPr="00AD21FF">
        <w:rPr>
          <w:noProof/>
        </w:rPr>
        <w:tab/>
        <w:t>Estimated output funded from operational appropriations (not to be completed for decentralised agencies)</w:t>
      </w:r>
    </w:p>
    <w:p w14:paraId="742D033B" w14:textId="77777777" w:rsidR="00CA7C31" w:rsidRPr="00AD21FF" w:rsidRDefault="00CA7C31" w:rsidP="00CA7C31">
      <w:pPr>
        <w:jc w:val="right"/>
        <w:rPr>
          <w:noProof/>
          <w:sz w:val="20"/>
        </w:rPr>
      </w:pPr>
      <w:r w:rsidRPr="00AD21FF">
        <w:rPr>
          <w:noProof/>
          <w:sz w:val="20"/>
        </w:rPr>
        <w:t>Commitment appropriations in 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6"/>
        <w:gridCol w:w="754"/>
        <w:gridCol w:w="734"/>
        <w:gridCol w:w="526"/>
        <w:gridCol w:w="754"/>
        <w:gridCol w:w="563"/>
        <w:gridCol w:w="754"/>
        <w:gridCol w:w="754"/>
        <w:gridCol w:w="754"/>
        <w:gridCol w:w="941"/>
        <w:gridCol w:w="51"/>
        <w:gridCol w:w="702"/>
        <w:gridCol w:w="563"/>
        <w:gridCol w:w="677"/>
        <w:gridCol w:w="452"/>
        <w:gridCol w:w="754"/>
        <w:gridCol w:w="563"/>
        <w:gridCol w:w="754"/>
        <w:gridCol w:w="754"/>
        <w:gridCol w:w="930"/>
      </w:tblGrid>
      <w:tr w:rsidR="00CA7C31" w:rsidRPr="00AD21FF" w14:paraId="6AE074A4" w14:textId="77777777" w:rsidTr="00883E25">
        <w:trPr>
          <w:jc w:val="center"/>
        </w:trPr>
        <w:tc>
          <w:tcPr>
            <w:tcW w:w="523" w:type="pct"/>
            <w:vMerge w:val="restart"/>
            <w:vAlign w:val="center"/>
          </w:tcPr>
          <w:p w14:paraId="7DE1F766" w14:textId="77777777" w:rsidR="00CA7C31" w:rsidRPr="00AD21FF" w:rsidRDefault="00CA7C31">
            <w:pPr>
              <w:ind w:right="-29"/>
              <w:jc w:val="center"/>
              <w:rPr>
                <w:b/>
                <w:noProof/>
                <w:sz w:val="18"/>
                <w:szCs w:val="18"/>
              </w:rPr>
            </w:pPr>
            <w:r w:rsidRPr="00AD21FF">
              <w:rPr>
                <w:b/>
                <w:noProof/>
                <w:sz w:val="18"/>
              </w:rPr>
              <w:t xml:space="preserve">Indicate objectives and outputs </w:t>
            </w:r>
          </w:p>
          <w:p w14:paraId="60DD05C1" w14:textId="77777777" w:rsidR="00CA7C31" w:rsidRPr="00AD21FF" w:rsidRDefault="00CA7C31">
            <w:pPr>
              <w:ind w:right="-29"/>
              <w:jc w:val="center"/>
              <w:rPr>
                <w:noProof/>
                <w:sz w:val="18"/>
                <w:szCs w:val="18"/>
              </w:rPr>
            </w:pPr>
            <w:r w:rsidRPr="00AD21FF">
              <w:rPr>
                <w:rFonts w:ascii="Wingdings" w:eastAsia="Wingdings" w:hAnsi="Wingdings" w:cs="Wingdings"/>
                <w:noProof/>
                <w:sz w:val="18"/>
              </w:rPr>
              <w:t></w:t>
            </w:r>
          </w:p>
        </w:tc>
        <w:tc>
          <w:tcPr>
            <w:tcW w:w="265" w:type="pct"/>
            <w:vAlign w:val="center"/>
          </w:tcPr>
          <w:p w14:paraId="1A32A724" w14:textId="77777777" w:rsidR="00CA7C31" w:rsidRPr="00AD21FF" w:rsidRDefault="00CA7C31">
            <w:pPr>
              <w:ind w:right="-29"/>
              <w:jc w:val="center"/>
              <w:rPr>
                <w:noProof/>
                <w:sz w:val="18"/>
                <w:szCs w:val="18"/>
              </w:rPr>
            </w:pPr>
          </w:p>
        </w:tc>
        <w:tc>
          <w:tcPr>
            <w:tcW w:w="258" w:type="pct"/>
            <w:vAlign w:val="center"/>
          </w:tcPr>
          <w:p w14:paraId="2442C461" w14:textId="77777777" w:rsidR="00CA7C31" w:rsidRPr="00AD21FF" w:rsidRDefault="00CA7C31">
            <w:pPr>
              <w:ind w:right="-29"/>
              <w:jc w:val="center"/>
              <w:rPr>
                <w:noProof/>
                <w:sz w:val="18"/>
                <w:szCs w:val="18"/>
              </w:rPr>
            </w:pPr>
          </w:p>
        </w:tc>
        <w:tc>
          <w:tcPr>
            <w:tcW w:w="450" w:type="pct"/>
            <w:gridSpan w:val="2"/>
            <w:tcBorders>
              <w:left w:val="nil"/>
            </w:tcBorders>
            <w:vAlign w:val="center"/>
          </w:tcPr>
          <w:p w14:paraId="30748ED6" w14:textId="77777777" w:rsidR="00CA7C31" w:rsidRPr="00AD21FF" w:rsidRDefault="00CA7C31">
            <w:pPr>
              <w:ind w:right="-29"/>
              <w:jc w:val="center"/>
              <w:rPr>
                <w:noProof/>
                <w:sz w:val="18"/>
                <w:szCs w:val="18"/>
              </w:rPr>
            </w:pPr>
            <w:r w:rsidRPr="00AD21FF">
              <w:rPr>
                <w:noProof/>
                <w:sz w:val="18"/>
              </w:rPr>
              <w:t xml:space="preserve">Year </w:t>
            </w:r>
            <w:r w:rsidRPr="00AD21FF">
              <w:rPr>
                <w:noProof/>
                <w:sz w:val="22"/>
              </w:rPr>
              <w:br/>
            </w:r>
            <w:r w:rsidRPr="00AD21FF">
              <w:rPr>
                <w:b/>
                <w:noProof/>
                <w:sz w:val="18"/>
              </w:rPr>
              <w:t>2024</w:t>
            </w:r>
          </w:p>
        </w:tc>
        <w:tc>
          <w:tcPr>
            <w:tcW w:w="463" w:type="pct"/>
            <w:gridSpan w:val="2"/>
            <w:vAlign w:val="center"/>
          </w:tcPr>
          <w:p w14:paraId="02987A2B" w14:textId="77777777" w:rsidR="00CA7C31" w:rsidRPr="00AD21FF" w:rsidRDefault="00CA7C31">
            <w:pPr>
              <w:ind w:right="-29"/>
              <w:jc w:val="center"/>
              <w:rPr>
                <w:noProof/>
                <w:sz w:val="18"/>
                <w:szCs w:val="18"/>
              </w:rPr>
            </w:pPr>
            <w:r w:rsidRPr="00AD21FF">
              <w:rPr>
                <w:noProof/>
                <w:sz w:val="18"/>
              </w:rPr>
              <w:t xml:space="preserve">Year </w:t>
            </w:r>
            <w:r w:rsidRPr="00AD21FF">
              <w:rPr>
                <w:noProof/>
                <w:sz w:val="22"/>
              </w:rPr>
              <w:br/>
            </w:r>
            <w:r w:rsidRPr="00AD21FF">
              <w:rPr>
                <w:b/>
                <w:noProof/>
                <w:sz w:val="18"/>
              </w:rPr>
              <w:t>2025</w:t>
            </w:r>
          </w:p>
        </w:tc>
        <w:tc>
          <w:tcPr>
            <w:tcW w:w="530" w:type="pct"/>
            <w:gridSpan w:val="2"/>
            <w:vAlign w:val="center"/>
          </w:tcPr>
          <w:p w14:paraId="2E936F9B" w14:textId="77777777" w:rsidR="00CA7C31" w:rsidRPr="00AD21FF" w:rsidRDefault="00CA7C31">
            <w:pPr>
              <w:ind w:right="-29"/>
              <w:jc w:val="center"/>
              <w:rPr>
                <w:noProof/>
                <w:sz w:val="18"/>
                <w:szCs w:val="18"/>
              </w:rPr>
            </w:pPr>
            <w:r w:rsidRPr="00AD21FF">
              <w:rPr>
                <w:noProof/>
                <w:sz w:val="18"/>
              </w:rPr>
              <w:t xml:space="preserve">Year </w:t>
            </w:r>
            <w:r w:rsidRPr="00AD21FF">
              <w:rPr>
                <w:noProof/>
                <w:sz w:val="22"/>
              </w:rPr>
              <w:br/>
            </w:r>
            <w:r w:rsidRPr="00AD21FF">
              <w:rPr>
                <w:b/>
                <w:noProof/>
                <w:sz w:val="18"/>
              </w:rPr>
              <w:t>2026</w:t>
            </w:r>
          </w:p>
        </w:tc>
        <w:tc>
          <w:tcPr>
            <w:tcW w:w="596" w:type="pct"/>
            <w:gridSpan w:val="3"/>
            <w:vAlign w:val="center"/>
          </w:tcPr>
          <w:p w14:paraId="692D58B0" w14:textId="77777777" w:rsidR="00CA7C31" w:rsidRPr="00AD21FF" w:rsidRDefault="00CA7C31">
            <w:pPr>
              <w:ind w:right="-29"/>
              <w:jc w:val="center"/>
              <w:rPr>
                <w:noProof/>
                <w:sz w:val="18"/>
                <w:szCs w:val="18"/>
              </w:rPr>
            </w:pPr>
            <w:r w:rsidRPr="00AD21FF">
              <w:rPr>
                <w:noProof/>
                <w:sz w:val="18"/>
              </w:rPr>
              <w:t xml:space="preserve">Year </w:t>
            </w:r>
            <w:r w:rsidRPr="00AD21FF">
              <w:rPr>
                <w:noProof/>
                <w:sz w:val="22"/>
              </w:rPr>
              <w:br/>
            </w:r>
            <w:r w:rsidRPr="00AD21FF">
              <w:rPr>
                <w:b/>
                <w:noProof/>
                <w:sz w:val="18"/>
              </w:rPr>
              <w:t>2027</w:t>
            </w:r>
          </w:p>
        </w:tc>
        <w:tc>
          <w:tcPr>
            <w:tcW w:w="1323" w:type="pct"/>
            <w:gridSpan w:val="6"/>
            <w:vAlign w:val="center"/>
          </w:tcPr>
          <w:p w14:paraId="0BB03E71" w14:textId="77777777" w:rsidR="00CA7C31" w:rsidRPr="00AD21FF" w:rsidRDefault="00CA7C31">
            <w:pPr>
              <w:jc w:val="center"/>
              <w:rPr>
                <w:noProof/>
                <w:sz w:val="18"/>
                <w:szCs w:val="18"/>
              </w:rPr>
            </w:pPr>
            <w:r w:rsidRPr="00AD21FF">
              <w:rPr>
                <w:noProof/>
                <w:sz w:val="18"/>
              </w:rPr>
              <w:t>Enter as many years as necessary to show the duration of the impact (see Section1.6)</w:t>
            </w:r>
          </w:p>
        </w:tc>
        <w:tc>
          <w:tcPr>
            <w:tcW w:w="592" w:type="pct"/>
            <w:gridSpan w:val="2"/>
            <w:tcBorders>
              <w:left w:val="nil"/>
              <w:bottom w:val="nil"/>
            </w:tcBorders>
            <w:vAlign w:val="center"/>
          </w:tcPr>
          <w:p w14:paraId="03583B1D" w14:textId="77777777" w:rsidR="00CA7C31" w:rsidRPr="00AD21FF" w:rsidRDefault="00CA7C31">
            <w:pPr>
              <w:ind w:right="-29"/>
              <w:jc w:val="center"/>
              <w:rPr>
                <w:noProof/>
                <w:sz w:val="18"/>
                <w:szCs w:val="18"/>
              </w:rPr>
            </w:pPr>
            <w:r w:rsidRPr="00AD21FF">
              <w:rPr>
                <w:b/>
                <w:noProof/>
                <w:sz w:val="18"/>
              </w:rPr>
              <w:t>TOTAL</w:t>
            </w:r>
          </w:p>
        </w:tc>
      </w:tr>
      <w:tr w:rsidR="00CA7C31" w:rsidRPr="00AD21FF" w14:paraId="3BCF394B" w14:textId="77777777">
        <w:trPr>
          <w:jc w:val="center"/>
        </w:trPr>
        <w:tc>
          <w:tcPr>
            <w:tcW w:w="523" w:type="pct"/>
            <w:vMerge/>
            <w:vAlign w:val="center"/>
          </w:tcPr>
          <w:p w14:paraId="3FE79EC1" w14:textId="77777777" w:rsidR="00CA7C31" w:rsidRPr="00AD21FF" w:rsidRDefault="00CA7C31">
            <w:pPr>
              <w:ind w:right="-29"/>
              <w:jc w:val="center"/>
              <w:rPr>
                <w:noProof/>
                <w:sz w:val="18"/>
                <w:szCs w:val="18"/>
              </w:rPr>
            </w:pPr>
          </w:p>
        </w:tc>
        <w:tc>
          <w:tcPr>
            <w:tcW w:w="4477" w:type="pct"/>
            <w:gridSpan w:val="19"/>
            <w:vAlign w:val="center"/>
          </w:tcPr>
          <w:p w14:paraId="33C23099" w14:textId="77777777" w:rsidR="00CA7C31" w:rsidRPr="00AD21FF" w:rsidRDefault="00CA7C31">
            <w:pPr>
              <w:spacing w:before="60" w:after="60"/>
              <w:ind w:right="-29"/>
              <w:jc w:val="center"/>
              <w:rPr>
                <w:noProof/>
                <w:sz w:val="18"/>
                <w:szCs w:val="18"/>
              </w:rPr>
            </w:pPr>
            <w:r w:rsidRPr="00AD21FF">
              <w:rPr>
                <w:b/>
                <w:noProof/>
                <w:sz w:val="18"/>
              </w:rPr>
              <w:t>OUTPUTS</w:t>
            </w:r>
          </w:p>
        </w:tc>
      </w:tr>
      <w:tr w:rsidR="00CA7C31" w:rsidRPr="00AD21FF" w14:paraId="56D352B1" w14:textId="77777777" w:rsidTr="00883E25">
        <w:trPr>
          <w:cantSplit/>
          <w:trHeight w:val="1134"/>
          <w:jc w:val="center"/>
        </w:trPr>
        <w:tc>
          <w:tcPr>
            <w:tcW w:w="523" w:type="pct"/>
            <w:vAlign w:val="center"/>
          </w:tcPr>
          <w:p w14:paraId="17D5D8AD" w14:textId="77777777" w:rsidR="00CA7C31" w:rsidRPr="00AD21FF" w:rsidRDefault="00CA7C31">
            <w:pPr>
              <w:rPr>
                <w:noProof/>
                <w:sz w:val="18"/>
                <w:szCs w:val="18"/>
              </w:rPr>
            </w:pPr>
          </w:p>
        </w:tc>
        <w:tc>
          <w:tcPr>
            <w:tcW w:w="265" w:type="pct"/>
            <w:vAlign w:val="center"/>
          </w:tcPr>
          <w:p w14:paraId="01E623F1" w14:textId="77777777" w:rsidR="00CA7C31" w:rsidRPr="00AD21FF" w:rsidRDefault="00CA7C31" w:rsidP="001B3D62">
            <w:pPr>
              <w:jc w:val="center"/>
              <w:rPr>
                <w:noProof/>
                <w:sz w:val="18"/>
                <w:szCs w:val="18"/>
              </w:rPr>
            </w:pPr>
            <w:r w:rsidRPr="00AD21FF">
              <w:rPr>
                <w:noProof/>
                <w:sz w:val="18"/>
                <w:szCs w:val="18"/>
              </w:rPr>
              <w:t>Type</w:t>
            </w:r>
            <w:r w:rsidRPr="00AD21FF">
              <w:rPr>
                <w:rStyle w:val="FootnoteReference"/>
                <w:noProof/>
                <w:sz w:val="18"/>
                <w:szCs w:val="18"/>
              </w:rPr>
              <w:footnoteReference w:id="83"/>
            </w:r>
          </w:p>
        </w:tc>
        <w:tc>
          <w:tcPr>
            <w:tcW w:w="258" w:type="pct"/>
            <w:vAlign w:val="center"/>
          </w:tcPr>
          <w:p w14:paraId="74FD85C7" w14:textId="77777777" w:rsidR="00CA7C31" w:rsidRPr="00AD21FF" w:rsidRDefault="00CA7C31">
            <w:pPr>
              <w:jc w:val="center"/>
              <w:rPr>
                <w:noProof/>
                <w:sz w:val="18"/>
                <w:szCs w:val="18"/>
              </w:rPr>
            </w:pPr>
            <w:r w:rsidRPr="00AD21FF">
              <w:rPr>
                <w:noProof/>
                <w:sz w:val="18"/>
              </w:rPr>
              <w:t>Average cost</w:t>
            </w:r>
          </w:p>
        </w:tc>
        <w:tc>
          <w:tcPr>
            <w:tcW w:w="185" w:type="pct"/>
            <w:tcBorders>
              <w:left w:val="nil"/>
              <w:right w:val="dashSmallGap" w:sz="4" w:space="0" w:color="auto"/>
            </w:tcBorders>
            <w:textDirection w:val="btLr"/>
            <w:vAlign w:val="center"/>
          </w:tcPr>
          <w:p w14:paraId="3D020A19" w14:textId="77777777" w:rsidR="00CA7C31" w:rsidRPr="00AD21FF" w:rsidRDefault="00CA7C31">
            <w:pPr>
              <w:ind w:left="113" w:right="113"/>
              <w:jc w:val="center"/>
              <w:rPr>
                <w:noProof/>
                <w:sz w:val="18"/>
                <w:szCs w:val="18"/>
              </w:rPr>
            </w:pPr>
            <w:r w:rsidRPr="00AD21FF">
              <w:rPr>
                <w:noProof/>
                <w:sz w:val="18"/>
              </w:rPr>
              <w:t>No</w:t>
            </w:r>
          </w:p>
        </w:tc>
        <w:tc>
          <w:tcPr>
            <w:tcW w:w="265" w:type="pct"/>
            <w:tcBorders>
              <w:left w:val="dashSmallGap" w:sz="4" w:space="0" w:color="auto"/>
            </w:tcBorders>
            <w:vAlign w:val="center"/>
          </w:tcPr>
          <w:p w14:paraId="124A33BB" w14:textId="77777777" w:rsidR="00CA7C31" w:rsidRPr="00AD21FF" w:rsidRDefault="00CA7C31">
            <w:pPr>
              <w:jc w:val="center"/>
              <w:rPr>
                <w:noProof/>
                <w:sz w:val="18"/>
                <w:szCs w:val="18"/>
              </w:rPr>
            </w:pPr>
            <w:r w:rsidRPr="00AD21FF">
              <w:rPr>
                <w:noProof/>
                <w:sz w:val="18"/>
              </w:rPr>
              <w:t>Cost</w:t>
            </w:r>
          </w:p>
        </w:tc>
        <w:tc>
          <w:tcPr>
            <w:tcW w:w="198" w:type="pct"/>
            <w:tcBorders>
              <w:right w:val="dashSmallGap" w:sz="4" w:space="0" w:color="auto"/>
            </w:tcBorders>
            <w:textDirection w:val="btLr"/>
            <w:vAlign w:val="center"/>
          </w:tcPr>
          <w:p w14:paraId="43AF4DD2" w14:textId="77777777" w:rsidR="00CA7C31" w:rsidRPr="00AD21FF" w:rsidRDefault="00CA7C31">
            <w:pPr>
              <w:ind w:left="113" w:right="113"/>
              <w:jc w:val="center"/>
              <w:rPr>
                <w:noProof/>
                <w:sz w:val="18"/>
                <w:szCs w:val="18"/>
              </w:rPr>
            </w:pPr>
            <w:r w:rsidRPr="00AD21FF">
              <w:rPr>
                <w:noProof/>
                <w:sz w:val="18"/>
              </w:rPr>
              <w:t>No</w:t>
            </w:r>
          </w:p>
        </w:tc>
        <w:tc>
          <w:tcPr>
            <w:tcW w:w="265" w:type="pct"/>
            <w:tcBorders>
              <w:left w:val="dashSmallGap" w:sz="4" w:space="0" w:color="auto"/>
            </w:tcBorders>
            <w:vAlign w:val="center"/>
          </w:tcPr>
          <w:p w14:paraId="374956AB" w14:textId="77777777" w:rsidR="00CA7C31" w:rsidRPr="00AD21FF" w:rsidRDefault="00CA7C31">
            <w:pPr>
              <w:jc w:val="center"/>
              <w:rPr>
                <w:noProof/>
                <w:sz w:val="18"/>
                <w:szCs w:val="18"/>
              </w:rPr>
            </w:pPr>
            <w:r w:rsidRPr="00AD21FF">
              <w:rPr>
                <w:noProof/>
                <w:sz w:val="18"/>
              </w:rPr>
              <w:t>Cost</w:t>
            </w:r>
          </w:p>
        </w:tc>
        <w:tc>
          <w:tcPr>
            <w:tcW w:w="265" w:type="pct"/>
            <w:tcBorders>
              <w:right w:val="dashSmallGap" w:sz="4" w:space="0" w:color="auto"/>
            </w:tcBorders>
            <w:textDirection w:val="btLr"/>
            <w:vAlign w:val="center"/>
          </w:tcPr>
          <w:p w14:paraId="138EAEBF" w14:textId="77777777" w:rsidR="00CA7C31" w:rsidRPr="00AD21FF" w:rsidRDefault="00CA7C31">
            <w:pPr>
              <w:ind w:left="113" w:right="113"/>
              <w:jc w:val="center"/>
              <w:rPr>
                <w:noProof/>
                <w:sz w:val="18"/>
                <w:szCs w:val="18"/>
              </w:rPr>
            </w:pPr>
            <w:r w:rsidRPr="00AD21FF">
              <w:rPr>
                <w:noProof/>
                <w:sz w:val="18"/>
              </w:rPr>
              <w:t>No</w:t>
            </w:r>
          </w:p>
        </w:tc>
        <w:tc>
          <w:tcPr>
            <w:tcW w:w="265" w:type="pct"/>
            <w:tcBorders>
              <w:left w:val="dashSmallGap" w:sz="4" w:space="0" w:color="auto"/>
            </w:tcBorders>
            <w:vAlign w:val="center"/>
          </w:tcPr>
          <w:p w14:paraId="63D299F2" w14:textId="77777777" w:rsidR="00CA7C31" w:rsidRPr="00AD21FF" w:rsidRDefault="00CA7C31">
            <w:pPr>
              <w:jc w:val="center"/>
              <w:rPr>
                <w:noProof/>
                <w:sz w:val="18"/>
                <w:szCs w:val="18"/>
              </w:rPr>
            </w:pPr>
            <w:r w:rsidRPr="00AD21FF">
              <w:rPr>
                <w:noProof/>
                <w:sz w:val="18"/>
              </w:rPr>
              <w:t>Cost</w:t>
            </w:r>
          </w:p>
        </w:tc>
        <w:tc>
          <w:tcPr>
            <w:tcW w:w="331" w:type="pct"/>
            <w:tcBorders>
              <w:right w:val="dashSmallGap" w:sz="4" w:space="0" w:color="auto"/>
            </w:tcBorders>
            <w:textDirection w:val="btLr"/>
            <w:vAlign w:val="center"/>
          </w:tcPr>
          <w:p w14:paraId="2168BA79" w14:textId="77777777" w:rsidR="00CA7C31" w:rsidRPr="00AD21FF" w:rsidRDefault="00CA7C31">
            <w:pPr>
              <w:ind w:left="113" w:right="113"/>
              <w:jc w:val="center"/>
              <w:rPr>
                <w:noProof/>
                <w:sz w:val="18"/>
                <w:szCs w:val="18"/>
              </w:rPr>
            </w:pPr>
            <w:r w:rsidRPr="00AD21FF">
              <w:rPr>
                <w:noProof/>
                <w:sz w:val="18"/>
              </w:rPr>
              <w:t>No</w:t>
            </w:r>
          </w:p>
        </w:tc>
        <w:tc>
          <w:tcPr>
            <w:tcW w:w="265" w:type="pct"/>
            <w:gridSpan w:val="2"/>
            <w:tcBorders>
              <w:left w:val="dashSmallGap" w:sz="4" w:space="0" w:color="auto"/>
            </w:tcBorders>
            <w:vAlign w:val="center"/>
          </w:tcPr>
          <w:p w14:paraId="49C67A77" w14:textId="77777777" w:rsidR="00CA7C31" w:rsidRPr="00AD21FF" w:rsidRDefault="00CA7C31">
            <w:pPr>
              <w:jc w:val="center"/>
              <w:rPr>
                <w:noProof/>
                <w:sz w:val="18"/>
                <w:szCs w:val="18"/>
              </w:rPr>
            </w:pPr>
            <w:r w:rsidRPr="00AD21FF">
              <w:rPr>
                <w:noProof/>
                <w:sz w:val="18"/>
              </w:rPr>
              <w:t>Cost</w:t>
            </w:r>
          </w:p>
        </w:tc>
        <w:tc>
          <w:tcPr>
            <w:tcW w:w="198" w:type="pct"/>
            <w:tcBorders>
              <w:right w:val="dashSmallGap" w:sz="4" w:space="0" w:color="auto"/>
            </w:tcBorders>
            <w:textDirection w:val="btLr"/>
            <w:vAlign w:val="center"/>
          </w:tcPr>
          <w:p w14:paraId="5E54FE25" w14:textId="77777777" w:rsidR="00CA7C31" w:rsidRPr="00AD21FF" w:rsidRDefault="00CA7C31">
            <w:pPr>
              <w:ind w:left="113" w:right="113"/>
              <w:jc w:val="center"/>
              <w:rPr>
                <w:noProof/>
                <w:sz w:val="18"/>
                <w:szCs w:val="18"/>
              </w:rPr>
            </w:pPr>
            <w:r w:rsidRPr="00AD21FF">
              <w:rPr>
                <w:noProof/>
                <w:sz w:val="18"/>
              </w:rPr>
              <w:t>No</w:t>
            </w:r>
          </w:p>
        </w:tc>
        <w:tc>
          <w:tcPr>
            <w:tcW w:w="238" w:type="pct"/>
            <w:tcBorders>
              <w:left w:val="dashSmallGap" w:sz="4" w:space="0" w:color="auto"/>
            </w:tcBorders>
            <w:vAlign w:val="center"/>
          </w:tcPr>
          <w:p w14:paraId="7DA6C640" w14:textId="77777777" w:rsidR="00CA7C31" w:rsidRPr="00AD21FF" w:rsidRDefault="00CA7C31">
            <w:pPr>
              <w:jc w:val="center"/>
              <w:rPr>
                <w:noProof/>
                <w:sz w:val="18"/>
                <w:szCs w:val="18"/>
              </w:rPr>
            </w:pPr>
            <w:r w:rsidRPr="00AD21FF">
              <w:rPr>
                <w:noProof/>
                <w:sz w:val="18"/>
              </w:rPr>
              <w:t>Cost</w:t>
            </w:r>
          </w:p>
        </w:tc>
        <w:tc>
          <w:tcPr>
            <w:tcW w:w="159" w:type="pct"/>
            <w:tcBorders>
              <w:right w:val="dashSmallGap" w:sz="4" w:space="0" w:color="auto"/>
            </w:tcBorders>
            <w:textDirection w:val="btLr"/>
            <w:vAlign w:val="center"/>
          </w:tcPr>
          <w:p w14:paraId="02108C46" w14:textId="77777777" w:rsidR="00CA7C31" w:rsidRPr="00AD21FF" w:rsidRDefault="00CA7C31">
            <w:pPr>
              <w:ind w:left="113" w:right="113"/>
              <w:jc w:val="center"/>
              <w:rPr>
                <w:noProof/>
                <w:sz w:val="18"/>
                <w:szCs w:val="18"/>
              </w:rPr>
            </w:pPr>
            <w:r w:rsidRPr="00AD21FF">
              <w:rPr>
                <w:noProof/>
                <w:sz w:val="18"/>
              </w:rPr>
              <w:t>No</w:t>
            </w:r>
          </w:p>
        </w:tc>
        <w:tc>
          <w:tcPr>
            <w:tcW w:w="265" w:type="pct"/>
            <w:tcBorders>
              <w:left w:val="dashSmallGap" w:sz="4" w:space="0" w:color="auto"/>
            </w:tcBorders>
            <w:vAlign w:val="center"/>
          </w:tcPr>
          <w:p w14:paraId="4FE21931" w14:textId="77777777" w:rsidR="00CA7C31" w:rsidRPr="00AD21FF" w:rsidRDefault="00CA7C31">
            <w:pPr>
              <w:jc w:val="center"/>
              <w:rPr>
                <w:noProof/>
                <w:sz w:val="18"/>
                <w:szCs w:val="18"/>
              </w:rPr>
            </w:pPr>
            <w:r w:rsidRPr="00AD21FF">
              <w:rPr>
                <w:noProof/>
                <w:sz w:val="18"/>
              </w:rPr>
              <w:t>Cost</w:t>
            </w:r>
          </w:p>
        </w:tc>
        <w:tc>
          <w:tcPr>
            <w:tcW w:w="198" w:type="pct"/>
            <w:tcBorders>
              <w:right w:val="dashSmallGap" w:sz="4" w:space="0" w:color="auto"/>
            </w:tcBorders>
            <w:textDirection w:val="btLr"/>
            <w:vAlign w:val="center"/>
          </w:tcPr>
          <w:p w14:paraId="2FED5CBF" w14:textId="77777777" w:rsidR="00CA7C31" w:rsidRPr="00AD21FF" w:rsidRDefault="00CA7C31">
            <w:pPr>
              <w:ind w:left="113" w:right="113"/>
              <w:jc w:val="center"/>
              <w:rPr>
                <w:noProof/>
                <w:sz w:val="18"/>
                <w:szCs w:val="18"/>
              </w:rPr>
            </w:pPr>
            <w:r w:rsidRPr="00AD21FF">
              <w:rPr>
                <w:noProof/>
                <w:sz w:val="18"/>
              </w:rPr>
              <w:t>No</w:t>
            </w:r>
          </w:p>
        </w:tc>
        <w:tc>
          <w:tcPr>
            <w:tcW w:w="265" w:type="pct"/>
            <w:tcBorders>
              <w:left w:val="dashSmallGap" w:sz="4" w:space="0" w:color="auto"/>
            </w:tcBorders>
            <w:vAlign w:val="center"/>
          </w:tcPr>
          <w:p w14:paraId="400BE41A" w14:textId="77777777" w:rsidR="00CA7C31" w:rsidRPr="00AD21FF" w:rsidRDefault="00CA7C31">
            <w:pPr>
              <w:jc w:val="center"/>
              <w:rPr>
                <w:noProof/>
                <w:sz w:val="18"/>
                <w:szCs w:val="18"/>
              </w:rPr>
            </w:pPr>
            <w:r w:rsidRPr="00AD21FF">
              <w:rPr>
                <w:noProof/>
                <w:sz w:val="18"/>
              </w:rPr>
              <w:t>Cost</w:t>
            </w:r>
          </w:p>
        </w:tc>
        <w:tc>
          <w:tcPr>
            <w:tcW w:w="265" w:type="pct"/>
            <w:tcBorders>
              <w:right w:val="dashSmallGap" w:sz="4" w:space="0" w:color="auto"/>
            </w:tcBorders>
            <w:vAlign w:val="center"/>
          </w:tcPr>
          <w:p w14:paraId="233A95AF" w14:textId="77777777" w:rsidR="00CA7C31" w:rsidRPr="00AD21FF" w:rsidRDefault="00CA7C31">
            <w:pPr>
              <w:jc w:val="center"/>
              <w:rPr>
                <w:noProof/>
                <w:sz w:val="18"/>
                <w:szCs w:val="18"/>
              </w:rPr>
            </w:pPr>
            <w:r w:rsidRPr="00AD21FF">
              <w:rPr>
                <w:noProof/>
                <w:sz w:val="18"/>
              </w:rPr>
              <w:t>Total No</w:t>
            </w:r>
          </w:p>
        </w:tc>
        <w:tc>
          <w:tcPr>
            <w:tcW w:w="327" w:type="pct"/>
            <w:tcBorders>
              <w:left w:val="dashSmallGap" w:sz="4" w:space="0" w:color="auto"/>
            </w:tcBorders>
            <w:vAlign w:val="center"/>
          </w:tcPr>
          <w:p w14:paraId="198D250E" w14:textId="77777777" w:rsidR="00CA7C31" w:rsidRPr="00AD21FF" w:rsidRDefault="00CA7C31">
            <w:pPr>
              <w:jc w:val="center"/>
              <w:rPr>
                <w:noProof/>
                <w:sz w:val="18"/>
                <w:szCs w:val="18"/>
              </w:rPr>
            </w:pPr>
            <w:r w:rsidRPr="00AD21FF">
              <w:rPr>
                <w:noProof/>
                <w:sz w:val="18"/>
              </w:rPr>
              <w:t>Total cost</w:t>
            </w:r>
          </w:p>
        </w:tc>
      </w:tr>
      <w:tr w:rsidR="00CA7C31" w:rsidRPr="00AD21FF" w14:paraId="7799F95C" w14:textId="77777777" w:rsidTr="00883E25">
        <w:trPr>
          <w:jc w:val="center"/>
        </w:trPr>
        <w:tc>
          <w:tcPr>
            <w:tcW w:w="1046" w:type="pct"/>
            <w:gridSpan w:val="3"/>
            <w:vAlign w:val="center"/>
          </w:tcPr>
          <w:p w14:paraId="04182A85" w14:textId="77777777" w:rsidR="00CA7C31" w:rsidRPr="00AD21FF" w:rsidRDefault="00CA7C31">
            <w:pPr>
              <w:spacing w:before="60" w:after="60"/>
              <w:ind w:right="-29"/>
              <w:jc w:val="center"/>
              <w:rPr>
                <w:noProof/>
                <w:sz w:val="18"/>
                <w:szCs w:val="18"/>
              </w:rPr>
            </w:pPr>
            <w:r w:rsidRPr="00AD21FF">
              <w:rPr>
                <w:noProof/>
                <w:sz w:val="18"/>
                <w:szCs w:val="18"/>
              </w:rPr>
              <w:t>SPECIFIC OBJECTIVE No 1</w:t>
            </w:r>
            <w:r w:rsidRPr="00AD21FF">
              <w:rPr>
                <w:rStyle w:val="FootnoteReference"/>
                <w:noProof/>
                <w:sz w:val="18"/>
                <w:szCs w:val="18"/>
              </w:rPr>
              <w:footnoteReference w:id="84"/>
            </w:r>
            <w:r w:rsidRPr="00AD21FF">
              <w:rPr>
                <w:noProof/>
                <w:sz w:val="18"/>
                <w:szCs w:val="18"/>
              </w:rPr>
              <w:t>…</w:t>
            </w:r>
          </w:p>
        </w:tc>
        <w:tc>
          <w:tcPr>
            <w:tcW w:w="185" w:type="pct"/>
            <w:tcBorders>
              <w:top w:val="nil"/>
              <w:left w:val="nil"/>
              <w:bottom w:val="nil"/>
              <w:right w:val="nil"/>
            </w:tcBorders>
          </w:tcPr>
          <w:p w14:paraId="2E23D81B" w14:textId="77777777" w:rsidR="00CA7C31" w:rsidRPr="00AD21FF" w:rsidRDefault="00CA7C31">
            <w:pPr>
              <w:spacing w:before="60" w:after="60"/>
              <w:ind w:right="-29"/>
              <w:jc w:val="center"/>
              <w:rPr>
                <w:noProof/>
                <w:sz w:val="18"/>
                <w:szCs w:val="18"/>
              </w:rPr>
            </w:pPr>
          </w:p>
        </w:tc>
        <w:tc>
          <w:tcPr>
            <w:tcW w:w="265" w:type="pct"/>
            <w:tcBorders>
              <w:top w:val="nil"/>
              <w:left w:val="nil"/>
              <w:bottom w:val="nil"/>
              <w:right w:val="nil"/>
            </w:tcBorders>
          </w:tcPr>
          <w:p w14:paraId="30264898" w14:textId="77777777" w:rsidR="00CA7C31" w:rsidRPr="00AD21FF" w:rsidRDefault="00CA7C31">
            <w:pPr>
              <w:spacing w:before="60" w:after="60"/>
              <w:ind w:right="-29"/>
              <w:jc w:val="center"/>
              <w:rPr>
                <w:noProof/>
                <w:sz w:val="18"/>
                <w:szCs w:val="18"/>
              </w:rPr>
            </w:pPr>
          </w:p>
        </w:tc>
        <w:tc>
          <w:tcPr>
            <w:tcW w:w="198" w:type="pct"/>
            <w:tcBorders>
              <w:top w:val="nil"/>
              <w:left w:val="nil"/>
              <w:bottom w:val="nil"/>
              <w:right w:val="nil"/>
            </w:tcBorders>
          </w:tcPr>
          <w:p w14:paraId="47BBBF51" w14:textId="77777777" w:rsidR="00CA7C31" w:rsidRPr="00AD21FF" w:rsidRDefault="00CA7C31">
            <w:pPr>
              <w:spacing w:before="60" w:after="60"/>
              <w:ind w:right="-29"/>
              <w:jc w:val="center"/>
              <w:rPr>
                <w:noProof/>
                <w:sz w:val="18"/>
                <w:szCs w:val="18"/>
              </w:rPr>
            </w:pPr>
          </w:p>
        </w:tc>
        <w:tc>
          <w:tcPr>
            <w:tcW w:w="265" w:type="pct"/>
            <w:tcBorders>
              <w:top w:val="nil"/>
              <w:left w:val="nil"/>
              <w:bottom w:val="nil"/>
              <w:right w:val="nil"/>
            </w:tcBorders>
          </w:tcPr>
          <w:p w14:paraId="08A766F0" w14:textId="77777777" w:rsidR="00CA7C31" w:rsidRPr="00AD21FF" w:rsidRDefault="00CA7C31">
            <w:pPr>
              <w:spacing w:before="60" w:after="60"/>
              <w:ind w:right="-29"/>
              <w:jc w:val="center"/>
              <w:rPr>
                <w:noProof/>
                <w:sz w:val="18"/>
                <w:szCs w:val="18"/>
              </w:rPr>
            </w:pPr>
          </w:p>
        </w:tc>
        <w:tc>
          <w:tcPr>
            <w:tcW w:w="265" w:type="pct"/>
            <w:tcBorders>
              <w:top w:val="nil"/>
              <w:left w:val="nil"/>
              <w:bottom w:val="nil"/>
              <w:right w:val="nil"/>
            </w:tcBorders>
          </w:tcPr>
          <w:p w14:paraId="1924B6DE" w14:textId="77777777" w:rsidR="00CA7C31" w:rsidRPr="00AD21FF" w:rsidRDefault="00CA7C31">
            <w:pPr>
              <w:spacing w:before="60" w:after="60"/>
              <w:ind w:right="-29"/>
              <w:jc w:val="center"/>
              <w:rPr>
                <w:noProof/>
                <w:sz w:val="18"/>
                <w:szCs w:val="18"/>
              </w:rPr>
            </w:pPr>
          </w:p>
        </w:tc>
        <w:tc>
          <w:tcPr>
            <w:tcW w:w="265" w:type="pct"/>
            <w:tcBorders>
              <w:top w:val="nil"/>
              <w:left w:val="nil"/>
              <w:bottom w:val="nil"/>
              <w:right w:val="nil"/>
            </w:tcBorders>
          </w:tcPr>
          <w:p w14:paraId="30882689" w14:textId="77777777" w:rsidR="00CA7C31" w:rsidRPr="00AD21FF" w:rsidRDefault="00CA7C31">
            <w:pPr>
              <w:spacing w:before="60" w:after="60"/>
              <w:ind w:right="-29"/>
              <w:jc w:val="center"/>
              <w:rPr>
                <w:noProof/>
                <w:sz w:val="18"/>
                <w:szCs w:val="18"/>
              </w:rPr>
            </w:pPr>
          </w:p>
        </w:tc>
        <w:tc>
          <w:tcPr>
            <w:tcW w:w="331" w:type="pct"/>
            <w:tcBorders>
              <w:top w:val="nil"/>
              <w:left w:val="nil"/>
              <w:bottom w:val="nil"/>
              <w:right w:val="nil"/>
            </w:tcBorders>
          </w:tcPr>
          <w:p w14:paraId="723B1EF9" w14:textId="77777777" w:rsidR="00CA7C31" w:rsidRPr="00AD21FF" w:rsidRDefault="00CA7C31">
            <w:pPr>
              <w:spacing w:before="60" w:after="60"/>
              <w:ind w:right="-29"/>
              <w:jc w:val="center"/>
              <w:rPr>
                <w:noProof/>
                <w:sz w:val="18"/>
                <w:szCs w:val="18"/>
              </w:rPr>
            </w:pPr>
          </w:p>
        </w:tc>
        <w:tc>
          <w:tcPr>
            <w:tcW w:w="265" w:type="pct"/>
            <w:gridSpan w:val="2"/>
            <w:tcBorders>
              <w:top w:val="nil"/>
              <w:left w:val="nil"/>
              <w:bottom w:val="nil"/>
              <w:right w:val="nil"/>
            </w:tcBorders>
          </w:tcPr>
          <w:p w14:paraId="6120220D" w14:textId="77777777" w:rsidR="00CA7C31" w:rsidRPr="00AD21FF" w:rsidRDefault="00CA7C31">
            <w:pPr>
              <w:spacing w:before="60" w:after="60"/>
              <w:ind w:right="-29"/>
              <w:jc w:val="center"/>
              <w:rPr>
                <w:noProof/>
                <w:sz w:val="18"/>
                <w:szCs w:val="18"/>
              </w:rPr>
            </w:pPr>
          </w:p>
        </w:tc>
        <w:tc>
          <w:tcPr>
            <w:tcW w:w="198" w:type="pct"/>
            <w:tcBorders>
              <w:top w:val="nil"/>
              <w:left w:val="nil"/>
              <w:bottom w:val="nil"/>
              <w:right w:val="nil"/>
            </w:tcBorders>
          </w:tcPr>
          <w:p w14:paraId="28C746A2" w14:textId="77777777" w:rsidR="00CA7C31" w:rsidRPr="00AD21FF" w:rsidRDefault="00CA7C31">
            <w:pPr>
              <w:spacing w:before="60" w:after="60"/>
              <w:ind w:right="-29"/>
              <w:jc w:val="center"/>
              <w:rPr>
                <w:noProof/>
                <w:sz w:val="18"/>
                <w:szCs w:val="18"/>
              </w:rPr>
            </w:pPr>
          </w:p>
        </w:tc>
        <w:tc>
          <w:tcPr>
            <w:tcW w:w="238" w:type="pct"/>
            <w:tcBorders>
              <w:top w:val="nil"/>
              <w:left w:val="nil"/>
              <w:bottom w:val="nil"/>
              <w:right w:val="nil"/>
            </w:tcBorders>
          </w:tcPr>
          <w:p w14:paraId="7FED7CA1" w14:textId="77777777" w:rsidR="00CA7C31" w:rsidRPr="00AD21FF" w:rsidRDefault="00CA7C31">
            <w:pPr>
              <w:spacing w:before="60" w:after="60"/>
              <w:ind w:right="-29"/>
              <w:jc w:val="center"/>
              <w:rPr>
                <w:noProof/>
                <w:sz w:val="18"/>
                <w:szCs w:val="18"/>
              </w:rPr>
            </w:pPr>
          </w:p>
        </w:tc>
        <w:tc>
          <w:tcPr>
            <w:tcW w:w="159" w:type="pct"/>
            <w:tcBorders>
              <w:top w:val="nil"/>
              <w:left w:val="nil"/>
              <w:bottom w:val="nil"/>
              <w:right w:val="nil"/>
            </w:tcBorders>
          </w:tcPr>
          <w:p w14:paraId="54D32D24" w14:textId="77777777" w:rsidR="00CA7C31" w:rsidRPr="00AD21FF" w:rsidRDefault="00CA7C31">
            <w:pPr>
              <w:spacing w:before="60" w:after="60"/>
              <w:ind w:right="-29"/>
              <w:jc w:val="center"/>
              <w:rPr>
                <w:noProof/>
                <w:sz w:val="18"/>
                <w:szCs w:val="18"/>
              </w:rPr>
            </w:pPr>
          </w:p>
        </w:tc>
        <w:tc>
          <w:tcPr>
            <w:tcW w:w="265" w:type="pct"/>
            <w:tcBorders>
              <w:top w:val="nil"/>
              <w:left w:val="nil"/>
              <w:bottom w:val="nil"/>
              <w:right w:val="nil"/>
            </w:tcBorders>
          </w:tcPr>
          <w:p w14:paraId="44779346" w14:textId="77777777" w:rsidR="00CA7C31" w:rsidRPr="00AD21FF" w:rsidRDefault="00CA7C31">
            <w:pPr>
              <w:spacing w:before="60" w:after="60"/>
              <w:ind w:right="-29"/>
              <w:jc w:val="center"/>
              <w:rPr>
                <w:noProof/>
                <w:sz w:val="18"/>
                <w:szCs w:val="18"/>
              </w:rPr>
            </w:pPr>
          </w:p>
        </w:tc>
        <w:tc>
          <w:tcPr>
            <w:tcW w:w="198" w:type="pct"/>
            <w:tcBorders>
              <w:top w:val="nil"/>
              <w:left w:val="nil"/>
              <w:bottom w:val="nil"/>
              <w:right w:val="nil"/>
            </w:tcBorders>
          </w:tcPr>
          <w:p w14:paraId="3A59AC10" w14:textId="77777777" w:rsidR="00CA7C31" w:rsidRPr="00AD21FF" w:rsidRDefault="00CA7C31">
            <w:pPr>
              <w:spacing w:before="60" w:after="60"/>
              <w:ind w:right="-29"/>
              <w:jc w:val="center"/>
              <w:rPr>
                <w:noProof/>
                <w:sz w:val="18"/>
                <w:szCs w:val="18"/>
              </w:rPr>
            </w:pPr>
          </w:p>
        </w:tc>
        <w:tc>
          <w:tcPr>
            <w:tcW w:w="265" w:type="pct"/>
            <w:tcBorders>
              <w:top w:val="nil"/>
              <w:left w:val="nil"/>
              <w:bottom w:val="nil"/>
              <w:right w:val="nil"/>
            </w:tcBorders>
          </w:tcPr>
          <w:p w14:paraId="1D2AAE2B" w14:textId="77777777" w:rsidR="00CA7C31" w:rsidRPr="00AD21FF" w:rsidRDefault="00CA7C31">
            <w:pPr>
              <w:spacing w:before="60" w:after="60"/>
              <w:ind w:right="-29"/>
              <w:jc w:val="center"/>
              <w:rPr>
                <w:noProof/>
                <w:sz w:val="18"/>
                <w:szCs w:val="18"/>
              </w:rPr>
            </w:pPr>
          </w:p>
        </w:tc>
        <w:tc>
          <w:tcPr>
            <w:tcW w:w="265" w:type="pct"/>
            <w:tcBorders>
              <w:top w:val="nil"/>
              <w:left w:val="nil"/>
              <w:bottom w:val="nil"/>
              <w:right w:val="nil"/>
            </w:tcBorders>
          </w:tcPr>
          <w:p w14:paraId="09685E9F" w14:textId="77777777" w:rsidR="00CA7C31" w:rsidRPr="00AD21FF" w:rsidRDefault="00CA7C31">
            <w:pPr>
              <w:spacing w:before="60" w:after="60"/>
              <w:ind w:right="-29"/>
              <w:jc w:val="center"/>
              <w:rPr>
                <w:noProof/>
                <w:sz w:val="18"/>
                <w:szCs w:val="18"/>
              </w:rPr>
            </w:pPr>
          </w:p>
        </w:tc>
        <w:tc>
          <w:tcPr>
            <w:tcW w:w="327" w:type="pct"/>
            <w:tcBorders>
              <w:top w:val="nil"/>
              <w:left w:val="nil"/>
              <w:bottom w:val="nil"/>
              <w:right w:val="nil"/>
            </w:tcBorders>
          </w:tcPr>
          <w:p w14:paraId="0402B9AE" w14:textId="77777777" w:rsidR="00CA7C31" w:rsidRPr="00AD21FF" w:rsidRDefault="00CA7C31">
            <w:pPr>
              <w:spacing w:before="60" w:after="60"/>
              <w:ind w:right="-29"/>
              <w:jc w:val="center"/>
              <w:rPr>
                <w:noProof/>
                <w:sz w:val="18"/>
                <w:szCs w:val="18"/>
              </w:rPr>
            </w:pPr>
          </w:p>
        </w:tc>
      </w:tr>
      <w:tr w:rsidR="00CA7C31" w:rsidRPr="00AD21FF" w14:paraId="1A48D6F5" w14:textId="77777777" w:rsidTr="00883E25">
        <w:trPr>
          <w:trHeight w:hRule="exact" w:val="369"/>
          <w:jc w:val="center"/>
        </w:trPr>
        <w:tc>
          <w:tcPr>
            <w:tcW w:w="523" w:type="pct"/>
          </w:tcPr>
          <w:p w14:paraId="6900449E" w14:textId="77777777" w:rsidR="00CA7C31" w:rsidRPr="00AD21FF" w:rsidRDefault="00CA7C31">
            <w:pPr>
              <w:ind w:right="-29"/>
              <w:jc w:val="center"/>
              <w:rPr>
                <w:noProof/>
                <w:sz w:val="18"/>
                <w:szCs w:val="18"/>
              </w:rPr>
            </w:pPr>
            <w:r w:rsidRPr="00AD21FF">
              <w:rPr>
                <w:noProof/>
                <w:sz w:val="18"/>
              </w:rPr>
              <w:t>- Output</w:t>
            </w:r>
          </w:p>
        </w:tc>
        <w:tc>
          <w:tcPr>
            <w:tcW w:w="265" w:type="pct"/>
          </w:tcPr>
          <w:p w14:paraId="4A554787" w14:textId="77777777" w:rsidR="00CA7C31" w:rsidRPr="00AD21FF" w:rsidRDefault="00CA7C31">
            <w:pPr>
              <w:ind w:right="-29"/>
              <w:jc w:val="center"/>
              <w:rPr>
                <w:noProof/>
                <w:sz w:val="18"/>
                <w:szCs w:val="18"/>
              </w:rPr>
            </w:pPr>
          </w:p>
        </w:tc>
        <w:tc>
          <w:tcPr>
            <w:tcW w:w="258" w:type="pct"/>
          </w:tcPr>
          <w:p w14:paraId="44A5CF9F" w14:textId="77777777" w:rsidR="00CA7C31" w:rsidRPr="00AD21FF" w:rsidRDefault="00CA7C31">
            <w:pPr>
              <w:ind w:right="-29"/>
              <w:jc w:val="center"/>
              <w:rPr>
                <w:noProof/>
                <w:sz w:val="18"/>
                <w:szCs w:val="18"/>
              </w:rPr>
            </w:pPr>
          </w:p>
        </w:tc>
        <w:tc>
          <w:tcPr>
            <w:tcW w:w="185" w:type="pct"/>
            <w:tcBorders>
              <w:right w:val="dashSmallGap" w:sz="4" w:space="0" w:color="auto"/>
            </w:tcBorders>
          </w:tcPr>
          <w:p w14:paraId="281AEED7" w14:textId="77777777" w:rsidR="00CA7C31" w:rsidRPr="00AD21FF" w:rsidRDefault="00CA7C31">
            <w:pPr>
              <w:ind w:right="-29"/>
              <w:jc w:val="center"/>
              <w:rPr>
                <w:noProof/>
                <w:sz w:val="18"/>
                <w:szCs w:val="18"/>
              </w:rPr>
            </w:pPr>
          </w:p>
        </w:tc>
        <w:tc>
          <w:tcPr>
            <w:tcW w:w="265" w:type="pct"/>
            <w:tcBorders>
              <w:left w:val="dashSmallGap" w:sz="4" w:space="0" w:color="auto"/>
            </w:tcBorders>
          </w:tcPr>
          <w:p w14:paraId="2C496D0C" w14:textId="77777777" w:rsidR="00CA7C31" w:rsidRPr="00AD21FF" w:rsidRDefault="00CA7C31">
            <w:pPr>
              <w:ind w:right="-29"/>
              <w:jc w:val="center"/>
              <w:rPr>
                <w:noProof/>
                <w:sz w:val="18"/>
                <w:szCs w:val="18"/>
              </w:rPr>
            </w:pPr>
          </w:p>
        </w:tc>
        <w:tc>
          <w:tcPr>
            <w:tcW w:w="198" w:type="pct"/>
            <w:tcBorders>
              <w:right w:val="dashSmallGap" w:sz="4" w:space="0" w:color="auto"/>
            </w:tcBorders>
          </w:tcPr>
          <w:p w14:paraId="17E92F04" w14:textId="77777777" w:rsidR="00CA7C31" w:rsidRPr="00AD21FF" w:rsidRDefault="00CA7C31">
            <w:pPr>
              <w:ind w:right="-29"/>
              <w:jc w:val="center"/>
              <w:rPr>
                <w:noProof/>
                <w:sz w:val="18"/>
                <w:szCs w:val="18"/>
              </w:rPr>
            </w:pPr>
          </w:p>
        </w:tc>
        <w:tc>
          <w:tcPr>
            <w:tcW w:w="265" w:type="pct"/>
            <w:tcBorders>
              <w:left w:val="dashSmallGap" w:sz="4" w:space="0" w:color="auto"/>
            </w:tcBorders>
          </w:tcPr>
          <w:p w14:paraId="67BD7522" w14:textId="77777777" w:rsidR="00CA7C31" w:rsidRPr="00AD21FF" w:rsidRDefault="00CA7C31">
            <w:pPr>
              <w:ind w:right="-29"/>
              <w:jc w:val="center"/>
              <w:rPr>
                <w:noProof/>
                <w:sz w:val="18"/>
                <w:szCs w:val="18"/>
              </w:rPr>
            </w:pPr>
          </w:p>
        </w:tc>
        <w:tc>
          <w:tcPr>
            <w:tcW w:w="265" w:type="pct"/>
            <w:tcBorders>
              <w:right w:val="dashSmallGap" w:sz="4" w:space="0" w:color="auto"/>
            </w:tcBorders>
          </w:tcPr>
          <w:p w14:paraId="6A437A88" w14:textId="77777777" w:rsidR="00CA7C31" w:rsidRPr="00AD21FF" w:rsidRDefault="00CA7C31">
            <w:pPr>
              <w:ind w:right="-29"/>
              <w:jc w:val="center"/>
              <w:rPr>
                <w:noProof/>
                <w:sz w:val="18"/>
                <w:szCs w:val="18"/>
              </w:rPr>
            </w:pPr>
          </w:p>
        </w:tc>
        <w:tc>
          <w:tcPr>
            <w:tcW w:w="265" w:type="pct"/>
            <w:tcBorders>
              <w:left w:val="dashSmallGap" w:sz="4" w:space="0" w:color="auto"/>
            </w:tcBorders>
          </w:tcPr>
          <w:p w14:paraId="39C0A3CD" w14:textId="77777777" w:rsidR="00CA7C31" w:rsidRPr="00AD21FF" w:rsidRDefault="00CA7C31">
            <w:pPr>
              <w:ind w:right="-29"/>
              <w:jc w:val="center"/>
              <w:rPr>
                <w:noProof/>
                <w:sz w:val="18"/>
                <w:szCs w:val="18"/>
              </w:rPr>
            </w:pPr>
          </w:p>
        </w:tc>
        <w:tc>
          <w:tcPr>
            <w:tcW w:w="331" w:type="pct"/>
            <w:tcBorders>
              <w:right w:val="dashSmallGap" w:sz="4" w:space="0" w:color="auto"/>
            </w:tcBorders>
          </w:tcPr>
          <w:p w14:paraId="2E58B4A2" w14:textId="77777777" w:rsidR="00CA7C31" w:rsidRPr="00AD21FF" w:rsidRDefault="00CA7C31">
            <w:pPr>
              <w:ind w:right="-29"/>
              <w:jc w:val="center"/>
              <w:rPr>
                <w:noProof/>
                <w:sz w:val="18"/>
                <w:szCs w:val="18"/>
              </w:rPr>
            </w:pPr>
          </w:p>
        </w:tc>
        <w:tc>
          <w:tcPr>
            <w:tcW w:w="265" w:type="pct"/>
            <w:gridSpan w:val="2"/>
            <w:tcBorders>
              <w:left w:val="dashSmallGap" w:sz="4" w:space="0" w:color="auto"/>
            </w:tcBorders>
          </w:tcPr>
          <w:p w14:paraId="1C16776E" w14:textId="77777777" w:rsidR="00CA7C31" w:rsidRPr="00AD21FF" w:rsidRDefault="00CA7C31">
            <w:pPr>
              <w:ind w:right="-29"/>
              <w:jc w:val="center"/>
              <w:rPr>
                <w:noProof/>
                <w:sz w:val="18"/>
                <w:szCs w:val="18"/>
              </w:rPr>
            </w:pPr>
          </w:p>
        </w:tc>
        <w:tc>
          <w:tcPr>
            <w:tcW w:w="198" w:type="pct"/>
            <w:tcBorders>
              <w:right w:val="dashSmallGap" w:sz="4" w:space="0" w:color="auto"/>
            </w:tcBorders>
          </w:tcPr>
          <w:p w14:paraId="24F082DE" w14:textId="77777777" w:rsidR="00CA7C31" w:rsidRPr="00AD21FF" w:rsidRDefault="00CA7C31">
            <w:pPr>
              <w:ind w:right="-29"/>
              <w:jc w:val="center"/>
              <w:rPr>
                <w:noProof/>
                <w:sz w:val="18"/>
                <w:szCs w:val="18"/>
              </w:rPr>
            </w:pPr>
          </w:p>
        </w:tc>
        <w:tc>
          <w:tcPr>
            <w:tcW w:w="238" w:type="pct"/>
            <w:tcBorders>
              <w:left w:val="dashSmallGap" w:sz="4" w:space="0" w:color="auto"/>
            </w:tcBorders>
          </w:tcPr>
          <w:p w14:paraId="39D93233" w14:textId="77777777" w:rsidR="00CA7C31" w:rsidRPr="00AD21FF" w:rsidRDefault="00CA7C31">
            <w:pPr>
              <w:ind w:right="-29"/>
              <w:jc w:val="center"/>
              <w:rPr>
                <w:noProof/>
                <w:sz w:val="18"/>
                <w:szCs w:val="18"/>
              </w:rPr>
            </w:pPr>
          </w:p>
        </w:tc>
        <w:tc>
          <w:tcPr>
            <w:tcW w:w="159" w:type="pct"/>
            <w:tcBorders>
              <w:right w:val="dashSmallGap" w:sz="4" w:space="0" w:color="auto"/>
            </w:tcBorders>
          </w:tcPr>
          <w:p w14:paraId="5C67A72B" w14:textId="77777777" w:rsidR="00CA7C31" w:rsidRPr="00AD21FF" w:rsidRDefault="00CA7C31">
            <w:pPr>
              <w:ind w:right="-29"/>
              <w:jc w:val="center"/>
              <w:rPr>
                <w:noProof/>
                <w:sz w:val="18"/>
                <w:szCs w:val="18"/>
              </w:rPr>
            </w:pPr>
          </w:p>
        </w:tc>
        <w:tc>
          <w:tcPr>
            <w:tcW w:w="265" w:type="pct"/>
            <w:tcBorders>
              <w:left w:val="dashSmallGap" w:sz="4" w:space="0" w:color="auto"/>
            </w:tcBorders>
          </w:tcPr>
          <w:p w14:paraId="0F84F1E5" w14:textId="77777777" w:rsidR="00CA7C31" w:rsidRPr="00AD21FF" w:rsidRDefault="00CA7C31">
            <w:pPr>
              <w:ind w:right="-29"/>
              <w:jc w:val="center"/>
              <w:rPr>
                <w:noProof/>
                <w:sz w:val="18"/>
                <w:szCs w:val="18"/>
              </w:rPr>
            </w:pPr>
          </w:p>
        </w:tc>
        <w:tc>
          <w:tcPr>
            <w:tcW w:w="198" w:type="pct"/>
            <w:tcBorders>
              <w:right w:val="dashSmallGap" w:sz="4" w:space="0" w:color="auto"/>
            </w:tcBorders>
          </w:tcPr>
          <w:p w14:paraId="7A40866D" w14:textId="77777777" w:rsidR="00CA7C31" w:rsidRPr="00AD21FF" w:rsidRDefault="00CA7C31">
            <w:pPr>
              <w:ind w:right="-29"/>
              <w:jc w:val="center"/>
              <w:rPr>
                <w:noProof/>
                <w:sz w:val="18"/>
                <w:szCs w:val="18"/>
              </w:rPr>
            </w:pPr>
          </w:p>
        </w:tc>
        <w:tc>
          <w:tcPr>
            <w:tcW w:w="265" w:type="pct"/>
            <w:tcBorders>
              <w:left w:val="dashSmallGap" w:sz="4" w:space="0" w:color="auto"/>
            </w:tcBorders>
          </w:tcPr>
          <w:p w14:paraId="1871F232" w14:textId="77777777" w:rsidR="00CA7C31" w:rsidRPr="00AD21FF" w:rsidRDefault="00CA7C31">
            <w:pPr>
              <w:ind w:right="-29"/>
              <w:jc w:val="center"/>
              <w:rPr>
                <w:noProof/>
                <w:sz w:val="18"/>
                <w:szCs w:val="18"/>
              </w:rPr>
            </w:pPr>
          </w:p>
        </w:tc>
        <w:tc>
          <w:tcPr>
            <w:tcW w:w="265" w:type="pct"/>
          </w:tcPr>
          <w:p w14:paraId="66651F89" w14:textId="77777777" w:rsidR="00CA7C31" w:rsidRPr="00AD21FF" w:rsidRDefault="00CA7C31">
            <w:pPr>
              <w:ind w:right="-29"/>
              <w:jc w:val="center"/>
              <w:rPr>
                <w:noProof/>
                <w:sz w:val="18"/>
                <w:szCs w:val="18"/>
              </w:rPr>
            </w:pPr>
          </w:p>
        </w:tc>
        <w:tc>
          <w:tcPr>
            <w:tcW w:w="327" w:type="pct"/>
          </w:tcPr>
          <w:p w14:paraId="5077AD86" w14:textId="77777777" w:rsidR="00CA7C31" w:rsidRPr="00AD21FF" w:rsidRDefault="00CA7C31">
            <w:pPr>
              <w:ind w:right="-29"/>
              <w:jc w:val="center"/>
              <w:rPr>
                <w:noProof/>
                <w:sz w:val="18"/>
                <w:szCs w:val="18"/>
              </w:rPr>
            </w:pPr>
          </w:p>
        </w:tc>
      </w:tr>
      <w:tr w:rsidR="00CA7C31" w:rsidRPr="00AD21FF" w14:paraId="0060EB51" w14:textId="77777777" w:rsidTr="00883E25">
        <w:trPr>
          <w:trHeight w:hRule="exact" w:val="369"/>
          <w:jc w:val="center"/>
        </w:trPr>
        <w:tc>
          <w:tcPr>
            <w:tcW w:w="523" w:type="pct"/>
          </w:tcPr>
          <w:p w14:paraId="776B3058" w14:textId="77777777" w:rsidR="00CA7C31" w:rsidRPr="00AD21FF" w:rsidRDefault="00CA7C31">
            <w:pPr>
              <w:ind w:right="-29"/>
              <w:jc w:val="center"/>
              <w:rPr>
                <w:noProof/>
                <w:sz w:val="18"/>
                <w:szCs w:val="18"/>
              </w:rPr>
            </w:pPr>
            <w:r w:rsidRPr="00AD21FF">
              <w:rPr>
                <w:noProof/>
                <w:sz w:val="18"/>
              </w:rPr>
              <w:t>- Output</w:t>
            </w:r>
          </w:p>
        </w:tc>
        <w:tc>
          <w:tcPr>
            <w:tcW w:w="265" w:type="pct"/>
          </w:tcPr>
          <w:p w14:paraId="662A9AC6" w14:textId="77777777" w:rsidR="00CA7C31" w:rsidRPr="00AD21FF" w:rsidRDefault="00CA7C31">
            <w:pPr>
              <w:ind w:right="-29"/>
              <w:jc w:val="center"/>
              <w:rPr>
                <w:noProof/>
                <w:sz w:val="18"/>
                <w:szCs w:val="18"/>
              </w:rPr>
            </w:pPr>
          </w:p>
        </w:tc>
        <w:tc>
          <w:tcPr>
            <w:tcW w:w="258" w:type="pct"/>
          </w:tcPr>
          <w:p w14:paraId="0B80930C" w14:textId="77777777" w:rsidR="00CA7C31" w:rsidRPr="00AD21FF" w:rsidRDefault="00CA7C31">
            <w:pPr>
              <w:ind w:right="-29"/>
              <w:jc w:val="center"/>
              <w:rPr>
                <w:noProof/>
                <w:sz w:val="18"/>
                <w:szCs w:val="18"/>
              </w:rPr>
            </w:pPr>
          </w:p>
        </w:tc>
        <w:tc>
          <w:tcPr>
            <w:tcW w:w="185" w:type="pct"/>
            <w:tcBorders>
              <w:right w:val="dashSmallGap" w:sz="4" w:space="0" w:color="auto"/>
            </w:tcBorders>
          </w:tcPr>
          <w:p w14:paraId="5E95E329" w14:textId="77777777" w:rsidR="00CA7C31" w:rsidRPr="00AD21FF" w:rsidRDefault="00CA7C31">
            <w:pPr>
              <w:ind w:right="-29"/>
              <w:jc w:val="center"/>
              <w:rPr>
                <w:noProof/>
                <w:sz w:val="18"/>
                <w:szCs w:val="18"/>
              </w:rPr>
            </w:pPr>
          </w:p>
        </w:tc>
        <w:tc>
          <w:tcPr>
            <w:tcW w:w="265" w:type="pct"/>
            <w:tcBorders>
              <w:left w:val="dashSmallGap" w:sz="4" w:space="0" w:color="auto"/>
            </w:tcBorders>
          </w:tcPr>
          <w:p w14:paraId="373897C0" w14:textId="77777777" w:rsidR="00CA7C31" w:rsidRPr="00AD21FF" w:rsidRDefault="00CA7C31">
            <w:pPr>
              <w:ind w:right="-29"/>
              <w:jc w:val="center"/>
              <w:rPr>
                <w:noProof/>
                <w:sz w:val="18"/>
                <w:szCs w:val="18"/>
              </w:rPr>
            </w:pPr>
          </w:p>
        </w:tc>
        <w:tc>
          <w:tcPr>
            <w:tcW w:w="198" w:type="pct"/>
            <w:tcBorders>
              <w:right w:val="dashSmallGap" w:sz="4" w:space="0" w:color="auto"/>
            </w:tcBorders>
          </w:tcPr>
          <w:p w14:paraId="11228442" w14:textId="77777777" w:rsidR="00CA7C31" w:rsidRPr="00AD21FF" w:rsidRDefault="00CA7C31">
            <w:pPr>
              <w:ind w:right="-29"/>
              <w:jc w:val="center"/>
              <w:rPr>
                <w:noProof/>
                <w:sz w:val="18"/>
                <w:szCs w:val="18"/>
              </w:rPr>
            </w:pPr>
          </w:p>
        </w:tc>
        <w:tc>
          <w:tcPr>
            <w:tcW w:w="265" w:type="pct"/>
            <w:tcBorders>
              <w:left w:val="dashSmallGap" w:sz="4" w:space="0" w:color="auto"/>
            </w:tcBorders>
          </w:tcPr>
          <w:p w14:paraId="743893D7" w14:textId="77777777" w:rsidR="00CA7C31" w:rsidRPr="00AD21FF" w:rsidRDefault="00CA7C31">
            <w:pPr>
              <w:ind w:right="-29"/>
              <w:jc w:val="center"/>
              <w:rPr>
                <w:noProof/>
                <w:sz w:val="18"/>
                <w:szCs w:val="18"/>
              </w:rPr>
            </w:pPr>
          </w:p>
        </w:tc>
        <w:tc>
          <w:tcPr>
            <w:tcW w:w="265" w:type="pct"/>
            <w:tcBorders>
              <w:right w:val="dashSmallGap" w:sz="4" w:space="0" w:color="auto"/>
            </w:tcBorders>
          </w:tcPr>
          <w:p w14:paraId="398CA454" w14:textId="77777777" w:rsidR="00CA7C31" w:rsidRPr="00AD21FF" w:rsidRDefault="00CA7C31">
            <w:pPr>
              <w:ind w:right="-29"/>
              <w:jc w:val="center"/>
              <w:rPr>
                <w:noProof/>
                <w:sz w:val="18"/>
                <w:szCs w:val="18"/>
              </w:rPr>
            </w:pPr>
          </w:p>
        </w:tc>
        <w:tc>
          <w:tcPr>
            <w:tcW w:w="265" w:type="pct"/>
            <w:tcBorders>
              <w:left w:val="dashSmallGap" w:sz="4" w:space="0" w:color="auto"/>
            </w:tcBorders>
          </w:tcPr>
          <w:p w14:paraId="638902DB" w14:textId="77777777" w:rsidR="00CA7C31" w:rsidRPr="00AD21FF" w:rsidRDefault="00CA7C31">
            <w:pPr>
              <w:ind w:right="-29"/>
              <w:jc w:val="center"/>
              <w:rPr>
                <w:noProof/>
                <w:sz w:val="18"/>
                <w:szCs w:val="18"/>
              </w:rPr>
            </w:pPr>
          </w:p>
        </w:tc>
        <w:tc>
          <w:tcPr>
            <w:tcW w:w="331" w:type="pct"/>
            <w:tcBorders>
              <w:right w:val="dashSmallGap" w:sz="4" w:space="0" w:color="auto"/>
            </w:tcBorders>
          </w:tcPr>
          <w:p w14:paraId="1A3F6B52" w14:textId="77777777" w:rsidR="00CA7C31" w:rsidRPr="00AD21FF" w:rsidRDefault="00CA7C31">
            <w:pPr>
              <w:ind w:right="-29"/>
              <w:jc w:val="center"/>
              <w:rPr>
                <w:noProof/>
                <w:sz w:val="18"/>
                <w:szCs w:val="18"/>
              </w:rPr>
            </w:pPr>
          </w:p>
        </w:tc>
        <w:tc>
          <w:tcPr>
            <w:tcW w:w="265" w:type="pct"/>
            <w:gridSpan w:val="2"/>
            <w:tcBorders>
              <w:left w:val="dashSmallGap" w:sz="4" w:space="0" w:color="auto"/>
            </w:tcBorders>
          </w:tcPr>
          <w:p w14:paraId="0E04E183" w14:textId="77777777" w:rsidR="00CA7C31" w:rsidRPr="00AD21FF" w:rsidRDefault="00CA7C31">
            <w:pPr>
              <w:ind w:right="-29"/>
              <w:jc w:val="center"/>
              <w:rPr>
                <w:noProof/>
                <w:sz w:val="18"/>
                <w:szCs w:val="18"/>
              </w:rPr>
            </w:pPr>
          </w:p>
        </w:tc>
        <w:tc>
          <w:tcPr>
            <w:tcW w:w="198" w:type="pct"/>
            <w:tcBorders>
              <w:right w:val="dashSmallGap" w:sz="4" w:space="0" w:color="auto"/>
            </w:tcBorders>
          </w:tcPr>
          <w:p w14:paraId="6C4C2552" w14:textId="77777777" w:rsidR="00CA7C31" w:rsidRPr="00AD21FF" w:rsidRDefault="00CA7C31">
            <w:pPr>
              <w:ind w:right="-29"/>
              <w:jc w:val="center"/>
              <w:rPr>
                <w:noProof/>
                <w:sz w:val="18"/>
                <w:szCs w:val="18"/>
              </w:rPr>
            </w:pPr>
          </w:p>
        </w:tc>
        <w:tc>
          <w:tcPr>
            <w:tcW w:w="238" w:type="pct"/>
            <w:tcBorders>
              <w:left w:val="dashSmallGap" w:sz="4" w:space="0" w:color="auto"/>
            </w:tcBorders>
          </w:tcPr>
          <w:p w14:paraId="4040A69C" w14:textId="77777777" w:rsidR="00CA7C31" w:rsidRPr="00AD21FF" w:rsidRDefault="00CA7C31">
            <w:pPr>
              <w:ind w:right="-29"/>
              <w:jc w:val="center"/>
              <w:rPr>
                <w:noProof/>
                <w:sz w:val="18"/>
                <w:szCs w:val="18"/>
              </w:rPr>
            </w:pPr>
          </w:p>
        </w:tc>
        <w:tc>
          <w:tcPr>
            <w:tcW w:w="159" w:type="pct"/>
            <w:tcBorders>
              <w:right w:val="dashSmallGap" w:sz="4" w:space="0" w:color="auto"/>
            </w:tcBorders>
          </w:tcPr>
          <w:p w14:paraId="0B449733" w14:textId="77777777" w:rsidR="00CA7C31" w:rsidRPr="00AD21FF" w:rsidRDefault="00CA7C31">
            <w:pPr>
              <w:ind w:right="-29"/>
              <w:jc w:val="center"/>
              <w:rPr>
                <w:noProof/>
                <w:sz w:val="18"/>
                <w:szCs w:val="18"/>
              </w:rPr>
            </w:pPr>
          </w:p>
        </w:tc>
        <w:tc>
          <w:tcPr>
            <w:tcW w:w="265" w:type="pct"/>
            <w:tcBorders>
              <w:left w:val="dashSmallGap" w:sz="4" w:space="0" w:color="auto"/>
            </w:tcBorders>
          </w:tcPr>
          <w:p w14:paraId="616941E9" w14:textId="77777777" w:rsidR="00CA7C31" w:rsidRPr="00AD21FF" w:rsidRDefault="00CA7C31">
            <w:pPr>
              <w:ind w:right="-29"/>
              <w:jc w:val="center"/>
              <w:rPr>
                <w:noProof/>
                <w:sz w:val="18"/>
                <w:szCs w:val="18"/>
              </w:rPr>
            </w:pPr>
          </w:p>
        </w:tc>
        <w:tc>
          <w:tcPr>
            <w:tcW w:w="198" w:type="pct"/>
            <w:tcBorders>
              <w:right w:val="dashSmallGap" w:sz="4" w:space="0" w:color="auto"/>
            </w:tcBorders>
          </w:tcPr>
          <w:p w14:paraId="1E12854D" w14:textId="77777777" w:rsidR="00CA7C31" w:rsidRPr="00AD21FF" w:rsidRDefault="00CA7C31">
            <w:pPr>
              <w:ind w:right="-29"/>
              <w:jc w:val="center"/>
              <w:rPr>
                <w:noProof/>
                <w:sz w:val="18"/>
                <w:szCs w:val="18"/>
              </w:rPr>
            </w:pPr>
          </w:p>
        </w:tc>
        <w:tc>
          <w:tcPr>
            <w:tcW w:w="265" w:type="pct"/>
            <w:tcBorders>
              <w:left w:val="dashSmallGap" w:sz="4" w:space="0" w:color="auto"/>
            </w:tcBorders>
          </w:tcPr>
          <w:p w14:paraId="4790A5E7" w14:textId="77777777" w:rsidR="00CA7C31" w:rsidRPr="00AD21FF" w:rsidRDefault="00CA7C31">
            <w:pPr>
              <w:ind w:right="-29"/>
              <w:jc w:val="center"/>
              <w:rPr>
                <w:noProof/>
                <w:sz w:val="18"/>
                <w:szCs w:val="18"/>
              </w:rPr>
            </w:pPr>
          </w:p>
        </w:tc>
        <w:tc>
          <w:tcPr>
            <w:tcW w:w="265" w:type="pct"/>
          </w:tcPr>
          <w:p w14:paraId="13395AF9" w14:textId="77777777" w:rsidR="00CA7C31" w:rsidRPr="00AD21FF" w:rsidRDefault="00CA7C31">
            <w:pPr>
              <w:ind w:right="-29"/>
              <w:jc w:val="center"/>
              <w:rPr>
                <w:noProof/>
                <w:sz w:val="18"/>
                <w:szCs w:val="18"/>
              </w:rPr>
            </w:pPr>
          </w:p>
        </w:tc>
        <w:tc>
          <w:tcPr>
            <w:tcW w:w="327" w:type="pct"/>
          </w:tcPr>
          <w:p w14:paraId="1A63C3F2" w14:textId="77777777" w:rsidR="00CA7C31" w:rsidRPr="00AD21FF" w:rsidRDefault="00CA7C31">
            <w:pPr>
              <w:ind w:right="-29"/>
              <w:jc w:val="center"/>
              <w:rPr>
                <w:noProof/>
                <w:sz w:val="18"/>
                <w:szCs w:val="18"/>
              </w:rPr>
            </w:pPr>
          </w:p>
        </w:tc>
      </w:tr>
      <w:tr w:rsidR="00CA7C31" w:rsidRPr="00AD21FF" w14:paraId="5AE1FD98" w14:textId="77777777" w:rsidTr="00883E25">
        <w:trPr>
          <w:trHeight w:hRule="exact" w:val="369"/>
          <w:jc w:val="center"/>
        </w:trPr>
        <w:tc>
          <w:tcPr>
            <w:tcW w:w="523" w:type="pct"/>
          </w:tcPr>
          <w:p w14:paraId="21303215" w14:textId="77777777" w:rsidR="00CA7C31" w:rsidRPr="00AD21FF" w:rsidRDefault="00CA7C31">
            <w:pPr>
              <w:ind w:right="-29"/>
              <w:jc w:val="center"/>
              <w:rPr>
                <w:noProof/>
                <w:sz w:val="18"/>
                <w:szCs w:val="18"/>
              </w:rPr>
            </w:pPr>
            <w:r w:rsidRPr="00AD21FF">
              <w:rPr>
                <w:noProof/>
                <w:sz w:val="18"/>
              </w:rPr>
              <w:t>- Output</w:t>
            </w:r>
          </w:p>
        </w:tc>
        <w:tc>
          <w:tcPr>
            <w:tcW w:w="265" w:type="pct"/>
          </w:tcPr>
          <w:p w14:paraId="50FE1730" w14:textId="77777777" w:rsidR="00CA7C31" w:rsidRPr="00AD21FF" w:rsidRDefault="00CA7C31">
            <w:pPr>
              <w:ind w:right="-29"/>
              <w:jc w:val="center"/>
              <w:rPr>
                <w:noProof/>
                <w:sz w:val="18"/>
                <w:szCs w:val="18"/>
              </w:rPr>
            </w:pPr>
          </w:p>
        </w:tc>
        <w:tc>
          <w:tcPr>
            <w:tcW w:w="258" w:type="pct"/>
          </w:tcPr>
          <w:p w14:paraId="3ECC6035" w14:textId="77777777" w:rsidR="00CA7C31" w:rsidRPr="00AD21FF" w:rsidRDefault="00CA7C31">
            <w:pPr>
              <w:ind w:right="-29"/>
              <w:jc w:val="center"/>
              <w:rPr>
                <w:noProof/>
                <w:sz w:val="18"/>
                <w:szCs w:val="18"/>
              </w:rPr>
            </w:pPr>
          </w:p>
        </w:tc>
        <w:tc>
          <w:tcPr>
            <w:tcW w:w="185" w:type="pct"/>
          </w:tcPr>
          <w:p w14:paraId="4193ADF1" w14:textId="77777777" w:rsidR="00CA7C31" w:rsidRPr="00AD21FF" w:rsidRDefault="00CA7C31">
            <w:pPr>
              <w:ind w:right="-29"/>
              <w:jc w:val="center"/>
              <w:rPr>
                <w:noProof/>
                <w:sz w:val="18"/>
                <w:szCs w:val="18"/>
              </w:rPr>
            </w:pPr>
          </w:p>
        </w:tc>
        <w:tc>
          <w:tcPr>
            <w:tcW w:w="265" w:type="pct"/>
          </w:tcPr>
          <w:p w14:paraId="5984C47A" w14:textId="77777777" w:rsidR="00CA7C31" w:rsidRPr="00AD21FF" w:rsidRDefault="00CA7C31">
            <w:pPr>
              <w:ind w:right="-29"/>
              <w:jc w:val="center"/>
              <w:rPr>
                <w:noProof/>
                <w:sz w:val="18"/>
                <w:szCs w:val="18"/>
              </w:rPr>
            </w:pPr>
          </w:p>
        </w:tc>
        <w:tc>
          <w:tcPr>
            <w:tcW w:w="198" w:type="pct"/>
          </w:tcPr>
          <w:p w14:paraId="55725290" w14:textId="77777777" w:rsidR="00CA7C31" w:rsidRPr="00AD21FF" w:rsidRDefault="00CA7C31">
            <w:pPr>
              <w:ind w:right="-29"/>
              <w:jc w:val="center"/>
              <w:rPr>
                <w:noProof/>
                <w:sz w:val="18"/>
                <w:szCs w:val="18"/>
              </w:rPr>
            </w:pPr>
          </w:p>
        </w:tc>
        <w:tc>
          <w:tcPr>
            <w:tcW w:w="265" w:type="pct"/>
          </w:tcPr>
          <w:p w14:paraId="1DD63AC7" w14:textId="77777777" w:rsidR="00CA7C31" w:rsidRPr="00AD21FF" w:rsidRDefault="00CA7C31">
            <w:pPr>
              <w:ind w:right="-29"/>
              <w:jc w:val="center"/>
              <w:rPr>
                <w:noProof/>
                <w:sz w:val="18"/>
                <w:szCs w:val="18"/>
              </w:rPr>
            </w:pPr>
          </w:p>
        </w:tc>
        <w:tc>
          <w:tcPr>
            <w:tcW w:w="265" w:type="pct"/>
          </w:tcPr>
          <w:p w14:paraId="3E999D50" w14:textId="77777777" w:rsidR="00CA7C31" w:rsidRPr="00AD21FF" w:rsidRDefault="00CA7C31">
            <w:pPr>
              <w:ind w:right="-29"/>
              <w:jc w:val="center"/>
              <w:rPr>
                <w:noProof/>
                <w:sz w:val="18"/>
                <w:szCs w:val="18"/>
              </w:rPr>
            </w:pPr>
          </w:p>
        </w:tc>
        <w:tc>
          <w:tcPr>
            <w:tcW w:w="265" w:type="pct"/>
          </w:tcPr>
          <w:p w14:paraId="2634E8AC" w14:textId="77777777" w:rsidR="00CA7C31" w:rsidRPr="00AD21FF" w:rsidRDefault="00CA7C31">
            <w:pPr>
              <w:ind w:right="-29"/>
              <w:jc w:val="center"/>
              <w:rPr>
                <w:noProof/>
                <w:sz w:val="18"/>
                <w:szCs w:val="18"/>
              </w:rPr>
            </w:pPr>
          </w:p>
        </w:tc>
        <w:tc>
          <w:tcPr>
            <w:tcW w:w="331" w:type="pct"/>
          </w:tcPr>
          <w:p w14:paraId="56CEC375" w14:textId="77777777" w:rsidR="00CA7C31" w:rsidRPr="00AD21FF" w:rsidRDefault="00CA7C31">
            <w:pPr>
              <w:ind w:right="-29"/>
              <w:jc w:val="center"/>
              <w:rPr>
                <w:noProof/>
                <w:sz w:val="18"/>
                <w:szCs w:val="18"/>
              </w:rPr>
            </w:pPr>
          </w:p>
        </w:tc>
        <w:tc>
          <w:tcPr>
            <w:tcW w:w="265" w:type="pct"/>
            <w:gridSpan w:val="2"/>
          </w:tcPr>
          <w:p w14:paraId="552D4974" w14:textId="77777777" w:rsidR="00CA7C31" w:rsidRPr="00AD21FF" w:rsidRDefault="00CA7C31">
            <w:pPr>
              <w:ind w:right="-29"/>
              <w:jc w:val="center"/>
              <w:rPr>
                <w:noProof/>
                <w:sz w:val="18"/>
                <w:szCs w:val="18"/>
              </w:rPr>
            </w:pPr>
          </w:p>
        </w:tc>
        <w:tc>
          <w:tcPr>
            <w:tcW w:w="198" w:type="pct"/>
          </w:tcPr>
          <w:p w14:paraId="4567BAD6" w14:textId="77777777" w:rsidR="00CA7C31" w:rsidRPr="00AD21FF" w:rsidRDefault="00CA7C31">
            <w:pPr>
              <w:ind w:right="-29"/>
              <w:jc w:val="center"/>
              <w:rPr>
                <w:noProof/>
                <w:sz w:val="18"/>
                <w:szCs w:val="18"/>
              </w:rPr>
            </w:pPr>
          </w:p>
        </w:tc>
        <w:tc>
          <w:tcPr>
            <w:tcW w:w="238" w:type="pct"/>
          </w:tcPr>
          <w:p w14:paraId="37777976" w14:textId="77777777" w:rsidR="00CA7C31" w:rsidRPr="00AD21FF" w:rsidRDefault="00CA7C31">
            <w:pPr>
              <w:ind w:right="-29"/>
              <w:jc w:val="center"/>
              <w:rPr>
                <w:noProof/>
                <w:sz w:val="18"/>
                <w:szCs w:val="18"/>
              </w:rPr>
            </w:pPr>
          </w:p>
        </w:tc>
        <w:tc>
          <w:tcPr>
            <w:tcW w:w="159" w:type="pct"/>
          </w:tcPr>
          <w:p w14:paraId="7D7B75E9" w14:textId="77777777" w:rsidR="00CA7C31" w:rsidRPr="00AD21FF" w:rsidRDefault="00CA7C31">
            <w:pPr>
              <w:ind w:right="-29"/>
              <w:jc w:val="center"/>
              <w:rPr>
                <w:noProof/>
                <w:sz w:val="18"/>
                <w:szCs w:val="18"/>
              </w:rPr>
            </w:pPr>
          </w:p>
        </w:tc>
        <w:tc>
          <w:tcPr>
            <w:tcW w:w="265" w:type="pct"/>
          </w:tcPr>
          <w:p w14:paraId="046767E1" w14:textId="77777777" w:rsidR="00CA7C31" w:rsidRPr="00AD21FF" w:rsidRDefault="00CA7C31">
            <w:pPr>
              <w:ind w:right="-29"/>
              <w:jc w:val="center"/>
              <w:rPr>
                <w:noProof/>
                <w:sz w:val="18"/>
                <w:szCs w:val="18"/>
              </w:rPr>
            </w:pPr>
          </w:p>
        </w:tc>
        <w:tc>
          <w:tcPr>
            <w:tcW w:w="198" w:type="pct"/>
          </w:tcPr>
          <w:p w14:paraId="0E08DC83" w14:textId="77777777" w:rsidR="00CA7C31" w:rsidRPr="00AD21FF" w:rsidRDefault="00CA7C31">
            <w:pPr>
              <w:ind w:right="-29"/>
              <w:jc w:val="center"/>
              <w:rPr>
                <w:noProof/>
                <w:sz w:val="18"/>
                <w:szCs w:val="18"/>
              </w:rPr>
            </w:pPr>
          </w:p>
        </w:tc>
        <w:tc>
          <w:tcPr>
            <w:tcW w:w="265" w:type="pct"/>
          </w:tcPr>
          <w:p w14:paraId="050042CB" w14:textId="77777777" w:rsidR="00CA7C31" w:rsidRPr="00AD21FF" w:rsidRDefault="00CA7C31">
            <w:pPr>
              <w:ind w:right="-29"/>
              <w:jc w:val="center"/>
              <w:rPr>
                <w:noProof/>
                <w:sz w:val="18"/>
                <w:szCs w:val="18"/>
              </w:rPr>
            </w:pPr>
          </w:p>
        </w:tc>
        <w:tc>
          <w:tcPr>
            <w:tcW w:w="265" w:type="pct"/>
          </w:tcPr>
          <w:p w14:paraId="760F17DF" w14:textId="77777777" w:rsidR="00CA7C31" w:rsidRPr="00AD21FF" w:rsidRDefault="00CA7C31">
            <w:pPr>
              <w:ind w:right="-29"/>
              <w:jc w:val="center"/>
              <w:rPr>
                <w:noProof/>
                <w:sz w:val="18"/>
                <w:szCs w:val="18"/>
              </w:rPr>
            </w:pPr>
          </w:p>
        </w:tc>
        <w:tc>
          <w:tcPr>
            <w:tcW w:w="327" w:type="pct"/>
          </w:tcPr>
          <w:p w14:paraId="3C13B3B5" w14:textId="77777777" w:rsidR="00CA7C31" w:rsidRPr="00AD21FF" w:rsidRDefault="00CA7C31">
            <w:pPr>
              <w:ind w:right="-29"/>
              <w:jc w:val="center"/>
              <w:rPr>
                <w:noProof/>
                <w:sz w:val="18"/>
                <w:szCs w:val="18"/>
              </w:rPr>
            </w:pPr>
          </w:p>
        </w:tc>
      </w:tr>
      <w:tr w:rsidR="004B7712" w:rsidRPr="00AD21FF" w14:paraId="15898873" w14:textId="77777777" w:rsidTr="006E4FCE">
        <w:trPr>
          <w:trHeight w:val="77"/>
          <w:jc w:val="center"/>
        </w:trPr>
        <w:tc>
          <w:tcPr>
            <w:tcW w:w="1046" w:type="pct"/>
            <w:gridSpan w:val="3"/>
            <w:tcBorders>
              <w:bottom w:val="single" w:sz="12" w:space="0" w:color="auto"/>
            </w:tcBorders>
            <w:vAlign w:val="center"/>
          </w:tcPr>
          <w:p w14:paraId="2ACA9E11" w14:textId="77777777" w:rsidR="004B7712" w:rsidRPr="00AD21FF" w:rsidRDefault="004B7712" w:rsidP="004B7712">
            <w:pPr>
              <w:ind w:right="-29"/>
              <w:jc w:val="center"/>
              <w:rPr>
                <w:noProof/>
                <w:sz w:val="18"/>
                <w:szCs w:val="18"/>
              </w:rPr>
            </w:pPr>
            <w:r w:rsidRPr="00AD21FF">
              <w:rPr>
                <w:noProof/>
                <w:sz w:val="18"/>
              </w:rPr>
              <w:t>Subtotal for specific objective No 1</w:t>
            </w:r>
          </w:p>
        </w:tc>
        <w:tc>
          <w:tcPr>
            <w:tcW w:w="185" w:type="pct"/>
            <w:tcBorders>
              <w:bottom w:val="single" w:sz="12" w:space="0" w:color="auto"/>
            </w:tcBorders>
            <w:vAlign w:val="bottom"/>
          </w:tcPr>
          <w:p w14:paraId="3A1EB097"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46697675"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198" w:type="pct"/>
            <w:tcBorders>
              <w:bottom w:val="single" w:sz="12" w:space="0" w:color="auto"/>
            </w:tcBorders>
            <w:vAlign w:val="bottom"/>
          </w:tcPr>
          <w:p w14:paraId="56F24C08"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285BAD78"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265" w:type="pct"/>
            <w:tcBorders>
              <w:bottom w:val="single" w:sz="12" w:space="0" w:color="auto"/>
            </w:tcBorders>
            <w:vAlign w:val="bottom"/>
          </w:tcPr>
          <w:p w14:paraId="601A90E9"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76361CF3"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331" w:type="pct"/>
            <w:tcBorders>
              <w:bottom w:val="single" w:sz="12" w:space="0" w:color="auto"/>
            </w:tcBorders>
            <w:vAlign w:val="bottom"/>
          </w:tcPr>
          <w:p w14:paraId="15017C1C"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gridSpan w:val="2"/>
            <w:tcBorders>
              <w:bottom w:val="single" w:sz="12" w:space="0" w:color="auto"/>
            </w:tcBorders>
            <w:vAlign w:val="bottom"/>
          </w:tcPr>
          <w:p w14:paraId="7502EBF3"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198" w:type="pct"/>
            <w:tcBorders>
              <w:bottom w:val="single" w:sz="12" w:space="0" w:color="auto"/>
            </w:tcBorders>
            <w:vAlign w:val="bottom"/>
          </w:tcPr>
          <w:p w14:paraId="0C22C8CF"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38" w:type="pct"/>
            <w:tcBorders>
              <w:bottom w:val="single" w:sz="12" w:space="0" w:color="auto"/>
            </w:tcBorders>
            <w:vAlign w:val="bottom"/>
          </w:tcPr>
          <w:p w14:paraId="2D7E66AC"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159" w:type="pct"/>
            <w:tcBorders>
              <w:bottom w:val="single" w:sz="12" w:space="0" w:color="auto"/>
            </w:tcBorders>
            <w:vAlign w:val="bottom"/>
          </w:tcPr>
          <w:p w14:paraId="6535942C"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538244F5"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198" w:type="pct"/>
            <w:tcBorders>
              <w:bottom w:val="single" w:sz="12" w:space="0" w:color="auto"/>
            </w:tcBorders>
            <w:vAlign w:val="bottom"/>
          </w:tcPr>
          <w:p w14:paraId="479C5733"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53CA2474"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265" w:type="pct"/>
            <w:tcBorders>
              <w:bottom w:val="single" w:sz="12" w:space="0" w:color="auto"/>
            </w:tcBorders>
            <w:vAlign w:val="bottom"/>
          </w:tcPr>
          <w:p w14:paraId="0CE569AF"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327" w:type="pct"/>
            <w:tcBorders>
              <w:bottom w:val="single" w:sz="12" w:space="0" w:color="auto"/>
            </w:tcBorders>
            <w:vAlign w:val="bottom"/>
          </w:tcPr>
          <w:p w14:paraId="5814157F"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r>
      <w:tr w:rsidR="004B7712" w:rsidRPr="00AD21FF" w14:paraId="4D552577" w14:textId="77777777" w:rsidTr="00883E25">
        <w:trPr>
          <w:jc w:val="center"/>
        </w:trPr>
        <w:tc>
          <w:tcPr>
            <w:tcW w:w="1046" w:type="pct"/>
            <w:gridSpan w:val="3"/>
            <w:vAlign w:val="center"/>
          </w:tcPr>
          <w:p w14:paraId="5844590D" w14:textId="77777777" w:rsidR="004B7712" w:rsidRPr="00AD21FF" w:rsidRDefault="004B7712" w:rsidP="004B7712">
            <w:pPr>
              <w:spacing w:before="60" w:after="60"/>
              <w:ind w:right="-29"/>
              <w:jc w:val="center"/>
              <w:rPr>
                <w:noProof/>
                <w:sz w:val="18"/>
                <w:szCs w:val="18"/>
              </w:rPr>
            </w:pPr>
            <w:r w:rsidRPr="00AD21FF">
              <w:rPr>
                <w:noProof/>
                <w:sz w:val="18"/>
              </w:rPr>
              <w:t>SPECIFIC OBJECTIVE No 2 ...</w:t>
            </w:r>
          </w:p>
        </w:tc>
        <w:tc>
          <w:tcPr>
            <w:tcW w:w="185" w:type="pct"/>
            <w:tcBorders>
              <w:top w:val="nil"/>
              <w:left w:val="nil"/>
              <w:bottom w:val="nil"/>
              <w:right w:val="nil"/>
            </w:tcBorders>
          </w:tcPr>
          <w:p w14:paraId="5119272E" w14:textId="77777777" w:rsidR="004B7712" w:rsidRPr="00AD21FF"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4D00F949" w14:textId="77777777" w:rsidR="004B7712" w:rsidRPr="00AD21FF" w:rsidRDefault="004B7712" w:rsidP="004B7712">
            <w:pPr>
              <w:spacing w:before="60" w:after="60"/>
              <w:ind w:right="-29"/>
              <w:jc w:val="center"/>
              <w:rPr>
                <w:noProof/>
                <w:sz w:val="18"/>
                <w:szCs w:val="18"/>
              </w:rPr>
            </w:pPr>
          </w:p>
        </w:tc>
        <w:tc>
          <w:tcPr>
            <w:tcW w:w="198" w:type="pct"/>
            <w:tcBorders>
              <w:top w:val="nil"/>
              <w:left w:val="nil"/>
              <w:bottom w:val="nil"/>
              <w:right w:val="nil"/>
            </w:tcBorders>
          </w:tcPr>
          <w:p w14:paraId="39683CBD" w14:textId="77777777" w:rsidR="004B7712" w:rsidRPr="00AD21FF"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6EEEE29E" w14:textId="77777777" w:rsidR="004B7712" w:rsidRPr="00AD21FF"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5D78BDEF" w14:textId="77777777" w:rsidR="004B7712" w:rsidRPr="00AD21FF"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7C1B6172" w14:textId="77777777" w:rsidR="004B7712" w:rsidRPr="00AD21FF" w:rsidRDefault="004B7712" w:rsidP="004B7712">
            <w:pPr>
              <w:spacing w:before="60" w:after="60"/>
              <w:ind w:right="-29"/>
              <w:jc w:val="center"/>
              <w:rPr>
                <w:noProof/>
                <w:sz w:val="18"/>
                <w:szCs w:val="18"/>
              </w:rPr>
            </w:pPr>
          </w:p>
        </w:tc>
        <w:tc>
          <w:tcPr>
            <w:tcW w:w="331" w:type="pct"/>
            <w:tcBorders>
              <w:top w:val="nil"/>
              <w:left w:val="nil"/>
              <w:bottom w:val="nil"/>
              <w:right w:val="nil"/>
            </w:tcBorders>
          </w:tcPr>
          <w:p w14:paraId="41765AA2" w14:textId="77777777" w:rsidR="004B7712" w:rsidRPr="00AD21FF" w:rsidRDefault="004B7712" w:rsidP="004B7712">
            <w:pPr>
              <w:spacing w:before="60" w:after="60"/>
              <w:ind w:right="-29"/>
              <w:jc w:val="center"/>
              <w:rPr>
                <w:noProof/>
                <w:sz w:val="18"/>
                <w:szCs w:val="18"/>
              </w:rPr>
            </w:pPr>
          </w:p>
        </w:tc>
        <w:tc>
          <w:tcPr>
            <w:tcW w:w="265" w:type="pct"/>
            <w:gridSpan w:val="2"/>
            <w:tcBorders>
              <w:top w:val="nil"/>
              <w:left w:val="nil"/>
              <w:bottom w:val="nil"/>
              <w:right w:val="nil"/>
            </w:tcBorders>
          </w:tcPr>
          <w:p w14:paraId="747FDB61" w14:textId="77777777" w:rsidR="004B7712" w:rsidRPr="00AD21FF" w:rsidRDefault="004B7712" w:rsidP="004B7712">
            <w:pPr>
              <w:spacing w:before="60" w:after="60"/>
              <w:ind w:right="-29"/>
              <w:jc w:val="center"/>
              <w:rPr>
                <w:noProof/>
                <w:sz w:val="18"/>
                <w:szCs w:val="18"/>
              </w:rPr>
            </w:pPr>
          </w:p>
        </w:tc>
        <w:tc>
          <w:tcPr>
            <w:tcW w:w="198" w:type="pct"/>
            <w:tcBorders>
              <w:top w:val="nil"/>
              <w:left w:val="nil"/>
              <w:bottom w:val="nil"/>
              <w:right w:val="nil"/>
            </w:tcBorders>
          </w:tcPr>
          <w:p w14:paraId="681012F8" w14:textId="77777777" w:rsidR="004B7712" w:rsidRPr="00AD21FF" w:rsidRDefault="004B7712" w:rsidP="004B7712">
            <w:pPr>
              <w:spacing w:before="60" w:after="60"/>
              <w:ind w:right="-29"/>
              <w:jc w:val="center"/>
              <w:rPr>
                <w:noProof/>
                <w:sz w:val="18"/>
                <w:szCs w:val="18"/>
              </w:rPr>
            </w:pPr>
          </w:p>
        </w:tc>
        <w:tc>
          <w:tcPr>
            <w:tcW w:w="238" w:type="pct"/>
            <w:tcBorders>
              <w:top w:val="nil"/>
              <w:left w:val="nil"/>
              <w:bottom w:val="nil"/>
              <w:right w:val="nil"/>
            </w:tcBorders>
          </w:tcPr>
          <w:p w14:paraId="4BB4A250" w14:textId="77777777" w:rsidR="004B7712" w:rsidRPr="00AD21FF" w:rsidRDefault="004B7712" w:rsidP="004B7712">
            <w:pPr>
              <w:spacing w:before="60" w:after="60"/>
              <w:ind w:right="-29"/>
              <w:jc w:val="center"/>
              <w:rPr>
                <w:noProof/>
                <w:sz w:val="18"/>
                <w:szCs w:val="18"/>
              </w:rPr>
            </w:pPr>
          </w:p>
        </w:tc>
        <w:tc>
          <w:tcPr>
            <w:tcW w:w="159" w:type="pct"/>
            <w:tcBorders>
              <w:top w:val="nil"/>
              <w:left w:val="nil"/>
              <w:bottom w:val="nil"/>
              <w:right w:val="nil"/>
            </w:tcBorders>
          </w:tcPr>
          <w:p w14:paraId="6BC3B851" w14:textId="77777777" w:rsidR="004B7712" w:rsidRPr="00AD21FF"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4E82F2C9" w14:textId="77777777" w:rsidR="004B7712" w:rsidRPr="00AD21FF" w:rsidRDefault="004B7712" w:rsidP="004B7712">
            <w:pPr>
              <w:spacing w:before="60" w:after="60"/>
              <w:ind w:right="-29"/>
              <w:jc w:val="center"/>
              <w:rPr>
                <w:noProof/>
                <w:sz w:val="18"/>
                <w:szCs w:val="18"/>
              </w:rPr>
            </w:pPr>
          </w:p>
        </w:tc>
        <w:tc>
          <w:tcPr>
            <w:tcW w:w="198" w:type="pct"/>
            <w:tcBorders>
              <w:top w:val="nil"/>
              <w:left w:val="nil"/>
              <w:bottom w:val="nil"/>
              <w:right w:val="nil"/>
            </w:tcBorders>
          </w:tcPr>
          <w:p w14:paraId="10A8F080" w14:textId="77777777" w:rsidR="004B7712" w:rsidRPr="00AD21FF"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3C1F0C0F" w14:textId="77777777" w:rsidR="004B7712" w:rsidRPr="00AD21FF"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0E1E5FB6" w14:textId="77777777" w:rsidR="004B7712" w:rsidRPr="00AD21FF" w:rsidRDefault="004B7712" w:rsidP="004B7712">
            <w:pPr>
              <w:spacing w:before="60" w:after="60"/>
              <w:ind w:right="-29"/>
              <w:jc w:val="center"/>
              <w:rPr>
                <w:noProof/>
                <w:sz w:val="18"/>
                <w:szCs w:val="18"/>
              </w:rPr>
            </w:pPr>
          </w:p>
        </w:tc>
        <w:tc>
          <w:tcPr>
            <w:tcW w:w="327" w:type="pct"/>
            <w:tcBorders>
              <w:top w:val="nil"/>
              <w:left w:val="nil"/>
              <w:bottom w:val="nil"/>
              <w:right w:val="nil"/>
            </w:tcBorders>
          </w:tcPr>
          <w:p w14:paraId="3E4A8ECD" w14:textId="77777777" w:rsidR="004B7712" w:rsidRPr="00AD21FF" w:rsidRDefault="004B7712" w:rsidP="004B7712">
            <w:pPr>
              <w:spacing w:before="60" w:after="60"/>
              <w:ind w:right="-29"/>
              <w:jc w:val="center"/>
              <w:rPr>
                <w:noProof/>
                <w:sz w:val="18"/>
                <w:szCs w:val="18"/>
              </w:rPr>
            </w:pPr>
          </w:p>
        </w:tc>
      </w:tr>
      <w:tr w:rsidR="004B7712" w:rsidRPr="00AD21FF" w14:paraId="7010BB92" w14:textId="77777777" w:rsidTr="00883E25">
        <w:trPr>
          <w:trHeight w:hRule="exact" w:val="369"/>
          <w:jc w:val="center"/>
        </w:trPr>
        <w:tc>
          <w:tcPr>
            <w:tcW w:w="523" w:type="pct"/>
          </w:tcPr>
          <w:p w14:paraId="568B1BA6" w14:textId="77777777" w:rsidR="004B7712" w:rsidRPr="00AD21FF" w:rsidRDefault="004B7712" w:rsidP="004B7712">
            <w:pPr>
              <w:ind w:right="-29"/>
              <w:jc w:val="center"/>
              <w:rPr>
                <w:noProof/>
                <w:sz w:val="18"/>
                <w:szCs w:val="18"/>
              </w:rPr>
            </w:pPr>
            <w:r w:rsidRPr="00AD21FF">
              <w:rPr>
                <w:noProof/>
                <w:sz w:val="18"/>
              </w:rPr>
              <w:t>- Output</w:t>
            </w:r>
          </w:p>
        </w:tc>
        <w:tc>
          <w:tcPr>
            <w:tcW w:w="265" w:type="pct"/>
          </w:tcPr>
          <w:p w14:paraId="31B08BD8" w14:textId="77777777" w:rsidR="004B7712" w:rsidRPr="00AD21FF" w:rsidRDefault="004B7712" w:rsidP="004B7712">
            <w:pPr>
              <w:ind w:right="-29"/>
              <w:jc w:val="center"/>
              <w:rPr>
                <w:noProof/>
                <w:sz w:val="18"/>
                <w:szCs w:val="18"/>
              </w:rPr>
            </w:pPr>
          </w:p>
        </w:tc>
        <w:tc>
          <w:tcPr>
            <w:tcW w:w="258" w:type="pct"/>
          </w:tcPr>
          <w:p w14:paraId="5CF19D75" w14:textId="77777777" w:rsidR="004B7712" w:rsidRPr="00AD21FF" w:rsidRDefault="004B7712" w:rsidP="004B7712">
            <w:pPr>
              <w:ind w:right="-29"/>
              <w:jc w:val="center"/>
              <w:rPr>
                <w:noProof/>
                <w:sz w:val="18"/>
                <w:szCs w:val="18"/>
              </w:rPr>
            </w:pPr>
          </w:p>
        </w:tc>
        <w:tc>
          <w:tcPr>
            <w:tcW w:w="185" w:type="pct"/>
          </w:tcPr>
          <w:p w14:paraId="3C326FFD" w14:textId="77777777" w:rsidR="004B7712" w:rsidRPr="00AD21FF" w:rsidRDefault="004B7712" w:rsidP="004B7712">
            <w:pPr>
              <w:ind w:right="-29"/>
              <w:jc w:val="center"/>
              <w:rPr>
                <w:noProof/>
                <w:sz w:val="18"/>
                <w:szCs w:val="18"/>
              </w:rPr>
            </w:pPr>
          </w:p>
        </w:tc>
        <w:tc>
          <w:tcPr>
            <w:tcW w:w="265" w:type="pct"/>
          </w:tcPr>
          <w:p w14:paraId="75FF189F" w14:textId="77777777" w:rsidR="004B7712" w:rsidRPr="00AD21FF" w:rsidRDefault="004B7712" w:rsidP="004B7712">
            <w:pPr>
              <w:ind w:right="-29"/>
              <w:jc w:val="center"/>
              <w:rPr>
                <w:noProof/>
                <w:sz w:val="18"/>
                <w:szCs w:val="18"/>
              </w:rPr>
            </w:pPr>
          </w:p>
        </w:tc>
        <w:tc>
          <w:tcPr>
            <w:tcW w:w="198" w:type="pct"/>
          </w:tcPr>
          <w:p w14:paraId="56607230" w14:textId="77777777" w:rsidR="004B7712" w:rsidRPr="00AD21FF" w:rsidRDefault="004B7712" w:rsidP="004B7712">
            <w:pPr>
              <w:ind w:right="-29"/>
              <w:jc w:val="center"/>
              <w:rPr>
                <w:noProof/>
                <w:sz w:val="18"/>
                <w:szCs w:val="18"/>
              </w:rPr>
            </w:pPr>
          </w:p>
        </w:tc>
        <w:tc>
          <w:tcPr>
            <w:tcW w:w="265" w:type="pct"/>
          </w:tcPr>
          <w:p w14:paraId="4D0980F7" w14:textId="77777777" w:rsidR="004B7712" w:rsidRPr="00AD21FF" w:rsidRDefault="004B7712" w:rsidP="004B7712">
            <w:pPr>
              <w:ind w:right="-29"/>
              <w:jc w:val="center"/>
              <w:rPr>
                <w:noProof/>
                <w:sz w:val="18"/>
                <w:szCs w:val="18"/>
              </w:rPr>
            </w:pPr>
          </w:p>
        </w:tc>
        <w:tc>
          <w:tcPr>
            <w:tcW w:w="265" w:type="pct"/>
          </w:tcPr>
          <w:p w14:paraId="00A5624B" w14:textId="77777777" w:rsidR="004B7712" w:rsidRPr="00AD21FF" w:rsidRDefault="004B7712" w:rsidP="004B7712">
            <w:pPr>
              <w:ind w:right="-29"/>
              <w:jc w:val="center"/>
              <w:rPr>
                <w:noProof/>
                <w:sz w:val="18"/>
                <w:szCs w:val="18"/>
              </w:rPr>
            </w:pPr>
          </w:p>
        </w:tc>
        <w:tc>
          <w:tcPr>
            <w:tcW w:w="265" w:type="pct"/>
          </w:tcPr>
          <w:p w14:paraId="63B89390" w14:textId="77777777" w:rsidR="004B7712" w:rsidRPr="00AD21FF" w:rsidRDefault="004B7712" w:rsidP="004B7712">
            <w:pPr>
              <w:ind w:right="-29"/>
              <w:jc w:val="center"/>
              <w:rPr>
                <w:noProof/>
                <w:sz w:val="18"/>
                <w:szCs w:val="18"/>
              </w:rPr>
            </w:pPr>
          </w:p>
        </w:tc>
        <w:tc>
          <w:tcPr>
            <w:tcW w:w="331" w:type="pct"/>
          </w:tcPr>
          <w:p w14:paraId="3B01DD9F" w14:textId="77777777" w:rsidR="004B7712" w:rsidRPr="00AD21FF" w:rsidRDefault="004B7712" w:rsidP="004B7712">
            <w:pPr>
              <w:ind w:right="-29"/>
              <w:jc w:val="center"/>
              <w:rPr>
                <w:noProof/>
                <w:sz w:val="18"/>
                <w:szCs w:val="18"/>
              </w:rPr>
            </w:pPr>
          </w:p>
        </w:tc>
        <w:tc>
          <w:tcPr>
            <w:tcW w:w="265" w:type="pct"/>
            <w:gridSpan w:val="2"/>
          </w:tcPr>
          <w:p w14:paraId="519FE7B0" w14:textId="77777777" w:rsidR="004B7712" w:rsidRPr="00AD21FF" w:rsidRDefault="004B7712" w:rsidP="004B7712">
            <w:pPr>
              <w:ind w:right="-29"/>
              <w:jc w:val="center"/>
              <w:rPr>
                <w:noProof/>
                <w:sz w:val="18"/>
                <w:szCs w:val="18"/>
              </w:rPr>
            </w:pPr>
          </w:p>
        </w:tc>
        <w:tc>
          <w:tcPr>
            <w:tcW w:w="198" w:type="pct"/>
          </w:tcPr>
          <w:p w14:paraId="7E883D59" w14:textId="77777777" w:rsidR="004B7712" w:rsidRPr="00AD21FF" w:rsidRDefault="004B7712" w:rsidP="004B7712">
            <w:pPr>
              <w:ind w:right="-29"/>
              <w:jc w:val="center"/>
              <w:rPr>
                <w:noProof/>
                <w:sz w:val="18"/>
                <w:szCs w:val="18"/>
              </w:rPr>
            </w:pPr>
          </w:p>
        </w:tc>
        <w:tc>
          <w:tcPr>
            <w:tcW w:w="238" w:type="pct"/>
          </w:tcPr>
          <w:p w14:paraId="4BA68D8C" w14:textId="77777777" w:rsidR="004B7712" w:rsidRPr="00AD21FF" w:rsidRDefault="004B7712" w:rsidP="004B7712">
            <w:pPr>
              <w:ind w:right="-29"/>
              <w:jc w:val="center"/>
              <w:rPr>
                <w:noProof/>
                <w:sz w:val="18"/>
                <w:szCs w:val="18"/>
              </w:rPr>
            </w:pPr>
          </w:p>
        </w:tc>
        <w:tc>
          <w:tcPr>
            <w:tcW w:w="159" w:type="pct"/>
          </w:tcPr>
          <w:p w14:paraId="4F910468" w14:textId="77777777" w:rsidR="004B7712" w:rsidRPr="00AD21FF" w:rsidRDefault="004B7712" w:rsidP="004B7712">
            <w:pPr>
              <w:ind w:right="-29"/>
              <w:jc w:val="center"/>
              <w:rPr>
                <w:noProof/>
                <w:sz w:val="18"/>
                <w:szCs w:val="18"/>
              </w:rPr>
            </w:pPr>
          </w:p>
        </w:tc>
        <w:tc>
          <w:tcPr>
            <w:tcW w:w="265" w:type="pct"/>
          </w:tcPr>
          <w:p w14:paraId="0962EDBD" w14:textId="77777777" w:rsidR="004B7712" w:rsidRPr="00AD21FF" w:rsidRDefault="004B7712" w:rsidP="004B7712">
            <w:pPr>
              <w:ind w:right="-29"/>
              <w:jc w:val="center"/>
              <w:rPr>
                <w:noProof/>
                <w:sz w:val="18"/>
                <w:szCs w:val="18"/>
              </w:rPr>
            </w:pPr>
          </w:p>
        </w:tc>
        <w:tc>
          <w:tcPr>
            <w:tcW w:w="198" w:type="pct"/>
          </w:tcPr>
          <w:p w14:paraId="33472AFA" w14:textId="77777777" w:rsidR="004B7712" w:rsidRPr="00AD21FF" w:rsidRDefault="004B7712" w:rsidP="004B7712">
            <w:pPr>
              <w:ind w:right="-29"/>
              <w:jc w:val="center"/>
              <w:rPr>
                <w:noProof/>
                <w:sz w:val="18"/>
                <w:szCs w:val="18"/>
              </w:rPr>
            </w:pPr>
          </w:p>
        </w:tc>
        <w:tc>
          <w:tcPr>
            <w:tcW w:w="265" w:type="pct"/>
          </w:tcPr>
          <w:p w14:paraId="4C487EF4" w14:textId="77777777" w:rsidR="004B7712" w:rsidRPr="00AD21FF" w:rsidRDefault="004B7712" w:rsidP="004B7712">
            <w:pPr>
              <w:ind w:right="-29"/>
              <w:jc w:val="center"/>
              <w:rPr>
                <w:noProof/>
                <w:sz w:val="18"/>
                <w:szCs w:val="18"/>
              </w:rPr>
            </w:pPr>
          </w:p>
        </w:tc>
        <w:tc>
          <w:tcPr>
            <w:tcW w:w="265" w:type="pct"/>
          </w:tcPr>
          <w:p w14:paraId="143B3115" w14:textId="77777777" w:rsidR="004B7712" w:rsidRPr="00AD21FF" w:rsidRDefault="004B7712" w:rsidP="004B7712">
            <w:pPr>
              <w:ind w:right="-29"/>
              <w:jc w:val="center"/>
              <w:rPr>
                <w:noProof/>
                <w:sz w:val="18"/>
                <w:szCs w:val="18"/>
              </w:rPr>
            </w:pPr>
          </w:p>
        </w:tc>
        <w:tc>
          <w:tcPr>
            <w:tcW w:w="327" w:type="pct"/>
          </w:tcPr>
          <w:p w14:paraId="3DD6AF52" w14:textId="77777777" w:rsidR="004B7712" w:rsidRPr="00AD21FF" w:rsidRDefault="004B7712" w:rsidP="004B7712">
            <w:pPr>
              <w:ind w:right="-29"/>
              <w:jc w:val="center"/>
              <w:rPr>
                <w:noProof/>
                <w:sz w:val="18"/>
                <w:szCs w:val="18"/>
              </w:rPr>
            </w:pPr>
          </w:p>
        </w:tc>
      </w:tr>
      <w:tr w:rsidR="004B7712" w:rsidRPr="00AD21FF" w14:paraId="32DA71E3" w14:textId="77777777" w:rsidTr="006E4FCE">
        <w:trPr>
          <w:jc w:val="center"/>
        </w:trPr>
        <w:tc>
          <w:tcPr>
            <w:tcW w:w="1046" w:type="pct"/>
            <w:gridSpan w:val="3"/>
            <w:tcBorders>
              <w:bottom w:val="single" w:sz="12" w:space="0" w:color="auto"/>
            </w:tcBorders>
            <w:vAlign w:val="center"/>
          </w:tcPr>
          <w:p w14:paraId="4CF8C7A0" w14:textId="77777777" w:rsidR="004B7712" w:rsidRPr="00AD21FF" w:rsidRDefault="004B7712" w:rsidP="004B7712">
            <w:pPr>
              <w:jc w:val="center"/>
              <w:rPr>
                <w:noProof/>
                <w:sz w:val="18"/>
                <w:szCs w:val="18"/>
              </w:rPr>
            </w:pPr>
            <w:r w:rsidRPr="00AD21FF">
              <w:rPr>
                <w:noProof/>
                <w:sz w:val="18"/>
              </w:rPr>
              <w:t>Subtotal for specific objective No 2</w:t>
            </w:r>
          </w:p>
        </w:tc>
        <w:tc>
          <w:tcPr>
            <w:tcW w:w="185" w:type="pct"/>
            <w:tcBorders>
              <w:bottom w:val="single" w:sz="12" w:space="0" w:color="auto"/>
            </w:tcBorders>
            <w:vAlign w:val="bottom"/>
          </w:tcPr>
          <w:p w14:paraId="7F0F1B10"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018E4222"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198" w:type="pct"/>
            <w:tcBorders>
              <w:bottom w:val="single" w:sz="12" w:space="0" w:color="auto"/>
            </w:tcBorders>
            <w:vAlign w:val="bottom"/>
          </w:tcPr>
          <w:p w14:paraId="498BB5A4"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0FC443A0"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265" w:type="pct"/>
            <w:tcBorders>
              <w:bottom w:val="single" w:sz="12" w:space="0" w:color="auto"/>
            </w:tcBorders>
            <w:vAlign w:val="bottom"/>
          </w:tcPr>
          <w:p w14:paraId="77631768"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2F85D928"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349" w:type="pct"/>
            <w:gridSpan w:val="2"/>
            <w:tcBorders>
              <w:bottom w:val="single" w:sz="12" w:space="0" w:color="auto"/>
            </w:tcBorders>
            <w:vAlign w:val="bottom"/>
          </w:tcPr>
          <w:p w14:paraId="3CE8AE6B"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47" w:type="pct"/>
            <w:tcBorders>
              <w:bottom w:val="single" w:sz="12" w:space="0" w:color="auto"/>
            </w:tcBorders>
            <w:vAlign w:val="bottom"/>
          </w:tcPr>
          <w:p w14:paraId="4578255F"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198" w:type="pct"/>
            <w:tcBorders>
              <w:bottom w:val="single" w:sz="12" w:space="0" w:color="auto"/>
            </w:tcBorders>
            <w:vAlign w:val="bottom"/>
          </w:tcPr>
          <w:p w14:paraId="2D3E99EF"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38" w:type="pct"/>
            <w:tcBorders>
              <w:bottom w:val="single" w:sz="12" w:space="0" w:color="auto"/>
            </w:tcBorders>
            <w:vAlign w:val="bottom"/>
          </w:tcPr>
          <w:p w14:paraId="55A4394B"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159" w:type="pct"/>
            <w:tcBorders>
              <w:bottom w:val="single" w:sz="12" w:space="0" w:color="auto"/>
            </w:tcBorders>
            <w:vAlign w:val="bottom"/>
          </w:tcPr>
          <w:p w14:paraId="1836D96D"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0B3FE2A6"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198" w:type="pct"/>
            <w:tcBorders>
              <w:bottom w:val="single" w:sz="12" w:space="0" w:color="auto"/>
            </w:tcBorders>
            <w:vAlign w:val="bottom"/>
          </w:tcPr>
          <w:p w14:paraId="2CE6A8B0"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bottom w:val="single" w:sz="12" w:space="0" w:color="auto"/>
            </w:tcBorders>
            <w:vAlign w:val="bottom"/>
          </w:tcPr>
          <w:p w14:paraId="27E22C20"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c>
          <w:tcPr>
            <w:tcW w:w="265" w:type="pct"/>
            <w:tcBorders>
              <w:bottom w:val="single" w:sz="12" w:space="0" w:color="auto"/>
            </w:tcBorders>
            <w:vAlign w:val="bottom"/>
          </w:tcPr>
          <w:p w14:paraId="2AC38657"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w:t>
            </w:r>
          </w:p>
        </w:tc>
        <w:tc>
          <w:tcPr>
            <w:tcW w:w="327" w:type="pct"/>
            <w:tcBorders>
              <w:bottom w:val="single" w:sz="12" w:space="0" w:color="auto"/>
            </w:tcBorders>
            <w:vAlign w:val="bottom"/>
          </w:tcPr>
          <w:p w14:paraId="2A0592B8" w14:textId="77777777" w:rsidR="004B7712" w:rsidRPr="00AD21FF" w:rsidRDefault="004B7712" w:rsidP="004B7712">
            <w:pPr>
              <w:ind w:right="-29"/>
              <w:jc w:val="center"/>
              <w:rPr>
                <w:noProof/>
                <w:sz w:val="18"/>
                <w:szCs w:val="18"/>
              </w:rPr>
            </w:pPr>
            <w:r w:rsidRPr="00883E25">
              <w:rPr>
                <w:rFonts w:eastAsia="Times New Roman"/>
                <w:b/>
                <w:bCs/>
                <w:noProof/>
                <w:color w:val="000000"/>
                <w:sz w:val="18"/>
                <w:szCs w:val="18"/>
                <w:lang w:val="en-IE" w:eastAsia="en-IE"/>
              </w:rPr>
              <w:t>0.000</w:t>
            </w:r>
          </w:p>
        </w:tc>
      </w:tr>
      <w:tr w:rsidR="004B7712" w:rsidRPr="00AD21FF" w14:paraId="7C513CBB" w14:textId="77777777" w:rsidTr="006E4FCE">
        <w:trPr>
          <w:jc w:val="center"/>
        </w:trPr>
        <w:tc>
          <w:tcPr>
            <w:tcW w:w="1046" w:type="pct"/>
            <w:gridSpan w:val="3"/>
            <w:tcBorders>
              <w:top w:val="single" w:sz="12" w:space="0" w:color="auto"/>
              <w:left w:val="single" w:sz="12" w:space="0" w:color="auto"/>
              <w:bottom w:val="single" w:sz="12" w:space="0" w:color="auto"/>
            </w:tcBorders>
            <w:vAlign w:val="center"/>
          </w:tcPr>
          <w:p w14:paraId="014FF187" w14:textId="77777777" w:rsidR="004B7712" w:rsidRPr="00AD21FF" w:rsidRDefault="004B7712" w:rsidP="004B7712">
            <w:pPr>
              <w:ind w:right="-29"/>
              <w:jc w:val="center"/>
              <w:rPr>
                <w:noProof/>
                <w:sz w:val="18"/>
                <w:szCs w:val="18"/>
              </w:rPr>
            </w:pPr>
            <w:r w:rsidRPr="00AD21FF">
              <w:rPr>
                <w:b/>
                <w:noProof/>
                <w:sz w:val="18"/>
              </w:rPr>
              <w:t>TOTALS</w:t>
            </w:r>
          </w:p>
        </w:tc>
        <w:tc>
          <w:tcPr>
            <w:tcW w:w="185" w:type="pct"/>
            <w:tcBorders>
              <w:top w:val="single" w:sz="12" w:space="0" w:color="auto"/>
              <w:bottom w:val="single" w:sz="12" w:space="0" w:color="auto"/>
            </w:tcBorders>
            <w:vAlign w:val="bottom"/>
          </w:tcPr>
          <w:p w14:paraId="72F17645"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top w:val="single" w:sz="12" w:space="0" w:color="auto"/>
              <w:bottom w:val="single" w:sz="12" w:space="0" w:color="auto"/>
            </w:tcBorders>
            <w:vAlign w:val="bottom"/>
          </w:tcPr>
          <w:p w14:paraId="3453380B"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0.000</w:t>
            </w:r>
          </w:p>
        </w:tc>
        <w:tc>
          <w:tcPr>
            <w:tcW w:w="198" w:type="pct"/>
            <w:tcBorders>
              <w:top w:val="single" w:sz="12" w:space="0" w:color="auto"/>
              <w:bottom w:val="single" w:sz="12" w:space="0" w:color="auto"/>
            </w:tcBorders>
            <w:vAlign w:val="bottom"/>
          </w:tcPr>
          <w:p w14:paraId="7799D07D"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top w:val="single" w:sz="12" w:space="0" w:color="auto"/>
              <w:bottom w:val="single" w:sz="12" w:space="0" w:color="auto"/>
            </w:tcBorders>
            <w:vAlign w:val="bottom"/>
          </w:tcPr>
          <w:p w14:paraId="62E04B16"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0.000</w:t>
            </w:r>
          </w:p>
        </w:tc>
        <w:tc>
          <w:tcPr>
            <w:tcW w:w="265" w:type="pct"/>
            <w:tcBorders>
              <w:top w:val="single" w:sz="12" w:space="0" w:color="auto"/>
              <w:bottom w:val="single" w:sz="12" w:space="0" w:color="auto"/>
            </w:tcBorders>
            <w:vAlign w:val="bottom"/>
          </w:tcPr>
          <w:p w14:paraId="51AD789D"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top w:val="single" w:sz="12" w:space="0" w:color="auto"/>
              <w:bottom w:val="single" w:sz="12" w:space="0" w:color="auto"/>
            </w:tcBorders>
            <w:vAlign w:val="bottom"/>
          </w:tcPr>
          <w:p w14:paraId="06F8EEEA"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0.000</w:t>
            </w:r>
          </w:p>
        </w:tc>
        <w:tc>
          <w:tcPr>
            <w:tcW w:w="331" w:type="pct"/>
            <w:tcBorders>
              <w:top w:val="single" w:sz="12" w:space="0" w:color="auto"/>
              <w:bottom w:val="single" w:sz="12" w:space="0" w:color="auto"/>
            </w:tcBorders>
            <w:vAlign w:val="bottom"/>
          </w:tcPr>
          <w:p w14:paraId="16F22C40"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w:t>
            </w:r>
          </w:p>
        </w:tc>
        <w:tc>
          <w:tcPr>
            <w:tcW w:w="265" w:type="pct"/>
            <w:gridSpan w:val="2"/>
            <w:tcBorders>
              <w:top w:val="single" w:sz="12" w:space="0" w:color="auto"/>
              <w:bottom w:val="single" w:sz="12" w:space="0" w:color="auto"/>
            </w:tcBorders>
            <w:vAlign w:val="bottom"/>
          </w:tcPr>
          <w:p w14:paraId="6398514A"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0.000</w:t>
            </w:r>
          </w:p>
        </w:tc>
        <w:tc>
          <w:tcPr>
            <w:tcW w:w="198" w:type="pct"/>
            <w:tcBorders>
              <w:top w:val="single" w:sz="12" w:space="0" w:color="auto"/>
              <w:bottom w:val="single" w:sz="12" w:space="0" w:color="auto"/>
            </w:tcBorders>
            <w:vAlign w:val="bottom"/>
          </w:tcPr>
          <w:p w14:paraId="65736D01"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w:t>
            </w:r>
          </w:p>
        </w:tc>
        <w:tc>
          <w:tcPr>
            <w:tcW w:w="238" w:type="pct"/>
            <w:tcBorders>
              <w:top w:val="single" w:sz="12" w:space="0" w:color="auto"/>
              <w:bottom w:val="single" w:sz="12" w:space="0" w:color="auto"/>
            </w:tcBorders>
            <w:vAlign w:val="bottom"/>
          </w:tcPr>
          <w:p w14:paraId="1829B980"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0.000</w:t>
            </w:r>
          </w:p>
        </w:tc>
        <w:tc>
          <w:tcPr>
            <w:tcW w:w="159" w:type="pct"/>
            <w:tcBorders>
              <w:top w:val="single" w:sz="12" w:space="0" w:color="auto"/>
              <w:bottom w:val="single" w:sz="12" w:space="0" w:color="auto"/>
            </w:tcBorders>
            <w:vAlign w:val="bottom"/>
          </w:tcPr>
          <w:p w14:paraId="13BE19D3"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top w:val="single" w:sz="12" w:space="0" w:color="auto"/>
              <w:bottom w:val="single" w:sz="12" w:space="0" w:color="auto"/>
            </w:tcBorders>
            <w:vAlign w:val="bottom"/>
          </w:tcPr>
          <w:p w14:paraId="7EF18193"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0.000</w:t>
            </w:r>
          </w:p>
        </w:tc>
        <w:tc>
          <w:tcPr>
            <w:tcW w:w="198" w:type="pct"/>
            <w:tcBorders>
              <w:top w:val="single" w:sz="12" w:space="0" w:color="auto"/>
              <w:bottom w:val="single" w:sz="12" w:space="0" w:color="auto"/>
            </w:tcBorders>
            <w:vAlign w:val="bottom"/>
          </w:tcPr>
          <w:p w14:paraId="1204E103"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w:t>
            </w:r>
          </w:p>
        </w:tc>
        <w:tc>
          <w:tcPr>
            <w:tcW w:w="265" w:type="pct"/>
            <w:tcBorders>
              <w:top w:val="single" w:sz="12" w:space="0" w:color="auto"/>
              <w:bottom w:val="single" w:sz="12" w:space="0" w:color="auto"/>
            </w:tcBorders>
            <w:vAlign w:val="bottom"/>
          </w:tcPr>
          <w:p w14:paraId="6038E643"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0.000</w:t>
            </w:r>
          </w:p>
        </w:tc>
        <w:tc>
          <w:tcPr>
            <w:tcW w:w="265" w:type="pct"/>
            <w:tcBorders>
              <w:top w:val="single" w:sz="12" w:space="0" w:color="auto"/>
              <w:bottom w:val="single" w:sz="12" w:space="0" w:color="auto"/>
            </w:tcBorders>
            <w:vAlign w:val="bottom"/>
          </w:tcPr>
          <w:p w14:paraId="01E67EB2"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w:t>
            </w:r>
          </w:p>
        </w:tc>
        <w:tc>
          <w:tcPr>
            <w:tcW w:w="327" w:type="pct"/>
            <w:tcBorders>
              <w:top w:val="single" w:sz="12" w:space="0" w:color="auto"/>
              <w:bottom w:val="single" w:sz="12" w:space="0" w:color="auto"/>
              <w:right w:val="single" w:sz="12" w:space="0" w:color="auto"/>
            </w:tcBorders>
            <w:vAlign w:val="bottom"/>
          </w:tcPr>
          <w:p w14:paraId="02972ACA" w14:textId="77777777" w:rsidR="004B7712" w:rsidRPr="00AD21FF" w:rsidRDefault="004B7712" w:rsidP="004B7712">
            <w:pPr>
              <w:spacing w:before="180" w:after="180"/>
              <w:ind w:right="-29"/>
              <w:jc w:val="center"/>
              <w:rPr>
                <w:noProof/>
                <w:sz w:val="18"/>
                <w:szCs w:val="18"/>
              </w:rPr>
            </w:pPr>
            <w:r w:rsidRPr="00883E25">
              <w:rPr>
                <w:rFonts w:eastAsia="Times New Roman"/>
                <w:b/>
                <w:bCs/>
                <w:noProof/>
                <w:color w:val="000000"/>
                <w:sz w:val="18"/>
                <w:szCs w:val="18"/>
                <w:lang w:val="en-IE" w:eastAsia="en-IE"/>
              </w:rPr>
              <w:t>0.000</w:t>
            </w:r>
          </w:p>
        </w:tc>
      </w:tr>
    </w:tbl>
    <w:p w14:paraId="5393CF5C" w14:textId="77777777" w:rsidR="00883E25" w:rsidRDefault="00883E25">
      <w:pPr>
        <w:rPr>
          <w:noProof/>
        </w:rPr>
      </w:pPr>
    </w:p>
    <w:tbl>
      <w:tblPr>
        <w:tblW w:w="5000" w:type="pct"/>
        <w:tblLook w:val="04A0" w:firstRow="1" w:lastRow="0" w:firstColumn="1" w:lastColumn="0" w:noHBand="0" w:noVBand="1"/>
      </w:tblPr>
      <w:tblGrid>
        <w:gridCol w:w="1592"/>
        <w:gridCol w:w="593"/>
        <w:gridCol w:w="826"/>
        <w:gridCol w:w="436"/>
        <w:gridCol w:w="687"/>
        <w:gridCol w:w="436"/>
        <w:gridCol w:w="687"/>
        <w:gridCol w:w="436"/>
        <w:gridCol w:w="687"/>
        <w:gridCol w:w="436"/>
        <w:gridCol w:w="687"/>
        <w:gridCol w:w="436"/>
        <w:gridCol w:w="687"/>
        <w:gridCol w:w="436"/>
        <w:gridCol w:w="687"/>
        <w:gridCol w:w="436"/>
        <w:gridCol w:w="688"/>
        <w:gridCol w:w="436"/>
        <w:gridCol w:w="688"/>
        <w:gridCol w:w="436"/>
        <w:gridCol w:w="688"/>
        <w:gridCol w:w="436"/>
        <w:gridCol w:w="663"/>
      </w:tblGrid>
      <w:tr w:rsidR="00883E25" w:rsidRPr="00883E25" w14:paraId="7EF120FC" w14:textId="77777777" w:rsidTr="00411214">
        <w:trPr>
          <w:trHeight w:val="300"/>
        </w:trPr>
        <w:tc>
          <w:tcPr>
            <w:tcW w:w="560" w:type="pct"/>
            <w:tcBorders>
              <w:top w:val="single" w:sz="8" w:space="0" w:color="000000"/>
              <w:left w:val="single" w:sz="8" w:space="0" w:color="000000"/>
              <w:bottom w:val="single" w:sz="4" w:space="0" w:color="000000"/>
              <w:right w:val="single" w:sz="4" w:space="0" w:color="000000"/>
            </w:tcBorders>
            <w:vAlign w:val="bottom"/>
            <w:hideMark/>
          </w:tcPr>
          <w:p w14:paraId="6886D150" w14:textId="77777777" w:rsidR="00883E25" w:rsidRPr="00883E25" w:rsidRDefault="00883E25" w:rsidP="00883E25">
            <w:pPr>
              <w:spacing w:before="0" w:after="0"/>
              <w:jc w:val="lef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Indicate objectives and outputs</w:t>
            </w:r>
          </w:p>
        </w:tc>
        <w:tc>
          <w:tcPr>
            <w:tcW w:w="209" w:type="pct"/>
            <w:tcBorders>
              <w:top w:val="single" w:sz="8" w:space="0" w:color="000000"/>
              <w:left w:val="nil"/>
              <w:bottom w:val="single" w:sz="4" w:space="0" w:color="000000"/>
              <w:right w:val="single" w:sz="4" w:space="0" w:color="000000"/>
            </w:tcBorders>
            <w:noWrap/>
            <w:vAlign w:val="bottom"/>
            <w:hideMark/>
          </w:tcPr>
          <w:p w14:paraId="1718E28D"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90" w:type="pct"/>
            <w:tcBorders>
              <w:top w:val="single" w:sz="8" w:space="0" w:color="000000"/>
              <w:left w:val="nil"/>
              <w:bottom w:val="single" w:sz="4" w:space="0" w:color="000000"/>
              <w:right w:val="single" w:sz="4" w:space="0" w:color="000000"/>
            </w:tcBorders>
            <w:noWrap/>
            <w:vAlign w:val="bottom"/>
            <w:hideMark/>
          </w:tcPr>
          <w:p w14:paraId="30B7F1B2"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395" w:type="pct"/>
            <w:gridSpan w:val="2"/>
            <w:tcBorders>
              <w:top w:val="single" w:sz="8" w:space="0" w:color="000000"/>
              <w:left w:val="nil"/>
              <w:bottom w:val="single" w:sz="4" w:space="0" w:color="000000"/>
              <w:right w:val="single" w:sz="4" w:space="0" w:color="000000"/>
            </w:tcBorders>
            <w:vAlign w:val="center"/>
            <w:hideMark/>
          </w:tcPr>
          <w:p w14:paraId="1BC01587"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Year</w:t>
            </w:r>
          </w:p>
        </w:tc>
        <w:tc>
          <w:tcPr>
            <w:tcW w:w="395" w:type="pct"/>
            <w:gridSpan w:val="2"/>
            <w:tcBorders>
              <w:top w:val="single" w:sz="8" w:space="0" w:color="000000"/>
              <w:left w:val="nil"/>
              <w:bottom w:val="single" w:sz="4" w:space="0" w:color="000000"/>
              <w:right w:val="single" w:sz="4" w:space="0" w:color="000000"/>
            </w:tcBorders>
            <w:vAlign w:val="center"/>
            <w:hideMark/>
          </w:tcPr>
          <w:p w14:paraId="3306AA0B"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Year</w:t>
            </w:r>
          </w:p>
        </w:tc>
        <w:tc>
          <w:tcPr>
            <w:tcW w:w="395" w:type="pct"/>
            <w:gridSpan w:val="2"/>
            <w:tcBorders>
              <w:top w:val="single" w:sz="8" w:space="0" w:color="000000"/>
              <w:left w:val="nil"/>
              <w:bottom w:val="single" w:sz="4" w:space="0" w:color="000000"/>
              <w:right w:val="single" w:sz="4" w:space="0" w:color="000000"/>
            </w:tcBorders>
            <w:vAlign w:val="center"/>
            <w:hideMark/>
          </w:tcPr>
          <w:p w14:paraId="21B64536"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Year</w:t>
            </w:r>
          </w:p>
        </w:tc>
        <w:tc>
          <w:tcPr>
            <w:tcW w:w="395" w:type="pct"/>
            <w:gridSpan w:val="2"/>
            <w:tcBorders>
              <w:top w:val="single" w:sz="8" w:space="0" w:color="000000"/>
              <w:left w:val="nil"/>
              <w:bottom w:val="single" w:sz="4" w:space="0" w:color="000000"/>
              <w:right w:val="single" w:sz="4" w:space="0" w:color="000000"/>
            </w:tcBorders>
            <w:vAlign w:val="center"/>
            <w:hideMark/>
          </w:tcPr>
          <w:p w14:paraId="6889DA98"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Year</w:t>
            </w:r>
          </w:p>
        </w:tc>
        <w:tc>
          <w:tcPr>
            <w:tcW w:w="395" w:type="pct"/>
            <w:gridSpan w:val="2"/>
            <w:tcBorders>
              <w:top w:val="single" w:sz="8" w:space="0" w:color="000000"/>
              <w:left w:val="nil"/>
              <w:bottom w:val="single" w:sz="4" w:space="0" w:color="000000"/>
              <w:right w:val="single" w:sz="4" w:space="0" w:color="000000"/>
            </w:tcBorders>
            <w:vAlign w:val="center"/>
            <w:hideMark/>
          </w:tcPr>
          <w:p w14:paraId="0B93D8FB"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Year</w:t>
            </w:r>
          </w:p>
        </w:tc>
        <w:tc>
          <w:tcPr>
            <w:tcW w:w="395" w:type="pct"/>
            <w:gridSpan w:val="2"/>
            <w:tcBorders>
              <w:top w:val="single" w:sz="8" w:space="0" w:color="000000"/>
              <w:left w:val="nil"/>
              <w:bottom w:val="single" w:sz="4" w:space="0" w:color="000000"/>
              <w:right w:val="single" w:sz="4" w:space="0" w:color="000000"/>
            </w:tcBorders>
            <w:vAlign w:val="center"/>
            <w:hideMark/>
          </w:tcPr>
          <w:p w14:paraId="41F7CDE8"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Year</w:t>
            </w:r>
          </w:p>
        </w:tc>
        <w:tc>
          <w:tcPr>
            <w:tcW w:w="395" w:type="pct"/>
            <w:gridSpan w:val="2"/>
            <w:tcBorders>
              <w:top w:val="single" w:sz="8" w:space="0" w:color="000000"/>
              <w:left w:val="nil"/>
              <w:bottom w:val="single" w:sz="4" w:space="0" w:color="000000"/>
              <w:right w:val="single" w:sz="4" w:space="0" w:color="000000"/>
            </w:tcBorders>
            <w:vAlign w:val="center"/>
            <w:hideMark/>
          </w:tcPr>
          <w:p w14:paraId="5AA30403"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Year</w:t>
            </w:r>
          </w:p>
        </w:tc>
        <w:tc>
          <w:tcPr>
            <w:tcW w:w="395" w:type="pct"/>
            <w:gridSpan w:val="2"/>
            <w:vMerge w:val="restart"/>
            <w:tcBorders>
              <w:top w:val="single" w:sz="8" w:space="0" w:color="000000"/>
              <w:left w:val="single" w:sz="4" w:space="0" w:color="000000"/>
              <w:bottom w:val="single" w:sz="4" w:space="0" w:color="000000"/>
              <w:right w:val="single" w:sz="4" w:space="0" w:color="000000"/>
            </w:tcBorders>
            <w:vAlign w:val="center"/>
            <w:hideMark/>
          </w:tcPr>
          <w:p w14:paraId="3ADDD2EA" w14:textId="77777777" w:rsidR="00883E25" w:rsidRPr="00883E25" w:rsidRDefault="00883E25" w:rsidP="00883E25">
            <w:pPr>
              <w:spacing w:before="0" w:after="0"/>
              <w:jc w:val="center"/>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TOTAL</w:t>
            </w:r>
            <w:r w:rsidRPr="00883E25">
              <w:rPr>
                <w:rFonts w:eastAsia="Times New Roman"/>
                <w:b/>
                <w:bCs/>
                <w:noProof/>
                <w:color w:val="000000"/>
                <w:sz w:val="18"/>
                <w:szCs w:val="18"/>
                <w:lang w:val="en-IE" w:eastAsia="en-IE"/>
              </w:rPr>
              <w:br/>
              <w:t>2028-2034</w:t>
            </w:r>
            <w:r w:rsidR="00666ED3">
              <w:rPr>
                <w:rStyle w:val="FootnoteReference"/>
                <w:rFonts w:eastAsia="Times New Roman"/>
                <w:b/>
                <w:bCs/>
                <w:noProof/>
                <w:color w:val="000000"/>
                <w:sz w:val="18"/>
                <w:szCs w:val="18"/>
                <w:lang w:val="en-IE" w:eastAsia="en-IE"/>
              </w:rPr>
              <w:footnoteReference w:id="85"/>
            </w:r>
          </w:p>
        </w:tc>
        <w:tc>
          <w:tcPr>
            <w:tcW w:w="395" w:type="pct"/>
            <w:gridSpan w:val="2"/>
            <w:tcBorders>
              <w:top w:val="single" w:sz="8" w:space="0" w:color="000000"/>
              <w:left w:val="nil"/>
              <w:bottom w:val="single" w:sz="4" w:space="0" w:color="000000"/>
              <w:right w:val="single" w:sz="4" w:space="0" w:color="000000"/>
            </w:tcBorders>
            <w:vAlign w:val="center"/>
            <w:hideMark/>
          </w:tcPr>
          <w:p w14:paraId="6AF11D18"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POST</w:t>
            </w:r>
          </w:p>
        </w:tc>
        <w:tc>
          <w:tcPr>
            <w:tcW w:w="387" w:type="pct"/>
            <w:gridSpan w:val="2"/>
            <w:tcBorders>
              <w:top w:val="single" w:sz="8" w:space="0" w:color="000000"/>
              <w:left w:val="nil"/>
              <w:bottom w:val="single" w:sz="4" w:space="0" w:color="000000"/>
              <w:right w:val="single" w:sz="8" w:space="0" w:color="000000"/>
            </w:tcBorders>
            <w:vAlign w:val="center"/>
            <w:hideMark/>
          </w:tcPr>
          <w:p w14:paraId="3EF60380"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GRAND</w:t>
            </w:r>
          </w:p>
        </w:tc>
      </w:tr>
      <w:tr w:rsidR="00883E25" w:rsidRPr="00883E25" w14:paraId="46661EC5"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038B5B70" w14:textId="77777777" w:rsidR="00883E25" w:rsidRPr="00883E25" w:rsidRDefault="00883E25" w:rsidP="00883E25">
            <w:pPr>
              <w:spacing w:before="0" w:after="0"/>
              <w:jc w:val="center"/>
              <w:rPr>
                <w:rFonts w:ascii="Wingdings" w:eastAsia="Times New Roman" w:hAnsi="Wingdings" w:cs="Calibri"/>
                <w:noProof/>
                <w:color w:val="000000"/>
                <w:sz w:val="18"/>
                <w:szCs w:val="18"/>
                <w:lang w:val="en-IE" w:eastAsia="en-IE"/>
              </w:rPr>
            </w:pPr>
            <w:r w:rsidRPr="00883E25">
              <w:rPr>
                <w:rFonts w:ascii="Wingdings" w:eastAsia="Times New Roman" w:hAnsi="Wingdings" w:cs="Calibri"/>
                <w:noProof/>
                <w:color w:val="000000"/>
                <w:sz w:val="18"/>
                <w:szCs w:val="18"/>
                <w:lang w:val="en-IE" w:eastAsia="en-IE"/>
              </w:rPr>
              <w:t></w:t>
            </w:r>
          </w:p>
        </w:tc>
        <w:tc>
          <w:tcPr>
            <w:tcW w:w="209" w:type="pct"/>
            <w:tcBorders>
              <w:top w:val="nil"/>
              <w:left w:val="nil"/>
              <w:bottom w:val="single" w:sz="4" w:space="0" w:color="000000"/>
              <w:right w:val="single" w:sz="4" w:space="0" w:color="000000"/>
            </w:tcBorders>
            <w:noWrap/>
            <w:vAlign w:val="bottom"/>
            <w:hideMark/>
          </w:tcPr>
          <w:p w14:paraId="143F7CC8"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90" w:type="pct"/>
            <w:tcBorders>
              <w:top w:val="nil"/>
              <w:left w:val="nil"/>
              <w:bottom w:val="single" w:sz="4" w:space="0" w:color="000000"/>
              <w:right w:val="single" w:sz="4" w:space="0" w:color="000000"/>
            </w:tcBorders>
            <w:noWrap/>
            <w:vAlign w:val="bottom"/>
            <w:hideMark/>
          </w:tcPr>
          <w:p w14:paraId="62A2B4C2"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395" w:type="pct"/>
            <w:gridSpan w:val="2"/>
            <w:tcBorders>
              <w:top w:val="single" w:sz="4" w:space="0" w:color="000000"/>
              <w:left w:val="nil"/>
              <w:bottom w:val="single" w:sz="4" w:space="0" w:color="000000"/>
              <w:right w:val="single" w:sz="4" w:space="0" w:color="000000"/>
            </w:tcBorders>
            <w:vAlign w:val="center"/>
            <w:hideMark/>
          </w:tcPr>
          <w:p w14:paraId="16FD67D9"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2028</w:t>
            </w:r>
          </w:p>
        </w:tc>
        <w:tc>
          <w:tcPr>
            <w:tcW w:w="395" w:type="pct"/>
            <w:gridSpan w:val="2"/>
            <w:tcBorders>
              <w:top w:val="single" w:sz="4" w:space="0" w:color="000000"/>
              <w:left w:val="nil"/>
              <w:bottom w:val="single" w:sz="4" w:space="0" w:color="000000"/>
              <w:right w:val="single" w:sz="4" w:space="0" w:color="000000"/>
            </w:tcBorders>
            <w:vAlign w:val="center"/>
            <w:hideMark/>
          </w:tcPr>
          <w:p w14:paraId="12859C7E"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2029</w:t>
            </w:r>
          </w:p>
        </w:tc>
        <w:tc>
          <w:tcPr>
            <w:tcW w:w="395" w:type="pct"/>
            <w:gridSpan w:val="2"/>
            <w:tcBorders>
              <w:top w:val="single" w:sz="4" w:space="0" w:color="000000"/>
              <w:left w:val="nil"/>
              <w:bottom w:val="single" w:sz="4" w:space="0" w:color="000000"/>
              <w:right w:val="single" w:sz="4" w:space="0" w:color="000000"/>
            </w:tcBorders>
            <w:vAlign w:val="center"/>
            <w:hideMark/>
          </w:tcPr>
          <w:p w14:paraId="2AD14B24"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2030</w:t>
            </w:r>
          </w:p>
        </w:tc>
        <w:tc>
          <w:tcPr>
            <w:tcW w:w="395" w:type="pct"/>
            <w:gridSpan w:val="2"/>
            <w:tcBorders>
              <w:top w:val="single" w:sz="4" w:space="0" w:color="000000"/>
              <w:left w:val="nil"/>
              <w:bottom w:val="single" w:sz="4" w:space="0" w:color="000000"/>
              <w:right w:val="single" w:sz="4" w:space="0" w:color="000000"/>
            </w:tcBorders>
            <w:vAlign w:val="center"/>
            <w:hideMark/>
          </w:tcPr>
          <w:p w14:paraId="3A3C74DA"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2031</w:t>
            </w:r>
          </w:p>
        </w:tc>
        <w:tc>
          <w:tcPr>
            <w:tcW w:w="395" w:type="pct"/>
            <w:gridSpan w:val="2"/>
            <w:tcBorders>
              <w:top w:val="single" w:sz="4" w:space="0" w:color="000000"/>
              <w:left w:val="nil"/>
              <w:bottom w:val="single" w:sz="4" w:space="0" w:color="000000"/>
              <w:right w:val="single" w:sz="4" w:space="0" w:color="000000"/>
            </w:tcBorders>
            <w:vAlign w:val="center"/>
            <w:hideMark/>
          </w:tcPr>
          <w:p w14:paraId="3C5BA1B1"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2032</w:t>
            </w:r>
          </w:p>
        </w:tc>
        <w:tc>
          <w:tcPr>
            <w:tcW w:w="395" w:type="pct"/>
            <w:gridSpan w:val="2"/>
            <w:tcBorders>
              <w:top w:val="single" w:sz="4" w:space="0" w:color="000000"/>
              <w:left w:val="nil"/>
              <w:bottom w:val="single" w:sz="4" w:space="0" w:color="000000"/>
              <w:right w:val="single" w:sz="4" w:space="0" w:color="000000"/>
            </w:tcBorders>
            <w:vAlign w:val="center"/>
            <w:hideMark/>
          </w:tcPr>
          <w:p w14:paraId="2256DC9E"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2033</w:t>
            </w:r>
          </w:p>
        </w:tc>
        <w:tc>
          <w:tcPr>
            <w:tcW w:w="395" w:type="pct"/>
            <w:gridSpan w:val="2"/>
            <w:tcBorders>
              <w:top w:val="single" w:sz="4" w:space="0" w:color="000000"/>
              <w:left w:val="nil"/>
              <w:bottom w:val="single" w:sz="4" w:space="0" w:color="000000"/>
              <w:right w:val="single" w:sz="4" w:space="0" w:color="000000"/>
            </w:tcBorders>
            <w:vAlign w:val="center"/>
            <w:hideMark/>
          </w:tcPr>
          <w:p w14:paraId="795A60A7"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2034</w:t>
            </w:r>
          </w:p>
        </w:tc>
        <w:tc>
          <w:tcPr>
            <w:tcW w:w="395" w:type="pct"/>
            <w:gridSpan w:val="2"/>
            <w:vMerge/>
            <w:tcBorders>
              <w:top w:val="single" w:sz="8" w:space="0" w:color="000000"/>
              <w:left w:val="single" w:sz="4" w:space="0" w:color="000000"/>
              <w:bottom w:val="single" w:sz="4" w:space="0" w:color="000000"/>
              <w:right w:val="single" w:sz="4" w:space="0" w:color="000000"/>
            </w:tcBorders>
            <w:vAlign w:val="center"/>
            <w:hideMark/>
          </w:tcPr>
          <w:p w14:paraId="1B3ADCE8" w14:textId="77777777" w:rsidR="00883E25" w:rsidRPr="00883E25" w:rsidRDefault="00883E25" w:rsidP="00883E25">
            <w:pPr>
              <w:spacing w:before="0" w:after="0"/>
              <w:jc w:val="left"/>
              <w:rPr>
                <w:rFonts w:eastAsia="Times New Roman"/>
                <w:b/>
                <w:bCs/>
                <w:noProof/>
                <w:color w:val="000000"/>
                <w:sz w:val="18"/>
                <w:szCs w:val="18"/>
                <w:lang w:val="en-IE" w:eastAsia="en-IE"/>
              </w:rPr>
            </w:pPr>
          </w:p>
        </w:tc>
        <w:tc>
          <w:tcPr>
            <w:tcW w:w="395" w:type="pct"/>
            <w:gridSpan w:val="2"/>
            <w:tcBorders>
              <w:top w:val="single" w:sz="4" w:space="0" w:color="000000"/>
              <w:left w:val="nil"/>
              <w:bottom w:val="single" w:sz="4" w:space="0" w:color="000000"/>
              <w:right w:val="single" w:sz="4" w:space="0" w:color="000000"/>
            </w:tcBorders>
            <w:vAlign w:val="center"/>
            <w:hideMark/>
          </w:tcPr>
          <w:p w14:paraId="3C397C09"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2034</w:t>
            </w:r>
          </w:p>
        </w:tc>
        <w:tc>
          <w:tcPr>
            <w:tcW w:w="387" w:type="pct"/>
            <w:gridSpan w:val="2"/>
            <w:tcBorders>
              <w:top w:val="single" w:sz="4" w:space="0" w:color="000000"/>
              <w:left w:val="nil"/>
              <w:bottom w:val="single" w:sz="4" w:space="0" w:color="000000"/>
              <w:right w:val="single" w:sz="8" w:space="0" w:color="000000"/>
            </w:tcBorders>
            <w:vAlign w:val="center"/>
            <w:hideMark/>
          </w:tcPr>
          <w:p w14:paraId="04583140" w14:textId="77777777" w:rsidR="00883E25" w:rsidRPr="00883E25" w:rsidRDefault="00883E25" w:rsidP="00883E25">
            <w:pPr>
              <w:spacing w:before="0" w:after="0"/>
              <w:jc w:val="center"/>
              <w:rPr>
                <w:rFonts w:eastAsia="Times New Roman"/>
                <w:b/>
                <w:bCs/>
                <w:noProof/>
                <w:color w:val="000000"/>
                <w:sz w:val="20"/>
                <w:szCs w:val="20"/>
                <w:lang w:val="en-IE" w:eastAsia="en-IE"/>
              </w:rPr>
            </w:pPr>
            <w:r w:rsidRPr="00883E25">
              <w:rPr>
                <w:rFonts w:eastAsia="Times New Roman"/>
                <w:b/>
                <w:bCs/>
                <w:noProof/>
                <w:color w:val="000000"/>
                <w:sz w:val="20"/>
                <w:szCs w:val="20"/>
                <w:lang w:val="en-IE" w:eastAsia="en-IE"/>
              </w:rPr>
              <w:t>TOTAL</w:t>
            </w:r>
          </w:p>
        </w:tc>
      </w:tr>
      <w:tr w:rsidR="00883E25" w:rsidRPr="00883E25" w14:paraId="46AA6E53"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56B74016"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3658" w:type="pct"/>
            <w:gridSpan w:val="18"/>
            <w:tcBorders>
              <w:top w:val="single" w:sz="4" w:space="0" w:color="000000"/>
              <w:left w:val="nil"/>
              <w:bottom w:val="single" w:sz="4" w:space="0" w:color="000000"/>
              <w:right w:val="single" w:sz="4" w:space="0" w:color="000000"/>
            </w:tcBorders>
            <w:noWrap/>
            <w:vAlign w:val="bottom"/>
            <w:hideMark/>
          </w:tcPr>
          <w:p w14:paraId="4F2261A2" w14:textId="77777777" w:rsidR="00883E25" w:rsidRPr="00883E25" w:rsidRDefault="00883E25" w:rsidP="00883E25">
            <w:pPr>
              <w:spacing w:before="0" w:after="0"/>
              <w:jc w:val="lef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OUTPUTS</w:t>
            </w:r>
          </w:p>
        </w:tc>
        <w:tc>
          <w:tcPr>
            <w:tcW w:w="153" w:type="pct"/>
            <w:tcBorders>
              <w:top w:val="nil"/>
              <w:left w:val="nil"/>
              <w:bottom w:val="single" w:sz="4" w:space="0" w:color="000000"/>
              <w:right w:val="single" w:sz="4" w:space="0" w:color="000000"/>
            </w:tcBorders>
            <w:noWrap/>
            <w:vAlign w:val="bottom"/>
            <w:hideMark/>
          </w:tcPr>
          <w:p w14:paraId="7508754A"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42" w:type="pct"/>
            <w:tcBorders>
              <w:top w:val="nil"/>
              <w:left w:val="nil"/>
              <w:bottom w:val="single" w:sz="4" w:space="0" w:color="000000"/>
              <w:right w:val="single" w:sz="4" w:space="0" w:color="000000"/>
            </w:tcBorders>
            <w:noWrap/>
            <w:vAlign w:val="bottom"/>
            <w:hideMark/>
          </w:tcPr>
          <w:p w14:paraId="6088983C"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153" w:type="pct"/>
            <w:tcBorders>
              <w:top w:val="nil"/>
              <w:left w:val="nil"/>
              <w:bottom w:val="single" w:sz="4" w:space="0" w:color="000000"/>
              <w:right w:val="single" w:sz="4" w:space="0" w:color="000000"/>
            </w:tcBorders>
            <w:noWrap/>
            <w:vAlign w:val="bottom"/>
            <w:hideMark/>
          </w:tcPr>
          <w:p w14:paraId="7345157A"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34" w:type="pct"/>
            <w:tcBorders>
              <w:top w:val="nil"/>
              <w:left w:val="nil"/>
              <w:bottom w:val="single" w:sz="4" w:space="0" w:color="000000"/>
              <w:right w:val="single" w:sz="8" w:space="0" w:color="000000"/>
            </w:tcBorders>
            <w:noWrap/>
            <w:vAlign w:val="bottom"/>
            <w:hideMark/>
          </w:tcPr>
          <w:p w14:paraId="3C55E7CD"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r>
      <w:tr w:rsidR="00411214" w:rsidRPr="00883E25" w14:paraId="1B69BF5F" w14:textId="77777777" w:rsidTr="00411214">
        <w:trPr>
          <w:trHeight w:val="480"/>
        </w:trPr>
        <w:tc>
          <w:tcPr>
            <w:tcW w:w="560" w:type="pct"/>
            <w:tcBorders>
              <w:top w:val="nil"/>
              <w:left w:val="single" w:sz="8" w:space="0" w:color="000000"/>
              <w:bottom w:val="nil"/>
              <w:right w:val="single" w:sz="4" w:space="0" w:color="000000"/>
            </w:tcBorders>
            <w:noWrap/>
            <w:vAlign w:val="bottom"/>
            <w:hideMark/>
          </w:tcPr>
          <w:p w14:paraId="1357519A"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09" w:type="pct"/>
            <w:tcBorders>
              <w:top w:val="nil"/>
              <w:left w:val="nil"/>
              <w:bottom w:val="nil"/>
              <w:right w:val="single" w:sz="4" w:space="0" w:color="000000"/>
            </w:tcBorders>
            <w:noWrap/>
            <w:vAlign w:val="center"/>
            <w:hideMark/>
          </w:tcPr>
          <w:p w14:paraId="17E2468E" w14:textId="77777777" w:rsidR="00883E25" w:rsidRPr="00883E25" w:rsidRDefault="00883E25" w:rsidP="00883E25">
            <w:pPr>
              <w:spacing w:before="0" w:after="0"/>
              <w:jc w:val="center"/>
              <w:rPr>
                <w:rFonts w:eastAsia="Times New Roman"/>
                <w:noProof/>
                <w:color w:val="000000"/>
                <w:sz w:val="18"/>
                <w:szCs w:val="18"/>
                <w:lang w:val="en-IE" w:eastAsia="en-IE"/>
              </w:rPr>
            </w:pPr>
            <w:bookmarkStart w:id="11" w:name="RANGE!C5"/>
            <w:r w:rsidRPr="00883E25">
              <w:rPr>
                <w:rFonts w:eastAsia="Times New Roman"/>
                <w:noProof/>
                <w:color w:val="000000"/>
                <w:sz w:val="18"/>
                <w:szCs w:val="18"/>
                <w:lang w:val="en-IE" w:eastAsia="en-IE"/>
              </w:rPr>
              <w:t>Type</w:t>
            </w:r>
            <w:bookmarkEnd w:id="11"/>
          </w:p>
        </w:tc>
        <w:tc>
          <w:tcPr>
            <w:tcW w:w="290" w:type="pct"/>
            <w:tcBorders>
              <w:top w:val="nil"/>
              <w:left w:val="nil"/>
              <w:bottom w:val="nil"/>
              <w:right w:val="single" w:sz="4" w:space="0" w:color="000000"/>
            </w:tcBorders>
            <w:vAlign w:val="center"/>
            <w:hideMark/>
          </w:tcPr>
          <w:p w14:paraId="5EB9859C"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Average</w:t>
            </w:r>
            <w:r w:rsidRPr="00883E25">
              <w:rPr>
                <w:rFonts w:eastAsia="Times New Roman"/>
                <w:noProof/>
                <w:color w:val="000000"/>
                <w:sz w:val="18"/>
                <w:szCs w:val="18"/>
                <w:lang w:val="en-IE" w:eastAsia="en-IE"/>
              </w:rPr>
              <w:br/>
              <w:t>cost</w:t>
            </w:r>
          </w:p>
        </w:tc>
        <w:tc>
          <w:tcPr>
            <w:tcW w:w="153" w:type="pct"/>
            <w:tcBorders>
              <w:top w:val="nil"/>
              <w:left w:val="nil"/>
              <w:bottom w:val="nil"/>
              <w:right w:val="single" w:sz="4" w:space="0" w:color="000000"/>
            </w:tcBorders>
            <w:noWrap/>
            <w:vAlign w:val="center"/>
            <w:hideMark/>
          </w:tcPr>
          <w:p w14:paraId="0E478B37"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41" w:type="pct"/>
            <w:tcBorders>
              <w:top w:val="nil"/>
              <w:left w:val="nil"/>
              <w:bottom w:val="nil"/>
              <w:right w:val="single" w:sz="4" w:space="0" w:color="000000"/>
            </w:tcBorders>
            <w:noWrap/>
            <w:vAlign w:val="center"/>
            <w:hideMark/>
          </w:tcPr>
          <w:p w14:paraId="69B472C7"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c>
          <w:tcPr>
            <w:tcW w:w="153" w:type="pct"/>
            <w:tcBorders>
              <w:top w:val="nil"/>
              <w:left w:val="nil"/>
              <w:bottom w:val="nil"/>
              <w:right w:val="single" w:sz="4" w:space="0" w:color="000000"/>
            </w:tcBorders>
            <w:noWrap/>
            <w:vAlign w:val="center"/>
            <w:hideMark/>
          </w:tcPr>
          <w:p w14:paraId="4AA4262B"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42" w:type="pct"/>
            <w:tcBorders>
              <w:top w:val="nil"/>
              <w:left w:val="nil"/>
              <w:bottom w:val="nil"/>
              <w:right w:val="single" w:sz="4" w:space="0" w:color="000000"/>
            </w:tcBorders>
            <w:noWrap/>
            <w:vAlign w:val="center"/>
            <w:hideMark/>
          </w:tcPr>
          <w:p w14:paraId="16590C5A"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c>
          <w:tcPr>
            <w:tcW w:w="153" w:type="pct"/>
            <w:tcBorders>
              <w:top w:val="nil"/>
              <w:left w:val="nil"/>
              <w:bottom w:val="nil"/>
              <w:right w:val="single" w:sz="4" w:space="0" w:color="000000"/>
            </w:tcBorders>
            <w:noWrap/>
            <w:vAlign w:val="center"/>
            <w:hideMark/>
          </w:tcPr>
          <w:p w14:paraId="713B8C2B"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42" w:type="pct"/>
            <w:tcBorders>
              <w:top w:val="nil"/>
              <w:left w:val="nil"/>
              <w:bottom w:val="nil"/>
              <w:right w:val="single" w:sz="4" w:space="0" w:color="000000"/>
            </w:tcBorders>
            <w:noWrap/>
            <w:vAlign w:val="center"/>
            <w:hideMark/>
          </w:tcPr>
          <w:p w14:paraId="147D45A9"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c>
          <w:tcPr>
            <w:tcW w:w="153" w:type="pct"/>
            <w:tcBorders>
              <w:top w:val="nil"/>
              <w:left w:val="nil"/>
              <w:bottom w:val="nil"/>
              <w:right w:val="single" w:sz="4" w:space="0" w:color="000000"/>
            </w:tcBorders>
            <w:noWrap/>
            <w:vAlign w:val="center"/>
            <w:hideMark/>
          </w:tcPr>
          <w:p w14:paraId="24E61793"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42" w:type="pct"/>
            <w:tcBorders>
              <w:top w:val="nil"/>
              <w:left w:val="nil"/>
              <w:bottom w:val="nil"/>
              <w:right w:val="single" w:sz="4" w:space="0" w:color="000000"/>
            </w:tcBorders>
            <w:noWrap/>
            <w:vAlign w:val="center"/>
            <w:hideMark/>
          </w:tcPr>
          <w:p w14:paraId="2A231834"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c>
          <w:tcPr>
            <w:tcW w:w="153" w:type="pct"/>
            <w:tcBorders>
              <w:top w:val="nil"/>
              <w:left w:val="nil"/>
              <w:bottom w:val="nil"/>
              <w:right w:val="single" w:sz="4" w:space="0" w:color="000000"/>
            </w:tcBorders>
            <w:noWrap/>
            <w:vAlign w:val="center"/>
            <w:hideMark/>
          </w:tcPr>
          <w:p w14:paraId="1F644667"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42" w:type="pct"/>
            <w:tcBorders>
              <w:top w:val="nil"/>
              <w:left w:val="nil"/>
              <w:bottom w:val="nil"/>
              <w:right w:val="single" w:sz="4" w:space="0" w:color="000000"/>
            </w:tcBorders>
            <w:noWrap/>
            <w:vAlign w:val="center"/>
            <w:hideMark/>
          </w:tcPr>
          <w:p w14:paraId="64EDAA25"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c>
          <w:tcPr>
            <w:tcW w:w="153" w:type="pct"/>
            <w:tcBorders>
              <w:top w:val="nil"/>
              <w:left w:val="nil"/>
              <w:bottom w:val="nil"/>
              <w:right w:val="single" w:sz="4" w:space="0" w:color="000000"/>
            </w:tcBorders>
            <w:noWrap/>
            <w:vAlign w:val="center"/>
            <w:hideMark/>
          </w:tcPr>
          <w:p w14:paraId="0CA52749"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42" w:type="pct"/>
            <w:tcBorders>
              <w:top w:val="nil"/>
              <w:left w:val="nil"/>
              <w:bottom w:val="nil"/>
              <w:right w:val="single" w:sz="4" w:space="0" w:color="000000"/>
            </w:tcBorders>
            <w:noWrap/>
            <w:vAlign w:val="center"/>
            <w:hideMark/>
          </w:tcPr>
          <w:p w14:paraId="36E0C6D4"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c>
          <w:tcPr>
            <w:tcW w:w="153" w:type="pct"/>
            <w:tcBorders>
              <w:top w:val="nil"/>
              <w:left w:val="nil"/>
              <w:bottom w:val="nil"/>
              <w:right w:val="single" w:sz="4" w:space="0" w:color="000000"/>
            </w:tcBorders>
            <w:noWrap/>
            <w:vAlign w:val="center"/>
            <w:hideMark/>
          </w:tcPr>
          <w:p w14:paraId="68388C67"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42" w:type="pct"/>
            <w:tcBorders>
              <w:top w:val="nil"/>
              <w:left w:val="nil"/>
              <w:bottom w:val="nil"/>
              <w:right w:val="single" w:sz="4" w:space="0" w:color="000000"/>
            </w:tcBorders>
            <w:noWrap/>
            <w:vAlign w:val="center"/>
            <w:hideMark/>
          </w:tcPr>
          <w:p w14:paraId="5C6F4001"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c>
          <w:tcPr>
            <w:tcW w:w="153" w:type="pct"/>
            <w:tcBorders>
              <w:top w:val="nil"/>
              <w:left w:val="nil"/>
              <w:bottom w:val="nil"/>
              <w:right w:val="single" w:sz="4" w:space="0" w:color="000000"/>
            </w:tcBorders>
            <w:noWrap/>
            <w:vAlign w:val="center"/>
            <w:hideMark/>
          </w:tcPr>
          <w:p w14:paraId="32F7587B"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42" w:type="pct"/>
            <w:tcBorders>
              <w:top w:val="nil"/>
              <w:left w:val="nil"/>
              <w:bottom w:val="nil"/>
              <w:right w:val="single" w:sz="4" w:space="0" w:color="000000"/>
            </w:tcBorders>
            <w:noWrap/>
            <w:vAlign w:val="center"/>
            <w:hideMark/>
          </w:tcPr>
          <w:p w14:paraId="560A32A9"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c>
          <w:tcPr>
            <w:tcW w:w="153" w:type="pct"/>
            <w:tcBorders>
              <w:top w:val="nil"/>
              <w:left w:val="nil"/>
              <w:bottom w:val="nil"/>
              <w:right w:val="single" w:sz="4" w:space="0" w:color="000000"/>
            </w:tcBorders>
            <w:noWrap/>
            <w:vAlign w:val="center"/>
            <w:hideMark/>
          </w:tcPr>
          <w:p w14:paraId="60465E46"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42" w:type="pct"/>
            <w:tcBorders>
              <w:top w:val="nil"/>
              <w:left w:val="nil"/>
              <w:bottom w:val="nil"/>
              <w:right w:val="single" w:sz="4" w:space="0" w:color="000000"/>
            </w:tcBorders>
            <w:noWrap/>
            <w:vAlign w:val="center"/>
            <w:hideMark/>
          </w:tcPr>
          <w:p w14:paraId="069B9E51"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c>
          <w:tcPr>
            <w:tcW w:w="153" w:type="pct"/>
            <w:tcBorders>
              <w:top w:val="nil"/>
              <w:left w:val="nil"/>
              <w:bottom w:val="nil"/>
              <w:right w:val="single" w:sz="4" w:space="0" w:color="000000"/>
            </w:tcBorders>
            <w:noWrap/>
            <w:vAlign w:val="center"/>
            <w:hideMark/>
          </w:tcPr>
          <w:p w14:paraId="1B1538B5"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No</w:t>
            </w:r>
          </w:p>
        </w:tc>
        <w:tc>
          <w:tcPr>
            <w:tcW w:w="234" w:type="pct"/>
            <w:tcBorders>
              <w:top w:val="nil"/>
              <w:left w:val="nil"/>
              <w:bottom w:val="nil"/>
              <w:right w:val="single" w:sz="8" w:space="0" w:color="000000"/>
            </w:tcBorders>
            <w:noWrap/>
            <w:vAlign w:val="center"/>
            <w:hideMark/>
          </w:tcPr>
          <w:p w14:paraId="182D42D6" w14:textId="77777777" w:rsidR="00883E25" w:rsidRPr="00883E25" w:rsidRDefault="00883E25" w:rsidP="00883E25">
            <w:pPr>
              <w:spacing w:before="0" w:after="0"/>
              <w:jc w:val="center"/>
              <w:rPr>
                <w:rFonts w:eastAsia="Times New Roman"/>
                <w:noProof/>
                <w:color w:val="000000"/>
                <w:sz w:val="18"/>
                <w:szCs w:val="18"/>
                <w:lang w:val="en-IE" w:eastAsia="en-IE"/>
              </w:rPr>
            </w:pPr>
            <w:r w:rsidRPr="00883E25">
              <w:rPr>
                <w:rFonts w:eastAsia="Times New Roman"/>
                <w:noProof/>
                <w:color w:val="000000"/>
                <w:sz w:val="18"/>
                <w:szCs w:val="18"/>
                <w:lang w:val="en-IE" w:eastAsia="en-IE"/>
              </w:rPr>
              <w:t>Cost</w:t>
            </w:r>
          </w:p>
        </w:tc>
      </w:tr>
      <w:tr w:rsidR="00883E25" w:rsidRPr="00883E25" w14:paraId="32C5B506" w14:textId="77777777" w:rsidTr="00411214">
        <w:trPr>
          <w:trHeight w:val="300"/>
        </w:trPr>
        <w:tc>
          <w:tcPr>
            <w:tcW w:w="4218" w:type="pct"/>
            <w:gridSpan w:val="19"/>
            <w:tcBorders>
              <w:top w:val="single" w:sz="4" w:space="0" w:color="000000"/>
              <w:left w:val="single" w:sz="8" w:space="0" w:color="000000"/>
              <w:bottom w:val="single" w:sz="4" w:space="0" w:color="000000"/>
              <w:right w:val="nil"/>
            </w:tcBorders>
            <w:noWrap/>
            <w:vAlign w:val="bottom"/>
            <w:hideMark/>
          </w:tcPr>
          <w:p w14:paraId="42DF58C2" w14:textId="77777777" w:rsidR="00883E25" w:rsidRPr="00883E25" w:rsidRDefault="00883E25" w:rsidP="00883E25">
            <w:pPr>
              <w:spacing w:before="0" w:after="0"/>
              <w:jc w:val="left"/>
              <w:rPr>
                <w:rFonts w:eastAsia="Times New Roman"/>
                <w:noProof/>
                <w:color w:val="000000"/>
                <w:sz w:val="18"/>
                <w:szCs w:val="18"/>
                <w:lang w:val="en-IE" w:eastAsia="en-IE"/>
              </w:rPr>
            </w:pPr>
            <w:bookmarkStart w:id="12" w:name="RANGE!B6"/>
            <w:r w:rsidRPr="00883E25">
              <w:rPr>
                <w:rFonts w:eastAsia="Times New Roman"/>
                <w:noProof/>
                <w:color w:val="000000"/>
                <w:sz w:val="18"/>
                <w:szCs w:val="18"/>
                <w:lang w:val="en-IE" w:eastAsia="en-IE"/>
              </w:rPr>
              <w:t>SPECIFIC OBJECTIVE No 1…</w:t>
            </w:r>
            <w:bookmarkEnd w:id="12"/>
          </w:p>
        </w:tc>
        <w:tc>
          <w:tcPr>
            <w:tcW w:w="153" w:type="pct"/>
            <w:tcBorders>
              <w:top w:val="single" w:sz="4" w:space="0" w:color="000000"/>
              <w:left w:val="nil"/>
              <w:bottom w:val="single" w:sz="4" w:space="0" w:color="000000"/>
              <w:right w:val="nil"/>
            </w:tcBorders>
            <w:noWrap/>
            <w:vAlign w:val="bottom"/>
            <w:hideMark/>
          </w:tcPr>
          <w:p w14:paraId="0D5CDBA1"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42" w:type="pct"/>
            <w:tcBorders>
              <w:top w:val="single" w:sz="4" w:space="0" w:color="000000"/>
              <w:left w:val="nil"/>
              <w:bottom w:val="single" w:sz="4" w:space="0" w:color="000000"/>
              <w:right w:val="nil"/>
            </w:tcBorders>
            <w:noWrap/>
            <w:vAlign w:val="bottom"/>
            <w:hideMark/>
          </w:tcPr>
          <w:p w14:paraId="3E62581A"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153" w:type="pct"/>
            <w:tcBorders>
              <w:top w:val="single" w:sz="4" w:space="0" w:color="000000"/>
              <w:left w:val="nil"/>
              <w:bottom w:val="single" w:sz="4" w:space="0" w:color="000000"/>
              <w:right w:val="nil"/>
            </w:tcBorders>
            <w:noWrap/>
            <w:vAlign w:val="bottom"/>
            <w:hideMark/>
          </w:tcPr>
          <w:p w14:paraId="5DDAA227"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34" w:type="pct"/>
            <w:tcBorders>
              <w:top w:val="single" w:sz="4" w:space="0" w:color="000000"/>
              <w:left w:val="nil"/>
              <w:bottom w:val="single" w:sz="4" w:space="0" w:color="000000"/>
              <w:right w:val="single" w:sz="8" w:space="0" w:color="000000"/>
            </w:tcBorders>
            <w:noWrap/>
            <w:vAlign w:val="bottom"/>
            <w:hideMark/>
          </w:tcPr>
          <w:p w14:paraId="278BA1AA"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r>
      <w:tr w:rsidR="00883E25" w:rsidRPr="00883E25" w14:paraId="004DA23F"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65BE7ED8"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Output</w:t>
            </w:r>
          </w:p>
        </w:tc>
        <w:tc>
          <w:tcPr>
            <w:tcW w:w="209" w:type="pct"/>
            <w:tcBorders>
              <w:top w:val="nil"/>
              <w:left w:val="nil"/>
              <w:bottom w:val="single" w:sz="4" w:space="0" w:color="000000"/>
              <w:right w:val="single" w:sz="4" w:space="0" w:color="000000"/>
            </w:tcBorders>
            <w:noWrap/>
            <w:vAlign w:val="bottom"/>
            <w:hideMark/>
          </w:tcPr>
          <w:p w14:paraId="5815123D"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90" w:type="pct"/>
            <w:tcBorders>
              <w:top w:val="nil"/>
              <w:left w:val="nil"/>
              <w:bottom w:val="single" w:sz="4" w:space="0" w:color="000000"/>
              <w:right w:val="single" w:sz="4" w:space="0" w:color="000000"/>
            </w:tcBorders>
            <w:noWrap/>
            <w:vAlign w:val="bottom"/>
            <w:hideMark/>
          </w:tcPr>
          <w:p w14:paraId="3B698BF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5B2B92D1"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1" w:type="pct"/>
            <w:tcBorders>
              <w:top w:val="nil"/>
              <w:left w:val="nil"/>
              <w:bottom w:val="single" w:sz="4" w:space="0" w:color="000000"/>
              <w:right w:val="single" w:sz="4" w:space="0" w:color="000000"/>
            </w:tcBorders>
            <w:noWrap/>
            <w:vAlign w:val="bottom"/>
            <w:hideMark/>
          </w:tcPr>
          <w:p w14:paraId="31AC4115"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38497E5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7680ED40"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4B1AB70C"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AED1881"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54D2023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17AB499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21336214"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4B465788"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6498D412"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60CA44F"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3E08488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ED28CF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4E762B6E"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66CFD0B"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noWrap/>
            <w:vAlign w:val="bottom"/>
            <w:hideMark/>
          </w:tcPr>
          <w:p w14:paraId="3E345FEB"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42" w:type="pct"/>
            <w:tcBorders>
              <w:top w:val="nil"/>
              <w:left w:val="nil"/>
              <w:bottom w:val="single" w:sz="4" w:space="0" w:color="000000"/>
              <w:right w:val="nil"/>
            </w:tcBorders>
            <w:noWrap/>
            <w:vAlign w:val="bottom"/>
            <w:hideMark/>
          </w:tcPr>
          <w:p w14:paraId="7A509ACD"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153" w:type="pct"/>
            <w:tcBorders>
              <w:top w:val="nil"/>
              <w:left w:val="single" w:sz="4" w:space="0" w:color="000000"/>
              <w:bottom w:val="single" w:sz="4" w:space="0" w:color="000000"/>
              <w:right w:val="single" w:sz="4" w:space="0" w:color="000000"/>
            </w:tcBorders>
            <w:shd w:val="clear" w:color="000000" w:fill="F2F2F2"/>
            <w:noWrap/>
            <w:vAlign w:val="bottom"/>
            <w:hideMark/>
          </w:tcPr>
          <w:p w14:paraId="014FA1EA"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67032FCC"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r>
      <w:tr w:rsidR="00883E25" w:rsidRPr="00883E25" w14:paraId="4094D5FD"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3D55F080"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Output</w:t>
            </w:r>
          </w:p>
        </w:tc>
        <w:tc>
          <w:tcPr>
            <w:tcW w:w="209" w:type="pct"/>
            <w:tcBorders>
              <w:top w:val="nil"/>
              <w:left w:val="nil"/>
              <w:bottom w:val="single" w:sz="4" w:space="0" w:color="000000"/>
              <w:right w:val="single" w:sz="4" w:space="0" w:color="000000"/>
            </w:tcBorders>
            <w:noWrap/>
            <w:vAlign w:val="bottom"/>
            <w:hideMark/>
          </w:tcPr>
          <w:p w14:paraId="24F83F6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90" w:type="pct"/>
            <w:tcBorders>
              <w:top w:val="nil"/>
              <w:left w:val="nil"/>
              <w:bottom w:val="single" w:sz="4" w:space="0" w:color="000000"/>
              <w:right w:val="single" w:sz="4" w:space="0" w:color="000000"/>
            </w:tcBorders>
            <w:noWrap/>
            <w:vAlign w:val="bottom"/>
            <w:hideMark/>
          </w:tcPr>
          <w:p w14:paraId="62A47581"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5A3CCD1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1" w:type="pct"/>
            <w:tcBorders>
              <w:top w:val="nil"/>
              <w:left w:val="nil"/>
              <w:bottom w:val="single" w:sz="4" w:space="0" w:color="000000"/>
              <w:right w:val="single" w:sz="4" w:space="0" w:color="000000"/>
            </w:tcBorders>
            <w:noWrap/>
            <w:vAlign w:val="bottom"/>
            <w:hideMark/>
          </w:tcPr>
          <w:p w14:paraId="69942B5D"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74508A57"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0D8199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0D5AF54D"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758141F8"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7ACCAD5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1923ED1B"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124BE55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04A963B1"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71623C2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60AB004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1B37A3A7"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408E060D"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238AE609"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2A79B6C"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noWrap/>
            <w:vAlign w:val="bottom"/>
            <w:hideMark/>
          </w:tcPr>
          <w:p w14:paraId="130241E6"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42" w:type="pct"/>
            <w:tcBorders>
              <w:top w:val="nil"/>
              <w:left w:val="nil"/>
              <w:bottom w:val="single" w:sz="4" w:space="0" w:color="000000"/>
              <w:right w:val="single" w:sz="4" w:space="0" w:color="000000"/>
            </w:tcBorders>
            <w:noWrap/>
            <w:vAlign w:val="bottom"/>
            <w:hideMark/>
          </w:tcPr>
          <w:p w14:paraId="58A6C8DA"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11744B29"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35740FF4"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r>
      <w:tr w:rsidR="00883E25" w:rsidRPr="00883E25" w14:paraId="3CDBC15B"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28E2164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Output</w:t>
            </w:r>
          </w:p>
        </w:tc>
        <w:tc>
          <w:tcPr>
            <w:tcW w:w="209" w:type="pct"/>
            <w:tcBorders>
              <w:top w:val="nil"/>
              <w:left w:val="nil"/>
              <w:bottom w:val="single" w:sz="4" w:space="0" w:color="000000"/>
              <w:right w:val="single" w:sz="4" w:space="0" w:color="000000"/>
            </w:tcBorders>
            <w:noWrap/>
            <w:vAlign w:val="bottom"/>
            <w:hideMark/>
          </w:tcPr>
          <w:p w14:paraId="047DE46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90" w:type="pct"/>
            <w:tcBorders>
              <w:top w:val="nil"/>
              <w:left w:val="nil"/>
              <w:bottom w:val="single" w:sz="4" w:space="0" w:color="000000"/>
              <w:right w:val="single" w:sz="4" w:space="0" w:color="000000"/>
            </w:tcBorders>
            <w:noWrap/>
            <w:vAlign w:val="bottom"/>
            <w:hideMark/>
          </w:tcPr>
          <w:p w14:paraId="6CAF52B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1D057C38"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1" w:type="pct"/>
            <w:tcBorders>
              <w:top w:val="nil"/>
              <w:left w:val="nil"/>
              <w:bottom w:val="single" w:sz="4" w:space="0" w:color="000000"/>
              <w:right w:val="single" w:sz="4" w:space="0" w:color="000000"/>
            </w:tcBorders>
            <w:noWrap/>
            <w:vAlign w:val="bottom"/>
            <w:hideMark/>
          </w:tcPr>
          <w:p w14:paraId="767B314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6F1F69A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23262B3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0A552305"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7F2D2D36"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032C6BE1"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A334292"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7B8DBED8"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07DF5337"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1D882A71"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0BD0F324"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6A0C677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78EB4E8C"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763141C6"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5AB53EF1"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noWrap/>
            <w:vAlign w:val="bottom"/>
            <w:hideMark/>
          </w:tcPr>
          <w:p w14:paraId="763C80AF"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42" w:type="pct"/>
            <w:tcBorders>
              <w:top w:val="nil"/>
              <w:left w:val="nil"/>
              <w:bottom w:val="single" w:sz="4" w:space="0" w:color="000000"/>
              <w:right w:val="single" w:sz="4" w:space="0" w:color="000000"/>
            </w:tcBorders>
            <w:noWrap/>
            <w:vAlign w:val="bottom"/>
            <w:hideMark/>
          </w:tcPr>
          <w:p w14:paraId="0A21B150"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499C07BA"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01E15738"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r>
      <w:tr w:rsidR="00883E25" w:rsidRPr="00883E25" w14:paraId="73CC555F" w14:textId="77777777" w:rsidTr="00411214">
        <w:trPr>
          <w:trHeight w:val="300"/>
        </w:trPr>
        <w:tc>
          <w:tcPr>
            <w:tcW w:w="1059" w:type="pct"/>
            <w:gridSpan w:val="3"/>
            <w:tcBorders>
              <w:top w:val="single" w:sz="4" w:space="0" w:color="000000"/>
              <w:left w:val="single" w:sz="8" w:space="0" w:color="000000"/>
              <w:bottom w:val="single" w:sz="4" w:space="0" w:color="000000"/>
              <w:right w:val="single" w:sz="4" w:space="0" w:color="000000"/>
            </w:tcBorders>
            <w:noWrap/>
            <w:vAlign w:val="bottom"/>
            <w:hideMark/>
          </w:tcPr>
          <w:p w14:paraId="55959ADF"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Subtotal for specific objective No 1</w:t>
            </w:r>
          </w:p>
        </w:tc>
        <w:tc>
          <w:tcPr>
            <w:tcW w:w="153" w:type="pct"/>
            <w:tcBorders>
              <w:top w:val="nil"/>
              <w:left w:val="nil"/>
              <w:bottom w:val="single" w:sz="4" w:space="0" w:color="000000"/>
              <w:right w:val="single" w:sz="4" w:space="0" w:color="000000"/>
            </w:tcBorders>
            <w:shd w:val="clear" w:color="000000" w:fill="F2F2F2"/>
            <w:noWrap/>
            <w:vAlign w:val="bottom"/>
            <w:hideMark/>
          </w:tcPr>
          <w:p w14:paraId="6763538C"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1" w:type="pct"/>
            <w:tcBorders>
              <w:top w:val="nil"/>
              <w:left w:val="nil"/>
              <w:bottom w:val="single" w:sz="4" w:space="0" w:color="000000"/>
              <w:right w:val="single" w:sz="4" w:space="0" w:color="000000"/>
            </w:tcBorders>
            <w:shd w:val="clear" w:color="000000" w:fill="F2F2F2"/>
            <w:noWrap/>
            <w:vAlign w:val="bottom"/>
            <w:hideMark/>
          </w:tcPr>
          <w:p w14:paraId="68890955"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6C37FC29"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AD19B85"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16480314"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3AACDDC"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2AA86895"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19C0F90B"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1B1ED777"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093CBA1D"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79BCA1C1"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5496644B"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289282C4"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17AF53CD"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C2E9499"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207831A"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553D6E43"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0BBD6CF"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12C8E34"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155833EA"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r>
      <w:tr w:rsidR="00883E25" w:rsidRPr="00883E25" w14:paraId="22B8B895" w14:textId="77777777" w:rsidTr="00411214">
        <w:trPr>
          <w:trHeight w:val="300"/>
        </w:trPr>
        <w:tc>
          <w:tcPr>
            <w:tcW w:w="4218" w:type="pct"/>
            <w:gridSpan w:val="19"/>
            <w:tcBorders>
              <w:top w:val="single" w:sz="4" w:space="0" w:color="000000"/>
              <w:left w:val="single" w:sz="8" w:space="0" w:color="000000"/>
              <w:bottom w:val="single" w:sz="4" w:space="0" w:color="000000"/>
              <w:right w:val="single" w:sz="4" w:space="0" w:color="000000"/>
            </w:tcBorders>
            <w:noWrap/>
            <w:vAlign w:val="bottom"/>
            <w:hideMark/>
          </w:tcPr>
          <w:p w14:paraId="00F414A7"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SPECIFIC OBJECTIVE No 2 ...</w:t>
            </w:r>
          </w:p>
        </w:tc>
        <w:tc>
          <w:tcPr>
            <w:tcW w:w="153" w:type="pct"/>
            <w:tcBorders>
              <w:top w:val="nil"/>
              <w:left w:val="nil"/>
              <w:bottom w:val="single" w:sz="4" w:space="0" w:color="000000"/>
              <w:right w:val="nil"/>
            </w:tcBorders>
            <w:noWrap/>
            <w:vAlign w:val="bottom"/>
            <w:hideMark/>
          </w:tcPr>
          <w:p w14:paraId="2EC8F6F4"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42" w:type="pct"/>
            <w:tcBorders>
              <w:top w:val="nil"/>
              <w:left w:val="nil"/>
              <w:bottom w:val="single" w:sz="4" w:space="0" w:color="000000"/>
              <w:right w:val="nil"/>
            </w:tcBorders>
            <w:noWrap/>
            <w:vAlign w:val="bottom"/>
            <w:hideMark/>
          </w:tcPr>
          <w:p w14:paraId="6EB6AF87"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153" w:type="pct"/>
            <w:tcBorders>
              <w:top w:val="nil"/>
              <w:left w:val="nil"/>
              <w:bottom w:val="single" w:sz="4" w:space="0" w:color="000000"/>
              <w:right w:val="nil"/>
            </w:tcBorders>
            <w:noWrap/>
            <w:vAlign w:val="bottom"/>
            <w:hideMark/>
          </w:tcPr>
          <w:p w14:paraId="7178BEEB"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c>
          <w:tcPr>
            <w:tcW w:w="234" w:type="pct"/>
            <w:tcBorders>
              <w:top w:val="nil"/>
              <w:left w:val="nil"/>
              <w:bottom w:val="single" w:sz="4" w:space="0" w:color="000000"/>
              <w:right w:val="single" w:sz="8" w:space="0" w:color="000000"/>
            </w:tcBorders>
            <w:noWrap/>
            <w:vAlign w:val="bottom"/>
            <w:hideMark/>
          </w:tcPr>
          <w:p w14:paraId="4041431E" w14:textId="77777777" w:rsidR="00883E25" w:rsidRPr="00883E25" w:rsidRDefault="00883E25" w:rsidP="00883E25">
            <w:pPr>
              <w:spacing w:before="0" w:after="0"/>
              <w:jc w:val="left"/>
              <w:rPr>
                <w:rFonts w:ascii="Calibri" w:eastAsia="Times New Roman" w:hAnsi="Calibri" w:cs="Calibri"/>
                <w:noProof/>
                <w:color w:val="000000"/>
                <w:sz w:val="22"/>
                <w:lang w:val="en-IE" w:eastAsia="en-IE"/>
              </w:rPr>
            </w:pPr>
            <w:r w:rsidRPr="00883E25">
              <w:rPr>
                <w:rFonts w:ascii="Calibri" w:eastAsia="Times New Roman" w:hAnsi="Calibri" w:cs="Calibri"/>
                <w:noProof/>
                <w:color w:val="000000"/>
                <w:sz w:val="22"/>
                <w:lang w:val="en-IE" w:eastAsia="en-IE"/>
              </w:rPr>
              <w:t> </w:t>
            </w:r>
          </w:p>
        </w:tc>
      </w:tr>
      <w:tr w:rsidR="00883E25" w:rsidRPr="00883E25" w14:paraId="76818A41"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238DE81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Output</w:t>
            </w:r>
          </w:p>
        </w:tc>
        <w:tc>
          <w:tcPr>
            <w:tcW w:w="209" w:type="pct"/>
            <w:tcBorders>
              <w:top w:val="nil"/>
              <w:left w:val="nil"/>
              <w:bottom w:val="single" w:sz="4" w:space="0" w:color="000000"/>
              <w:right w:val="single" w:sz="4" w:space="0" w:color="000000"/>
            </w:tcBorders>
            <w:noWrap/>
            <w:vAlign w:val="bottom"/>
            <w:hideMark/>
          </w:tcPr>
          <w:p w14:paraId="160CE05F"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90" w:type="pct"/>
            <w:tcBorders>
              <w:top w:val="nil"/>
              <w:left w:val="nil"/>
              <w:bottom w:val="single" w:sz="4" w:space="0" w:color="000000"/>
              <w:right w:val="single" w:sz="4" w:space="0" w:color="000000"/>
            </w:tcBorders>
            <w:noWrap/>
            <w:vAlign w:val="bottom"/>
            <w:hideMark/>
          </w:tcPr>
          <w:p w14:paraId="07084A3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6414188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1" w:type="pct"/>
            <w:tcBorders>
              <w:top w:val="nil"/>
              <w:left w:val="nil"/>
              <w:bottom w:val="single" w:sz="4" w:space="0" w:color="000000"/>
              <w:right w:val="single" w:sz="4" w:space="0" w:color="000000"/>
            </w:tcBorders>
            <w:noWrap/>
            <w:vAlign w:val="bottom"/>
            <w:hideMark/>
          </w:tcPr>
          <w:p w14:paraId="71FE49EF"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436753E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6E0B9FE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4F028E4D"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301A061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7168DD06"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EF41741"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552CFDF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3A18C9E6"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6406411D"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EFCD717"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24D47A3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0661D9F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72F48D5B"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ADFE315"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noWrap/>
            <w:vAlign w:val="bottom"/>
            <w:hideMark/>
          </w:tcPr>
          <w:p w14:paraId="6A175C64"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1D405846"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48873724"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065B4563"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r>
      <w:tr w:rsidR="00883E25" w:rsidRPr="00883E25" w14:paraId="15C42A86"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62A1CEA8"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Output</w:t>
            </w:r>
          </w:p>
        </w:tc>
        <w:tc>
          <w:tcPr>
            <w:tcW w:w="209" w:type="pct"/>
            <w:tcBorders>
              <w:top w:val="nil"/>
              <w:left w:val="nil"/>
              <w:bottom w:val="single" w:sz="4" w:space="0" w:color="000000"/>
              <w:right w:val="single" w:sz="4" w:space="0" w:color="000000"/>
            </w:tcBorders>
            <w:noWrap/>
            <w:vAlign w:val="bottom"/>
            <w:hideMark/>
          </w:tcPr>
          <w:p w14:paraId="7481E45C"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90" w:type="pct"/>
            <w:tcBorders>
              <w:top w:val="nil"/>
              <w:left w:val="nil"/>
              <w:bottom w:val="single" w:sz="4" w:space="0" w:color="000000"/>
              <w:right w:val="single" w:sz="4" w:space="0" w:color="000000"/>
            </w:tcBorders>
            <w:noWrap/>
            <w:vAlign w:val="bottom"/>
            <w:hideMark/>
          </w:tcPr>
          <w:p w14:paraId="36229BC0"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68BDF82D"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1" w:type="pct"/>
            <w:tcBorders>
              <w:top w:val="nil"/>
              <w:left w:val="nil"/>
              <w:bottom w:val="single" w:sz="4" w:space="0" w:color="000000"/>
              <w:right w:val="single" w:sz="4" w:space="0" w:color="000000"/>
            </w:tcBorders>
            <w:noWrap/>
            <w:vAlign w:val="bottom"/>
            <w:hideMark/>
          </w:tcPr>
          <w:p w14:paraId="5AE6D7F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64F84E6F"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24E5F681"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252E8835"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052C2ED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0B0D18C4"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107BCEF4"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78BF1F82"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728B942"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5057FCB5"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A867C86"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7464198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3F349C7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6062AF08"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44E1BC25"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noWrap/>
            <w:vAlign w:val="bottom"/>
            <w:hideMark/>
          </w:tcPr>
          <w:p w14:paraId="22FBA30C"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2AAAC167"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73CA4F2D"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334C6B7B"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r>
      <w:tr w:rsidR="00883E25" w:rsidRPr="00883E25" w14:paraId="4FD55AF8"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21A00C2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Output</w:t>
            </w:r>
          </w:p>
        </w:tc>
        <w:tc>
          <w:tcPr>
            <w:tcW w:w="209" w:type="pct"/>
            <w:tcBorders>
              <w:top w:val="nil"/>
              <w:left w:val="nil"/>
              <w:bottom w:val="single" w:sz="4" w:space="0" w:color="000000"/>
              <w:right w:val="single" w:sz="4" w:space="0" w:color="000000"/>
            </w:tcBorders>
            <w:noWrap/>
            <w:vAlign w:val="bottom"/>
            <w:hideMark/>
          </w:tcPr>
          <w:p w14:paraId="14000EB7"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90" w:type="pct"/>
            <w:tcBorders>
              <w:top w:val="nil"/>
              <w:left w:val="nil"/>
              <w:bottom w:val="single" w:sz="4" w:space="0" w:color="000000"/>
              <w:right w:val="single" w:sz="4" w:space="0" w:color="000000"/>
            </w:tcBorders>
            <w:noWrap/>
            <w:vAlign w:val="bottom"/>
            <w:hideMark/>
          </w:tcPr>
          <w:p w14:paraId="61413954"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1E4123DC"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1" w:type="pct"/>
            <w:tcBorders>
              <w:top w:val="nil"/>
              <w:left w:val="nil"/>
              <w:bottom w:val="single" w:sz="4" w:space="0" w:color="000000"/>
              <w:right w:val="single" w:sz="4" w:space="0" w:color="000000"/>
            </w:tcBorders>
            <w:noWrap/>
            <w:vAlign w:val="bottom"/>
            <w:hideMark/>
          </w:tcPr>
          <w:p w14:paraId="44096851"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37F3CA8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1EACCA53"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65DA979C"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0DF72420"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5D319B0B"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5315D068"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06E916B4"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3718A09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46D60A0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1C4BF02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noWrap/>
            <w:vAlign w:val="bottom"/>
            <w:hideMark/>
          </w:tcPr>
          <w:p w14:paraId="28491629"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16E3DE64"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3ED75E59"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74B42C3"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noWrap/>
            <w:vAlign w:val="bottom"/>
            <w:hideMark/>
          </w:tcPr>
          <w:p w14:paraId="4D4D2927"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242" w:type="pct"/>
            <w:tcBorders>
              <w:top w:val="nil"/>
              <w:left w:val="nil"/>
              <w:bottom w:val="single" w:sz="4" w:space="0" w:color="000000"/>
              <w:right w:val="single" w:sz="4" w:space="0" w:color="000000"/>
            </w:tcBorders>
            <w:noWrap/>
            <w:vAlign w:val="bottom"/>
            <w:hideMark/>
          </w:tcPr>
          <w:p w14:paraId="24308FBE"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 </w:t>
            </w:r>
          </w:p>
        </w:tc>
        <w:tc>
          <w:tcPr>
            <w:tcW w:w="153" w:type="pct"/>
            <w:tcBorders>
              <w:top w:val="nil"/>
              <w:left w:val="nil"/>
              <w:bottom w:val="single" w:sz="4" w:space="0" w:color="000000"/>
              <w:right w:val="single" w:sz="4" w:space="0" w:color="000000"/>
            </w:tcBorders>
            <w:shd w:val="clear" w:color="000000" w:fill="F2F2F2"/>
            <w:noWrap/>
            <w:vAlign w:val="bottom"/>
            <w:hideMark/>
          </w:tcPr>
          <w:p w14:paraId="760725F1"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0B47780E"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r>
      <w:tr w:rsidR="00883E25" w:rsidRPr="00883E25" w14:paraId="25BB76E3" w14:textId="77777777" w:rsidTr="00411214">
        <w:trPr>
          <w:trHeight w:val="300"/>
        </w:trPr>
        <w:tc>
          <w:tcPr>
            <w:tcW w:w="1059" w:type="pct"/>
            <w:gridSpan w:val="3"/>
            <w:tcBorders>
              <w:top w:val="single" w:sz="4" w:space="0" w:color="000000"/>
              <w:left w:val="single" w:sz="8" w:space="0" w:color="000000"/>
              <w:bottom w:val="single" w:sz="4" w:space="0" w:color="000000"/>
              <w:right w:val="single" w:sz="4" w:space="0" w:color="000000"/>
            </w:tcBorders>
            <w:noWrap/>
            <w:vAlign w:val="bottom"/>
            <w:hideMark/>
          </w:tcPr>
          <w:p w14:paraId="470FCA8A" w14:textId="77777777" w:rsidR="00883E25" w:rsidRPr="00883E25" w:rsidRDefault="00883E25" w:rsidP="00883E25">
            <w:pPr>
              <w:spacing w:before="0" w:after="0"/>
              <w:jc w:val="left"/>
              <w:rPr>
                <w:rFonts w:eastAsia="Times New Roman"/>
                <w:noProof/>
                <w:color w:val="000000"/>
                <w:sz w:val="18"/>
                <w:szCs w:val="18"/>
                <w:lang w:val="en-IE" w:eastAsia="en-IE"/>
              </w:rPr>
            </w:pPr>
            <w:r w:rsidRPr="00883E25">
              <w:rPr>
                <w:rFonts w:eastAsia="Times New Roman"/>
                <w:noProof/>
                <w:color w:val="000000"/>
                <w:sz w:val="18"/>
                <w:szCs w:val="18"/>
                <w:lang w:val="en-IE" w:eastAsia="en-IE"/>
              </w:rPr>
              <w:t>Subtotal for specific objective No 2</w:t>
            </w:r>
          </w:p>
        </w:tc>
        <w:tc>
          <w:tcPr>
            <w:tcW w:w="153" w:type="pct"/>
            <w:tcBorders>
              <w:top w:val="nil"/>
              <w:left w:val="nil"/>
              <w:bottom w:val="single" w:sz="4" w:space="0" w:color="000000"/>
              <w:right w:val="single" w:sz="4" w:space="0" w:color="000000"/>
            </w:tcBorders>
            <w:shd w:val="clear" w:color="000000" w:fill="F2F2F2"/>
            <w:noWrap/>
            <w:vAlign w:val="bottom"/>
            <w:hideMark/>
          </w:tcPr>
          <w:p w14:paraId="43D9DFEE"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1" w:type="pct"/>
            <w:tcBorders>
              <w:top w:val="nil"/>
              <w:left w:val="nil"/>
              <w:bottom w:val="single" w:sz="4" w:space="0" w:color="000000"/>
              <w:right w:val="single" w:sz="4" w:space="0" w:color="000000"/>
            </w:tcBorders>
            <w:shd w:val="clear" w:color="000000" w:fill="F2F2F2"/>
            <w:noWrap/>
            <w:vAlign w:val="bottom"/>
            <w:hideMark/>
          </w:tcPr>
          <w:p w14:paraId="18709876"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295A908"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2825A4B"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4DCEC689"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10A36710"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67B59CDD"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D4FB223"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571B91D"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6D7638D"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70130624"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4DF7ED4"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2D114649"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0AC22C00"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561EA86E"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71307925"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6BA483F0"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1668600"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752F728E"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384AB982"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r>
      <w:tr w:rsidR="00883E25" w:rsidRPr="00883E25" w14:paraId="46DDFAC3" w14:textId="77777777" w:rsidTr="00411214">
        <w:trPr>
          <w:trHeight w:val="300"/>
        </w:trPr>
        <w:tc>
          <w:tcPr>
            <w:tcW w:w="1059" w:type="pct"/>
            <w:gridSpan w:val="3"/>
            <w:tcBorders>
              <w:top w:val="single" w:sz="4" w:space="0" w:color="000000"/>
              <w:left w:val="single" w:sz="8" w:space="0" w:color="000000"/>
              <w:bottom w:val="single" w:sz="8" w:space="0" w:color="000000"/>
              <w:right w:val="single" w:sz="4" w:space="0" w:color="000000"/>
            </w:tcBorders>
            <w:noWrap/>
            <w:vAlign w:val="bottom"/>
            <w:hideMark/>
          </w:tcPr>
          <w:p w14:paraId="23CCA0F5" w14:textId="77777777" w:rsidR="00883E25" w:rsidRPr="00883E25" w:rsidRDefault="00883E25" w:rsidP="00883E25">
            <w:pPr>
              <w:spacing w:before="0" w:after="0"/>
              <w:jc w:val="lef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TOTALS</w:t>
            </w:r>
          </w:p>
        </w:tc>
        <w:tc>
          <w:tcPr>
            <w:tcW w:w="153" w:type="pct"/>
            <w:tcBorders>
              <w:top w:val="nil"/>
              <w:left w:val="nil"/>
              <w:bottom w:val="single" w:sz="8" w:space="0" w:color="000000"/>
              <w:right w:val="single" w:sz="4" w:space="0" w:color="000000"/>
            </w:tcBorders>
            <w:shd w:val="clear" w:color="000000" w:fill="F2F2F2"/>
            <w:noWrap/>
            <w:vAlign w:val="bottom"/>
            <w:hideMark/>
          </w:tcPr>
          <w:p w14:paraId="7C479D35"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1" w:type="pct"/>
            <w:tcBorders>
              <w:top w:val="nil"/>
              <w:left w:val="nil"/>
              <w:bottom w:val="single" w:sz="8" w:space="0" w:color="000000"/>
              <w:right w:val="single" w:sz="4" w:space="0" w:color="000000"/>
            </w:tcBorders>
            <w:shd w:val="clear" w:color="000000" w:fill="F2F2F2"/>
            <w:noWrap/>
            <w:vAlign w:val="bottom"/>
            <w:hideMark/>
          </w:tcPr>
          <w:p w14:paraId="62670206"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24C57F1E"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47AA5AB2"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6D662C5D"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03C0D37D"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177E24E0"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5D595D45"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485C0D3D"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0E74A997"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2C9AC3D3"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48573172"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5410BA4E"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20C81EA6"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384C97C1"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6D668B98"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1206472C"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15E52DB1"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14169673"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w:t>
            </w:r>
          </w:p>
        </w:tc>
        <w:tc>
          <w:tcPr>
            <w:tcW w:w="234" w:type="pct"/>
            <w:tcBorders>
              <w:top w:val="nil"/>
              <w:left w:val="nil"/>
              <w:bottom w:val="single" w:sz="8" w:space="0" w:color="000000"/>
              <w:right w:val="single" w:sz="8" w:space="0" w:color="000000"/>
            </w:tcBorders>
            <w:shd w:val="clear" w:color="000000" w:fill="F2F2F2"/>
            <w:noWrap/>
            <w:vAlign w:val="bottom"/>
            <w:hideMark/>
          </w:tcPr>
          <w:p w14:paraId="419687A1" w14:textId="77777777" w:rsidR="00883E25" w:rsidRPr="00883E25" w:rsidRDefault="00883E25" w:rsidP="00883E25">
            <w:pPr>
              <w:spacing w:before="0" w:after="0"/>
              <w:jc w:val="right"/>
              <w:rPr>
                <w:rFonts w:eastAsia="Times New Roman"/>
                <w:b/>
                <w:bCs/>
                <w:noProof/>
                <w:color w:val="000000"/>
                <w:sz w:val="18"/>
                <w:szCs w:val="18"/>
                <w:lang w:val="en-IE" w:eastAsia="en-IE"/>
              </w:rPr>
            </w:pPr>
            <w:r w:rsidRPr="00883E25">
              <w:rPr>
                <w:rFonts w:eastAsia="Times New Roman"/>
                <w:b/>
                <w:bCs/>
                <w:noProof/>
                <w:color w:val="000000"/>
                <w:sz w:val="18"/>
                <w:szCs w:val="18"/>
                <w:lang w:val="en-IE" w:eastAsia="en-IE"/>
              </w:rPr>
              <w:t>0.000</w:t>
            </w:r>
          </w:p>
        </w:tc>
      </w:tr>
    </w:tbl>
    <w:p w14:paraId="4CE9EB6C" w14:textId="77777777" w:rsidR="00CA7C31" w:rsidRPr="00AD21FF" w:rsidRDefault="00CA7C31" w:rsidP="00CA7C31">
      <w:pPr>
        <w:rPr>
          <w:noProof/>
        </w:rPr>
        <w:sectPr w:rsidR="00CA7C31" w:rsidRPr="00AD21FF" w:rsidSect="00052996">
          <w:headerReference w:type="default" r:id="rId24"/>
          <w:footerReference w:type="default" r:id="rId25"/>
          <w:pgSz w:w="16840" w:h="11907" w:orient="landscape" w:code="9"/>
          <w:pgMar w:top="1134" w:right="1418" w:bottom="567" w:left="1418" w:header="709" w:footer="709" w:gutter="0"/>
          <w:cols w:space="708"/>
          <w:docGrid w:linePitch="360"/>
        </w:sectPr>
      </w:pPr>
    </w:p>
    <w:p w14:paraId="44F96D3E" w14:textId="77777777" w:rsidR="00CA7C31" w:rsidRPr="00AD21FF" w:rsidRDefault="00CA7C31" w:rsidP="00CA7C31">
      <w:pPr>
        <w:pStyle w:val="ManualHeading3"/>
        <w:rPr>
          <w:bCs/>
          <w:noProof/>
          <w:szCs w:val="24"/>
        </w:rPr>
      </w:pPr>
      <w:r w:rsidRPr="00AD21FF">
        <w:rPr>
          <w:noProof/>
        </w:rPr>
        <w:t>3.2.3.</w:t>
      </w:r>
      <w:r w:rsidRPr="00AD21FF">
        <w:rPr>
          <w:noProof/>
        </w:rPr>
        <w:tab/>
        <w:t xml:space="preserve">Summary of estimated impact on administrative appropriations </w:t>
      </w:r>
    </w:p>
    <w:p w14:paraId="2FE0C9A7"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 xml:space="preserve">The proposal/initiative does not require the use of appropriations of an administrative nature </w:t>
      </w:r>
    </w:p>
    <w:p w14:paraId="5DA4D53F"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The proposal/initiative requires the use of appropriations of an administrative nature, as explained below</w:t>
      </w:r>
    </w:p>
    <w:p w14:paraId="1795B9F7" w14:textId="77777777" w:rsidR="00CA7C31" w:rsidRDefault="00CA7C31" w:rsidP="00CA7C31">
      <w:pPr>
        <w:pStyle w:val="ManualHeading3"/>
        <w:rPr>
          <w:noProof/>
        </w:rPr>
      </w:pPr>
      <w:r w:rsidRPr="00AD21FF">
        <w:rPr>
          <w:noProof/>
        </w:rPr>
        <w:t xml:space="preserve">3.2.3.1. Appropriations </w:t>
      </w:r>
      <w:r w:rsidRPr="00AD21FF">
        <w:rPr>
          <w:rFonts w:eastAsia="Calibri"/>
          <w:noProof/>
        </w:rPr>
        <w:t>from</w:t>
      </w:r>
      <w:r w:rsidRPr="00AD21FF">
        <w:rPr>
          <w:noProof/>
        </w:rPr>
        <w:t xml:space="preserve"> voted budget</w:t>
      </w:r>
    </w:p>
    <w:p w14:paraId="660BF7AB" w14:textId="77777777" w:rsidR="006163BD" w:rsidRPr="006163BD" w:rsidRDefault="006163BD" w:rsidP="006163BD">
      <w:pPr>
        <w:jc w:val="right"/>
        <w:rPr>
          <w:noProof/>
        </w:rPr>
      </w:pPr>
      <w:r w:rsidRPr="00AD21FF">
        <w:rPr>
          <w:noProof/>
          <w:sz w:val="20"/>
        </w:rPr>
        <w:t>EUR million (to three decimal places)</w:t>
      </w:r>
    </w:p>
    <w:tbl>
      <w:tblPr>
        <w:tblW w:w="5000" w:type="pct"/>
        <w:tblLook w:val="04A0" w:firstRow="1" w:lastRow="0" w:firstColumn="1" w:lastColumn="0" w:noHBand="0" w:noVBand="1"/>
      </w:tblPr>
      <w:tblGrid>
        <w:gridCol w:w="3586"/>
        <w:gridCol w:w="914"/>
        <w:gridCol w:w="914"/>
        <w:gridCol w:w="914"/>
        <w:gridCol w:w="914"/>
        <w:gridCol w:w="1023"/>
        <w:gridCol w:w="1022"/>
      </w:tblGrid>
      <w:tr w:rsidR="008505AC" w:rsidRPr="00AD21FF" w14:paraId="5B36BE01" w14:textId="77777777">
        <w:trPr>
          <w:trHeight w:val="300"/>
        </w:trPr>
        <w:tc>
          <w:tcPr>
            <w:tcW w:w="1931" w:type="pct"/>
            <w:vMerge w:val="restart"/>
            <w:tcBorders>
              <w:top w:val="single" w:sz="8" w:space="0" w:color="auto"/>
              <w:left w:val="single" w:sz="8" w:space="0" w:color="auto"/>
              <w:bottom w:val="single" w:sz="8" w:space="0" w:color="auto"/>
              <w:right w:val="single" w:sz="8" w:space="0" w:color="auto"/>
            </w:tcBorders>
            <w:vAlign w:val="center"/>
            <w:hideMark/>
          </w:tcPr>
          <w:p w14:paraId="74294B23" w14:textId="77777777" w:rsidR="008505AC" w:rsidRPr="00AD21FF" w:rsidRDefault="008505AC" w:rsidP="008505AC">
            <w:pPr>
              <w:spacing w:before="0" w:after="0"/>
              <w:jc w:val="center"/>
              <w:rPr>
                <w:b/>
                <w:noProof/>
                <w:color w:val="000000"/>
                <w:sz w:val="18"/>
                <w:szCs w:val="18"/>
                <w:lang w:eastAsia="en-IE"/>
              </w:rPr>
            </w:pPr>
            <w:r w:rsidRPr="00AD21FF">
              <w:rPr>
                <w:b/>
                <w:noProof/>
                <w:color w:val="000000"/>
                <w:sz w:val="18"/>
                <w:szCs w:val="18"/>
                <w:lang w:eastAsia="en-IE"/>
              </w:rPr>
              <w:t>VOTED APPROPRIATIONS</w:t>
            </w:r>
          </w:p>
        </w:tc>
        <w:tc>
          <w:tcPr>
            <w:tcW w:w="492" w:type="pct"/>
            <w:tcBorders>
              <w:top w:val="single" w:sz="8" w:space="0" w:color="auto"/>
              <w:left w:val="nil"/>
              <w:bottom w:val="single" w:sz="8" w:space="0" w:color="auto"/>
              <w:right w:val="single" w:sz="8" w:space="0" w:color="auto"/>
            </w:tcBorders>
            <w:vAlign w:val="center"/>
            <w:hideMark/>
          </w:tcPr>
          <w:p w14:paraId="6F346CC2" w14:textId="77777777" w:rsidR="008505AC" w:rsidRPr="00AD21FF" w:rsidRDefault="008505AC" w:rsidP="008505AC">
            <w:pPr>
              <w:spacing w:before="0" w:after="0"/>
              <w:jc w:val="center"/>
              <w:rPr>
                <w:noProof/>
                <w:color w:val="000000"/>
                <w:sz w:val="18"/>
                <w:szCs w:val="18"/>
                <w:lang w:eastAsia="en-IE"/>
              </w:rPr>
            </w:pPr>
            <w:r w:rsidRPr="00AD21FF">
              <w:rPr>
                <w:noProof/>
                <w:color w:val="000000"/>
                <w:sz w:val="18"/>
                <w:szCs w:val="18"/>
                <w:lang w:eastAsia="en-IE"/>
              </w:rPr>
              <w:t>Year</w:t>
            </w:r>
          </w:p>
        </w:tc>
        <w:tc>
          <w:tcPr>
            <w:tcW w:w="492" w:type="pct"/>
            <w:tcBorders>
              <w:top w:val="single" w:sz="8" w:space="0" w:color="auto"/>
              <w:left w:val="nil"/>
              <w:bottom w:val="single" w:sz="8" w:space="0" w:color="auto"/>
              <w:right w:val="single" w:sz="8" w:space="0" w:color="auto"/>
            </w:tcBorders>
            <w:vAlign w:val="center"/>
            <w:hideMark/>
          </w:tcPr>
          <w:p w14:paraId="493D2FCF" w14:textId="77777777" w:rsidR="008505AC" w:rsidRPr="00AD21FF" w:rsidRDefault="008505AC" w:rsidP="008505AC">
            <w:pPr>
              <w:spacing w:before="0" w:after="0"/>
              <w:jc w:val="center"/>
              <w:rPr>
                <w:noProof/>
                <w:color w:val="000000"/>
                <w:sz w:val="18"/>
                <w:szCs w:val="18"/>
                <w:lang w:eastAsia="en-IE"/>
              </w:rPr>
            </w:pPr>
            <w:r w:rsidRPr="00AD21FF">
              <w:rPr>
                <w:noProof/>
                <w:color w:val="000000"/>
                <w:sz w:val="18"/>
                <w:szCs w:val="18"/>
                <w:lang w:eastAsia="en-IE"/>
              </w:rPr>
              <w:t>Year</w:t>
            </w:r>
          </w:p>
        </w:tc>
        <w:tc>
          <w:tcPr>
            <w:tcW w:w="492" w:type="pct"/>
            <w:tcBorders>
              <w:top w:val="single" w:sz="8" w:space="0" w:color="auto"/>
              <w:left w:val="nil"/>
              <w:bottom w:val="single" w:sz="8" w:space="0" w:color="auto"/>
              <w:right w:val="single" w:sz="8" w:space="0" w:color="auto"/>
            </w:tcBorders>
            <w:vAlign w:val="center"/>
            <w:hideMark/>
          </w:tcPr>
          <w:p w14:paraId="4B5FF03D" w14:textId="77777777" w:rsidR="008505AC" w:rsidRPr="00AD21FF" w:rsidRDefault="008505AC" w:rsidP="008505AC">
            <w:pPr>
              <w:spacing w:before="0" w:after="0"/>
              <w:jc w:val="center"/>
              <w:rPr>
                <w:noProof/>
                <w:color w:val="000000"/>
                <w:sz w:val="18"/>
                <w:szCs w:val="18"/>
                <w:lang w:eastAsia="en-IE"/>
              </w:rPr>
            </w:pPr>
            <w:r w:rsidRPr="00AD21FF">
              <w:rPr>
                <w:noProof/>
                <w:color w:val="000000"/>
                <w:sz w:val="18"/>
                <w:szCs w:val="18"/>
                <w:lang w:eastAsia="en-IE"/>
              </w:rPr>
              <w:t>Year</w:t>
            </w:r>
          </w:p>
        </w:tc>
        <w:tc>
          <w:tcPr>
            <w:tcW w:w="492" w:type="pct"/>
            <w:tcBorders>
              <w:top w:val="single" w:sz="8" w:space="0" w:color="auto"/>
              <w:left w:val="nil"/>
              <w:bottom w:val="single" w:sz="8" w:space="0" w:color="auto"/>
              <w:right w:val="single" w:sz="8" w:space="0" w:color="auto"/>
            </w:tcBorders>
            <w:vAlign w:val="center"/>
            <w:hideMark/>
          </w:tcPr>
          <w:p w14:paraId="3A903E69" w14:textId="77777777" w:rsidR="008505AC" w:rsidRPr="00AD21FF" w:rsidRDefault="008505AC" w:rsidP="008505AC">
            <w:pPr>
              <w:spacing w:before="0" w:after="0"/>
              <w:jc w:val="center"/>
              <w:rPr>
                <w:noProof/>
                <w:color w:val="000000"/>
                <w:sz w:val="18"/>
                <w:szCs w:val="18"/>
                <w:lang w:eastAsia="en-IE"/>
              </w:rPr>
            </w:pPr>
            <w:r w:rsidRPr="00AD21FF">
              <w:rPr>
                <w:noProof/>
                <w:color w:val="000000"/>
                <w:sz w:val="18"/>
                <w:szCs w:val="18"/>
                <w:lang w:eastAsia="en-IE"/>
              </w:rPr>
              <w:t>Year</w:t>
            </w:r>
          </w:p>
        </w:tc>
        <w:tc>
          <w:tcPr>
            <w:tcW w:w="551" w:type="pct"/>
            <w:vMerge w:val="restart"/>
            <w:tcBorders>
              <w:top w:val="single" w:sz="8" w:space="0" w:color="auto"/>
              <w:left w:val="single" w:sz="8" w:space="0" w:color="auto"/>
              <w:bottom w:val="single" w:sz="8" w:space="0" w:color="auto"/>
              <w:right w:val="single" w:sz="8" w:space="0" w:color="auto"/>
            </w:tcBorders>
            <w:vAlign w:val="center"/>
            <w:hideMark/>
          </w:tcPr>
          <w:p w14:paraId="4AB70B59" w14:textId="77777777" w:rsidR="008505AC" w:rsidRPr="00AD21FF" w:rsidRDefault="008505AC" w:rsidP="008505AC">
            <w:pPr>
              <w:spacing w:before="0" w:after="0"/>
              <w:jc w:val="center"/>
              <w:rPr>
                <w:b/>
                <w:noProof/>
                <w:color w:val="000000"/>
                <w:sz w:val="18"/>
                <w:szCs w:val="18"/>
                <w:lang w:eastAsia="en-IE"/>
              </w:rPr>
            </w:pPr>
            <w:r w:rsidRPr="00AD21FF">
              <w:rPr>
                <w:b/>
                <w:noProof/>
                <w:color w:val="000000"/>
                <w:sz w:val="18"/>
                <w:szCs w:val="18"/>
                <w:lang w:eastAsia="en-IE"/>
              </w:rPr>
              <w:t>TOTAL 2021 - 2027</w:t>
            </w:r>
          </w:p>
        </w:tc>
        <w:tc>
          <w:tcPr>
            <w:tcW w:w="550" w:type="pct"/>
            <w:vMerge w:val="restart"/>
            <w:tcBorders>
              <w:top w:val="single" w:sz="8" w:space="0" w:color="auto"/>
              <w:left w:val="single" w:sz="8" w:space="0" w:color="auto"/>
              <w:right w:val="single" w:sz="8" w:space="0" w:color="auto"/>
            </w:tcBorders>
          </w:tcPr>
          <w:p w14:paraId="6B3B40ED" w14:textId="77777777" w:rsidR="008505AC" w:rsidRPr="00AD21FF" w:rsidRDefault="008505AC" w:rsidP="008505AC">
            <w:pPr>
              <w:spacing w:before="0" w:after="0"/>
              <w:jc w:val="center"/>
              <w:rPr>
                <w:b/>
                <w:noProof/>
                <w:color w:val="000000"/>
                <w:sz w:val="18"/>
                <w:szCs w:val="18"/>
                <w:lang w:eastAsia="en-IE"/>
              </w:rPr>
            </w:pPr>
            <w:r w:rsidRPr="008505AC">
              <w:rPr>
                <w:b/>
                <w:noProof/>
                <w:color w:val="000000"/>
                <w:sz w:val="18"/>
                <w:szCs w:val="18"/>
                <w:lang w:eastAsia="en-IE"/>
              </w:rPr>
              <w:t>TOTAL 2028</w:t>
            </w:r>
            <w:r>
              <w:rPr>
                <w:b/>
                <w:noProof/>
                <w:color w:val="000000"/>
                <w:sz w:val="18"/>
                <w:szCs w:val="18"/>
                <w:lang w:eastAsia="en-IE"/>
              </w:rPr>
              <w:t xml:space="preserve"> </w:t>
            </w:r>
            <w:r w:rsidRPr="008505AC">
              <w:rPr>
                <w:b/>
                <w:noProof/>
                <w:color w:val="000000"/>
                <w:sz w:val="18"/>
                <w:szCs w:val="18"/>
                <w:lang w:eastAsia="en-IE"/>
              </w:rPr>
              <w:t>-</w:t>
            </w:r>
            <w:r>
              <w:rPr>
                <w:b/>
                <w:noProof/>
                <w:color w:val="000000"/>
                <w:sz w:val="18"/>
                <w:szCs w:val="18"/>
                <w:lang w:eastAsia="en-IE"/>
              </w:rPr>
              <w:t xml:space="preserve"> </w:t>
            </w:r>
            <w:r w:rsidRPr="008505AC">
              <w:rPr>
                <w:b/>
                <w:noProof/>
                <w:color w:val="000000"/>
                <w:sz w:val="18"/>
                <w:szCs w:val="18"/>
                <w:lang w:eastAsia="en-IE"/>
              </w:rPr>
              <w:t>2034</w:t>
            </w:r>
          </w:p>
        </w:tc>
      </w:tr>
      <w:tr w:rsidR="008505AC" w:rsidRPr="00AD21FF" w14:paraId="5F7676C1" w14:textId="77777777">
        <w:trPr>
          <w:trHeight w:val="300"/>
        </w:trPr>
        <w:tc>
          <w:tcPr>
            <w:tcW w:w="1931" w:type="pct"/>
            <w:vMerge/>
            <w:tcBorders>
              <w:top w:val="single" w:sz="8" w:space="0" w:color="auto"/>
              <w:left w:val="single" w:sz="8" w:space="0" w:color="auto"/>
              <w:bottom w:val="single" w:sz="8" w:space="0" w:color="auto"/>
              <w:right w:val="single" w:sz="8" w:space="0" w:color="auto"/>
            </w:tcBorders>
            <w:vAlign w:val="center"/>
            <w:hideMark/>
          </w:tcPr>
          <w:p w14:paraId="5E241A95" w14:textId="77777777" w:rsidR="008505AC" w:rsidRPr="00AD21FF" w:rsidRDefault="008505AC" w:rsidP="008505AC">
            <w:pPr>
              <w:spacing w:before="0" w:after="0"/>
              <w:jc w:val="left"/>
              <w:rPr>
                <w:b/>
                <w:noProof/>
                <w:color w:val="000000"/>
                <w:sz w:val="18"/>
                <w:szCs w:val="18"/>
                <w:lang w:eastAsia="en-IE"/>
              </w:rPr>
            </w:pPr>
          </w:p>
        </w:tc>
        <w:tc>
          <w:tcPr>
            <w:tcW w:w="492" w:type="pct"/>
            <w:tcBorders>
              <w:top w:val="nil"/>
              <w:left w:val="nil"/>
              <w:bottom w:val="single" w:sz="8" w:space="0" w:color="auto"/>
              <w:right w:val="single" w:sz="8" w:space="0" w:color="auto"/>
            </w:tcBorders>
            <w:vAlign w:val="center"/>
            <w:hideMark/>
          </w:tcPr>
          <w:p w14:paraId="2A1CA763" w14:textId="77777777" w:rsidR="008505AC" w:rsidRPr="00AD21FF" w:rsidRDefault="008505AC" w:rsidP="008505AC">
            <w:pPr>
              <w:spacing w:before="0" w:after="0"/>
              <w:jc w:val="center"/>
              <w:rPr>
                <w:b/>
                <w:noProof/>
                <w:color w:val="000000"/>
                <w:sz w:val="18"/>
                <w:szCs w:val="18"/>
                <w:lang w:eastAsia="en-IE"/>
              </w:rPr>
            </w:pPr>
            <w:r w:rsidRPr="00AD21FF">
              <w:rPr>
                <w:b/>
                <w:noProof/>
                <w:color w:val="000000"/>
                <w:sz w:val="18"/>
                <w:szCs w:val="18"/>
                <w:lang w:eastAsia="en-IE"/>
              </w:rPr>
              <w:t>2024</w:t>
            </w:r>
          </w:p>
        </w:tc>
        <w:tc>
          <w:tcPr>
            <w:tcW w:w="492" w:type="pct"/>
            <w:tcBorders>
              <w:top w:val="nil"/>
              <w:left w:val="nil"/>
              <w:bottom w:val="single" w:sz="8" w:space="0" w:color="auto"/>
              <w:right w:val="single" w:sz="8" w:space="0" w:color="auto"/>
            </w:tcBorders>
            <w:vAlign w:val="center"/>
            <w:hideMark/>
          </w:tcPr>
          <w:p w14:paraId="284E51F7" w14:textId="77777777" w:rsidR="008505AC" w:rsidRPr="00AD21FF" w:rsidRDefault="008505AC" w:rsidP="008505AC">
            <w:pPr>
              <w:spacing w:before="0" w:after="0"/>
              <w:jc w:val="center"/>
              <w:rPr>
                <w:b/>
                <w:noProof/>
                <w:color w:val="000000"/>
                <w:sz w:val="18"/>
                <w:szCs w:val="18"/>
                <w:lang w:eastAsia="en-IE"/>
              </w:rPr>
            </w:pPr>
            <w:r w:rsidRPr="00AD21FF">
              <w:rPr>
                <w:b/>
                <w:noProof/>
                <w:color w:val="000000"/>
                <w:sz w:val="18"/>
                <w:szCs w:val="18"/>
                <w:lang w:eastAsia="en-IE"/>
              </w:rPr>
              <w:t>2025</w:t>
            </w:r>
          </w:p>
        </w:tc>
        <w:tc>
          <w:tcPr>
            <w:tcW w:w="492" w:type="pct"/>
            <w:tcBorders>
              <w:top w:val="nil"/>
              <w:left w:val="nil"/>
              <w:bottom w:val="single" w:sz="8" w:space="0" w:color="auto"/>
              <w:right w:val="single" w:sz="8" w:space="0" w:color="auto"/>
            </w:tcBorders>
            <w:vAlign w:val="center"/>
            <w:hideMark/>
          </w:tcPr>
          <w:p w14:paraId="5FAB31C4" w14:textId="77777777" w:rsidR="008505AC" w:rsidRPr="00AD21FF" w:rsidRDefault="008505AC" w:rsidP="008505AC">
            <w:pPr>
              <w:spacing w:before="0" w:after="0"/>
              <w:jc w:val="center"/>
              <w:rPr>
                <w:b/>
                <w:noProof/>
                <w:color w:val="000000"/>
                <w:sz w:val="18"/>
                <w:szCs w:val="18"/>
                <w:lang w:eastAsia="en-IE"/>
              </w:rPr>
            </w:pPr>
            <w:r w:rsidRPr="00AD21FF">
              <w:rPr>
                <w:b/>
                <w:noProof/>
                <w:color w:val="000000"/>
                <w:sz w:val="18"/>
                <w:szCs w:val="18"/>
                <w:lang w:eastAsia="en-IE"/>
              </w:rPr>
              <w:t>2026</w:t>
            </w:r>
          </w:p>
        </w:tc>
        <w:tc>
          <w:tcPr>
            <w:tcW w:w="492" w:type="pct"/>
            <w:tcBorders>
              <w:top w:val="nil"/>
              <w:left w:val="nil"/>
              <w:bottom w:val="single" w:sz="8" w:space="0" w:color="auto"/>
              <w:right w:val="single" w:sz="8" w:space="0" w:color="auto"/>
            </w:tcBorders>
            <w:vAlign w:val="center"/>
            <w:hideMark/>
          </w:tcPr>
          <w:p w14:paraId="45A11F85" w14:textId="77777777" w:rsidR="008505AC" w:rsidRPr="00AD21FF" w:rsidRDefault="008505AC" w:rsidP="008505AC">
            <w:pPr>
              <w:spacing w:before="0" w:after="0"/>
              <w:jc w:val="center"/>
              <w:rPr>
                <w:b/>
                <w:noProof/>
                <w:color w:val="000000"/>
                <w:sz w:val="18"/>
                <w:szCs w:val="18"/>
                <w:lang w:eastAsia="en-IE"/>
              </w:rPr>
            </w:pPr>
            <w:r w:rsidRPr="00AD21FF">
              <w:rPr>
                <w:b/>
                <w:noProof/>
                <w:color w:val="000000"/>
                <w:sz w:val="18"/>
                <w:szCs w:val="18"/>
                <w:lang w:eastAsia="en-IE"/>
              </w:rPr>
              <w:t>2027</w:t>
            </w:r>
          </w:p>
        </w:tc>
        <w:tc>
          <w:tcPr>
            <w:tcW w:w="551" w:type="pct"/>
            <w:vMerge/>
            <w:tcBorders>
              <w:top w:val="single" w:sz="8" w:space="0" w:color="auto"/>
              <w:left w:val="single" w:sz="8" w:space="0" w:color="auto"/>
              <w:bottom w:val="single" w:sz="8" w:space="0" w:color="auto"/>
              <w:right w:val="single" w:sz="8" w:space="0" w:color="auto"/>
            </w:tcBorders>
            <w:vAlign w:val="center"/>
            <w:hideMark/>
          </w:tcPr>
          <w:p w14:paraId="5142F9B2" w14:textId="77777777" w:rsidR="008505AC" w:rsidRPr="00AD21FF" w:rsidRDefault="008505AC" w:rsidP="008505AC">
            <w:pPr>
              <w:spacing w:before="0" w:after="0"/>
              <w:jc w:val="left"/>
              <w:rPr>
                <w:b/>
                <w:noProof/>
                <w:color w:val="000000"/>
                <w:sz w:val="18"/>
                <w:szCs w:val="18"/>
                <w:lang w:eastAsia="en-IE"/>
              </w:rPr>
            </w:pPr>
          </w:p>
        </w:tc>
        <w:tc>
          <w:tcPr>
            <w:tcW w:w="550" w:type="pct"/>
            <w:vMerge/>
            <w:tcBorders>
              <w:left w:val="single" w:sz="8" w:space="0" w:color="auto"/>
              <w:bottom w:val="single" w:sz="8" w:space="0" w:color="auto"/>
              <w:right w:val="single" w:sz="8" w:space="0" w:color="auto"/>
            </w:tcBorders>
          </w:tcPr>
          <w:p w14:paraId="11720D57" w14:textId="77777777" w:rsidR="008505AC" w:rsidRPr="00AD21FF" w:rsidRDefault="008505AC" w:rsidP="008505AC">
            <w:pPr>
              <w:spacing w:before="0" w:after="0"/>
              <w:jc w:val="left"/>
              <w:rPr>
                <w:b/>
                <w:noProof/>
                <w:color w:val="000000"/>
                <w:sz w:val="18"/>
                <w:szCs w:val="18"/>
                <w:lang w:eastAsia="en-IE"/>
              </w:rPr>
            </w:pPr>
          </w:p>
        </w:tc>
      </w:tr>
      <w:tr w:rsidR="008505AC" w:rsidRPr="00AD21FF" w14:paraId="22297D61" w14:textId="77777777" w:rsidTr="008505AC">
        <w:trPr>
          <w:trHeight w:val="300"/>
        </w:trPr>
        <w:tc>
          <w:tcPr>
            <w:tcW w:w="5000" w:type="pct"/>
            <w:gridSpan w:val="7"/>
            <w:tcBorders>
              <w:top w:val="single" w:sz="8" w:space="0" w:color="auto"/>
              <w:left w:val="single" w:sz="8" w:space="0" w:color="auto"/>
              <w:bottom w:val="single" w:sz="8" w:space="0" w:color="auto"/>
              <w:right w:val="single" w:sz="4" w:space="0" w:color="auto"/>
            </w:tcBorders>
            <w:vAlign w:val="center"/>
            <w:hideMark/>
          </w:tcPr>
          <w:p w14:paraId="5EB6B423" w14:textId="77777777" w:rsidR="008505AC" w:rsidRPr="00AD21FF" w:rsidRDefault="008505AC" w:rsidP="008505AC">
            <w:pPr>
              <w:spacing w:before="0" w:after="0"/>
              <w:jc w:val="left"/>
              <w:rPr>
                <w:b/>
                <w:noProof/>
                <w:sz w:val="16"/>
                <w:szCs w:val="16"/>
                <w:lang w:eastAsia="en-IE"/>
              </w:rPr>
            </w:pPr>
            <w:r w:rsidRPr="00AD21FF">
              <w:rPr>
                <w:b/>
                <w:noProof/>
                <w:sz w:val="16"/>
                <w:szCs w:val="16"/>
                <w:lang w:eastAsia="en-IE"/>
              </w:rPr>
              <w:t>HEADING 7</w:t>
            </w:r>
          </w:p>
        </w:tc>
      </w:tr>
      <w:tr w:rsidR="00315F5F" w:rsidRPr="00AD21FF" w14:paraId="7695C981"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2CBBC3D6" w14:textId="77777777" w:rsidR="00315F5F" w:rsidRPr="00AD21FF" w:rsidRDefault="00315F5F" w:rsidP="00315F5F">
            <w:pPr>
              <w:spacing w:before="0" w:after="0"/>
              <w:jc w:val="left"/>
              <w:rPr>
                <w:noProof/>
                <w:color w:val="000000"/>
                <w:sz w:val="16"/>
                <w:szCs w:val="16"/>
                <w:lang w:eastAsia="en-IE"/>
              </w:rPr>
            </w:pPr>
            <w:r w:rsidRPr="00AD21FF">
              <w:rPr>
                <w:noProof/>
                <w:color w:val="000000"/>
                <w:sz w:val="16"/>
                <w:szCs w:val="16"/>
                <w:lang w:eastAsia="en-IE"/>
              </w:rPr>
              <w:t xml:space="preserve">Human resources </w:t>
            </w:r>
          </w:p>
        </w:tc>
        <w:tc>
          <w:tcPr>
            <w:tcW w:w="492" w:type="pct"/>
            <w:tcBorders>
              <w:top w:val="nil"/>
              <w:left w:val="nil"/>
              <w:bottom w:val="single" w:sz="8" w:space="0" w:color="auto"/>
              <w:right w:val="single" w:sz="8" w:space="0" w:color="auto"/>
            </w:tcBorders>
            <w:shd w:val="clear" w:color="000000" w:fill="D9D9D9"/>
            <w:vAlign w:val="center"/>
            <w:hideMark/>
          </w:tcPr>
          <w:p w14:paraId="3A54BB2A" w14:textId="77777777" w:rsidR="00315F5F" w:rsidRPr="00AD21FF" w:rsidRDefault="00315F5F" w:rsidP="00315F5F">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5F9D0C9A" w14:textId="77777777" w:rsidR="00315F5F" w:rsidRPr="00AD21FF" w:rsidRDefault="00315F5F" w:rsidP="00315F5F">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26F961B0" w14:textId="77777777" w:rsidR="00315F5F" w:rsidRPr="00AD21FF" w:rsidRDefault="00315F5F" w:rsidP="00315F5F">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48256C70" w14:textId="77777777" w:rsidR="00315F5F" w:rsidRPr="00AD21FF" w:rsidRDefault="00315F5F" w:rsidP="00315F5F">
            <w:pPr>
              <w:spacing w:before="0" w:after="0"/>
              <w:jc w:val="right"/>
              <w:rPr>
                <w:noProof/>
                <w:color w:val="000000"/>
                <w:sz w:val="16"/>
                <w:szCs w:val="16"/>
                <w:lang w:eastAsia="en-IE"/>
              </w:rPr>
            </w:pPr>
            <w:r w:rsidRPr="00AD21FF">
              <w:rPr>
                <w:noProof/>
                <w:color w:val="000000"/>
                <w:sz w:val="16"/>
                <w:szCs w:val="16"/>
                <w:lang w:eastAsia="en-IE"/>
              </w:rPr>
              <w:t>1.164</w:t>
            </w:r>
          </w:p>
        </w:tc>
        <w:tc>
          <w:tcPr>
            <w:tcW w:w="551" w:type="pct"/>
            <w:tcBorders>
              <w:top w:val="nil"/>
              <w:left w:val="nil"/>
              <w:bottom w:val="single" w:sz="8" w:space="0" w:color="auto"/>
              <w:right w:val="single" w:sz="8" w:space="0" w:color="auto"/>
            </w:tcBorders>
            <w:shd w:val="clear" w:color="000000" w:fill="D9D9D9"/>
            <w:vAlign w:val="center"/>
            <w:hideMark/>
          </w:tcPr>
          <w:p w14:paraId="5EBDD3CF" w14:textId="77777777" w:rsidR="00315F5F" w:rsidRPr="00AD21FF" w:rsidRDefault="00315F5F" w:rsidP="00315F5F">
            <w:pPr>
              <w:spacing w:before="0" w:after="0"/>
              <w:jc w:val="right"/>
              <w:rPr>
                <w:b/>
                <w:noProof/>
                <w:color w:val="000000"/>
                <w:sz w:val="16"/>
                <w:szCs w:val="16"/>
                <w:lang w:eastAsia="en-IE"/>
              </w:rPr>
            </w:pPr>
            <w:r w:rsidRPr="00AD21FF">
              <w:rPr>
                <w:b/>
                <w:noProof/>
                <w:color w:val="000000"/>
                <w:sz w:val="16"/>
                <w:szCs w:val="16"/>
                <w:lang w:eastAsia="en-IE"/>
              </w:rPr>
              <w:t>1.164</w:t>
            </w:r>
          </w:p>
        </w:tc>
        <w:tc>
          <w:tcPr>
            <w:tcW w:w="550" w:type="pct"/>
            <w:tcBorders>
              <w:top w:val="nil"/>
              <w:left w:val="nil"/>
              <w:bottom w:val="single" w:sz="8" w:space="0" w:color="auto"/>
              <w:right w:val="single" w:sz="8" w:space="0" w:color="auto"/>
            </w:tcBorders>
            <w:shd w:val="clear" w:color="000000" w:fill="D9D9D9"/>
            <w:vAlign w:val="center"/>
          </w:tcPr>
          <w:p w14:paraId="3373A536" w14:textId="77777777" w:rsidR="00315F5F" w:rsidRPr="00AD21FF" w:rsidRDefault="00315F5F" w:rsidP="00315F5F">
            <w:pPr>
              <w:spacing w:before="0" w:after="0"/>
              <w:jc w:val="right"/>
              <w:rPr>
                <w:b/>
                <w:noProof/>
                <w:color w:val="000000"/>
                <w:sz w:val="16"/>
                <w:szCs w:val="16"/>
                <w:lang w:eastAsia="en-IE"/>
              </w:rPr>
            </w:pPr>
            <w:r>
              <w:rPr>
                <w:b/>
                <w:noProof/>
                <w:color w:val="000000"/>
                <w:sz w:val="16"/>
                <w:szCs w:val="16"/>
                <w:lang w:eastAsia="en-IE"/>
              </w:rPr>
              <w:t>8.148</w:t>
            </w:r>
          </w:p>
        </w:tc>
      </w:tr>
      <w:tr w:rsidR="00F5068E" w:rsidRPr="00AD21FF" w14:paraId="71B20063"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6B603F3D" w14:textId="77777777" w:rsidR="00F5068E" w:rsidRPr="00AD21FF" w:rsidRDefault="00F5068E" w:rsidP="00F5068E">
            <w:pPr>
              <w:spacing w:before="0" w:after="0"/>
              <w:jc w:val="left"/>
              <w:rPr>
                <w:noProof/>
                <w:color w:val="000000"/>
                <w:sz w:val="16"/>
                <w:szCs w:val="16"/>
                <w:lang w:eastAsia="en-IE"/>
              </w:rPr>
            </w:pPr>
            <w:r w:rsidRPr="00AD21FF">
              <w:rPr>
                <w:noProof/>
                <w:color w:val="000000"/>
                <w:sz w:val="16"/>
                <w:szCs w:val="16"/>
                <w:lang w:eastAsia="en-IE"/>
              </w:rPr>
              <w:t xml:space="preserve">Other administrative expenditure </w:t>
            </w:r>
          </w:p>
        </w:tc>
        <w:tc>
          <w:tcPr>
            <w:tcW w:w="492" w:type="pct"/>
            <w:tcBorders>
              <w:top w:val="nil"/>
              <w:left w:val="nil"/>
              <w:bottom w:val="single" w:sz="8" w:space="0" w:color="auto"/>
              <w:right w:val="single" w:sz="8" w:space="0" w:color="auto"/>
            </w:tcBorders>
            <w:shd w:val="clear" w:color="000000" w:fill="D9D9D9"/>
            <w:vAlign w:val="center"/>
            <w:hideMark/>
          </w:tcPr>
          <w:p w14:paraId="6666FE38"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18339C50"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0F00671B"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1D803992"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551" w:type="pct"/>
            <w:tcBorders>
              <w:top w:val="nil"/>
              <w:left w:val="nil"/>
              <w:bottom w:val="single" w:sz="8" w:space="0" w:color="auto"/>
              <w:right w:val="single" w:sz="8" w:space="0" w:color="auto"/>
            </w:tcBorders>
            <w:shd w:val="clear" w:color="000000" w:fill="D9D9D9"/>
            <w:vAlign w:val="center"/>
            <w:hideMark/>
          </w:tcPr>
          <w:p w14:paraId="5B2D69CF"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550" w:type="pct"/>
            <w:tcBorders>
              <w:top w:val="nil"/>
              <w:left w:val="nil"/>
              <w:bottom w:val="single" w:sz="8" w:space="0" w:color="auto"/>
              <w:right w:val="single" w:sz="8" w:space="0" w:color="auto"/>
            </w:tcBorders>
            <w:shd w:val="clear" w:color="000000" w:fill="D9D9D9"/>
            <w:vAlign w:val="center"/>
          </w:tcPr>
          <w:p w14:paraId="784106E2"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r>
      <w:tr w:rsidR="00F5068E" w:rsidRPr="00AD21FF" w14:paraId="3BE657C7" w14:textId="77777777" w:rsidTr="004E544E">
        <w:trPr>
          <w:trHeight w:val="300"/>
        </w:trPr>
        <w:tc>
          <w:tcPr>
            <w:tcW w:w="1931" w:type="pct"/>
            <w:tcBorders>
              <w:top w:val="nil"/>
              <w:left w:val="single" w:sz="8" w:space="0" w:color="auto"/>
              <w:bottom w:val="single" w:sz="8" w:space="0" w:color="auto"/>
              <w:right w:val="single" w:sz="8" w:space="0" w:color="auto"/>
            </w:tcBorders>
            <w:shd w:val="clear" w:color="000000" w:fill="CCCCCC"/>
            <w:vAlign w:val="center"/>
            <w:hideMark/>
          </w:tcPr>
          <w:p w14:paraId="54C5D292" w14:textId="77777777" w:rsidR="00F5068E" w:rsidRPr="00AD21FF" w:rsidRDefault="00F5068E" w:rsidP="00F5068E">
            <w:pPr>
              <w:spacing w:before="0" w:after="0"/>
              <w:jc w:val="center"/>
              <w:rPr>
                <w:b/>
                <w:noProof/>
                <w:color w:val="000000"/>
                <w:sz w:val="16"/>
                <w:szCs w:val="16"/>
                <w:lang w:eastAsia="en-IE"/>
              </w:rPr>
            </w:pPr>
            <w:r w:rsidRPr="00AD21FF">
              <w:rPr>
                <w:b/>
                <w:noProof/>
                <w:color w:val="000000"/>
                <w:sz w:val="16"/>
                <w:szCs w:val="16"/>
                <w:lang w:eastAsia="en-IE"/>
              </w:rPr>
              <w:t>Subtotal HEADING 7</w:t>
            </w:r>
          </w:p>
        </w:tc>
        <w:tc>
          <w:tcPr>
            <w:tcW w:w="492" w:type="pct"/>
            <w:tcBorders>
              <w:top w:val="nil"/>
              <w:left w:val="nil"/>
              <w:bottom w:val="single" w:sz="8" w:space="0" w:color="auto"/>
              <w:right w:val="single" w:sz="8" w:space="0" w:color="auto"/>
            </w:tcBorders>
            <w:shd w:val="clear" w:color="000000" w:fill="D9D9D9"/>
            <w:vAlign w:val="center"/>
            <w:hideMark/>
          </w:tcPr>
          <w:p w14:paraId="442C0793"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682B78C1"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66C46299"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1707634C"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1.164</w:t>
            </w:r>
          </w:p>
        </w:tc>
        <w:tc>
          <w:tcPr>
            <w:tcW w:w="551" w:type="pct"/>
            <w:tcBorders>
              <w:top w:val="nil"/>
              <w:left w:val="nil"/>
              <w:bottom w:val="single" w:sz="8" w:space="0" w:color="auto"/>
              <w:right w:val="single" w:sz="8" w:space="0" w:color="auto"/>
            </w:tcBorders>
            <w:shd w:val="clear" w:color="000000" w:fill="D9D9D9"/>
            <w:vAlign w:val="center"/>
            <w:hideMark/>
          </w:tcPr>
          <w:p w14:paraId="11791AAD"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1.164</w:t>
            </w:r>
          </w:p>
        </w:tc>
        <w:tc>
          <w:tcPr>
            <w:tcW w:w="550" w:type="pct"/>
            <w:tcBorders>
              <w:top w:val="nil"/>
              <w:left w:val="nil"/>
              <w:bottom w:val="single" w:sz="8" w:space="0" w:color="auto"/>
              <w:right w:val="single" w:sz="8" w:space="0" w:color="auto"/>
            </w:tcBorders>
            <w:shd w:val="clear" w:color="000000" w:fill="D9D9D9"/>
            <w:vAlign w:val="center"/>
          </w:tcPr>
          <w:p w14:paraId="6E011DEF" w14:textId="77777777" w:rsidR="00F5068E" w:rsidRPr="00AD21FF" w:rsidRDefault="00F5068E" w:rsidP="00F5068E">
            <w:pPr>
              <w:spacing w:before="0" w:after="0"/>
              <w:jc w:val="right"/>
              <w:rPr>
                <w:b/>
                <w:noProof/>
                <w:color w:val="000000"/>
                <w:sz w:val="16"/>
                <w:szCs w:val="16"/>
                <w:lang w:eastAsia="en-IE"/>
              </w:rPr>
            </w:pPr>
            <w:r>
              <w:rPr>
                <w:b/>
                <w:noProof/>
                <w:color w:val="000000"/>
                <w:sz w:val="16"/>
                <w:szCs w:val="16"/>
                <w:lang w:eastAsia="en-IE"/>
              </w:rPr>
              <w:t>8.148</w:t>
            </w:r>
          </w:p>
        </w:tc>
      </w:tr>
      <w:tr w:rsidR="00F5068E" w:rsidRPr="00AD21FF" w14:paraId="5023DE85" w14:textId="77777777" w:rsidTr="008505AC">
        <w:trPr>
          <w:trHeight w:val="300"/>
        </w:trPr>
        <w:tc>
          <w:tcPr>
            <w:tcW w:w="5000" w:type="pct"/>
            <w:gridSpan w:val="7"/>
            <w:tcBorders>
              <w:top w:val="single" w:sz="8" w:space="0" w:color="auto"/>
              <w:left w:val="single" w:sz="8" w:space="0" w:color="auto"/>
              <w:bottom w:val="single" w:sz="8" w:space="0" w:color="auto"/>
              <w:right w:val="single" w:sz="4" w:space="0" w:color="auto"/>
            </w:tcBorders>
            <w:vAlign w:val="center"/>
            <w:hideMark/>
          </w:tcPr>
          <w:p w14:paraId="0EC2542C" w14:textId="77777777" w:rsidR="00F5068E" w:rsidRPr="00AD21FF" w:rsidRDefault="00F5068E" w:rsidP="00F5068E">
            <w:pPr>
              <w:spacing w:before="0" w:after="0"/>
              <w:jc w:val="left"/>
              <w:rPr>
                <w:b/>
                <w:noProof/>
                <w:sz w:val="16"/>
                <w:szCs w:val="16"/>
                <w:lang w:eastAsia="en-IE"/>
              </w:rPr>
            </w:pPr>
            <w:r w:rsidRPr="00AD21FF">
              <w:rPr>
                <w:b/>
                <w:noProof/>
                <w:sz w:val="16"/>
                <w:szCs w:val="16"/>
                <w:lang w:eastAsia="en-IE"/>
              </w:rPr>
              <w:t>Outside HEADING 7</w:t>
            </w:r>
          </w:p>
        </w:tc>
      </w:tr>
      <w:tr w:rsidR="00F5068E" w:rsidRPr="00AD21FF" w14:paraId="16923B00"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0B1C798C" w14:textId="77777777" w:rsidR="00F5068E" w:rsidRPr="00AD21FF" w:rsidRDefault="00F5068E" w:rsidP="00F5068E">
            <w:pPr>
              <w:spacing w:before="0" w:after="0"/>
              <w:jc w:val="left"/>
              <w:rPr>
                <w:noProof/>
                <w:color w:val="000000"/>
                <w:sz w:val="16"/>
                <w:szCs w:val="16"/>
                <w:lang w:eastAsia="en-IE"/>
              </w:rPr>
            </w:pPr>
            <w:r w:rsidRPr="00AD21FF">
              <w:rPr>
                <w:noProof/>
                <w:color w:val="000000"/>
                <w:sz w:val="16"/>
                <w:szCs w:val="16"/>
                <w:lang w:eastAsia="en-IE"/>
              </w:rPr>
              <w:t xml:space="preserve">Human resources </w:t>
            </w:r>
          </w:p>
        </w:tc>
        <w:tc>
          <w:tcPr>
            <w:tcW w:w="492" w:type="pct"/>
            <w:tcBorders>
              <w:top w:val="nil"/>
              <w:left w:val="nil"/>
              <w:bottom w:val="single" w:sz="8" w:space="0" w:color="auto"/>
              <w:right w:val="single" w:sz="8" w:space="0" w:color="auto"/>
            </w:tcBorders>
            <w:shd w:val="clear" w:color="000000" w:fill="D9D9D9"/>
            <w:vAlign w:val="center"/>
            <w:hideMark/>
          </w:tcPr>
          <w:p w14:paraId="5E6FB28B"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7E2171A8"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64124133"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2B5C3571"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551" w:type="pct"/>
            <w:tcBorders>
              <w:top w:val="nil"/>
              <w:left w:val="nil"/>
              <w:bottom w:val="single" w:sz="8" w:space="0" w:color="auto"/>
              <w:right w:val="single" w:sz="8" w:space="0" w:color="auto"/>
            </w:tcBorders>
            <w:shd w:val="clear" w:color="000000" w:fill="D9D9D9"/>
            <w:vAlign w:val="center"/>
            <w:hideMark/>
          </w:tcPr>
          <w:p w14:paraId="0B7B09D2"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550" w:type="pct"/>
            <w:tcBorders>
              <w:top w:val="nil"/>
              <w:left w:val="nil"/>
              <w:bottom w:val="single" w:sz="8" w:space="0" w:color="auto"/>
              <w:right w:val="single" w:sz="8" w:space="0" w:color="auto"/>
            </w:tcBorders>
            <w:shd w:val="clear" w:color="000000" w:fill="D9D9D9"/>
            <w:vAlign w:val="center"/>
          </w:tcPr>
          <w:p w14:paraId="0A3461A2"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r>
      <w:tr w:rsidR="00F5068E" w:rsidRPr="00AD21FF" w14:paraId="732391AA"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02EE3CDB" w14:textId="77777777" w:rsidR="00F5068E" w:rsidRPr="00AD21FF" w:rsidRDefault="00F5068E" w:rsidP="00F5068E">
            <w:pPr>
              <w:spacing w:before="0" w:after="0"/>
              <w:jc w:val="left"/>
              <w:rPr>
                <w:noProof/>
                <w:color w:val="000000"/>
                <w:sz w:val="16"/>
                <w:szCs w:val="16"/>
                <w:lang w:eastAsia="en-IE"/>
              </w:rPr>
            </w:pPr>
            <w:r w:rsidRPr="00AD21FF">
              <w:rPr>
                <w:noProof/>
                <w:color w:val="000000"/>
                <w:sz w:val="16"/>
                <w:szCs w:val="16"/>
                <w:lang w:eastAsia="en-IE"/>
              </w:rPr>
              <w:t>Other expenditure of an administrative nature</w:t>
            </w:r>
          </w:p>
        </w:tc>
        <w:tc>
          <w:tcPr>
            <w:tcW w:w="492" w:type="pct"/>
            <w:tcBorders>
              <w:top w:val="nil"/>
              <w:left w:val="nil"/>
              <w:bottom w:val="single" w:sz="8" w:space="0" w:color="auto"/>
              <w:right w:val="single" w:sz="8" w:space="0" w:color="auto"/>
            </w:tcBorders>
            <w:shd w:val="clear" w:color="000000" w:fill="D9D9D9"/>
            <w:vAlign w:val="center"/>
            <w:hideMark/>
          </w:tcPr>
          <w:p w14:paraId="08A14679"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2E194A2E"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1B3F965A"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7177C881" w14:textId="77777777" w:rsidR="00F5068E" w:rsidRPr="00AD21FF" w:rsidRDefault="00F5068E" w:rsidP="00F5068E">
            <w:pPr>
              <w:spacing w:before="0" w:after="0"/>
              <w:jc w:val="right"/>
              <w:rPr>
                <w:noProof/>
                <w:color w:val="000000"/>
                <w:sz w:val="16"/>
                <w:szCs w:val="16"/>
                <w:lang w:eastAsia="en-IE"/>
              </w:rPr>
            </w:pPr>
            <w:r w:rsidRPr="00AD21FF">
              <w:rPr>
                <w:noProof/>
                <w:color w:val="000000"/>
                <w:sz w:val="16"/>
                <w:szCs w:val="16"/>
                <w:lang w:eastAsia="en-IE"/>
              </w:rPr>
              <w:t>0.000</w:t>
            </w:r>
          </w:p>
        </w:tc>
        <w:tc>
          <w:tcPr>
            <w:tcW w:w="551" w:type="pct"/>
            <w:tcBorders>
              <w:top w:val="nil"/>
              <w:left w:val="nil"/>
              <w:bottom w:val="single" w:sz="8" w:space="0" w:color="auto"/>
              <w:right w:val="single" w:sz="8" w:space="0" w:color="auto"/>
            </w:tcBorders>
            <w:shd w:val="clear" w:color="000000" w:fill="D9D9D9"/>
            <w:vAlign w:val="center"/>
            <w:hideMark/>
          </w:tcPr>
          <w:p w14:paraId="1B540233"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550" w:type="pct"/>
            <w:tcBorders>
              <w:top w:val="nil"/>
              <w:left w:val="nil"/>
              <w:bottom w:val="single" w:sz="8" w:space="0" w:color="auto"/>
              <w:right w:val="single" w:sz="8" w:space="0" w:color="auto"/>
            </w:tcBorders>
            <w:shd w:val="clear" w:color="000000" w:fill="D9D9D9"/>
            <w:vAlign w:val="center"/>
          </w:tcPr>
          <w:p w14:paraId="00E52E08"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r>
      <w:tr w:rsidR="00F5068E" w:rsidRPr="00AD21FF" w14:paraId="65AD9CD6" w14:textId="77777777" w:rsidTr="004E544E">
        <w:trPr>
          <w:trHeight w:val="300"/>
        </w:trPr>
        <w:tc>
          <w:tcPr>
            <w:tcW w:w="1931" w:type="pct"/>
            <w:tcBorders>
              <w:top w:val="nil"/>
              <w:left w:val="single" w:sz="8" w:space="0" w:color="auto"/>
              <w:bottom w:val="single" w:sz="8" w:space="0" w:color="auto"/>
              <w:right w:val="single" w:sz="8" w:space="0" w:color="auto"/>
            </w:tcBorders>
            <w:shd w:val="clear" w:color="000000" w:fill="CCCCCC"/>
            <w:vAlign w:val="center"/>
            <w:hideMark/>
          </w:tcPr>
          <w:p w14:paraId="36981FC5" w14:textId="77777777" w:rsidR="00F5068E" w:rsidRPr="00AD21FF" w:rsidRDefault="00F5068E" w:rsidP="00F5068E">
            <w:pPr>
              <w:spacing w:before="0" w:after="0"/>
              <w:jc w:val="center"/>
              <w:rPr>
                <w:b/>
                <w:noProof/>
                <w:color w:val="000000"/>
                <w:sz w:val="16"/>
                <w:szCs w:val="16"/>
                <w:lang w:eastAsia="en-IE"/>
              </w:rPr>
            </w:pPr>
            <w:r w:rsidRPr="00AD21FF">
              <w:rPr>
                <w:b/>
                <w:noProof/>
                <w:color w:val="000000"/>
                <w:sz w:val="16"/>
                <w:szCs w:val="16"/>
                <w:lang w:eastAsia="en-IE"/>
              </w:rPr>
              <w:t>Subtotal outside HEADING 7</w:t>
            </w:r>
          </w:p>
        </w:tc>
        <w:tc>
          <w:tcPr>
            <w:tcW w:w="492" w:type="pct"/>
            <w:tcBorders>
              <w:top w:val="nil"/>
              <w:left w:val="nil"/>
              <w:bottom w:val="single" w:sz="8" w:space="0" w:color="auto"/>
              <w:right w:val="single" w:sz="8" w:space="0" w:color="auto"/>
            </w:tcBorders>
            <w:shd w:val="clear" w:color="000000" w:fill="D9D9D9"/>
            <w:vAlign w:val="center"/>
            <w:hideMark/>
          </w:tcPr>
          <w:p w14:paraId="05079512"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0EEE987A"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725C37FD"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492" w:type="pct"/>
            <w:tcBorders>
              <w:top w:val="nil"/>
              <w:left w:val="nil"/>
              <w:bottom w:val="single" w:sz="8" w:space="0" w:color="auto"/>
              <w:right w:val="single" w:sz="8" w:space="0" w:color="auto"/>
            </w:tcBorders>
            <w:shd w:val="clear" w:color="000000" w:fill="D9D9D9"/>
            <w:vAlign w:val="center"/>
            <w:hideMark/>
          </w:tcPr>
          <w:p w14:paraId="56DCE38A"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551" w:type="pct"/>
            <w:tcBorders>
              <w:top w:val="nil"/>
              <w:left w:val="nil"/>
              <w:bottom w:val="single" w:sz="8" w:space="0" w:color="auto"/>
              <w:right w:val="single" w:sz="8" w:space="0" w:color="auto"/>
            </w:tcBorders>
            <w:shd w:val="clear" w:color="000000" w:fill="D9D9D9"/>
            <w:vAlign w:val="center"/>
            <w:hideMark/>
          </w:tcPr>
          <w:p w14:paraId="7311FE12"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c>
          <w:tcPr>
            <w:tcW w:w="550" w:type="pct"/>
            <w:tcBorders>
              <w:top w:val="nil"/>
              <w:left w:val="nil"/>
              <w:bottom w:val="single" w:sz="8" w:space="0" w:color="auto"/>
              <w:right w:val="single" w:sz="8" w:space="0" w:color="auto"/>
            </w:tcBorders>
            <w:shd w:val="clear" w:color="000000" w:fill="D9D9D9"/>
            <w:vAlign w:val="center"/>
          </w:tcPr>
          <w:p w14:paraId="144CE9AF" w14:textId="77777777" w:rsidR="00F5068E" w:rsidRPr="00AD21FF" w:rsidRDefault="00F5068E" w:rsidP="00F5068E">
            <w:pPr>
              <w:spacing w:before="0" w:after="0"/>
              <w:jc w:val="right"/>
              <w:rPr>
                <w:b/>
                <w:noProof/>
                <w:color w:val="000000"/>
                <w:sz w:val="16"/>
                <w:szCs w:val="16"/>
                <w:lang w:eastAsia="en-IE"/>
              </w:rPr>
            </w:pPr>
            <w:r w:rsidRPr="00AD21FF">
              <w:rPr>
                <w:b/>
                <w:noProof/>
                <w:color w:val="000000"/>
                <w:sz w:val="16"/>
                <w:szCs w:val="16"/>
                <w:lang w:eastAsia="en-IE"/>
              </w:rPr>
              <w:t>0.000</w:t>
            </w:r>
          </w:p>
        </w:tc>
      </w:tr>
      <w:tr w:rsidR="00F5068E" w:rsidRPr="00AD21FF" w14:paraId="103E6257" w14:textId="77777777" w:rsidTr="008505AC">
        <w:trPr>
          <w:trHeight w:val="300"/>
        </w:trPr>
        <w:tc>
          <w:tcPr>
            <w:tcW w:w="5000" w:type="pct"/>
            <w:gridSpan w:val="7"/>
            <w:tcBorders>
              <w:top w:val="single" w:sz="8" w:space="0" w:color="auto"/>
              <w:left w:val="single" w:sz="8" w:space="0" w:color="auto"/>
              <w:bottom w:val="single" w:sz="8" w:space="0" w:color="auto"/>
              <w:right w:val="single" w:sz="4" w:space="0" w:color="auto"/>
            </w:tcBorders>
            <w:noWrap/>
            <w:vAlign w:val="center"/>
            <w:hideMark/>
          </w:tcPr>
          <w:p w14:paraId="5066BBC5" w14:textId="77777777" w:rsidR="00F5068E" w:rsidRPr="00AD21FF" w:rsidRDefault="00F5068E" w:rsidP="00F5068E">
            <w:pPr>
              <w:spacing w:before="0" w:after="0"/>
              <w:jc w:val="center"/>
              <w:rPr>
                <w:noProof/>
                <w:color w:val="000000"/>
                <w:sz w:val="16"/>
                <w:szCs w:val="16"/>
                <w:lang w:eastAsia="en-IE"/>
              </w:rPr>
            </w:pPr>
            <w:r w:rsidRPr="00AD21FF">
              <w:rPr>
                <w:noProof/>
                <w:color w:val="000000"/>
                <w:sz w:val="16"/>
                <w:szCs w:val="16"/>
                <w:lang w:eastAsia="en-IE"/>
              </w:rPr>
              <w:t> </w:t>
            </w:r>
          </w:p>
        </w:tc>
      </w:tr>
      <w:tr w:rsidR="00F5068E" w:rsidRPr="00AD21FF" w14:paraId="62109A0D"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444F5B0D" w14:textId="77777777" w:rsidR="00F5068E" w:rsidRPr="00AD21FF" w:rsidRDefault="00F5068E" w:rsidP="00F5068E">
            <w:pPr>
              <w:spacing w:before="0" w:after="0"/>
              <w:jc w:val="center"/>
              <w:rPr>
                <w:b/>
                <w:noProof/>
                <w:color w:val="000000"/>
                <w:sz w:val="16"/>
                <w:szCs w:val="16"/>
                <w:lang w:eastAsia="en-IE"/>
              </w:rPr>
            </w:pPr>
            <w:r w:rsidRPr="00AD21FF">
              <w:rPr>
                <w:b/>
                <w:noProof/>
                <w:color w:val="000000"/>
                <w:sz w:val="16"/>
                <w:szCs w:val="16"/>
                <w:lang w:eastAsia="en-IE"/>
              </w:rPr>
              <w:t>TOTAL</w:t>
            </w:r>
          </w:p>
        </w:tc>
        <w:tc>
          <w:tcPr>
            <w:tcW w:w="492" w:type="pct"/>
            <w:tcBorders>
              <w:top w:val="nil"/>
              <w:left w:val="nil"/>
              <w:bottom w:val="single" w:sz="8" w:space="0" w:color="auto"/>
              <w:right w:val="single" w:sz="8" w:space="0" w:color="auto"/>
            </w:tcBorders>
            <w:shd w:val="clear" w:color="000000" w:fill="D9D9D9"/>
            <w:vAlign w:val="center"/>
            <w:hideMark/>
          </w:tcPr>
          <w:p w14:paraId="3364EB73" w14:textId="77777777" w:rsidR="00F5068E" w:rsidRPr="00AD21FF" w:rsidRDefault="00F5068E" w:rsidP="00F5068E">
            <w:pPr>
              <w:spacing w:before="0" w:after="0"/>
              <w:jc w:val="right"/>
              <w:rPr>
                <w:b/>
                <w:noProof/>
                <w:color w:val="000000"/>
                <w:sz w:val="16"/>
                <w:szCs w:val="16"/>
                <w:lang w:eastAsia="en-IE"/>
              </w:rPr>
            </w:pPr>
            <w:r w:rsidRPr="00AD21FF">
              <w:rPr>
                <w:b/>
                <w:bCs/>
                <w:noProof/>
                <w:sz w:val="16"/>
                <w:szCs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41A95991" w14:textId="77777777" w:rsidR="00F5068E" w:rsidRPr="00AD21FF" w:rsidRDefault="00F5068E" w:rsidP="00F5068E">
            <w:pPr>
              <w:spacing w:before="0" w:after="0"/>
              <w:jc w:val="right"/>
              <w:rPr>
                <w:b/>
                <w:noProof/>
                <w:color w:val="000000"/>
                <w:sz w:val="16"/>
                <w:szCs w:val="16"/>
                <w:lang w:eastAsia="en-IE"/>
              </w:rPr>
            </w:pPr>
            <w:r w:rsidRPr="00AD21FF">
              <w:rPr>
                <w:b/>
                <w:bCs/>
                <w:noProof/>
                <w:sz w:val="16"/>
                <w:szCs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8DDF1C2" w14:textId="77777777" w:rsidR="00F5068E" w:rsidRPr="00AD21FF" w:rsidRDefault="00F5068E" w:rsidP="00F5068E">
            <w:pPr>
              <w:spacing w:before="0" w:after="0"/>
              <w:jc w:val="right"/>
              <w:rPr>
                <w:b/>
                <w:noProof/>
                <w:color w:val="000000"/>
                <w:sz w:val="16"/>
                <w:szCs w:val="16"/>
                <w:lang w:eastAsia="en-IE"/>
              </w:rPr>
            </w:pPr>
            <w:r w:rsidRPr="00AD21FF">
              <w:rPr>
                <w:b/>
                <w:bCs/>
                <w:noProof/>
                <w:sz w:val="16"/>
                <w:szCs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5907067" w14:textId="77777777" w:rsidR="00F5068E" w:rsidRPr="00AD21FF" w:rsidRDefault="00F5068E" w:rsidP="00F5068E">
            <w:pPr>
              <w:spacing w:before="0" w:after="0"/>
              <w:jc w:val="right"/>
              <w:rPr>
                <w:b/>
                <w:noProof/>
                <w:color w:val="000000"/>
                <w:sz w:val="16"/>
                <w:szCs w:val="16"/>
                <w:lang w:eastAsia="en-IE"/>
              </w:rPr>
            </w:pPr>
            <w:r w:rsidRPr="00AD21FF">
              <w:rPr>
                <w:b/>
                <w:bCs/>
                <w:noProof/>
                <w:sz w:val="16"/>
                <w:szCs w:val="16"/>
              </w:rPr>
              <w:t>1.164</w:t>
            </w:r>
          </w:p>
        </w:tc>
        <w:tc>
          <w:tcPr>
            <w:tcW w:w="551" w:type="pct"/>
            <w:tcBorders>
              <w:top w:val="nil"/>
              <w:left w:val="nil"/>
              <w:bottom w:val="single" w:sz="8" w:space="0" w:color="auto"/>
              <w:right w:val="single" w:sz="8" w:space="0" w:color="auto"/>
            </w:tcBorders>
            <w:shd w:val="clear" w:color="000000" w:fill="D9D9D9"/>
            <w:vAlign w:val="center"/>
            <w:hideMark/>
          </w:tcPr>
          <w:p w14:paraId="6134D97C" w14:textId="77777777" w:rsidR="00F5068E" w:rsidRPr="00AD21FF" w:rsidRDefault="00F5068E" w:rsidP="00F5068E">
            <w:pPr>
              <w:spacing w:before="0" w:after="0"/>
              <w:jc w:val="right"/>
              <w:rPr>
                <w:b/>
                <w:noProof/>
                <w:color w:val="000000"/>
                <w:sz w:val="16"/>
                <w:szCs w:val="16"/>
                <w:lang w:eastAsia="en-IE"/>
              </w:rPr>
            </w:pPr>
            <w:r w:rsidRPr="00AD21FF">
              <w:rPr>
                <w:b/>
                <w:bCs/>
                <w:noProof/>
                <w:sz w:val="16"/>
                <w:szCs w:val="16"/>
              </w:rPr>
              <w:t>1.164</w:t>
            </w:r>
          </w:p>
        </w:tc>
        <w:tc>
          <w:tcPr>
            <w:tcW w:w="550" w:type="pct"/>
            <w:tcBorders>
              <w:top w:val="nil"/>
              <w:left w:val="nil"/>
              <w:bottom w:val="single" w:sz="8" w:space="0" w:color="auto"/>
              <w:right w:val="single" w:sz="8" w:space="0" w:color="auto"/>
            </w:tcBorders>
            <w:shd w:val="clear" w:color="000000" w:fill="D9D9D9"/>
            <w:vAlign w:val="center"/>
          </w:tcPr>
          <w:p w14:paraId="4388617C" w14:textId="77777777" w:rsidR="00F5068E" w:rsidRDefault="00F5068E" w:rsidP="00F5068E">
            <w:pPr>
              <w:spacing w:before="0" w:after="0"/>
              <w:jc w:val="right"/>
              <w:rPr>
                <w:b/>
                <w:noProof/>
                <w:color w:val="000000"/>
                <w:sz w:val="16"/>
                <w:szCs w:val="16"/>
                <w:lang w:eastAsia="en-IE"/>
              </w:rPr>
            </w:pPr>
            <w:r>
              <w:rPr>
                <w:b/>
                <w:noProof/>
                <w:color w:val="000000"/>
                <w:sz w:val="16"/>
                <w:szCs w:val="16"/>
                <w:lang w:eastAsia="en-IE"/>
              </w:rPr>
              <w:t>8.148</w:t>
            </w:r>
          </w:p>
        </w:tc>
      </w:tr>
    </w:tbl>
    <w:p w14:paraId="31F2D3EB" w14:textId="77777777" w:rsidR="00A766D7" w:rsidRDefault="00A766D7" w:rsidP="00CA7C31">
      <w:pPr>
        <w:rPr>
          <w:noProof/>
        </w:rPr>
      </w:pPr>
      <w:r w:rsidRPr="00A766D7">
        <w:rPr>
          <w:noProof/>
        </w:rPr>
        <w:t>Figures in the tables above are all strictly indicative pending the outcome of the 2028-2034 MFF negotiations which cannot be prejudged.</w:t>
      </w:r>
    </w:p>
    <w:p w14:paraId="4BB8A720" w14:textId="77777777" w:rsidR="006163BD" w:rsidRDefault="006163BD" w:rsidP="006163BD">
      <w:pPr>
        <w:jc w:val="right"/>
        <w:rPr>
          <w:noProof/>
        </w:rPr>
      </w:pPr>
      <w:r w:rsidRPr="00AD21FF">
        <w:rPr>
          <w:noProof/>
          <w:sz w:val="20"/>
        </w:rPr>
        <w:t>EUR million (to three decimal places)</w:t>
      </w:r>
    </w:p>
    <w:tbl>
      <w:tblPr>
        <w:tblW w:w="5000" w:type="pct"/>
        <w:tblLook w:val="04A0" w:firstRow="1" w:lastRow="0" w:firstColumn="1" w:lastColumn="0" w:noHBand="0" w:noVBand="1"/>
      </w:tblPr>
      <w:tblGrid>
        <w:gridCol w:w="2518"/>
        <w:gridCol w:w="618"/>
        <w:gridCol w:w="619"/>
        <w:gridCol w:w="619"/>
        <w:gridCol w:w="633"/>
        <w:gridCol w:w="633"/>
        <w:gridCol w:w="633"/>
        <w:gridCol w:w="633"/>
        <w:gridCol w:w="847"/>
        <w:gridCol w:w="658"/>
        <w:gridCol w:w="876"/>
      </w:tblGrid>
      <w:tr w:rsidR="000473B3" w:rsidRPr="000473B3" w14:paraId="55875517" w14:textId="77777777" w:rsidTr="000473B3">
        <w:trPr>
          <w:trHeight w:val="300"/>
        </w:trPr>
        <w:tc>
          <w:tcPr>
            <w:tcW w:w="1356" w:type="pct"/>
            <w:vMerge w:val="restart"/>
            <w:tcBorders>
              <w:top w:val="single" w:sz="8" w:space="0" w:color="auto"/>
              <w:left w:val="single" w:sz="8" w:space="0" w:color="auto"/>
              <w:bottom w:val="single" w:sz="8" w:space="0" w:color="auto"/>
              <w:right w:val="single" w:sz="8" w:space="0" w:color="auto"/>
            </w:tcBorders>
            <w:vAlign w:val="center"/>
            <w:hideMark/>
          </w:tcPr>
          <w:p w14:paraId="05F05EC7"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VOTED APPROPRIATIONS</w:t>
            </w:r>
          </w:p>
        </w:tc>
        <w:tc>
          <w:tcPr>
            <w:tcW w:w="333" w:type="pct"/>
            <w:tcBorders>
              <w:top w:val="single" w:sz="8" w:space="0" w:color="auto"/>
              <w:left w:val="nil"/>
              <w:bottom w:val="single" w:sz="8" w:space="0" w:color="auto"/>
              <w:right w:val="single" w:sz="8" w:space="0" w:color="auto"/>
            </w:tcBorders>
            <w:vAlign w:val="center"/>
            <w:hideMark/>
          </w:tcPr>
          <w:p w14:paraId="7170BE33" w14:textId="77777777" w:rsidR="000473B3" w:rsidRPr="000473B3" w:rsidRDefault="000473B3" w:rsidP="000473B3">
            <w:pPr>
              <w:spacing w:before="0" w:after="0"/>
              <w:jc w:val="center"/>
              <w:rPr>
                <w:rFonts w:eastAsia="Times New Roman"/>
                <w:noProof/>
                <w:color w:val="000000"/>
                <w:sz w:val="18"/>
                <w:szCs w:val="18"/>
                <w:lang w:val="en-IE" w:eastAsia="en-IE"/>
              </w:rPr>
            </w:pPr>
            <w:r w:rsidRPr="000473B3">
              <w:rPr>
                <w:rFonts w:eastAsia="Times New Roman"/>
                <w:noProof/>
                <w:color w:val="000000"/>
                <w:sz w:val="18"/>
                <w:szCs w:val="18"/>
                <w:lang w:val="en-IE" w:eastAsia="en-IE"/>
              </w:rPr>
              <w:t>Year</w:t>
            </w:r>
          </w:p>
        </w:tc>
        <w:tc>
          <w:tcPr>
            <w:tcW w:w="333" w:type="pct"/>
            <w:tcBorders>
              <w:top w:val="single" w:sz="8" w:space="0" w:color="auto"/>
              <w:left w:val="nil"/>
              <w:bottom w:val="single" w:sz="8" w:space="0" w:color="auto"/>
              <w:right w:val="single" w:sz="8" w:space="0" w:color="auto"/>
            </w:tcBorders>
            <w:vAlign w:val="center"/>
            <w:hideMark/>
          </w:tcPr>
          <w:p w14:paraId="0D3D966D" w14:textId="77777777" w:rsidR="000473B3" w:rsidRPr="000473B3" w:rsidRDefault="000473B3" w:rsidP="000473B3">
            <w:pPr>
              <w:spacing w:before="0" w:after="0"/>
              <w:jc w:val="center"/>
              <w:rPr>
                <w:rFonts w:eastAsia="Times New Roman"/>
                <w:noProof/>
                <w:color w:val="000000"/>
                <w:sz w:val="18"/>
                <w:szCs w:val="18"/>
                <w:lang w:val="en-IE" w:eastAsia="en-IE"/>
              </w:rPr>
            </w:pPr>
            <w:r w:rsidRPr="000473B3">
              <w:rPr>
                <w:rFonts w:eastAsia="Times New Roman"/>
                <w:noProof/>
                <w:color w:val="000000"/>
                <w:sz w:val="18"/>
                <w:szCs w:val="18"/>
                <w:lang w:val="en-IE" w:eastAsia="en-IE"/>
              </w:rPr>
              <w:t>Year</w:t>
            </w:r>
          </w:p>
        </w:tc>
        <w:tc>
          <w:tcPr>
            <w:tcW w:w="333" w:type="pct"/>
            <w:tcBorders>
              <w:top w:val="single" w:sz="8" w:space="0" w:color="auto"/>
              <w:left w:val="nil"/>
              <w:bottom w:val="single" w:sz="8" w:space="0" w:color="auto"/>
              <w:right w:val="single" w:sz="8" w:space="0" w:color="auto"/>
            </w:tcBorders>
            <w:vAlign w:val="center"/>
            <w:hideMark/>
          </w:tcPr>
          <w:p w14:paraId="0EC09CA8" w14:textId="77777777" w:rsidR="000473B3" w:rsidRPr="000473B3" w:rsidRDefault="000473B3" w:rsidP="000473B3">
            <w:pPr>
              <w:spacing w:before="0" w:after="0"/>
              <w:jc w:val="center"/>
              <w:rPr>
                <w:rFonts w:eastAsia="Times New Roman"/>
                <w:noProof/>
                <w:color w:val="000000"/>
                <w:sz w:val="18"/>
                <w:szCs w:val="18"/>
                <w:lang w:val="en-IE" w:eastAsia="en-IE"/>
              </w:rPr>
            </w:pPr>
            <w:r w:rsidRPr="000473B3">
              <w:rPr>
                <w:rFonts w:eastAsia="Times New Roman"/>
                <w:noProof/>
                <w:color w:val="000000"/>
                <w:sz w:val="18"/>
                <w:szCs w:val="18"/>
                <w:lang w:val="en-IE" w:eastAsia="en-IE"/>
              </w:rPr>
              <w:t>Year</w:t>
            </w:r>
          </w:p>
        </w:tc>
        <w:tc>
          <w:tcPr>
            <w:tcW w:w="341" w:type="pct"/>
            <w:tcBorders>
              <w:top w:val="single" w:sz="8" w:space="0" w:color="auto"/>
              <w:left w:val="nil"/>
              <w:bottom w:val="single" w:sz="8" w:space="0" w:color="auto"/>
              <w:right w:val="single" w:sz="8" w:space="0" w:color="auto"/>
            </w:tcBorders>
            <w:vAlign w:val="center"/>
            <w:hideMark/>
          </w:tcPr>
          <w:p w14:paraId="0E469055" w14:textId="77777777" w:rsidR="000473B3" w:rsidRPr="000473B3" w:rsidRDefault="000473B3" w:rsidP="000473B3">
            <w:pPr>
              <w:spacing w:before="0" w:after="0"/>
              <w:jc w:val="center"/>
              <w:rPr>
                <w:rFonts w:eastAsia="Times New Roman"/>
                <w:noProof/>
                <w:color w:val="000000"/>
                <w:sz w:val="18"/>
                <w:szCs w:val="18"/>
                <w:lang w:val="en-IE" w:eastAsia="en-IE"/>
              </w:rPr>
            </w:pPr>
            <w:r w:rsidRPr="000473B3">
              <w:rPr>
                <w:rFonts w:eastAsia="Times New Roman"/>
                <w:noProof/>
                <w:color w:val="000000"/>
                <w:sz w:val="18"/>
                <w:szCs w:val="18"/>
                <w:lang w:val="en-IE" w:eastAsia="en-IE"/>
              </w:rPr>
              <w:t>Year</w:t>
            </w:r>
          </w:p>
        </w:tc>
        <w:tc>
          <w:tcPr>
            <w:tcW w:w="341" w:type="pct"/>
            <w:tcBorders>
              <w:top w:val="single" w:sz="8" w:space="0" w:color="auto"/>
              <w:left w:val="nil"/>
              <w:bottom w:val="single" w:sz="8" w:space="0" w:color="auto"/>
              <w:right w:val="single" w:sz="8" w:space="0" w:color="auto"/>
            </w:tcBorders>
            <w:vAlign w:val="center"/>
            <w:hideMark/>
          </w:tcPr>
          <w:p w14:paraId="441BC24E" w14:textId="77777777" w:rsidR="000473B3" w:rsidRPr="000473B3" w:rsidRDefault="000473B3" w:rsidP="000473B3">
            <w:pPr>
              <w:spacing w:before="0" w:after="0"/>
              <w:jc w:val="center"/>
              <w:rPr>
                <w:rFonts w:eastAsia="Times New Roman"/>
                <w:noProof/>
                <w:color w:val="000000"/>
                <w:sz w:val="18"/>
                <w:szCs w:val="18"/>
                <w:lang w:val="en-IE" w:eastAsia="en-IE"/>
              </w:rPr>
            </w:pPr>
            <w:r w:rsidRPr="000473B3">
              <w:rPr>
                <w:rFonts w:eastAsia="Times New Roman"/>
                <w:noProof/>
                <w:color w:val="000000"/>
                <w:sz w:val="18"/>
                <w:szCs w:val="18"/>
                <w:lang w:val="en-IE" w:eastAsia="en-IE"/>
              </w:rPr>
              <w:t>Year</w:t>
            </w:r>
          </w:p>
        </w:tc>
        <w:tc>
          <w:tcPr>
            <w:tcW w:w="341" w:type="pct"/>
            <w:tcBorders>
              <w:top w:val="single" w:sz="8" w:space="0" w:color="auto"/>
              <w:left w:val="nil"/>
              <w:bottom w:val="single" w:sz="8" w:space="0" w:color="auto"/>
              <w:right w:val="single" w:sz="8" w:space="0" w:color="auto"/>
            </w:tcBorders>
            <w:vAlign w:val="center"/>
            <w:hideMark/>
          </w:tcPr>
          <w:p w14:paraId="77F9F15D" w14:textId="77777777" w:rsidR="000473B3" w:rsidRPr="000473B3" w:rsidRDefault="000473B3" w:rsidP="000473B3">
            <w:pPr>
              <w:spacing w:before="0" w:after="0"/>
              <w:jc w:val="center"/>
              <w:rPr>
                <w:rFonts w:eastAsia="Times New Roman"/>
                <w:noProof/>
                <w:color w:val="000000"/>
                <w:sz w:val="18"/>
                <w:szCs w:val="18"/>
                <w:lang w:val="en-IE" w:eastAsia="en-IE"/>
              </w:rPr>
            </w:pPr>
            <w:r w:rsidRPr="000473B3">
              <w:rPr>
                <w:rFonts w:eastAsia="Times New Roman"/>
                <w:noProof/>
                <w:color w:val="000000"/>
                <w:sz w:val="18"/>
                <w:szCs w:val="18"/>
                <w:lang w:val="en-IE" w:eastAsia="en-IE"/>
              </w:rPr>
              <w:t>Year</w:t>
            </w:r>
          </w:p>
        </w:tc>
        <w:tc>
          <w:tcPr>
            <w:tcW w:w="341" w:type="pct"/>
            <w:tcBorders>
              <w:top w:val="single" w:sz="8" w:space="0" w:color="auto"/>
              <w:left w:val="nil"/>
              <w:bottom w:val="single" w:sz="8" w:space="0" w:color="auto"/>
              <w:right w:val="single" w:sz="8" w:space="0" w:color="auto"/>
            </w:tcBorders>
            <w:vAlign w:val="center"/>
            <w:hideMark/>
          </w:tcPr>
          <w:p w14:paraId="4AAD847B" w14:textId="77777777" w:rsidR="000473B3" w:rsidRPr="000473B3" w:rsidRDefault="000473B3" w:rsidP="000473B3">
            <w:pPr>
              <w:spacing w:before="0" w:after="0"/>
              <w:jc w:val="center"/>
              <w:rPr>
                <w:rFonts w:eastAsia="Times New Roman"/>
                <w:noProof/>
                <w:color w:val="000000"/>
                <w:sz w:val="18"/>
                <w:szCs w:val="18"/>
                <w:lang w:val="en-IE" w:eastAsia="en-IE"/>
              </w:rPr>
            </w:pPr>
            <w:r w:rsidRPr="000473B3">
              <w:rPr>
                <w:rFonts w:eastAsia="Times New Roman"/>
                <w:noProof/>
                <w:color w:val="000000"/>
                <w:sz w:val="18"/>
                <w:szCs w:val="18"/>
                <w:lang w:val="en-IE" w:eastAsia="en-IE"/>
              </w:rPr>
              <w:t>Year</w:t>
            </w:r>
          </w:p>
        </w:tc>
        <w:tc>
          <w:tcPr>
            <w:tcW w:w="456" w:type="pct"/>
            <w:vMerge w:val="restart"/>
            <w:tcBorders>
              <w:top w:val="single" w:sz="8" w:space="0" w:color="auto"/>
              <w:left w:val="single" w:sz="8" w:space="0" w:color="auto"/>
              <w:bottom w:val="single" w:sz="8" w:space="0" w:color="auto"/>
              <w:right w:val="single" w:sz="8" w:space="0" w:color="auto"/>
            </w:tcBorders>
            <w:vAlign w:val="center"/>
            <w:hideMark/>
          </w:tcPr>
          <w:p w14:paraId="7DC03AB9"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TOTAL</w:t>
            </w:r>
            <w:r w:rsidRPr="000473B3">
              <w:rPr>
                <w:rFonts w:eastAsia="Times New Roman"/>
                <w:b/>
                <w:bCs/>
                <w:noProof/>
                <w:color w:val="000000"/>
                <w:sz w:val="18"/>
                <w:szCs w:val="18"/>
                <w:lang w:val="en-IE" w:eastAsia="en-IE"/>
              </w:rPr>
              <w:br/>
              <w:t>2028 - 2034</w:t>
            </w:r>
          </w:p>
        </w:tc>
        <w:tc>
          <w:tcPr>
            <w:tcW w:w="354" w:type="pct"/>
            <w:tcBorders>
              <w:top w:val="single" w:sz="8" w:space="0" w:color="auto"/>
              <w:left w:val="nil"/>
              <w:bottom w:val="single" w:sz="8" w:space="0" w:color="auto"/>
              <w:right w:val="single" w:sz="8" w:space="0" w:color="auto"/>
            </w:tcBorders>
            <w:vAlign w:val="center"/>
            <w:hideMark/>
          </w:tcPr>
          <w:p w14:paraId="5299B574" w14:textId="77777777" w:rsidR="000473B3" w:rsidRPr="000473B3" w:rsidRDefault="000473B3" w:rsidP="000473B3">
            <w:pPr>
              <w:spacing w:before="0" w:after="0"/>
              <w:jc w:val="center"/>
              <w:rPr>
                <w:rFonts w:eastAsia="Times New Roman"/>
                <w:noProof/>
                <w:color w:val="000000"/>
                <w:sz w:val="18"/>
                <w:szCs w:val="18"/>
                <w:lang w:val="en-IE" w:eastAsia="en-IE"/>
              </w:rPr>
            </w:pPr>
            <w:r w:rsidRPr="000473B3">
              <w:rPr>
                <w:rFonts w:eastAsia="Times New Roman"/>
                <w:noProof/>
                <w:color w:val="000000"/>
                <w:sz w:val="18"/>
                <w:szCs w:val="18"/>
                <w:lang w:val="en-IE" w:eastAsia="en-IE"/>
              </w:rPr>
              <w:t>POST</w:t>
            </w:r>
          </w:p>
        </w:tc>
        <w:tc>
          <w:tcPr>
            <w:tcW w:w="472" w:type="pct"/>
            <w:vMerge w:val="restart"/>
            <w:tcBorders>
              <w:top w:val="single" w:sz="8" w:space="0" w:color="auto"/>
              <w:left w:val="single" w:sz="8" w:space="0" w:color="auto"/>
              <w:bottom w:val="single" w:sz="8" w:space="0" w:color="auto"/>
              <w:right w:val="single" w:sz="8" w:space="0" w:color="auto"/>
            </w:tcBorders>
            <w:vAlign w:val="center"/>
            <w:hideMark/>
          </w:tcPr>
          <w:p w14:paraId="6DD312DB"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GRAND TOTAL</w:t>
            </w:r>
          </w:p>
        </w:tc>
      </w:tr>
      <w:tr w:rsidR="000473B3" w:rsidRPr="000473B3" w14:paraId="43FA972E" w14:textId="77777777" w:rsidTr="000473B3">
        <w:trPr>
          <w:trHeight w:val="315"/>
        </w:trPr>
        <w:tc>
          <w:tcPr>
            <w:tcW w:w="1356" w:type="pct"/>
            <w:vMerge/>
            <w:tcBorders>
              <w:top w:val="single" w:sz="8" w:space="0" w:color="auto"/>
              <w:left w:val="single" w:sz="8" w:space="0" w:color="auto"/>
              <w:bottom w:val="single" w:sz="8" w:space="0" w:color="auto"/>
              <w:right w:val="single" w:sz="8" w:space="0" w:color="auto"/>
            </w:tcBorders>
            <w:vAlign w:val="center"/>
            <w:hideMark/>
          </w:tcPr>
          <w:p w14:paraId="43D8452C" w14:textId="77777777" w:rsidR="000473B3" w:rsidRPr="000473B3" w:rsidRDefault="000473B3" w:rsidP="000473B3">
            <w:pPr>
              <w:spacing w:before="0" w:after="0"/>
              <w:jc w:val="left"/>
              <w:rPr>
                <w:rFonts w:eastAsia="Times New Roman"/>
                <w:b/>
                <w:bCs/>
                <w:noProof/>
                <w:color w:val="000000"/>
                <w:sz w:val="18"/>
                <w:szCs w:val="18"/>
                <w:lang w:val="en-IE" w:eastAsia="en-IE"/>
              </w:rPr>
            </w:pPr>
          </w:p>
        </w:tc>
        <w:tc>
          <w:tcPr>
            <w:tcW w:w="333" w:type="pct"/>
            <w:tcBorders>
              <w:top w:val="nil"/>
              <w:left w:val="nil"/>
              <w:bottom w:val="single" w:sz="8" w:space="0" w:color="auto"/>
              <w:right w:val="single" w:sz="8" w:space="0" w:color="auto"/>
            </w:tcBorders>
            <w:vAlign w:val="center"/>
            <w:hideMark/>
          </w:tcPr>
          <w:p w14:paraId="5AE27F73"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2028</w:t>
            </w:r>
          </w:p>
        </w:tc>
        <w:tc>
          <w:tcPr>
            <w:tcW w:w="333" w:type="pct"/>
            <w:tcBorders>
              <w:top w:val="nil"/>
              <w:left w:val="nil"/>
              <w:bottom w:val="single" w:sz="8" w:space="0" w:color="auto"/>
              <w:right w:val="single" w:sz="8" w:space="0" w:color="auto"/>
            </w:tcBorders>
            <w:vAlign w:val="center"/>
            <w:hideMark/>
          </w:tcPr>
          <w:p w14:paraId="3E405025"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2029</w:t>
            </w:r>
          </w:p>
        </w:tc>
        <w:tc>
          <w:tcPr>
            <w:tcW w:w="333" w:type="pct"/>
            <w:tcBorders>
              <w:top w:val="nil"/>
              <w:left w:val="nil"/>
              <w:bottom w:val="single" w:sz="8" w:space="0" w:color="auto"/>
              <w:right w:val="single" w:sz="8" w:space="0" w:color="auto"/>
            </w:tcBorders>
            <w:vAlign w:val="center"/>
            <w:hideMark/>
          </w:tcPr>
          <w:p w14:paraId="444F6E76"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2030</w:t>
            </w:r>
          </w:p>
        </w:tc>
        <w:tc>
          <w:tcPr>
            <w:tcW w:w="341" w:type="pct"/>
            <w:tcBorders>
              <w:top w:val="nil"/>
              <w:left w:val="nil"/>
              <w:bottom w:val="single" w:sz="8" w:space="0" w:color="auto"/>
              <w:right w:val="single" w:sz="8" w:space="0" w:color="auto"/>
            </w:tcBorders>
            <w:vAlign w:val="center"/>
            <w:hideMark/>
          </w:tcPr>
          <w:p w14:paraId="364D8899"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2031</w:t>
            </w:r>
          </w:p>
        </w:tc>
        <w:tc>
          <w:tcPr>
            <w:tcW w:w="341" w:type="pct"/>
            <w:tcBorders>
              <w:top w:val="nil"/>
              <w:left w:val="nil"/>
              <w:bottom w:val="single" w:sz="8" w:space="0" w:color="auto"/>
              <w:right w:val="single" w:sz="8" w:space="0" w:color="auto"/>
            </w:tcBorders>
            <w:vAlign w:val="center"/>
            <w:hideMark/>
          </w:tcPr>
          <w:p w14:paraId="577E265B"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2032</w:t>
            </w:r>
          </w:p>
        </w:tc>
        <w:tc>
          <w:tcPr>
            <w:tcW w:w="341" w:type="pct"/>
            <w:tcBorders>
              <w:top w:val="nil"/>
              <w:left w:val="nil"/>
              <w:bottom w:val="single" w:sz="8" w:space="0" w:color="auto"/>
              <w:right w:val="single" w:sz="8" w:space="0" w:color="auto"/>
            </w:tcBorders>
            <w:vAlign w:val="center"/>
            <w:hideMark/>
          </w:tcPr>
          <w:p w14:paraId="1D92438F"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2033</w:t>
            </w:r>
          </w:p>
        </w:tc>
        <w:tc>
          <w:tcPr>
            <w:tcW w:w="341" w:type="pct"/>
            <w:tcBorders>
              <w:top w:val="nil"/>
              <w:left w:val="nil"/>
              <w:bottom w:val="single" w:sz="8" w:space="0" w:color="auto"/>
              <w:right w:val="single" w:sz="8" w:space="0" w:color="auto"/>
            </w:tcBorders>
            <w:vAlign w:val="center"/>
            <w:hideMark/>
          </w:tcPr>
          <w:p w14:paraId="0F3677E7"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2034</w:t>
            </w:r>
          </w:p>
        </w:tc>
        <w:tc>
          <w:tcPr>
            <w:tcW w:w="456" w:type="pct"/>
            <w:vMerge/>
            <w:tcBorders>
              <w:top w:val="single" w:sz="8" w:space="0" w:color="auto"/>
              <w:left w:val="single" w:sz="8" w:space="0" w:color="auto"/>
              <w:bottom w:val="single" w:sz="8" w:space="0" w:color="auto"/>
              <w:right w:val="single" w:sz="8" w:space="0" w:color="auto"/>
            </w:tcBorders>
            <w:vAlign w:val="center"/>
            <w:hideMark/>
          </w:tcPr>
          <w:p w14:paraId="37A2A02D" w14:textId="77777777" w:rsidR="000473B3" w:rsidRPr="000473B3" w:rsidRDefault="000473B3" w:rsidP="000473B3">
            <w:pPr>
              <w:spacing w:before="0" w:after="0"/>
              <w:jc w:val="left"/>
              <w:rPr>
                <w:rFonts w:eastAsia="Times New Roman"/>
                <w:b/>
                <w:bCs/>
                <w:noProof/>
                <w:color w:val="000000"/>
                <w:sz w:val="18"/>
                <w:szCs w:val="18"/>
                <w:lang w:val="en-IE" w:eastAsia="en-IE"/>
              </w:rPr>
            </w:pPr>
          </w:p>
        </w:tc>
        <w:tc>
          <w:tcPr>
            <w:tcW w:w="354" w:type="pct"/>
            <w:tcBorders>
              <w:top w:val="nil"/>
              <w:left w:val="nil"/>
              <w:bottom w:val="single" w:sz="8" w:space="0" w:color="auto"/>
              <w:right w:val="single" w:sz="8" w:space="0" w:color="auto"/>
            </w:tcBorders>
            <w:vAlign w:val="center"/>
            <w:hideMark/>
          </w:tcPr>
          <w:p w14:paraId="74E7AE38" w14:textId="77777777" w:rsidR="000473B3" w:rsidRPr="000473B3" w:rsidRDefault="000473B3" w:rsidP="000473B3">
            <w:pPr>
              <w:spacing w:before="0" w:after="0"/>
              <w:jc w:val="center"/>
              <w:rPr>
                <w:rFonts w:eastAsia="Times New Roman"/>
                <w:b/>
                <w:bCs/>
                <w:noProof/>
                <w:color w:val="000000"/>
                <w:sz w:val="18"/>
                <w:szCs w:val="18"/>
                <w:lang w:val="en-IE" w:eastAsia="en-IE"/>
              </w:rPr>
            </w:pPr>
            <w:r w:rsidRPr="000473B3">
              <w:rPr>
                <w:rFonts w:eastAsia="Times New Roman"/>
                <w:b/>
                <w:bCs/>
                <w:noProof/>
                <w:color w:val="000000"/>
                <w:sz w:val="18"/>
                <w:szCs w:val="18"/>
                <w:lang w:val="en-IE" w:eastAsia="en-IE"/>
              </w:rPr>
              <w:t>2034</w:t>
            </w:r>
          </w:p>
        </w:tc>
        <w:tc>
          <w:tcPr>
            <w:tcW w:w="472" w:type="pct"/>
            <w:vMerge/>
            <w:tcBorders>
              <w:top w:val="single" w:sz="8" w:space="0" w:color="auto"/>
              <w:left w:val="single" w:sz="8" w:space="0" w:color="auto"/>
              <w:bottom w:val="single" w:sz="8" w:space="0" w:color="auto"/>
              <w:right w:val="single" w:sz="8" w:space="0" w:color="auto"/>
            </w:tcBorders>
            <w:vAlign w:val="center"/>
            <w:hideMark/>
          </w:tcPr>
          <w:p w14:paraId="77138C4F" w14:textId="77777777" w:rsidR="000473B3" w:rsidRPr="000473B3" w:rsidRDefault="000473B3" w:rsidP="000473B3">
            <w:pPr>
              <w:spacing w:before="0" w:after="0"/>
              <w:jc w:val="left"/>
              <w:rPr>
                <w:rFonts w:eastAsia="Times New Roman"/>
                <w:b/>
                <w:bCs/>
                <w:noProof/>
                <w:color w:val="000000"/>
                <w:sz w:val="18"/>
                <w:szCs w:val="18"/>
                <w:lang w:val="en-IE" w:eastAsia="en-IE"/>
              </w:rPr>
            </w:pPr>
          </w:p>
        </w:tc>
      </w:tr>
      <w:tr w:rsidR="000473B3" w:rsidRPr="000473B3" w14:paraId="653057F6" w14:textId="77777777" w:rsidTr="000473B3">
        <w:trPr>
          <w:trHeight w:val="315"/>
        </w:trPr>
        <w:tc>
          <w:tcPr>
            <w:tcW w:w="4174" w:type="pct"/>
            <w:gridSpan w:val="9"/>
            <w:tcBorders>
              <w:top w:val="single" w:sz="8" w:space="0" w:color="auto"/>
              <w:left w:val="single" w:sz="8" w:space="0" w:color="auto"/>
              <w:bottom w:val="single" w:sz="8" w:space="0" w:color="auto"/>
              <w:right w:val="single" w:sz="8" w:space="0" w:color="000000"/>
            </w:tcBorders>
            <w:vAlign w:val="center"/>
            <w:hideMark/>
          </w:tcPr>
          <w:p w14:paraId="7F868983" w14:textId="77777777" w:rsidR="000473B3" w:rsidRPr="000473B3" w:rsidRDefault="000473B3" w:rsidP="000473B3">
            <w:pPr>
              <w:spacing w:before="0" w:after="0"/>
              <w:jc w:val="left"/>
              <w:rPr>
                <w:rFonts w:eastAsia="Times New Roman"/>
                <w:b/>
                <w:bCs/>
                <w:noProof/>
                <w:sz w:val="16"/>
                <w:szCs w:val="16"/>
                <w:lang w:val="en-IE" w:eastAsia="en-IE"/>
              </w:rPr>
            </w:pPr>
            <w:r w:rsidRPr="000473B3">
              <w:rPr>
                <w:rFonts w:eastAsia="Times New Roman"/>
                <w:b/>
                <w:bCs/>
                <w:noProof/>
                <w:sz w:val="16"/>
                <w:szCs w:val="16"/>
                <w:lang w:val="en-IE" w:eastAsia="en-IE"/>
              </w:rPr>
              <w:t>HEADING 7</w:t>
            </w:r>
          </w:p>
        </w:tc>
        <w:tc>
          <w:tcPr>
            <w:tcW w:w="354" w:type="pct"/>
            <w:tcBorders>
              <w:top w:val="nil"/>
              <w:left w:val="nil"/>
              <w:bottom w:val="single" w:sz="8" w:space="0" w:color="auto"/>
              <w:right w:val="single" w:sz="8" w:space="0" w:color="auto"/>
            </w:tcBorders>
            <w:vAlign w:val="center"/>
            <w:hideMark/>
          </w:tcPr>
          <w:p w14:paraId="67566391" w14:textId="77777777" w:rsidR="000473B3" w:rsidRPr="000473B3" w:rsidRDefault="000473B3" w:rsidP="000473B3">
            <w:pPr>
              <w:spacing w:before="0" w:after="0"/>
              <w:jc w:val="left"/>
              <w:rPr>
                <w:rFonts w:eastAsia="Times New Roman"/>
                <w:b/>
                <w:bCs/>
                <w:noProof/>
                <w:sz w:val="16"/>
                <w:szCs w:val="16"/>
                <w:lang w:val="en-IE" w:eastAsia="en-IE"/>
              </w:rPr>
            </w:pPr>
            <w:r w:rsidRPr="000473B3">
              <w:rPr>
                <w:rFonts w:eastAsia="Times New Roman"/>
                <w:b/>
                <w:bCs/>
                <w:noProof/>
                <w:sz w:val="16"/>
                <w:szCs w:val="16"/>
                <w:lang w:val="en-IE" w:eastAsia="en-IE"/>
              </w:rPr>
              <w:t> </w:t>
            </w:r>
          </w:p>
        </w:tc>
        <w:tc>
          <w:tcPr>
            <w:tcW w:w="472" w:type="pct"/>
            <w:tcBorders>
              <w:top w:val="nil"/>
              <w:left w:val="nil"/>
              <w:bottom w:val="single" w:sz="8" w:space="0" w:color="auto"/>
              <w:right w:val="single" w:sz="8" w:space="0" w:color="auto"/>
            </w:tcBorders>
            <w:vAlign w:val="center"/>
            <w:hideMark/>
          </w:tcPr>
          <w:p w14:paraId="7836B0FA" w14:textId="77777777" w:rsidR="000473B3" w:rsidRPr="000473B3" w:rsidRDefault="000473B3" w:rsidP="000473B3">
            <w:pPr>
              <w:spacing w:before="0" w:after="0"/>
              <w:jc w:val="left"/>
              <w:rPr>
                <w:rFonts w:eastAsia="Times New Roman"/>
                <w:b/>
                <w:bCs/>
                <w:noProof/>
                <w:sz w:val="16"/>
                <w:szCs w:val="16"/>
                <w:lang w:val="en-IE" w:eastAsia="en-IE"/>
              </w:rPr>
            </w:pPr>
            <w:r w:rsidRPr="000473B3">
              <w:rPr>
                <w:rFonts w:eastAsia="Times New Roman"/>
                <w:b/>
                <w:bCs/>
                <w:noProof/>
                <w:sz w:val="16"/>
                <w:szCs w:val="16"/>
                <w:lang w:val="en-IE" w:eastAsia="en-IE"/>
              </w:rPr>
              <w:t> </w:t>
            </w:r>
          </w:p>
        </w:tc>
      </w:tr>
      <w:tr w:rsidR="000473B3" w:rsidRPr="000473B3" w14:paraId="280CF77F"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0AAB5D00" w14:textId="77777777" w:rsidR="000473B3" w:rsidRPr="000473B3" w:rsidRDefault="000473B3" w:rsidP="000473B3">
            <w:pPr>
              <w:spacing w:before="0" w:after="0"/>
              <w:jc w:val="left"/>
              <w:rPr>
                <w:rFonts w:eastAsia="Times New Roman"/>
                <w:noProof/>
                <w:color w:val="000000"/>
                <w:sz w:val="16"/>
                <w:szCs w:val="16"/>
                <w:lang w:val="en-IE" w:eastAsia="en-IE"/>
              </w:rPr>
            </w:pPr>
            <w:r w:rsidRPr="000473B3">
              <w:rPr>
                <w:rFonts w:eastAsia="Times New Roman"/>
                <w:noProof/>
                <w:color w:val="000000"/>
                <w:sz w:val="16"/>
                <w:szCs w:val="16"/>
                <w:lang w:val="en-IE" w:eastAsia="en-IE"/>
              </w:rPr>
              <w:t xml:space="preserve">Human resources </w:t>
            </w:r>
          </w:p>
        </w:tc>
        <w:tc>
          <w:tcPr>
            <w:tcW w:w="333" w:type="pct"/>
            <w:tcBorders>
              <w:top w:val="nil"/>
              <w:left w:val="nil"/>
              <w:bottom w:val="single" w:sz="8" w:space="0" w:color="auto"/>
              <w:right w:val="single" w:sz="8" w:space="0" w:color="auto"/>
            </w:tcBorders>
            <w:shd w:val="clear" w:color="000000" w:fill="D9D9D9"/>
            <w:vAlign w:val="center"/>
            <w:hideMark/>
          </w:tcPr>
          <w:p w14:paraId="6B1B7A4D"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1.164</w:t>
            </w:r>
          </w:p>
        </w:tc>
        <w:tc>
          <w:tcPr>
            <w:tcW w:w="333" w:type="pct"/>
            <w:tcBorders>
              <w:top w:val="nil"/>
              <w:left w:val="nil"/>
              <w:bottom w:val="single" w:sz="8" w:space="0" w:color="auto"/>
              <w:right w:val="single" w:sz="8" w:space="0" w:color="auto"/>
            </w:tcBorders>
            <w:shd w:val="clear" w:color="000000" w:fill="D9D9D9"/>
            <w:vAlign w:val="center"/>
            <w:hideMark/>
          </w:tcPr>
          <w:p w14:paraId="182FC9BF"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1.164</w:t>
            </w:r>
          </w:p>
        </w:tc>
        <w:tc>
          <w:tcPr>
            <w:tcW w:w="333" w:type="pct"/>
            <w:tcBorders>
              <w:top w:val="nil"/>
              <w:left w:val="nil"/>
              <w:bottom w:val="single" w:sz="8" w:space="0" w:color="auto"/>
              <w:right w:val="single" w:sz="8" w:space="0" w:color="auto"/>
            </w:tcBorders>
            <w:shd w:val="clear" w:color="000000" w:fill="D9D9D9"/>
            <w:vAlign w:val="center"/>
            <w:hideMark/>
          </w:tcPr>
          <w:p w14:paraId="7C5B5BE8"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57E1C3F9"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0B28087E"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19DA85DE"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6F4E630C"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1.164</w:t>
            </w:r>
          </w:p>
        </w:tc>
        <w:tc>
          <w:tcPr>
            <w:tcW w:w="456" w:type="pct"/>
            <w:tcBorders>
              <w:top w:val="nil"/>
              <w:left w:val="nil"/>
              <w:bottom w:val="single" w:sz="8" w:space="0" w:color="auto"/>
              <w:right w:val="single" w:sz="8" w:space="0" w:color="auto"/>
            </w:tcBorders>
            <w:shd w:val="clear" w:color="000000" w:fill="D9D9D9"/>
            <w:vAlign w:val="center"/>
            <w:hideMark/>
          </w:tcPr>
          <w:p w14:paraId="2D3AB58D"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8.148</w:t>
            </w:r>
          </w:p>
        </w:tc>
        <w:tc>
          <w:tcPr>
            <w:tcW w:w="354" w:type="pct"/>
            <w:tcBorders>
              <w:top w:val="nil"/>
              <w:left w:val="nil"/>
              <w:bottom w:val="single" w:sz="8" w:space="0" w:color="auto"/>
              <w:right w:val="single" w:sz="8" w:space="0" w:color="auto"/>
            </w:tcBorders>
            <w:shd w:val="clear" w:color="000000" w:fill="D9D9D9"/>
            <w:vAlign w:val="center"/>
            <w:hideMark/>
          </w:tcPr>
          <w:p w14:paraId="4053B52B"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472" w:type="pct"/>
            <w:tcBorders>
              <w:top w:val="nil"/>
              <w:left w:val="nil"/>
              <w:bottom w:val="single" w:sz="8" w:space="0" w:color="auto"/>
              <w:right w:val="single" w:sz="8" w:space="0" w:color="auto"/>
            </w:tcBorders>
            <w:shd w:val="clear" w:color="000000" w:fill="D9D9D9"/>
            <w:vAlign w:val="center"/>
            <w:hideMark/>
          </w:tcPr>
          <w:p w14:paraId="665A0F61"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8.148</w:t>
            </w:r>
          </w:p>
        </w:tc>
      </w:tr>
      <w:tr w:rsidR="000473B3" w:rsidRPr="000473B3" w14:paraId="0A2BC567"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147F9543" w14:textId="77777777" w:rsidR="000473B3" w:rsidRPr="000473B3" w:rsidRDefault="000473B3" w:rsidP="000473B3">
            <w:pPr>
              <w:spacing w:before="0" w:after="0"/>
              <w:jc w:val="left"/>
              <w:rPr>
                <w:rFonts w:eastAsia="Times New Roman"/>
                <w:noProof/>
                <w:color w:val="000000"/>
                <w:sz w:val="16"/>
                <w:szCs w:val="16"/>
                <w:lang w:val="en-IE" w:eastAsia="en-IE"/>
              </w:rPr>
            </w:pPr>
            <w:r w:rsidRPr="000473B3">
              <w:rPr>
                <w:rFonts w:eastAsia="Times New Roman"/>
                <w:noProof/>
                <w:color w:val="000000"/>
                <w:sz w:val="16"/>
                <w:szCs w:val="16"/>
                <w:lang w:val="en-IE" w:eastAsia="en-IE"/>
              </w:rPr>
              <w:t xml:space="preserve">Other administrative expenditure </w:t>
            </w:r>
          </w:p>
        </w:tc>
        <w:tc>
          <w:tcPr>
            <w:tcW w:w="333" w:type="pct"/>
            <w:tcBorders>
              <w:top w:val="nil"/>
              <w:left w:val="nil"/>
              <w:bottom w:val="single" w:sz="8" w:space="0" w:color="auto"/>
              <w:right w:val="single" w:sz="8" w:space="0" w:color="auto"/>
            </w:tcBorders>
            <w:shd w:val="clear" w:color="000000" w:fill="D9D9D9"/>
            <w:vAlign w:val="center"/>
            <w:hideMark/>
          </w:tcPr>
          <w:p w14:paraId="7D8DE1CF"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33" w:type="pct"/>
            <w:tcBorders>
              <w:top w:val="nil"/>
              <w:left w:val="nil"/>
              <w:bottom w:val="single" w:sz="8" w:space="0" w:color="auto"/>
              <w:right w:val="single" w:sz="8" w:space="0" w:color="auto"/>
            </w:tcBorders>
            <w:shd w:val="clear" w:color="000000" w:fill="D9D9D9"/>
            <w:vAlign w:val="center"/>
            <w:hideMark/>
          </w:tcPr>
          <w:p w14:paraId="471CC46D"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33" w:type="pct"/>
            <w:tcBorders>
              <w:top w:val="nil"/>
              <w:left w:val="nil"/>
              <w:bottom w:val="single" w:sz="8" w:space="0" w:color="auto"/>
              <w:right w:val="single" w:sz="8" w:space="0" w:color="auto"/>
            </w:tcBorders>
            <w:shd w:val="clear" w:color="000000" w:fill="D9D9D9"/>
            <w:vAlign w:val="center"/>
            <w:hideMark/>
          </w:tcPr>
          <w:p w14:paraId="35A857C0"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163B2589"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761BC8DD"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22F5CD28"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4ACC4F92"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456" w:type="pct"/>
            <w:tcBorders>
              <w:top w:val="nil"/>
              <w:left w:val="nil"/>
              <w:bottom w:val="single" w:sz="8" w:space="0" w:color="auto"/>
              <w:right w:val="single" w:sz="8" w:space="0" w:color="auto"/>
            </w:tcBorders>
            <w:shd w:val="clear" w:color="000000" w:fill="D9D9D9"/>
            <w:vAlign w:val="center"/>
            <w:hideMark/>
          </w:tcPr>
          <w:p w14:paraId="1B157E4A"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54" w:type="pct"/>
            <w:tcBorders>
              <w:top w:val="nil"/>
              <w:left w:val="nil"/>
              <w:bottom w:val="single" w:sz="8" w:space="0" w:color="auto"/>
              <w:right w:val="single" w:sz="8" w:space="0" w:color="auto"/>
            </w:tcBorders>
            <w:shd w:val="clear" w:color="000000" w:fill="D9D9D9"/>
            <w:vAlign w:val="center"/>
            <w:hideMark/>
          </w:tcPr>
          <w:p w14:paraId="229AA617"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472" w:type="pct"/>
            <w:tcBorders>
              <w:top w:val="nil"/>
              <w:left w:val="nil"/>
              <w:bottom w:val="single" w:sz="8" w:space="0" w:color="auto"/>
              <w:right w:val="single" w:sz="8" w:space="0" w:color="auto"/>
            </w:tcBorders>
            <w:shd w:val="clear" w:color="000000" w:fill="D9D9D9"/>
            <w:vAlign w:val="center"/>
            <w:hideMark/>
          </w:tcPr>
          <w:p w14:paraId="21E28597"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r>
      <w:tr w:rsidR="000473B3" w:rsidRPr="000473B3" w14:paraId="6C03A7B4" w14:textId="77777777" w:rsidTr="000473B3">
        <w:trPr>
          <w:trHeight w:val="315"/>
        </w:trPr>
        <w:tc>
          <w:tcPr>
            <w:tcW w:w="1356" w:type="pct"/>
            <w:tcBorders>
              <w:top w:val="nil"/>
              <w:left w:val="single" w:sz="8" w:space="0" w:color="auto"/>
              <w:bottom w:val="single" w:sz="8" w:space="0" w:color="auto"/>
              <w:right w:val="single" w:sz="8" w:space="0" w:color="auto"/>
            </w:tcBorders>
            <w:shd w:val="clear" w:color="000000" w:fill="CCCCCC"/>
            <w:vAlign w:val="center"/>
            <w:hideMark/>
          </w:tcPr>
          <w:p w14:paraId="4C40C833" w14:textId="77777777" w:rsidR="000473B3" w:rsidRPr="000473B3" w:rsidRDefault="000473B3" w:rsidP="000473B3">
            <w:pPr>
              <w:spacing w:before="0" w:after="0"/>
              <w:jc w:val="center"/>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Subtotal HEADING 7</w:t>
            </w:r>
          </w:p>
        </w:tc>
        <w:tc>
          <w:tcPr>
            <w:tcW w:w="333" w:type="pct"/>
            <w:tcBorders>
              <w:top w:val="nil"/>
              <w:left w:val="nil"/>
              <w:bottom w:val="single" w:sz="8" w:space="0" w:color="auto"/>
              <w:right w:val="single" w:sz="8" w:space="0" w:color="auto"/>
            </w:tcBorders>
            <w:shd w:val="clear" w:color="000000" w:fill="D9D9D9"/>
            <w:vAlign w:val="center"/>
            <w:hideMark/>
          </w:tcPr>
          <w:p w14:paraId="6C4D26D0"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33" w:type="pct"/>
            <w:tcBorders>
              <w:top w:val="nil"/>
              <w:left w:val="nil"/>
              <w:bottom w:val="single" w:sz="8" w:space="0" w:color="auto"/>
              <w:right w:val="single" w:sz="8" w:space="0" w:color="auto"/>
            </w:tcBorders>
            <w:shd w:val="clear" w:color="000000" w:fill="D9D9D9"/>
            <w:vAlign w:val="center"/>
            <w:hideMark/>
          </w:tcPr>
          <w:p w14:paraId="66D6F50B"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33" w:type="pct"/>
            <w:tcBorders>
              <w:top w:val="nil"/>
              <w:left w:val="nil"/>
              <w:bottom w:val="single" w:sz="8" w:space="0" w:color="auto"/>
              <w:right w:val="single" w:sz="8" w:space="0" w:color="auto"/>
            </w:tcBorders>
            <w:shd w:val="clear" w:color="000000" w:fill="D9D9D9"/>
            <w:vAlign w:val="center"/>
            <w:hideMark/>
          </w:tcPr>
          <w:p w14:paraId="5F838E05"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54EC4CA7"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08457FA8"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6D3F1377"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27DAA85B"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456" w:type="pct"/>
            <w:tcBorders>
              <w:top w:val="nil"/>
              <w:left w:val="nil"/>
              <w:bottom w:val="single" w:sz="8" w:space="0" w:color="auto"/>
              <w:right w:val="single" w:sz="8" w:space="0" w:color="auto"/>
            </w:tcBorders>
            <w:shd w:val="clear" w:color="000000" w:fill="D9D9D9"/>
            <w:vAlign w:val="center"/>
            <w:hideMark/>
          </w:tcPr>
          <w:p w14:paraId="0A7962BC"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8.148</w:t>
            </w:r>
          </w:p>
        </w:tc>
        <w:tc>
          <w:tcPr>
            <w:tcW w:w="354" w:type="pct"/>
            <w:tcBorders>
              <w:top w:val="nil"/>
              <w:left w:val="nil"/>
              <w:bottom w:val="single" w:sz="8" w:space="0" w:color="auto"/>
              <w:right w:val="single" w:sz="8" w:space="0" w:color="auto"/>
            </w:tcBorders>
            <w:shd w:val="clear" w:color="000000" w:fill="D9D9D9"/>
            <w:vAlign w:val="center"/>
            <w:hideMark/>
          </w:tcPr>
          <w:p w14:paraId="6DCD7832"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472" w:type="pct"/>
            <w:tcBorders>
              <w:top w:val="nil"/>
              <w:left w:val="nil"/>
              <w:bottom w:val="single" w:sz="8" w:space="0" w:color="auto"/>
              <w:right w:val="single" w:sz="8" w:space="0" w:color="auto"/>
            </w:tcBorders>
            <w:shd w:val="clear" w:color="000000" w:fill="D9D9D9"/>
            <w:vAlign w:val="center"/>
            <w:hideMark/>
          </w:tcPr>
          <w:p w14:paraId="7E891550"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8.148</w:t>
            </w:r>
          </w:p>
        </w:tc>
      </w:tr>
      <w:tr w:rsidR="000473B3" w:rsidRPr="000473B3" w14:paraId="43329ACD" w14:textId="77777777" w:rsidTr="000473B3">
        <w:trPr>
          <w:trHeight w:val="315"/>
        </w:trPr>
        <w:tc>
          <w:tcPr>
            <w:tcW w:w="4174" w:type="pct"/>
            <w:gridSpan w:val="9"/>
            <w:tcBorders>
              <w:top w:val="single" w:sz="8" w:space="0" w:color="auto"/>
              <w:left w:val="single" w:sz="8" w:space="0" w:color="auto"/>
              <w:bottom w:val="single" w:sz="8" w:space="0" w:color="auto"/>
              <w:right w:val="single" w:sz="8" w:space="0" w:color="000000"/>
            </w:tcBorders>
            <w:vAlign w:val="center"/>
            <w:hideMark/>
          </w:tcPr>
          <w:p w14:paraId="63459827" w14:textId="77777777" w:rsidR="000473B3" w:rsidRPr="000473B3" w:rsidRDefault="000473B3" w:rsidP="000473B3">
            <w:pPr>
              <w:spacing w:before="0" w:after="0"/>
              <w:jc w:val="left"/>
              <w:rPr>
                <w:rFonts w:eastAsia="Times New Roman"/>
                <w:b/>
                <w:bCs/>
                <w:noProof/>
                <w:sz w:val="16"/>
                <w:szCs w:val="16"/>
                <w:lang w:val="en-IE" w:eastAsia="en-IE"/>
              </w:rPr>
            </w:pPr>
            <w:r w:rsidRPr="000473B3">
              <w:rPr>
                <w:rFonts w:eastAsia="Times New Roman"/>
                <w:b/>
                <w:bCs/>
                <w:noProof/>
                <w:sz w:val="16"/>
                <w:szCs w:val="16"/>
                <w:lang w:val="en-IE" w:eastAsia="en-IE"/>
              </w:rPr>
              <w:t>Outside HEADING 7</w:t>
            </w:r>
          </w:p>
        </w:tc>
        <w:tc>
          <w:tcPr>
            <w:tcW w:w="354" w:type="pct"/>
            <w:tcBorders>
              <w:top w:val="nil"/>
              <w:left w:val="nil"/>
              <w:bottom w:val="single" w:sz="8" w:space="0" w:color="auto"/>
              <w:right w:val="single" w:sz="8" w:space="0" w:color="auto"/>
            </w:tcBorders>
            <w:vAlign w:val="center"/>
            <w:hideMark/>
          </w:tcPr>
          <w:p w14:paraId="7FEB026E" w14:textId="77777777" w:rsidR="000473B3" w:rsidRPr="000473B3" w:rsidRDefault="000473B3" w:rsidP="000473B3">
            <w:pPr>
              <w:spacing w:before="0" w:after="0"/>
              <w:jc w:val="left"/>
              <w:rPr>
                <w:rFonts w:eastAsia="Times New Roman"/>
                <w:b/>
                <w:bCs/>
                <w:noProof/>
                <w:sz w:val="16"/>
                <w:szCs w:val="16"/>
                <w:lang w:val="en-IE" w:eastAsia="en-IE"/>
              </w:rPr>
            </w:pPr>
            <w:r w:rsidRPr="000473B3">
              <w:rPr>
                <w:rFonts w:eastAsia="Times New Roman"/>
                <w:b/>
                <w:bCs/>
                <w:noProof/>
                <w:sz w:val="16"/>
                <w:szCs w:val="16"/>
                <w:lang w:val="en-IE" w:eastAsia="en-IE"/>
              </w:rPr>
              <w:t> </w:t>
            </w:r>
          </w:p>
        </w:tc>
        <w:tc>
          <w:tcPr>
            <w:tcW w:w="472" w:type="pct"/>
            <w:tcBorders>
              <w:top w:val="nil"/>
              <w:left w:val="nil"/>
              <w:bottom w:val="single" w:sz="8" w:space="0" w:color="auto"/>
              <w:right w:val="single" w:sz="8" w:space="0" w:color="auto"/>
            </w:tcBorders>
            <w:vAlign w:val="center"/>
            <w:hideMark/>
          </w:tcPr>
          <w:p w14:paraId="75C9363C" w14:textId="77777777" w:rsidR="000473B3" w:rsidRPr="000473B3" w:rsidRDefault="000473B3" w:rsidP="000473B3">
            <w:pPr>
              <w:spacing w:before="0" w:after="0"/>
              <w:jc w:val="left"/>
              <w:rPr>
                <w:rFonts w:eastAsia="Times New Roman"/>
                <w:b/>
                <w:bCs/>
                <w:noProof/>
                <w:sz w:val="16"/>
                <w:szCs w:val="16"/>
                <w:lang w:val="en-IE" w:eastAsia="en-IE"/>
              </w:rPr>
            </w:pPr>
            <w:r w:rsidRPr="000473B3">
              <w:rPr>
                <w:rFonts w:eastAsia="Times New Roman"/>
                <w:b/>
                <w:bCs/>
                <w:noProof/>
                <w:sz w:val="16"/>
                <w:szCs w:val="16"/>
                <w:lang w:val="en-IE" w:eastAsia="en-IE"/>
              </w:rPr>
              <w:t> </w:t>
            </w:r>
          </w:p>
        </w:tc>
      </w:tr>
      <w:tr w:rsidR="000473B3" w:rsidRPr="000473B3" w14:paraId="487E069F"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07697FD2" w14:textId="77777777" w:rsidR="000473B3" w:rsidRPr="000473B3" w:rsidRDefault="000473B3" w:rsidP="000473B3">
            <w:pPr>
              <w:spacing w:before="0" w:after="0"/>
              <w:jc w:val="left"/>
              <w:rPr>
                <w:rFonts w:eastAsia="Times New Roman"/>
                <w:noProof/>
                <w:color w:val="000000"/>
                <w:sz w:val="16"/>
                <w:szCs w:val="16"/>
                <w:lang w:val="en-IE" w:eastAsia="en-IE"/>
              </w:rPr>
            </w:pPr>
            <w:r w:rsidRPr="000473B3">
              <w:rPr>
                <w:rFonts w:eastAsia="Times New Roman"/>
                <w:noProof/>
                <w:color w:val="000000"/>
                <w:sz w:val="16"/>
                <w:szCs w:val="16"/>
                <w:lang w:val="en-IE" w:eastAsia="en-IE"/>
              </w:rPr>
              <w:t xml:space="preserve">Human resources </w:t>
            </w:r>
          </w:p>
        </w:tc>
        <w:tc>
          <w:tcPr>
            <w:tcW w:w="333" w:type="pct"/>
            <w:tcBorders>
              <w:top w:val="nil"/>
              <w:left w:val="nil"/>
              <w:bottom w:val="single" w:sz="8" w:space="0" w:color="auto"/>
              <w:right w:val="single" w:sz="8" w:space="0" w:color="auto"/>
            </w:tcBorders>
            <w:shd w:val="clear" w:color="000000" w:fill="D9D9D9"/>
            <w:vAlign w:val="center"/>
            <w:hideMark/>
          </w:tcPr>
          <w:p w14:paraId="75594A7E"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33" w:type="pct"/>
            <w:tcBorders>
              <w:top w:val="nil"/>
              <w:left w:val="nil"/>
              <w:bottom w:val="single" w:sz="8" w:space="0" w:color="auto"/>
              <w:right w:val="single" w:sz="8" w:space="0" w:color="auto"/>
            </w:tcBorders>
            <w:shd w:val="clear" w:color="000000" w:fill="D9D9D9"/>
            <w:vAlign w:val="center"/>
            <w:hideMark/>
          </w:tcPr>
          <w:p w14:paraId="7D8BAE3E"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33" w:type="pct"/>
            <w:tcBorders>
              <w:top w:val="nil"/>
              <w:left w:val="nil"/>
              <w:bottom w:val="single" w:sz="8" w:space="0" w:color="auto"/>
              <w:right w:val="single" w:sz="8" w:space="0" w:color="auto"/>
            </w:tcBorders>
            <w:shd w:val="clear" w:color="000000" w:fill="D9D9D9"/>
            <w:vAlign w:val="center"/>
            <w:hideMark/>
          </w:tcPr>
          <w:p w14:paraId="72A88512"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4605E9D1"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6BE7CE84"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36EA84C1"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5DF3C20B"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456" w:type="pct"/>
            <w:tcBorders>
              <w:top w:val="nil"/>
              <w:left w:val="nil"/>
              <w:bottom w:val="single" w:sz="8" w:space="0" w:color="auto"/>
              <w:right w:val="single" w:sz="8" w:space="0" w:color="auto"/>
            </w:tcBorders>
            <w:shd w:val="clear" w:color="000000" w:fill="D9D9D9"/>
            <w:vAlign w:val="center"/>
            <w:hideMark/>
          </w:tcPr>
          <w:p w14:paraId="6B680958"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54" w:type="pct"/>
            <w:tcBorders>
              <w:top w:val="nil"/>
              <w:left w:val="nil"/>
              <w:bottom w:val="single" w:sz="8" w:space="0" w:color="auto"/>
              <w:right w:val="single" w:sz="8" w:space="0" w:color="auto"/>
            </w:tcBorders>
            <w:shd w:val="clear" w:color="000000" w:fill="D9D9D9"/>
            <w:vAlign w:val="center"/>
            <w:hideMark/>
          </w:tcPr>
          <w:p w14:paraId="113B5DA6"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472" w:type="pct"/>
            <w:tcBorders>
              <w:top w:val="nil"/>
              <w:left w:val="nil"/>
              <w:bottom w:val="single" w:sz="8" w:space="0" w:color="auto"/>
              <w:right w:val="single" w:sz="8" w:space="0" w:color="auto"/>
            </w:tcBorders>
            <w:shd w:val="clear" w:color="000000" w:fill="D9D9D9"/>
            <w:vAlign w:val="center"/>
            <w:hideMark/>
          </w:tcPr>
          <w:p w14:paraId="2D845357"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r>
      <w:tr w:rsidR="000473B3" w:rsidRPr="000473B3" w14:paraId="1C8EC966"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25D0EFAF" w14:textId="77777777" w:rsidR="000473B3" w:rsidRPr="000473B3" w:rsidRDefault="000473B3" w:rsidP="000473B3">
            <w:pPr>
              <w:spacing w:before="0" w:after="0"/>
              <w:jc w:val="left"/>
              <w:rPr>
                <w:rFonts w:eastAsia="Times New Roman"/>
                <w:noProof/>
                <w:color w:val="000000"/>
                <w:sz w:val="16"/>
                <w:szCs w:val="16"/>
                <w:lang w:val="en-IE" w:eastAsia="en-IE"/>
              </w:rPr>
            </w:pPr>
            <w:r w:rsidRPr="000473B3">
              <w:rPr>
                <w:rFonts w:eastAsia="Times New Roman"/>
                <w:noProof/>
                <w:color w:val="000000"/>
                <w:sz w:val="16"/>
                <w:szCs w:val="16"/>
                <w:lang w:val="en-IE" w:eastAsia="en-IE"/>
              </w:rPr>
              <w:t>Other expenditure of an administrative nature</w:t>
            </w:r>
          </w:p>
        </w:tc>
        <w:tc>
          <w:tcPr>
            <w:tcW w:w="333" w:type="pct"/>
            <w:tcBorders>
              <w:top w:val="nil"/>
              <w:left w:val="nil"/>
              <w:bottom w:val="single" w:sz="8" w:space="0" w:color="auto"/>
              <w:right w:val="single" w:sz="8" w:space="0" w:color="auto"/>
            </w:tcBorders>
            <w:shd w:val="clear" w:color="000000" w:fill="D9D9D9"/>
            <w:vAlign w:val="center"/>
            <w:hideMark/>
          </w:tcPr>
          <w:p w14:paraId="5B87D1F5"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33" w:type="pct"/>
            <w:tcBorders>
              <w:top w:val="nil"/>
              <w:left w:val="nil"/>
              <w:bottom w:val="single" w:sz="8" w:space="0" w:color="auto"/>
              <w:right w:val="single" w:sz="8" w:space="0" w:color="auto"/>
            </w:tcBorders>
            <w:shd w:val="clear" w:color="000000" w:fill="D9D9D9"/>
            <w:vAlign w:val="center"/>
            <w:hideMark/>
          </w:tcPr>
          <w:p w14:paraId="048E857D"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33" w:type="pct"/>
            <w:tcBorders>
              <w:top w:val="nil"/>
              <w:left w:val="nil"/>
              <w:bottom w:val="single" w:sz="8" w:space="0" w:color="auto"/>
              <w:right w:val="single" w:sz="8" w:space="0" w:color="auto"/>
            </w:tcBorders>
            <w:shd w:val="clear" w:color="000000" w:fill="D9D9D9"/>
            <w:vAlign w:val="center"/>
            <w:hideMark/>
          </w:tcPr>
          <w:p w14:paraId="6AA3CBF2"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28D40451"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68B66580"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3860C3AE"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733FBE6D"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456" w:type="pct"/>
            <w:tcBorders>
              <w:top w:val="nil"/>
              <w:left w:val="nil"/>
              <w:bottom w:val="single" w:sz="8" w:space="0" w:color="auto"/>
              <w:right w:val="single" w:sz="8" w:space="0" w:color="auto"/>
            </w:tcBorders>
            <w:shd w:val="clear" w:color="000000" w:fill="D9D9D9"/>
            <w:vAlign w:val="center"/>
            <w:hideMark/>
          </w:tcPr>
          <w:p w14:paraId="6F796217"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54" w:type="pct"/>
            <w:tcBorders>
              <w:top w:val="nil"/>
              <w:left w:val="nil"/>
              <w:bottom w:val="single" w:sz="8" w:space="0" w:color="auto"/>
              <w:right w:val="single" w:sz="8" w:space="0" w:color="auto"/>
            </w:tcBorders>
            <w:shd w:val="clear" w:color="000000" w:fill="D9D9D9"/>
            <w:vAlign w:val="center"/>
            <w:hideMark/>
          </w:tcPr>
          <w:p w14:paraId="1EB50E5C" w14:textId="77777777" w:rsidR="000473B3" w:rsidRPr="000473B3" w:rsidRDefault="000473B3" w:rsidP="000473B3">
            <w:pPr>
              <w:spacing w:before="0" w:after="0"/>
              <w:jc w:val="right"/>
              <w:rPr>
                <w:rFonts w:eastAsia="Times New Roman"/>
                <w:noProof/>
                <w:color w:val="000000"/>
                <w:sz w:val="16"/>
                <w:szCs w:val="16"/>
                <w:lang w:val="en-IE" w:eastAsia="en-IE"/>
              </w:rPr>
            </w:pPr>
            <w:r w:rsidRPr="000473B3">
              <w:rPr>
                <w:rFonts w:eastAsia="Times New Roman"/>
                <w:noProof/>
                <w:color w:val="000000"/>
                <w:sz w:val="16"/>
                <w:szCs w:val="16"/>
                <w:lang w:val="en-IE" w:eastAsia="en-IE"/>
              </w:rPr>
              <w:t>0.000</w:t>
            </w:r>
          </w:p>
        </w:tc>
        <w:tc>
          <w:tcPr>
            <w:tcW w:w="472" w:type="pct"/>
            <w:tcBorders>
              <w:top w:val="nil"/>
              <w:left w:val="nil"/>
              <w:bottom w:val="single" w:sz="8" w:space="0" w:color="auto"/>
              <w:right w:val="single" w:sz="8" w:space="0" w:color="auto"/>
            </w:tcBorders>
            <w:shd w:val="clear" w:color="000000" w:fill="D9D9D9"/>
            <w:vAlign w:val="center"/>
            <w:hideMark/>
          </w:tcPr>
          <w:p w14:paraId="22F49898"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r>
      <w:tr w:rsidR="000473B3" w:rsidRPr="000473B3" w14:paraId="2345589A" w14:textId="77777777" w:rsidTr="000473B3">
        <w:trPr>
          <w:trHeight w:val="315"/>
        </w:trPr>
        <w:tc>
          <w:tcPr>
            <w:tcW w:w="1356" w:type="pct"/>
            <w:tcBorders>
              <w:top w:val="nil"/>
              <w:left w:val="single" w:sz="8" w:space="0" w:color="auto"/>
              <w:bottom w:val="single" w:sz="8" w:space="0" w:color="auto"/>
              <w:right w:val="single" w:sz="8" w:space="0" w:color="auto"/>
            </w:tcBorders>
            <w:shd w:val="clear" w:color="000000" w:fill="CCCCCC"/>
            <w:vAlign w:val="center"/>
            <w:hideMark/>
          </w:tcPr>
          <w:p w14:paraId="2CD12127" w14:textId="77777777" w:rsidR="000473B3" w:rsidRPr="000473B3" w:rsidRDefault="000473B3" w:rsidP="000473B3">
            <w:pPr>
              <w:spacing w:before="0" w:after="0"/>
              <w:jc w:val="center"/>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Subtotal outside HEADING 7</w:t>
            </w:r>
          </w:p>
        </w:tc>
        <w:tc>
          <w:tcPr>
            <w:tcW w:w="333" w:type="pct"/>
            <w:tcBorders>
              <w:top w:val="nil"/>
              <w:left w:val="nil"/>
              <w:bottom w:val="single" w:sz="8" w:space="0" w:color="auto"/>
              <w:right w:val="single" w:sz="8" w:space="0" w:color="auto"/>
            </w:tcBorders>
            <w:shd w:val="clear" w:color="000000" w:fill="D9D9D9"/>
            <w:vAlign w:val="center"/>
            <w:hideMark/>
          </w:tcPr>
          <w:p w14:paraId="6DF19980"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33" w:type="pct"/>
            <w:tcBorders>
              <w:top w:val="nil"/>
              <w:left w:val="nil"/>
              <w:bottom w:val="single" w:sz="8" w:space="0" w:color="auto"/>
              <w:right w:val="single" w:sz="8" w:space="0" w:color="auto"/>
            </w:tcBorders>
            <w:shd w:val="clear" w:color="000000" w:fill="D9D9D9"/>
            <w:vAlign w:val="center"/>
            <w:hideMark/>
          </w:tcPr>
          <w:p w14:paraId="689AB683"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33" w:type="pct"/>
            <w:tcBorders>
              <w:top w:val="nil"/>
              <w:left w:val="nil"/>
              <w:bottom w:val="single" w:sz="8" w:space="0" w:color="auto"/>
              <w:right w:val="single" w:sz="8" w:space="0" w:color="auto"/>
            </w:tcBorders>
            <w:shd w:val="clear" w:color="000000" w:fill="D9D9D9"/>
            <w:vAlign w:val="center"/>
            <w:hideMark/>
          </w:tcPr>
          <w:p w14:paraId="1258B8E7"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70BA2C50"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3142F452"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70A3BFFC"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41" w:type="pct"/>
            <w:tcBorders>
              <w:top w:val="nil"/>
              <w:left w:val="nil"/>
              <w:bottom w:val="single" w:sz="8" w:space="0" w:color="auto"/>
              <w:right w:val="single" w:sz="8" w:space="0" w:color="auto"/>
            </w:tcBorders>
            <w:shd w:val="clear" w:color="000000" w:fill="D9D9D9"/>
            <w:vAlign w:val="center"/>
            <w:hideMark/>
          </w:tcPr>
          <w:p w14:paraId="55090A5A"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456" w:type="pct"/>
            <w:tcBorders>
              <w:top w:val="nil"/>
              <w:left w:val="nil"/>
              <w:bottom w:val="single" w:sz="8" w:space="0" w:color="auto"/>
              <w:right w:val="single" w:sz="8" w:space="0" w:color="auto"/>
            </w:tcBorders>
            <w:shd w:val="clear" w:color="000000" w:fill="D9D9D9"/>
            <w:vAlign w:val="center"/>
            <w:hideMark/>
          </w:tcPr>
          <w:p w14:paraId="56DEF66F"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354" w:type="pct"/>
            <w:tcBorders>
              <w:top w:val="nil"/>
              <w:left w:val="nil"/>
              <w:bottom w:val="single" w:sz="8" w:space="0" w:color="auto"/>
              <w:right w:val="single" w:sz="8" w:space="0" w:color="auto"/>
            </w:tcBorders>
            <w:shd w:val="clear" w:color="000000" w:fill="D9D9D9"/>
            <w:vAlign w:val="center"/>
            <w:hideMark/>
          </w:tcPr>
          <w:p w14:paraId="42A0F510"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472" w:type="pct"/>
            <w:tcBorders>
              <w:top w:val="nil"/>
              <w:left w:val="nil"/>
              <w:bottom w:val="single" w:sz="8" w:space="0" w:color="auto"/>
              <w:right w:val="single" w:sz="8" w:space="0" w:color="auto"/>
            </w:tcBorders>
            <w:shd w:val="clear" w:color="000000" w:fill="D9D9D9"/>
            <w:vAlign w:val="center"/>
            <w:hideMark/>
          </w:tcPr>
          <w:p w14:paraId="33E64081"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r>
      <w:tr w:rsidR="000473B3" w:rsidRPr="000473B3" w14:paraId="2670994D" w14:textId="77777777" w:rsidTr="000473B3">
        <w:trPr>
          <w:trHeight w:val="315"/>
        </w:trPr>
        <w:tc>
          <w:tcPr>
            <w:tcW w:w="4174" w:type="pct"/>
            <w:gridSpan w:val="9"/>
            <w:tcBorders>
              <w:top w:val="single" w:sz="8" w:space="0" w:color="auto"/>
              <w:left w:val="single" w:sz="8" w:space="0" w:color="auto"/>
              <w:bottom w:val="single" w:sz="8" w:space="0" w:color="auto"/>
              <w:right w:val="single" w:sz="8" w:space="0" w:color="000000"/>
            </w:tcBorders>
            <w:noWrap/>
            <w:vAlign w:val="center"/>
            <w:hideMark/>
          </w:tcPr>
          <w:p w14:paraId="3664C737" w14:textId="77777777" w:rsidR="000473B3" w:rsidRPr="000473B3" w:rsidRDefault="000473B3" w:rsidP="000473B3">
            <w:pPr>
              <w:spacing w:before="0" w:after="0"/>
              <w:jc w:val="center"/>
              <w:rPr>
                <w:rFonts w:eastAsia="Times New Roman"/>
                <w:noProof/>
                <w:color w:val="000000"/>
                <w:sz w:val="16"/>
                <w:szCs w:val="16"/>
                <w:lang w:val="en-IE" w:eastAsia="en-IE"/>
              </w:rPr>
            </w:pPr>
            <w:r w:rsidRPr="000473B3">
              <w:rPr>
                <w:rFonts w:eastAsia="Times New Roman"/>
                <w:noProof/>
                <w:color w:val="000000"/>
                <w:sz w:val="16"/>
                <w:szCs w:val="16"/>
                <w:lang w:val="en-IE" w:eastAsia="en-IE"/>
              </w:rPr>
              <w:t> </w:t>
            </w:r>
          </w:p>
        </w:tc>
        <w:tc>
          <w:tcPr>
            <w:tcW w:w="826" w:type="pct"/>
            <w:gridSpan w:val="2"/>
            <w:tcBorders>
              <w:top w:val="single" w:sz="8" w:space="0" w:color="auto"/>
              <w:left w:val="nil"/>
              <w:bottom w:val="single" w:sz="8" w:space="0" w:color="auto"/>
              <w:right w:val="single" w:sz="8" w:space="0" w:color="000000"/>
            </w:tcBorders>
            <w:noWrap/>
            <w:vAlign w:val="bottom"/>
            <w:hideMark/>
          </w:tcPr>
          <w:p w14:paraId="533B5675" w14:textId="77777777" w:rsidR="000473B3" w:rsidRPr="000473B3" w:rsidRDefault="000473B3" w:rsidP="000473B3">
            <w:pPr>
              <w:spacing w:before="0" w:after="0"/>
              <w:jc w:val="center"/>
              <w:rPr>
                <w:rFonts w:ascii="Calibri" w:eastAsia="Times New Roman" w:hAnsi="Calibri" w:cs="Calibri"/>
                <w:noProof/>
                <w:color w:val="000000"/>
                <w:sz w:val="22"/>
                <w:lang w:val="en-IE" w:eastAsia="en-IE"/>
              </w:rPr>
            </w:pPr>
            <w:r w:rsidRPr="000473B3">
              <w:rPr>
                <w:rFonts w:ascii="Calibri" w:eastAsia="Times New Roman" w:hAnsi="Calibri" w:cs="Calibri"/>
                <w:noProof/>
                <w:color w:val="000000"/>
                <w:sz w:val="22"/>
                <w:lang w:val="en-IE" w:eastAsia="en-IE"/>
              </w:rPr>
              <w:t> </w:t>
            </w:r>
          </w:p>
        </w:tc>
      </w:tr>
      <w:tr w:rsidR="000473B3" w:rsidRPr="000473B3" w14:paraId="346417FB"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48B5EDCC" w14:textId="77777777" w:rsidR="000473B3" w:rsidRPr="000473B3" w:rsidRDefault="000473B3" w:rsidP="000473B3">
            <w:pPr>
              <w:spacing w:before="0" w:after="0"/>
              <w:jc w:val="center"/>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TOTAL</w:t>
            </w:r>
          </w:p>
        </w:tc>
        <w:tc>
          <w:tcPr>
            <w:tcW w:w="333" w:type="pct"/>
            <w:tcBorders>
              <w:top w:val="nil"/>
              <w:left w:val="nil"/>
              <w:bottom w:val="single" w:sz="8" w:space="0" w:color="auto"/>
              <w:right w:val="single" w:sz="8" w:space="0" w:color="auto"/>
            </w:tcBorders>
            <w:shd w:val="clear" w:color="000000" w:fill="D9D9D9"/>
            <w:vAlign w:val="center"/>
            <w:hideMark/>
          </w:tcPr>
          <w:p w14:paraId="06708840"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33" w:type="pct"/>
            <w:tcBorders>
              <w:top w:val="nil"/>
              <w:left w:val="nil"/>
              <w:bottom w:val="single" w:sz="8" w:space="0" w:color="auto"/>
              <w:right w:val="single" w:sz="8" w:space="0" w:color="auto"/>
            </w:tcBorders>
            <w:shd w:val="clear" w:color="000000" w:fill="D9D9D9"/>
            <w:vAlign w:val="center"/>
            <w:hideMark/>
          </w:tcPr>
          <w:p w14:paraId="2627AA43"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33" w:type="pct"/>
            <w:tcBorders>
              <w:top w:val="nil"/>
              <w:left w:val="nil"/>
              <w:bottom w:val="single" w:sz="8" w:space="0" w:color="auto"/>
              <w:right w:val="single" w:sz="8" w:space="0" w:color="auto"/>
            </w:tcBorders>
            <w:shd w:val="clear" w:color="000000" w:fill="D9D9D9"/>
            <w:vAlign w:val="center"/>
            <w:hideMark/>
          </w:tcPr>
          <w:p w14:paraId="5ABB89DB"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67A47544"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2B33A252"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76E6FDDA"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341" w:type="pct"/>
            <w:tcBorders>
              <w:top w:val="nil"/>
              <w:left w:val="nil"/>
              <w:bottom w:val="single" w:sz="8" w:space="0" w:color="auto"/>
              <w:right w:val="single" w:sz="8" w:space="0" w:color="auto"/>
            </w:tcBorders>
            <w:shd w:val="clear" w:color="000000" w:fill="D9D9D9"/>
            <w:vAlign w:val="center"/>
            <w:hideMark/>
          </w:tcPr>
          <w:p w14:paraId="16A57AC6"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1.164</w:t>
            </w:r>
          </w:p>
        </w:tc>
        <w:tc>
          <w:tcPr>
            <w:tcW w:w="456" w:type="pct"/>
            <w:tcBorders>
              <w:top w:val="nil"/>
              <w:left w:val="nil"/>
              <w:bottom w:val="single" w:sz="8" w:space="0" w:color="auto"/>
              <w:right w:val="single" w:sz="8" w:space="0" w:color="auto"/>
            </w:tcBorders>
            <w:shd w:val="clear" w:color="000000" w:fill="D9D9D9"/>
            <w:vAlign w:val="center"/>
            <w:hideMark/>
          </w:tcPr>
          <w:p w14:paraId="6563CB07"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8.148</w:t>
            </w:r>
          </w:p>
        </w:tc>
        <w:tc>
          <w:tcPr>
            <w:tcW w:w="354" w:type="pct"/>
            <w:tcBorders>
              <w:top w:val="nil"/>
              <w:left w:val="nil"/>
              <w:bottom w:val="single" w:sz="8" w:space="0" w:color="auto"/>
              <w:right w:val="single" w:sz="8" w:space="0" w:color="auto"/>
            </w:tcBorders>
            <w:shd w:val="clear" w:color="000000" w:fill="D9D9D9"/>
            <w:vAlign w:val="center"/>
            <w:hideMark/>
          </w:tcPr>
          <w:p w14:paraId="4070C839"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0.000</w:t>
            </w:r>
          </w:p>
        </w:tc>
        <w:tc>
          <w:tcPr>
            <w:tcW w:w="472" w:type="pct"/>
            <w:tcBorders>
              <w:top w:val="nil"/>
              <w:left w:val="nil"/>
              <w:bottom w:val="single" w:sz="8" w:space="0" w:color="auto"/>
              <w:right w:val="single" w:sz="8" w:space="0" w:color="auto"/>
            </w:tcBorders>
            <w:shd w:val="clear" w:color="000000" w:fill="D9D9D9"/>
            <w:vAlign w:val="center"/>
            <w:hideMark/>
          </w:tcPr>
          <w:p w14:paraId="41BE1623" w14:textId="77777777" w:rsidR="000473B3" w:rsidRPr="000473B3" w:rsidRDefault="000473B3" w:rsidP="000473B3">
            <w:pPr>
              <w:spacing w:before="0" w:after="0"/>
              <w:jc w:val="right"/>
              <w:rPr>
                <w:rFonts w:eastAsia="Times New Roman"/>
                <w:b/>
                <w:bCs/>
                <w:noProof/>
                <w:color w:val="000000"/>
                <w:sz w:val="16"/>
                <w:szCs w:val="16"/>
                <w:lang w:val="en-IE" w:eastAsia="en-IE"/>
              </w:rPr>
            </w:pPr>
            <w:r w:rsidRPr="000473B3">
              <w:rPr>
                <w:rFonts w:eastAsia="Times New Roman"/>
                <w:b/>
                <w:bCs/>
                <w:noProof/>
                <w:color w:val="000000"/>
                <w:sz w:val="16"/>
                <w:szCs w:val="16"/>
                <w:lang w:val="en-IE" w:eastAsia="en-IE"/>
              </w:rPr>
              <w:t>8.148</w:t>
            </w:r>
          </w:p>
        </w:tc>
      </w:tr>
    </w:tbl>
    <w:p w14:paraId="7EF8B4CC" w14:textId="77777777" w:rsidR="000473B3" w:rsidRDefault="000473B3" w:rsidP="00CA7C31">
      <w:pPr>
        <w:rPr>
          <w:noProof/>
        </w:rPr>
      </w:pPr>
      <w:r w:rsidRPr="000473B3">
        <w:rPr>
          <w:noProof/>
        </w:rPr>
        <w:t>Figures in the tables above are all strictly indicative pending the outcome of the 2028-2034 MFF negotiations which cannot be prejudged.</w:t>
      </w:r>
    </w:p>
    <w:p w14:paraId="263CF44A" w14:textId="77777777" w:rsidR="000473B3" w:rsidRPr="00AD21FF" w:rsidRDefault="000473B3" w:rsidP="00CA7C31">
      <w:pPr>
        <w:rPr>
          <w:noProof/>
        </w:rPr>
      </w:pPr>
    </w:p>
    <w:p w14:paraId="0B74903B" w14:textId="77777777" w:rsidR="00CA7C31" w:rsidRPr="00AD21FF" w:rsidRDefault="00CA7C31" w:rsidP="00CA7C31">
      <w:pPr>
        <w:pStyle w:val="ManualHeading3"/>
        <w:rPr>
          <w:bCs/>
          <w:noProof/>
          <w:szCs w:val="24"/>
        </w:rPr>
      </w:pPr>
      <w:r w:rsidRPr="00AD21FF">
        <w:rPr>
          <w:noProof/>
        </w:rPr>
        <w:t>3.2.4.</w:t>
      </w:r>
      <w:r w:rsidRPr="00AD21FF">
        <w:rPr>
          <w:noProof/>
        </w:rPr>
        <w:tab/>
        <w:t xml:space="preserve">Estimated requirements of human resources </w:t>
      </w:r>
    </w:p>
    <w:p w14:paraId="11CDD6A4"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 xml:space="preserve">The proposal/initiative does not require the use of human resources </w:t>
      </w:r>
    </w:p>
    <w:p w14:paraId="20B015B1"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The proposal/initiative requires the use of human resources, as explained below</w:t>
      </w:r>
    </w:p>
    <w:p w14:paraId="1E3CDF0D" w14:textId="77777777" w:rsidR="00CA7C31" w:rsidRPr="00AD21FF" w:rsidRDefault="00CA7C31" w:rsidP="00CA7C31">
      <w:pPr>
        <w:pStyle w:val="ManualHeading3"/>
        <w:rPr>
          <w:noProof/>
        </w:rPr>
      </w:pPr>
      <w:r w:rsidRPr="00AD21FF">
        <w:rPr>
          <w:noProof/>
        </w:rPr>
        <w:t>3.2.4.1.</w:t>
      </w:r>
      <w:r w:rsidRPr="00AD21FF">
        <w:rPr>
          <w:noProof/>
        </w:rPr>
        <w:tab/>
        <w:t>Financed from voted budget</w:t>
      </w:r>
    </w:p>
    <w:p w14:paraId="2045AE98" w14:textId="77777777" w:rsidR="00CA7C31" w:rsidRPr="00AD21FF" w:rsidRDefault="00CA7C31" w:rsidP="00CA7C31">
      <w:pPr>
        <w:spacing w:after="60"/>
        <w:jc w:val="right"/>
        <w:rPr>
          <w:i/>
          <w:noProof/>
          <w:sz w:val="20"/>
        </w:rPr>
      </w:pPr>
      <w:r w:rsidRPr="00AD21FF">
        <w:rPr>
          <w:i/>
          <w:noProof/>
          <w:sz w:val="20"/>
        </w:rPr>
        <w:t>Estimate to be expressed in full-time equivalent units (FTEs)</w:t>
      </w:r>
    </w:p>
    <w:tbl>
      <w:tblPr>
        <w:tblW w:w="5000" w:type="pct"/>
        <w:tblLook w:val="04A0" w:firstRow="1" w:lastRow="0" w:firstColumn="1" w:lastColumn="0" w:noHBand="0" w:noVBand="1"/>
      </w:tblPr>
      <w:tblGrid>
        <w:gridCol w:w="1296"/>
        <w:gridCol w:w="1214"/>
        <w:gridCol w:w="616"/>
        <w:gridCol w:w="616"/>
        <w:gridCol w:w="616"/>
        <w:gridCol w:w="616"/>
        <w:gridCol w:w="616"/>
        <w:gridCol w:w="616"/>
        <w:gridCol w:w="616"/>
        <w:gridCol w:w="616"/>
        <w:gridCol w:w="616"/>
        <w:gridCol w:w="617"/>
        <w:gridCol w:w="616"/>
      </w:tblGrid>
      <w:tr w:rsidR="00BC4CFD" w:rsidRPr="00AD21FF" w14:paraId="0890EADF" w14:textId="77777777" w:rsidTr="00C243DB">
        <w:trPr>
          <w:trHeight w:val="300"/>
        </w:trPr>
        <w:tc>
          <w:tcPr>
            <w:tcW w:w="1351"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C47D1E4" w14:textId="77777777" w:rsidR="00BC4CFD" w:rsidRPr="00AD21FF" w:rsidRDefault="00BC4CFD" w:rsidP="00BC4CFD">
            <w:pPr>
              <w:spacing w:before="0" w:after="0"/>
              <w:jc w:val="center"/>
              <w:rPr>
                <w:b/>
                <w:noProof/>
                <w:color w:val="000000"/>
                <w:sz w:val="18"/>
                <w:szCs w:val="18"/>
                <w:lang w:eastAsia="en-IE"/>
              </w:rPr>
            </w:pPr>
            <w:r w:rsidRPr="00AD21FF">
              <w:rPr>
                <w:b/>
                <w:noProof/>
                <w:color w:val="000000"/>
                <w:sz w:val="18"/>
                <w:szCs w:val="18"/>
                <w:lang w:eastAsia="en-IE"/>
              </w:rPr>
              <w:t>VOTED APPROPRIATIONS</w:t>
            </w:r>
          </w:p>
        </w:tc>
        <w:tc>
          <w:tcPr>
            <w:tcW w:w="332" w:type="pct"/>
            <w:tcBorders>
              <w:top w:val="single" w:sz="8" w:space="0" w:color="auto"/>
              <w:left w:val="nil"/>
              <w:bottom w:val="nil"/>
              <w:right w:val="single" w:sz="8" w:space="0" w:color="auto"/>
            </w:tcBorders>
            <w:vAlign w:val="center"/>
            <w:hideMark/>
          </w:tcPr>
          <w:p w14:paraId="5A4BD50B"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c>
          <w:tcPr>
            <w:tcW w:w="332" w:type="pct"/>
            <w:tcBorders>
              <w:top w:val="single" w:sz="8" w:space="0" w:color="auto"/>
              <w:left w:val="nil"/>
              <w:bottom w:val="nil"/>
              <w:right w:val="single" w:sz="8" w:space="0" w:color="auto"/>
            </w:tcBorders>
            <w:vAlign w:val="center"/>
            <w:hideMark/>
          </w:tcPr>
          <w:p w14:paraId="2A38F032"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c>
          <w:tcPr>
            <w:tcW w:w="332" w:type="pct"/>
            <w:tcBorders>
              <w:top w:val="single" w:sz="8" w:space="0" w:color="auto"/>
              <w:left w:val="nil"/>
              <w:bottom w:val="nil"/>
              <w:right w:val="single" w:sz="8" w:space="0" w:color="auto"/>
            </w:tcBorders>
            <w:vAlign w:val="center"/>
            <w:hideMark/>
          </w:tcPr>
          <w:p w14:paraId="656388E6"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c>
          <w:tcPr>
            <w:tcW w:w="332" w:type="pct"/>
            <w:tcBorders>
              <w:top w:val="single" w:sz="8" w:space="0" w:color="auto"/>
              <w:left w:val="nil"/>
              <w:bottom w:val="nil"/>
              <w:right w:val="single" w:sz="8" w:space="0" w:color="auto"/>
            </w:tcBorders>
            <w:vAlign w:val="center"/>
            <w:hideMark/>
          </w:tcPr>
          <w:p w14:paraId="3687DE7C"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c>
          <w:tcPr>
            <w:tcW w:w="332" w:type="pct"/>
            <w:tcBorders>
              <w:top w:val="single" w:sz="8" w:space="0" w:color="auto"/>
              <w:left w:val="nil"/>
              <w:right w:val="single" w:sz="8" w:space="0" w:color="auto"/>
            </w:tcBorders>
            <w:vAlign w:val="center"/>
          </w:tcPr>
          <w:p w14:paraId="156F095A" w14:textId="77777777" w:rsidR="00BC4CFD" w:rsidRPr="008505AC" w:rsidRDefault="00BC4CFD" w:rsidP="00BC4CFD">
            <w:pPr>
              <w:spacing w:before="0" w:after="0"/>
              <w:jc w:val="center"/>
              <w:rPr>
                <w:b/>
                <w:noProof/>
                <w:color w:val="000000"/>
                <w:sz w:val="18"/>
                <w:szCs w:val="18"/>
                <w:lang w:eastAsia="en-IE"/>
              </w:rPr>
            </w:pPr>
            <w:r w:rsidRPr="00AD21FF">
              <w:rPr>
                <w:noProof/>
                <w:color w:val="000000"/>
                <w:sz w:val="20"/>
                <w:szCs w:val="20"/>
                <w:lang w:eastAsia="en-IE"/>
              </w:rPr>
              <w:t>Year</w:t>
            </w:r>
          </w:p>
        </w:tc>
        <w:tc>
          <w:tcPr>
            <w:tcW w:w="332" w:type="pct"/>
            <w:tcBorders>
              <w:top w:val="single" w:sz="8" w:space="0" w:color="auto"/>
              <w:left w:val="nil"/>
              <w:right w:val="single" w:sz="8" w:space="0" w:color="auto"/>
            </w:tcBorders>
            <w:vAlign w:val="center"/>
          </w:tcPr>
          <w:p w14:paraId="5FC66E0D"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c>
          <w:tcPr>
            <w:tcW w:w="332" w:type="pct"/>
            <w:tcBorders>
              <w:top w:val="single" w:sz="8" w:space="0" w:color="auto"/>
              <w:left w:val="nil"/>
              <w:right w:val="single" w:sz="8" w:space="0" w:color="auto"/>
            </w:tcBorders>
            <w:vAlign w:val="center"/>
          </w:tcPr>
          <w:p w14:paraId="5A78D6F1"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c>
          <w:tcPr>
            <w:tcW w:w="332" w:type="pct"/>
            <w:tcBorders>
              <w:top w:val="single" w:sz="8" w:space="0" w:color="auto"/>
              <w:left w:val="nil"/>
              <w:right w:val="single" w:sz="8" w:space="0" w:color="auto"/>
            </w:tcBorders>
            <w:vAlign w:val="center"/>
          </w:tcPr>
          <w:p w14:paraId="68DABCCE"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c>
          <w:tcPr>
            <w:tcW w:w="332" w:type="pct"/>
            <w:tcBorders>
              <w:top w:val="single" w:sz="8" w:space="0" w:color="auto"/>
              <w:left w:val="nil"/>
              <w:right w:val="single" w:sz="8" w:space="0" w:color="auto"/>
            </w:tcBorders>
            <w:vAlign w:val="center"/>
          </w:tcPr>
          <w:p w14:paraId="2A8A2233"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c>
          <w:tcPr>
            <w:tcW w:w="332" w:type="pct"/>
            <w:tcBorders>
              <w:top w:val="single" w:sz="8" w:space="0" w:color="auto"/>
              <w:left w:val="nil"/>
              <w:right w:val="single" w:sz="8" w:space="0" w:color="auto"/>
            </w:tcBorders>
            <w:vAlign w:val="center"/>
          </w:tcPr>
          <w:p w14:paraId="104EBF91"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c>
          <w:tcPr>
            <w:tcW w:w="332" w:type="pct"/>
            <w:tcBorders>
              <w:top w:val="single" w:sz="8" w:space="0" w:color="auto"/>
              <w:left w:val="nil"/>
              <w:right w:val="single" w:sz="8" w:space="0" w:color="auto"/>
            </w:tcBorders>
            <w:vAlign w:val="center"/>
          </w:tcPr>
          <w:p w14:paraId="3817EAA1" w14:textId="77777777" w:rsidR="00BC4CFD" w:rsidRPr="00AD21FF" w:rsidRDefault="00BC4CFD" w:rsidP="00BC4CFD">
            <w:pPr>
              <w:spacing w:before="0" w:after="0"/>
              <w:jc w:val="center"/>
              <w:rPr>
                <w:noProof/>
                <w:color w:val="000000"/>
                <w:sz w:val="20"/>
                <w:szCs w:val="20"/>
                <w:lang w:eastAsia="en-IE"/>
              </w:rPr>
            </w:pPr>
            <w:r w:rsidRPr="00AD21FF">
              <w:rPr>
                <w:noProof/>
                <w:color w:val="000000"/>
                <w:sz w:val="20"/>
                <w:szCs w:val="20"/>
                <w:lang w:eastAsia="en-IE"/>
              </w:rPr>
              <w:t>Year</w:t>
            </w:r>
          </w:p>
        </w:tc>
      </w:tr>
      <w:tr w:rsidR="00BC4CFD" w:rsidRPr="00AD21FF" w14:paraId="4FAD2821" w14:textId="77777777" w:rsidTr="00C243DB">
        <w:trPr>
          <w:trHeight w:val="300"/>
        </w:trPr>
        <w:tc>
          <w:tcPr>
            <w:tcW w:w="1351" w:type="pct"/>
            <w:gridSpan w:val="2"/>
            <w:vMerge/>
            <w:tcBorders>
              <w:top w:val="single" w:sz="8" w:space="0" w:color="auto"/>
              <w:left w:val="single" w:sz="8" w:space="0" w:color="auto"/>
              <w:bottom w:val="single" w:sz="8" w:space="0" w:color="auto"/>
              <w:right w:val="single" w:sz="8" w:space="0" w:color="000000"/>
            </w:tcBorders>
            <w:vAlign w:val="center"/>
            <w:hideMark/>
          </w:tcPr>
          <w:p w14:paraId="3A8F3252" w14:textId="77777777" w:rsidR="00BC4CFD" w:rsidRPr="00AD21FF" w:rsidRDefault="00BC4CFD" w:rsidP="00BC4CFD">
            <w:pPr>
              <w:spacing w:before="0" w:after="0"/>
              <w:jc w:val="left"/>
              <w:rPr>
                <w:b/>
                <w:noProof/>
                <w:color w:val="000000"/>
                <w:sz w:val="18"/>
                <w:szCs w:val="18"/>
                <w:lang w:eastAsia="en-IE"/>
              </w:rPr>
            </w:pPr>
          </w:p>
        </w:tc>
        <w:tc>
          <w:tcPr>
            <w:tcW w:w="332" w:type="pct"/>
            <w:tcBorders>
              <w:top w:val="nil"/>
              <w:left w:val="nil"/>
              <w:bottom w:val="single" w:sz="8" w:space="0" w:color="auto"/>
              <w:right w:val="single" w:sz="8" w:space="0" w:color="auto"/>
            </w:tcBorders>
            <w:vAlign w:val="center"/>
            <w:hideMark/>
          </w:tcPr>
          <w:p w14:paraId="228A4E4E"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2024</w:t>
            </w:r>
          </w:p>
        </w:tc>
        <w:tc>
          <w:tcPr>
            <w:tcW w:w="332" w:type="pct"/>
            <w:tcBorders>
              <w:top w:val="nil"/>
              <w:left w:val="nil"/>
              <w:bottom w:val="single" w:sz="8" w:space="0" w:color="auto"/>
              <w:right w:val="single" w:sz="8" w:space="0" w:color="auto"/>
            </w:tcBorders>
            <w:vAlign w:val="center"/>
            <w:hideMark/>
          </w:tcPr>
          <w:p w14:paraId="2EEAC9FF"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2025</w:t>
            </w:r>
          </w:p>
        </w:tc>
        <w:tc>
          <w:tcPr>
            <w:tcW w:w="332" w:type="pct"/>
            <w:tcBorders>
              <w:top w:val="nil"/>
              <w:left w:val="nil"/>
              <w:bottom w:val="single" w:sz="8" w:space="0" w:color="auto"/>
              <w:right w:val="single" w:sz="8" w:space="0" w:color="auto"/>
            </w:tcBorders>
            <w:vAlign w:val="center"/>
            <w:hideMark/>
          </w:tcPr>
          <w:p w14:paraId="0054164E"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2026</w:t>
            </w:r>
          </w:p>
        </w:tc>
        <w:tc>
          <w:tcPr>
            <w:tcW w:w="332" w:type="pct"/>
            <w:tcBorders>
              <w:top w:val="nil"/>
              <w:left w:val="nil"/>
              <w:bottom w:val="single" w:sz="8" w:space="0" w:color="auto"/>
              <w:right w:val="single" w:sz="8" w:space="0" w:color="auto"/>
            </w:tcBorders>
            <w:vAlign w:val="center"/>
            <w:hideMark/>
          </w:tcPr>
          <w:p w14:paraId="34E85992"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2027</w:t>
            </w:r>
          </w:p>
        </w:tc>
        <w:tc>
          <w:tcPr>
            <w:tcW w:w="332" w:type="pct"/>
            <w:tcBorders>
              <w:left w:val="nil"/>
              <w:bottom w:val="single" w:sz="8" w:space="0" w:color="auto"/>
              <w:right w:val="single" w:sz="8" w:space="0" w:color="auto"/>
            </w:tcBorders>
            <w:vAlign w:val="center"/>
          </w:tcPr>
          <w:p w14:paraId="50C10876"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202</w:t>
            </w:r>
            <w:r>
              <w:rPr>
                <w:b/>
                <w:noProof/>
                <w:color w:val="000000"/>
                <w:sz w:val="20"/>
                <w:szCs w:val="20"/>
                <w:lang w:eastAsia="en-IE"/>
              </w:rPr>
              <w:t>8</w:t>
            </w:r>
          </w:p>
        </w:tc>
        <w:tc>
          <w:tcPr>
            <w:tcW w:w="332" w:type="pct"/>
            <w:tcBorders>
              <w:left w:val="nil"/>
              <w:bottom w:val="single" w:sz="8" w:space="0" w:color="auto"/>
              <w:right w:val="single" w:sz="8" w:space="0" w:color="auto"/>
            </w:tcBorders>
            <w:vAlign w:val="center"/>
          </w:tcPr>
          <w:p w14:paraId="186E779A"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202</w:t>
            </w:r>
            <w:r>
              <w:rPr>
                <w:b/>
                <w:noProof/>
                <w:color w:val="000000"/>
                <w:sz w:val="20"/>
                <w:szCs w:val="20"/>
                <w:lang w:eastAsia="en-IE"/>
              </w:rPr>
              <w:t>9</w:t>
            </w:r>
          </w:p>
        </w:tc>
        <w:tc>
          <w:tcPr>
            <w:tcW w:w="332" w:type="pct"/>
            <w:tcBorders>
              <w:left w:val="nil"/>
              <w:bottom w:val="single" w:sz="8" w:space="0" w:color="auto"/>
              <w:right w:val="single" w:sz="8" w:space="0" w:color="auto"/>
            </w:tcBorders>
            <w:vAlign w:val="center"/>
          </w:tcPr>
          <w:p w14:paraId="60EF1587"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w:t>
            </w:r>
            <w:r>
              <w:rPr>
                <w:b/>
                <w:noProof/>
                <w:color w:val="000000"/>
                <w:sz w:val="20"/>
                <w:szCs w:val="20"/>
                <w:lang w:eastAsia="en-IE"/>
              </w:rPr>
              <w:t>30</w:t>
            </w:r>
          </w:p>
        </w:tc>
        <w:tc>
          <w:tcPr>
            <w:tcW w:w="332" w:type="pct"/>
            <w:tcBorders>
              <w:left w:val="nil"/>
              <w:bottom w:val="single" w:sz="8" w:space="0" w:color="auto"/>
              <w:right w:val="single" w:sz="8" w:space="0" w:color="auto"/>
            </w:tcBorders>
            <w:vAlign w:val="center"/>
          </w:tcPr>
          <w:p w14:paraId="4F19B9ED"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w:t>
            </w:r>
            <w:r>
              <w:rPr>
                <w:b/>
                <w:noProof/>
                <w:color w:val="000000"/>
                <w:sz w:val="20"/>
                <w:szCs w:val="20"/>
                <w:lang w:eastAsia="en-IE"/>
              </w:rPr>
              <w:t>31</w:t>
            </w:r>
          </w:p>
        </w:tc>
        <w:tc>
          <w:tcPr>
            <w:tcW w:w="332" w:type="pct"/>
            <w:tcBorders>
              <w:left w:val="nil"/>
              <w:bottom w:val="single" w:sz="8" w:space="0" w:color="auto"/>
              <w:right w:val="single" w:sz="8" w:space="0" w:color="auto"/>
            </w:tcBorders>
            <w:vAlign w:val="center"/>
          </w:tcPr>
          <w:p w14:paraId="28FEA9CB"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w:t>
            </w:r>
            <w:r>
              <w:rPr>
                <w:b/>
                <w:noProof/>
                <w:color w:val="000000"/>
                <w:sz w:val="20"/>
                <w:szCs w:val="20"/>
                <w:lang w:eastAsia="en-IE"/>
              </w:rPr>
              <w:t>32</w:t>
            </w:r>
          </w:p>
        </w:tc>
        <w:tc>
          <w:tcPr>
            <w:tcW w:w="332" w:type="pct"/>
            <w:tcBorders>
              <w:left w:val="nil"/>
              <w:bottom w:val="single" w:sz="8" w:space="0" w:color="auto"/>
              <w:right w:val="single" w:sz="8" w:space="0" w:color="auto"/>
            </w:tcBorders>
            <w:vAlign w:val="center"/>
          </w:tcPr>
          <w:p w14:paraId="4CC48B6A"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w:t>
            </w:r>
            <w:r>
              <w:rPr>
                <w:b/>
                <w:noProof/>
                <w:color w:val="000000"/>
                <w:sz w:val="20"/>
                <w:szCs w:val="20"/>
                <w:lang w:eastAsia="en-IE"/>
              </w:rPr>
              <w:t>33</w:t>
            </w:r>
          </w:p>
        </w:tc>
        <w:tc>
          <w:tcPr>
            <w:tcW w:w="332" w:type="pct"/>
            <w:tcBorders>
              <w:left w:val="nil"/>
              <w:bottom w:val="single" w:sz="8" w:space="0" w:color="auto"/>
              <w:right w:val="single" w:sz="8" w:space="0" w:color="auto"/>
            </w:tcBorders>
            <w:vAlign w:val="center"/>
          </w:tcPr>
          <w:p w14:paraId="2B2543F7" w14:textId="77777777" w:rsidR="00BC4CFD" w:rsidRPr="00AD21FF" w:rsidRDefault="00BC4CFD" w:rsidP="00BC4CFD">
            <w:pPr>
              <w:spacing w:before="0" w:after="0"/>
              <w:jc w:val="center"/>
              <w:rPr>
                <w:b/>
                <w:noProof/>
                <w:color w:val="000000"/>
                <w:sz w:val="20"/>
                <w:szCs w:val="20"/>
                <w:lang w:eastAsia="en-IE"/>
              </w:rPr>
            </w:pPr>
            <w:r w:rsidRPr="00AD21FF">
              <w:rPr>
                <w:b/>
                <w:noProof/>
                <w:color w:val="000000"/>
                <w:sz w:val="20"/>
                <w:szCs w:val="20"/>
                <w:lang w:eastAsia="en-IE"/>
              </w:rPr>
              <w:t>20</w:t>
            </w:r>
            <w:r>
              <w:rPr>
                <w:b/>
                <w:noProof/>
                <w:color w:val="000000"/>
                <w:sz w:val="20"/>
                <w:szCs w:val="20"/>
                <w:lang w:eastAsia="en-IE"/>
              </w:rPr>
              <w:t>34</w:t>
            </w:r>
          </w:p>
        </w:tc>
      </w:tr>
      <w:tr w:rsidR="00BC4CFD" w:rsidRPr="00AD21FF" w14:paraId="55E7F3A8" w14:textId="77777777" w:rsidTr="00BC4CFD">
        <w:trPr>
          <w:trHeight w:val="300"/>
        </w:trPr>
        <w:tc>
          <w:tcPr>
            <w:tcW w:w="5000" w:type="pct"/>
            <w:gridSpan w:val="13"/>
            <w:tcBorders>
              <w:top w:val="single" w:sz="8" w:space="0" w:color="auto"/>
              <w:left w:val="single" w:sz="8" w:space="0" w:color="auto"/>
              <w:bottom w:val="single" w:sz="8" w:space="0" w:color="auto"/>
              <w:right w:val="single" w:sz="4" w:space="0" w:color="auto"/>
            </w:tcBorders>
            <w:vAlign w:val="center"/>
            <w:hideMark/>
          </w:tcPr>
          <w:p w14:paraId="40E96C2E" w14:textId="77777777" w:rsidR="00BC4CFD" w:rsidRPr="00AD21FF" w:rsidRDefault="00BC4CFD" w:rsidP="00BC4CFD">
            <w:pPr>
              <w:spacing w:before="0" w:after="0"/>
              <w:jc w:val="left"/>
              <w:rPr>
                <w:rFonts w:ascii="Wingdings" w:hAnsi="Wingdings" w:cs="Calibri"/>
                <w:b/>
                <w:noProof/>
                <w:color w:val="000000"/>
                <w:sz w:val="16"/>
                <w:szCs w:val="16"/>
                <w:lang w:eastAsia="en-IE"/>
              </w:rPr>
            </w:pPr>
            <w:r w:rsidRPr="00AD21FF">
              <w:rPr>
                <w:rFonts w:ascii="Wingdings" w:hAnsi="Wingdings" w:cs="Calibri"/>
                <w:b/>
                <w:noProof/>
                <w:color w:val="000000"/>
                <w:sz w:val="16"/>
                <w:szCs w:val="16"/>
                <w:lang w:eastAsia="en-IE"/>
              </w:rPr>
              <w:t></w:t>
            </w:r>
            <w:r w:rsidRPr="00AD21FF">
              <w:rPr>
                <w:b/>
                <w:noProof/>
                <w:color w:val="000000"/>
                <w:sz w:val="16"/>
                <w:szCs w:val="16"/>
                <w:lang w:eastAsia="en-IE"/>
              </w:rPr>
              <w:t xml:space="preserve"> Establishment plan posts (officials and temporary staff)</w:t>
            </w:r>
          </w:p>
        </w:tc>
      </w:tr>
      <w:tr w:rsidR="007E50FD" w:rsidRPr="00AD21FF" w14:paraId="60C77D17"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3E7B50CB" w14:textId="77777777" w:rsidR="007E50FD" w:rsidRPr="00AD21FF" w:rsidRDefault="007E50FD" w:rsidP="007E50FD">
            <w:pPr>
              <w:spacing w:before="0" w:after="0"/>
              <w:ind w:firstLineChars="100" w:firstLine="160"/>
              <w:jc w:val="left"/>
              <w:rPr>
                <w:noProof/>
                <w:color w:val="000000"/>
                <w:sz w:val="16"/>
                <w:szCs w:val="16"/>
                <w:lang w:eastAsia="en-IE"/>
              </w:rPr>
            </w:pPr>
            <w:r w:rsidRPr="00AD21FF">
              <w:rPr>
                <w:noProof/>
                <w:color w:val="000000"/>
                <w:sz w:val="16"/>
                <w:szCs w:val="16"/>
                <w:lang w:eastAsia="en-IE"/>
              </w:rPr>
              <w:t>20 01 02 01</w:t>
            </w:r>
            <w:r w:rsidRPr="00AD21FF">
              <w:rPr>
                <w:rFonts w:ascii="Arial Narrow" w:hAnsi="Arial Narrow"/>
                <w:noProof/>
                <w:color w:val="000000"/>
                <w:sz w:val="20"/>
                <w:szCs w:val="20"/>
                <w:lang w:eastAsia="en-IE"/>
              </w:rPr>
              <w:t xml:space="preserve"> </w:t>
            </w:r>
            <w:r w:rsidRPr="00AD21FF">
              <w:rPr>
                <w:noProof/>
                <w:color w:val="000000"/>
                <w:sz w:val="16"/>
                <w:szCs w:val="16"/>
                <w:lang w:eastAsia="en-IE"/>
              </w:rPr>
              <w:t>(Headquarters and Commission’s Representation Offices)</w:t>
            </w:r>
          </w:p>
        </w:tc>
        <w:tc>
          <w:tcPr>
            <w:tcW w:w="332" w:type="pct"/>
            <w:tcBorders>
              <w:top w:val="nil"/>
              <w:left w:val="nil"/>
              <w:bottom w:val="single" w:sz="8" w:space="0" w:color="auto"/>
              <w:right w:val="single" w:sz="8" w:space="0" w:color="auto"/>
            </w:tcBorders>
            <w:shd w:val="clear" w:color="000000" w:fill="D9D9D9"/>
            <w:vAlign w:val="center"/>
            <w:hideMark/>
          </w:tcPr>
          <w:p w14:paraId="1BD750A4" w14:textId="77777777" w:rsidR="007E50FD" w:rsidRPr="00AD21FF" w:rsidRDefault="007E50FD" w:rsidP="007E50FD">
            <w:pPr>
              <w:spacing w:before="0" w:after="0"/>
              <w:jc w:val="center"/>
              <w:rPr>
                <w:noProof/>
                <w:color w:val="000000"/>
                <w:sz w:val="16"/>
                <w:szCs w:val="16"/>
                <w:lang w:eastAsia="en-IE"/>
              </w:rPr>
            </w:pPr>
            <w:r w:rsidRPr="00AD21FF">
              <w:rPr>
                <w:rFonts w:eastAsia="Times New Roman"/>
                <w:noProof/>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E3D75B3" w14:textId="77777777" w:rsidR="007E50FD" w:rsidRPr="00AD21FF" w:rsidRDefault="007E50FD" w:rsidP="007E50FD">
            <w:pPr>
              <w:spacing w:before="0" w:after="0"/>
              <w:jc w:val="center"/>
              <w:rPr>
                <w:noProof/>
                <w:color w:val="000000"/>
                <w:sz w:val="16"/>
                <w:szCs w:val="16"/>
                <w:lang w:eastAsia="en-IE"/>
              </w:rPr>
            </w:pPr>
            <w:r w:rsidRPr="00AD21FF">
              <w:rPr>
                <w:rFonts w:eastAsia="Times New Roman"/>
                <w:noProof/>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06D930DE" w14:textId="77777777" w:rsidR="007E50FD" w:rsidRPr="00AD21FF" w:rsidRDefault="007E50FD" w:rsidP="007E50FD">
            <w:pPr>
              <w:spacing w:before="0" w:after="0"/>
              <w:jc w:val="center"/>
              <w:rPr>
                <w:noProof/>
                <w:color w:val="000000"/>
                <w:sz w:val="16"/>
                <w:szCs w:val="16"/>
                <w:lang w:eastAsia="en-IE"/>
              </w:rPr>
            </w:pPr>
            <w:r w:rsidRPr="00AD21FF">
              <w:rPr>
                <w:rFonts w:eastAsia="Times New Roman"/>
                <w:noProof/>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55346A25" w14:textId="77777777" w:rsidR="007E50FD" w:rsidRPr="00AD21FF" w:rsidRDefault="007E50FD" w:rsidP="007E50FD">
            <w:pPr>
              <w:spacing w:before="0" w:after="0"/>
              <w:jc w:val="center"/>
              <w:rPr>
                <w:noProof/>
                <w:color w:val="000000"/>
                <w:sz w:val="16"/>
                <w:szCs w:val="16"/>
                <w:lang w:eastAsia="en-IE"/>
              </w:rPr>
            </w:pPr>
            <w:r w:rsidRPr="00AD21FF">
              <w:rPr>
                <w:rFonts w:eastAsia="Times New Roman"/>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56D901CE" w14:textId="77777777" w:rsidR="007E50FD" w:rsidRPr="00AD21FF" w:rsidRDefault="007E50FD" w:rsidP="007E50FD">
            <w:pPr>
              <w:spacing w:before="0" w:after="0"/>
              <w:jc w:val="center"/>
              <w:rPr>
                <w:rFonts w:eastAsia="Times New Roman"/>
                <w:noProof/>
                <w:sz w:val="16"/>
                <w:szCs w:val="16"/>
                <w:lang w:eastAsia="en-IE"/>
              </w:rPr>
            </w:pPr>
            <w:r w:rsidRPr="00AD21FF">
              <w:rPr>
                <w:rFonts w:eastAsia="Times New Roman"/>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5E27190C" w14:textId="77777777" w:rsidR="007E50FD" w:rsidRPr="00AD21FF" w:rsidRDefault="007E50FD" w:rsidP="007E50FD">
            <w:pPr>
              <w:spacing w:before="0" w:after="0"/>
              <w:jc w:val="center"/>
              <w:rPr>
                <w:rFonts w:eastAsia="Times New Roman"/>
                <w:noProof/>
                <w:sz w:val="16"/>
                <w:szCs w:val="16"/>
                <w:lang w:eastAsia="en-IE"/>
              </w:rPr>
            </w:pPr>
            <w:r w:rsidRPr="00AD21FF">
              <w:rPr>
                <w:rFonts w:eastAsia="Times New Roman"/>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1CF8B9B4" w14:textId="77777777" w:rsidR="007E50FD" w:rsidRPr="00AD21FF" w:rsidRDefault="007E50FD" w:rsidP="007E50FD">
            <w:pPr>
              <w:spacing w:before="0" w:after="0"/>
              <w:jc w:val="center"/>
              <w:rPr>
                <w:rFonts w:eastAsia="Times New Roman"/>
                <w:noProof/>
                <w:sz w:val="16"/>
                <w:szCs w:val="16"/>
                <w:lang w:eastAsia="en-IE"/>
              </w:rPr>
            </w:pPr>
            <w:r w:rsidRPr="00AD21FF">
              <w:rPr>
                <w:rFonts w:eastAsia="Times New Roman"/>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0CF8E7CA" w14:textId="77777777" w:rsidR="007E50FD" w:rsidRPr="00AD21FF" w:rsidRDefault="007E50FD" w:rsidP="007E50FD">
            <w:pPr>
              <w:spacing w:before="0" w:after="0"/>
              <w:jc w:val="center"/>
              <w:rPr>
                <w:rFonts w:eastAsia="Times New Roman"/>
                <w:noProof/>
                <w:sz w:val="16"/>
                <w:szCs w:val="16"/>
                <w:lang w:eastAsia="en-IE"/>
              </w:rPr>
            </w:pPr>
            <w:r w:rsidRPr="00AD21FF">
              <w:rPr>
                <w:rFonts w:eastAsia="Times New Roman"/>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43E0E91B" w14:textId="77777777" w:rsidR="007E50FD" w:rsidRPr="00AD21FF" w:rsidRDefault="007E50FD" w:rsidP="007E50FD">
            <w:pPr>
              <w:spacing w:before="0" w:after="0"/>
              <w:jc w:val="center"/>
              <w:rPr>
                <w:rFonts w:eastAsia="Times New Roman"/>
                <w:noProof/>
                <w:sz w:val="16"/>
                <w:szCs w:val="16"/>
                <w:lang w:eastAsia="en-IE"/>
              </w:rPr>
            </w:pPr>
            <w:r w:rsidRPr="00AD21FF">
              <w:rPr>
                <w:rFonts w:eastAsia="Times New Roman"/>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265B778B" w14:textId="77777777" w:rsidR="007E50FD" w:rsidRPr="00AD21FF" w:rsidRDefault="007E50FD" w:rsidP="007E50FD">
            <w:pPr>
              <w:spacing w:before="0" w:after="0"/>
              <w:jc w:val="center"/>
              <w:rPr>
                <w:rFonts w:eastAsia="Times New Roman"/>
                <w:noProof/>
                <w:sz w:val="16"/>
                <w:szCs w:val="16"/>
                <w:lang w:eastAsia="en-IE"/>
              </w:rPr>
            </w:pPr>
            <w:r w:rsidRPr="00AD21FF">
              <w:rPr>
                <w:rFonts w:eastAsia="Times New Roman"/>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1E05D4F5" w14:textId="77777777" w:rsidR="007E50FD" w:rsidRPr="00AD21FF" w:rsidRDefault="007E50FD" w:rsidP="007E50FD">
            <w:pPr>
              <w:spacing w:before="0" w:after="0"/>
              <w:jc w:val="center"/>
              <w:rPr>
                <w:rFonts w:eastAsia="Times New Roman"/>
                <w:noProof/>
                <w:sz w:val="16"/>
                <w:szCs w:val="16"/>
                <w:lang w:eastAsia="en-IE"/>
              </w:rPr>
            </w:pPr>
            <w:r w:rsidRPr="00AD21FF">
              <w:rPr>
                <w:rFonts w:eastAsia="Times New Roman"/>
                <w:noProof/>
                <w:sz w:val="16"/>
                <w:szCs w:val="16"/>
                <w:lang w:eastAsia="en-IE"/>
              </w:rPr>
              <w:t>6</w:t>
            </w:r>
          </w:p>
        </w:tc>
      </w:tr>
      <w:tr w:rsidR="00DC6EB0" w:rsidRPr="00AD21FF" w14:paraId="6FBDF986"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6016BD23"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20 01 02 03 (EU Delegations)</w:t>
            </w:r>
          </w:p>
        </w:tc>
        <w:tc>
          <w:tcPr>
            <w:tcW w:w="332" w:type="pct"/>
            <w:tcBorders>
              <w:top w:val="nil"/>
              <w:left w:val="nil"/>
              <w:bottom w:val="single" w:sz="8" w:space="0" w:color="auto"/>
              <w:right w:val="single" w:sz="8" w:space="0" w:color="auto"/>
            </w:tcBorders>
            <w:shd w:val="clear" w:color="000000" w:fill="D9D9D9"/>
            <w:vAlign w:val="center"/>
            <w:hideMark/>
          </w:tcPr>
          <w:p w14:paraId="6362C320"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5EE4938A"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01FD0B1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639E87A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3C6206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2D50180"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0A78AA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67F0BF2"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2FA36AE"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4107D0A"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799BB9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DC6EB0" w:rsidRPr="00AD21FF" w14:paraId="1A2B61CD"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661A84EF"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01 01 01 01</w:t>
            </w:r>
            <w:r w:rsidRPr="00AD21FF">
              <w:rPr>
                <w:rFonts w:ascii="Arial Narrow" w:hAnsi="Arial Narrow"/>
                <w:noProof/>
                <w:color w:val="000000"/>
                <w:sz w:val="20"/>
                <w:szCs w:val="20"/>
                <w:lang w:eastAsia="en-IE"/>
              </w:rPr>
              <w:t xml:space="preserve"> </w:t>
            </w:r>
            <w:r w:rsidRPr="00AD21FF">
              <w:rPr>
                <w:noProof/>
                <w:color w:val="000000"/>
                <w:sz w:val="16"/>
                <w:szCs w:val="16"/>
                <w:lang w:eastAsia="en-IE"/>
              </w:rPr>
              <w:t>(Indirect research)</w:t>
            </w:r>
          </w:p>
        </w:tc>
        <w:tc>
          <w:tcPr>
            <w:tcW w:w="332" w:type="pct"/>
            <w:tcBorders>
              <w:top w:val="nil"/>
              <w:left w:val="nil"/>
              <w:bottom w:val="single" w:sz="8" w:space="0" w:color="auto"/>
              <w:right w:val="single" w:sz="8" w:space="0" w:color="auto"/>
            </w:tcBorders>
            <w:shd w:val="clear" w:color="000000" w:fill="D9D9D9"/>
            <w:vAlign w:val="center"/>
            <w:hideMark/>
          </w:tcPr>
          <w:p w14:paraId="226ABD6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73F03C6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624A3985"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548D982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7120AA5"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A2F41E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200B66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061713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1540495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E4AF8C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D35F600"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DC6EB0" w:rsidRPr="00AD21FF" w14:paraId="45504320"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0D53BC6F"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01 01 01 11 (Direct research)</w:t>
            </w:r>
          </w:p>
        </w:tc>
        <w:tc>
          <w:tcPr>
            <w:tcW w:w="332" w:type="pct"/>
            <w:tcBorders>
              <w:top w:val="nil"/>
              <w:left w:val="nil"/>
              <w:bottom w:val="single" w:sz="8" w:space="0" w:color="auto"/>
              <w:right w:val="single" w:sz="8" w:space="0" w:color="auto"/>
            </w:tcBorders>
            <w:shd w:val="clear" w:color="000000" w:fill="D9D9D9"/>
            <w:vAlign w:val="center"/>
            <w:hideMark/>
          </w:tcPr>
          <w:p w14:paraId="6070A25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5C10263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7297D510"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45D5BE06"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3E7C5B8"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D99000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1A2103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155C0E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1D59E4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B26E802"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E9F6E1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DC6EB0" w:rsidRPr="00AD21FF" w14:paraId="3AF746B8"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332BEE61"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Other budget lines (specify)</w:t>
            </w:r>
          </w:p>
        </w:tc>
        <w:tc>
          <w:tcPr>
            <w:tcW w:w="332" w:type="pct"/>
            <w:tcBorders>
              <w:top w:val="nil"/>
              <w:left w:val="nil"/>
              <w:bottom w:val="single" w:sz="8" w:space="0" w:color="auto"/>
              <w:right w:val="single" w:sz="8" w:space="0" w:color="auto"/>
            </w:tcBorders>
            <w:shd w:val="clear" w:color="000000" w:fill="D9D9D9"/>
            <w:vAlign w:val="center"/>
            <w:hideMark/>
          </w:tcPr>
          <w:p w14:paraId="3764CB3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30D4DDD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71503BC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E13237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2F44F0D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02D822B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8B8088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072B817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2B1307C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141E2AB2"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458BA7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DC6EB0" w:rsidRPr="00AD21FF" w14:paraId="0E225835" w14:textId="77777777" w:rsidTr="00BC4CFD">
        <w:trPr>
          <w:trHeight w:val="300"/>
        </w:trPr>
        <w:tc>
          <w:tcPr>
            <w:tcW w:w="5000" w:type="pct"/>
            <w:gridSpan w:val="13"/>
            <w:tcBorders>
              <w:top w:val="single" w:sz="8" w:space="0" w:color="auto"/>
              <w:left w:val="single" w:sz="8" w:space="0" w:color="auto"/>
              <w:bottom w:val="single" w:sz="8" w:space="0" w:color="auto"/>
              <w:right w:val="single" w:sz="4" w:space="0" w:color="auto"/>
            </w:tcBorders>
            <w:vAlign w:val="center"/>
            <w:hideMark/>
          </w:tcPr>
          <w:p w14:paraId="3B60DD9B" w14:textId="77777777" w:rsidR="00DC6EB0" w:rsidRPr="00AD21FF" w:rsidRDefault="00DC6EB0" w:rsidP="00DC6EB0">
            <w:pPr>
              <w:spacing w:before="0" w:after="0"/>
              <w:jc w:val="left"/>
              <w:rPr>
                <w:rFonts w:ascii="Calibri" w:hAnsi="Calibri" w:cs="Calibri"/>
                <w:b/>
                <w:noProof/>
                <w:color w:val="000000"/>
                <w:sz w:val="16"/>
                <w:szCs w:val="16"/>
                <w:lang w:eastAsia="en-IE"/>
              </w:rPr>
            </w:pPr>
            <w:r w:rsidRPr="00AD21FF">
              <w:rPr>
                <w:rFonts w:ascii="Calibri" w:hAnsi="Calibri" w:cs="Calibri"/>
                <w:b/>
                <w:noProof/>
                <w:color w:val="000000"/>
                <w:sz w:val="16"/>
                <w:szCs w:val="16"/>
                <w:lang w:eastAsia="en-IE"/>
              </w:rPr>
              <w:t>•</w:t>
            </w:r>
            <w:r w:rsidRPr="00AD21FF">
              <w:rPr>
                <w:b/>
                <w:noProof/>
                <w:color w:val="000000"/>
                <w:sz w:val="16"/>
                <w:szCs w:val="16"/>
                <w:lang w:eastAsia="en-IE"/>
              </w:rPr>
              <w:t xml:space="preserve"> External staff (in FTEs)</w:t>
            </w:r>
          </w:p>
        </w:tc>
      </w:tr>
      <w:tr w:rsidR="00DC6EB0" w:rsidRPr="00AD21FF" w14:paraId="2995781E"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569E9503"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20 02 01</w:t>
            </w:r>
            <w:r w:rsidRPr="00AD21FF">
              <w:rPr>
                <w:rFonts w:ascii="Arial Narrow" w:hAnsi="Arial Narrow"/>
                <w:noProof/>
                <w:color w:val="000000"/>
                <w:sz w:val="20"/>
                <w:szCs w:val="20"/>
                <w:lang w:eastAsia="en-IE"/>
              </w:rPr>
              <w:t xml:space="preserve"> </w:t>
            </w:r>
            <w:r w:rsidRPr="00AD21FF">
              <w:rPr>
                <w:noProof/>
                <w:color w:val="000000"/>
                <w:sz w:val="16"/>
                <w:szCs w:val="16"/>
                <w:lang w:eastAsia="en-IE"/>
              </w:rPr>
              <w:t>(AC, END from the ‘global envelope’)</w:t>
            </w:r>
          </w:p>
        </w:tc>
        <w:tc>
          <w:tcPr>
            <w:tcW w:w="332" w:type="pct"/>
            <w:tcBorders>
              <w:top w:val="nil"/>
              <w:left w:val="nil"/>
              <w:bottom w:val="single" w:sz="8" w:space="0" w:color="auto"/>
              <w:right w:val="single" w:sz="8" w:space="0" w:color="auto"/>
            </w:tcBorders>
            <w:shd w:val="clear" w:color="000000" w:fill="D9D9D9"/>
            <w:vAlign w:val="center"/>
            <w:hideMark/>
          </w:tcPr>
          <w:p w14:paraId="1CC770EE"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A440FF6"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10251E5F"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7B0AD95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A4176C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C75F6A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04850A8A"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EF212E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27CBAEF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C03F03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E22D6C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DC6EB0" w:rsidRPr="00AD21FF" w14:paraId="5DDB2963"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662DCDBE"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20 02 03 (AC, AL, END and JPD in the EU Delegations)</w:t>
            </w:r>
          </w:p>
        </w:tc>
        <w:tc>
          <w:tcPr>
            <w:tcW w:w="332" w:type="pct"/>
            <w:tcBorders>
              <w:top w:val="nil"/>
              <w:left w:val="nil"/>
              <w:bottom w:val="single" w:sz="8" w:space="0" w:color="auto"/>
              <w:right w:val="single" w:sz="8" w:space="0" w:color="auto"/>
            </w:tcBorders>
            <w:shd w:val="clear" w:color="000000" w:fill="D9D9D9"/>
            <w:vAlign w:val="center"/>
            <w:hideMark/>
          </w:tcPr>
          <w:p w14:paraId="063AF0B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1E31EF55"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7CB74899"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1E6902AE"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D9892A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213F929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1EE6CCD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174C6FB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A6616F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98B117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172ABE8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943A02" w:rsidRPr="00AD21FF" w14:paraId="5E59A2EE" w14:textId="77777777" w:rsidTr="00BC4CFD">
        <w:trPr>
          <w:trHeight w:val="300"/>
        </w:trPr>
        <w:tc>
          <w:tcPr>
            <w:tcW w:w="698" w:type="pct"/>
            <w:tcBorders>
              <w:top w:val="nil"/>
              <w:left w:val="single" w:sz="8" w:space="0" w:color="auto"/>
              <w:bottom w:val="single" w:sz="8" w:space="0" w:color="auto"/>
              <w:right w:val="single" w:sz="8" w:space="0" w:color="auto"/>
            </w:tcBorders>
            <w:vAlign w:val="center"/>
            <w:hideMark/>
          </w:tcPr>
          <w:p w14:paraId="3BCFA29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Admin. Support line</w:t>
            </w:r>
            <w:r w:rsidRPr="00AD21FF">
              <w:rPr>
                <w:noProof/>
                <w:color w:val="000000"/>
                <w:sz w:val="16"/>
                <w:szCs w:val="16"/>
                <w:lang w:eastAsia="en-IE"/>
              </w:rPr>
              <w:br/>
              <w:t>[XX.01.YY.YY]</w:t>
            </w:r>
          </w:p>
        </w:tc>
        <w:tc>
          <w:tcPr>
            <w:tcW w:w="654" w:type="pct"/>
            <w:tcBorders>
              <w:top w:val="nil"/>
              <w:left w:val="nil"/>
              <w:bottom w:val="single" w:sz="8" w:space="0" w:color="auto"/>
              <w:right w:val="single" w:sz="8" w:space="0" w:color="auto"/>
            </w:tcBorders>
            <w:vAlign w:val="center"/>
            <w:hideMark/>
          </w:tcPr>
          <w:p w14:paraId="279D5CB7"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 at Headquarters</w:t>
            </w:r>
          </w:p>
        </w:tc>
        <w:tc>
          <w:tcPr>
            <w:tcW w:w="332" w:type="pct"/>
            <w:tcBorders>
              <w:top w:val="nil"/>
              <w:left w:val="nil"/>
              <w:bottom w:val="single" w:sz="8" w:space="0" w:color="auto"/>
              <w:right w:val="single" w:sz="8" w:space="0" w:color="auto"/>
            </w:tcBorders>
            <w:shd w:val="clear" w:color="000000" w:fill="D9D9D9"/>
            <w:vAlign w:val="center"/>
            <w:hideMark/>
          </w:tcPr>
          <w:p w14:paraId="5AFA947F"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5A1FB8EE"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0E0678C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954168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19F00CC9"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29273E28"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18854C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62944B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83ED676"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DB63180"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195E407" w14:textId="77777777" w:rsidR="00DC6EB0" w:rsidRPr="00AD21FF" w:rsidRDefault="00DC6EB0" w:rsidP="00DC6EB0">
            <w:pPr>
              <w:spacing w:before="0" w:after="0"/>
              <w:jc w:val="center"/>
              <w:rPr>
                <w:noProof/>
                <w:color w:val="000000"/>
                <w:sz w:val="16"/>
                <w:szCs w:val="16"/>
                <w:lang w:eastAsia="en-IE"/>
              </w:rPr>
            </w:pPr>
            <w:r>
              <w:rPr>
                <w:noProof/>
                <w:color w:val="000000"/>
                <w:sz w:val="16"/>
                <w:szCs w:val="16"/>
                <w:lang w:eastAsia="en-IE"/>
              </w:rPr>
              <w:t>0</w:t>
            </w:r>
          </w:p>
        </w:tc>
      </w:tr>
      <w:tr w:rsidR="00943A02" w:rsidRPr="00AD21FF" w14:paraId="40615BDB" w14:textId="77777777" w:rsidTr="00BC4CFD">
        <w:trPr>
          <w:trHeight w:val="300"/>
        </w:trPr>
        <w:tc>
          <w:tcPr>
            <w:tcW w:w="698" w:type="pct"/>
            <w:tcBorders>
              <w:top w:val="nil"/>
              <w:left w:val="single" w:sz="8" w:space="0" w:color="auto"/>
              <w:bottom w:val="single" w:sz="8" w:space="0" w:color="auto"/>
              <w:right w:val="single" w:sz="8" w:space="0" w:color="auto"/>
            </w:tcBorders>
            <w:vAlign w:val="center"/>
            <w:hideMark/>
          </w:tcPr>
          <w:p w14:paraId="2FCC5BC1" w14:textId="77777777" w:rsidR="00DC6EB0" w:rsidRPr="00AD21FF" w:rsidRDefault="00DC6EB0" w:rsidP="00DC6EB0">
            <w:pPr>
              <w:spacing w:before="0" w:after="0"/>
              <w:jc w:val="left"/>
              <w:rPr>
                <w:noProof/>
                <w:color w:val="000000"/>
                <w:sz w:val="16"/>
                <w:szCs w:val="16"/>
                <w:lang w:eastAsia="en-IE"/>
              </w:rPr>
            </w:pPr>
          </w:p>
        </w:tc>
        <w:tc>
          <w:tcPr>
            <w:tcW w:w="654" w:type="pct"/>
            <w:tcBorders>
              <w:top w:val="nil"/>
              <w:left w:val="nil"/>
              <w:bottom w:val="single" w:sz="8" w:space="0" w:color="auto"/>
              <w:right w:val="single" w:sz="8" w:space="0" w:color="auto"/>
            </w:tcBorders>
            <w:vAlign w:val="center"/>
            <w:hideMark/>
          </w:tcPr>
          <w:p w14:paraId="4DE8C60B"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 xml:space="preserve">- in EU Delegations </w:t>
            </w:r>
          </w:p>
        </w:tc>
        <w:tc>
          <w:tcPr>
            <w:tcW w:w="332" w:type="pct"/>
            <w:tcBorders>
              <w:top w:val="nil"/>
              <w:left w:val="nil"/>
              <w:bottom w:val="single" w:sz="8" w:space="0" w:color="auto"/>
              <w:right w:val="single" w:sz="8" w:space="0" w:color="auto"/>
            </w:tcBorders>
            <w:shd w:val="clear" w:color="000000" w:fill="D9D9D9"/>
            <w:vAlign w:val="center"/>
            <w:hideMark/>
          </w:tcPr>
          <w:p w14:paraId="7602600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542B9436"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6E1AC2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3A96AB36"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1331C4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0D155BE"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9D33476"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169075E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F08BD85"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D5B688A"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6C64C13" w14:textId="77777777" w:rsidR="00DC6EB0" w:rsidRPr="00AD21FF" w:rsidRDefault="00DC6EB0" w:rsidP="00DC6EB0">
            <w:pPr>
              <w:spacing w:before="0" w:after="0"/>
              <w:jc w:val="center"/>
              <w:rPr>
                <w:noProof/>
                <w:color w:val="000000"/>
                <w:sz w:val="16"/>
                <w:szCs w:val="16"/>
                <w:lang w:eastAsia="en-IE"/>
              </w:rPr>
            </w:pPr>
            <w:r>
              <w:rPr>
                <w:noProof/>
                <w:color w:val="000000"/>
                <w:sz w:val="16"/>
                <w:szCs w:val="16"/>
                <w:lang w:eastAsia="en-IE"/>
              </w:rPr>
              <w:t>0</w:t>
            </w:r>
          </w:p>
        </w:tc>
      </w:tr>
      <w:tr w:rsidR="00DC6EB0" w:rsidRPr="00AD21FF" w14:paraId="6C82582B"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720DAA0F"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01 01 01 02</w:t>
            </w:r>
            <w:r w:rsidRPr="00AD21FF">
              <w:rPr>
                <w:rFonts w:ascii="Arial Narrow" w:hAnsi="Arial Narrow"/>
                <w:noProof/>
                <w:color w:val="000000"/>
                <w:sz w:val="20"/>
                <w:szCs w:val="20"/>
                <w:lang w:eastAsia="en-IE"/>
              </w:rPr>
              <w:t xml:space="preserve"> </w:t>
            </w:r>
            <w:r w:rsidRPr="00AD21FF">
              <w:rPr>
                <w:noProof/>
                <w:color w:val="000000"/>
                <w:sz w:val="16"/>
                <w:szCs w:val="16"/>
                <w:lang w:eastAsia="en-IE"/>
              </w:rPr>
              <w:t>(AC, END - Indirect research)</w:t>
            </w:r>
          </w:p>
        </w:tc>
        <w:tc>
          <w:tcPr>
            <w:tcW w:w="332" w:type="pct"/>
            <w:tcBorders>
              <w:top w:val="nil"/>
              <w:left w:val="nil"/>
              <w:bottom w:val="single" w:sz="8" w:space="0" w:color="auto"/>
              <w:right w:val="single" w:sz="8" w:space="0" w:color="auto"/>
            </w:tcBorders>
            <w:shd w:val="clear" w:color="000000" w:fill="D9D9D9"/>
            <w:vAlign w:val="center"/>
            <w:hideMark/>
          </w:tcPr>
          <w:p w14:paraId="114208E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D5D08C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6527436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E511F88"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93373D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5EF7A89"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0F3CB09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26503E85"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F7B32B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4561589"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5850E4C"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DC6EB0" w:rsidRPr="00AD21FF" w14:paraId="4B245C79"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5F7D4C4D"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 xml:space="preserve"> 01 01 01 12 (AC, END - Direct research)</w:t>
            </w:r>
          </w:p>
        </w:tc>
        <w:tc>
          <w:tcPr>
            <w:tcW w:w="332" w:type="pct"/>
            <w:tcBorders>
              <w:top w:val="nil"/>
              <w:left w:val="nil"/>
              <w:bottom w:val="single" w:sz="8" w:space="0" w:color="auto"/>
              <w:right w:val="single" w:sz="8" w:space="0" w:color="auto"/>
            </w:tcBorders>
            <w:shd w:val="clear" w:color="000000" w:fill="D9D9D9"/>
            <w:vAlign w:val="center"/>
            <w:hideMark/>
          </w:tcPr>
          <w:p w14:paraId="64E5085A"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417E517E"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6091EB9"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46EC71C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7D5BF9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E2353E6"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0C56952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0A55AB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12957B31"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0BA3CB8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25C329B9"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DC6EB0" w:rsidRPr="00AD21FF" w14:paraId="06704C01"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4CFC659F"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Other budget lines (specify) - Heading 7</w:t>
            </w:r>
          </w:p>
        </w:tc>
        <w:tc>
          <w:tcPr>
            <w:tcW w:w="332" w:type="pct"/>
            <w:tcBorders>
              <w:top w:val="nil"/>
              <w:left w:val="nil"/>
              <w:bottom w:val="single" w:sz="8" w:space="0" w:color="auto"/>
              <w:right w:val="single" w:sz="8" w:space="0" w:color="auto"/>
            </w:tcBorders>
            <w:shd w:val="clear" w:color="000000" w:fill="D9D9D9"/>
            <w:vAlign w:val="center"/>
            <w:hideMark/>
          </w:tcPr>
          <w:p w14:paraId="09D37289"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0FDDA938"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45B18CB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476FBA8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2454489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07126B0"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1FE60E5F"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57C22395"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4DDBF97F"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0AFF6C55"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03EBC1A3"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DC6EB0" w:rsidRPr="00AD21FF" w14:paraId="571FB553"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1D208846" w14:textId="77777777" w:rsidR="00DC6EB0" w:rsidRPr="00AD21FF" w:rsidRDefault="00DC6EB0" w:rsidP="00DC6EB0">
            <w:pPr>
              <w:spacing w:before="0" w:after="0"/>
              <w:ind w:firstLineChars="100" w:firstLine="160"/>
              <w:jc w:val="left"/>
              <w:rPr>
                <w:noProof/>
                <w:color w:val="000000"/>
                <w:sz w:val="16"/>
                <w:szCs w:val="16"/>
                <w:lang w:eastAsia="en-IE"/>
              </w:rPr>
            </w:pPr>
            <w:r w:rsidRPr="00AD21FF">
              <w:rPr>
                <w:noProof/>
                <w:color w:val="000000"/>
                <w:sz w:val="16"/>
                <w:szCs w:val="16"/>
                <w:lang w:eastAsia="en-IE"/>
              </w:rPr>
              <w:t>Other budget lines (specify) - Outside Heading 7</w:t>
            </w:r>
          </w:p>
        </w:tc>
        <w:tc>
          <w:tcPr>
            <w:tcW w:w="332" w:type="pct"/>
            <w:tcBorders>
              <w:top w:val="nil"/>
              <w:left w:val="nil"/>
              <w:bottom w:val="single" w:sz="8" w:space="0" w:color="auto"/>
              <w:right w:val="single" w:sz="8" w:space="0" w:color="auto"/>
            </w:tcBorders>
            <w:shd w:val="clear" w:color="000000" w:fill="D9D9D9"/>
            <w:vAlign w:val="center"/>
            <w:hideMark/>
          </w:tcPr>
          <w:p w14:paraId="0418AAF8"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41638EC9"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36992AF"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42CF900"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C593C08"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660E03D"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3D875C34"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0CE8FAC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60E96D7F"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61A8CBB"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tcPr>
          <w:p w14:paraId="7395DBD7" w14:textId="77777777" w:rsidR="00DC6EB0" w:rsidRPr="00AD21FF" w:rsidRDefault="00DC6EB0" w:rsidP="00DC6EB0">
            <w:pPr>
              <w:spacing w:before="0" w:after="0"/>
              <w:jc w:val="center"/>
              <w:rPr>
                <w:noProof/>
                <w:color w:val="000000"/>
                <w:sz w:val="16"/>
                <w:szCs w:val="16"/>
                <w:lang w:eastAsia="en-IE"/>
              </w:rPr>
            </w:pPr>
            <w:r w:rsidRPr="00AD21FF">
              <w:rPr>
                <w:noProof/>
                <w:color w:val="000000"/>
                <w:sz w:val="16"/>
                <w:szCs w:val="16"/>
                <w:lang w:eastAsia="en-IE"/>
              </w:rPr>
              <w:t>0</w:t>
            </w:r>
          </w:p>
        </w:tc>
      </w:tr>
      <w:tr w:rsidR="007E50FD" w:rsidRPr="00AD21FF" w14:paraId="0E7A3926" w14:textId="77777777" w:rsidTr="00C243DB">
        <w:trPr>
          <w:trHeight w:val="300"/>
        </w:trPr>
        <w:tc>
          <w:tcPr>
            <w:tcW w:w="1351" w:type="pct"/>
            <w:gridSpan w:val="2"/>
            <w:tcBorders>
              <w:top w:val="single" w:sz="8" w:space="0" w:color="auto"/>
              <w:left w:val="single" w:sz="8" w:space="0" w:color="auto"/>
              <w:bottom w:val="single" w:sz="8" w:space="0" w:color="auto"/>
              <w:right w:val="single" w:sz="8" w:space="0" w:color="auto"/>
            </w:tcBorders>
            <w:vAlign w:val="center"/>
            <w:hideMark/>
          </w:tcPr>
          <w:p w14:paraId="767C127B" w14:textId="77777777" w:rsidR="007E50FD" w:rsidRPr="00AD21FF" w:rsidRDefault="007E50FD" w:rsidP="007E50FD">
            <w:pPr>
              <w:spacing w:before="0" w:after="0"/>
              <w:ind w:firstLineChars="100" w:firstLine="161"/>
              <w:jc w:val="left"/>
              <w:rPr>
                <w:b/>
                <w:noProof/>
                <w:color w:val="000000"/>
                <w:sz w:val="16"/>
                <w:szCs w:val="16"/>
                <w:lang w:eastAsia="en-IE"/>
              </w:rPr>
            </w:pPr>
            <w:r w:rsidRPr="00AD21FF">
              <w:rPr>
                <w:b/>
                <w:noProof/>
                <w:color w:val="000000"/>
                <w:sz w:val="16"/>
                <w:szCs w:val="16"/>
                <w:lang w:eastAsia="en-IE"/>
              </w:rPr>
              <w:t>TOTAL</w:t>
            </w:r>
          </w:p>
        </w:tc>
        <w:tc>
          <w:tcPr>
            <w:tcW w:w="332" w:type="pct"/>
            <w:tcBorders>
              <w:top w:val="nil"/>
              <w:left w:val="nil"/>
              <w:bottom w:val="single" w:sz="8" w:space="0" w:color="auto"/>
              <w:right w:val="single" w:sz="8" w:space="0" w:color="auto"/>
            </w:tcBorders>
            <w:shd w:val="clear" w:color="000000" w:fill="D9D9D9"/>
            <w:vAlign w:val="center"/>
            <w:hideMark/>
          </w:tcPr>
          <w:p w14:paraId="10DDF704" w14:textId="77777777" w:rsidR="007E50FD" w:rsidRPr="00AD21FF" w:rsidRDefault="007E50FD" w:rsidP="007E50FD">
            <w:pPr>
              <w:spacing w:before="0" w:after="0"/>
              <w:jc w:val="center"/>
              <w:rPr>
                <w:b/>
                <w:noProof/>
                <w:color w:val="000000"/>
                <w:sz w:val="16"/>
                <w:szCs w:val="16"/>
                <w:lang w:eastAsia="en-IE"/>
              </w:rPr>
            </w:pPr>
            <w:r w:rsidRPr="00AD21FF">
              <w:rPr>
                <w:rFonts w:eastAsia="Times New Roman"/>
                <w:b/>
                <w:bCs/>
                <w:noProof/>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2E5A1185" w14:textId="77777777" w:rsidR="007E50FD" w:rsidRPr="00AD21FF" w:rsidRDefault="007E50FD" w:rsidP="007E50FD">
            <w:pPr>
              <w:spacing w:before="0" w:after="0"/>
              <w:jc w:val="center"/>
              <w:rPr>
                <w:b/>
                <w:noProof/>
                <w:color w:val="000000"/>
                <w:sz w:val="16"/>
                <w:szCs w:val="16"/>
                <w:lang w:eastAsia="en-IE"/>
              </w:rPr>
            </w:pPr>
            <w:r w:rsidRPr="00AD21FF">
              <w:rPr>
                <w:rFonts w:eastAsia="Times New Roman"/>
                <w:b/>
                <w:bCs/>
                <w:noProof/>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505EF694" w14:textId="77777777" w:rsidR="007E50FD" w:rsidRPr="00AD21FF" w:rsidRDefault="007E50FD" w:rsidP="007E50FD">
            <w:pPr>
              <w:spacing w:before="0" w:after="0"/>
              <w:jc w:val="center"/>
              <w:rPr>
                <w:b/>
                <w:noProof/>
                <w:color w:val="000000"/>
                <w:sz w:val="16"/>
                <w:szCs w:val="16"/>
                <w:lang w:eastAsia="en-IE"/>
              </w:rPr>
            </w:pPr>
            <w:r w:rsidRPr="00AD21FF">
              <w:rPr>
                <w:rFonts w:eastAsia="Times New Roman"/>
                <w:b/>
                <w:bCs/>
                <w:noProof/>
                <w:sz w:val="16"/>
                <w:szCs w:val="16"/>
                <w:lang w:eastAsia="en-IE"/>
              </w:rPr>
              <w:t>0</w:t>
            </w:r>
          </w:p>
        </w:tc>
        <w:tc>
          <w:tcPr>
            <w:tcW w:w="332" w:type="pct"/>
            <w:tcBorders>
              <w:top w:val="nil"/>
              <w:left w:val="nil"/>
              <w:bottom w:val="single" w:sz="8" w:space="0" w:color="auto"/>
              <w:right w:val="single" w:sz="8" w:space="0" w:color="auto"/>
            </w:tcBorders>
            <w:shd w:val="clear" w:color="000000" w:fill="D9D9D9"/>
            <w:vAlign w:val="center"/>
            <w:hideMark/>
          </w:tcPr>
          <w:p w14:paraId="66266EBE" w14:textId="77777777" w:rsidR="007E50FD" w:rsidRPr="00AD21FF" w:rsidRDefault="007E50FD" w:rsidP="007E50FD">
            <w:pPr>
              <w:spacing w:before="0" w:after="0"/>
              <w:jc w:val="center"/>
              <w:rPr>
                <w:b/>
                <w:noProof/>
                <w:color w:val="000000"/>
                <w:sz w:val="16"/>
                <w:szCs w:val="16"/>
                <w:lang w:eastAsia="en-IE"/>
              </w:rPr>
            </w:pPr>
            <w:r w:rsidRPr="00AD21FF">
              <w:rPr>
                <w:rFonts w:eastAsia="Times New Roman"/>
                <w:b/>
                <w:bCs/>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6B736D33" w14:textId="77777777" w:rsidR="007E50FD" w:rsidRPr="00AD21FF" w:rsidRDefault="007E50FD" w:rsidP="007E50FD">
            <w:pPr>
              <w:spacing w:before="0" w:after="0"/>
              <w:jc w:val="center"/>
              <w:rPr>
                <w:rFonts w:eastAsia="Times New Roman"/>
                <w:b/>
                <w:bCs/>
                <w:noProof/>
                <w:sz w:val="16"/>
                <w:szCs w:val="16"/>
                <w:lang w:eastAsia="en-IE"/>
              </w:rPr>
            </w:pPr>
            <w:r w:rsidRPr="00AD21FF">
              <w:rPr>
                <w:rFonts w:eastAsia="Times New Roman"/>
                <w:b/>
                <w:bCs/>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4631393C" w14:textId="77777777" w:rsidR="007E50FD" w:rsidRPr="00AD21FF" w:rsidRDefault="007E50FD" w:rsidP="007E50FD">
            <w:pPr>
              <w:spacing w:before="0" w:after="0"/>
              <w:jc w:val="center"/>
              <w:rPr>
                <w:rFonts w:eastAsia="Times New Roman"/>
                <w:b/>
                <w:bCs/>
                <w:noProof/>
                <w:sz w:val="16"/>
                <w:szCs w:val="16"/>
                <w:lang w:eastAsia="en-IE"/>
              </w:rPr>
            </w:pPr>
            <w:r w:rsidRPr="00AD21FF">
              <w:rPr>
                <w:rFonts w:eastAsia="Times New Roman"/>
                <w:b/>
                <w:bCs/>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696D8870" w14:textId="77777777" w:rsidR="007E50FD" w:rsidRPr="00AD21FF" w:rsidRDefault="007E50FD" w:rsidP="007E50FD">
            <w:pPr>
              <w:spacing w:before="0" w:after="0"/>
              <w:jc w:val="center"/>
              <w:rPr>
                <w:rFonts w:eastAsia="Times New Roman"/>
                <w:b/>
                <w:bCs/>
                <w:noProof/>
                <w:sz w:val="16"/>
                <w:szCs w:val="16"/>
                <w:lang w:eastAsia="en-IE"/>
              </w:rPr>
            </w:pPr>
            <w:r w:rsidRPr="00AD21FF">
              <w:rPr>
                <w:rFonts w:eastAsia="Times New Roman"/>
                <w:b/>
                <w:bCs/>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2A182221" w14:textId="77777777" w:rsidR="007E50FD" w:rsidRPr="00AD21FF" w:rsidRDefault="007E50FD" w:rsidP="007E50FD">
            <w:pPr>
              <w:spacing w:before="0" w:after="0"/>
              <w:jc w:val="center"/>
              <w:rPr>
                <w:rFonts w:eastAsia="Times New Roman"/>
                <w:b/>
                <w:bCs/>
                <w:noProof/>
                <w:sz w:val="16"/>
                <w:szCs w:val="16"/>
                <w:lang w:eastAsia="en-IE"/>
              </w:rPr>
            </w:pPr>
            <w:r w:rsidRPr="00AD21FF">
              <w:rPr>
                <w:rFonts w:eastAsia="Times New Roman"/>
                <w:b/>
                <w:bCs/>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7AE225F9" w14:textId="77777777" w:rsidR="007E50FD" w:rsidRPr="00AD21FF" w:rsidRDefault="007E50FD" w:rsidP="007E50FD">
            <w:pPr>
              <w:spacing w:before="0" w:after="0"/>
              <w:jc w:val="center"/>
              <w:rPr>
                <w:rFonts w:eastAsia="Times New Roman"/>
                <w:b/>
                <w:bCs/>
                <w:noProof/>
                <w:sz w:val="16"/>
                <w:szCs w:val="16"/>
                <w:lang w:eastAsia="en-IE"/>
              </w:rPr>
            </w:pPr>
            <w:r w:rsidRPr="00AD21FF">
              <w:rPr>
                <w:rFonts w:eastAsia="Times New Roman"/>
                <w:b/>
                <w:bCs/>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50D7C76E" w14:textId="77777777" w:rsidR="007E50FD" w:rsidRPr="00AD21FF" w:rsidRDefault="007E50FD" w:rsidP="007E50FD">
            <w:pPr>
              <w:spacing w:before="0" w:after="0"/>
              <w:jc w:val="center"/>
              <w:rPr>
                <w:rFonts w:eastAsia="Times New Roman"/>
                <w:b/>
                <w:bCs/>
                <w:noProof/>
                <w:sz w:val="16"/>
                <w:szCs w:val="16"/>
                <w:lang w:eastAsia="en-IE"/>
              </w:rPr>
            </w:pPr>
            <w:r w:rsidRPr="00AD21FF">
              <w:rPr>
                <w:rFonts w:eastAsia="Times New Roman"/>
                <w:b/>
                <w:bCs/>
                <w:noProof/>
                <w:sz w:val="16"/>
                <w:szCs w:val="16"/>
                <w:lang w:eastAsia="en-IE"/>
              </w:rPr>
              <w:t>6</w:t>
            </w:r>
          </w:p>
        </w:tc>
        <w:tc>
          <w:tcPr>
            <w:tcW w:w="332" w:type="pct"/>
            <w:tcBorders>
              <w:top w:val="nil"/>
              <w:left w:val="nil"/>
              <w:bottom w:val="single" w:sz="8" w:space="0" w:color="auto"/>
              <w:right w:val="single" w:sz="8" w:space="0" w:color="auto"/>
            </w:tcBorders>
            <w:shd w:val="clear" w:color="000000" w:fill="D9D9D9"/>
            <w:vAlign w:val="center"/>
          </w:tcPr>
          <w:p w14:paraId="010A981D" w14:textId="77777777" w:rsidR="007E50FD" w:rsidRPr="00AD21FF" w:rsidRDefault="007E50FD" w:rsidP="007E50FD">
            <w:pPr>
              <w:spacing w:before="0" w:after="0"/>
              <w:jc w:val="center"/>
              <w:rPr>
                <w:rFonts w:eastAsia="Times New Roman"/>
                <w:b/>
                <w:bCs/>
                <w:noProof/>
                <w:sz w:val="16"/>
                <w:szCs w:val="16"/>
                <w:lang w:eastAsia="en-IE"/>
              </w:rPr>
            </w:pPr>
            <w:r w:rsidRPr="00AD21FF">
              <w:rPr>
                <w:rFonts w:eastAsia="Times New Roman"/>
                <w:b/>
                <w:bCs/>
                <w:noProof/>
                <w:sz w:val="16"/>
                <w:szCs w:val="16"/>
                <w:lang w:eastAsia="en-IE"/>
              </w:rPr>
              <w:t>6</w:t>
            </w:r>
          </w:p>
        </w:tc>
      </w:tr>
    </w:tbl>
    <w:p w14:paraId="01EF2B85" w14:textId="77777777" w:rsidR="00DC6EB0" w:rsidRPr="00AD21FF" w:rsidRDefault="00DC6EB0" w:rsidP="00DC6EB0">
      <w:pPr>
        <w:rPr>
          <w:noProof/>
        </w:rPr>
      </w:pPr>
      <w:bookmarkStart w:id="13" w:name="_Hlk167692843"/>
      <w:r w:rsidRPr="00A766D7">
        <w:rPr>
          <w:noProof/>
        </w:rPr>
        <w:t>Figures in the tables above are all strictly indicative pending the outcome of the 2028-2034 MFF negotiations which cannot be prejudged.</w:t>
      </w:r>
      <w:r w:rsidR="00EF403D">
        <w:rPr>
          <w:noProof/>
        </w:rPr>
        <w:t xml:space="preserve"> </w:t>
      </w:r>
      <w:r w:rsidR="00EF403D" w:rsidRPr="00EF403D">
        <w:rPr>
          <w:noProof/>
        </w:rPr>
        <w:t>The human resources required will be met by staff from the DG who are already assigned to the management of the action and/or have been redeployed within the concerned services.</w:t>
      </w:r>
    </w:p>
    <w:p w14:paraId="4F653B96" w14:textId="77777777" w:rsidR="00CA7C31" w:rsidRPr="00AD21FF" w:rsidRDefault="00CA7C31" w:rsidP="00CA7C31">
      <w:pPr>
        <w:pStyle w:val="Text1"/>
        <w:ind w:left="0" w:right="-427"/>
        <w:rPr>
          <w:noProof/>
        </w:rPr>
      </w:pPr>
    </w:p>
    <w:p w14:paraId="79ABB668" w14:textId="77777777" w:rsidR="00CA7C31" w:rsidRPr="00AD21FF" w:rsidRDefault="00CA7C31" w:rsidP="00CA7C31">
      <w:pPr>
        <w:pStyle w:val="Text1"/>
        <w:ind w:left="0"/>
        <w:rPr>
          <w:noProof/>
          <w:color w:val="000000" w:themeColor="text1"/>
        </w:rPr>
      </w:pPr>
      <w:r w:rsidRPr="00AD21FF">
        <w:rPr>
          <w:noProof/>
          <w:color w:val="000000" w:themeColor="text1"/>
        </w:rPr>
        <w:t xml:space="preserve">The staff required to implement the proposal (in FTEs): </w:t>
      </w:r>
    </w:p>
    <w:tbl>
      <w:tblPr>
        <w:tblStyle w:val="TableGrid"/>
        <w:tblW w:w="5000" w:type="pct"/>
        <w:tblLook w:val="04A0" w:firstRow="1" w:lastRow="0" w:firstColumn="1" w:lastColumn="0" w:noHBand="0" w:noVBand="1"/>
      </w:tblPr>
      <w:tblGrid>
        <w:gridCol w:w="1806"/>
        <w:gridCol w:w="1988"/>
        <w:gridCol w:w="1886"/>
        <w:gridCol w:w="1896"/>
        <w:gridCol w:w="1711"/>
      </w:tblGrid>
      <w:tr w:rsidR="00CA7C31" w:rsidRPr="00AD21FF" w14:paraId="364FB4DF" w14:textId="77777777">
        <w:trPr>
          <w:trHeight w:val="300"/>
        </w:trPr>
        <w:tc>
          <w:tcPr>
            <w:tcW w:w="972" w:type="pct"/>
          </w:tcPr>
          <w:p w14:paraId="4B81A2D3" w14:textId="77777777" w:rsidR="00CA7C31" w:rsidRPr="00AD21FF" w:rsidRDefault="00CA7C31">
            <w:pPr>
              <w:pStyle w:val="Text1"/>
              <w:ind w:left="0"/>
              <w:jc w:val="center"/>
              <w:rPr>
                <w:b/>
                <w:bCs/>
                <w:noProof/>
                <w:sz w:val="22"/>
                <w:szCs w:val="28"/>
              </w:rPr>
            </w:pPr>
          </w:p>
        </w:tc>
        <w:tc>
          <w:tcPr>
            <w:tcW w:w="1070" w:type="pct"/>
          </w:tcPr>
          <w:p w14:paraId="475059FC" w14:textId="77777777" w:rsidR="00CA7C31" w:rsidRPr="00AD21FF" w:rsidRDefault="00CA7C31">
            <w:pPr>
              <w:pStyle w:val="Text1"/>
              <w:ind w:left="0"/>
              <w:jc w:val="center"/>
              <w:rPr>
                <w:b/>
                <w:bCs/>
                <w:noProof/>
                <w:sz w:val="22"/>
              </w:rPr>
            </w:pPr>
            <w:r w:rsidRPr="00AD21FF">
              <w:rPr>
                <w:b/>
                <w:bCs/>
                <w:noProof/>
                <w:sz w:val="22"/>
              </w:rPr>
              <w:t xml:space="preserve">To be covered by current staff available in the Commission services </w:t>
            </w:r>
          </w:p>
        </w:tc>
        <w:tc>
          <w:tcPr>
            <w:tcW w:w="2957" w:type="pct"/>
            <w:gridSpan w:val="3"/>
          </w:tcPr>
          <w:p w14:paraId="7098F083" w14:textId="77777777" w:rsidR="00CA7C31" w:rsidRPr="00AD21FF" w:rsidRDefault="00CA7C31">
            <w:pPr>
              <w:pStyle w:val="Text1"/>
              <w:ind w:left="0"/>
              <w:jc w:val="center"/>
              <w:rPr>
                <w:b/>
                <w:bCs/>
                <w:noProof/>
                <w:sz w:val="22"/>
              </w:rPr>
            </w:pPr>
            <w:r w:rsidRPr="00AD21FF">
              <w:rPr>
                <w:b/>
                <w:bCs/>
                <w:noProof/>
                <w:lang w:eastAsia="de-DE"/>
              </w:rPr>
              <w:t xml:space="preserve">Exceptional </w:t>
            </w:r>
            <w:r w:rsidRPr="00AD21FF">
              <w:rPr>
                <w:b/>
                <w:bCs/>
                <w:noProof/>
                <w:sz w:val="22"/>
              </w:rPr>
              <w:t>additional staff*</w:t>
            </w:r>
          </w:p>
        </w:tc>
      </w:tr>
      <w:tr w:rsidR="00CA7C31" w:rsidRPr="00AD21FF" w14:paraId="49A6FC5B" w14:textId="77777777">
        <w:trPr>
          <w:trHeight w:val="300"/>
        </w:trPr>
        <w:tc>
          <w:tcPr>
            <w:tcW w:w="972" w:type="pct"/>
          </w:tcPr>
          <w:p w14:paraId="2ADA9C6A" w14:textId="77777777" w:rsidR="00CA7C31" w:rsidRPr="00AD21FF" w:rsidRDefault="00CA7C31">
            <w:pPr>
              <w:pStyle w:val="Text1"/>
              <w:ind w:left="0"/>
              <w:jc w:val="center"/>
              <w:rPr>
                <w:b/>
                <w:bCs/>
                <w:noProof/>
                <w:sz w:val="22"/>
                <w:szCs w:val="28"/>
              </w:rPr>
            </w:pPr>
          </w:p>
        </w:tc>
        <w:tc>
          <w:tcPr>
            <w:tcW w:w="1070" w:type="pct"/>
          </w:tcPr>
          <w:p w14:paraId="1FAF5A56" w14:textId="77777777" w:rsidR="00CA7C31" w:rsidRPr="00AD21FF" w:rsidRDefault="00CA7C31">
            <w:pPr>
              <w:pStyle w:val="Text1"/>
              <w:ind w:left="0"/>
              <w:jc w:val="center"/>
              <w:rPr>
                <w:b/>
                <w:bCs/>
                <w:noProof/>
                <w:sz w:val="22"/>
                <w:szCs w:val="28"/>
              </w:rPr>
            </w:pPr>
          </w:p>
        </w:tc>
        <w:tc>
          <w:tcPr>
            <w:tcW w:w="1015" w:type="pct"/>
          </w:tcPr>
          <w:p w14:paraId="25296831" w14:textId="77777777" w:rsidR="00CA7C31" w:rsidRPr="00AD21FF" w:rsidRDefault="00CA7C31">
            <w:pPr>
              <w:pStyle w:val="Text1"/>
              <w:ind w:left="0"/>
              <w:jc w:val="center"/>
              <w:rPr>
                <w:b/>
                <w:bCs/>
                <w:noProof/>
                <w:sz w:val="22"/>
              </w:rPr>
            </w:pPr>
            <w:r w:rsidRPr="00AD21FF">
              <w:rPr>
                <w:b/>
                <w:noProof/>
                <w:sz w:val="22"/>
                <w:szCs w:val="22"/>
              </w:rPr>
              <w:t>To be financed under Heading 7 or Research</w:t>
            </w:r>
          </w:p>
        </w:tc>
        <w:tc>
          <w:tcPr>
            <w:tcW w:w="1021" w:type="pct"/>
          </w:tcPr>
          <w:p w14:paraId="408ED633" w14:textId="77777777" w:rsidR="00CA7C31" w:rsidRPr="00AD21FF" w:rsidRDefault="00CA7C31">
            <w:pPr>
              <w:pStyle w:val="Text1"/>
              <w:ind w:left="0"/>
              <w:jc w:val="center"/>
              <w:rPr>
                <w:b/>
                <w:bCs/>
                <w:noProof/>
                <w:sz w:val="22"/>
                <w:szCs w:val="28"/>
              </w:rPr>
            </w:pPr>
            <w:r w:rsidRPr="00AD21FF">
              <w:rPr>
                <w:b/>
                <w:bCs/>
                <w:noProof/>
                <w:sz w:val="22"/>
                <w:szCs w:val="28"/>
              </w:rPr>
              <w:t>To be financed from BA line</w:t>
            </w:r>
          </w:p>
        </w:tc>
        <w:tc>
          <w:tcPr>
            <w:tcW w:w="921" w:type="pct"/>
          </w:tcPr>
          <w:p w14:paraId="42BC376C" w14:textId="77777777" w:rsidR="00CA7C31" w:rsidRPr="00AD21FF" w:rsidRDefault="00CA7C31">
            <w:pPr>
              <w:pStyle w:val="Text1"/>
              <w:ind w:left="0"/>
              <w:jc w:val="center"/>
              <w:rPr>
                <w:b/>
                <w:bCs/>
                <w:noProof/>
                <w:sz w:val="22"/>
                <w:szCs w:val="28"/>
              </w:rPr>
            </w:pPr>
            <w:r w:rsidRPr="00AD21FF">
              <w:rPr>
                <w:b/>
                <w:bCs/>
                <w:noProof/>
                <w:sz w:val="22"/>
                <w:szCs w:val="28"/>
              </w:rPr>
              <w:t>To be financed from fees</w:t>
            </w:r>
          </w:p>
        </w:tc>
      </w:tr>
      <w:tr w:rsidR="00CA7C31" w:rsidRPr="00AD21FF" w14:paraId="506A067D" w14:textId="77777777">
        <w:trPr>
          <w:trHeight w:val="300"/>
        </w:trPr>
        <w:tc>
          <w:tcPr>
            <w:tcW w:w="972" w:type="pct"/>
          </w:tcPr>
          <w:p w14:paraId="262C0BE6" w14:textId="77777777" w:rsidR="00CA7C31" w:rsidRPr="00AD21FF" w:rsidRDefault="00CA7C31">
            <w:pPr>
              <w:pStyle w:val="Text1"/>
              <w:ind w:left="0"/>
              <w:rPr>
                <w:noProof/>
                <w:sz w:val="22"/>
                <w:szCs w:val="28"/>
              </w:rPr>
            </w:pPr>
            <w:r w:rsidRPr="00AD21FF">
              <w:rPr>
                <w:noProof/>
                <w:sz w:val="22"/>
                <w:szCs w:val="28"/>
              </w:rPr>
              <w:t>Establishment plan posts</w:t>
            </w:r>
          </w:p>
        </w:tc>
        <w:tc>
          <w:tcPr>
            <w:tcW w:w="1070" w:type="pct"/>
          </w:tcPr>
          <w:p w14:paraId="02D12C0F" w14:textId="77777777" w:rsidR="00CA7C31" w:rsidRPr="00AD21FF" w:rsidRDefault="00CA7C31">
            <w:pPr>
              <w:pStyle w:val="Text1"/>
              <w:ind w:left="0"/>
              <w:rPr>
                <w:noProof/>
                <w:sz w:val="22"/>
                <w:szCs w:val="28"/>
              </w:rPr>
            </w:pPr>
            <w:r w:rsidRPr="00AD21FF">
              <w:rPr>
                <w:noProof/>
                <w:szCs w:val="28"/>
                <w:lang w:eastAsia="de-DE"/>
              </w:rPr>
              <w:t>6</w:t>
            </w:r>
          </w:p>
        </w:tc>
        <w:tc>
          <w:tcPr>
            <w:tcW w:w="1015" w:type="pct"/>
            <w:vAlign w:val="center"/>
          </w:tcPr>
          <w:p w14:paraId="2D93E316" w14:textId="77777777" w:rsidR="00CA7C31" w:rsidRPr="00AD21FF" w:rsidRDefault="00CA7C31">
            <w:pPr>
              <w:pStyle w:val="Text1"/>
              <w:ind w:left="0"/>
              <w:jc w:val="left"/>
              <w:rPr>
                <w:noProof/>
                <w:sz w:val="22"/>
                <w:szCs w:val="22"/>
              </w:rPr>
            </w:pPr>
          </w:p>
        </w:tc>
        <w:tc>
          <w:tcPr>
            <w:tcW w:w="1021" w:type="pct"/>
          </w:tcPr>
          <w:p w14:paraId="1D7BA035" w14:textId="77777777" w:rsidR="00CA7C31" w:rsidRPr="00AD21FF" w:rsidRDefault="00CA7C31">
            <w:pPr>
              <w:pStyle w:val="Text1"/>
              <w:ind w:left="0"/>
              <w:rPr>
                <w:noProof/>
                <w:sz w:val="22"/>
                <w:szCs w:val="28"/>
              </w:rPr>
            </w:pPr>
            <w:r w:rsidRPr="00AD21FF">
              <w:rPr>
                <w:noProof/>
                <w:sz w:val="22"/>
                <w:szCs w:val="28"/>
              </w:rPr>
              <w:t>N/A</w:t>
            </w:r>
          </w:p>
        </w:tc>
        <w:tc>
          <w:tcPr>
            <w:tcW w:w="921" w:type="pct"/>
          </w:tcPr>
          <w:p w14:paraId="2ABDDA3C" w14:textId="77777777" w:rsidR="00CA7C31" w:rsidRPr="00AD21FF" w:rsidRDefault="00CA7C31">
            <w:pPr>
              <w:pStyle w:val="Text1"/>
              <w:ind w:left="0"/>
              <w:rPr>
                <w:noProof/>
                <w:sz w:val="22"/>
                <w:szCs w:val="28"/>
              </w:rPr>
            </w:pPr>
          </w:p>
        </w:tc>
      </w:tr>
      <w:tr w:rsidR="00CA7C31" w:rsidRPr="00AD21FF" w14:paraId="6249E2AD" w14:textId="77777777">
        <w:trPr>
          <w:trHeight w:val="300"/>
        </w:trPr>
        <w:tc>
          <w:tcPr>
            <w:tcW w:w="972" w:type="pct"/>
          </w:tcPr>
          <w:p w14:paraId="0E87C952" w14:textId="77777777" w:rsidR="00CA7C31" w:rsidRPr="00AD21FF" w:rsidRDefault="00CA7C31">
            <w:pPr>
              <w:pStyle w:val="Text1"/>
              <w:ind w:left="0"/>
              <w:rPr>
                <w:noProof/>
                <w:sz w:val="22"/>
                <w:szCs w:val="28"/>
              </w:rPr>
            </w:pPr>
            <w:r w:rsidRPr="00AD21FF">
              <w:rPr>
                <w:noProof/>
                <w:sz w:val="22"/>
                <w:szCs w:val="28"/>
              </w:rPr>
              <w:t>External staff (CA, SNEs, INT)</w:t>
            </w:r>
          </w:p>
        </w:tc>
        <w:tc>
          <w:tcPr>
            <w:tcW w:w="1070" w:type="pct"/>
          </w:tcPr>
          <w:p w14:paraId="0A431573" w14:textId="77777777" w:rsidR="00CA7C31" w:rsidRPr="00AD21FF" w:rsidRDefault="00CA7C31">
            <w:pPr>
              <w:pStyle w:val="Text1"/>
              <w:ind w:left="0"/>
              <w:rPr>
                <w:noProof/>
                <w:sz w:val="22"/>
                <w:szCs w:val="28"/>
              </w:rPr>
            </w:pPr>
          </w:p>
        </w:tc>
        <w:tc>
          <w:tcPr>
            <w:tcW w:w="1015" w:type="pct"/>
          </w:tcPr>
          <w:p w14:paraId="4A9A9B44" w14:textId="77777777" w:rsidR="00CA7C31" w:rsidRPr="00AD21FF" w:rsidRDefault="00CA7C31">
            <w:pPr>
              <w:pStyle w:val="Text1"/>
              <w:ind w:left="0"/>
              <w:rPr>
                <w:noProof/>
                <w:sz w:val="22"/>
                <w:szCs w:val="28"/>
              </w:rPr>
            </w:pPr>
          </w:p>
        </w:tc>
        <w:tc>
          <w:tcPr>
            <w:tcW w:w="1021" w:type="pct"/>
          </w:tcPr>
          <w:p w14:paraId="28436C47" w14:textId="77777777" w:rsidR="00CA7C31" w:rsidRPr="00AD21FF" w:rsidRDefault="00CA7C31">
            <w:pPr>
              <w:pStyle w:val="Text1"/>
              <w:ind w:left="0"/>
              <w:rPr>
                <w:noProof/>
                <w:sz w:val="22"/>
                <w:szCs w:val="28"/>
              </w:rPr>
            </w:pPr>
          </w:p>
        </w:tc>
        <w:tc>
          <w:tcPr>
            <w:tcW w:w="921" w:type="pct"/>
          </w:tcPr>
          <w:p w14:paraId="3D9D9AD6" w14:textId="77777777" w:rsidR="00CA7C31" w:rsidRPr="00AD21FF" w:rsidRDefault="00CA7C31">
            <w:pPr>
              <w:pStyle w:val="Text1"/>
              <w:ind w:left="0"/>
              <w:rPr>
                <w:noProof/>
                <w:sz w:val="22"/>
                <w:szCs w:val="28"/>
              </w:rPr>
            </w:pPr>
          </w:p>
        </w:tc>
      </w:tr>
    </w:tbl>
    <w:p w14:paraId="4789E602" w14:textId="77777777" w:rsidR="00CA7C31" w:rsidRPr="00AD21FF" w:rsidRDefault="00CA7C31" w:rsidP="00CA7C31">
      <w:pPr>
        <w:pStyle w:val="Text1"/>
        <w:ind w:left="-426" w:right="-427"/>
        <w:rPr>
          <w:noProof/>
        </w:rPr>
      </w:pPr>
      <w:r w:rsidRPr="00AD21FF">
        <w:rPr>
          <w:noProof/>
        </w:rPr>
        <w:t>Description of tasks to be carried out by: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83"/>
        <w:gridCol w:w="6404"/>
      </w:tblGrid>
      <w:tr w:rsidR="00CA7C31" w:rsidRPr="00AD21FF" w14:paraId="4EA25D6F" w14:textId="77777777">
        <w:tc>
          <w:tcPr>
            <w:tcW w:w="1552" w:type="pct"/>
          </w:tcPr>
          <w:p w14:paraId="1049A86E" w14:textId="77777777" w:rsidR="00CA7C31" w:rsidRPr="00AD21FF" w:rsidRDefault="00CA7C31">
            <w:pPr>
              <w:rPr>
                <w:noProof/>
                <w:sz w:val="20"/>
              </w:rPr>
            </w:pPr>
            <w:r w:rsidRPr="00AD21FF">
              <w:rPr>
                <w:noProof/>
                <w:sz w:val="20"/>
              </w:rPr>
              <w:t>Officials and temporary staff</w:t>
            </w:r>
          </w:p>
        </w:tc>
        <w:tc>
          <w:tcPr>
            <w:tcW w:w="3448" w:type="pct"/>
          </w:tcPr>
          <w:p w14:paraId="74CF454C" w14:textId="77777777" w:rsidR="00CA7C31" w:rsidRPr="00AD21FF" w:rsidRDefault="00CA7C31">
            <w:pPr>
              <w:rPr>
                <w:noProof/>
                <w:sz w:val="20"/>
              </w:rPr>
            </w:pPr>
            <w:r w:rsidRPr="00AD21FF">
              <w:rPr>
                <w:noProof/>
                <w:sz w:val="20"/>
              </w:rPr>
              <w:t>Additional staff (equivalent to 6 FTEs) will be needed to carry out the tasks of the proposal for lead markets</w:t>
            </w:r>
            <w:r w:rsidR="00BD56AA">
              <w:rPr>
                <w:noProof/>
                <w:sz w:val="20"/>
              </w:rPr>
              <w:t xml:space="preserve"> and</w:t>
            </w:r>
            <w:r w:rsidRPr="00AD21FF">
              <w:rPr>
                <w:noProof/>
                <w:sz w:val="20"/>
              </w:rPr>
              <w:t xml:space="preserve"> FDI screening.</w:t>
            </w:r>
            <w:r w:rsidR="007E2744" w:rsidRPr="007E2744">
              <w:rPr>
                <w:noProof/>
                <w:sz w:val="20"/>
              </w:rPr>
              <w:t xml:space="preserve"> The 6 FTE will be redep</w:t>
            </w:r>
            <w:r w:rsidR="00886E54">
              <w:rPr>
                <w:noProof/>
                <w:sz w:val="20"/>
              </w:rPr>
              <w:t>l</w:t>
            </w:r>
            <w:r w:rsidR="007E2744" w:rsidRPr="007E2744">
              <w:rPr>
                <w:noProof/>
                <w:sz w:val="20"/>
              </w:rPr>
              <w:t>oyed within the implementing DG.</w:t>
            </w:r>
          </w:p>
        </w:tc>
      </w:tr>
      <w:tr w:rsidR="00CA7C31" w:rsidRPr="00AD21FF" w14:paraId="3B50AE4A" w14:textId="77777777">
        <w:tc>
          <w:tcPr>
            <w:tcW w:w="1552" w:type="pct"/>
          </w:tcPr>
          <w:p w14:paraId="45E749A9" w14:textId="77777777" w:rsidR="00CA7C31" w:rsidRPr="00AD21FF" w:rsidRDefault="00CA7C31">
            <w:pPr>
              <w:spacing w:before="60" w:after="60"/>
              <w:rPr>
                <w:noProof/>
                <w:sz w:val="20"/>
              </w:rPr>
            </w:pPr>
            <w:r w:rsidRPr="00AD21FF">
              <w:rPr>
                <w:noProof/>
                <w:sz w:val="20"/>
              </w:rPr>
              <w:t>External staff</w:t>
            </w:r>
          </w:p>
        </w:tc>
        <w:tc>
          <w:tcPr>
            <w:tcW w:w="3448" w:type="pct"/>
          </w:tcPr>
          <w:p w14:paraId="5501A62B" w14:textId="77777777" w:rsidR="00CA7C31" w:rsidRPr="00AD21FF" w:rsidRDefault="00CA7C31">
            <w:pPr>
              <w:rPr>
                <w:noProof/>
                <w:sz w:val="20"/>
              </w:rPr>
            </w:pPr>
          </w:p>
        </w:tc>
      </w:tr>
    </w:tbl>
    <w:p w14:paraId="213B3197" w14:textId="77777777" w:rsidR="00CA7C31" w:rsidRPr="00AD21FF" w:rsidRDefault="00CA7C31" w:rsidP="00CA7C31">
      <w:pPr>
        <w:pStyle w:val="ManualHeading3"/>
        <w:rPr>
          <w:noProof/>
        </w:rPr>
      </w:pPr>
      <w:r w:rsidRPr="00AD21FF">
        <w:rPr>
          <w:noProof/>
        </w:rPr>
        <w:t>3.2.5.</w:t>
      </w:r>
      <w:r w:rsidRPr="00AD21FF">
        <w:rPr>
          <w:noProof/>
        </w:rPr>
        <w:tab/>
        <w:t>Overview of estimated impact on digital technology-related investments</w:t>
      </w:r>
    </w:p>
    <w:p w14:paraId="76EA2620" w14:textId="77777777" w:rsidR="00CA7C31" w:rsidRPr="00AD21FF" w:rsidRDefault="00CA7C31" w:rsidP="00CA7C31">
      <w:pPr>
        <w:pStyle w:val="Text1"/>
        <w:ind w:left="0"/>
        <w:rPr>
          <w:noProof/>
        </w:rPr>
      </w:pPr>
    </w:p>
    <w:tbl>
      <w:tblPr>
        <w:tblW w:w="5000" w:type="pct"/>
        <w:tblLayout w:type="fixed"/>
        <w:tblLook w:val="04A0" w:firstRow="1" w:lastRow="0" w:firstColumn="1" w:lastColumn="0" w:noHBand="0" w:noVBand="1"/>
      </w:tblPr>
      <w:tblGrid>
        <w:gridCol w:w="3505"/>
        <w:gridCol w:w="910"/>
        <w:gridCol w:w="910"/>
        <w:gridCol w:w="910"/>
        <w:gridCol w:w="910"/>
        <w:gridCol w:w="1072"/>
        <w:gridCol w:w="1070"/>
      </w:tblGrid>
      <w:tr w:rsidR="009E3CEB" w:rsidRPr="00AD21FF" w14:paraId="32596641" w14:textId="77777777" w:rsidTr="00C243DB">
        <w:trPr>
          <w:trHeight w:val="525"/>
        </w:trPr>
        <w:tc>
          <w:tcPr>
            <w:tcW w:w="1887" w:type="pct"/>
            <w:tcBorders>
              <w:top w:val="single" w:sz="8" w:space="0" w:color="auto"/>
              <w:left w:val="single" w:sz="4" w:space="0" w:color="auto"/>
              <w:right w:val="single" w:sz="4" w:space="0" w:color="auto"/>
            </w:tcBorders>
            <w:tcMar>
              <w:left w:w="108" w:type="dxa"/>
              <w:right w:w="108" w:type="dxa"/>
            </w:tcMar>
            <w:vAlign w:val="center"/>
          </w:tcPr>
          <w:p w14:paraId="0FC58347" w14:textId="77777777" w:rsidR="009E3CEB" w:rsidRPr="00AD21FF" w:rsidRDefault="009E3CEB" w:rsidP="009E3CEB">
            <w:pPr>
              <w:spacing w:before="0" w:after="0"/>
              <w:jc w:val="center"/>
              <w:rPr>
                <w:b/>
                <w:bCs/>
                <w:noProof/>
                <w:color w:val="000000" w:themeColor="text1"/>
                <w:sz w:val="18"/>
                <w:szCs w:val="18"/>
              </w:rPr>
            </w:pPr>
            <w:r w:rsidRPr="00AD21FF">
              <w:rPr>
                <w:b/>
                <w:bCs/>
                <w:noProof/>
                <w:color w:val="000000" w:themeColor="text1"/>
                <w:sz w:val="18"/>
                <w:szCs w:val="18"/>
              </w:rPr>
              <w:t>TOTAL Digital and IT appropriations</w:t>
            </w:r>
          </w:p>
        </w:tc>
        <w:tc>
          <w:tcPr>
            <w:tcW w:w="490" w:type="pct"/>
            <w:tcBorders>
              <w:top w:val="single" w:sz="8" w:space="0" w:color="auto"/>
              <w:left w:val="single" w:sz="4" w:space="0" w:color="auto"/>
              <w:bottom w:val="nil"/>
              <w:right w:val="single" w:sz="8" w:space="0" w:color="auto"/>
            </w:tcBorders>
            <w:tcMar>
              <w:left w:w="108" w:type="dxa"/>
              <w:right w:w="108" w:type="dxa"/>
            </w:tcMar>
            <w:vAlign w:val="center"/>
          </w:tcPr>
          <w:p w14:paraId="2749F2C4" w14:textId="77777777" w:rsidR="009E3CEB" w:rsidRPr="00AD21FF" w:rsidRDefault="009E3CEB" w:rsidP="009E3CEB">
            <w:pPr>
              <w:spacing w:before="0" w:after="0"/>
              <w:jc w:val="center"/>
              <w:rPr>
                <w:noProof/>
                <w:color w:val="000000" w:themeColor="text1"/>
                <w:sz w:val="18"/>
                <w:szCs w:val="18"/>
              </w:rPr>
            </w:pPr>
            <w:r w:rsidRPr="00AD21FF">
              <w:rPr>
                <w:noProof/>
                <w:color w:val="000000" w:themeColor="text1"/>
                <w:sz w:val="18"/>
                <w:szCs w:val="18"/>
              </w:rPr>
              <w:t>Year</w:t>
            </w:r>
          </w:p>
        </w:tc>
        <w:tc>
          <w:tcPr>
            <w:tcW w:w="490" w:type="pct"/>
            <w:tcBorders>
              <w:top w:val="single" w:sz="8" w:space="0" w:color="auto"/>
              <w:left w:val="single" w:sz="8" w:space="0" w:color="auto"/>
              <w:bottom w:val="nil"/>
              <w:right w:val="single" w:sz="8" w:space="0" w:color="auto"/>
            </w:tcBorders>
            <w:tcMar>
              <w:left w:w="108" w:type="dxa"/>
              <w:right w:w="108" w:type="dxa"/>
            </w:tcMar>
            <w:vAlign w:val="center"/>
          </w:tcPr>
          <w:p w14:paraId="5AF316FA" w14:textId="77777777" w:rsidR="009E3CEB" w:rsidRPr="00AD21FF" w:rsidRDefault="009E3CEB" w:rsidP="009E3CEB">
            <w:pPr>
              <w:spacing w:before="0" w:after="0"/>
              <w:jc w:val="center"/>
              <w:rPr>
                <w:noProof/>
                <w:color w:val="000000" w:themeColor="text1"/>
                <w:sz w:val="18"/>
                <w:szCs w:val="18"/>
              </w:rPr>
            </w:pPr>
            <w:r w:rsidRPr="00AD21FF">
              <w:rPr>
                <w:noProof/>
                <w:color w:val="000000" w:themeColor="text1"/>
                <w:sz w:val="18"/>
                <w:szCs w:val="18"/>
              </w:rPr>
              <w:t>Year</w:t>
            </w:r>
          </w:p>
        </w:tc>
        <w:tc>
          <w:tcPr>
            <w:tcW w:w="490" w:type="pct"/>
            <w:tcBorders>
              <w:top w:val="single" w:sz="8" w:space="0" w:color="auto"/>
              <w:left w:val="single" w:sz="8" w:space="0" w:color="auto"/>
              <w:bottom w:val="nil"/>
              <w:right w:val="single" w:sz="8" w:space="0" w:color="auto"/>
            </w:tcBorders>
            <w:tcMar>
              <w:left w:w="108" w:type="dxa"/>
              <w:right w:w="108" w:type="dxa"/>
            </w:tcMar>
            <w:vAlign w:val="center"/>
          </w:tcPr>
          <w:p w14:paraId="3AC5637D" w14:textId="77777777" w:rsidR="009E3CEB" w:rsidRPr="00AD21FF" w:rsidRDefault="009E3CEB" w:rsidP="009E3CEB">
            <w:pPr>
              <w:spacing w:before="0" w:after="0"/>
              <w:jc w:val="center"/>
              <w:rPr>
                <w:noProof/>
                <w:color w:val="000000" w:themeColor="text1"/>
                <w:sz w:val="18"/>
                <w:szCs w:val="18"/>
              </w:rPr>
            </w:pPr>
            <w:r w:rsidRPr="00AD21FF">
              <w:rPr>
                <w:noProof/>
                <w:color w:val="000000" w:themeColor="text1"/>
                <w:sz w:val="18"/>
                <w:szCs w:val="18"/>
              </w:rPr>
              <w:t>Year</w:t>
            </w:r>
          </w:p>
        </w:tc>
        <w:tc>
          <w:tcPr>
            <w:tcW w:w="490" w:type="pct"/>
            <w:tcBorders>
              <w:top w:val="single" w:sz="8" w:space="0" w:color="auto"/>
              <w:left w:val="single" w:sz="8" w:space="0" w:color="auto"/>
              <w:bottom w:val="nil"/>
              <w:right w:val="single" w:sz="8" w:space="0" w:color="auto"/>
            </w:tcBorders>
            <w:tcMar>
              <w:left w:w="108" w:type="dxa"/>
              <w:right w:w="108" w:type="dxa"/>
            </w:tcMar>
            <w:vAlign w:val="center"/>
          </w:tcPr>
          <w:p w14:paraId="4186971D" w14:textId="77777777" w:rsidR="009E3CEB" w:rsidRPr="00AD21FF" w:rsidRDefault="009E3CEB" w:rsidP="009E3CEB">
            <w:pPr>
              <w:spacing w:before="0" w:after="0"/>
              <w:jc w:val="center"/>
              <w:rPr>
                <w:noProof/>
                <w:color w:val="000000" w:themeColor="text1"/>
                <w:sz w:val="18"/>
                <w:szCs w:val="18"/>
              </w:rPr>
            </w:pPr>
            <w:r w:rsidRPr="00AD21FF">
              <w:rPr>
                <w:noProof/>
                <w:color w:val="000000" w:themeColor="text1"/>
                <w:sz w:val="18"/>
                <w:szCs w:val="18"/>
              </w:rPr>
              <w:t>Year</w:t>
            </w:r>
          </w:p>
        </w:tc>
        <w:tc>
          <w:tcPr>
            <w:tcW w:w="577"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6360122B" w14:textId="77777777" w:rsidR="009E3CEB" w:rsidRPr="00AD21FF" w:rsidRDefault="009E3CEB" w:rsidP="009E3CEB">
            <w:pPr>
              <w:spacing w:before="0" w:after="0"/>
              <w:jc w:val="center"/>
              <w:rPr>
                <w:b/>
                <w:bCs/>
                <w:noProof/>
                <w:color w:val="000000" w:themeColor="text1"/>
                <w:sz w:val="18"/>
                <w:szCs w:val="18"/>
              </w:rPr>
            </w:pPr>
            <w:r w:rsidRPr="00AD21FF">
              <w:rPr>
                <w:b/>
                <w:bCs/>
                <w:noProof/>
                <w:color w:val="000000" w:themeColor="text1"/>
                <w:sz w:val="18"/>
                <w:szCs w:val="18"/>
              </w:rPr>
              <w:t>TOTAL MFF 2021 - 2027</w:t>
            </w:r>
          </w:p>
        </w:tc>
        <w:tc>
          <w:tcPr>
            <w:tcW w:w="576" w:type="pct"/>
            <w:tcBorders>
              <w:top w:val="single" w:sz="8" w:space="0" w:color="auto"/>
              <w:left w:val="single" w:sz="8" w:space="0" w:color="auto"/>
              <w:bottom w:val="single" w:sz="8" w:space="0" w:color="auto"/>
              <w:right w:val="single" w:sz="4" w:space="0" w:color="auto"/>
            </w:tcBorders>
            <w:vAlign w:val="center"/>
          </w:tcPr>
          <w:p w14:paraId="77A5E544" w14:textId="77777777" w:rsidR="009E3CEB" w:rsidRPr="00AD21FF" w:rsidRDefault="009E3CEB" w:rsidP="009E3CEB">
            <w:pPr>
              <w:spacing w:before="0" w:after="0"/>
              <w:jc w:val="center"/>
              <w:rPr>
                <w:b/>
                <w:bCs/>
                <w:noProof/>
                <w:color w:val="000000" w:themeColor="text1"/>
                <w:sz w:val="18"/>
                <w:szCs w:val="18"/>
              </w:rPr>
            </w:pPr>
            <w:r w:rsidRPr="00AD21FF">
              <w:rPr>
                <w:b/>
                <w:bCs/>
                <w:noProof/>
                <w:color w:val="000000" w:themeColor="text1"/>
                <w:sz w:val="18"/>
                <w:szCs w:val="18"/>
              </w:rPr>
              <w:t>TOTAL MFF 202</w:t>
            </w:r>
            <w:r>
              <w:rPr>
                <w:b/>
                <w:bCs/>
                <w:noProof/>
                <w:color w:val="000000" w:themeColor="text1"/>
                <w:sz w:val="18"/>
                <w:szCs w:val="18"/>
              </w:rPr>
              <w:t>8</w:t>
            </w:r>
            <w:r w:rsidRPr="00AD21FF">
              <w:rPr>
                <w:b/>
                <w:bCs/>
                <w:noProof/>
                <w:color w:val="000000" w:themeColor="text1"/>
                <w:sz w:val="18"/>
                <w:szCs w:val="18"/>
              </w:rPr>
              <w:t xml:space="preserve"> - 20</w:t>
            </w:r>
            <w:r>
              <w:rPr>
                <w:b/>
                <w:bCs/>
                <w:noProof/>
                <w:color w:val="000000" w:themeColor="text1"/>
                <w:sz w:val="18"/>
                <w:szCs w:val="18"/>
              </w:rPr>
              <w:t>34</w:t>
            </w:r>
          </w:p>
        </w:tc>
      </w:tr>
      <w:tr w:rsidR="009E3CEB" w:rsidRPr="00AD21FF" w14:paraId="7B448BC4" w14:textId="77777777" w:rsidTr="009E3CEB">
        <w:trPr>
          <w:trHeight w:val="525"/>
        </w:trPr>
        <w:tc>
          <w:tcPr>
            <w:tcW w:w="1887" w:type="pct"/>
            <w:tcBorders>
              <w:top w:val="single" w:sz="8" w:space="0" w:color="auto"/>
              <w:left w:val="single" w:sz="4" w:space="0" w:color="auto"/>
              <w:right w:val="single" w:sz="4" w:space="0" w:color="auto"/>
            </w:tcBorders>
            <w:vAlign w:val="center"/>
          </w:tcPr>
          <w:p w14:paraId="2AB48B87" w14:textId="77777777" w:rsidR="009E3CEB" w:rsidRPr="00AD21FF" w:rsidRDefault="009E3CEB" w:rsidP="009E3CEB">
            <w:pPr>
              <w:rPr>
                <w:noProof/>
              </w:rPr>
            </w:pPr>
          </w:p>
        </w:tc>
        <w:tc>
          <w:tcPr>
            <w:tcW w:w="490" w:type="pct"/>
            <w:tcBorders>
              <w:top w:val="nil"/>
              <w:left w:val="single" w:sz="4" w:space="0" w:color="auto"/>
              <w:bottom w:val="single" w:sz="8" w:space="0" w:color="auto"/>
              <w:right w:val="single" w:sz="8" w:space="0" w:color="auto"/>
            </w:tcBorders>
            <w:tcMar>
              <w:left w:w="108" w:type="dxa"/>
              <w:right w:w="108" w:type="dxa"/>
            </w:tcMar>
            <w:vAlign w:val="center"/>
          </w:tcPr>
          <w:p w14:paraId="6B59918F" w14:textId="77777777" w:rsidR="009E3CEB" w:rsidRPr="00AD21FF" w:rsidRDefault="009E3CEB" w:rsidP="009E3CEB">
            <w:pPr>
              <w:spacing w:before="0" w:after="0"/>
              <w:jc w:val="center"/>
              <w:rPr>
                <w:b/>
                <w:bCs/>
                <w:noProof/>
                <w:color w:val="000000" w:themeColor="text1"/>
                <w:sz w:val="18"/>
                <w:szCs w:val="18"/>
              </w:rPr>
            </w:pPr>
            <w:r w:rsidRPr="00AD21FF">
              <w:rPr>
                <w:b/>
                <w:bCs/>
                <w:noProof/>
                <w:color w:val="000000" w:themeColor="text1"/>
                <w:sz w:val="18"/>
                <w:szCs w:val="18"/>
              </w:rPr>
              <w:t>2024</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6631FAC8" w14:textId="77777777" w:rsidR="009E3CEB" w:rsidRPr="00AD21FF" w:rsidRDefault="009E3CEB" w:rsidP="009E3CEB">
            <w:pPr>
              <w:spacing w:before="0" w:after="0"/>
              <w:jc w:val="center"/>
              <w:rPr>
                <w:b/>
                <w:bCs/>
                <w:noProof/>
                <w:color w:val="000000" w:themeColor="text1"/>
                <w:sz w:val="18"/>
                <w:szCs w:val="18"/>
              </w:rPr>
            </w:pPr>
            <w:r w:rsidRPr="00AD21FF">
              <w:rPr>
                <w:b/>
                <w:bCs/>
                <w:noProof/>
                <w:color w:val="000000" w:themeColor="text1"/>
                <w:sz w:val="18"/>
                <w:szCs w:val="18"/>
              </w:rPr>
              <w:t>2025</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266EB0C9" w14:textId="77777777" w:rsidR="009E3CEB" w:rsidRPr="00AD21FF" w:rsidRDefault="009E3CEB" w:rsidP="009E3CEB">
            <w:pPr>
              <w:spacing w:before="0" w:after="0"/>
              <w:jc w:val="center"/>
              <w:rPr>
                <w:b/>
                <w:bCs/>
                <w:noProof/>
                <w:color w:val="000000" w:themeColor="text1"/>
                <w:sz w:val="18"/>
                <w:szCs w:val="18"/>
              </w:rPr>
            </w:pPr>
            <w:r w:rsidRPr="00AD21FF">
              <w:rPr>
                <w:b/>
                <w:bCs/>
                <w:noProof/>
                <w:color w:val="000000" w:themeColor="text1"/>
                <w:sz w:val="18"/>
                <w:szCs w:val="18"/>
              </w:rPr>
              <w:t>2026</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7F80D898" w14:textId="77777777" w:rsidR="009E3CEB" w:rsidRPr="00AD21FF" w:rsidRDefault="009E3CEB" w:rsidP="009E3CEB">
            <w:pPr>
              <w:spacing w:before="0" w:after="0"/>
              <w:jc w:val="center"/>
              <w:rPr>
                <w:b/>
                <w:bCs/>
                <w:noProof/>
                <w:color w:val="000000" w:themeColor="text1"/>
                <w:sz w:val="18"/>
                <w:szCs w:val="18"/>
              </w:rPr>
            </w:pPr>
            <w:r w:rsidRPr="00AD21FF">
              <w:rPr>
                <w:b/>
                <w:bCs/>
                <w:noProof/>
                <w:color w:val="000000" w:themeColor="text1"/>
                <w:sz w:val="18"/>
                <w:szCs w:val="18"/>
              </w:rPr>
              <w:t>2027</w:t>
            </w:r>
          </w:p>
        </w:tc>
        <w:tc>
          <w:tcPr>
            <w:tcW w:w="577" w:type="pct"/>
            <w:tcBorders>
              <w:bottom w:val="single" w:sz="4" w:space="0" w:color="auto"/>
              <w:right w:val="single" w:sz="4" w:space="0" w:color="auto"/>
            </w:tcBorders>
            <w:vAlign w:val="center"/>
          </w:tcPr>
          <w:p w14:paraId="0D024DA9" w14:textId="77777777" w:rsidR="009E3CEB" w:rsidRPr="00AD21FF" w:rsidRDefault="009E3CEB" w:rsidP="009E3CEB">
            <w:pPr>
              <w:rPr>
                <w:noProof/>
              </w:rPr>
            </w:pPr>
          </w:p>
        </w:tc>
        <w:tc>
          <w:tcPr>
            <w:tcW w:w="576" w:type="pct"/>
            <w:tcBorders>
              <w:bottom w:val="single" w:sz="4" w:space="0" w:color="auto"/>
              <w:right w:val="single" w:sz="4" w:space="0" w:color="auto"/>
            </w:tcBorders>
          </w:tcPr>
          <w:p w14:paraId="2C6A0B69" w14:textId="77777777" w:rsidR="009E3CEB" w:rsidRPr="00AD21FF" w:rsidRDefault="009E3CEB" w:rsidP="009E3CEB">
            <w:pPr>
              <w:rPr>
                <w:noProof/>
              </w:rPr>
            </w:pPr>
          </w:p>
        </w:tc>
      </w:tr>
      <w:tr w:rsidR="009E3CEB" w:rsidRPr="00AD21FF" w14:paraId="58F55B74" w14:textId="77777777" w:rsidTr="009E3CEB">
        <w:trPr>
          <w:trHeight w:val="300"/>
        </w:trPr>
        <w:tc>
          <w:tcPr>
            <w:tcW w:w="4424" w:type="pct"/>
            <w:gridSpan w:val="6"/>
            <w:tcBorders>
              <w:top w:val="nil"/>
              <w:left w:val="single" w:sz="8" w:space="0" w:color="auto"/>
              <w:bottom w:val="single" w:sz="8" w:space="0" w:color="auto"/>
              <w:right w:val="single" w:sz="8" w:space="0" w:color="auto"/>
            </w:tcBorders>
            <w:tcMar>
              <w:left w:w="108" w:type="dxa"/>
              <w:right w:w="108" w:type="dxa"/>
            </w:tcMar>
            <w:vAlign w:val="center"/>
          </w:tcPr>
          <w:p w14:paraId="0FB2C921" w14:textId="77777777" w:rsidR="009E3CEB" w:rsidRPr="00AD21FF" w:rsidRDefault="009E3CEB" w:rsidP="009E3CEB">
            <w:pPr>
              <w:spacing w:before="0" w:after="0"/>
              <w:jc w:val="left"/>
              <w:rPr>
                <w:b/>
                <w:bCs/>
                <w:noProof/>
                <w:sz w:val="16"/>
                <w:szCs w:val="16"/>
              </w:rPr>
            </w:pPr>
            <w:r w:rsidRPr="00AD21FF">
              <w:rPr>
                <w:b/>
                <w:bCs/>
                <w:noProof/>
                <w:sz w:val="16"/>
                <w:szCs w:val="16"/>
              </w:rPr>
              <w:t>HEADING 7</w:t>
            </w:r>
          </w:p>
        </w:tc>
        <w:tc>
          <w:tcPr>
            <w:tcW w:w="576" w:type="pct"/>
            <w:tcBorders>
              <w:top w:val="nil"/>
              <w:left w:val="single" w:sz="8" w:space="0" w:color="auto"/>
              <w:bottom w:val="single" w:sz="8" w:space="0" w:color="auto"/>
              <w:right w:val="single" w:sz="8" w:space="0" w:color="auto"/>
            </w:tcBorders>
          </w:tcPr>
          <w:p w14:paraId="58DAB241" w14:textId="77777777" w:rsidR="009E3CEB" w:rsidRPr="00AD21FF" w:rsidRDefault="009E3CEB" w:rsidP="009E3CEB">
            <w:pPr>
              <w:spacing w:before="0" w:after="0"/>
              <w:jc w:val="left"/>
              <w:rPr>
                <w:b/>
                <w:bCs/>
                <w:noProof/>
                <w:sz w:val="16"/>
                <w:szCs w:val="16"/>
              </w:rPr>
            </w:pPr>
          </w:p>
        </w:tc>
      </w:tr>
      <w:tr w:rsidR="009E3CEB" w:rsidRPr="00AD21FF" w14:paraId="22C24A3A" w14:textId="77777777" w:rsidTr="00C243DB">
        <w:trPr>
          <w:trHeight w:val="300"/>
        </w:trPr>
        <w:tc>
          <w:tcPr>
            <w:tcW w:w="188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C243EF" w14:textId="77777777" w:rsidR="009E3CEB" w:rsidRPr="00AD21FF" w:rsidRDefault="009E3CEB" w:rsidP="009E3CEB">
            <w:pPr>
              <w:spacing w:before="0" w:after="0"/>
              <w:jc w:val="left"/>
              <w:rPr>
                <w:noProof/>
                <w:color w:val="000000" w:themeColor="text1"/>
                <w:sz w:val="16"/>
                <w:szCs w:val="16"/>
              </w:rPr>
            </w:pPr>
            <w:r w:rsidRPr="00AD21FF">
              <w:rPr>
                <w:rFonts w:ascii="Arial Narrow" w:eastAsia="Arial Narrow" w:hAnsi="Arial Narrow" w:cs="Arial Narrow"/>
                <w:noProof/>
                <w:color w:val="000000" w:themeColor="text1"/>
                <w:sz w:val="20"/>
                <w:szCs w:val="20"/>
              </w:rPr>
              <w:t>IT expenditure (corporate)</w:t>
            </w:r>
            <w:r w:rsidRPr="00AD21FF">
              <w:rPr>
                <w:noProof/>
                <w:color w:val="000000" w:themeColor="text1"/>
                <w:sz w:val="16"/>
                <w:szCs w:val="16"/>
              </w:rPr>
              <w:t xml:space="preserve"> </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B51D03" w14:textId="77777777" w:rsidR="009E3CEB" w:rsidRPr="00AD21FF" w:rsidRDefault="009E3CEB" w:rsidP="009E3CEB">
            <w:pPr>
              <w:spacing w:before="0" w:after="0"/>
              <w:jc w:val="right"/>
              <w:rPr>
                <w:noProof/>
                <w:color w:val="000000" w:themeColor="text1"/>
                <w:sz w:val="16"/>
                <w:szCs w:val="16"/>
              </w:rPr>
            </w:pPr>
            <w:r w:rsidRPr="00AD21FF">
              <w:rPr>
                <w:noProof/>
                <w:sz w:val="16"/>
                <w:szCs w:val="16"/>
              </w:rPr>
              <w:t>0.000</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26D93B" w14:textId="77777777" w:rsidR="009E3CEB" w:rsidRPr="00AD21FF" w:rsidRDefault="009E3CEB" w:rsidP="009E3CEB">
            <w:pPr>
              <w:spacing w:before="0" w:after="0"/>
              <w:jc w:val="right"/>
              <w:rPr>
                <w:noProof/>
                <w:color w:val="000000" w:themeColor="text1"/>
                <w:sz w:val="16"/>
                <w:szCs w:val="16"/>
              </w:rPr>
            </w:pPr>
            <w:r w:rsidRPr="00AD21FF">
              <w:rPr>
                <w:noProof/>
                <w:sz w:val="16"/>
                <w:szCs w:val="16"/>
              </w:rPr>
              <w:t>0.000</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685772" w14:textId="77777777" w:rsidR="009E3CEB" w:rsidRPr="00AD21FF" w:rsidRDefault="009E3CEB" w:rsidP="009E3CEB">
            <w:pPr>
              <w:spacing w:before="0" w:after="0"/>
              <w:jc w:val="right"/>
              <w:rPr>
                <w:noProof/>
                <w:color w:val="000000" w:themeColor="text1"/>
                <w:sz w:val="16"/>
                <w:szCs w:val="16"/>
              </w:rPr>
            </w:pPr>
            <w:r w:rsidRPr="00AD21FF">
              <w:rPr>
                <w:noProof/>
                <w:sz w:val="16"/>
                <w:szCs w:val="16"/>
              </w:rPr>
              <w:t>0.000</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EF6DEE" w14:textId="77777777" w:rsidR="009E3CEB" w:rsidRPr="00AD21FF" w:rsidRDefault="009E3CEB" w:rsidP="009E3CEB">
            <w:pPr>
              <w:spacing w:before="0" w:after="0"/>
              <w:jc w:val="right"/>
              <w:rPr>
                <w:noProof/>
                <w:color w:val="000000" w:themeColor="text1"/>
                <w:sz w:val="16"/>
                <w:szCs w:val="16"/>
              </w:rPr>
            </w:pPr>
            <w:r w:rsidRPr="00AD21FF">
              <w:rPr>
                <w:rFonts w:eastAsia="Calibri"/>
                <w:noProof/>
                <w:sz w:val="16"/>
                <w:szCs w:val="16"/>
              </w:rPr>
              <w:t>0.0</w:t>
            </w:r>
            <w:r>
              <w:rPr>
                <w:rFonts w:eastAsia="Calibri"/>
                <w:noProof/>
                <w:sz w:val="16"/>
                <w:szCs w:val="16"/>
              </w:rPr>
              <w:t>0</w:t>
            </w:r>
            <w:r w:rsidRPr="00AD21FF">
              <w:rPr>
                <w:rFonts w:eastAsia="Calibri"/>
                <w:noProof/>
                <w:sz w:val="16"/>
                <w:szCs w:val="16"/>
              </w:rPr>
              <w:t>0</w:t>
            </w:r>
          </w:p>
        </w:tc>
        <w:tc>
          <w:tcPr>
            <w:tcW w:w="577"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59222B" w14:textId="77777777" w:rsidR="009E3CEB" w:rsidRPr="00AD21FF" w:rsidRDefault="009E3CEB" w:rsidP="009E3CEB">
            <w:pPr>
              <w:spacing w:before="0" w:after="0"/>
              <w:jc w:val="right"/>
              <w:rPr>
                <w:b/>
                <w:bCs/>
                <w:noProof/>
                <w:color w:val="000000" w:themeColor="text1"/>
                <w:sz w:val="16"/>
                <w:szCs w:val="16"/>
              </w:rPr>
            </w:pPr>
            <w:r w:rsidRPr="00AD21FF">
              <w:rPr>
                <w:b/>
                <w:bCs/>
                <w:noProof/>
                <w:sz w:val="16"/>
                <w:szCs w:val="16"/>
              </w:rPr>
              <w:t>0.0</w:t>
            </w:r>
            <w:r>
              <w:rPr>
                <w:b/>
                <w:bCs/>
                <w:noProof/>
                <w:sz w:val="16"/>
                <w:szCs w:val="16"/>
              </w:rPr>
              <w:t>0</w:t>
            </w:r>
            <w:r w:rsidRPr="00AD21FF">
              <w:rPr>
                <w:b/>
                <w:bCs/>
                <w:noProof/>
                <w:sz w:val="16"/>
                <w:szCs w:val="16"/>
              </w:rPr>
              <w:t>0</w:t>
            </w:r>
          </w:p>
        </w:tc>
        <w:tc>
          <w:tcPr>
            <w:tcW w:w="576"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180BC3D" w14:textId="77777777" w:rsidR="009E3CEB" w:rsidRPr="00AD21FF" w:rsidRDefault="009E3CEB" w:rsidP="009E3CEB">
            <w:pPr>
              <w:spacing w:before="0" w:after="0"/>
              <w:jc w:val="right"/>
              <w:rPr>
                <w:b/>
                <w:bCs/>
                <w:noProof/>
                <w:sz w:val="16"/>
                <w:szCs w:val="16"/>
              </w:rPr>
            </w:pPr>
            <w:r w:rsidRPr="00AD21FF">
              <w:rPr>
                <w:b/>
                <w:bCs/>
                <w:noProof/>
                <w:sz w:val="16"/>
                <w:szCs w:val="16"/>
              </w:rPr>
              <w:t>0.0</w:t>
            </w:r>
            <w:r>
              <w:rPr>
                <w:b/>
                <w:bCs/>
                <w:noProof/>
                <w:sz w:val="16"/>
                <w:szCs w:val="16"/>
              </w:rPr>
              <w:t>0</w:t>
            </w:r>
            <w:r w:rsidRPr="00AD21FF">
              <w:rPr>
                <w:b/>
                <w:bCs/>
                <w:noProof/>
                <w:sz w:val="16"/>
                <w:szCs w:val="16"/>
              </w:rPr>
              <w:t>0</w:t>
            </w:r>
          </w:p>
        </w:tc>
      </w:tr>
      <w:tr w:rsidR="009E3CEB" w:rsidRPr="00AD21FF" w14:paraId="3D79CC08" w14:textId="77777777" w:rsidTr="00C243DB">
        <w:trPr>
          <w:trHeight w:val="300"/>
        </w:trPr>
        <w:tc>
          <w:tcPr>
            <w:tcW w:w="1887" w:type="pct"/>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2A65349" w14:textId="77777777" w:rsidR="009E3CEB" w:rsidRPr="00AD21FF" w:rsidRDefault="009E3CEB" w:rsidP="009E3CEB">
            <w:pPr>
              <w:spacing w:before="0" w:after="0"/>
              <w:jc w:val="center"/>
              <w:rPr>
                <w:b/>
                <w:bCs/>
                <w:noProof/>
                <w:color w:val="000000" w:themeColor="text1"/>
                <w:sz w:val="16"/>
                <w:szCs w:val="16"/>
              </w:rPr>
            </w:pPr>
            <w:r w:rsidRPr="00AD21FF">
              <w:rPr>
                <w:b/>
                <w:bCs/>
                <w:noProof/>
                <w:color w:val="000000" w:themeColor="text1"/>
                <w:sz w:val="16"/>
                <w:szCs w:val="16"/>
              </w:rPr>
              <w:t>Subtotal HEADING 7</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D5E48D" w14:textId="77777777" w:rsidR="009E3CEB" w:rsidRPr="00AD21FF" w:rsidRDefault="009E3CEB" w:rsidP="009E3CEB">
            <w:pPr>
              <w:spacing w:before="0" w:after="0"/>
              <w:jc w:val="right"/>
              <w:rPr>
                <w:b/>
                <w:bCs/>
                <w:noProof/>
                <w:color w:val="000000" w:themeColor="text1"/>
                <w:sz w:val="16"/>
                <w:szCs w:val="16"/>
              </w:rPr>
            </w:pPr>
            <w:r w:rsidRPr="00AD21FF">
              <w:rPr>
                <w:b/>
                <w:bCs/>
                <w:noProof/>
                <w:sz w:val="16"/>
                <w:szCs w:val="16"/>
              </w:rPr>
              <w:t>0.000</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AD9E35" w14:textId="77777777" w:rsidR="009E3CEB" w:rsidRPr="00AD21FF" w:rsidRDefault="009E3CEB" w:rsidP="009E3CEB">
            <w:pPr>
              <w:spacing w:before="0" w:after="0"/>
              <w:jc w:val="right"/>
              <w:rPr>
                <w:b/>
                <w:bCs/>
                <w:noProof/>
                <w:color w:val="000000" w:themeColor="text1"/>
                <w:sz w:val="16"/>
                <w:szCs w:val="16"/>
              </w:rPr>
            </w:pPr>
            <w:r w:rsidRPr="00AD21FF">
              <w:rPr>
                <w:b/>
                <w:bCs/>
                <w:noProof/>
                <w:sz w:val="16"/>
                <w:szCs w:val="16"/>
              </w:rPr>
              <w:t>0.000</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09B3ECF" w14:textId="77777777" w:rsidR="009E3CEB" w:rsidRPr="00AD21FF" w:rsidRDefault="009E3CEB" w:rsidP="009E3CEB">
            <w:pPr>
              <w:spacing w:before="0" w:after="0"/>
              <w:jc w:val="right"/>
              <w:rPr>
                <w:b/>
                <w:bCs/>
                <w:noProof/>
                <w:color w:val="000000" w:themeColor="text1"/>
                <w:sz w:val="16"/>
                <w:szCs w:val="16"/>
              </w:rPr>
            </w:pPr>
            <w:r w:rsidRPr="00AD21FF">
              <w:rPr>
                <w:b/>
                <w:bCs/>
                <w:noProof/>
                <w:sz w:val="16"/>
                <w:szCs w:val="16"/>
              </w:rPr>
              <w:t>0.000</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C53FB9" w14:textId="77777777" w:rsidR="009E3CEB" w:rsidRPr="00AD21FF" w:rsidRDefault="009E3CEB" w:rsidP="009E3CEB">
            <w:pPr>
              <w:spacing w:before="0" w:after="0"/>
              <w:jc w:val="right"/>
              <w:rPr>
                <w:b/>
                <w:bCs/>
                <w:noProof/>
                <w:color w:val="000000" w:themeColor="text1"/>
                <w:sz w:val="16"/>
                <w:szCs w:val="16"/>
              </w:rPr>
            </w:pPr>
            <w:r w:rsidRPr="00AD21FF">
              <w:rPr>
                <w:b/>
                <w:bCs/>
                <w:noProof/>
                <w:sz w:val="16"/>
                <w:szCs w:val="16"/>
              </w:rPr>
              <w:t>0.0</w:t>
            </w:r>
            <w:r>
              <w:rPr>
                <w:b/>
                <w:bCs/>
                <w:noProof/>
                <w:sz w:val="16"/>
                <w:szCs w:val="16"/>
              </w:rPr>
              <w:t>0</w:t>
            </w:r>
            <w:r w:rsidRPr="00AD21FF">
              <w:rPr>
                <w:b/>
                <w:bCs/>
                <w:noProof/>
                <w:sz w:val="16"/>
                <w:szCs w:val="16"/>
              </w:rPr>
              <w:t>0</w:t>
            </w:r>
          </w:p>
        </w:tc>
        <w:tc>
          <w:tcPr>
            <w:tcW w:w="577"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2A82B6" w14:textId="77777777" w:rsidR="009E3CEB" w:rsidRPr="00AD21FF" w:rsidRDefault="009E3CEB" w:rsidP="009E3CEB">
            <w:pPr>
              <w:spacing w:before="0" w:after="0"/>
              <w:jc w:val="right"/>
              <w:rPr>
                <w:b/>
                <w:bCs/>
                <w:noProof/>
                <w:color w:val="000000" w:themeColor="text1"/>
                <w:sz w:val="16"/>
                <w:szCs w:val="16"/>
              </w:rPr>
            </w:pPr>
            <w:r w:rsidRPr="00AD21FF">
              <w:rPr>
                <w:b/>
                <w:bCs/>
                <w:noProof/>
                <w:sz w:val="16"/>
                <w:szCs w:val="16"/>
              </w:rPr>
              <w:t>0.0</w:t>
            </w:r>
            <w:r>
              <w:rPr>
                <w:b/>
                <w:bCs/>
                <w:noProof/>
                <w:sz w:val="16"/>
                <w:szCs w:val="16"/>
              </w:rPr>
              <w:t>0</w:t>
            </w:r>
            <w:r w:rsidRPr="00AD21FF">
              <w:rPr>
                <w:b/>
                <w:bCs/>
                <w:noProof/>
                <w:sz w:val="16"/>
                <w:szCs w:val="16"/>
              </w:rPr>
              <w:t>0</w:t>
            </w:r>
          </w:p>
        </w:tc>
        <w:tc>
          <w:tcPr>
            <w:tcW w:w="576"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9E551A5" w14:textId="77777777" w:rsidR="009E3CEB" w:rsidRPr="00AD21FF" w:rsidRDefault="009E3CEB" w:rsidP="009E3CEB">
            <w:pPr>
              <w:spacing w:before="0" w:after="0"/>
              <w:jc w:val="right"/>
              <w:rPr>
                <w:b/>
                <w:bCs/>
                <w:noProof/>
                <w:sz w:val="16"/>
                <w:szCs w:val="16"/>
              </w:rPr>
            </w:pPr>
            <w:r w:rsidRPr="00AD21FF">
              <w:rPr>
                <w:b/>
                <w:bCs/>
                <w:noProof/>
                <w:sz w:val="16"/>
                <w:szCs w:val="16"/>
              </w:rPr>
              <w:t>0.0</w:t>
            </w:r>
            <w:r>
              <w:rPr>
                <w:b/>
                <w:bCs/>
                <w:noProof/>
                <w:sz w:val="16"/>
                <w:szCs w:val="16"/>
              </w:rPr>
              <w:t>0</w:t>
            </w:r>
            <w:r w:rsidRPr="00AD21FF">
              <w:rPr>
                <w:b/>
                <w:bCs/>
                <w:noProof/>
                <w:sz w:val="16"/>
                <w:szCs w:val="16"/>
              </w:rPr>
              <w:t>0</w:t>
            </w:r>
          </w:p>
        </w:tc>
      </w:tr>
      <w:tr w:rsidR="009E3CEB" w:rsidRPr="00AD21FF" w14:paraId="68C79EE0" w14:textId="77777777" w:rsidTr="009E3CEB">
        <w:trPr>
          <w:trHeight w:val="300"/>
        </w:trPr>
        <w:tc>
          <w:tcPr>
            <w:tcW w:w="5000" w:type="pct"/>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952561" w14:textId="77777777" w:rsidR="009E3CEB" w:rsidRPr="00AD21FF" w:rsidRDefault="009E3CEB" w:rsidP="009E3CEB">
            <w:pPr>
              <w:spacing w:before="0" w:after="0"/>
              <w:jc w:val="left"/>
              <w:rPr>
                <w:b/>
                <w:bCs/>
                <w:noProof/>
                <w:sz w:val="16"/>
                <w:szCs w:val="16"/>
              </w:rPr>
            </w:pPr>
            <w:r w:rsidRPr="00AD21FF">
              <w:rPr>
                <w:b/>
                <w:bCs/>
                <w:noProof/>
                <w:sz w:val="16"/>
                <w:szCs w:val="16"/>
              </w:rPr>
              <w:t>Outside HEADING 7</w:t>
            </w:r>
          </w:p>
        </w:tc>
      </w:tr>
      <w:tr w:rsidR="009E3CEB" w:rsidRPr="00AD21FF" w14:paraId="03F6B08C" w14:textId="77777777" w:rsidTr="00B53FD7">
        <w:trPr>
          <w:trHeight w:val="300"/>
        </w:trPr>
        <w:tc>
          <w:tcPr>
            <w:tcW w:w="188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6F0C2" w14:textId="77777777" w:rsidR="009E3CEB" w:rsidRPr="00AD21FF" w:rsidRDefault="009E3CEB" w:rsidP="009E3CEB">
            <w:pPr>
              <w:spacing w:before="0" w:after="0"/>
              <w:jc w:val="left"/>
              <w:rPr>
                <w:rFonts w:ascii="Arial Narrow" w:eastAsia="Arial Narrow" w:hAnsi="Arial Narrow" w:cs="Arial Narrow"/>
                <w:noProof/>
                <w:color w:val="000000" w:themeColor="text1"/>
                <w:sz w:val="20"/>
                <w:szCs w:val="20"/>
              </w:rPr>
            </w:pPr>
            <w:r w:rsidRPr="00AD21FF">
              <w:rPr>
                <w:rFonts w:ascii="Arial Narrow" w:eastAsia="Arial Narrow" w:hAnsi="Arial Narrow" w:cs="Arial Narrow"/>
                <w:noProof/>
                <w:color w:val="000000" w:themeColor="text1"/>
                <w:sz w:val="20"/>
                <w:szCs w:val="20"/>
              </w:rPr>
              <w:t>Policy IT expenditure on operational programmes</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69EF2634" w14:textId="77777777" w:rsidR="009E3CEB" w:rsidRPr="00AD21FF" w:rsidRDefault="00C236D4" w:rsidP="009E3CEB">
            <w:pPr>
              <w:spacing w:before="0" w:after="0"/>
              <w:jc w:val="right"/>
              <w:rPr>
                <w:noProof/>
                <w:color w:val="000000" w:themeColor="text1"/>
                <w:sz w:val="16"/>
                <w:szCs w:val="16"/>
              </w:rPr>
            </w:pPr>
            <w:r w:rsidRPr="00B53FD7">
              <w:rPr>
                <w:noProof/>
                <w:color w:val="000000" w:themeColor="text1"/>
                <w:sz w:val="16"/>
                <w:szCs w:val="16"/>
              </w:rPr>
              <w:t>0.000</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16999008" w14:textId="77777777" w:rsidR="009E3CEB" w:rsidRPr="00AD21FF" w:rsidRDefault="00C236D4" w:rsidP="009E3CEB">
            <w:pPr>
              <w:spacing w:before="0" w:after="0"/>
              <w:jc w:val="right"/>
              <w:rPr>
                <w:noProof/>
                <w:color w:val="000000" w:themeColor="text1"/>
                <w:sz w:val="16"/>
                <w:szCs w:val="16"/>
              </w:rPr>
            </w:pPr>
            <w:r w:rsidRPr="00B53FD7">
              <w:rPr>
                <w:noProof/>
                <w:color w:val="000000" w:themeColor="text1"/>
                <w:sz w:val="16"/>
                <w:szCs w:val="16"/>
              </w:rPr>
              <w:t>0.000</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1C372F0B" w14:textId="77777777" w:rsidR="009E3CEB" w:rsidRPr="00AD21FF" w:rsidRDefault="00C236D4" w:rsidP="009E3CEB">
            <w:pPr>
              <w:spacing w:before="0" w:after="0"/>
              <w:jc w:val="right"/>
              <w:rPr>
                <w:noProof/>
                <w:color w:val="000000" w:themeColor="text1"/>
                <w:sz w:val="16"/>
                <w:szCs w:val="16"/>
              </w:rPr>
            </w:pPr>
            <w:r w:rsidRPr="00B53FD7">
              <w:rPr>
                <w:noProof/>
                <w:color w:val="000000" w:themeColor="text1"/>
                <w:sz w:val="16"/>
                <w:szCs w:val="16"/>
              </w:rPr>
              <w:t>0.000</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0C146BF3" w14:textId="77777777" w:rsidR="009E3CEB" w:rsidRPr="00AD21FF" w:rsidRDefault="00C236D4" w:rsidP="009E3CEB">
            <w:pPr>
              <w:spacing w:before="0" w:after="0"/>
              <w:jc w:val="right"/>
              <w:rPr>
                <w:noProof/>
                <w:color w:val="000000" w:themeColor="text1"/>
                <w:sz w:val="16"/>
                <w:szCs w:val="16"/>
              </w:rPr>
            </w:pPr>
            <w:r w:rsidRPr="00B53FD7">
              <w:rPr>
                <w:rFonts w:eastAsia="Calibri"/>
                <w:noProof/>
                <w:color w:val="000000" w:themeColor="text1"/>
                <w:sz w:val="16"/>
                <w:szCs w:val="16"/>
              </w:rPr>
              <w:t>0.040</w:t>
            </w:r>
          </w:p>
        </w:tc>
        <w:tc>
          <w:tcPr>
            <w:tcW w:w="577" w:type="pct"/>
            <w:tcBorders>
              <w:top w:val="nil"/>
              <w:left w:val="single" w:sz="8" w:space="0" w:color="auto"/>
              <w:bottom w:val="single" w:sz="8" w:space="0" w:color="auto"/>
              <w:right w:val="single" w:sz="8" w:space="0" w:color="auto"/>
            </w:tcBorders>
            <w:tcMar>
              <w:left w:w="108" w:type="dxa"/>
              <w:right w:w="108" w:type="dxa"/>
            </w:tcMar>
            <w:vAlign w:val="center"/>
          </w:tcPr>
          <w:p w14:paraId="067E108A" w14:textId="77777777" w:rsidR="009E3CEB" w:rsidRPr="00AD21FF" w:rsidRDefault="00C236D4" w:rsidP="009E3CEB">
            <w:pPr>
              <w:spacing w:before="0" w:after="0"/>
              <w:jc w:val="right"/>
              <w:rPr>
                <w:b/>
                <w:bCs/>
                <w:noProof/>
                <w:color w:val="000000" w:themeColor="text1"/>
                <w:sz w:val="16"/>
                <w:szCs w:val="16"/>
              </w:rPr>
            </w:pPr>
            <w:r w:rsidRPr="00B53FD7">
              <w:rPr>
                <w:rFonts w:eastAsia="Calibri"/>
                <w:b/>
                <w:noProof/>
                <w:color w:val="000000" w:themeColor="text1"/>
                <w:sz w:val="16"/>
                <w:szCs w:val="16"/>
              </w:rPr>
              <w:t>0.040</w:t>
            </w:r>
          </w:p>
        </w:tc>
        <w:tc>
          <w:tcPr>
            <w:tcW w:w="576" w:type="pct"/>
            <w:tcBorders>
              <w:top w:val="nil"/>
              <w:left w:val="single" w:sz="8" w:space="0" w:color="auto"/>
              <w:bottom w:val="single" w:sz="8" w:space="0" w:color="auto"/>
              <w:right w:val="single" w:sz="8" w:space="0" w:color="auto"/>
            </w:tcBorders>
            <w:vAlign w:val="center"/>
          </w:tcPr>
          <w:p w14:paraId="2D4D27A5" w14:textId="77777777" w:rsidR="009E3CEB" w:rsidRPr="00AD21FF" w:rsidRDefault="00C236D4" w:rsidP="009E3CEB">
            <w:pPr>
              <w:spacing w:before="0" w:after="0"/>
              <w:jc w:val="right"/>
              <w:rPr>
                <w:b/>
                <w:bCs/>
                <w:noProof/>
                <w:color w:val="000000" w:themeColor="text1"/>
                <w:sz w:val="16"/>
                <w:szCs w:val="16"/>
              </w:rPr>
            </w:pPr>
            <w:r w:rsidRPr="00B53FD7">
              <w:rPr>
                <w:rFonts w:eastAsia="Calibri"/>
                <w:b/>
                <w:noProof/>
                <w:color w:val="000000" w:themeColor="text1"/>
                <w:sz w:val="16"/>
                <w:szCs w:val="16"/>
              </w:rPr>
              <w:t>0.140</w:t>
            </w:r>
          </w:p>
        </w:tc>
      </w:tr>
      <w:tr w:rsidR="009E3CEB" w:rsidRPr="00AD21FF" w14:paraId="13C9D27E" w14:textId="77777777" w:rsidTr="00B53FD7">
        <w:trPr>
          <w:trHeight w:val="300"/>
        </w:trPr>
        <w:tc>
          <w:tcPr>
            <w:tcW w:w="1887" w:type="pct"/>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9DFA8E7" w14:textId="77777777" w:rsidR="009E3CEB" w:rsidRPr="00AD21FF" w:rsidRDefault="009E3CEB" w:rsidP="009E3CEB">
            <w:pPr>
              <w:spacing w:before="0" w:after="0"/>
              <w:jc w:val="center"/>
              <w:rPr>
                <w:b/>
                <w:bCs/>
                <w:noProof/>
                <w:color w:val="000000" w:themeColor="text1"/>
                <w:sz w:val="16"/>
                <w:szCs w:val="16"/>
              </w:rPr>
            </w:pPr>
            <w:r w:rsidRPr="00AD21FF">
              <w:rPr>
                <w:b/>
                <w:bCs/>
                <w:noProof/>
                <w:color w:val="000000" w:themeColor="text1"/>
                <w:sz w:val="16"/>
                <w:szCs w:val="16"/>
              </w:rPr>
              <w:t>Subtotal outside HEADING 7</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F68AF" w14:textId="77777777" w:rsidR="009E3CEB" w:rsidRPr="00AD21FF" w:rsidRDefault="00C236D4" w:rsidP="009E3CEB">
            <w:pPr>
              <w:spacing w:before="0" w:after="0"/>
              <w:jc w:val="right"/>
              <w:rPr>
                <w:b/>
                <w:bCs/>
                <w:noProof/>
                <w:color w:val="000000" w:themeColor="text1"/>
                <w:sz w:val="16"/>
                <w:szCs w:val="16"/>
              </w:rPr>
            </w:pPr>
            <w:r w:rsidRPr="00B53FD7">
              <w:rPr>
                <w:b/>
                <w:noProof/>
                <w:color w:val="000000" w:themeColor="text1"/>
                <w:sz w:val="16"/>
                <w:szCs w:val="16"/>
              </w:rPr>
              <w:t>0.000</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FAEFB" w14:textId="77777777" w:rsidR="009E3CEB" w:rsidRPr="00AD21FF" w:rsidRDefault="00C236D4" w:rsidP="009E3CEB">
            <w:pPr>
              <w:spacing w:before="0" w:after="0"/>
              <w:jc w:val="right"/>
              <w:rPr>
                <w:b/>
                <w:bCs/>
                <w:noProof/>
                <w:color w:val="000000" w:themeColor="text1"/>
                <w:sz w:val="16"/>
                <w:szCs w:val="16"/>
              </w:rPr>
            </w:pPr>
            <w:r w:rsidRPr="00B53FD7">
              <w:rPr>
                <w:b/>
                <w:noProof/>
                <w:color w:val="000000" w:themeColor="text1"/>
                <w:sz w:val="16"/>
                <w:szCs w:val="16"/>
              </w:rPr>
              <w:t>0.000</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8AFDF" w14:textId="77777777" w:rsidR="009E3CEB" w:rsidRPr="00AD21FF" w:rsidRDefault="00C236D4" w:rsidP="009E3CEB">
            <w:pPr>
              <w:spacing w:before="0" w:after="0"/>
              <w:jc w:val="right"/>
              <w:rPr>
                <w:b/>
                <w:bCs/>
                <w:noProof/>
                <w:color w:val="000000" w:themeColor="text1"/>
                <w:sz w:val="16"/>
                <w:szCs w:val="16"/>
              </w:rPr>
            </w:pPr>
            <w:r w:rsidRPr="00B53FD7">
              <w:rPr>
                <w:b/>
                <w:noProof/>
                <w:color w:val="000000" w:themeColor="text1"/>
                <w:sz w:val="16"/>
                <w:szCs w:val="16"/>
              </w:rPr>
              <w:t>0.000</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FCBEF" w14:textId="77777777" w:rsidR="009E3CEB" w:rsidRPr="00AD21FF" w:rsidRDefault="00C236D4" w:rsidP="009E3CEB">
            <w:pPr>
              <w:spacing w:before="0" w:after="0"/>
              <w:jc w:val="right"/>
              <w:rPr>
                <w:b/>
                <w:bCs/>
                <w:noProof/>
                <w:color w:val="000000" w:themeColor="text1"/>
                <w:sz w:val="16"/>
                <w:szCs w:val="16"/>
              </w:rPr>
            </w:pPr>
            <w:r w:rsidRPr="00B53FD7">
              <w:rPr>
                <w:rFonts w:eastAsia="Calibri"/>
                <w:b/>
                <w:noProof/>
                <w:color w:val="000000" w:themeColor="text1"/>
                <w:sz w:val="16"/>
                <w:szCs w:val="16"/>
              </w:rPr>
              <w:t>0.040</w:t>
            </w:r>
          </w:p>
        </w:tc>
        <w:tc>
          <w:tcPr>
            <w:tcW w:w="57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F8C6E" w14:textId="77777777" w:rsidR="009E3CEB" w:rsidRPr="00AD21FF" w:rsidRDefault="00C236D4" w:rsidP="009E3CEB">
            <w:pPr>
              <w:spacing w:before="0" w:after="0"/>
              <w:jc w:val="right"/>
              <w:rPr>
                <w:b/>
                <w:bCs/>
                <w:noProof/>
                <w:color w:val="000000" w:themeColor="text1"/>
                <w:sz w:val="16"/>
                <w:szCs w:val="16"/>
              </w:rPr>
            </w:pPr>
            <w:r w:rsidRPr="00B53FD7">
              <w:rPr>
                <w:rFonts w:eastAsia="Calibri"/>
                <w:b/>
                <w:noProof/>
                <w:color w:val="000000" w:themeColor="text1"/>
                <w:sz w:val="16"/>
                <w:szCs w:val="16"/>
              </w:rPr>
              <w:t>0.040</w:t>
            </w:r>
          </w:p>
        </w:tc>
        <w:tc>
          <w:tcPr>
            <w:tcW w:w="576" w:type="pct"/>
            <w:tcBorders>
              <w:top w:val="single" w:sz="8" w:space="0" w:color="auto"/>
              <w:left w:val="single" w:sz="8" w:space="0" w:color="auto"/>
              <w:bottom w:val="single" w:sz="8" w:space="0" w:color="auto"/>
              <w:right w:val="single" w:sz="8" w:space="0" w:color="auto"/>
            </w:tcBorders>
            <w:vAlign w:val="center"/>
          </w:tcPr>
          <w:p w14:paraId="086B3480" w14:textId="77777777" w:rsidR="009E3CEB" w:rsidRPr="00AD21FF" w:rsidRDefault="00C236D4" w:rsidP="009E3CEB">
            <w:pPr>
              <w:spacing w:before="0" w:after="0"/>
              <w:jc w:val="right"/>
              <w:rPr>
                <w:b/>
                <w:bCs/>
                <w:noProof/>
                <w:color w:val="000000" w:themeColor="text1"/>
                <w:sz w:val="16"/>
                <w:szCs w:val="16"/>
              </w:rPr>
            </w:pPr>
            <w:r w:rsidRPr="00B53FD7">
              <w:rPr>
                <w:rFonts w:eastAsia="Calibri"/>
                <w:b/>
                <w:noProof/>
                <w:color w:val="000000" w:themeColor="text1"/>
                <w:sz w:val="16"/>
                <w:szCs w:val="16"/>
              </w:rPr>
              <w:t>0.140</w:t>
            </w:r>
          </w:p>
        </w:tc>
      </w:tr>
      <w:tr w:rsidR="009E3CEB" w:rsidRPr="00AD21FF" w14:paraId="5DDFA3E7" w14:textId="77777777" w:rsidTr="00B53FD7">
        <w:trPr>
          <w:trHeight w:val="300"/>
        </w:trPr>
        <w:tc>
          <w:tcPr>
            <w:tcW w:w="5000" w:type="pct"/>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CE3E5" w14:textId="77777777" w:rsidR="009E3CEB" w:rsidRPr="00AD21FF" w:rsidRDefault="009E3CEB" w:rsidP="009E3CEB">
            <w:pPr>
              <w:spacing w:before="0" w:after="0"/>
              <w:jc w:val="center"/>
              <w:rPr>
                <w:noProof/>
                <w:color w:val="000000" w:themeColor="text1"/>
                <w:sz w:val="16"/>
                <w:szCs w:val="16"/>
              </w:rPr>
            </w:pPr>
            <w:r w:rsidRPr="00AD21FF">
              <w:rPr>
                <w:noProof/>
                <w:color w:val="000000" w:themeColor="text1"/>
                <w:sz w:val="16"/>
                <w:szCs w:val="16"/>
              </w:rPr>
              <w:t xml:space="preserve"> </w:t>
            </w:r>
          </w:p>
        </w:tc>
      </w:tr>
      <w:tr w:rsidR="009E3CEB" w:rsidRPr="00AD21FF" w14:paraId="5CE1B3C5" w14:textId="77777777" w:rsidTr="00B53FD7">
        <w:trPr>
          <w:trHeight w:val="315"/>
        </w:trPr>
        <w:tc>
          <w:tcPr>
            <w:tcW w:w="1887" w:type="pct"/>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679FBB58" w14:textId="77777777" w:rsidR="009E3CEB" w:rsidRPr="00AD21FF" w:rsidRDefault="009E3CEB" w:rsidP="009E3CEB">
            <w:pPr>
              <w:spacing w:before="0" w:after="0"/>
              <w:jc w:val="center"/>
              <w:rPr>
                <w:b/>
                <w:bCs/>
                <w:noProof/>
                <w:color w:val="000000" w:themeColor="text1"/>
                <w:sz w:val="16"/>
                <w:szCs w:val="16"/>
              </w:rPr>
            </w:pPr>
            <w:r w:rsidRPr="00AD21FF">
              <w:rPr>
                <w:b/>
                <w:bCs/>
                <w:noProof/>
                <w:color w:val="000000" w:themeColor="text1"/>
                <w:sz w:val="16"/>
                <w:szCs w:val="16"/>
              </w:rPr>
              <w:t>TOTAL</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75E3046B" w14:textId="77777777" w:rsidR="009E3CEB" w:rsidRPr="00AD21FF" w:rsidRDefault="00B53FD7" w:rsidP="009E3CEB">
            <w:pPr>
              <w:spacing w:before="0" w:after="0"/>
              <w:jc w:val="right"/>
              <w:rPr>
                <w:b/>
                <w:bCs/>
                <w:noProof/>
                <w:color w:val="000000" w:themeColor="text1"/>
                <w:sz w:val="16"/>
                <w:szCs w:val="16"/>
              </w:rPr>
            </w:pPr>
            <w:r w:rsidRPr="00B53FD7">
              <w:rPr>
                <w:b/>
                <w:bCs/>
                <w:noProof/>
                <w:sz w:val="16"/>
                <w:szCs w:val="16"/>
              </w:rPr>
              <w:t>0.000</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212D7AD4" w14:textId="77777777" w:rsidR="009E3CEB" w:rsidRPr="00AD21FF" w:rsidRDefault="00B53FD7" w:rsidP="009E3CEB">
            <w:pPr>
              <w:spacing w:before="0" w:after="0"/>
              <w:jc w:val="right"/>
              <w:rPr>
                <w:b/>
                <w:bCs/>
                <w:noProof/>
                <w:color w:val="000000" w:themeColor="text1"/>
                <w:sz w:val="16"/>
                <w:szCs w:val="16"/>
              </w:rPr>
            </w:pPr>
            <w:r w:rsidRPr="00B53FD7">
              <w:rPr>
                <w:b/>
                <w:bCs/>
                <w:noProof/>
                <w:sz w:val="16"/>
                <w:szCs w:val="16"/>
              </w:rPr>
              <w:t>0.000</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68CDD787" w14:textId="77777777" w:rsidR="009E3CEB" w:rsidRPr="00AD21FF" w:rsidRDefault="00B53FD7" w:rsidP="009E3CEB">
            <w:pPr>
              <w:spacing w:before="0" w:after="0"/>
              <w:jc w:val="right"/>
              <w:rPr>
                <w:b/>
                <w:bCs/>
                <w:noProof/>
                <w:color w:val="000000" w:themeColor="text1"/>
                <w:sz w:val="16"/>
                <w:szCs w:val="16"/>
              </w:rPr>
            </w:pPr>
            <w:r w:rsidRPr="00B53FD7">
              <w:rPr>
                <w:b/>
                <w:bCs/>
                <w:noProof/>
                <w:sz w:val="16"/>
                <w:szCs w:val="16"/>
              </w:rPr>
              <w:t>0.000</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3BD23EF1" w14:textId="77777777" w:rsidR="009E3CEB" w:rsidRPr="00AD21FF" w:rsidRDefault="00B53FD7" w:rsidP="009E3CEB">
            <w:pPr>
              <w:spacing w:before="0" w:after="0"/>
              <w:jc w:val="right"/>
              <w:rPr>
                <w:b/>
                <w:bCs/>
                <w:noProof/>
                <w:color w:val="000000" w:themeColor="text1"/>
                <w:sz w:val="16"/>
                <w:szCs w:val="16"/>
              </w:rPr>
            </w:pPr>
            <w:r w:rsidRPr="00B53FD7">
              <w:rPr>
                <w:rFonts w:eastAsia="Calibri"/>
                <w:b/>
                <w:bCs/>
                <w:noProof/>
                <w:sz w:val="16"/>
                <w:szCs w:val="16"/>
              </w:rPr>
              <w:t>0.040</w:t>
            </w:r>
          </w:p>
        </w:tc>
        <w:tc>
          <w:tcPr>
            <w:tcW w:w="577" w:type="pct"/>
            <w:tcBorders>
              <w:top w:val="nil"/>
              <w:left w:val="single" w:sz="8" w:space="0" w:color="auto"/>
              <w:bottom w:val="single" w:sz="12" w:space="0" w:color="auto"/>
              <w:right w:val="single" w:sz="8" w:space="0" w:color="auto"/>
            </w:tcBorders>
            <w:tcMar>
              <w:left w:w="108" w:type="dxa"/>
              <w:right w:w="108" w:type="dxa"/>
            </w:tcMar>
            <w:vAlign w:val="center"/>
          </w:tcPr>
          <w:p w14:paraId="0BC588C8" w14:textId="77777777" w:rsidR="009E3CEB" w:rsidRPr="00AD21FF" w:rsidRDefault="00B53FD7" w:rsidP="009E3CEB">
            <w:pPr>
              <w:spacing w:before="0" w:after="0"/>
              <w:jc w:val="right"/>
              <w:rPr>
                <w:b/>
                <w:bCs/>
                <w:noProof/>
                <w:color w:val="000000" w:themeColor="text1"/>
                <w:sz w:val="16"/>
                <w:szCs w:val="16"/>
              </w:rPr>
            </w:pPr>
            <w:r w:rsidRPr="00B53FD7">
              <w:rPr>
                <w:rFonts w:eastAsia="Calibri"/>
                <w:b/>
                <w:bCs/>
                <w:noProof/>
                <w:sz w:val="16"/>
                <w:szCs w:val="16"/>
              </w:rPr>
              <w:t>0.040</w:t>
            </w:r>
          </w:p>
        </w:tc>
        <w:tc>
          <w:tcPr>
            <w:tcW w:w="576" w:type="pct"/>
            <w:tcBorders>
              <w:top w:val="nil"/>
              <w:left w:val="single" w:sz="8" w:space="0" w:color="auto"/>
              <w:bottom w:val="single" w:sz="12" w:space="0" w:color="auto"/>
              <w:right w:val="single" w:sz="8" w:space="0" w:color="auto"/>
            </w:tcBorders>
            <w:vAlign w:val="center"/>
          </w:tcPr>
          <w:p w14:paraId="341D2358" w14:textId="77777777" w:rsidR="009E3CEB" w:rsidRPr="00AD21FF" w:rsidRDefault="00B53FD7" w:rsidP="009E3CEB">
            <w:pPr>
              <w:spacing w:before="0" w:after="0"/>
              <w:jc w:val="right"/>
              <w:rPr>
                <w:b/>
                <w:bCs/>
                <w:noProof/>
                <w:sz w:val="16"/>
                <w:szCs w:val="16"/>
              </w:rPr>
            </w:pPr>
            <w:r w:rsidRPr="00B53FD7">
              <w:rPr>
                <w:rFonts w:eastAsia="Calibri"/>
                <w:b/>
                <w:bCs/>
                <w:noProof/>
                <w:sz w:val="16"/>
                <w:szCs w:val="16"/>
              </w:rPr>
              <w:t>0.140</w:t>
            </w:r>
          </w:p>
        </w:tc>
      </w:tr>
    </w:tbl>
    <w:bookmarkEnd w:id="13"/>
    <w:p w14:paraId="59BA6D5F" w14:textId="77777777" w:rsidR="00CA7C31" w:rsidRPr="00AD21FF" w:rsidRDefault="00CA7C31" w:rsidP="00CA7C31">
      <w:pPr>
        <w:pStyle w:val="ManualHeading3"/>
        <w:rPr>
          <w:noProof/>
        </w:rPr>
      </w:pPr>
      <w:r w:rsidRPr="00AD21FF">
        <w:rPr>
          <w:noProof/>
        </w:rPr>
        <w:t>3.2.6.</w:t>
      </w:r>
      <w:r w:rsidRPr="00AD21FF">
        <w:rPr>
          <w:noProof/>
        </w:rPr>
        <w:tab/>
        <w:t xml:space="preserve">Compatibility with the current multiannual financial framework </w:t>
      </w:r>
    </w:p>
    <w:p w14:paraId="6002C96D" w14:textId="77777777" w:rsidR="00CA7C31" w:rsidRPr="00AD21FF" w:rsidRDefault="00CA7C31" w:rsidP="00CA7C31">
      <w:pPr>
        <w:pStyle w:val="Text1"/>
        <w:rPr>
          <w:noProof/>
        </w:rPr>
      </w:pPr>
      <w:r w:rsidRPr="00AD21FF">
        <w:rPr>
          <w:noProof/>
        </w:rPr>
        <w:t>The proposal/initiative:</w:t>
      </w:r>
    </w:p>
    <w:p w14:paraId="65F6345C"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can be fully financed through redeployment within the relevant heading of the multiannual financial framework (MFF)</w:t>
      </w:r>
    </w:p>
    <w:p w14:paraId="31439E7D"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requires use of the unallocated margin under the relevant heading of the MFF and/or use of the special instruments as defined in the MFF Regulation</w:t>
      </w:r>
    </w:p>
    <w:p w14:paraId="0A23FEED"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requires a revision of the MFF</w:t>
      </w:r>
    </w:p>
    <w:p w14:paraId="21F77196" w14:textId="77777777" w:rsidR="00CA7C31" w:rsidRPr="00AD21FF" w:rsidRDefault="00CA7C31" w:rsidP="00CA7C31">
      <w:pPr>
        <w:pStyle w:val="ManualHeading3"/>
        <w:rPr>
          <w:noProof/>
        </w:rPr>
      </w:pPr>
      <w:r w:rsidRPr="00AD21FF">
        <w:rPr>
          <w:noProof/>
        </w:rPr>
        <w:t>3.2.7.</w:t>
      </w:r>
      <w:r w:rsidRPr="00AD21FF">
        <w:rPr>
          <w:noProof/>
        </w:rPr>
        <w:tab/>
        <w:t xml:space="preserve">Third-party contributions </w:t>
      </w:r>
    </w:p>
    <w:p w14:paraId="2CCD56C5" w14:textId="77777777" w:rsidR="00CA7C31" w:rsidRPr="00AD21FF" w:rsidRDefault="00CA7C31" w:rsidP="00CA7C31">
      <w:pPr>
        <w:pStyle w:val="Text1"/>
        <w:rPr>
          <w:noProof/>
        </w:rPr>
      </w:pPr>
      <w:r w:rsidRPr="00AD21FF">
        <w:rPr>
          <w:noProof/>
        </w:rPr>
        <w:t>The proposal/initiative:</w:t>
      </w:r>
    </w:p>
    <w:p w14:paraId="5C867DC9"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does not provide for co-financing by third parties</w:t>
      </w:r>
    </w:p>
    <w:p w14:paraId="2E946708"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provides for the co-financing by third parties estimated below:</w:t>
      </w:r>
    </w:p>
    <w:p w14:paraId="0E415DAC" w14:textId="77777777" w:rsidR="00CA7C31" w:rsidRPr="00AD21FF" w:rsidRDefault="00CA7C31" w:rsidP="00CA7C31">
      <w:pPr>
        <w:jc w:val="right"/>
        <w:rPr>
          <w:noProof/>
          <w:sz w:val="20"/>
        </w:rPr>
      </w:pPr>
      <w:r w:rsidRPr="00AD21FF">
        <w:rPr>
          <w:noProof/>
          <w:sz w:val="20"/>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450"/>
        <w:gridCol w:w="652"/>
        <w:gridCol w:w="652"/>
        <w:gridCol w:w="652"/>
        <w:gridCol w:w="652"/>
        <w:gridCol w:w="652"/>
        <w:gridCol w:w="652"/>
        <w:gridCol w:w="652"/>
        <w:gridCol w:w="652"/>
        <w:gridCol w:w="652"/>
        <w:gridCol w:w="652"/>
        <w:gridCol w:w="652"/>
        <w:gridCol w:w="665"/>
      </w:tblGrid>
      <w:tr w:rsidR="009C5CEA" w:rsidRPr="00AD21FF" w14:paraId="751F355F" w14:textId="77777777" w:rsidTr="005E4441">
        <w:trPr>
          <w:cantSplit/>
        </w:trPr>
        <w:tc>
          <w:tcPr>
            <w:tcW w:w="781" w:type="pct"/>
          </w:tcPr>
          <w:p w14:paraId="7CB35910" w14:textId="77777777" w:rsidR="009C5CEA" w:rsidRPr="00AD21FF" w:rsidRDefault="009C5CEA" w:rsidP="009C5CEA">
            <w:pPr>
              <w:spacing w:before="60" w:after="60"/>
              <w:rPr>
                <w:noProof/>
                <w:sz w:val="20"/>
              </w:rPr>
            </w:pPr>
          </w:p>
        </w:tc>
        <w:tc>
          <w:tcPr>
            <w:tcW w:w="351" w:type="pct"/>
            <w:vAlign w:val="center"/>
          </w:tcPr>
          <w:p w14:paraId="076CA2E4" w14:textId="77777777" w:rsidR="009C5CEA" w:rsidRPr="00AD21FF" w:rsidRDefault="009C5CEA" w:rsidP="009C5CEA">
            <w:pPr>
              <w:jc w:val="center"/>
              <w:rPr>
                <w:noProof/>
                <w:sz w:val="20"/>
              </w:rPr>
            </w:pPr>
            <w:r w:rsidRPr="00AD21FF">
              <w:rPr>
                <w:noProof/>
                <w:sz w:val="20"/>
              </w:rPr>
              <w:t xml:space="preserve">Year </w:t>
            </w:r>
            <w:r w:rsidRPr="00AD21FF">
              <w:rPr>
                <w:noProof/>
                <w:sz w:val="22"/>
              </w:rPr>
              <w:br/>
            </w:r>
            <w:r w:rsidRPr="00AD21FF">
              <w:rPr>
                <w:b/>
                <w:noProof/>
                <w:sz w:val="20"/>
              </w:rPr>
              <w:t>2024</w:t>
            </w:r>
          </w:p>
        </w:tc>
        <w:tc>
          <w:tcPr>
            <w:tcW w:w="351" w:type="pct"/>
            <w:vAlign w:val="center"/>
          </w:tcPr>
          <w:p w14:paraId="6DB1C3D7" w14:textId="77777777" w:rsidR="009C5CEA" w:rsidRPr="00AD21FF" w:rsidRDefault="009C5CEA" w:rsidP="009C5CEA">
            <w:pPr>
              <w:jc w:val="center"/>
              <w:rPr>
                <w:noProof/>
                <w:sz w:val="20"/>
              </w:rPr>
            </w:pPr>
            <w:r w:rsidRPr="00AD21FF">
              <w:rPr>
                <w:noProof/>
                <w:sz w:val="20"/>
              </w:rPr>
              <w:t xml:space="preserve">Year </w:t>
            </w:r>
            <w:r w:rsidRPr="00AD21FF">
              <w:rPr>
                <w:noProof/>
                <w:sz w:val="22"/>
              </w:rPr>
              <w:br/>
            </w:r>
            <w:r w:rsidRPr="00AD21FF">
              <w:rPr>
                <w:b/>
                <w:noProof/>
                <w:sz w:val="20"/>
              </w:rPr>
              <w:t>2025</w:t>
            </w:r>
          </w:p>
        </w:tc>
        <w:tc>
          <w:tcPr>
            <w:tcW w:w="351" w:type="pct"/>
            <w:vAlign w:val="center"/>
          </w:tcPr>
          <w:p w14:paraId="57B30617" w14:textId="77777777" w:rsidR="009C5CEA" w:rsidRPr="00AD21FF" w:rsidRDefault="009C5CEA" w:rsidP="009C5CEA">
            <w:pPr>
              <w:jc w:val="center"/>
              <w:rPr>
                <w:noProof/>
                <w:sz w:val="20"/>
              </w:rPr>
            </w:pPr>
            <w:r w:rsidRPr="00AD21FF">
              <w:rPr>
                <w:noProof/>
                <w:sz w:val="20"/>
              </w:rPr>
              <w:t xml:space="preserve">Year </w:t>
            </w:r>
            <w:r w:rsidRPr="00AD21FF">
              <w:rPr>
                <w:noProof/>
                <w:sz w:val="22"/>
              </w:rPr>
              <w:br/>
            </w:r>
            <w:r w:rsidRPr="00AD21FF">
              <w:rPr>
                <w:b/>
                <w:noProof/>
                <w:sz w:val="20"/>
              </w:rPr>
              <w:t>2026</w:t>
            </w:r>
          </w:p>
        </w:tc>
        <w:tc>
          <w:tcPr>
            <w:tcW w:w="351" w:type="pct"/>
            <w:vAlign w:val="center"/>
          </w:tcPr>
          <w:p w14:paraId="09FD8B48" w14:textId="77777777" w:rsidR="009C5CEA" w:rsidRPr="00AD21FF" w:rsidRDefault="009C5CEA" w:rsidP="009C5CEA">
            <w:pPr>
              <w:jc w:val="center"/>
              <w:rPr>
                <w:noProof/>
                <w:sz w:val="20"/>
              </w:rPr>
            </w:pPr>
            <w:r w:rsidRPr="00AD21FF">
              <w:rPr>
                <w:noProof/>
                <w:sz w:val="20"/>
              </w:rPr>
              <w:t xml:space="preserve">Year </w:t>
            </w:r>
            <w:r w:rsidRPr="00AD21FF">
              <w:rPr>
                <w:noProof/>
                <w:sz w:val="22"/>
              </w:rPr>
              <w:br/>
            </w:r>
            <w:r w:rsidRPr="00AD21FF">
              <w:rPr>
                <w:b/>
                <w:noProof/>
                <w:sz w:val="20"/>
              </w:rPr>
              <w:t>2027</w:t>
            </w:r>
          </w:p>
        </w:tc>
        <w:tc>
          <w:tcPr>
            <w:tcW w:w="351" w:type="pct"/>
            <w:vAlign w:val="center"/>
          </w:tcPr>
          <w:p w14:paraId="5ED50459" w14:textId="77777777" w:rsidR="009C5CEA" w:rsidRPr="00AD21FF" w:rsidRDefault="009C5CEA" w:rsidP="009C5CEA">
            <w:pPr>
              <w:spacing w:before="60" w:after="60"/>
              <w:jc w:val="center"/>
              <w:rPr>
                <w:noProof/>
                <w:sz w:val="20"/>
              </w:rPr>
            </w:pPr>
            <w:r w:rsidRPr="00AD21FF">
              <w:rPr>
                <w:noProof/>
                <w:sz w:val="20"/>
              </w:rPr>
              <w:t xml:space="preserve">Year </w:t>
            </w:r>
            <w:r w:rsidRPr="00AD21FF">
              <w:rPr>
                <w:noProof/>
                <w:sz w:val="22"/>
              </w:rPr>
              <w:br/>
            </w:r>
            <w:r w:rsidRPr="00AD21FF">
              <w:rPr>
                <w:b/>
                <w:noProof/>
                <w:sz w:val="20"/>
              </w:rPr>
              <w:t>202</w:t>
            </w:r>
            <w:r>
              <w:rPr>
                <w:b/>
                <w:noProof/>
                <w:sz w:val="20"/>
              </w:rPr>
              <w:t>8</w:t>
            </w:r>
          </w:p>
        </w:tc>
        <w:tc>
          <w:tcPr>
            <w:tcW w:w="351" w:type="pct"/>
            <w:vAlign w:val="center"/>
          </w:tcPr>
          <w:p w14:paraId="2D14B734" w14:textId="77777777" w:rsidR="009C5CEA" w:rsidRPr="00AD21FF" w:rsidRDefault="009C5CEA" w:rsidP="009C5CEA">
            <w:pPr>
              <w:spacing w:before="60" w:after="60"/>
              <w:jc w:val="center"/>
              <w:rPr>
                <w:noProof/>
                <w:sz w:val="20"/>
              </w:rPr>
            </w:pPr>
            <w:r w:rsidRPr="00AD21FF">
              <w:rPr>
                <w:noProof/>
                <w:sz w:val="20"/>
              </w:rPr>
              <w:t xml:space="preserve">Year </w:t>
            </w:r>
            <w:r w:rsidRPr="00AD21FF">
              <w:rPr>
                <w:noProof/>
                <w:sz w:val="22"/>
              </w:rPr>
              <w:br/>
            </w:r>
            <w:r w:rsidRPr="00AD21FF">
              <w:rPr>
                <w:b/>
                <w:noProof/>
                <w:sz w:val="20"/>
              </w:rPr>
              <w:t>202</w:t>
            </w:r>
            <w:r>
              <w:rPr>
                <w:b/>
                <w:noProof/>
                <w:sz w:val="20"/>
              </w:rPr>
              <w:t>9</w:t>
            </w:r>
          </w:p>
        </w:tc>
        <w:tc>
          <w:tcPr>
            <w:tcW w:w="351" w:type="pct"/>
            <w:vAlign w:val="center"/>
          </w:tcPr>
          <w:p w14:paraId="0EC51CD0" w14:textId="77777777" w:rsidR="009C5CEA" w:rsidRPr="00AD21FF" w:rsidRDefault="009C5CEA" w:rsidP="009C5CEA">
            <w:pPr>
              <w:spacing w:before="60" w:after="60"/>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30</w:t>
            </w:r>
          </w:p>
        </w:tc>
        <w:tc>
          <w:tcPr>
            <w:tcW w:w="351" w:type="pct"/>
            <w:vAlign w:val="center"/>
          </w:tcPr>
          <w:p w14:paraId="3AEEFFA6" w14:textId="77777777" w:rsidR="009C5CEA" w:rsidRPr="00AD21FF" w:rsidRDefault="009C5CEA" w:rsidP="009C5CEA">
            <w:pPr>
              <w:spacing w:before="60" w:after="60"/>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31</w:t>
            </w:r>
          </w:p>
        </w:tc>
        <w:tc>
          <w:tcPr>
            <w:tcW w:w="351" w:type="pct"/>
            <w:vAlign w:val="center"/>
          </w:tcPr>
          <w:p w14:paraId="7DD263F5" w14:textId="77777777" w:rsidR="009C5CEA" w:rsidRPr="00AD21FF" w:rsidRDefault="009C5CEA" w:rsidP="009C5CEA">
            <w:pPr>
              <w:spacing w:before="60" w:after="60"/>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32</w:t>
            </w:r>
          </w:p>
        </w:tc>
        <w:tc>
          <w:tcPr>
            <w:tcW w:w="351" w:type="pct"/>
            <w:vAlign w:val="center"/>
          </w:tcPr>
          <w:p w14:paraId="0B51BA59" w14:textId="77777777" w:rsidR="009C5CEA" w:rsidRPr="00AD21FF" w:rsidRDefault="009C5CEA" w:rsidP="009C5CEA">
            <w:pPr>
              <w:spacing w:before="60" w:after="60"/>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33</w:t>
            </w:r>
          </w:p>
        </w:tc>
        <w:tc>
          <w:tcPr>
            <w:tcW w:w="351" w:type="pct"/>
            <w:vAlign w:val="center"/>
          </w:tcPr>
          <w:p w14:paraId="5966A40C" w14:textId="77777777" w:rsidR="009C5CEA" w:rsidRPr="00AD21FF" w:rsidRDefault="009C5CEA" w:rsidP="009C5CEA">
            <w:pPr>
              <w:spacing w:before="60" w:after="60"/>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34</w:t>
            </w:r>
          </w:p>
        </w:tc>
        <w:tc>
          <w:tcPr>
            <w:tcW w:w="364" w:type="pct"/>
            <w:vAlign w:val="center"/>
          </w:tcPr>
          <w:p w14:paraId="51B057A5" w14:textId="77777777" w:rsidR="009C5CEA" w:rsidRPr="00AD21FF" w:rsidRDefault="009C5CEA" w:rsidP="009C5CEA">
            <w:pPr>
              <w:spacing w:before="60" w:after="60"/>
              <w:jc w:val="center"/>
              <w:rPr>
                <w:noProof/>
                <w:sz w:val="20"/>
              </w:rPr>
            </w:pPr>
            <w:r w:rsidRPr="00AD21FF">
              <w:rPr>
                <w:noProof/>
                <w:sz w:val="20"/>
              </w:rPr>
              <w:t>Total</w:t>
            </w:r>
          </w:p>
        </w:tc>
      </w:tr>
      <w:tr w:rsidR="009C5CEA" w:rsidRPr="00AD21FF" w14:paraId="03D7C3EE" w14:textId="77777777" w:rsidTr="005E4441">
        <w:trPr>
          <w:cantSplit/>
        </w:trPr>
        <w:tc>
          <w:tcPr>
            <w:tcW w:w="781" w:type="pct"/>
          </w:tcPr>
          <w:p w14:paraId="494F74F2" w14:textId="77777777" w:rsidR="009C5CEA" w:rsidRPr="00AD21FF" w:rsidRDefault="009C5CEA" w:rsidP="009C5CEA">
            <w:pPr>
              <w:rPr>
                <w:noProof/>
              </w:rPr>
            </w:pPr>
            <w:r w:rsidRPr="00AD21FF">
              <w:rPr>
                <w:noProof/>
                <w:sz w:val="20"/>
              </w:rPr>
              <w:t>Specify the co-financing body</w:t>
            </w:r>
            <w:r w:rsidRPr="00AD21FF">
              <w:rPr>
                <w:i/>
                <w:noProof/>
                <w:sz w:val="20"/>
              </w:rPr>
              <w:t xml:space="preserve"> </w:t>
            </w:r>
          </w:p>
        </w:tc>
        <w:tc>
          <w:tcPr>
            <w:tcW w:w="351" w:type="pct"/>
            <w:vAlign w:val="center"/>
          </w:tcPr>
          <w:p w14:paraId="08465670" w14:textId="77777777" w:rsidR="009C5CEA" w:rsidRPr="00AD21FF" w:rsidRDefault="009C5CEA" w:rsidP="009C5CEA">
            <w:pPr>
              <w:spacing w:before="60" w:after="60"/>
              <w:jc w:val="center"/>
              <w:rPr>
                <w:noProof/>
                <w:sz w:val="20"/>
              </w:rPr>
            </w:pPr>
          </w:p>
        </w:tc>
        <w:tc>
          <w:tcPr>
            <w:tcW w:w="351" w:type="pct"/>
            <w:vAlign w:val="center"/>
          </w:tcPr>
          <w:p w14:paraId="0D6EB718" w14:textId="77777777" w:rsidR="009C5CEA" w:rsidRPr="00AD21FF" w:rsidRDefault="009C5CEA" w:rsidP="009C5CEA">
            <w:pPr>
              <w:spacing w:before="60" w:after="60"/>
              <w:jc w:val="center"/>
              <w:rPr>
                <w:noProof/>
                <w:sz w:val="20"/>
              </w:rPr>
            </w:pPr>
          </w:p>
        </w:tc>
        <w:tc>
          <w:tcPr>
            <w:tcW w:w="351" w:type="pct"/>
            <w:vAlign w:val="center"/>
          </w:tcPr>
          <w:p w14:paraId="6B72D43B" w14:textId="77777777" w:rsidR="009C5CEA" w:rsidRPr="00AD21FF" w:rsidRDefault="009C5CEA" w:rsidP="009C5CEA">
            <w:pPr>
              <w:spacing w:before="60" w:after="60"/>
              <w:jc w:val="center"/>
              <w:rPr>
                <w:noProof/>
                <w:sz w:val="20"/>
              </w:rPr>
            </w:pPr>
          </w:p>
        </w:tc>
        <w:tc>
          <w:tcPr>
            <w:tcW w:w="351" w:type="pct"/>
            <w:vAlign w:val="center"/>
          </w:tcPr>
          <w:p w14:paraId="2F44C456" w14:textId="77777777" w:rsidR="009C5CEA" w:rsidRPr="00AD21FF" w:rsidRDefault="009C5CEA" w:rsidP="009C5CEA">
            <w:pPr>
              <w:spacing w:before="60" w:after="60"/>
              <w:jc w:val="center"/>
              <w:rPr>
                <w:noProof/>
                <w:sz w:val="20"/>
              </w:rPr>
            </w:pPr>
          </w:p>
        </w:tc>
        <w:tc>
          <w:tcPr>
            <w:tcW w:w="351" w:type="pct"/>
          </w:tcPr>
          <w:p w14:paraId="7C2CD61B" w14:textId="77777777" w:rsidR="009C5CEA" w:rsidRPr="00AD21FF" w:rsidRDefault="009C5CEA" w:rsidP="009C5CEA">
            <w:pPr>
              <w:spacing w:before="60" w:after="60"/>
              <w:jc w:val="center"/>
              <w:rPr>
                <w:noProof/>
                <w:sz w:val="20"/>
              </w:rPr>
            </w:pPr>
          </w:p>
        </w:tc>
        <w:tc>
          <w:tcPr>
            <w:tcW w:w="351" w:type="pct"/>
          </w:tcPr>
          <w:p w14:paraId="5F1EB2DB" w14:textId="77777777" w:rsidR="009C5CEA" w:rsidRPr="00AD21FF" w:rsidRDefault="009C5CEA" w:rsidP="009C5CEA">
            <w:pPr>
              <w:spacing w:before="60" w:after="60"/>
              <w:jc w:val="center"/>
              <w:rPr>
                <w:noProof/>
                <w:sz w:val="20"/>
              </w:rPr>
            </w:pPr>
          </w:p>
        </w:tc>
        <w:tc>
          <w:tcPr>
            <w:tcW w:w="351" w:type="pct"/>
          </w:tcPr>
          <w:p w14:paraId="37C06EE0" w14:textId="77777777" w:rsidR="009C5CEA" w:rsidRPr="00AD21FF" w:rsidRDefault="009C5CEA" w:rsidP="009C5CEA">
            <w:pPr>
              <w:spacing w:before="60" w:after="60"/>
              <w:jc w:val="center"/>
              <w:rPr>
                <w:noProof/>
                <w:sz w:val="20"/>
              </w:rPr>
            </w:pPr>
          </w:p>
        </w:tc>
        <w:tc>
          <w:tcPr>
            <w:tcW w:w="351" w:type="pct"/>
          </w:tcPr>
          <w:p w14:paraId="6C6A4FC1" w14:textId="77777777" w:rsidR="009C5CEA" w:rsidRPr="00AD21FF" w:rsidRDefault="009C5CEA" w:rsidP="009C5CEA">
            <w:pPr>
              <w:spacing w:before="60" w:after="60"/>
              <w:jc w:val="center"/>
              <w:rPr>
                <w:noProof/>
                <w:sz w:val="20"/>
              </w:rPr>
            </w:pPr>
          </w:p>
        </w:tc>
        <w:tc>
          <w:tcPr>
            <w:tcW w:w="351" w:type="pct"/>
          </w:tcPr>
          <w:p w14:paraId="45828AC9" w14:textId="77777777" w:rsidR="009C5CEA" w:rsidRPr="00AD21FF" w:rsidRDefault="009C5CEA" w:rsidP="009C5CEA">
            <w:pPr>
              <w:spacing w:before="60" w:after="60"/>
              <w:jc w:val="center"/>
              <w:rPr>
                <w:noProof/>
                <w:sz w:val="20"/>
              </w:rPr>
            </w:pPr>
          </w:p>
        </w:tc>
        <w:tc>
          <w:tcPr>
            <w:tcW w:w="351" w:type="pct"/>
          </w:tcPr>
          <w:p w14:paraId="3C131B9C" w14:textId="77777777" w:rsidR="009C5CEA" w:rsidRPr="00AD21FF" w:rsidRDefault="009C5CEA" w:rsidP="009C5CEA">
            <w:pPr>
              <w:spacing w:before="60" w:after="60"/>
              <w:jc w:val="center"/>
              <w:rPr>
                <w:noProof/>
                <w:sz w:val="20"/>
              </w:rPr>
            </w:pPr>
          </w:p>
        </w:tc>
        <w:tc>
          <w:tcPr>
            <w:tcW w:w="351" w:type="pct"/>
          </w:tcPr>
          <w:p w14:paraId="4416FA4D" w14:textId="77777777" w:rsidR="009C5CEA" w:rsidRPr="00AD21FF" w:rsidRDefault="009C5CEA" w:rsidP="009C5CEA">
            <w:pPr>
              <w:spacing w:before="60" w:after="60"/>
              <w:jc w:val="center"/>
              <w:rPr>
                <w:noProof/>
                <w:sz w:val="20"/>
              </w:rPr>
            </w:pPr>
          </w:p>
        </w:tc>
        <w:tc>
          <w:tcPr>
            <w:tcW w:w="364" w:type="pct"/>
            <w:vAlign w:val="center"/>
          </w:tcPr>
          <w:p w14:paraId="408D3284" w14:textId="77777777" w:rsidR="009C5CEA" w:rsidRPr="00AD21FF" w:rsidRDefault="009C5CEA" w:rsidP="009C5CEA">
            <w:pPr>
              <w:spacing w:before="60" w:after="60"/>
              <w:jc w:val="center"/>
              <w:rPr>
                <w:noProof/>
                <w:sz w:val="20"/>
              </w:rPr>
            </w:pPr>
          </w:p>
        </w:tc>
      </w:tr>
      <w:tr w:rsidR="009C5CEA" w:rsidRPr="00AD21FF" w14:paraId="14CBEF00" w14:textId="77777777" w:rsidTr="005E4441">
        <w:trPr>
          <w:cantSplit/>
        </w:trPr>
        <w:tc>
          <w:tcPr>
            <w:tcW w:w="781" w:type="pct"/>
          </w:tcPr>
          <w:p w14:paraId="07842A00" w14:textId="77777777" w:rsidR="009C5CEA" w:rsidRPr="00AD21FF" w:rsidRDefault="009C5CEA" w:rsidP="009C5CEA">
            <w:pPr>
              <w:spacing w:before="60" w:after="60"/>
              <w:jc w:val="left"/>
              <w:rPr>
                <w:noProof/>
                <w:sz w:val="20"/>
              </w:rPr>
            </w:pPr>
            <w:r w:rsidRPr="00AD21FF">
              <w:rPr>
                <w:noProof/>
                <w:sz w:val="20"/>
              </w:rPr>
              <w:t xml:space="preserve">TOTAL appropriations co-financed </w:t>
            </w:r>
          </w:p>
        </w:tc>
        <w:tc>
          <w:tcPr>
            <w:tcW w:w="351" w:type="pct"/>
            <w:vAlign w:val="center"/>
          </w:tcPr>
          <w:p w14:paraId="744BFFBD" w14:textId="77777777" w:rsidR="009C5CEA" w:rsidRPr="00AD21FF" w:rsidRDefault="009C5CEA" w:rsidP="009C5CEA">
            <w:pPr>
              <w:spacing w:before="60" w:after="60"/>
              <w:jc w:val="center"/>
              <w:rPr>
                <w:noProof/>
                <w:sz w:val="20"/>
              </w:rPr>
            </w:pPr>
          </w:p>
        </w:tc>
        <w:tc>
          <w:tcPr>
            <w:tcW w:w="351" w:type="pct"/>
            <w:vAlign w:val="center"/>
          </w:tcPr>
          <w:p w14:paraId="229EE947" w14:textId="77777777" w:rsidR="009C5CEA" w:rsidRPr="00AD21FF" w:rsidRDefault="009C5CEA" w:rsidP="009C5CEA">
            <w:pPr>
              <w:spacing w:before="60" w:after="60"/>
              <w:jc w:val="center"/>
              <w:rPr>
                <w:noProof/>
                <w:sz w:val="20"/>
              </w:rPr>
            </w:pPr>
          </w:p>
        </w:tc>
        <w:tc>
          <w:tcPr>
            <w:tcW w:w="351" w:type="pct"/>
            <w:vAlign w:val="center"/>
          </w:tcPr>
          <w:p w14:paraId="456806C2" w14:textId="77777777" w:rsidR="009C5CEA" w:rsidRPr="00AD21FF" w:rsidRDefault="009C5CEA" w:rsidP="009C5CEA">
            <w:pPr>
              <w:spacing w:before="60" w:after="60"/>
              <w:jc w:val="center"/>
              <w:rPr>
                <w:noProof/>
                <w:sz w:val="20"/>
              </w:rPr>
            </w:pPr>
          </w:p>
        </w:tc>
        <w:tc>
          <w:tcPr>
            <w:tcW w:w="351" w:type="pct"/>
            <w:vAlign w:val="center"/>
          </w:tcPr>
          <w:p w14:paraId="42D822A2" w14:textId="77777777" w:rsidR="009C5CEA" w:rsidRPr="00AD21FF" w:rsidRDefault="009C5CEA" w:rsidP="009C5CEA">
            <w:pPr>
              <w:spacing w:before="60" w:after="60"/>
              <w:jc w:val="center"/>
              <w:rPr>
                <w:noProof/>
                <w:sz w:val="20"/>
              </w:rPr>
            </w:pPr>
          </w:p>
        </w:tc>
        <w:tc>
          <w:tcPr>
            <w:tcW w:w="351" w:type="pct"/>
          </w:tcPr>
          <w:p w14:paraId="78B578BD" w14:textId="77777777" w:rsidR="009C5CEA" w:rsidRPr="00AD21FF" w:rsidRDefault="009C5CEA" w:rsidP="009C5CEA">
            <w:pPr>
              <w:spacing w:before="60" w:after="60"/>
              <w:jc w:val="center"/>
              <w:rPr>
                <w:noProof/>
                <w:sz w:val="20"/>
              </w:rPr>
            </w:pPr>
          </w:p>
        </w:tc>
        <w:tc>
          <w:tcPr>
            <w:tcW w:w="351" w:type="pct"/>
          </w:tcPr>
          <w:p w14:paraId="64E5ED55" w14:textId="77777777" w:rsidR="009C5CEA" w:rsidRPr="00AD21FF" w:rsidRDefault="009C5CEA" w:rsidP="009C5CEA">
            <w:pPr>
              <w:spacing w:before="60" w:after="60"/>
              <w:jc w:val="center"/>
              <w:rPr>
                <w:noProof/>
                <w:sz w:val="20"/>
              </w:rPr>
            </w:pPr>
          </w:p>
        </w:tc>
        <w:tc>
          <w:tcPr>
            <w:tcW w:w="351" w:type="pct"/>
          </w:tcPr>
          <w:p w14:paraId="63CECDB0" w14:textId="77777777" w:rsidR="009C5CEA" w:rsidRPr="00AD21FF" w:rsidRDefault="009C5CEA" w:rsidP="009C5CEA">
            <w:pPr>
              <w:spacing w:before="60" w:after="60"/>
              <w:jc w:val="center"/>
              <w:rPr>
                <w:noProof/>
                <w:sz w:val="20"/>
              </w:rPr>
            </w:pPr>
          </w:p>
        </w:tc>
        <w:tc>
          <w:tcPr>
            <w:tcW w:w="351" w:type="pct"/>
          </w:tcPr>
          <w:p w14:paraId="0FB5C3CA" w14:textId="77777777" w:rsidR="009C5CEA" w:rsidRPr="00AD21FF" w:rsidRDefault="009C5CEA" w:rsidP="009C5CEA">
            <w:pPr>
              <w:spacing w:before="60" w:after="60"/>
              <w:jc w:val="center"/>
              <w:rPr>
                <w:noProof/>
                <w:sz w:val="20"/>
              </w:rPr>
            </w:pPr>
          </w:p>
        </w:tc>
        <w:tc>
          <w:tcPr>
            <w:tcW w:w="351" w:type="pct"/>
          </w:tcPr>
          <w:p w14:paraId="4B24D09C" w14:textId="77777777" w:rsidR="009C5CEA" w:rsidRPr="00AD21FF" w:rsidRDefault="009C5CEA" w:rsidP="009C5CEA">
            <w:pPr>
              <w:spacing w:before="60" w:after="60"/>
              <w:jc w:val="center"/>
              <w:rPr>
                <w:noProof/>
                <w:sz w:val="20"/>
              </w:rPr>
            </w:pPr>
          </w:p>
        </w:tc>
        <w:tc>
          <w:tcPr>
            <w:tcW w:w="351" w:type="pct"/>
          </w:tcPr>
          <w:p w14:paraId="5E63BB4D" w14:textId="77777777" w:rsidR="009C5CEA" w:rsidRPr="00AD21FF" w:rsidRDefault="009C5CEA" w:rsidP="009C5CEA">
            <w:pPr>
              <w:spacing w:before="60" w:after="60"/>
              <w:jc w:val="center"/>
              <w:rPr>
                <w:noProof/>
                <w:sz w:val="20"/>
              </w:rPr>
            </w:pPr>
          </w:p>
        </w:tc>
        <w:tc>
          <w:tcPr>
            <w:tcW w:w="351" w:type="pct"/>
          </w:tcPr>
          <w:p w14:paraId="33154F84" w14:textId="77777777" w:rsidR="009C5CEA" w:rsidRPr="00AD21FF" w:rsidRDefault="009C5CEA" w:rsidP="009C5CEA">
            <w:pPr>
              <w:spacing w:before="60" w:after="60"/>
              <w:jc w:val="center"/>
              <w:rPr>
                <w:noProof/>
                <w:sz w:val="20"/>
              </w:rPr>
            </w:pPr>
          </w:p>
        </w:tc>
        <w:tc>
          <w:tcPr>
            <w:tcW w:w="364" w:type="pct"/>
            <w:vAlign w:val="center"/>
          </w:tcPr>
          <w:p w14:paraId="53984CEC" w14:textId="77777777" w:rsidR="009C5CEA" w:rsidRPr="00AD21FF" w:rsidRDefault="009C5CEA" w:rsidP="009C5CEA">
            <w:pPr>
              <w:spacing w:before="60" w:after="60"/>
              <w:jc w:val="center"/>
              <w:rPr>
                <w:noProof/>
                <w:sz w:val="20"/>
              </w:rPr>
            </w:pPr>
          </w:p>
        </w:tc>
      </w:tr>
    </w:tbl>
    <w:p w14:paraId="6E9C90BD" w14:textId="77777777" w:rsidR="00CA7C31" w:rsidRPr="00AD21FF" w:rsidRDefault="00CA7C31" w:rsidP="00CA7C31">
      <w:pPr>
        <w:outlineLvl w:val="1"/>
        <w:rPr>
          <w:noProof/>
          <w:szCs w:val="24"/>
        </w:rPr>
      </w:pPr>
      <w:r w:rsidRPr="00AD21FF">
        <w:rPr>
          <w:noProof/>
        </w:rPr>
        <w:br/>
      </w:r>
      <w:bookmarkStart w:id="14" w:name="_Hlk166860179"/>
      <w:r w:rsidRPr="00AD21FF">
        <w:rPr>
          <w:noProof/>
        </w:rPr>
        <w:t>3.3.</w:t>
      </w:r>
      <w:r w:rsidRPr="00AD21FF">
        <w:rPr>
          <w:noProof/>
        </w:rPr>
        <w:tab/>
        <w:t xml:space="preserve">Estimated impact on revenue </w:t>
      </w:r>
    </w:p>
    <w:bookmarkEnd w:id="14"/>
    <w:p w14:paraId="07699647"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The proposal/initiative has no financial impact on revenue.</w:t>
      </w:r>
    </w:p>
    <w:p w14:paraId="78B6DFC1" w14:textId="77777777" w:rsidR="00CA7C31" w:rsidRPr="00AD21FF" w:rsidRDefault="00CA7C31" w:rsidP="00CA7C31">
      <w:pPr>
        <w:pStyle w:val="ListDash1"/>
        <w:ind w:left="1134" w:hanging="283"/>
        <w:rPr>
          <w:noProof/>
        </w:rPr>
      </w:pPr>
      <w:r w:rsidRPr="00AD21FF">
        <w:rPr>
          <w:rFonts w:ascii="Wingdings" w:eastAsia="Wingdings" w:hAnsi="Wingdings" w:cs="Wingdings"/>
          <w:noProof/>
        </w:rPr>
        <w:t></w:t>
      </w:r>
      <w:r w:rsidRPr="00AD21FF">
        <w:rPr>
          <w:noProof/>
        </w:rPr>
        <w:tab/>
        <w:t>The proposal/initiative has the following financial impact:</w:t>
      </w:r>
    </w:p>
    <w:p w14:paraId="1AB2F7A3" w14:textId="77777777" w:rsidR="00CA7C31" w:rsidRPr="00AD21FF" w:rsidRDefault="00CA7C31" w:rsidP="00CA7C31">
      <w:pPr>
        <w:pStyle w:val="ListNumberLevel3"/>
        <w:tabs>
          <w:tab w:val="num" w:pos="2126"/>
        </w:tabs>
        <w:ind w:left="2126" w:hanging="709"/>
        <w:rPr>
          <w:noProof/>
        </w:rPr>
      </w:pPr>
      <w:r w:rsidRPr="00AD21FF">
        <w:rPr>
          <w:rFonts w:ascii="Wingdings" w:eastAsia="Wingdings" w:hAnsi="Wingdings" w:cs="Wingdings"/>
          <w:noProof/>
        </w:rPr>
        <w:t></w:t>
      </w:r>
      <w:r w:rsidRPr="00AD21FF">
        <w:rPr>
          <w:noProof/>
        </w:rPr>
        <w:tab/>
        <w:t xml:space="preserve">on own resources </w:t>
      </w:r>
    </w:p>
    <w:p w14:paraId="5ED2D9E4" w14:textId="77777777" w:rsidR="00CA7C31" w:rsidRPr="00AD21FF" w:rsidRDefault="00CA7C31" w:rsidP="00CA7C31">
      <w:pPr>
        <w:pStyle w:val="ListNumberLevel3"/>
        <w:tabs>
          <w:tab w:val="num" w:pos="2126"/>
        </w:tabs>
        <w:ind w:left="2126" w:hanging="709"/>
        <w:rPr>
          <w:noProof/>
        </w:rPr>
      </w:pPr>
      <w:r w:rsidRPr="00AD21FF">
        <w:rPr>
          <w:rFonts w:ascii="Wingdings" w:eastAsia="Wingdings" w:hAnsi="Wingdings" w:cs="Wingdings"/>
          <w:noProof/>
        </w:rPr>
        <w:t></w:t>
      </w:r>
      <w:r w:rsidRPr="00AD21FF">
        <w:rPr>
          <w:noProof/>
        </w:rPr>
        <w:tab/>
        <w:t>on other revenue</w:t>
      </w:r>
    </w:p>
    <w:p w14:paraId="59FDEA13" w14:textId="77777777" w:rsidR="00CA7C31" w:rsidRPr="00AD21FF" w:rsidRDefault="00CA7C31" w:rsidP="00CA7C31">
      <w:pPr>
        <w:pStyle w:val="ListNumberLevel3"/>
        <w:tabs>
          <w:tab w:val="num" w:pos="2126"/>
        </w:tabs>
        <w:ind w:left="2126" w:hanging="709"/>
        <w:rPr>
          <w:noProof/>
        </w:rPr>
      </w:pPr>
      <w:r w:rsidRPr="00AD21FF">
        <w:rPr>
          <w:rFonts w:ascii="Wingdings" w:eastAsia="Wingdings" w:hAnsi="Wingdings" w:cs="Wingdings"/>
          <w:noProof/>
        </w:rPr>
        <w:t></w:t>
      </w:r>
      <w:r w:rsidRPr="00AD21FF">
        <w:rPr>
          <w:rFonts w:ascii="Wingdings" w:eastAsia="Wingdings" w:hAnsi="Wingdings" w:cs="Wingdings"/>
          <w:noProof/>
        </w:rPr>
        <w:tab/>
      </w:r>
      <w:r w:rsidRPr="00AD21FF">
        <w:rPr>
          <w:noProof/>
        </w:rPr>
        <w:t>please indicate, if the revenue is assigned to expenditure lines</w:t>
      </w:r>
    </w:p>
    <w:p w14:paraId="7D09CA78" w14:textId="77777777" w:rsidR="00CA7C31" w:rsidRPr="00AD21FF" w:rsidRDefault="00CA7C31" w:rsidP="00CA7C31">
      <w:pPr>
        <w:jc w:val="right"/>
        <w:rPr>
          <w:noProof/>
          <w:sz w:val="20"/>
        </w:rPr>
      </w:pPr>
      <w:r w:rsidRPr="00AD21FF">
        <w:rPr>
          <w:noProof/>
          <w:sz w:val="20"/>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2"/>
        <w:gridCol w:w="1361"/>
        <w:gridCol w:w="600"/>
        <w:gridCol w:w="600"/>
        <w:gridCol w:w="600"/>
        <w:gridCol w:w="600"/>
        <w:gridCol w:w="643"/>
        <w:gridCol w:w="643"/>
        <w:gridCol w:w="643"/>
        <w:gridCol w:w="643"/>
        <w:gridCol w:w="643"/>
        <w:gridCol w:w="643"/>
        <w:gridCol w:w="646"/>
      </w:tblGrid>
      <w:tr w:rsidR="00C76B8F" w:rsidRPr="00AD21FF" w14:paraId="65F028B1" w14:textId="77777777" w:rsidTr="005E4441">
        <w:trPr>
          <w:trHeight w:val="388"/>
        </w:trPr>
        <w:tc>
          <w:tcPr>
            <w:tcW w:w="551" w:type="pct"/>
            <w:vAlign w:val="center"/>
          </w:tcPr>
          <w:p w14:paraId="7BA94930" w14:textId="77777777" w:rsidR="00C76B8F" w:rsidRPr="00AD21FF" w:rsidRDefault="00C76B8F">
            <w:pPr>
              <w:spacing w:before="40" w:after="40"/>
              <w:rPr>
                <w:noProof/>
                <w:sz w:val="18"/>
              </w:rPr>
            </w:pPr>
            <w:r w:rsidRPr="00AD21FF">
              <w:rPr>
                <w:noProof/>
                <w:sz w:val="18"/>
              </w:rPr>
              <w:t>Budget revenue line:</w:t>
            </w:r>
          </w:p>
        </w:tc>
        <w:tc>
          <w:tcPr>
            <w:tcW w:w="733" w:type="pct"/>
            <w:vAlign w:val="center"/>
          </w:tcPr>
          <w:p w14:paraId="2869B059" w14:textId="77777777" w:rsidR="00C76B8F" w:rsidRPr="00AD21FF" w:rsidRDefault="00C76B8F">
            <w:pPr>
              <w:jc w:val="center"/>
              <w:rPr>
                <w:noProof/>
                <w:sz w:val="18"/>
              </w:rPr>
            </w:pPr>
            <w:r w:rsidRPr="00AD21FF">
              <w:rPr>
                <w:noProof/>
                <w:sz w:val="18"/>
              </w:rPr>
              <w:t>Appropriations available for the current financial year</w:t>
            </w:r>
          </w:p>
        </w:tc>
        <w:tc>
          <w:tcPr>
            <w:tcW w:w="3716" w:type="pct"/>
            <w:gridSpan w:val="11"/>
            <w:vAlign w:val="center"/>
          </w:tcPr>
          <w:p w14:paraId="799F0E2F" w14:textId="77777777" w:rsidR="00C76B8F" w:rsidRPr="00AD21FF" w:rsidRDefault="00C76B8F">
            <w:pPr>
              <w:jc w:val="center"/>
              <w:rPr>
                <w:noProof/>
                <w:sz w:val="18"/>
                <w:szCs w:val="18"/>
              </w:rPr>
            </w:pPr>
            <w:r w:rsidRPr="00AD21FF">
              <w:rPr>
                <w:noProof/>
                <w:sz w:val="18"/>
                <w:szCs w:val="18"/>
              </w:rPr>
              <w:t>Impact of the proposal/initiative</w:t>
            </w:r>
            <w:r w:rsidRPr="00AD21FF">
              <w:rPr>
                <w:rStyle w:val="FootnoteReference"/>
                <w:noProof/>
                <w:sz w:val="18"/>
                <w:szCs w:val="18"/>
              </w:rPr>
              <w:footnoteReference w:id="86"/>
            </w:r>
          </w:p>
        </w:tc>
      </w:tr>
      <w:tr w:rsidR="00C76B8F" w:rsidRPr="00AD21FF" w14:paraId="07B04C44" w14:textId="77777777" w:rsidTr="005E4441">
        <w:trPr>
          <w:trHeight w:val="388"/>
        </w:trPr>
        <w:tc>
          <w:tcPr>
            <w:tcW w:w="551" w:type="pct"/>
          </w:tcPr>
          <w:p w14:paraId="495605D0" w14:textId="77777777" w:rsidR="00C76B8F" w:rsidRPr="00AD21FF" w:rsidRDefault="00C76B8F" w:rsidP="00C76B8F">
            <w:pPr>
              <w:spacing w:before="40" w:after="40"/>
              <w:rPr>
                <w:noProof/>
                <w:sz w:val="18"/>
              </w:rPr>
            </w:pPr>
          </w:p>
        </w:tc>
        <w:tc>
          <w:tcPr>
            <w:tcW w:w="733" w:type="pct"/>
          </w:tcPr>
          <w:p w14:paraId="0429CB8A" w14:textId="77777777" w:rsidR="00C76B8F" w:rsidRPr="00AD21FF" w:rsidRDefault="00C76B8F" w:rsidP="00C76B8F">
            <w:pPr>
              <w:spacing w:beforeLines="40" w:before="96" w:afterLines="40" w:after="96"/>
              <w:rPr>
                <w:i/>
                <w:noProof/>
                <w:sz w:val="18"/>
              </w:rPr>
            </w:pPr>
          </w:p>
        </w:tc>
        <w:tc>
          <w:tcPr>
            <w:tcW w:w="323" w:type="pct"/>
            <w:vAlign w:val="center"/>
          </w:tcPr>
          <w:p w14:paraId="527231D7" w14:textId="77777777" w:rsidR="00C76B8F" w:rsidRPr="00AD21FF" w:rsidRDefault="00C76B8F" w:rsidP="00C76B8F">
            <w:pPr>
              <w:jc w:val="center"/>
              <w:rPr>
                <w:noProof/>
                <w:sz w:val="18"/>
              </w:rPr>
            </w:pPr>
            <w:r w:rsidRPr="00AD21FF">
              <w:rPr>
                <w:noProof/>
                <w:sz w:val="18"/>
              </w:rPr>
              <w:t xml:space="preserve">Year </w:t>
            </w:r>
            <w:r w:rsidRPr="00AD21FF">
              <w:rPr>
                <w:b/>
                <w:noProof/>
                <w:sz w:val="18"/>
              </w:rPr>
              <w:t>2024</w:t>
            </w:r>
          </w:p>
        </w:tc>
        <w:tc>
          <w:tcPr>
            <w:tcW w:w="323" w:type="pct"/>
            <w:vAlign w:val="center"/>
          </w:tcPr>
          <w:p w14:paraId="01EEF49A" w14:textId="77777777" w:rsidR="00C76B8F" w:rsidRPr="00AD21FF" w:rsidRDefault="00C76B8F" w:rsidP="00C76B8F">
            <w:pPr>
              <w:jc w:val="center"/>
              <w:rPr>
                <w:noProof/>
                <w:sz w:val="18"/>
              </w:rPr>
            </w:pPr>
            <w:r w:rsidRPr="00AD21FF">
              <w:rPr>
                <w:noProof/>
                <w:sz w:val="18"/>
              </w:rPr>
              <w:t xml:space="preserve">Year </w:t>
            </w:r>
            <w:r w:rsidRPr="00AD21FF">
              <w:rPr>
                <w:b/>
                <w:noProof/>
                <w:sz w:val="18"/>
              </w:rPr>
              <w:t>2025</w:t>
            </w:r>
          </w:p>
        </w:tc>
        <w:tc>
          <w:tcPr>
            <w:tcW w:w="323" w:type="pct"/>
            <w:vAlign w:val="center"/>
          </w:tcPr>
          <w:p w14:paraId="472A7636" w14:textId="77777777" w:rsidR="00C76B8F" w:rsidRPr="00AD21FF" w:rsidRDefault="00C76B8F" w:rsidP="00C76B8F">
            <w:pPr>
              <w:jc w:val="center"/>
              <w:rPr>
                <w:noProof/>
                <w:sz w:val="18"/>
              </w:rPr>
            </w:pPr>
            <w:r w:rsidRPr="00AD21FF">
              <w:rPr>
                <w:noProof/>
                <w:sz w:val="18"/>
              </w:rPr>
              <w:t xml:space="preserve">Year </w:t>
            </w:r>
            <w:r w:rsidRPr="00AD21FF">
              <w:rPr>
                <w:b/>
                <w:noProof/>
                <w:sz w:val="18"/>
              </w:rPr>
              <w:t>2026</w:t>
            </w:r>
          </w:p>
        </w:tc>
        <w:tc>
          <w:tcPr>
            <w:tcW w:w="323" w:type="pct"/>
            <w:vAlign w:val="center"/>
          </w:tcPr>
          <w:p w14:paraId="4305CD49" w14:textId="77777777" w:rsidR="00C76B8F" w:rsidRPr="00AD21FF" w:rsidRDefault="00C76B8F" w:rsidP="00C76B8F">
            <w:pPr>
              <w:jc w:val="center"/>
              <w:rPr>
                <w:noProof/>
                <w:sz w:val="18"/>
              </w:rPr>
            </w:pPr>
            <w:r w:rsidRPr="00AD21FF">
              <w:rPr>
                <w:noProof/>
                <w:sz w:val="18"/>
              </w:rPr>
              <w:t xml:space="preserve">Year </w:t>
            </w:r>
            <w:r w:rsidRPr="00AD21FF">
              <w:rPr>
                <w:b/>
                <w:noProof/>
                <w:sz w:val="18"/>
              </w:rPr>
              <w:t>2027</w:t>
            </w:r>
          </w:p>
        </w:tc>
        <w:tc>
          <w:tcPr>
            <w:tcW w:w="346" w:type="pct"/>
            <w:vAlign w:val="center"/>
          </w:tcPr>
          <w:p w14:paraId="50A147EE" w14:textId="77777777" w:rsidR="00C76B8F" w:rsidRPr="00AD21FF" w:rsidRDefault="00C76B8F" w:rsidP="00C76B8F">
            <w:pPr>
              <w:jc w:val="center"/>
              <w:rPr>
                <w:noProof/>
                <w:sz w:val="20"/>
              </w:rPr>
            </w:pPr>
            <w:r w:rsidRPr="00AD21FF">
              <w:rPr>
                <w:noProof/>
                <w:sz w:val="20"/>
              </w:rPr>
              <w:t xml:space="preserve">Year </w:t>
            </w:r>
            <w:r w:rsidRPr="00AD21FF">
              <w:rPr>
                <w:noProof/>
                <w:sz w:val="22"/>
              </w:rPr>
              <w:br/>
            </w:r>
            <w:r w:rsidRPr="00AD21FF">
              <w:rPr>
                <w:b/>
                <w:noProof/>
                <w:sz w:val="20"/>
              </w:rPr>
              <w:t>202</w:t>
            </w:r>
            <w:r>
              <w:rPr>
                <w:b/>
                <w:noProof/>
                <w:sz w:val="20"/>
              </w:rPr>
              <w:t>8</w:t>
            </w:r>
          </w:p>
        </w:tc>
        <w:tc>
          <w:tcPr>
            <w:tcW w:w="346" w:type="pct"/>
            <w:vAlign w:val="center"/>
          </w:tcPr>
          <w:p w14:paraId="56514A34" w14:textId="77777777" w:rsidR="00C76B8F" w:rsidRPr="00AD21FF" w:rsidRDefault="00C76B8F" w:rsidP="00C76B8F">
            <w:pPr>
              <w:jc w:val="center"/>
              <w:rPr>
                <w:noProof/>
                <w:sz w:val="20"/>
              </w:rPr>
            </w:pPr>
            <w:r w:rsidRPr="00AD21FF">
              <w:rPr>
                <w:noProof/>
                <w:sz w:val="20"/>
              </w:rPr>
              <w:t xml:space="preserve">Year </w:t>
            </w:r>
            <w:r w:rsidRPr="00AD21FF">
              <w:rPr>
                <w:noProof/>
                <w:sz w:val="22"/>
              </w:rPr>
              <w:br/>
            </w:r>
            <w:r w:rsidRPr="00AD21FF">
              <w:rPr>
                <w:b/>
                <w:noProof/>
                <w:sz w:val="20"/>
              </w:rPr>
              <w:t>202</w:t>
            </w:r>
            <w:r>
              <w:rPr>
                <w:b/>
                <w:noProof/>
                <w:sz w:val="20"/>
              </w:rPr>
              <w:t>9</w:t>
            </w:r>
          </w:p>
        </w:tc>
        <w:tc>
          <w:tcPr>
            <w:tcW w:w="346" w:type="pct"/>
            <w:vAlign w:val="center"/>
          </w:tcPr>
          <w:p w14:paraId="07989771" w14:textId="77777777" w:rsidR="00C76B8F" w:rsidRPr="00AD21FF" w:rsidRDefault="00C76B8F" w:rsidP="00C76B8F">
            <w:pPr>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30</w:t>
            </w:r>
          </w:p>
        </w:tc>
        <w:tc>
          <w:tcPr>
            <w:tcW w:w="346" w:type="pct"/>
            <w:vAlign w:val="center"/>
          </w:tcPr>
          <w:p w14:paraId="03F688C5" w14:textId="77777777" w:rsidR="00C76B8F" w:rsidRPr="00AD21FF" w:rsidRDefault="00C76B8F" w:rsidP="00C76B8F">
            <w:pPr>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31</w:t>
            </w:r>
          </w:p>
        </w:tc>
        <w:tc>
          <w:tcPr>
            <w:tcW w:w="346" w:type="pct"/>
            <w:vAlign w:val="center"/>
          </w:tcPr>
          <w:p w14:paraId="23E9A251" w14:textId="77777777" w:rsidR="00C76B8F" w:rsidRPr="00AD21FF" w:rsidRDefault="00C76B8F" w:rsidP="00C76B8F">
            <w:pPr>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32</w:t>
            </w:r>
          </w:p>
        </w:tc>
        <w:tc>
          <w:tcPr>
            <w:tcW w:w="346" w:type="pct"/>
            <w:vAlign w:val="center"/>
          </w:tcPr>
          <w:p w14:paraId="5504D278" w14:textId="77777777" w:rsidR="00C76B8F" w:rsidRPr="00AD21FF" w:rsidRDefault="00C76B8F" w:rsidP="00C76B8F">
            <w:pPr>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33</w:t>
            </w:r>
          </w:p>
        </w:tc>
        <w:tc>
          <w:tcPr>
            <w:tcW w:w="346" w:type="pct"/>
            <w:vAlign w:val="center"/>
          </w:tcPr>
          <w:p w14:paraId="350B25A7" w14:textId="77777777" w:rsidR="00C76B8F" w:rsidRPr="00AD21FF" w:rsidRDefault="00C76B8F" w:rsidP="00C76B8F">
            <w:pPr>
              <w:jc w:val="center"/>
              <w:rPr>
                <w:noProof/>
                <w:sz w:val="20"/>
              </w:rPr>
            </w:pPr>
            <w:r w:rsidRPr="00AD21FF">
              <w:rPr>
                <w:noProof/>
                <w:sz w:val="20"/>
              </w:rPr>
              <w:t xml:space="preserve">Year </w:t>
            </w:r>
            <w:r w:rsidRPr="00AD21FF">
              <w:rPr>
                <w:noProof/>
                <w:sz w:val="22"/>
              </w:rPr>
              <w:br/>
            </w:r>
            <w:r w:rsidRPr="00AD21FF">
              <w:rPr>
                <w:b/>
                <w:noProof/>
                <w:sz w:val="20"/>
              </w:rPr>
              <w:t>20</w:t>
            </w:r>
            <w:r>
              <w:rPr>
                <w:b/>
                <w:noProof/>
                <w:sz w:val="20"/>
              </w:rPr>
              <w:t>34</w:t>
            </w:r>
          </w:p>
        </w:tc>
      </w:tr>
      <w:tr w:rsidR="00C76B8F" w:rsidRPr="00AD21FF" w14:paraId="03A47EC5" w14:textId="77777777" w:rsidTr="005E4441">
        <w:trPr>
          <w:trHeight w:val="388"/>
        </w:trPr>
        <w:tc>
          <w:tcPr>
            <w:tcW w:w="551" w:type="pct"/>
            <w:vAlign w:val="center"/>
          </w:tcPr>
          <w:p w14:paraId="116A82F4" w14:textId="77777777" w:rsidR="00C76B8F" w:rsidRPr="00AD21FF" w:rsidRDefault="00C76B8F" w:rsidP="00C76B8F">
            <w:pPr>
              <w:spacing w:before="40" w:after="40"/>
              <w:rPr>
                <w:noProof/>
                <w:sz w:val="18"/>
              </w:rPr>
            </w:pPr>
            <w:r w:rsidRPr="00AD21FF">
              <w:rPr>
                <w:noProof/>
                <w:sz w:val="18"/>
              </w:rPr>
              <w:t>Article ………….</w:t>
            </w:r>
          </w:p>
        </w:tc>
        <w:tc>
          <w:tcPr>
            <w:tcW w:w="733" w:type="pct"/>
          </w:tcPr>
          <w:p w14:paraId="3E2E9199" w14:textId="77777777" w:rsidR="00C76B8F" w:rsidRPr="00AD21FF" w:rsidRDefault="00C76B8F" w:rsidP="00C76B8F">
            <w:pPr>
              <w:spacing w:beforeLines="40" w:before="96" w:afterLines="40" w:after="96"/>
              <w:jc w:val="center"/>
              <w:rPr>
                <w:i/>
                <w:noProof/>
                <w:sz w:val="18"/>
              </w:rPr>
            </w:pPr>
          </w:p>
        </w:tc>
        <w:tc>
          <w:tcPr>
            <w:tcW w:w="323" w:type="pct"/>
          </w:tcPr>
          <w:p w14:paraId="1B9474F3" w14:textId="77777777" w:rsidR="00C76B8F" w:rsidRPr="00AD21FF" w:rsidRDefault="00C76B8F" w:rsidP="00C76B8F">
            <w:pPr>
              <w:spacing w:beforeLines="40" w:before="96" w:afterLines="40" w:after="96"/>
              <w:jc w:val="center"/>
              <w:rPr>
                <w:noProof/>
                <w:sz w:val="18"/>
              </w:rPr>
            </w:pPr>
          </w:p>
        </w:tc>
        <w:tc>
          <w:tcPr>
            <w:tcW w:w="323" w:type="pct"/>
          </w:tcPr>
          <w:p w14:paraId="29574401" w14:textId="77777777" w:rsidR="00C76B8F" w:rsidRPr="00AD21FF" w:rsidRDefault="00C76B8F" w:rsidP="00C76B8F">
            <w:pPr>
              <w:spacing w:beforeLines="40" w:before="96" w:afterLines="40" w:after="96"/>
              <w:jc w:val="center"/>
              <w:rPr>
                <w:noProof/>
                <w:sz w:val="18"/>
              </w:rPr>
            </w:pPr>
          </w:p>
        </w:tc>
        <w:tc>
          <w:tcPr>
            <w:tcW w:w="323" w:type="pct"/>
          </w:tcPr>
          <w:p w14:paraId="13D896E9" w14:textId="77777777" w:rsidR="00C76B8F" w:rsidRPr="00AD21FF" w:rsidRDefault="00C76B8F" w:rsidP="00C76B8F">
            <w:pPr>
              <w:spacing w:beforeLines="40" w:before="96" w:afterLines="40" w:after="96"/>
              <w:jc w:val="center"/>
              <w:rPr>
                <w:noProof/>
                <w:sz w:val="18"/>
              </w:rPr>
            </w:pPr>
          </w:p>
        </w:tc>
        <w:tc>
          <w:tcPr>
            <w:tcW w:w="323" w:type="pct"/>
          </w:tcPr>
          <w:p w14:paraId="77221320" w14:textId="77777777" w:rsidR="00C76B8F" w:rsidRPr="00AD21FF" w:rsidRDefault="00C76B8F" w:rsidP="00C76B8F">
            <w:pPr>
              <w:spacing w:beforeLines="40" w:before="96" w:afterLines="40" w:after="96"/>
              <w:jc w:val="center"/>
              <w:rPr>
                <w:noProof/>
                <w:sz w:val="18"/>
              </w:rPr>
            </w:pPr>
          </w:p>
        </w:tc>
        <w:tc>
          <w:tcPr>
            <w:tcW w:w="346" w:type="pct"/>
          </w:tcPr>
          <w:p w14:paraId="7144B273" w14:textId="77777777" w:rsidR="00C76B8F" w:rsidRPr="00AD21FF" w:rsidRDefault="00C76B8F" w:rsidP="00C76B8F">
            <w:pPr>
              <w:spacing w:beforeLines="40" w:before="96" w:afterLines="40" w:after="96"/>
              <w:jc w:val="center"/>
              <w:rPr>
                <w:noProof/>
                <w:sz w:val="18"/>
              </w:rPr>
            </w:pPr>
          </w:p>
        </w:tc>
        <w:tc>
          <w:tcPr>
            <w:tcW w:w="346" w:type="pct"/>
          </w:tcPr>
          <w:p w14:paraId="737EE17B" w14:textId="77777777" w:rsidR="00C76B8F" w:rsidRPr="00AD21FF" w:rsidRDefault="00C76B8F" w:rsidP="00C76B8F">
            <w:pPr>
              <w:spacing w:beforeLines="40" w:before="96" w:afterLines="40" w:after="96"/>
              <w:jc w:val="center"/>
              <w:rPr>
                <w:noProof/>
                <w:sz w:val="18"/>
              </w:rPr>
            </w:pPr>
          </w:p>
        </w:tc>
        <w:tc>
          <w:tcPr>
            <w:tcW w:w="346" w:type="pct"/>
          </w:tcPr>
          <w:p w14:paraId="659D27B0" w14:textId="77777777" w:rsidR="00C76B8F" w:rsidRPr="00AD21FF" w:rsidRDefault="00C76B8F" w:rsidP="00C76B8F">
            <w:pPr>
              <w:spacing w:beforeLines="40" w:before="96" w:afterLines="40" w:after="96"/>
              <w:jc w:val="center"/>
              <w:rPr>
                <w:noProof/>
                <w:sz w:val="18"/>
              </w:rPr>
            </w:pPr>
          </w:p>
        </w:tc>
        <w:tc>
          <w:tcPr>
            <w:tcW w:w="346" w:type="pct"/>
          </w:tcPr>
          <w:p w14:paraId="59087C74" w14:textId="77777777" w:rsidR="00C76B8F" w:rsidRPr="00AD21FF" w:rsidRDefault="00C76B8F" w:rsidP="00C76B8F">
            <w:pPr>
              <w:spacing w:beforeLines="40" w:before="96" w:afterLines="40" w:after="96"/>
              <w:jc w:val="center"/>
              <w:rPr>
                <w:noProof/>
                <w:sz w:val="18"/>
              </w:rPr>
            </w:pPr>
          </w:p>
        </w:tc>
        <w:tc>
          <w:tcPr>
            <w:tcW w:w="346" w:type="pct"/>
          </w:tcPr>
          <w:p w14:paraId="359B4F19" w14:textId="77777777" w:rsidR="00C76B8F" w:rsidRPr="00AD21FF" w:rsidRDefault="00C76B8F" w:rsidP="00C76B8F">
            <w:pPr>
              <w:spacing w:beforeLines="40" w:before="96" w:afterLines="40" w:after="96"/>
              <w:jc w:val="center"/>
              <w:rPr>
                <w:noProof/>
                <w:sz w:val="18"/>
              </w:rPr>
            </w:pPr>
          </w:p>
        </w:tc>
        <w:tc>
          <w:tcPr>
            <w:tcW w:w="346" w:type="pct"/>
          </w:tcPr>
          <w:p w14:paraId="22364D92" w14:textId="77777777" w:rsidR="00C76B8F" w:rsidRPr="00AD21FF" w:rsidRDefault="00C76B8F" w:rsidP="00C76B8F">
            <w:pPr>
              <w:spacing w:beforeLines="40" w:before="96" w:afterLines="40" w:after="96"/>
              <w:jc w:val="center"/>
              <w:rPr>
                <w:noProof/>
                <w:sz w:val="18"/>
              </w:rPr>
            </w:pPr>
          </w:p>
        </w:tc>
        <w:tc>
          <w:tcPr>
            <w:tcW w:w="346" w:type="pct"/>
          </w:tcPr>
          <w:p w14:paraId="184AAB90" w14:textId="77777777" w:rsidR="00C76B8F" w:rsidRPr="00AD21FF" w:rsidRDefault="00C76B8F" w:rsidP="00C76B8F">
            <w:pPr>
              <w:spacing w:beforeLines="40" w:before="96" w:afterLines="40" w:after="96"/>
              <w:jc w:val="center"/>
              <w:rPr>
                <w:noProof/>
                <w:sz w:val="18"/>
              </w:rPr>
            </w:pPr>
          </w:p>
        </w:tc>
      </w:tr>
    </w:tbl>
    <w:p w14:paraId="589FFBAB" w14:textId="77777777" w:rsidR="00CA7C31" w:rsidRPr="00AD21FF" w:rsidRDefault="00CA7C31" w:rsidP="00CA7C31">
      <w:pPr>
        <w:pStyle w:val="ManualHeading1"/>
        <w:rPr>
          <w:caps/>
          <w:noProof/>
        </w:rPr>
      </w:pPr>
      <w:r w:rsidRPr="00AD21FF">
        <w:rPr>
          <w:noProof/>
        </w:rPr>
        <w:t>4.</w:t>
      </w:r>
      <w:r w:rsidRPr="00AD21FF">
        <w:rPr>
          <w:noProof/>
        </w:rPr>
        <w:tab/>
      </w:r>
      <w:bookmarkStart w:id="15" w:name="_Hlk167692977"/>
      <w:r w:rsidRPr="00AD21FF">
        <w:rPr>
          <w:caps/>
          <w:noProof/>
        </w:rPr>
        <w:t>Digital dimensions</w:t>
      </w:r>
    </w:p>
    <w:p w14:paraId="0C86C07E" w14:textId="77777777" w:rsidR="00CA7C31" w:rsidRPr="00AD21FF" w:rsidRDefault="00CA7C31" w:rsidP="00CA7C31">
      <w:pPr>
        <w:pStyle w:val="ManualHeading2"/>
        <w:rPr>
          <w:noProof/>
        </w:rPr>
      </w:pPr>
      <w:r w:rsidRPr="00AD21FF">
        <w:rPr>
          <w:noProof/>
        </w:rPr>
        <w:t>4.1.</w:t>
      </w:r>
      <w:r w:rsidRPr="00AD21FF">
        <w:rPr>
          <w:noProof/>
        </w:rPr>
        <w:tab/>
        <w:t>Requirements of digital relevance</w:t>
      </w:r>
    </w:p>
    <w:p w14:paraId="28934E6F" w14:textId="77777777" w:rsidR="00CA7C31" w:rsidRPr="00AD21FF" w:rsidRDefault="00CA7C31" w:rsidP="00CA7C31">
      <w:pPr>
        <w:rPr>
          <w:noProof/>
        </w:rPr>
      </w:pPr>
      <w:r w:rsidRPr="00AD21FF">
        <w:rPr>
          <w:noProof/>
        </w:rPr>
        <w:t>If the policy initiative is assessed as having no requirement of digital relevance:</w:t>
      </w:r>
    </w:p>
    <w:p w14:paraId="3634B5B1" w14:textId="77777777" w:rsidR="00CA7C31" w:rsidRPr="00AD21FF" w:rsidRDefault="00CA7C31" w:rsidP="00CA7C31">
      <w:pPr>
        <w:rPr>
          <w:noProof/>
        </w:rPr>
      </w:pPr>
      <w:r w:rsidRPr="00AD21FF">
        <w:rPr>
          <w:noProof/>
        </w:rPr>
        <w:t>Justification of why digital means cannot be used to enhance policy implementation and why the ‘digital by default’ principle is not applicable.</w:t>
      </w:r>
    </w:p>
    <w:tbl>
      <w:tblPr>
        <w:tblStyle w:val="TableGrid"/>
        <w:tblW w:w="5000" w:type="pct"/>
        <w:tblLook w:val="04A0" w:firstRow="1" w:lastRow="0" w:firstColumn="1" w:lastColumn="0" w:noHBand="0" w:noVBand="1"/>
      </w:tblPr>
      <w:tblGrid>
        <w:gridCol w:w="9287"/>
      </w:tblGrid>
      <w:tr w:rsidR="00CA7C31" w:rsidRPr="00AD21FF" w14:paraId="53476366" w14:textId="77777777">
        <w:tc>
          <w:tcPr>
            <w:tcW w:w="5000" w:type="pct"/>
          </w:tcPr>
          <w:p w14:paraId="1F2B1813" w14:textId="77777777" w:rsidR="00CA7C31" w:rsidRPr="00AD21FF" w:rsidRDefault="00CA7C31">
            <w:pPr>
              <w:rPr>
                <w:noProof/>
              </w:rPr>
            </w:pPr>
            <w:r w:rsidRPr="00AD21FF">
              <w:rPr>
                <w:noProof/>
              </w:rPr>
              <w:t>N/A</w:t>
            </w:r>
          </w:p>
        </w:tc>
      </w:tr>
    </w:tbl>
    <w:p w14:paraId="74BD195E" w14:textId="77777777" w:rsidR="00CA7C31" w:rsidRPr="00AD21FF" w:rsidRDefault="00CA7C31" w:rsidP="00CA7C31">
      <w:pPr>
        <w:rPr>
          <w:noProof/>
        </w:rPr>
      </w:pPr>
      <w:r w:rsidRPr="00AD21FF">
        <w:rPr>
          <w:noProof/>
        </w:rPr>
        <w:t>Otherwise:</w:t>
      </w:r>
    </w:p>
    <w:p w14:paraId="158318C5" w14:textId="77777777" w:rsidR="00CA7C31" w:rsidRPr="00AD21FF" w:rsidRDefault="00CA7C31" w:rsidP="00CA7C31">
      <w:pPr>
        <w:rPr>
          <w:rFonts w:eastAsia="Times New Roman"/>
          <w:i/>
          <w:noProof/>
          <w:lang w:eastAsia="en-GB"/>
        </w:rPr>
      </w:pPr>
      <w:r w:rsidRPr="00AD21FF">
        <w:rPr>
          <w:rFonts w:eastAsia="Times New Roman"/>
          <w:i/>
          <w:noProof/>
          <w:lang w:eastAsia="en-GB"/>
        </w:rPr>
        <w:t xml:space="preserve">High-level description of the requirements of digital relevance and related categories (data, process digitalisation &amp; automation, digital solutions and/or digital public services)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088"/>
        <w:gridCol w:w="4199"/>
        <w:gridCol w:w="1308"/>
        <w:gridCol w:w="1345"/>
        <w:gridCol w:w="1151"/>
      </w:tblGrid>
      <w:tr w:rsidR="00CA7C31" w:rsidRPr="00AD21FF" w14:paraId="22E980A3" w14:textId="77777777" w:rsidTr="00380FE3">
        <w:tc>
          <w:tcPr>
            <w:tcW w:w="598" w:type="pct"/>
            <w:vAlign w:val="center"/>
            <w:hideMark/>
          </w:tcPr>
          <w:p w14:paraId="615A0D83" w14:textId="77777777" w:rsidR="00CA7C31" w:rsidRPr="00AD21FF" w:rsidRDefault="00CA7C31">
            <w:pPr>
              <w:rPr>
                <w:noProof/>
                <w:sz w:val="20"/>
                <w:szCs w:val="20"/>
              </w:rPr>
            </w:pPr>
            <w:r w:rsidRPr="00AD21FF">
              <w:rPr>
                <w:b/>
                <w:noProof/>
                <w:sz w:val="20"/>
                <w:szCs w:val="20"/>
              </w:rPr>
              <w:t>Reference to the requirement</w:t>
            </w:r>
          </w:p>
        </w:tc>
        <w:tc>
          <w:tcPr>
            <w:tcW w:w="2309" w:type="pct"/>
            <w:vAlign w:val="center"/>
            <w:hideMark/>
          </w:tcPr>
          <w:p w14:paraId="56C55386" w14:textId="77777777" w:rsidR="00CA7C31" w:rsidRPr="00AD21FF" w:rsidRDefault="00CA7C31">
            <w:pPr>
              <w:rPr>
                <w:noProof/>
                <w:sz w:val="20"/>
                <w:szCs w:val="20"/>
              </w:rPr>
            </w:pPr>
            <w:r w:rsidRPr="00AD21FF">
              <w:rPr>
                <w:b/>
                <w:noProof/>
                <w:sz w:val="20"/>
                <w:szCs w:val="20"/>
              </w:rPr>
              <w:t>Requirement description</w:t>
            </w:r>
          </w:p>
        </w:tc>
        <w:tc>
          <w:tcPr>
            <w:tcW w:w="719" w:type="pct"/>
            <w:vAlign w:val="center"/>
            <w:hideMark/>
          </w:tcPr>
          <w:p w14:paraId="6B221BF6" w14:textId="77777777" w:rsidR="00CA7C31" w:rsidRPr="00AD21FF" w:rsidRDefault="00CA7C31">
            <w:pPr>
              <w:rPr>
                <w:noProof/>
                <w:sz w:val="20"/>
                <w:szCs w:val="20"/>
              </w:rPr>
            </w:pPr>
            <w:r w:rsidRPr="00AD21FF">
              <w:rPr>
                <w:b/>
                <w:noProof/>
                <w:sz w:val="20"/>
                <w:szCs w:val="20"/>
              </w:rPr>
              <w:t>Actor(s) affected or concerned by the requirement</w:t>
            </w:r>
          </w:p>
        </w:tc>
        <w:tc>
          <w:tcPr>
            <w:tcW w:w="740" w:type="pct"/>
            <w:vAlign w:val="center"/>
            <w:hideMark/>
          </w:tcPr>
          <w:p w14:paraId="169795DE" w14:textId="77777777" w:rsidR="00CA7C31" w:rsidRPr="00AD21FF" w:rsidRDefault="00CA7C31">
            <w:pPr>
              <w:rPr>
                <w:noProof/>
                <w:sz w:val="20"/>
                <w:szCs w:val="20"/>
              </w:rPr>
            </w:pPr>
            <w:r w:rsidRPr="00AD21FF">
              <w:rPr>
                <w:b/>
                <w:noProof/>
                <w:sz w:val="20"/>
                <w:szCs w:val="20"/>
              </w:rPr>
              <w:t>High-level Processes</w:t>
            </w:r>
          </w:p>
        </w:tc>
        <w:tc>
          <w:tcPr>
            <w:tcW w:w="633" w:type="pct"/>
            <w:vAlign w:val="center"/>
            <w:hideMark/>
          </w:tcPr>
          <w:p w14:paraId="505D35E5" w14:textId="77777777" w:rsidR="00CA7C31" w:rsidRPr="00AD21FF" w:rsidRDefault="00CA7C31">
            <w:pPr>
              <w:rPr>
                <w:noProof/>
                <w:sz w:val="20"/>
                <w:szCs w:val="20"/>
              </w:rPr>
            </w:pPr>
            <w:r w:rsidRPr="00AD21FF">
              <w:rPr>
                <w:b/>
                <w:noProof/>
                <w:sz w:val="20"/>
                <w:szCs w:val="20"/>
              </w:rPr>
              <w:t>Categories</w:t>
            </w:r>
          </w:p>
        </w:tc>
      </w:tr>
      <w:tr w:rsidR="00CA7C31" w:rsidRPr="00AD21FF" w14:paraId="1F7AA568" w14:textId="77777777" w:rsidTr="00380FE3">
        <w:tc>
          <w:tcPr>
            <w:tcW w:w="598" w:type="pct"/>
            <w:vAlign w:val="center"/>
            <w:hideMark/>
          </w:tcPr>
          <w:p w14:paraId="72F8BD03" w14:textId="77777777" w:rsidR="00CA7C31" w:rsidRPr="00AD21FF" w:rsidRDefault="00CA7C31">
            <w:pPr>
              <w:rPr>
                <w:noProof/>
                <w:sz w:val="20"/>
                <w:szCs w:val="20"/>
              </w:rPr>
            </w:pPr>
            <w:r w:rsidRPr="00AD21FF">
              <w:rPr>
                <w:noProof/>
                <w:sz w:val="20"/>
                <w:szCs w:val="20"/>
              </w:rPr>
              <w:t xml:space="preserve">Article </w:t>
            </w:r>
            <w:r w:rsidR="006A6BDB">
              <w:rPr>
                <w:noProof/>
                <w:sz w:val="20"/>
                <w:szCs w:val="20"/>
              </w:rPr>
              <w:t>4</w:t>
            </w:r>
          </w:p>
        </w:tc>
        <w:tc>
          <w:tcPr>
            <w:tcW w:w="2309" w:type="pct"/>
            <w:vAlign w:val="center"/>
            <w:hideMark/>
          </w:tcPr>
          <w:p w14:paraId="4B780716" w14:textId="77777777" w:rsidR="00CA7C31" w:rsidRPr="00AD21FF" w:rsidRDefault="00132DC5">
            <w:pPr>
              <w:rPr>
                <w:noProof/>
                <w:sz w:val="20"/>
                <w:szCs w:val="20"/>
              </w:rPr>
            </w:pPr>
            <w:r>
              <w:rPr>
                <w:noProof/>
                <w:sz w:val="20"/>
                <w:szCs w:val="20"/>
              </w:rPr>
              <w:t>Making available</w:t>
            </w:r>
            <w:r w:rsidR="00CA7C31" w:rsidRPr="00AD21FF">
              <w:rPr>
                <w:noProof/>
                <w:sz w:val="20"/>
                <w:szCs w:val="20"/>
              </w:rPr>
              <w:t xml:space="preserve"> a </w:t>
            </w:r>
            <w:r w:rsidR="00AA5861">
              <w:rPr>
                <w:noProof/>
                <w:sz w:val="20"/>
                <w:szCs w:val="20"/>
              </w:rPr>
              <w:t xml:space="preserve">single </w:t>
            </w:r>
            <w:r w:rsidR="00C16429">
              <w:rPr>
                <w:noProof/>
                <w:sz w:val="20"/>
                <w:szCs w:val="20"/>
              </w:rPr>
              <w:t>access point</w:t>
            </w:r>
            <w:r w:rsidR="00DF5007">
              <w:rPr>
                <w:noProof/>
                <w:sz w:val="20"/>
                <w:szCs w:val="20"/>
              </w:rPr>
              <w:t xml:space="preserve"> at national level</w:t>
            </w:r>
            <w:r w:rsidR="00CA7C31" w:rsidRPr="00AD21FF">
              <w:rPr>
                <w:noProof/>
                <w:sz w:val="20"/>
                <w:szCs w:val="20"/>
              </w:rPr>
              <w:t xml:space="preserve"> </w:t>
            </w:r>
            <w:r w:rsidR="00CA7C31" w:rsidRPr="00AD21FF">
              <w:rPr>
                <w:rFonts w:eastAsia="Times"/>
                <w:noProof/>
                <w:sz w:val="20"/>
                <w:szCs w:val="20"/>
              </w:rPr>
              <w:t>connecting all relevant public authorities, in order to ensure that permit-granting procedures for industrial manufacturing are carried out through fully digital means.</w:t>
            </w:r>
          </w:p>
        </w:tc>
        <w:tc>
          <w:tcPr>
            <w:tcW w:w="719" w:type="pct"/>
            <w:vAlign w:val="center"/>
            <w:hideMark/>
          </w:tcPr>
          <w:p w14:paraId="56B4BF84" w14:textId="77777777" w:rsidR="00CA7C31" w:rsidRPr="00AD21FF" w:rsidRDefault="00CA7C31">
            <w:pPr>
              <w:rPr>
                <w:noProof/>
                <w:sz w:val="20"/>
                <w:szCs w:val="20"/>
              </w:rPr>
            </w:pPr>
            <w:r w:rsidRPr="00AD21FF">
              <w:rPr>
                <w:noProof/>
                <w:sz w:val="20"/>
                <w:szCs w:val="20"/>
              </w:rPr>
              <w:t>Member States</w:t>
            </w:r>
          </w:p>
          <w:p w14:paraId="6F2413B3" w14:textId="77777777" w:rsidR="00132DC5" w:rsidRDefault="00132DC5">
            <w:pPr>
              <w:rPr>
                <w:noProof/>
                <w:sz w:val="20"/>
                <w:szCs w:val="20"/>
              </w:rPr>
            </w:pPr>
            <w:r w:rsidRPr="00132DC5">
              <w:rPr>
                <w:noProof/>
                <w:sz w:val="20"/>
                <w:szCs w:val="20"/>
              </w:rPr>
              <w:t>National competent authorities</w:t>
            </w:r>
          </w:p>
          <w:p w14:paraId="5614B7AE" w14:textId="77777777" w:rsidR="00CA7C31" w:rsidRPr="00AD21FF" w:rsidRDefault="00CA7C31">
            <w:pPr>
              <w:rPr>
                <w:noProof/>
                <w:sz w:val="20"/>
                <w:szCs w:val="20"/>
              </w:rPr>
            </w:pPr>
            <w:r w:rsidRPr="00AD21FF">
              <w:rPr>
                <w:noProof/>
                <w:sz w:val="20"/>
                <w:szCs w:val="20"/>
              </w:rPr>
              <w:t xml:space="preserve">Economic Operators </w:t>
            </w:r>
          </w:p>
        </w:tc>
        <w:tc>
          <w:tcPr>
            <w:tcW w:w="740" w:type="pct"/>
            <w:vAlign w:val="center"/>
            <w:hideMark/>
          </w:tcPr>
          <w:p w14:paraId="73D77F93" w14:textId="77777777" w:rsidR="00CA7C31" w:rsidRPr="00AD21FF" w:rsidRDefault="00CA7C31">
            <w:pPr>
              <w:rPr>
                <w:noProof/>
                <w:sz w:val="20"/>
                <w:szCs w:val="20"/>
              </w:rPr>
            </w:pPr>
            <w:r w:rsidRPr="00AD21FF">
              <w:rPr>
                <w:noProof/>
                <w:sz w:val="20"/>
                <w:szCs w:val="20"/>
              </w:rPr>
              <w:t xml:space="preserve">Permit granting </w:t>
            </w:r>
          </w:p>
        </w:tc>
        <w:tc>
          <w:tcPr>
            <w:tcW w:w="633" w:type="pct"/>
            <w:vAlign w:val="center"/>
            <w:hideMark/>
          </w:tcPr>
          <w:p w14:paraId="2D4623CA" w14:textId="77777777" w:rsidR="00675332" w:rsidRDefault="00675332">
            <w:pPr>
              <w:rPr>
                <w:noProof/>
                <w:sz w:val="20"/>
                <w:szCs w:val="20"/>
              </w:rPr>
            </w:pPr>
            <w:r>
              <w:rPr>
                <w:noProof/>
                <w:sz w:val="20"/>
                <w:szCs w:val="20"/>
              </w:rPr>
              <w:t>Data</w:t>
            </w:r>
          </w:p>
          <w:p w14:paraId="76D7B9BF" w14:textId="77777777" w:rsidR="00CA7C31" w:rsidRPr="00AD21FF" w:rsidRDefault="00CA7C31">
            <w:pPr>
              <w:rPr>
                <w:noProof/>
                <w:sz w:val="20"/>
                <w:szCs w:val="20"/>
              </w:rPr>
            </w:pPr>
            <w:r w:rsidRPr="00AD21FF">
              <w:rPr>
                <w:noProof/>
                <w:sz w:val="20"/>
                <w:szCs w:val="20"/>
              </w:rPr>
              <w:t>Digital Solution</w:t>
            </w:r>
          </w:p>
          <w:p w14:paraId="4CFDCB86" w14:textId="77777777" w:rsidR="00CA7C31" w:rsidRPr="00AD21FF" w:rsidRDefault="00CA7C31">
            <w:pPr>
              <w:rPr>
                <w:noProof/>
                <w:sz w:val="20"/>
                <w:szCs w:val="20"/>
              </w:rPr>
            </w:pPr>
            <w:r w:rsidRPr="00AD21FF">
              <w:rPr>
                <w:noProof/>
                <w:sz w:val="20"/>
                <w:szCs w:val="20"/>
              </w:rPr>
              <w:t>Digital Public Service</w:t>
            </w:r>
          </w:p>
          <w:p w14:paraId="3F75A653" w14:textId="77777777" w:rsidR="00CA7C31" w:rsidRPr="00AD21FF" w:rsidRDefault="00CA7C31">
            <w:pPr>
              <w:rPr>
                <w:noProof/>
                <w:sz w:val="20"/>
                <w:szCs w:val="20"/>
              </w:rPr>
            </w:pPr>
            <w:r w:rsidRPr="00AD21FF">
              <w:rPr>
                <w:noProof/>
                <w:sz w:val="20"/>
                <w:szCs w:val="20"/>
              </w:rPr>
              <w:t>Process digitalisation and automation</w:t>
            </w:r>
          </w:p>
        </w:tc>
      </w:tr>
      <w:tr w:rsidR="00AB2A00" w:rsidRPr="00AD21FF" w14:paraId="4CA558FA" w14:textId="77777777" w:rsidTr="00380FE3">
        <w:tc>
          <w:tcPr>
            <w:tcW w:w="598" w:type="pct"/>
            <w:vAlign w:val="center"/>
          </w:tcPr>
          <w:p w14:paraId="3F2845CC" w14:textId="77777777" w:rsidR="00AB2A00" w:rsidRPr="00AD21FF" w:rsidRDefault="00380FE3">
            <w:pPr>
              <w:rPr>
                <w:noProof/>
                <w:sz w:val="20"/>
                <w:szCs w:val="20"/>
              </w:rPr>
            </w:pPr>
            <w:r>
              <w:rPr>
                <w:noProof/>
                <w:sz w:val="20"/>
                <w:szCs w:val="20"/>
              </w:rPr>
              <w:t xml:space="preserve">Article </w:t>
            </w:r>
            <w:r w:rsidR="006A6BDB">
              <w:rPr>
                <w:noProof/>
                <w:sz w:val="20"/>
                <w:szCs w:val="20"/>
              </w:rPr>
              <w:t>5</w:t>
            </w:r>
          </w:p>
        </w:tc>
        <w:tc>
          <w:tcPr>
            <w:tcW w:w="2309" w:type="pct"/>
            <w:vAlign w:val="center"/>
          </w:tcPr>
          <w:p w14:paraId="070A73BC" w14:textId="77777777" w:rsidR="00AB2A00" w:rsidRPr="00AD21FF" w:rsidRDefault="00380FE3">
            <w:pPr>
              <w:rPr>
                <w:noProof/>
                <w:sz w:val="20"/>
                <w:szCs w:val="20"/>
              </w:rPr>
            </w:pPr>
            <w:r>
              <w:rPr>
                <w:noProof/>
                <w:sz w:val="20"/>
                <w:szCs w:val="20"/>
              </w:rPr>
              <w:t xml:space="preserve">Orchestration of national permit-granting procedures to enable a one-stop-shop for permitting of </w:t>
            </w:r>
            <w:r w:rsidRPr="00504289">
              <w:rPr>
                <w:noProof/>
                <w:sz w:val="20"/>
                <w:szCs w:val="20"/>
              </w:rPr>
              <w:t>industrial manufacturing projects</w:t>
            </w:r>
            <w:r>
              <w:rPr>
                <w:noProof/>
                <w:sz w:val="20"/>
                <w:szCs w:val="20"/>
              </w:rPr>
              <w:t>.</w:t>
            </w:r>
          </w:p>
        </w:tc>
        <w:tc>
          <w:tcPr>
            <w:tcW w:w="719" w:type="pct"/>
            <w:vAlign w:val="center"/>
          </w:tcPr>
          <w:p w14:paraId="3706B7DB" w14:textId="77777777" w:rsidR="00380FE3" w:rsidRDefault="00380FE3" w:rsidP="00380FE3">
            <w:pPr>
              <w:rPr>
                <w:noProof/>
                <w:sz w:val="20"/>
                <w:szCs w:val="20"/>
              </w:rPr>
            </w:pPr>
            <w:r>
              <w:rPr>
                <w:noProof/>
                <w:sz w:val="20"/>
                <w:szCs w:val="20"/>
              </w:rPr>
              <w:t>Member States</w:t>
            </w:r>
          </w:p>
          <w:p w14:paraId="17C82E1E" w14:textId="77777777" w:rsidR="00AB2A00" w:rsidRPr="00AD21FF" w:rsidRDefault="00380FE3">
            <w:pPr>
              <w:rPr>
                <w:noProof/>
                <w:sz w:val="20"/>
                <w:szCs w:val="20"/>
              </w:rPr>
            </w:pPr>
            <w:r>
              <w:rPr>
                <w:noProof/>
                <w:sz w:val="20"/>
                <w:szCs w:val="20"/>
              </w:rPr>
              <w:t>National competent authorities</w:t>
            </w:r>
          </w:p>
        </w:tc>
        <w:tc>
          <w:tcPr>
            <w:tcW w:w="740" w:type="pct"/>
            <w:vAlign w:val="center"/>
          </w:tcPr>
          <w:p w14:paraId="759DFB67" w14:textId="77777777" w:rsidR="00AB2A00" w:rsidRPr="00AD21FF" w:rsidRDefault="00380FE3">
            <w:pPr>
              <w:rPr>
                <w:noProof/>
                <w:sz w:val="20"/>
                <w:szCs w:val="20"/>
              </w:rPr>
            </w:pPr>
            <w:r>
              <w:rPr>
                <w:noProof/>
                <w:sz w:val="20"/>
                <w:szCs w:val="20"/>
              </w:rPr>
              <w:t>Permit granting</w:t>
            </w:r>
          </w:p>
        </w:tc>
        <w:tc>
          <w:tcPr>
            <w:tcW w:w="633" w:type="pct"/>
            <w:vAlign w:val="center"/>
          </w:tcPr>
          <w:p w14:paraId="48C29BB3" w14:textId="77777777" w:rsidR="00380FE3" w:rsidRDefault="00380FE3" w:rsidP="00380FE3">
            <w:pPr>
              <w:rPr>
                <w:noProof/>
                <w:sz w:val="20"/>
                <w:szCs w:val="20"/>
              </w:rPr>
            </w:pPr>
            <w:r>
              <w:rPr>
                <w:noProof/>
                <w:sz w:val="20"/>
                <w:szCs w:val="20"/>
              </w:rPr>
              <w:t>Data</w:t>
            </w:r>
          </w:p>
          <w:p w14:paraId="6CDBF07A" w14:textId="77777777" w:rsidR="00AB2A00" w:rsidRPr="00AD21FF" w:rsidRDefault="00380FE3">
            <w:pPr>
              <w:rPr>
                <w:noProof/>
                <w:sz w:val="20"/>
                <w:szCs w:val="20"/>
              </w:rPr>
            </w:pPr>
            <w:r>
              <w:rPr>
                <w:noProof/>
                <w:sz w:val="20"/>
                <w:szCs w:val="20"/>
              </w:rPr>
              <w:t>Process digitalisation and automation</w:t>
            </w:r>
          </w:p>
        </w:tc>
      </w:tr>
      <w:tr w:rsidR="00380FE3" w:rsidRPr="00AD21FF" w14:paraId="7F5838D1" w14:textId="77777777" w:rsidTr="00380FE3">
        <w:tc>
          <w:tcPr>
            <w:tcW w:w="598" w:type="pct"/>
            <w:vAlign w:val="center"/>
          </w:tcPr>
          <w:p w14:paraId="7E5354F2" w14:textId="77777777" w:rsidR="00380FE3" w:rsidRDefault="00380FE3" w:rsidP="00380FE3">
            <w:pPr>
              <w:rPr>
                <w:noProof/>
                <w:sz w:val="20"/>
                <w:szCs w:val="20"/>
              </w:rPr>
            </w:pPr>
            <w:r>
              <w:rPr>
                <w:noProof/>
                <w:sz w:val="20"/>
                <w:szCs w:val="20"/>
              </w:rPr>
              <w:t xml:space="preserve">Article </w:t>
            </w:r>
            <w:r w:rsidR="006A6BDB">
              <w:rPr>
                <w:noProof/>
                <w:sz w:val="20"/>
                <w:szCs w:val="20"/>
              </w:rPr>
              <w:t>6</w:t>
            </w:r>
          </w:p>
        </w:tc>
        <w:tc>
          <w:tcPr>
            <w:tcW w:w="2309" w:type="pct"/>
            <w:vAlign w:val="center"/>
          </w:tcPr>
          <w:p w14:paraId="5DEEB7DB" w14:textId="77777777" w:rsidR="00380FE3" w:rsidRDefault="00380FE3" w:rsidP="00380FE3">
            <w:pPr>
              <w:rPr>
                <w:noProof/>
                <w:sz w:val="20"/>
                <w:szCs w:val="20"/>
              </w:rPr>
            </w:pPr>
            <w:r>
              <w:rPr>
                <w:noProof/>
                <w:sz w:val="20"/>
                <w:szCs w:val="20"/>
              </w:rPr>
              <w:t xml:space="preserve">The application of streamlined </w:t>
            </w:r>
            <w:r w:rsidRPr="00A052D7">
              <w:rPr>
                <w:noProof/>
                <w:sz w:val="20"/>
                <w:szCs w:val="20"/>
              </w:rPr>
              <w:t>administrative and permit-granting processes</w:t>
            </w:r>
            <w:r>
              <w:rPr>
                <w:noProof/>
                <w:sz w:val="20"/>
                <w:szCs w:val="20"/>
              </w:rPr>
              <w:t xml:space="preserve">, as defined by </w:t>
            </w:r>
            <w:r w:rsidRPr="00223611">
              <w:rPr>
                <w:noProof/>
                <w:sz w:val="20"/>
                <w:szCs w:val="20"/>
              </w:rPr>
              <w:t>Regulation (EU) 2024/1735</w:t>
            </w:r>
            <w:r>
              <w:rPr>
                <w:noProof/>
                <w:sz w:val="20"/>
                <w:szCs w:val="20"/>
              </w:rPr>
              <w:t xml:space="preserve">, is extended to cover </w:t>
            </w:r>
            <w:r w:rsidRPr="00D915C3">
              <w:rPr>
                <w:noProof/>
                <w:sz w:val="20"/>
                <w:szCs w:val="20"/>
              </w:rPr>
              <w:t>energy-intensive industry decarbonisation projects</w:t>
            </w:r>
            <w:r>
              <w:rPr>
                <w:noProof/>
                <w:sz w:val="20"/>
                <w:szCs w:val="20"/>
              </w:rPr>
              <w:t>.</w:t>
            </w:r>
          </w:p>
        </w:tc>
        <w:tc>
          <w:tcPr>
            <w:tcW w:w="719" w:type="pct"/>
            <w:vAlign w:val="center"/>
          </w:tcPr>
          <w:p w14:paraId="2A1034C9" w14:textId="77777777" w:rsidR="00380FE3" w:rsidRDefault="00380FE3" w:rsidP="00380FE3">
            <w:pPr>
              <w:rPr>
                <w:noProof/>
                <w:sz w:val="20"/>
                <w:szCs w:val="20"/>
              </w:rPr>
            </w:pPr>
            <w:r>
              <w:rPr>
                <w:noProof/>
                <w:sz w:val="20"/>
                <w:szCs w:val="20"/>
              </w:rPr>
              <w:t>Member States</w:t>
            </w:r>
          </w:p>
          <w:p w14:paraId="4AC5CFE5" w14:textId="77777777" w:rsidR="00380FE3" w:rsidRDefault="00380FE3" w:rsidP="00380FE3">
            <w:pPr>
              <w:rPr>
                <w:noProof/>
                <w:sz w:val="20"/>
                <w:szCs w:val="20"/>
              </w:rPr>
            </w:pPr>
            <w:r>
              <w:rPr>
                <w:noProof/>
                <w:sz w:val="20"/>
                <w:szCs w:val="20"/>
              </w:rPr>
              <w:t>National competent authorities</w:t>
            </w:r>
          </w:p>
        </w:tc>
        <w:tc>
          <w:tcPr>
            <w:tcW w:w="740" w:type="pct"/>
            <w:vAlign w:val="center"/>
          </w:tcPr>
          <w:p w14:paraId="21C56BF8" w14:textId="77777777" w:rsidR="00380FE3" w:rsidRDefault="00380FE3" w:rsidP="00380FE3">
            <w:pPr>
              <w:rPr>
                <w:noProof/>
                <w:sz w:val="20"/>
                <w:szCs w:val="20"/>
              </w:rPr>
            </w:pPr>
            <w:r>
              <w:rPr>
                <w:noProof/>
                <w:sz w:val="20"/>
                <w:szCs w:val="20"/>
              </w:rPr>
              <w:t>Permit granting</w:t>
            </w:r>
          </w:p>
        </w:tc>
        <w:tc>
          <w:tcPr>
            <w:tcW w:w="633" w:type="pct"/>
            <w:vAlign w:val="center"/>
          </w:tcPr>
          <w:p w14:paraId="2DCBD286" w14:textId="77777777" w:rsidR="00380FE3" w:rsidRDefault="00380FE3" w:rsidP="00380FE3">
            <w:pPr>
              <w:rPr>
                <w:noProof/>
                <w:sz w:val="20"/>
                <w:szCs w:val="20"/>
              </w:rPr>
            </w:pPr>
            <w:r>
              <w:rPr>
                <w:noProof/>
                <w:sz w:val="20"/>
                <w:szCs w:val="20"/>
              </w:rPr>
              <w:t>Process digitalisation and automation</w:t>
            </w:r>
          </w:p>
        </w:tc>
      </w:tr>
      <w:tr w:rsidR="00380FE3" w:rsidRPr="00AD21FF" w14:paraId="0D9D06B0" w14:textId="77777777" w:rsidTr="00380FE3">
        <w:tc>
          <w:tcPr>
            <w:tcW w:w="598" w:type="pct"/>
            <w:vAlign w:val="center"/>
          </w:tcPr>
          <w:p w14:paraId="76889778" w14:textId="77777777" w:rsidR="00380FE3" w:rsidRDefault="00380FE3" w:rsidP="00380FE3">
            <w:pPr>
              <w:rPr>
                <w:noProof/>
                <w:sz w:val="20"/>
                <w:szCs w:val="20"/>
              </w:rPr>
            </w:pPr>
            <w:r>
              <w:rPr>
                <w:noProof/>
                <w:sz w:val="20"/>
                <w:szCs w:val="20"/>
              </w:rPr>
              <w:t>Article 2</w:t>
            </w:r>
            <w:r w:rsidR="00F6091D">
              <w:rPr>
                <w:noProof/>
                <w:sz w:val="20"/>
                <w:szCs w:val="20"/>
              </w:rPr>
              <w:t>0</w:t>
            </w:r>
          </w:p>
        </w:tc>
        <w:tc>
          <w:tcPr>
            <w:tcW w:w="2309" w:type="pct"/>
            <w:vAlign w:val="center"/>
          </w:tcPr>
          <w:p w14:paraId="7127C602" w14:textId="77777777" w:rsidR="00380FE3" w:rsidRDefault="00380FE3" w:rsidP="00380FE3">
            <w:pPr>
              <w:rPr>
                <w:noProof/>
                <w:sz w:val="20"/>
                <w:szCs w:val="20"/>
              </w:rPr>
            </w:pPr>
            <w:r>
              <w:rPr>
                <w:noProof/>
                <w:sz w:val="20"/>
                <w:szCs w:val="20"/>
              </w:rPr>
              <w:t>Monitoring and publishing of</w:t>
            </w:r>
            <w:r w:rsidRPr="00834E79">
              <w:rPr>
                <w:noProof/>
                <w:sz w:val="20"/>
                <w:szCs w:val="20"/>
              </w:rPr>
              <w:t xml:space="preserve"> the global manufacturing capacity for emerging strategic sectors</w:t>
            </w:r>
            <w:r>
              <w:rPr>
                <w:noProof/>
                <w:sz w:val="20"/>
                <w:szCs w:val="20"/>
              </w:rPr>
              <w:t>.</w:t>
            </w:r>
          </w:p>
        </w:tc>
        <w:tc>
          <w:tcPr>
            <w:tcW w:w="719" w:type="pct"/>
            <w:vAlign w:val="center"/>
          </w:tcPr>
          <w:p w14:paraId="1DE43ED4" w14:textId="77777777" w:rsidR="00380FE3" w:rsidRDefault="00380FE3" w:rsidP="00380FE3">
            <w:pPr>
              <w:rPr>
                <w:noProof/>
                <w:sz w:val="20"/>
                <w:szCs w:val="20"/>
              </w:rPr>
            </w:pPr>
            <w:r>
              <w:rPr>
                <w:noProof/>
                <w:sz w:val="20"/>
                <w:szCs w:val="20"/>
              </w:rPr>
              <w:t>European Commission</w:t>
            </w:r>
          </w:p>
        </w:tc>
        <w:tc>
          <w:tcPr>
            <w:tcW w:w="740" w:type="pct"/>
            <w:vAlign w:val="center"/>
          </w:tcPr>
          <w:p w14:paraId="584B077B" w14:textId="77777777" w:rsidR="00380FE3" w:rsidRDefault="00380FE3" w:rsidP="00380FE3">
            <w:pPr>
              <w:rPr>
                <w:noProof/>
                <w:sz w:val="20"/>
                <w:szCs w:val="20"/>
              </w:rPr>
            </w:pPr>
            <w:r>
              <w:rPr>
                <w:noProof/>
                <w:sz w:val="20"/>
                <w:szCs w:val="20"/>
              </w:rPr>
              <w:t>Monitoring</w:t>
            </w:r>
          </w:p>
        </w:tc>
        <w:tc>
          <w:tcPr>
            <w:tcW w:w="633" w:type="pct"/>
            <w:vAlign w:val="center"/>
          </w:tcPr>
          <w:p w14:paraId="516AE9ED" w14:textId="77777777" w:rsidR="00380FE3" w:rsidRDefault="00380FE3" w:rsidP="00380FE3">
            <w:pPr>
              <w:rPr>
                <w:noProof/>
                <w:sz w:val="20"/>
                <w:szCs w:val="20"/>
              </w:rPr>
            </w:pPr>
            <w:r>
              <w:rPr>
                <w:noProof/>
                <w:sz w:val="20"/>
                <w:szCs w:val="20"/>
              </w:rPr>
              <w:t>Data</w:t>
            </w:r>
          </w:p>
        </w:tc>
      </w:tr>
      <w:tr w:rsidR="00380FE3" w:rsidRPr="00AD21FF" w14:paraId="7CC9413F" w14:textId="77777777" w:rsidTr="00380FE3">
        <w:tc>
          <w:tcPr>
            <w:tcW w:w="598" w:type="pct"/>
            <w:vAlign w:val="center"/>
          </w:tcPr>
          <w:p w14:paraId="5C163C64" w14:textId="77777777" w:rsidR="00380FE3" w:rsidRDefault="00380FE3" w:rsidP="00380FE3">
            <w:pPr>
              <w:rPr>
                <w:noProof/>
                <w:sz w:val="20"/>
                <w:szCs w:val="20"/>
              </w:rPr>
            </w:pPr>
            <w:r>
              <w:rPr>
                <w:noProof/>
                <w:sz w:val="20"/>
                <w:szCs w:val="20"/>
              </w:rPr>
              <w:t xml:space="preserve">Article </w:t>
            </w:r>
            <w:r w:rsidR="007A25AB">
              <w:rPr>
                <w:noProof/>
                <w:sz w:val="20"/>
                <w:szCs w:val="20"/>
              </w:rPr>
              <w:t>16</w:t>
            </w:r>
          </w:p>
        </w:tc>
        <w:tc>
          <w:tcPr>
            <w:tcW w:w="2309" w:type="pct"/>
            <w:vAlign w:val="center"/>
          </w:tcPr>
          <w:p w14:paraId="5C17B9D8" w14:textId="77777777" w:rsidR="00380FE3" w:rsidRDefault="00380FE3" w:rsidP="00380FE3">
            <w:pPr>
              <w:rPr>
                <w:noProof/>
                <w:sz w:val="20"/>
                <w:szCs w:val="20"/>
              </w:rPr>
            </w:pPr>
            <w:r>
              <w:rPr>
                <w:noProof/>
                <w:sz w:val="20"/>
                <w:szCs w:val="20"/>
              </w:rPr>
              <w:t>N</w:t>
            </w:r>
            <w:r w:rsidRPr="00F666F9">
              <w:rPr>
                <w:noProof/>
                <w:sz w:val="20"/>
                <w:szCs w:val="20"/>
              </w:rPr>
              <w:t>otification of planned direct investments</w:t>
            </w:r>
            <w:r>
              <w:rPr>
                <w:noProof/>
                <w:sz w:val="20"/>
                <w:szCs w:val="20"/>
              </w:rPr>
              <w:t xml:space="preserve"> by foreign investors.</w:t>
            </w:r>
          </w:p>
        </w:tc>
        <w:tc>
          <w:tcPr>
            <w:tcW w:w="719" w:type="pct"/>
            <w:vAlign w:val="center"/>
          </w:tcPr>
          <w:p w14:paraId="1541746E" w14:textId="77777777" w:rsidR="00380FE3" w:rsidRDefault="00380FE3" w:rsidP="00380FE3">
            <w:pPr>
              <w:rPr>
                <w:noProof/>
                <w:sz w:val="20"/>
                <w:szCs w:val="20"/>
              </w:rPr>
            </w:pPr>
            <w:r>
              <w:rPr>
                <w:noProof/>
                <w:sz w:val="20"/>
                <w:szCs w:val="20"/>
              </w:rPr>
              <w:t>Economic operators</w:t>
            </w:r>
          </w:p>
          <w:p w14:paraId="0B1C5517" w14:textId="77777777" w:rsidR="00380FE3" w:rsidRDefault="00380FE3" w:rsidP="00380FE3">
            <w:pPr>
              <w:rPr>
                <w:noProof/>
                <w:sz w:val="20"/>
                <w:szCs w:val="20"/>
              </w:rPr>
            </w:pPr>
            <w:r>
              <w:rPr>
                <w:noProof/>
                <w:sz w:val="20"/>
                <w:szCs w:val="20"/>
              </w:rPr>
              <w:t>Member states</w:t>
            </w:r>
          </w:p>
        </w:tc>
        <w:tc>
          <w:tcPr>
            <w:tcW w:w="740" w:type="pct"/>
            <w:vAlign w:val="center"/>
          </w:tcPr>
          <w:p w14:paraId="58F8FE83" w14:textId="77777777" w:rsidR="00380FE3" w:rsidRDefault="00380FE3" w:rsidP="00380FE3">
            <w:pPr>
              <w:rPr>
                <w:noProof/>
                <w:sz w:val="20"/>
                <w:szCs w:val="20"/>
              </w:rPr>
            </w:pPr>
            <w:r>
              <w:rPr>
                <w:noProof/>
                <w:sz w:val="20"/>
                <w:szCs w:val="20"/>
              </w:rPr>
              <w:t>Notifications</w:t>
            </w:r>
          </w:p>
        </w:tc>
        <w:tc>
          <w:tcPr>
            <w:tcW w:w="633" w:type="pct"/>
            <w:vAlign w:val="center"/>
          </w:tcPr>
          <w:p w14:paraId="6348D967" w14:textId="77777777" w:rsidR="00380FE3" w:rsidRDefault="00380FE3" w:rsidP="00380FE3">
            <w:pPr>
              <w:rPr>
                <w:noProof/>
                <w:sz w:val="20"/>
                <w:szCs w:val="20"/>
              </w:rPr>
            </w:pPr>
            <w:r>
              <w:rPr>
                <w:noProof/>
                <w:sz w:val="20"/>
                <w:szCs w:val="20"/>
              </w:rPr>
              <w:t>Data</w:t>
            </w:r>
          </w:p>
        </w:tc>
      </w:tr>
      <w:tr w:rsidR="00380FE3" w:rsidRPr="00AD21FF" w14:paraId="7E0B26DA" w14:textId="77777777" w:rsidTr="00380FE3">
        <w:tc>
          <w:tcPr>
            <w:tcW w:w="598" w:type="pct"/>
            <w:vAlign w:val="center"/>
          </w:tcPr>
          <w:p w14:paraId="4FD8FF41" w14:textId="77777777" w:rsidR="00380FE3" w:rsidRDefault="00380FE3" w:rsidP="00380FE3">
            <w:pPr>
              <w:rPr>
                <w:noProof/>
                <w:sz w:val="20"/>
                <w:szCs w:val="20"/>
              </w:rPr>
            </w:pPr>
            <w:r>
              <w:rPr>
                <w:noProof/>
                <w:sz w:val="20"/>
                <w:szCs w:val="20"/>
              </w:rPr>
              <w:t xml:space="preserve">Article </w:t>
            </w:r>
            <w:r w:rsidR="003156A5">
              <w:rPr>
                <w:noProof/>
                <w:sz w:val="20"/>
                <w:szCs w:val="20"/>
              </w:rPr>
              <w:t>17</w:t>
            </w:r>
          </w:p>
        </w:tc>
        <w:tc>
          <w:tcPr>
            <w:tcW w:w="2309" w:type="pct"/>
            <w:vAlign w:val="center"/>
          </w:tcPr>
          <w:p w14:paraId="52C533B5" w14:textId="77777777" w:rsidR="00380FE3" w:rsidRDefault="00380FE3" w:rsidP="00380FE3">
            <w:pPr>
              <w:rPr>
                <w:noProof/>
                <w:sz w:val="20"/>
                <w:szCs w:val="20"/>
              </w:rPr>
            </w:pPr>
            <w:r>
              <w:rPr>
                <w:noProof/>
                <w:sz w:val="20"/>
                <w:szCs w:val="20"/>
              </w:rPr>
              <w:t>Review and approval procedure for prior notifications of planned direct investments.</w:t>
            </w:r>
          </w:p>
        </w:tc>
        <w:tc>
          <w:tcPr>
            <w:tcW w:w="719" w:type="pct"/>
            <w:vAlign w:val="center"/>
          </w:tcPr>
          <w:p w14:paraId="725D9173" w14:textId="77777777" w:rsidR="00380FE3" w:rsidRDefault="00380FE3" w:rsidP="00380FE3">
            <w:pPr>
              <w:rPr>
                <w:noProof/>
                <w:sz w:val="20"/>
                <w:szCs w:val="20"/>
              </w:rPr>
            </w:pPr>
            <w:r>
              <w:rPr>
                <w:noProof/>
                <w:sz w:val="20"/>
                <w:szCs w:val="20"/>
              </w:rPr>
              <w:t>Member states</w:t>
            </w:r>
          </w:p>
          <w:p w14:paraId="0AA1DBCC" w14:textId="77777777" w:rsidR="00380FE3" w:rsidRDefault="00380FE3" w:rsidP="00380FE3">
            <w:pPr>
              <w:rPr>
                <w:noProof/>
                <w:sz w:val="20"/>
                <w:szCs w:val="20"/>
              </w:rPr>
            </w:pPr>
            <w:r>
              <w:rPr>
                <w:noProof/>
                <w:sz w:val="20"/>
                <w:szCs w:val="20"/>
              </w:rPr>
              <w:t>European Commission</w:t>
            </w:r>
          </w:p>
        </w:tc>
        <w:tc>
          <w:tcPr>
            <w:tcW w:w="740" w:type="pct"/>
            <w:vAlign w:val="center"/>
          </w:tcPr>
          <w:p w14:paraId="7E79CDB0" w14:textId="77777777" w:rsidR="00380FE3" w:rsidRDefault="00380FE3" w:rsidP="00380FE3">
            <w:pPr>
              <w:rPr>
                <w:noProof/>
                <w:sz w:val="20"/>
                <w:szCs w:val="20"/>
              </w:rPr>
            </w:pPr>
            <w:r>
              <w:rPr>
                <w:noProof/>
                <w:sz w:val="20"/>
                <w:szCs w:val="20"/>
              </w:rPr>
              <w:t>Notifications</w:t>
            </w:r>
          </w:p>
        </w:tc>
        <w:tc>
          <w:tcPr>
            <w:tcW w:w="633" w:type="pct"/>
            <w:vAlign w:val="center"/>
          </w:tcPr>
          <w:p w14:paraId="21D4DC10" w14:textId="77777777" w:rsidR="00380FE3" w:rsidRDefault="00380FE3" w:rsidP="00380FE3">
            <w:pPr>
              <w:rPr>
                <w:noProof/>
                <w:sz w:val="20"/>
                <w:szCs w:val="20"/>
              </w:rPr>
            </w:pPr>
            <w:r>
              <w:rPr>
                <w:noProof/>
                <w:sz w:val="20"/>
                <w:szCs w:val="20"/>
              </w:rPr>
              <w:t>Process digitalisation and automation</w:t>
            </w:r>
          </w:p>
        </w:tc>
      </w:tr>
      <w:tr w:rsidR="00380FE3" w:rsidRPr="00AD21FF" w14:paraId="06270E24" w14:textId="77777777" w:rsidTr="00380FE3">
        <w:tc>
          <w:tcPr>
            <w:tcW w:w="598" w:type="pct"/>
            <w:vAlign w:val="center"/>
          </w:tcPr>
          <w:p w14:paraId="0CDE7F9F" w14:textId="77777777" w:rsidR="00380FE3" w:rsidRDefault="00380FE3" w:rsidP="00380FE3">
            <w:pPr>
              <w:rPr>
                <w:noProof/>
                <w:sz w:val="20"/>
                <w:szCs w:val="20"/>
              </w:rPr>
            </w:pPr>
            <w:r>
              <w:rPr>
                <w:noProof/>
                <w:sz w:val="20"/>
                <w:szCs w:val="20"/>
              </w:rPr>
              <w:t xml:space="preserve">Article </w:t>
            </w:r>
            <w:r w:rsidR="000D1D80">
              <w:rPr>
                <w:noProof/>
                <w:sz w:val="20"/>
                <w:szCs w:val="20"/>
              </w:rPr>
              <w:t>19</w:t>
            </w:r>
            <w:r w:rsidR="005E3942">
              <w:rPr>
                <w:noProof/>
                <w:sz w:val="20"/>
                <w:szCs w:val="20"/>
              </w:rPr>
              <w:t>-20</w:t>
            </w:r>
          </w:p>
        </w:tc>
        <w:tc>
          <w:tcPr>
            <w:tcW w:w="2309" w:type="pct"/>
            <w:vAlign w:val="center"/>
          </w:tcPr>
          <w:p w14:paraId="4ED2A524" w14:textId="77777777" w:rsidR="00380FE3" w:rsidRDefault="00380FE3" w:rsidP="00380FE3">
            <w:pPr>
              <w:rPr>
                <w:noProof/>
                <w:sz w:val="20"/>
                <w:szCs w:val="20"/>
              </w:rPr>
            </w:pPr>
            <w:r>
              <w:rPr>
                <w:noProof/>
                <w:sz w:val="20"/>
                <w:szCs w:val="20"/>
              </w:rPr>
              <w:t>Monitoring of foreign investment compliance</w:t>
            </w:r>
          </w:p>
        </w:tc>
        <w:tc>
          <w:tcPr>
            <w:tcW w:w="719" w:type="pct"/>
            <w:vAlign w:val="center"/>
          </w:tcPr>
          <w:p w14:paraId="021640A1" w14:textId="77777777" w:rsidR="00380FE3" w:rsidRDefault="00380FE3" w:rsidP="00380FE3">
            <w:pPr>
              <w:rPr>
                <w:noProof/>
                <w:sz w:val="20"/>
                <w:szCs w:val="20"/>
              </w:rPr>
            </w:pPr>
            <w:r>
              <w:rPr>
                <w:noProof/>
                <w:sz w:val="20"/>
                <w:szCs w:val="20"/>
              </w:rPr>
              <w:t>National competent authorities</w:t>
            </w:r>
          </w:p>
          <w:p w14:paraId="2ABA1F34" w14:textId="77777777" w:rsidR="00380FE3" w:rsidRDefault="00380FE3" w:rsidP="00380FE3">
            <w:pPr>
              <w:rPr>
                <w:noProof/>
                <w:sz w:val="20"/>
                <w:szCs w:val="20"/>
              </w:rPr>
            </w:pPr>
            <w:r>
              <w:rPr>
                <w:noProof/>
                <w:sz w:val="20"/>
                <w:szCs w:val="20"/>
              </w:rPr>
              <w:t>European Commission</w:t>
            </w:r>
          </w:p>
        </w:tc>
        <w:tc>
          <w:tcPr>
            <w:tcW w:w="740" w:type="pct"/>
            <w:vAlign w:val="center"/>
          </w:tcPr>
          <w:p w14:paraId="414BE902" w14:textId="77777777" w:rsidR="00380FE3" w:rsidRDefault="00380FE3" w:rsidP="00380FE3">
            <w:pPr>
              <w:rPr>
                <w:noProof/>
                <w:sz w:val="20"/>
                <w:szCs w:val="20"/>
              </w:rPr>
            </w:pPr>
            <w:r>
              <w:rPr>
                <w:noProof/>
                <w:sz w:val="20"/>
                <w:szCs w:val="20"/>
              </w:rPr>
              <w:t>Reporting</w:t>
            </w:r>
          </w:p>
        </w:tc>
        <w:tc>
          <w:tcPr>
            <w:tcW w:w="633" w:type="pct"/>
            <w:vAlign w:val="center"/>
          </w:tcPr>
          <w:p w14:paraId="1836B76A" w14:textId="77777777" w:rsidR="00380FE3" w:rsidRDefault="00380FE3" w:rsidP="00380FE3">
            <w:pPr>
              <w:rPr>
                <w:noProof/>
                <w:sz w:val="20"/>
                <w:szCs w:val="20"/>
              </w:rPr>
            </w:pPr>
            <w:r>
              <w:rPr>
                <w:noProof/>
                <w:sz w:val="20"/>
                <w:szCs w:val="20"/>
              </w:rPr>
              <w:t>Data</w:t>
            </w:r>
          </w:p>
        </w:tc>
      </w:tr>
      <w:tr w:rsidR="00380FE3" w:rsidRPr="00AD21FF" w14:paraId="1F0EAB01" w14:textId="77777777" w:rsidTr="00380FE3">
        <w:tc>
          <w:tcPr>
            <w:tcW w:w="598" w:type="pct"/>
            <w:vAlign w:val="center"/>
          </w:tcPr>
          <w:p w14:paraId="23562A23" w14:textId="77777777" w:rsidR="00380FE3" w:rsidRDefault="00380FE3" w:rsidP="00380FE3">
            <w:pPr>
              <w:rPr>
                <w:noProof/>
                <w:sz w:val="20"/>
                <w:szCs w:val="20"/>
              </w:rPr>
            </w:pPr>
            <w:r>
              <w:rPr>
                <w:noProof/>
                <w:sz w:val="20"/>
                <w:szCs w:val="20"/>
              </w:rPr>
              <w:t>Article 2</w:t>
            </w:r>
            <w:r w:rsidR="005E3942">
              <w:rPr>
                <w:noProof/>
                <w:sz w:val="20"/>
                <w:szCs w:val="20"/>
              </w:rPr>
              <w:t>2</w:t>
            </w:r>
          </w:p>
        </w:tc>
        <w:tc>
          <w:tcPr>
            <w:tcW w:w="2309" w:type="pct"/>
            <w:vAlign w:val="center"/>
          </w:tcPr>
          <w:p w14:paraId="3B9B36E3" w14:textId="77777777" w:rsidR="00380FE3" w:rsidRDefault="00380FE3" w:rsidP="00380FE3">
            <w:pPr>
              <w:rPr>
                <w:noProof/>
                <w:sz w:val="20"/>
                <w:szCs w:val="20"/>
              </w:rPr>
            </w:pPr>
            <w:r>
              <w:rPr>
                <w:noProof/>
                <w:sz w:val="20"/>
                <w:szCs w:val="20"/>
              </w:rPr>
              <w:t xml:space="preserve">Notification of designated </w:t>
            </w:r>
            <w:r w:rsidR="00055878">
              <w:rPr>
                <w:noProof/>
                <w:sz w:val="20"/>
                <w:szCs w:val="20"/>
              </w:rPr>
              <w:t>industrial manufacturing acceleration areas</w:t>
            </w:r>
            <w:r>
              <w:rPr>
                <w:noProof/>
                <w:sz w:val="20"/>
                <w:szCs w:val="20"/>
              </w:rPr>
              <w:t>, including required assessments, by Member States.</w:t>
            </w:r>
          </w:p>
        </w:tc>
        <w:tc>
          <w:tcPr>
            <w:tcW w:w="719" w:type="pct"/>
            <w:vAlign w:val="center"/>
          </w:tcPr>
          <w:p w14:paraId="4C9588D1" w14:textId="77777777" w:rsidR="00380FE3" w:rsidRDefault="00380FE3" w:rsidP="00380FE3">
            <w:pPr>
              <w:rPr>
                <w:noProof/>
                <w:sz w:val="20"/>
                <w:szCs w:val="20"/>
              </w:rPr>
            </w:pPr>
            <w:r>
              <w:rPr>
                <w:noProof/>
                <w:sz w:val="20"/>
                <w:szCs w:val="20"/>
              </w:rPr>
              <w:t>Member States</w:t>
            </w:r>
          </w:p>
          <w:p w14:paraId="1FAE986A" w14:textId="77777777" w:rsidR="00380FE3" w:rsidRDefault="00380FE3" w:rsidP="00380FE3">
            <w:pPr>
              <w:rPr>
                <w:noProof/>
                <w:sz w:val="20"/>
                <w:szCs w:val="20"/>
              </w:rPr>
            </w:pPr>
            <w:r>
              <w:rPr>
                <w:noProof/>
                <w:sz w:val="20"/>
                <w:szCs w:val="20"/>
              </w:rPr>
              <w:t>European Commission</w:t>
            </w:r>
          </w:p>
        </w:tc>
        <w:tc>
          <w:tcPr>
            <w:tcW w:w="740" w:type="pct"/>
            <w:vAlign w:val="center"/>
          </w:tcPr>
          <w:p w14:paraId="0819CFDC" w14:textId="77777777" w:rsidR="00380FE3" w:rsidRDefault="00380FE3" w:rsidP="00380FE3">
            <w:pPr>
              <w:rPr>
                <w:noProof/>
                <w:sz w:val="20"/>
                <w:szCs w:val="20"/>
              </w:rPr>
            </w:pPr>
            <w:r>
              <w:rPr>
                <w:noProof/>
                <w:sz w:val="20"/>
                <w:szCs w:val="20"/>
              </w:rPr>
              <w:t>Notifications</w:t>
            </w:r>
          </w:p>
        </w:tc>
        <w:tc>
          <w:tcPr>
            <w:tcW w:w="633" w:type="pct"/>
            <w:vAlign w:val="center"/>
          </w:tcPr>
          <w:p w14:paraId="6147EAFC" w14:textId="77777777" w:rsidR="00380FE3" w:rsidRDefault="00380FE3" w:rsidP="00380FE3">
            <w:pPr>
              <w:rPr>
                <w:noProof/>
                <w:sz w:val="20"/>
                <w:szCs w:val="20"/>
              </w:rPr>
            </w:pPr>
            <w:r>
              <w:rPr>
                <w:noProof/>
                <w:sz w:val="20"/>
                <w:szCs w:val="20"/>
              </w:rPr>
              <w:t>Data</w:t>
            </w:r>
          </w:p>
        </w:tc>
      </w:tr>
      <w:tr w:rsidR="00380FE3" w:rsidRPr="00AD21FF" w14:paraId="6850809B" w14:textId="77777777" w:rsidTr="00380FE3">
        <w:tc>
          <w:tcPr>
            <w:tcW w:w="598" w:type="pct"/>
            <w:vAlign w:val="center"/>
          </w:tcPr>
          <w:p w14:paraId="10C2F698" w14:textId="77777777" w:rsidR="00380FE3" w:rsidRDefault="00380FE3" w:rsidP="00380FE3">
            <w:pPr>
              <w:rPr>
                <w:noProof/>
                <w:sz w:val="20"/>
                <w:szCs w:val="20"/>
              </w:rPr>
            </w:pPr>
            <w:r>
              <w:rPr>
                <w:noProof/>
                <w:sz w:val="20"/>
                <w:szCs w:val="20"/>
              </w:rPr>
              <w:t xml:space="preserve">Article </w:t>
            </w:r>
            <w:r w:rsidR="0065385F">
              <w:rPr>
                <w:noProof/>
                <w:sz w:val="20"/>
                <w:szCs w:val="20"/>
              </w:rPr>
              <w:t>24</w:t>
            </w:r>
          </w:p>
        </w:tc>
        <w:tc>
          <w:tcPr>
            <w:tcW w:w="2309" w:type="pct"/>
            <w:vAlign w:val="center"/>
          </w:tcPr>
          <w:p w14:paraId="227AE5A9" w14:textId="77777777" w:rsidR="00380FE3" w:rsidRDefault="00380FE3" w:rsidP="00380FE3">
            <w:pPr>
              <w:rPr>
                <w:noProof/>
                <w:sz w:val="20"/>
                <w:szCs w:val="20"/>
              </w:rPr>
            </w:pPr>
            <w:r>
              <w:rPr>
                <w:noProof/>
                <w:sz w:val="20"/>
                <w:szCs w:val="20"/>
              </w:rPr>
              <w:t>Establishing of an</w:t>
            </w:r>
            <w:r w:rsidRPr="004323E9">
              <w:rPr>
                <w:noProof/>
                <w:sz w:val="20"/>
                <w:szCs w:val="20"/>
              </w:rPr>
              <w:t xml:space="preserve"> aggregated baseline permit that authorises industrial activities</w:t>
            </w:r>
            <w:r>
              <w:rPr>
                <w:noProof/>
                <w:sz w:val="20"/>
                <w:szCs w:val="20"/>
              </w:rPr>
              <w:t xml:space="preserve"> in </w:t>
            </w:r>
            <w:r w:rsidRPr="00B47A2F">
              <w:rPr>
                <w:noProof/>
                <w:sz w:val="20"/>
                <w:szCs w:val="20"/>
              </w:rPr>
              <w:t>designated acceleration area</w:t>
            </w:r>
            <w:r>
              <w:rPr>
                <w:noProof/>
                <w:sz w:val="20"/>
                <w:szCs w:val="20"/>
              </w:rPr>
              <w:t>s.</w:t>
            </w:r>
          </w:p>
        </w:tc>
        <w:tc>
          <w:tcPr>
            <w:tcW w:w="719" w:type="pct"/>
            <w:vAlign w:val="center"/>
          </w:tcPr>
          <w:p w14:paraId="5FC93FF6" w14:textId="77777777" w:rsidR="00380FE3" w:rsidRDefault="00380FE3" w:rsidP="00380FE3">
            <w:pPr>
              <w:rPr>
                <w:noProof/>
                <w:sz w:val="20"/>
                <w:szCs w:val="20"/>
              </w:rPr>
            </w:pPr>
            <w:r>
              <w:rPr>
                <w:noProof/>
                <w:sz w:val="20"/>
                <w:szCs w:val="20"/>
              </w:rPr>
              <w:t>Member States</w:t>
            </w:r>
          </w:p>
          <w:p w14:paraId="46A7A9B7" w14:textId="77777777" w:rsidR="00380FE3" w:rsidRDefault="00380FE3" w:rsidP="00380FE3">
            <w:pPr>
              <w:rPr>
                <w:noProof/>
                <w:sz w:val="20"/>
                <w:szCs w:val="20"/>
              </w:rPr>
            </w:pPr>
            <w:r>
              <w:rPr>
                <w:noProof/>
                <w:sz w:val="20"/>
                <w:szCs w:val="20"/>
              </w:rPr>
              <w:t>National competent authorities</w:t>
            </w:r>
          </w:p>
        </w:tc>
        <w:tc>
          <w:tcPr>
            <w:tcW w:w="740" w:type="pct"/>
            <w:vAlign w:val="center"/>
          </w:tcPr>
          <w:p w14:paraId="2926BA28" w14:textId="77777777" w:rsidR="00380FE3" w:rsidRDefault="00380FE3" w:rsidP="00380FE3">
            <w:pPr>
              <w:rPr>
                <w:noProof/>
                <w:sz w:val="20"/>
                <w:szCs w:val="20"/>
              </w:rPr>
            </w:pPr>
            <w:r>
              <w:rPr>
                <w:noProof/>
                <w:sz w:val="20"/>
                <w:szCs w:val="20"/>
              </w:rPr>
              <w:t>Permit granting</w:t>
            </w:r>
          </w:p>
        </w:tc>
        <w:tc>
          <w:tcPr>
            <w:tcW w:w="633" w:type="pct"/>
            <w:vAlign w:val="center"/>
          </w:tcPr>
          <w:p w14:paraId="4DC060DB" w14:textId="77777777" w:rsidR="00380FE3" w:rsidRDefault="00380FE3" w:rsidP="00380FE3">
            <w:pPr>
              <w:rPr>
                <w:noProof/>
                <w:sz w:val="20"/>
                <w:szCs w:val="20"/>
              </w:rPr>
            </w:pPr>
            <w:r>
              <w:rPr>
                <w:noProof/>
                <w:sz w:val="20"/>
                <w:szCs w:val="20"/>
              </w:rPr>
              <w:t>Process digitalisation and automation</w:t>
            </w:r>
          </w:p>
        </w:tc>
      </w:tr>
      <w:tr w:rsidR="00380FE3" w:rsidRPr="00AD21FF" w14:paraId="5B195A9C" w14:textId="77777777" w:rsidTr="00380FE3">
        <w:tc>
          <w:tcPr>
            <w:tcW w:w="598" w:type="pct"/>
            <w:vAlign w:val="center"/>
          </w:tcPr>
          <w:p w14:paraId="7362AC59" w14:textId="77777777" w:rsidR="00380FE3" w:rsidRDefault="00380FE3" w:rsidP="00380FE3">
            <w:pPr>
              <w:rPr>
                <w:noProof/>
                <w:sz w:val="20"/>
                <w:szCs w:val="20"/>
              </w:rPr>
            </w:pPr>
            <w:r>
              <w:rPr>
                <w:noProof/>
                <w:sz w:val="20"/>
                <w:szCs w:val="20"/>
              </w:rPr>
              <w:t xml:space="preserve">Article </w:t>
            </w:r>
            <w:r w:rsidR="000A700E">
              <w:rPr>
                <w:noProof/>
                <w:sz w:val="20"/>
                <w:szCs w:val="20"/>
              </w:rPr>
              <w:t>37</w:t>
            </w:r>
          </w:p>
        </w:tc>
        <w:tc>
          <w:tcPr>
            <w:tcW w:w="2309" w:type="pct"/>
            <w:vAlign w:val="center"/>
          </w:tcPr>
          <w:p w14:paraId="2B7ABDB5" w14:textId="77777777" w:rsidR="00380FE3" w:rsidRDefault="00380FE3" w:rsidP="00380FE3">
            <w:pPr>
              <w:rPr>
                <w:noProof/>
                <w:sz w:val="20"/>
                <w:szCs w:val="20"/>
              </w:rPr>
            </w:pPr>
            <w:r w:rsidRPr="00710F10">
              <w:rPr>
                <w:noProof/>
                <w:sz w:val="20"/>
                <w:szCs w:val="20"/>
              </w:rPr>
              <w:t>List of areas of information relevant for citizens and business exercising their internal market rights</w:t>
            </w:r>
            <w:r>
              <w:rPr>
                <w:noProof/>
                <w:sz w:val="20"/>
                <w:szCs w:val="20"/>
              </w:rPr>
              <w:t xml:space="preserve"> established by </w:t>
            </w:r>
            <w:r w:rsidRPr="00F22DA4">
              <w:rPr>
                <w:noProof/>
                <w:sz w:val="20"/>
                <w:szCs w:val="20"/>
              </w:rPr>
              <w:t>Regulation (EU) 2018/1724</w:t>
            </w:r>
            <w:r>
              <w:rPr>
                <w:noProof/>
                <w:sz w:val="20"/>
                <w:szCs w:val="20"/>
              </w:rPr>
              <w:t xml:space="preserve"> is extended by information on p</w:t>
            </w:r>
            <w:r w:rsidRPr="00DC6427">
              <w:rPr>
                <w:noProof/>
                <w:sz w:val="20"/>
                <w:szCs w:val="20"/>
              </w:rPr>
              <w:t>ermit-granting procedures</w:t>
            </w:r>
            <w:r>
              <w:rPr>
                <w:noProof/>
                <w:sz w:val="20"/>
                <w:szCs w:val="20"/>
              </w:rPr>
              <w:t>, effectively utilising solutions under the Single Digital Gateway.</w:t>
            </w:r>
          </w:p>
        </w:tc>
        <w:tc>
          <w:tcPr>
            <w:tcW w:w="719" w:type="pct"/>
            <w:vAlign w:val="center"/>
          </w:tcPr>
          <w:p w14:paraId="1ECC8779" w14:textId="77777777" w:rsidR="00380FE3" w:rsidRDefault="00380FE3" w:rsidP="00380FE3">
            <w:pPr>
              <w:rPr>
                <w:noProof/>
                <w:sz w:val="20"/>
                <w:szCs w:val="20"/>
              </w:rPr>
            </w:pPr>
            <w:r>
              <w:rPr>
                <w:noProof/>
                <w:sz w:val="20"/>
                <w:szCs w:val="20"/>
              </w:rPr>
              <w:t>European Commission</w:t>
            </w:r>
          </w:p>
          <w:p w14:paraId="2775E1B5" w14:textId="77777777" w:rsidR="00380FE3" w:rsidRDefault="00380FE3" w:rsidP="00380FE3">
            <w:pPr>
              <w:rPr>
                <w:noProof/>
                <w:sz w:val="20"/>
                <w:szCs w:val="20"/>
              </w:rPr>
            </w:pPr>
            <w:r>
              <w:rPr>
                <w:noProof/>
                <w:sz w:val="20"/>
                <w:szCs w:val="20"/>
              </w:rPr>
              <w:t>Member States</w:t>
            </w:r>
          </w:p>
          <w:p w14:paraId="7060B1CB" w14:textId="77777777" w:rsidR="00380FE3" w:rsidRDefault="00380FE3" w:rsidP="00380FE3">
            <w:pPr>
              <w:rPr>
                <w:noProof/>
                <w:sz w:val="20"/>
                <w:szCs w:val="20"/>
              </w:rPr>
            </w:pPr>
            <w:r>
              <w:rPr>
                <w:noProof/>
                <w:sz w:val="20"/>
                <w:szCs w:val="20"/>
              </w:rPr>
              <w:t>National competent authorities</w:t>
            </w:r>
          </w:p>
          <w:p w14:paraId="4891BF2B" w14:textId="77777777" w:rsidR="00380FE3" w:rsidRDefault="00380FE3" w:rsidP="00380FE3">
            <w:pPr>
              <w:rPr>
                <w:noProof/>
                <w:sz w:val="20"/>
                <w:szCs w:val="20"/>
              </w:rPr>
            </w:pPr>
            <w:r>
              <w:rPr>
                <w:noProof/>
                <w:sz w:val="20"/>
                <w:szCs w:val="20"/>
              </w:rPr>
              <w:t>Economic operators</w:t>
            </w:r>
          </w:p>
          <w:p w14:paraId="1A5FA95E" w14:textId="77777777" w:rsidR="00380FE3" w:rsidRDefault="00380FE3" w:rsidP="00380FE3">
            <w:pPr>
              <w:rPr>
                <w:noProof/>
                <w:sz w:val="20"/>
                <w:szCs w:val="20"/>
              </w:rPr>
            </w:pPr>
            <w:r w:rsidRPr="003347C0">
              <w:rPr>
                <w:noProof/>
                <w:sz w:val="20"/>
                <w:szCs w:val="20"/>
              </w:rPr>
              <w:t>Citizens</w:t>
            </w:r>
          </w:p>
        </w:tc>
        <w:tc>
          <w:tcPr>
            <w:tcW w:w="740" w:type="pct"/>
            <w:vAlign w:val="center"/>
          </w:tcPr>
          <w:p w14:paraId="62F13F55" w14:textId="77777777" w:rsidR="00380FE3" w:rsidRDefault="00380FE3" w:rsidP="00380FE3">
            <w:pPr>
              <w:rPr>
                <w:noProof/>
                <w:sz w:val="20"/>
                <w:szCs w:val="20"/>
              </w:rPr>
            </w:pPr>
            <w:r w:rsidRPr="00056518">
              <w:rPr>
                <w:noProof/>
                <w:sz w:val="20"/>
                <w:szCs w:val="20"/>
              </w:rPr>
              <w:t>Information sharing</w:t>
            </w:r>
          </w:p>
        </w:tc>
        <w:tc>
          <w:tcPr>
            <w:tcW w:w="633" w:type="pct"/>
            <w:vAlign w:val="center"/>
          </w:tcPr>
          <w:p w14:paraId="5C1784F5" w14:textId="77777777" w:rsidR="00380FE3" w:rsidRDefault="00380FE3" w:rsidP="00380FE3">
            <w:pPr>
              <w:rPr>
                <w:noProof/>
                <w:sz w:val="20"/>
                <w:szCs w:val="20"/>
              </w:rPr>
            </w:pPr>
            <w:r>
              <w:rPr>
                <w:noProof/>
                <w:sz w:val="20"/>
                <w:szCs w:val="20"/>
              </w:rPr>
              <w:t>Data</w:t>
            </w:r>
          </w:p>
          <w:p w14:paraId="0D54861F" w14:textId="77777777" w:rsidR="00380FE3" w:rsidRDefault="00380FE3" w:rsidP="00380FE3">
            <w:pPr>
              <w:rPr>
                <w:noProof/>
                <w:sz w:val="20"/>
                <w:szCs w:val="20"/>
              </w:rPr>
            </w:pPr>
            <w:r>
              <w:rPr>
                <w:noProof/>
                <w:sz w:val="20"/>
                <w:szCs w:val="20"/>
              </w:rPr>
              <w:t>Process digitalisation and automation</w:t>
            </w:r>
          </w:p>
          <w:p w14:paraId="7EAA01F0" w14:textId="77777777" w:rsidR="00380FE3" w:rsidRDefault="00380FE3" w:rsidP="00380FE3">
            <w:pPr>
              <w:rPr>
                <w:noProof/>
                <w:sz w:val="20"/>
                <w:szCs w:val="20"/>
              </w:rPr>
            </w:pPr>
            <w:r>
              <w:rPr>
                <w:noProof/>
                <w:sz w:val="20"/>
                <w:szCs w:val="20"/>
              </w:rPr>
              <w:t>Digital Public Service</w:t>
            </w:r>
          </w:p>
        </w:tc>
      </w:tr>
    </w:tbl>
    <w:p w14:paraId="76B5E76A" w14:textId="77777777" w:rsidR="00CA7C31" w:rsidRPr="00AD21FF" w:rsidRDefault="00CA7C31" w:rsidP="00CA7C31">
      <w:pPr>
        <w:pStyle w:val="ManualHeading2"/>
        <w:ind w:left="0" w:firstLine="0"/>
        <w:rPr>
          <w:noProof/>
        </w:rPr>
      </w:pPr>
      <w:r w:rsidRPr="00AD21FF">
        <w:rPr>
          <w:noProof/>
        </w:rPr>
        <w:t>4.2.</w:t>
      </w:r>
      <w:r w:rsidRPr="00AD21FF">
        <w:rPr>
          <w:noProof/>
        </w:rPr>
        <w:tab/>
        <w:t>Data</w:t>
      </w:r>
    </w:p>
    <w:p w14:paraId="3B7BB80E" w14:textId="77777777" w:rsidR="00CA7C31" w:rsidRPr="00AD21FF" w:rsidRDefault="00CA7C31" w:rsidP="00CA7C31">
      <w:pPr>
        <w:rPr>
          <w:noProof/>
        </w:rPr>
      </w:pPr>
      <w:r w:rsidRPr="00AD21FF">
        <w:rPr>
          <w:i/>
          <w:iCs/>
          <w:noProof/>
        </w:rPr>
        <w:t>High-level description of the data in scope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2855"/>
        <w:gridCol w:w="2611"/>
        <w:gridCol w:w="3625"/>
      </w:tblGrid>
      <w:tr w:rsidR="00CA7C31" w:rsidRPr="00AD21FF" w14:paraId="2CF0F920" w14:textId="77777777">
        <w:tc>
          <w:tcPr>
            <w:tcW w:w="1570" w:type="pct"/>
            <w:vAlign w:val="center"/>
            <w:hideMark/>
          </w:tcPr>
          <w:p w14:paraId="1450D651" w14:textId="77777777" w:rsidR="00CA7C31" w:rsidRPr="00AD21FF" w:rsidRDefault="00CA7C31">
            <w:pPr>
              <w:rPr>
                <w:noProof/>
                <w:sz w:val="20"/>
                <w:szCs w:val="20"/>
              </w:rPr>
            </w:pPr>
            <w:r w:rsidRPr="00AD21FF">
              <w:rPr>
                <w:b/>
                <w:noProof/>
                <w:sz w:val="20"/>
                <w:szCs w:val="20"/>
              </w:rPr>
              <w:t>Type of data</w:t>
            </w:r>
          </w:p>
        </w:tc>
        <w:tc>
          <w:tcPr>
            <w:tcW w:w="1436" w:type="pct"/>
            <w:vAlign w:val="center"/>
            <w:hideMark/>
          </w:tcPr>
          <w:p w14:paraId="7C3AA41C" w14:textId="77777777" w:rsidR="00CA7C31" w:rsidRPr="00AD21FF" w:rsidRDefault="00CA7C31">
            <w:pPr>
              <w:rPr>
                <w:noProof/>
                <w:sz w:val="20"/>
                <w:szCs w:val="20"/>
              </w:rPr>
            </w:pPr>
            <w:r w:rsidRPr="00AD21FF">
              <w:rPr>
                <w:b/>
                <w:noProof/>
                <w:sz w:val="20"/>
                <w:szCs w:val="20"/>
              </w:rPr>
              <w:t>Reference to the requirement(s)</w:t>
            </w:r>
          </w:p>
        </w:tc>
        <w:tc>
          <w:tcPr>
            <w:tcW w:w="1994" w:type="pct"/>
            <w:vAlign w:val="center"/>
            <w:hideMark/>
          </w:tcPr>
          <w:p w14:paraId="70B6B956" w14:textId="77777777" w:rsidR="00CA7C31" w:rsidRPr="00AD21FF" w:rsidRDefault="00CA7C31">
            <w:pPr>
              <w:rPr>
                <w:noProof/>
                <w:sz w:val="20"/>
                <w:szCs w:val="20"/>
              </w:rPr>
            </w:pPr>
            <w:r w:rsidRPr="00AD21FF">
              <w:rPr>
                <w:b/>
                <w:noProof/>
                <w:sz w:val="20"/>
                <w:szCs w:val="20"/>
              </w:rPr>
              <w:t>Standard and/or specification (if applicable)</w:t>
            </w:r>
          </w:p>
        </w:tc>
      </w:tr>
      <w:tr w:rsidR="00CA7C31" w:rsidRPr="00AD21FF" w14:paraId="79EBC9BA" w14:textId="77777777">
        <w:tc>
          <w:tcPr>
            <w:tcW w:w="1570" w:type="pct"/>
            <w:hideMark/>
          </w:tcPr>
          <w:p w14:paraId="33921538" w14:textId="77777777" w:rsidR="00CA7C31" w:rsidRPr="00AD21FF" w:rsidRDefault="00CA7C31">
            <w:pPr>
              <w:rPr>
                <w:noProof/>
                <w:sz w:val="20"/>
                <w:szCs w:val="20"/>
              </w:rPr>
            </w:pPr>
            <w:r w:rsidRPr="00AD21FF">
              <w:rPr>
                <w:noProof/>
                <w:sz w:val="20"/>
                <w:szCs w:val="20"/>
              </w:rPr>
              <w:t xml:space="preserve">Permit-granting applications for industrial manufacturing projects </w:t>
            </w:r>
          </w:p>
        </w:tc>
        <w:tc>
          <w:tcPr>
            <w:tcW w:w="1436" w:type="pct"/>
            <w:hideMark/>
          </w:tcPr>
          <w:p w14:paraId="0644E1F5" w14:textId="77777777" w:rsidR="00CA7C31" w:rsidRPr="00AD21FF" w:rsidRDefault="00CA7C31">
            <w:pPr>
              <w:rPr>
                <w:noProof/>
                <w:sz w:val="20"/>
                <w:szCs w:val="20"/>
              </w:rPr>
            </w:pPr>
            <w:r w:rsidRPr="00AD21FF">
              <w:rPr>
                <w:noProof/>
                <w:sz w:val="20"/>
                <w:szCs w:val="20"/>
              </w:rPr>
              <w:t xml:space="preserve">Article </w:t>
            </w:r>
            <w:r w:rsidR="006A6BDB">
              <w:rPr>
                <w:noProof/>
                <w:sz w:val="20"/>
                <w:szCs w:val="20"/>
              </w:rPr>
              <w:t>4</w:t>
            </w:r>
            <w:r w:rsidR="00E7638B">
              <w:rPr>
                <w:noProof/>
                <w:sz w:val="20"/>
                <w:szCs w:val="20"/>
              </w:rPr>
              <w:t xml:space="preserve">, Article </w:t>
            </w:r>
            <w:r w:rsidR="006A6BDB">
              <w:rPr>
                <w:noProof/>
                <w:sz w:val="20"/>
                <w:szCs w:val="20"/>
              </w:rPr>
              <w:t>5</w:t>
            </w:r>
          </w:p>
        </w:tc>
        <w:tc>
          <w:tcPr>
            <w:tcW w:w="1994" w:type="pct"/>
            <w:hideMark/>
          </w:tcPr>
          <w:p w14:paraId="1B9D3AF7" w14:textId="77777777" w:rsidR="00CA7C31" w:rsidRPr="00AD21FF" w:rsidRDefault="00E7638B">
            <w:pPr>
              <w:rPr>
                <w:noProof/>
                <w:sz w:val="20"/>
                <w:szCs w:val="20"/>
              </w:rPr>
            </w:pPr>
            <w:r>
              <w:rPr>
                <w:noProof/>
                <w:sz w:val="20"/>
                <w:szCs w:val="20"/>
              </w:rPr>
              <w:t xml:space="preserve">The Commission is empowered to adopt </w:t>
            </w:r>
            <w:r w:rsidRPr="00335929">
              <w:rPr>
                <w:noProof/>
                <w:sz w:val="20"/>
                <w:szCs w:val="20"/>
              </w:rPr>
              <w:t>implementing acts</w:t>
            </w:r>
            <w:r>
              <w:rPr>
                <w:noProof/>
                <w:sz w:val="20"/>
                <w:szCs w:val="20"/>
              </w:rPr>
              <w:t xml:space="preserve"> to</w:t>
            </w:r>
            <w:r w:rsidRPr="00335929">
              <w:rPr>
                <w:noProof/>
                <w:sz w:val="20"/>
                <w:szCs w:val="20"/>
              </w:rPr>
              <w:t xml:space="preserve"> set out technical standards necessary to ensure the interoperability of the national single </w:t>
            </w:r>
            <w:r w:rsidR="00C16429">
              <w:rPr>
                <w:noProof/>
                <w:sz w:val="20"/>
                <w:szCs w:val="20"/>
              </w:rPr>
              <w:t>access points.</w:t>
            </w:r>
          </w:p>
        </w:tc>
      </w:tr>
      <w:tr w:rsidR="000730D3" w:rsidRPr="00AD21FF" w14:paraId="5D943371" w14:textId="77777777">
        <w:tc>
          <w:tcPr>
            <w:tcW w:w="1570" w:type="pct"/>
          </w:tcPr>
          <w:p w14:paraId="65A6E705" w14:textId="77777777" w:rsidR="000730D3" w:rsidRPr="00AD21FF" w:rsidRDefault="000730D3" w:rsidP="000730D3">
            <w:pPr>
              <w:rPr>
                <w:noProof/>
                <w:sz w:val="20"/>
                <w:szCs w:val="20"/>
              </w:rPr>
            </w:pPr>
            <w:r>
              <w:rPr>
                <w:noProof/>
                <w:sz w:val="20"/>
                <w:szCs w:val="20"/>
              </w:rPr>
              <w:t xml:space="preserve">Data on </w:t>
            </w:r>
            <w:r w:rsidRPr="006E23EE">
              <w:rPr>
                <w:noProof/>
                <w:sz w:val="20"/>
                <w:szCs w:val="20"/>
              </w:rPr>
              <w:t>global manufacturing capacity for emerging strategic sectors</w:t>
            </w:r>
          </w:p>
        </w:tc>
        <w:tc>
          <w:tcPr>
            <w:tcW w:w="1436" w:type="pct"/>
          </w:tcPr>
          <w:p w14:paraId="4EF98DCC" w14:textId="77777777" w:rsidR="000730D3" w:rsidRPr="00AD21FF" w:rsidRDefault="000730D3" w:rsidP="000730D3">
            <w:pPr>
              <w:rPr>
                <w:noProof/>
                <w:sz w:val="20"/>
                <w:szCs w:val="20"/>
              </w:rPr>
            </w:pPr>
            <w:r>
              <w:rPr>
                <w:noProof/>
                <w:sz w:val="20"/>
                <w:szCs w:val="20"/>
              </w:rPr>
              <w:t>Article 2</w:t>
            </w:r>
            <w:r w:rsidR="000A700E">
              <w:rPr>
                <w:noProof/>
                <w:sz w:val="20"/>
                <w:szCs w:val="20"/>
              </w:rPr>
              <w:t>0</w:t>
            </w:r>
          </w:p>
        </w:tc>
        <w:tc>
          <w:tcPr>
            <w:tcW w:w="1994" w:type="pct"/>
          </w:tcPr>
          <w:p w14:paraId="56C1A2ED" w14:textId="77777777" w:rsidR="000730D3" w:rsidRDefault="000730D3" w:rsidP="000730D3">
            <w:pPr>
              <w:rPr>
                <w:noProof/>
                <w:sz w:val="20"/>
                <w:szCs w:val="20"/>
              </w:rPr>
            </w:pPr>
            <w:r w:rsidRPr="007767D1">
              <w:rPr>
                <w:noProof/>
                <w:sz w:val="20"/>
                <w:szCs w:val="20"/>
              </w:rPr>
              <w:t>The Commission shall provide and publish updated information on the most recent year for which data is available for each of the emerging strategic sectors</w:t>
            </w:r>
            <w:r>
              <w:rPr>
                <w:noProof/>
                <w:sz w:val="20"/>
                <w:szCs w:val="20"/>
              </w:rPr>
              <w:t>.</w:t>
            </w:r>
          </w:p>
        </w:tc>
      </w:tr>
      <w:tr w:rsidR="000730D3" w:rsidRPr="00AD21FF" w14:paraId="11250F80" w14:textId="77777777">
        <w:tc>
          <w:tcPr>
            <w:tcW w:w="1570" w:type="pct"/>
          </w:tcPr>
          <w:p w14:paraId="19864B9F" w14:textId="77777777" w:rsidR="000730D3" w:rsidRDefault="000730D3" w:rsidP="000730D3">
            <w:pPr>
              <w:rPr>
                <w:noProof/>
                <w:sz w:val="20"/>
                <w:szCs w:val="20"/>
              </w:rPr>
            </w:pPr>
            <w:r>
              <w:rPr>
                <w:noProof/>
                <w:sz w:val="20"/>
                <w:szCs w:val="20"/>
              </w:rPr>
              <w:t>Prior notification of planned investments by foreign investors</w:t>
            </w:r>
          </w:p>
        </w:tc>
        <w:tc>
          <w:tcPr>
            <w:tcW w:w="1436" w:type="pct"/>
          </w:tcPr>
          <w:p w14:paraId="500FD6DF" w14:textId="77777777" w:rsidR="000730D3" w:rsidRDefault="000730D3" w:rsidP="000730D3">
            <w:pPr>
              <w:rPr>
                <w:noProof/>
                <w:sz w:val="20"/>
                <w:szCs w:val="20"/>
              </w:rPr>
            </w:pPr>
            <w:r>
              <w:rPr>
                <w:noProof/>
                <w:sz w:val="20"/>
                <w:szCs w:val="20"/>
              </w:rPr>
              <w:t xml:space="preserve">Article </w:t>
            </w:r>
            <w:r w:rsidR="00DE2650">
              <w:rPr>
                <w:noProof/>
                <w:sz w:val="20"/>
                <w:szCs w:val="20"/>
              </w:rPr>
              <w:t>1</w:t>
            </w:r>
            <w:r>
              <w:rPr>
                <w:noProof/>
                <w:sz w:val="20"/>
                <w:szCs w:val="20"/>
              </w:rPr>
              <w:t>6</w:t>
            </w:r>
          </w:p>
        </w:tc>
        <w:tc>
          <w:tcPr>
            <w:tcW w:w="1994" w:type="pct"/>
          </w:tcPr>
          <w:p w14:paraId="0AB30720" w14:textId="77777777" w:rsidR="000730D3" w:rsidRPr="007767D1" w:rsidRDefault="000730D3" w:rsidP="000730D3">
            <w:pPr>
              <w:rPr>
                <w:noProof/>
                <w:sz w:val="20"/>
                <w:szCs w:val="20"/>
              </w:rPr>
            </w:pPr>
            <w:r>
              <w:rPr>
                <w:noProof/>
                <w:sz w:val="20"/>
                <w:szCs w:val="20"/>
              </w:rPr>
              <w:t>N/A</w:t>
            </w:r>
          </w:p>
        </w:tc>
      </w:tr>
      <w:tr w:rsidR="000730D3" w:rsidRPr="00AD21FF" w14:paraId="241E967E" w14:textId="77777777">
        <w:tc>
          <w:tcPr>
            <w:tcW w:w="1570" w:type="pct"/>
          </w:tcPr>
          <w:p w14:paraId="55D04FCE" w14:textId="77777777" w:rsidR="000730D3" w:rsidRDefault="000730D3" w:rsidP="000730D3">
            <w:pPr>
              <w:rPr>
                <w:noProof/>
                <w:sz w:val="20"/>
                <w:szCs w:val="20"/>
              </w:rPr>
            </w:pPr>
            <w:r>
              <w:rPr>
                <w:noProof/>
                <w:sz w:val="20"/>
                <w:szCs w:val="20"/>
              </w:rPr>
              <w:t>Reports on foreign investment compliance</w:t>
            </w:r>
          </w:p>
        </w:tc>
        <w:tc>
          <w:tcPr>
            <w:tcW w:w="1436" w:type="pct"/>
          </w:tcPr>
          <w:p w14:paraId="3392756B" w14:textId="77777777" w:rsidR="000730D3" w:rsidRDefault="000730D3" w:rsidP="000730D3">
            <w:pPr>
              <w:rPr>
                <w:noProof/>
                <w:sz w:val="20"/>
                <w:szCs w:val="20"/>
              </w:rPr>
            </w:pPr>
            <w:r>
              <w:rPr>
                <w:noProof/>
                <w:sz w:val="20"/>
                <w:szCs w:val="20"/>
              </w:rPr>
              <w:t xml:space="preserve">Article </w:t>
            </w:r>
            <w:r w:rsidR="00DE2650">
              <w:rPr>
                <w:noProof/>
                <w:sz w:val="20"/>
                <w:szCs w:val="20"/>
              </w:rPr>
              <w:t>19-20</w:t>
            </w:r>
          </w:p>
        </w:tc>
        <w:tc>
          <w:tcPr>
            <w:tcW w:w="1994" w:type="pct"/>
          </w:tcPr>
          <w:p w14:paraId="14AF4CB6" w14:textId="77777777" w:rsidR="000730D3" w:rsidRDefault="000730D3" w:rsidP="000730D3">
            <w:pPr>
              <w:rPr>
                <w:noProof/>
                <w:sz w:val="20"/>
                <w:szCs w:val="20"/>
              </w:rPr>
            </w:pPr>
            <w:r>
              <w:rPr>
                <w:noProof/>
                <w:sz w:val="20"/>
                <w:szCs w:val="20"/>
              </w:rPr>
              <w:t>N/A</w:t>
            </w:r>
          </w:p>
        </w:tc>
      </w:tr>
      <w:tr w:rsidR="000730D3" w:rsidRPr="00AD21FF" w14:paraId="7A06B037" w14:textId="77777777">
        <w:tc>
          <w:tcPr>
            <w:tcW w:w="1570" w:type="pct"/>
          </w:tcPr>
          <w:p w14:paraId="44803857" w14:textId="77777777" w:rsidR="000730D3" w:rsidRDefault="000730D3" w:rsidP="000730D3">
            <w:pPr>
              <w:rPr>
                <w:noProof/>
                <w:sz w:val="20"/>
                <w:szCs w:val="20"/>
              </w:rPr>
            </w:pPr>
            <w:r w:rsidRPr="007F2C33">
              <w:rPr>
                <w:noProof/>
                <w:sz w:val="20"/>
                <w:szCs w:val="20"/>
              </w:rPr>
              <w:t xml:space="preserve">Notification of designated </w:t>
            </w:r>
            <w:r w:rsidR="00055878">
              <w:rPr>
                <w:noProof/>
                <w:sz w:val="20"/>
                <w:szCs w:val="20"/>
              </w:rPr>
              <w:t>industrial manufacturing acceleration areas</w:t>
            </w:r>
          </w:p>
        </w:tc>
        <w:tc>
          <w:tcPr>
            <w:tcW w:w="1436" w:type="pct"/>
          </w:tcPr>
          <w:p w14:paraId="05FE2FE9" w14:textId="77777777" w:rsidR="000730D3" w:rsidRDefault="000730D3" w:rsidP="000730D3">
            <w:pPr>
              <w:rPr>
                <w:noProof/>
                <w:sz w:val="20"/>
                <w:szCs w:val="20"/>
              </w:rPr>
            </w:pPr>
            <w:r>
              <w:rPr>
                <w:noProof/>
                <w:sz w:val="20"/>
                <w:szCs w:val="20"/>
              </w:rPr>
              <w:t>Article 2</w:t>
            </w:r>
            <w:r w:rsidR="00A32A60">
              <w:rPr>
                <w:noProof/>
                <w:sz w:val="20"/>
                <w:szCs w:val="20"/>
              </w:rPr>
              <w:t>2</w:t>
            </w:r>
          </w:p>
        </w:tc>
        <w:tc>
          <w:tcPr>
            <w:tcW w:w="1994" w:type="pct"/>
          </w:tcPr>
          <w:p w14:paraId="0380AA02" w14:textId="77777777" w:rsidR="000730D3" w:rsidRDefault="000730D3" w:rsidP="000730D3">
            <w:pPr>
              <w:rPr>
                <w:noProof/>
                <w:sz w:val="20"/>
                <w:szCs w:val="20"/>
              </w:rPr>
            </w:pPr>
            <w:r>
              <w:rPr>
                <w:noProof/>
                <w:sz w:val="20"/>
                <w:szCs w:val="20"/>
              </w:rPr>
              <w:t>N/A</w:t>
            </w:r>
          </w:p>
        </w:tc>
      </w:tr>
    </w:tbl>
    <w:p w14:paraId="6DA33599" w14:textId="77777777" w:rsidR="00CA7C31" w:rsidRPr="00AD21FF" w:rsidRDefault="00CA7C31" w:rsidP="00CA7C31">
      <w:pPr>
        <w:rPr>
          <w:b/>
          <w:bCs/>
          <w:i/>
          <w:iCs/>
          <w:noProof/>
        </w:rPr>
      </w:pPr>
      <w:r w:rsidRPr="00AD21FF">
        <w:rPr>
          <w:b/>
          <w:bCs/>
          <w:i/>
          <w:iCs/>
          <w:noProof/>
        </w:rPr>
        <w:t>Alignment with the European Data Strategy</w:t>
      </w:r>
    </w:p>
    <w:p w14:paraId="294C2618" w14:textId="77777777" w:rsidR="00CA7C31" w:rsidRPr="00AD21FF" w:rsidRDefault="00CA7C31" w:rsidP="00CA7C31">
      <w:pPr>
        <w:rPr>
          <w:i/>
          <w:iCs/>
          <w:noProof/>
        </w:rPr>
      </w:pPr>
      <w:r w:rsidRPr="00AD21FF">
        <w:rPr>
          <w:i/>
          <w:iCs/>
          <w:noProof/>
        </w:rPr>
        <w:t>Explanation of how the requirement(s) are aligned with the European Data Strategy</w:t>
      </w:r>
    </w:p>
    <w:tbl>
      <w:tblPr>
        <w:tblStyle w:val="TableGrid"/>
        <w:tblW w:w="5000" w:type="pct"/>
        <w:tblLook w:val="04A0" w:firstRow="1" w:lastRow="0" w:firstColumn="1" w:lastColumn="0" w:noHBand="0" w:noVBand="1"/>
      </w:tblPr>
      <w:tblGrid>
        <w:gridCol w:w="9287"/>
      </w:tblGrid>
      <w:tr w:rsidR="00CA7C31" w:rsidRPr="00AD21FF" w14:paraId="5E41923E" w14:textId="77777777">
        <w:tc>
          <w:tcPr>
            <w:tcW w:w="5000" w:type="pct"/>
          </w:tcPr>
          <w:p w14:paraId="695E35C4" w14:textId="77777777" w:rsidR="00CA7C31" w:rsidRPr="00AD21FF" w:rsidRDefault="00F1545F" w:rsidP="00034440">
            <w:pPr>
              <w:rPr>
                <w:rFonts w:eastAsia="Times"/>
                <w:noProof/>
              </w:rPr>
            </w:pPr>
            <w:r>
              <w:rPr>
                <w:noProof/>
              </w:rPr>
              <w:t>This legislative initiative is in line with the use of privately-held data by government authorities (business-to-government – B2G) in order to ensure evidence-driven policy decisions. The digital permitting system shall be designed to ensure interoperability and automated data exchange between competent authorities, the re-use of data and documents already held by public authorities, a high level of cybersecurity and information integrity, as well as transparency and accountability in the permit-granting procedure.</w:t>
            </w:r>
          </w:p>
        </w:tc>
      </w:tr>
    </w:tbl>
    <w:p w14:paraId="14943FE6" w14:textId="77777777" w:rsidR="00CA7C31" w:rsidRPr="00AD21FF" w:rsidRDefault="00CA7C31" w:rsidP="00CA7C31">
      <w:pPr>
        <w:rPr>
          <w:b/>
          <w:bCs/>
          <w:noProof/>
        </w:rPr>
      </w:pPr>
      <w:r w:rsidRPr="00AD21FF">
        <w:rPr>
          <w:b/>
          <w:bCs/>
          <w:noProof/>
        </w:rPr>
        <w:t>Alignment with the once-only principle</w:t>
      </w:r>
    </w:p>
    <w:p w14:paraId="16641933" w14:textId="77777777" w:rsidR="00CA7C31" w:rsidRPr="00AD21FF" w:rsidRDefault="00CA7C31" w:rsidP="00CA7C31">
      <w:pPr>
        <w:rPr>
          <w:i/>
          <w:iCs/>
          <w:noProof/>
        </w:rPr>
      </w:pPr>
      <w:r w:rsidRPr="00AD21FF">
        <w:rPr>
          <w:i/>
          <w:iCs/>
          <w:noProof/>
        </w:rPr>
        <w:t>Explanation of how the once-only principle has been considered and how the possibility to reuse existing data has been explored</w:t>
      </w:r>
    </w:p>
    <w:tbl>
      <w:tblPr>
        <w:tblStyle w:val="TableGrid"/>
        <w:tblW w:w="5000" w:type="pct"/>
        <w:tblLook w:val="04A0" w:firstRow="1" w:lastRow="0" w:firstColumn="1" w:lastColumn="0" w:noHBand="0" w:noVBand="1"/>
      </w:tblPr>
      <w:tblGrid>
        <w:gridCol w:w="9287"/>
      </w:tblGrid>
      <w:tr w:rsidR="00CA7C31" w:rsidRPr="00AD21FF" w14:paraId="17B31ADE" w14:textId="77777777">
        <w:tc>
          <w:tcPr>
            <w:tcW w:w="5000" w:type="pct"/>
          </w:tcPr>
          <w:p w14:paraId="19276750" w14:textId="77777777" w:rsidR="00CA7C31" w:rsidRPr="00AD21FF" w:rsidRDefault="00CA7C31">
            <w:pPr>
              <w:spacing w:before="0" w:after="160"/>
              <w:rPr>
                <w:rFonts w:ascii="Times" w:hAnsi="Times" w:cs="Times"/>
                <w:noProof/>
              </w:rPr>
            </w:pPr>
            <w:r w:rsidRPr="00AD21FF">
              <w:rPr>
                <w:rFonts w:ascii="Times" w:hAnsi="Times" w:cs="Times"/>
                <w:noProof/>
              </w:rPr>
              <w:t>Re-use of data already held by public authorities is ensured. The permit-granting procedures are added in the scope of Single Digital Gateway and Once-Only Technical System.</w:t>
            </w:r>
            <w:r w:rsidR="00A859B4" w:rsidRPr="00A859B4">
              <w:rPr>
                <w:rFonts w:ascii="Times" w:hAnsi="Times" w:cs="Times"/>
                <w:noProof/>
              </w:rPr>
              <w:t xml:space="preserve"> The ‘once-only principle’ is respected in this case to minimise administrative burden on actors operating in the Single Market. Member States and the Commission shall ensure the protection of business confidential information.</w:t>
            </w:r>
          </w:p>
        </w:tc>
      </w:tr>
    </w:tbl>
    <w:p w14:paraId="4D1A6FF8" w14:textId="77777777" w:rsidR="00CA7C31" w:rsidRPr="00AD21FF" w:rsidRDefault="00CA7C31" w:rsidP="00CA7C31">
      <w:pPr>
        <w:rPr>
          <w:noProof/>
        </w:rPr>
      </w:pPr>
      <w:r w:rsidRPr="00AD21FF">
        <w:rPr>
          <w:i/>
          <w:iCs/>
          <w:noProof/>
        </w:rPr>
        <w:t>Explanation of how newly created data is findable, accessible, interoperable and reusable, and meets high-quality standards</w:t>
      </w:r>
    </w:p>
    <w:tbl>
      <w:tblPr>
        <w:tblStyle w:val="TableGrid"/>
        <w:tblW w:w="5000" w:type="pct"/>
        <w:tblLook w:val="04A0" w:firstRow="1" w:lastRow="0" w:firstColumn="1" w:lastColumn="0" w:noHBand="0" w:noVBand="1"/>
      </w:tblPr>
      <w:tblGrid>
        <w:gridCol w:w="9287"/>
      </w:tblGrid>
      <w:tr w:rsidR="00CA7C31" w:rsidRPr="00AD21FF" w14:paraId="473FC378" w14:textId="77777777">
        <w:tc>
          <w:tcPr>
            <w:tcW w:w="5000" w:type="pct"/>
          </w:tcPr>
          <w:p w14:paraId="0A465537" w14:textId="77777777" w:rsidR="00CA7C31" w:rsidRPr="00AD21FF" w:rsidRDefault="00CA7C31">
            <w:pPr>
              <w:rPr>
                <w:noProof/>
              </w:rPr>
            </w:pPr>
            <w:r w:rsidRPr="00AD21FF">
              <w:rPr>
                <w:rFonts w:eastAsia="Times"/>
                <w:noProof/>
              </w:rPr>
              <w:t>The Commission shall, by means of implementing acts, establish detailed rules, technical standards, and procedures necessary to ensure the interoperability, security, and effective functioning of the digital permitting systems.</w:t>
            </w:r>
          </w:p>
        </w:tc>
      </w:tr>
    </w:tbl>
    <w:p w14:paraId="743ABE0A" w14:textId="77777777" w:rsidR="00CA7C31" w:rsidRPr="00AD21FF" w:rsidRDefault="00CA7C31" w:rsidP="00CA7C31">
      <w:pPr>
        <w:rPr>
          <w:b/>
          <w:bCs/>
          <w:noProof/>
        </w:rPr>
      </w:pPr>
      <w:r w:rsidRPr="00AD21FF">
        <w:rPr>
          <w:b/>
          <w:bCs/>
          <w:noProof/>
        </w:rPr>
        <w:t>Data flows</w:t>
      </w:r>
    </w:p>
    <w:p w14:paraId="0C99719C" w14:textId="77777777" w:rsidR="00CA7C31" w:rsidRPr="00AD21FF" w:rsidRDefault="00CA7C31" w:rsidP="00CA7C31">
      <w:pPr>
        <w:rPr>
          <w:i/>
          <w:iCs/>
          <w:noProof/>
        </w:rPr>
      </w:pPr>
      <w:r w:rsidRPr="00AD21FF">
        <w:rPr>
          <w:i/>
          <w:iCs/>
          <w:noProof/>
        </w:rPr>
        <w:t>High-level description of the data flows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732"/>
        <w:gridCol w:w="1695"/>
        <w:gridCol w:w="1369"/>
        <w:gridCol w:w="1502"/>
        <w:gridCol w:w="1411"/>
        <w:gridCol w:w="1382"/>
      </w:tblGrid>
      <w:tr w:rsidR="00CA7C31" w:rsidRPr="00AD21FF" w14:paraId="446190E1" w14:textId="77777777" w:rsidTr="00E54D78">
        <w:tc>
          <w:tcPr>
            <w:tcW w:w="953" w:type="pct"/>
            <w:vAlign w:val="center"/>
            <w:hideMark/>
          </w:tcPr>
          <w:p w14:paraId="75A81767" w14:textId="77777777" w:rsidR="00CA7C31" w:rsidRPr="00AD21FF" w:rsidRDefault="00CA7C31">
            <w:pPr>
              <w:rPr>
                <w:noProof/>
                <w:sz w:val="20"/>
                <w:szCs w:val="20"/>
              </w:rPr>
            </w:pPr>
            <w:r w:rsidRPr="00AD21FF">
              <w:rPr>
                <w:b/>
                <w:noProof/>
                <w:sz w:val="20"/>
                <w:szCs w:val="20"/>
              </w:rPr>
              <w:t>Type of data</w:t>
            </w:r>
          </w:p>
        </w:tc>
        <w:tc>
          <w:tcPr>
            <w:tcW w:w="932" w:type="pct"/>
            <w:vAlign w:val="center"/>
            <w:hideMark/>
          </w:tcPr>
          <w:p w14:paraId="4C96D14A" w14:textId="77777777" w:rsidR="00CA7C31" w:rsidRPr="00AD21FF" w:rsidRDefault="00CA7C31">
            <w:pPr>
              <w:rPr>
                <w:noProof/>
                <w:sz w:val="20"/>
                <w:szCs w:val="20"/>
              </w:rPr>
            </w:pPr>
            <w:r w:rsidRPr="00AD21FF">
              <w:rPr>
                <w:b/>
                <w:noProof/>
                <w:sz w:val="20"/>
                <w:szCs w:val="20"/>
              </w:rPr>
              <w:t>Reference(s) to the requirement(s)</w:t>
            </w:r>
          </w:p>
        </w:tc>
        <w:tc>
          <w:tcPr>
            <w:tcW w:w="753" w:type="pct"/>
            <w:vAlign w:val="center"/>
            <w:hideMark/>
          </w:tcPr>
          <w:p w14:paraId="50E7DBEC" w14:textId="77777777" w:rsidR="00CA7C31" w:rsidRPr="00AD21FF" w:rsidRDefault="00CA7C31">
            <w:pPr>
              <w:rPr>
                <w:noProof/>
                <w:sz w:val="20"/>
                <w:szCs w:val="20"/>
              </w:rPr>
            </w:pPr>
            <w:r w:rsidRPr="00AD21FF">
              <w:rPr>
                <w:b/>
                <w:noProof/>
                <w:sz w:val="20"/>
                <w:szCs w:val="20"/>
              </w:rPr>
              <w:t>Actor who provides the data</w:t>
            </w:r>
          </w:p>
        </w:tc>
        <w:tc>
          <w:tcPr>
            <w:tcW w:w="826" w:type="pct"/>
            <w:vAlign w:val="center"/>
            <w:hideMark/>
          </w:tcPr>
          <w:p w14:paraId="69ECD6FB" w14:textId="77777777" w:rsidR="00CA7C31" w:rsidRPr="00AD21FF" w:rsidRDefault="00CA7C31">
            <w:pPr>
              <w:rPr>
                <w:noProof/>
                <w:sz w:val="20"/>
                <w:szCs w:val="20"/>
              </w:rPr>
            </w:pPr>
            <w:r w:rsidRPr="00AD21FF">
              <w:rPr>
                <w:b/>
                <w:noProof/>
                <w:sz w:val="20"/>
                <w:szCs w:val="20"/>
              </w:rPr>
              <w:t>Actor who receives the data</w:t>
            </w:r>
          </w:p>
        </w:tc>
        <w:tc>
          <w:tcPr>
            <w:tcW w:w="776" w:type="pct"/>
            <w:vAlign w:val="center"/>
            <w:hideMark/>
          </w:tcPr>
          <w:p w14:paraId="3E004AC1" w14:textId="77777777" w:rsidR="00CA7C31" w:rsidRPr="00AD21FF" w:rsidRDefault="00CA7C31">
            <w:pPr>
              <w:rPr>
                <w:noProof/>
                <w:sz w:val="20"/>
                <w:szCs w:val="20"/>
              </w:rPr>
            </w:pPr>
            <w:r w:rsidRPr="00AD21FF">
              <w:rPr>
                <w:b/>
                <w:noProof/>
                <w:sz w:val="20"/>
                <w:szCs w:val="20"/>
              </w:rPr>
              <w:t>Trigger for the data exchange</w:t>
            </w:r>
          </w:p>
        </w:tc>
        <w:tc>
          <w:tcPr>
            <w:tcW w:w="760" w:type="pct"/>
            <w:vAlign w:val="center"/>
            <w:hideMark/>
          </w:tcPr>
          <w:p w14:paraId="2C409359" w14:textId="77777777" w:rsidR="00CA7C31" w:rsidRPr="00AD21FF" w:rsidRDefault="00CA7C31">
            <w:pPr>
              <w:rPr>
                <w:noProof/>
                <w:sz w:val="20"/>
                <w:szCs w:val="20"/>
              </w:rPr>
            </w:pPr>
            <w:r w:rsidRPr="00AD21FF">
              <w:rPr>
                <w:b/>
                <w:noProof/>
                <w:sz w:val="20"/>
                <w:szCs w:val="20"/>
              </w:rPr>
              <w:t>Frequency (if applicable)</w:t>
            </w:r>
          </w:p>
        </w:tc>
      </w:tr>
      <w:tr w:rsidR="00CA7C31" w:rsidRPr="00AD21FF" w14:paraId="1B1441FF" w14:textId="77777777" w:rsidTr="00E54D78">
        <w:tc>
          <w:tcPr>
            <w:tcW w:w="953" w:type="pct"/>
            <w:hideMark/>
          </w:tcPr>
          <w:p w14:paraId="6DFFCF84" w14:textId="77777777" w:rsidR="00CA7C31" w:rsidRPr="00AD21FF" w:rsidRDefault="00CA7C31">
            <w:pPr>
              <w:rPr>
                <w:noProof/>
                <w:sz w:val="20"/>
                <w:szCs w:val="20"/>
              </w:rPr>
            </w:pPr>
            <w:r w:rsidRPr="00AD21FF">
              <w:rPr>
                <w:rFonts w:eastAsia="Calibri"/>
                <w:noProof/>
                <w:sz w:val="20"/>
                <w:szCs w:val="20"/>
              </w:rPr>
              <w:t>Permit-granting applications</w:t>
            </w:r>
          </w:p>
        </w:tc>
        <w:tc>
          <w:tcPr>
            <w:tcW w:w="932" w:type="pct"/>
            <w:hideMark/>
          </w:tcPr>
          <w:p w14:paraId="09C8FB9C" w14:textId="77777777" w:rsidR="00CA7C31" w:rsidRPr="00AD21FF" w:rsidRDefault="00CA7C31">
            <w:pPr>
              <w:rPr>
                <w:noProof/>
                <w:sz w:val="20"/>
                <w:szCs w:val="20"/>
              </w:rPr>
            </w:pPr>
            <w:r w:rsidRPr="00AD21FF">
              <w:rPr>
                <w:noProof/>
                <w:sz w:val="20"/>
                <w:szCs w:val="20"/>
              </w:rPr>
              <w:t xml:space="preserve">Article </w:t>
            </w:r>
            <w:r w:rsidR="00AB4BA3">
              <w:rPr>
                <w:noProof/>
                <w:sz w:val="20"/>
                <w:szCs w:val="20"/>
              </w:rPr>
              <w:t>4</w:t>
            </w:r>
          </w:p>
        </w:tc>
        <w:tc>
          <w:tcPr>
            <w:tcW w:w="753" w:type="pct"/>
            <w:hideMark/>
          </w:tcPr>
          <w:p w14:paraId="7E693E80" w14:textId="77777777" w:rsidR="00CA7C31" w:rsidRPr="00AD21FF" w:rsidRDefault="00CA7C31">
            <w:pPr>
              <w:rPr>
                <w:noProof/>
                <w:sz w:val="20"/>
                <w:szCs w:val="20"/>
              </w:rPr>
            </w:pPr>
            <w:r w:rsidRPr="00AD21FF">
              <w:rPr>
                <w:noProof/>
                <w:sz w:val="20"/>
                <w:szCs w:val="20"/>
              </w:rPr>
              <w:t>Economic Operator</w:t>
            </w:r>
          </w:p>
        </w:tc>
        <w:tc>
          <w:tcPr>
            <w:tcW w:w="826" w:type="pct"/>
            <w:hideMark/>
          </w:tcPr>
          <w:p w14:paraId="268FA27F" w14:textId="77777777" w:rsidR="00CA7C31" w:rsidRPr="00AD21FF" w:rsidRDefault="00CA7C31">
            <w:pPr>
              <w:rPr>
                <w:noProof/>
                <w:sz w:val="20"/>
                <w:szCs w:val="20"/>
              </w:rPr>
            </w:pPr>
            <w:r w:rsidRPr="00AD21FF">
              <w:rPr>
                <w:noProof/>
                <w:sz w:val="20"/>
                <w:szCs w:val="20"/>
              </w:rPr>
              <w:t>National Competent Authority</w:t>
            </w:r>
          </w:p>
        </w:tc>
        <w:tc>
          <w:tcPr>
            <w:tcW w:w="776" w:type="pct"/>
            <w:hideMark/>
          </w:tcPr>
          <w:p w14:paraId="6F59AE7C" w14:textId="77777777" w:rsidR="00CA7C31" w:rsidRPr="00AD21FF" w:rsidRDefault="00CA7C31">
            <w:pPr>
              <w:rPr>
                <w:noProof/>
                <w:sz w:val="20"/>
                <w:szCs w:val="20"/>
              </w:rPr>
            </w:pPr>
            <w:r w:rsidRPr="00AD21FF">
              <w:rPr>
                <w:noProof/>
                <w:sz w:val="20"/>
                <w:szCs w:val="20"/>
              </w:rPr>
              <w:t>Required for permit-granting applications.</w:t>
            </w:r>
          </w:p>
        </w:tc>
        <w:tc>
          <w:tcPr>
            <w:tcW w:w="760" w:type="pct"/>
            <w:hideMark/>
          </w:tcPr>
          <w:p w14:paraId="5E87CEC5" w14:textId="77777777" w:rsidR="00CA7C31" w:rsidRPr="00AD21FF" w:rsidRDefault="00A859B4">
            <w:pPr>
              <w:rPr>
                <w:noProof/>
                <w:sz w:val="20"/>
                <w:szCs w:val="20"/>
              </w:rPr>
            </w:pPr>
            <w:r>
              <w:rPr>
                <w:noProof/>
                <w:sz w:val="20"/>
                <w:szCs w:val="20"/>
              </w:rPr>
              <w:t>N/A</w:t>
            </w:r>
          </w:p>
        </w:tc>
      </w:tr>
      <w:tr w:rsidR="00E54D78" w:rsidRPr="00AD21FF" w14:paraId="73FDF989" w14:textId="77777777" w:rsidTr="00E54D78">
        <w:tc>
          <w:tcPr>
            <w:tcW w:w="953" w:type="pct"/>
          </w:tcPr>
          <w:p w14:paraId="733492B9" w14:textId="77777777" w:rsidR="00E54D78" w:rsidRPr="00AD21FF" w:rsidRDefault="00E54D78" w:rsidP="00E54D78">
            <w:pPr>
              <w:rPr>
                <w:rFonts w:eastAsia="Calibri"/>
                <w:noProof/>
                <w:sz w:val="20"/>
                <w:szCs w:val="20"/>
              </w:rPr>
            </w:pPr>
            <w:r w:rsidRPr="00F9646A">
              <w:rPr>
                <w:rFonts w:eastAsia="Calibri"/>
                <w:noProof/>
                <w:sz w:val="20"/>
                <w:szCs w:val="20"/>
              </w:rPr>
              <w:t>Prior notification of planned investments by foreign investors</w:t>
            </w:r>
          </w:p>
        </w:tc>
        <w:tc>
          <w:tcPr>
            <w:tcW w:w="932" w:type="pct"/>
          </w:tcPr>
          <w:p w14:paraId="42EDC129" w14:textId="77777777" w:rsidR="00E54D78" w:rsidRPr="00AD21FF" w:rsidRDefault="00E54D78" w:rsidP="00E54D78">
            <w:pPr>
              <w:rPr>
                <w:noProof/>
                <w:sz w:val="20"/>
                <w:szCs w:val="20"/>
              </w:rPr>
            </w:pPr>
            <w:r>
              <w:rPr>
                <w:noProof/>
                <w:sz w:val="20"/>
                <w:szCs w:val="20"/>
              </w:rPr>
              <w:t xml:space="preserve">Article </w:t>
            </w:r>
            <w:r w:rsidR="00AB4BA3">
              <w:rPr>
                <w:noProof/>
                <w:sz w:val="20"/>
                <w:szCs w:val="20"/>
              </w:rPr>
              <w:t>1</w:t>
            </w:r>
            <w:r>
              <w:rPr>
                <w:noProof/>
                <w:sz w:val="20"/>
                <w:szCs w:val="20"/>
              </w:rPr>
              <w:t>6</w:t>
            </w:r>
          </w:p>
        </w:tc>
        <w:tc>
          <w:tcPr>
            <w:tcW w:w="753" w:type="pct"/>
          </w:tcPr>
          <w:p w14:paraId="361828C6" w14:textId="77777777" w:rsidR="00E54D78" w:rsidRPr="00AD21FF" w:rsidRDefault="00E54D78" w:rsidP="00E54D78">
            <w:pPr>
              <w:rPr>
                <w:noProof/>
                <w:sz w:val="20"/>
                <w:szCs w:val="20"/>
              </w:rPr>
            </w:pPr>
            <w:r>
              <w:rPr>
                <w:noProof/>
                <w:sz w:val="20"/>
                <w:szCs w:val="20"/>
              </w:rPr>
              <w:t>Economic operator</w:t>
            </w:r>
          </w:p>
        </w:tc>
        <w:tc>
          <w:tcPr>
            <w:tcW w:w="826" w:type="pct"/>
          </w:tcPr>
          <w:p w14:paraId="57E0F677" w14:textId="77777777" w:rsidR="00E54D78" w:rsidRPr="00AD21FF" w:rsidRDefault="00E54D78" w:rsidP="00E54D78">
            <w:pPr>
              <w:rPr>
                <w:noProof/>
                <w:sz w:val="20"/>
                <w:szCs w:val="20"/>
              </w:rPr>
            </w:pPr>
            <w:r>
              <w:rPr>
                <w:noProof/>
                <w:sz w:val="20"/>
                <w:szCs w:val="20"/>
              </w:rPr>
              <w:t>National competent authority</w:t>
            </w:r>
          </w:p>
        </w:tc>
        <w:tc>
          <w:tcPr>
            <w:tcW w:w="776" w:type="pct"/>
          </w:tcPr>
          <w:p w14:paraId="6C5C1875" w14:textId="77777777" w:rsidR="00E54D78" w:rsidRPr="00AD21FF" w:rsidRDefault="00E54D78" w:rsidP="00E54D78">
            <w:pPr>
              <w:rPr>
                <w:noProof/>
                <w:sz w:val="20"/>
                <w:szCs w:val="20"/>
              </w:rPr>
            </w:pPr>
            <w:r>
              <w:rPr>
                <w:noProof/>
                <w:sz w:val="20"/>
                <w:szCs w:val="20"/>
              </w:rPr>
              <w:t>Upon the intention to realise investment</w:t>
            </w:r>
          </w:p>
        </w:tc>
        <w:tc>
          <w:tcPr>
            <w:tcW w:w="760" w:type="pct"/>
          </w:tcPr>
          <w:p w14:paraId="2423298E" w14:textId="77777777" w:rsidR="00E54D78" w:rsidRPr="00AD21FF" w:rsidDel="00A859B4" w:rsidRDefault="00E54D78" w:rsidP="00E54D78">
            <w:pPr>
              <w:rPr>
                <w:noProof/>
                <w:sz w:val="20"/>
                <w:szCs w:val="20"/>
              </w:rPr>
            </w:pPr>
            <w:r>
              <w:rPr>
                <w:noProof/>
                <w:sz w:val="20"/>
                <w:szCs w:val="20"/>
              </w:rPr>
              <w:t>N/A</w:t>
            </w:r>
          </w:p>
        </w:tc>
      </w:tr>
      <w:tr w:rsidR="00E54D78" w:rsidRPr="00AD21FF" w14:paraId="162785C2" w14:textId="77777777" w:rsidTr="00E54D78">
        <w:tc>
          <w:tcPr>
            <w:tcW w:w="953" w:type="pct"/>
          </w:tcPr>
          <w:p w14:paraId="715AEB83" w14:textId="77777777" w:rsidR="00E54D78" w:rsidRPr="00F9646A" w:rsidRDefault="00E54D78" w:rsidP="00E54D78">
            <w:pPr>
              <w:rPr>
                <w:rFonts w:eastAsia="Calibri"/>
                <w:noProof/>
                <w:sz w:val="20"/>
                <w:szCs w:val="20"/>
              </w:rPr>
            </w:pPr>
            <w:r>
              <w:rPr>
                <w:noProof/>
                <w:sz w:val="20"/>
                <w:szCs w:val="20"/>
              </w:rPr>
              <w:t>Reports on foreign investment compliance</w:t>
            </w:r>
          </w:p>
        </w:tc>
        <w:tc>
          <w:tcPr>
            <w:tcW w:w="932" w:type="pct"/>
          </w:tcPr>
          <w:p w14:paraId="4809EC69" w14:textId="77777777" w:rsidR="00E54D78" w:rsidRDefault="00E54D78" w:rsidP="00E54D78">
            <w:pPr>
              <w:rPr>
                <w:noProof/>
                <w:sz w:val="20"/>
                <w:szCs w:val="20"/>
              </w:rPr>
            </w:pPr>
            <w:r>
              <w:rPr>
                <w:noProof/>
                <w:sz w:val="20"/>
                <w:szCs w:val="20"/>
              </w:rPr>
              <w:t xml:space="preserve">Article </w:t>
            </w:r>
            <w:r w:rsidR="00AB4BA3">
              <w:rPr>
                <w:noProof/>
                <w:sz w:val="20"/>
                <w:szCs w:val="20"/>
              </w:rPr>
              <w:t>19-20</w:t>
            </w:r>
          </w:p>
        </w:tc>
        <w:tc>
          <w:tcPr>
            <w:tcW w:w="753" w:type="pct"/>
          </w:tcPr>
          <w:p w14:paraId="3FBF60AB" w14:textId="77777777" w:rsidR="00E54D78" w:rsidRDefault="00E54D78" w:rsidP="00E54D78">
            <w:pPr>
              <w:rPr>
                <w:noProof/>
                <w:sz w:val="20"/>
                <w:szCs w:val="20"/>
              </w:rPr>
            </w:pPr>
            <w:r>
              <w:rPr>
                <w:noProof/>
                <w:sz w:val="20"/>
                <w:szCs w:val="20"/>
              </w:rPr>
              <w:t>National competent authority</w:t>
            </w:r>
          </w:p>
        </w:tc>
        <w:tc>
          <w:tcPr>
            <w:tcW w:w="826" w:type="pct"/>
          </w:tcPr>
          <w:p w14:paraId="2BEC68DF" w14:textId="77777777" w:rsidR="00E54D78" w:rsidRDefault="00E54D78" w:rsidP="00E54D78">
            <w:pPr>
              <w:rPr>
                <w:noProof/>
                <w:sz w:val="20"/>
                <w:szCs w:val="20"/>
              </w:rPr>
            </w:pPr>
            <w:r>
              <w:rPr>
                <w:noProof/>
                <w:sz w:val="20"/>
                <w:szCs w:val="20"/>
              </w:rPr>
              <w:t>European Commission</w:t>
            </w:r>
          </w:p>
        </w:tc>
        <w:tc>
          <w:tcPr>
            <w:tcW w:w="776" w:type="pct"/>
          </w:tcPr>
          <w:p w14:paraId="27800A4E" w14:textId="77777777" w:rsidR="00E54D78" w:rsidRDefault="00E54D78" w:rsidP="00E54D78">
            <w:pPr>
              <w:rPr>
                <w:noProof/>
                <w:sz w:val="20"/>
                <w:szCs w:val="20"/>
              </w:rPr>
            </w:pPr>
            <w:r>
              <w:rPr>
                <w:noProof/>
                <w:sz w:val="20"/>
                <w:szCs w:val="20"/>
              </w:rPr>
              <w:t>Upon request</w:t>
            </w:r>
          </w:p>
        </w:tc>
        <w:tc>
          <w:tcPr>
            <w:tcW w:w="760" w:type="pct"/>
          </w:tcPr>
          <w:p w14:paraId="76181D43" w14:textId="77777777" w:rsidR="00E54D78" w:rsidRDefault="00E54D78" w:rsidP="00E54D78">
            <w:pPr>
              <w:rPr>
                <w:noProof/>
                <w:sz w:val="20"/>
                <w:szCs w:val="20"/>
              </w:rPr>
            </w:pPr>
            <w:r>
              <w:rPr>
                <w:noProof/>
                <w:sz w:val="20"/>
                <w:szCs w:val="20"/>
              </w:rPr>
              <w:t>N/A</w:t>
            </w:r>
          </w:p>
        </w:tc>
      </w:tr>
      <w:tr w:rsidR="00E54D78" w:rsidRPr="00AD21FF" w14:paraId="7553F350" w14:textId="77777777" w:rsidTr="00E54D78">
        <w:tc>
          <w:tcPr>
            <w:tcW w:w="953" w:type="pct"/>
          </w:tcPr>
          <w:p w14:paraId="0543250B" w14:textId="77777777" w:rsidR="00E54D78" w:rsidRDefault="00E54D78" w:rsidP="00E54D78">
            <w:pPr>
              <w:rPr>
                <w:noProof/>
                <w:sz w:val="20"/>
                <w:szCs w:val="20"/>
              </w:rPr>
            </w:pPr>
            <w:r>
              <w:rPr>
                <w:noProof/>
                <w:sz w:val="20"/>
                <w:szCs w:val="20"/>
              </w:rPr>
              <w:t xml:space="preserve">Decision on designated </w:t>
            </w:r>
            <w:r w:rsidR="00055878">
              <w:rPr>
                <w:noProof/>
                <w:sz w:val="20"/>
                <w:szCs w:val="20"/>
              </w:rPr>
              <w:t>industrial manufacturing acceleration areas</w:t>
            </w:r>
          </w:p>
        </w:tc>
        <w:tc>
          <w:tcPr>
            <w:tcW w:w="932" w:type="pct"/>
          </w:tcPr>
          <w:p w14:paraId="7BF0C7FF" w14:textId="77777777" w:rsidR="00E54D78" w:rsidRDefault="00E54D78" w:rsidP="00E54D78">
            <w:pPr>
              <w:rPr>
                <w:noProof/>
                <w:sz w:val="20"/>
                <w:szCs w:val="20"/>
              </w:rPr>
            </w:pPr>
            <w:r>
              <w:rPr>
                <w:noProof/>
                <w:sz w:val="20"/>
                <w:szCs w:val="20"/>
              </w:rPr>
              <w:t>Article 2</w:t>
            </w:r>
            <w:r w:rsidR="00AB4BA3">
              <w:rPr>
                <w:noProof/>
                <w:sz w:val="20"/>
                <w:szCs w:val="20"/>
              </w:rPr>
              <w:t>2</w:t>
            </w:r>
          </w:p>
        </w:tc>
        <w:tc>
          <w:tcPr>
            <w:tcW w:w="753" w:type="pct"/>
          </w:tcPr>
          <w:p w14:paraId="5F3579E5" w14:textId="77777777" w:rsidR="00E54D78" w:rsidRDefault="00E54D78" w:rsidP="00E54D78">
            <w:pPr>
              <w:rPr>
                <w:noProof/>
                <w:sz w:val="20"/>
                <w:szCs w:val="20"/>
              </w:rPr>
            </w:pPr>
            <w:r>
              <w:rPr>
                <w:noProof/>
                <w:sz w:val="20"/>
                <w:szCs w:val="20"/>
              </w:rPr>
              <w:t>Member State</w:t>
            </w:r>
          </w:p>
        </w:tc>
        <w:tc>
          <w:tcPr>
            <w:tcW w:w="826" w:type="pct"/>
          </w:tcPr>
          <w:p w14:paraId="21923490" w14:textId="77777777" w:rsidR="00E54D78" w:rsidRDefault="00E54D78" w:rsidP="00E54D78">
            <w:pPr>
              <w:rPr>
                <w:noProof/>
                <w:sz w:val="20"/>
                <w:szCs w:val="20"/>
              </w:rPr>
            </w:pPr>
            <w:r>
              <w:rPr>
                <w:noProof/>
                <w:sz w:val="20"/>
                <w:szCs w:val="20"/>
              </w:rPr>
              <w:t>European Commission</w:t>
            </w:r>
          </w:p>
        </w:tc>
        <w:tc>
          <w:tcPr>
            <w:tcW w:w="776" w:type="pct"/>
          </w:tcPr>
          <w:p w14:paraId="00F74126" w14:textId="77777777" w:rsidR="00E54D78" w:rsidRDefault="00E54D78" w:rsidP="00E54D78">
            <w:pPr>
              <w:rPr>
                <w:noProof/>
                <w:sz w:val="20"/>
                <w:szCs w:val="20"/>
              </w:rPr>
            </w:pPr>
            <w:r>
              <w:rPr>
                <w:noProof/>
                <w:sz w:val="20"/>
                <w:szCs w:val="20"/>
              </w:rPr>
              <w:t>Decision made</w:t>
            </w:r>
          </w:p>
        </w:tc>
        <w:tc>
          <w:tcPr>
            <w:tcW w:w="760" w:type="pct"/>
          </w:tcPr>
          <w:p w14:paraId="288AF133" w14:textId="77777777" w:rsidR="00E54D78" w:rsidRDefault="00E54D78" w:rsidP="00E54D78">
            <w:pPr>
              <w:rPr>
                <w:noProof/>
                <w:sz w:val="20"/>
                <w:szCs w:val="20"/>
              </w:rPr>
            </w:pPr>
            <w:r>
              <w:rPr>
                <w:noProof/>
                <w:sz w:val="20"/>
                <w:szCs w:val="20"/>
              </w:rPr>
              <w:t>N/A</w:t>
            </w:r>
          </w:p>
        </w:tc>
      </w:tr>
    </w:tbl>
    <w:p w14:paraId="30AA3BD6" w14:textId="77777777" w:rsidR="00CA7C31" w:rsidRPr="00AD21FF" w:rsidRDefault="00CA7C31" w:rsidP="00CA7C31">
      <w:pPr>
        <w:pStyle w:val="ManualHeading2"/>
        <w:ind w:left="0" w:firstLine="0"/>
        <w:rPr>
          <w:noProof/>
        </w:rPr>
      </w:pPr>
      <w:r w:rsidRPr="00AD21FF">
        <w:rPr>
          <w:noProof/>
        </w:rPr>
        <w:t>4.3.</w:t>
      </w:r>
      <w:r w:rsidRPr="00AD21FF">
        <w:rPr>
          <w:noProof/>
        </w:rPr>
        <w:tab/>
        <w:t>Digital solutions</w:t>
      </w:r>
    </w:p>
    <w:p w14:paraId="0DC6550A" w14:textId="77777777" w:rsidR="00CA7C31" w:rsidRPr="00AD21FF" w:rsidRDefault="00CA7C31" w:rsidP="00CA7C31">
      <w:pPr>
        <w:rPr>
          <w:noProof/>
        </w:rPr>
      </w:pPr>
      <w:r w:rsidRPr="00AD21FF">
        <w:rPr>
          <w:i/>
          <w:iCs/>
          <w:noProof/>
        </w:rPr>
        <w:t>For each digital solution, please provide the reference to the requirement(s) of digital relevance concerning it, a description of the digital solution's mandated functionality, the body that will be responsible for it, and other relevant aspects such as reusability and accessibility. Finally, explain whether the digital solution intends to make use of AI technologies</w:t>
      </w:r>
      <w:r w:rsidRPr="00AD21FF">
        <w:rPr>
          <w:noProo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001"/>
        <w:gridCol w:w="1298"/>
        <w:gridCol w:w="1374"/>
        <w:gridCol w:w="1043"/>
        <w:gridCol w:w="1710"/>
        <w:gridCol w:w="1600"/>
        <w:gridCol w:w="1065"/>
      </w:tblGrid>
      <w:tr w:rsidR="00CA7C31" w:rsidRPr="00AD21FF" w14:paraId="722A0717" w14:textId="77777777">
        <w:tc>
          <w:tcPr>
            <w:tcW w:w="614" w:type="pct"/>
            <w:vAlign w:val="center"/>
            <w:hideMark/>
          </w:tcPr>
          <w:p w14:paraId="0CB92160" w14:textId="77777777" w:rsidR="00CA7C31" w:rsidRPr="00AD21FF" w:rsidRDefault="00CA7C31">
            <w:pPr>
              <w:rPr>
                <w:noProof/>
                <w:sz w:val="20"/>
                <w:szCs w:val="20"/>
              </w:rPr>
            </w:pPr>
            <w:r w:rsidRPr="00AD21FF">
              <w:rPr>
                <w:b/>
                <w:noProof/>
                <w:sz w:val="20"/>
                <w:szCs w:val="20"/>
              </w:rPr>
              <w:t>Digital solution</w:t>
            </w:r>
          </w:p>
        </w:tc>
        <w:tc>
          <w:tcPr>
            <w:tcW w:w="607" w:type="pct"/>
            <w:vAlign w:val="center"/>
            <w:hideMark/>
          </w:tcPr>
          <w:p w14:paraId="354210F4" w14:textId="77777777" w:rsidR="00CA7C31" w:rsidRPr="00AD21FF" w:rsidRDefault="00CA7C31">
            <w:pPr>
              <w:rPr>
                <w:noProof/>
                <w:sz w:val="20"/>
                <w:szCs w:val="20"/>
              </w:rPr>
            </w:pPr>
            <w:r w:rsidRPr="00AD21FF">
              <w:rPr>
                <w:b/>
                <w:noProof/>
                <w:sz w:val="20"/>
                <w:szCs w:val="20"/>
              </w:rPr>
              <w:t>Reference(s) to the requirement(s)</w:t>
            </w:r>
          </w:p>
        </w:tc>
        <w:tc>
          <w:tcPr>
            <w:tcW w:w="819" w:type="pct"/>
            <w:vAlign w:val="center"/>
            <w:hideMark/>
          </w:tcPr>
          <w:p w14:paraId="42913981" w14:textId="77777777" w:rsidR="00CA7C31" w:rsidRPr="00AD21FF" w:rsidRDefault="00CA7C31">
            <w:pPr>
              <w:rPr>
                <w:noProof/>
                <w:sz w:val="20"/>
                <w:szCs w:val="20"/>
              </w:rPr>
            </w:pPr>
            <w:r w:rsidRPr="00AD21FF">
              <w:rPr>
                <w:b/>
                <w:noProof/>
                <w:sz w:val="20"/>
                <w:szCs w:val="20"/>
              </w:rPr>
              <w:t>Main mandated functionalities</w:t>
            </w:r>
          </w:p>
        </w:tc>
        <w:tc>
          <w:tcPr>
            <w:tcW w:w="496" w:type="pct"/>
            <w:vAlign w:val="center"/>
            <w:hideMark/>
          </w:tcPr>
          <w:p w14:paraId="5857F409" w14:textId="77777777" w:rsidR="00CA7C31" w:rsidRPr="00AD21FF" w:rsidRDefault="00CA7C31">
            <w:pPr>
              <w:rPr>
                <w:noProof/>
                <w:sz w:val="20"/>
                <w:szCs w:val="20"/>
              </w:rPr>
            </w:pPr>
            <w:r w:rsidRPr="00AD21FF">
              <w:rPr>
                <w:b/>
                <w:noProof/>
                <w:sz w:val="20"/>
                <w:szCs w:val="20"/>
              </w:rPr>
              <w:t>Responsible body</w:t>
            </w:r>
          </w:p>
        </w:tc>
        <w:tc>
          <w:tcPr>
            <w:tcW w:w="1004" w:type="pct"/>
            <w:vAlign w:val="center"/>
            <w:hideMark/>
          </w:tcPr>
          <w:p w14:paraId="4139E5DF" w14:textId="77777777" w:rsidR="00CA7C31" w:rsidRPr="00AD21FF" w:rsidRDefault="00CA7C31">
            <w:pPr>
              <w:rPr>
                <w:noProof/>
                <w:sz w:val="20"/>
                <w:szCs w:val="20"/>
              </w:rPr>
            </w:pPr>
            <w:r w:rsidRPr="00AD21FF">
              <w:rPr>
                <w:b/>
                <w:noProof/>
                <w:sz w:val="20"/>
                <w:szCs w:val="20"/>
              </w:rPr>
              <w:t>How is accessibility catered for?</w:t>
            </w:r>
          </w:p>
        </w:tc>
        <w:tc>
          <w:tcPr>
            <w:tcW w:w="943" w:type="pct"/>
            <w:vAlign w:val="center"/>
            <w:hideMark/>
          </w:tcPr>
          <w:p w14:paraId="6534655D" w14:textId="77777777" w:rsidR="00CA7C31" w:rsidRPr="00AD21FF" w:rsidRDefault="00CA7C31">
            <w:pPr>
              <w:rPr>
                <w:noProof/>
                <w:sz w:val="20"/>
                <w:szCs w:val="20"/>
              </w:rPr>
            </w:pPr>
            <w:r w:rsidRPr="00AD21FF">
              <w:rPr>
                <w:b/>
                <w:noProof/>
                <w:sz w:val="20"/>
                <w:szCs w:val="20"/>
              </w:rPr>
              <w:t>How is reusability considered?</w:t>
            </w:r>
          </w:p>
        </w:tc>
        <w:tc>
          <w:tcPr>
            <w:tcW w:w="517" w:type="pct"/>
            <w:vAlign w:val="center"/>
            <w:hideMark/>
          </w:tcPr>
          <w:p w14:paraId="26219A52" w14:textId="77777777" w:rsidR="00CA7C31" w:rsidRPr="00AD21FF" w:rsidRDefault="00CA7C31">
            <w:pPr>
              <w:rPr>
                <w:noProof/>
                <w:sz w:val="20"/>
                <w:szCs w:val="20"/>
              </w:rPr>
            </w:pPr>
            <w:r w:rsidRPr="00AD21FF">
              <w:rPr>
                <w:b/>
                <w:noProof/>
                <w:sz w:val="20"/>
                <w:szCs w:val="20"/>
              </w:rPr>
              <w:t>Use of AI technologies (if applicable)</w:t>
            </w:r>
          </w:p>
        </w:tc>
      </w:tr>
      <w:tr w:rsidR="00CA7C31" w:rsidRPr="00AD21FF" w14:paraId="3C2120F6" w14:textId="77777777">
        <w:tc>
          <w:tcPr>
            <w:tcW w:w="614" w:type="pct"/>
            <w:hideMark/>
          </w:tcPr>
          <w:p w14:paraId="515EEC40" w14:textId="77777777" w:rsidR="00CA7C31" w:rsidRPr="00AD21FF" w:rsidRDefault="00CA7C31">
            <w:pPr>
              <w:rPr>
                <w:noProof/>
                <w:sz w:val="20"/>
                <w:szCs w:val="20"/>
              </w:rPr>
            </w:pPr>
            <w:r w:rsidRPr="00AD21FF">
              <w:rPr>
                <w:noProof/>
                <w:sz w:val="20"/>
                <w:szCs w:val="20"/>
              </w:rPr>
              <w:t>Digital Permitting System</w:t>
            </w:r>
          </w:p>
        </w:tc>
        <w:tc>
          <w:tcPr>
            <w:tcW w:w="607" w:type="pct"/>
            <w:hideMark/>
          </w:tcPr>
          <w:p w14:paraId="419A267F" w14:textId="77777777" w:rsidR="00CA7C31" w:rsidRPr="00AD21FF" w:rsidRDefault="00CA7C31">
            <w:pPr>
              <w:rPr>
                <w:noProof/>
                <w:sz w:val="20"/>
                <w:szCs w:val="20"/>
              </w:rPr>
            </w:pPr>
            <w:r w:rsidRPr="00AD21FF">
              <w:rPr>
                <w:noProof/>
                <w:sz w:val="20"/>
                <w:szCs w:val="20"/>
              </w:rPr>
              <w:t xml:space="preserve">Article </w:t>
            </w:r>
            <w:r w:rsidR="00AB4BA3">
              <w:rPr>
                <w:noProof/>
                <w:sz w:val="20"/>
                <w:szCs w:val="20"/>
              </w:rPr>
              <w:t>4</w:t>
            </w:r>
          </w:p>
        </w:tc>
        <w:tc>
          <w:tcPr>
            <w:tcW w:w="819" w:type="pct"/>
            <w:hideMark/>
          </w:tcPr>
          <w:p w14:paraId="51C3A868" w14:textId="77777777" w:rsidR="00CA7C31" w:rsidRPr="00AD21FF" w:rsidRDefault="00CA7C31">
            <w:pPr>
              <w:rPr>
                <w:rFonts w:eastAsia="Times"/>
                <w:noProof/>
                <w:sz w:val="20"/>
                <w:szCs w:val="20"/>
              </w:rPr>
            </w:pPr>
            <w:r w:rsidRPr="00AD21FF">
              <w:rPr>
                <w:rFonts w:eastAsia="Times"/>
                <w:noProof/>
                <w:sz w:val="20"/>
                <w:szCs w:val="20"/>
              </w:rPr>
              <w:t>Permit-granting procedures for industrial manufacturing are carried out through fully digital means.</w:t>
            </w:r>
          </w:p>
          <w:p w14:paraId="5A20888E" w14:textId="77777777" w:rsidR="00CA7C31" w:rsidRPr="00AD21FF" w:rsidRDefault="00CA7C31">
            <w:pPr>
              <w:rPr>
                <w:noProof/>
                <w:sz w:val="20"/>
                <w:szCs w:val="20"/>
              </w:rPr>
            </w:pPr>
            <w:r w:rsidRPr="00AD21FF">
              <w:rPr>
                <w:rFonts w:eastAsia="Times"/>
                <w:noProof/>
                <w:sz w:val="20"/>
                <w:szCs w:val="20"/>
              </w:rPr>
              <w:t>The system shall provide</w:t>
            </w:r>
            <w:r w:rsidRPr="00AD21FF">
              <w:rPr>
                <w:noProof/>
                <w:sz w:val="20"/>
                <w:szCs w:val="20"/>
              </w:rPr>
              <w:t xml:space="preserve"> a single user interface enabling interaction with the relevant public services.</w:t>
            </w:r>
          </w:p>
          <w:p w14:paraId="2D238335" w14:textId="77777777" w:rsidR="00CA7C31" w:rsidRPr="00AD21FF" w:rsidRDefault="00CA7C31">
            <w:pPr>
              <w:rPr>
                <w:noProof/>
                <w:sz w:val="20"/>
                <w:szCs w:val="20"/>
              </w:rPr>
            </w:pPr>
            <w:r w:rsidRPr="00AD21FF">
              <w:rPr>
                <w:noProof/>
                <w:sz w:val="20"/>
                <w:szCs w:val="20"/>
              </w:rPr>
              <w:t>The digital permitting system shall enable the paperless submission, tracking, and decision-making of permit applications.</w:t>
            </w:r>
          </w:p>
        </w:tc>
        <w:tc>
          <w:tcPr>
            <w:tcW w:w="496" w:type="pct"/>
            <w:hideMark/>
          </w:tcPr>
          <w:p w14:paraId="466D5701" w14:textId="77777777" w:rsidR="00E54D78" w:rsidRDefault="00E54D78">
            <w:pPr>
              <w:rPr>
                <w:noProof/>
                <w:sz w:val="20"/>
                <w:szCs w:val="20"/>
              </w:rPr>
            </w:pPr>
            <w:r>
              <w:rPr>
                <w:noProof/>
                <w:sz w:val="20"/>
                <w:szCs w:val="20"/>
              </w:rPr>
              <w:t>Member States</w:t>
            </w:r>
          </w:p>
          <w:p w14:paraId="6BAF9787" w14:textId="77777777" w:rsidR="00CA7C31" w:rsidRPr="00AD21FF" w:rsidRDefault="00CA7C31">
            <w:pPr>
              <w:rPr>
                <w:noProof/>
                <w:sz w:val="20"/>
                <w:szCs w:val="20"/>
              </w:rPr>
            </w:pPr>
            <w:r w:rsidRPr="00AD21FF">
              <w:rPr>
                <w:noProof/>
                <w:sz w:val="20"/>
                <w:szCs w:val="20"/>
              </w:rPr>
              <w:t>National Competent Authorit</w:t>
            </w:r>
            <w:r w:rsidR="00E54D78">
              <w:rPr>
                <w:noProof/>
                <w:sz w:val="20"/>
                <w:szCs w:val="20"/>
              </w:rPr>
              <w:t>ies</w:t>
            </w:r>
          </w:p>
        </w:tc>
        <w:tc>
          <w:tcPr>
            <w:tcW w:w="1004" w:type="pct"/>
            <w:hideMark/>
          </w:tcPr>
          <w:p w14:paraId="4A5511E6" w14:textId="77777777" w:rsidR="00CA7C31" w:rsidRPr="00AD21FF" w:rsidRDefault="00CA7C31" w:rsidP="005E4441">
            <w:pPr>
              <w:spacing w:after="0"/>
              <w:rPr>
                <w:noProof/>
                <w:sz w:val="20"/>
                <w:szCs w:val="20"/>
              </w:rPr>
            </w:pPr>
            <w:r w:rsidRPr="00AD21FF">
              <w:rPr>
                <w:noProof/>
                <w:sz w:val="20"/>
                <w:szCs w:val="20"/>
              </w:rPr>
              <w:t>The digital permitting system shall enable the paperless submission, tracking, and decision-making of permit applications and shall be designed to ensure user-friendliness and accessibility for all applicants, including persons with disabilities.</w:t>
            </w:r>
          </w:p>
        </w:tc>
        <w:tc>
          <w:tcPr>
            <w:tcW w:w="943" w:type="pct"/>
            <w:hideMark/>
          </w:tcPr>
          <w:p w14:paraId="3C9C8823" w14:textId="77777777" w:rsidR="00CA7C31" w:rsidRPr="00AD21FF" w:rsidRDefault="00CA7C31">
            <w:pPr>
              <w:rPr>
                <w:noProof/>
                <w:sz w:val="20"/>
                <w:szCs w:val="20"/>
              </w:rPr>
            </w:pPr>
            <w:r w:rsidRPr="00AD21FF">
              <w:rPr>
                <w:noProof/>
                <w:sz w:val="20"/>
                <w:szCs w:val="20"/>
              </w:rPr>
              <w:t>The digital permitting system shall enable the paperless submission, tracking, and decision-making of permit applications and shall be designed to ensure re-use of data and documents already held by public authorities.</w:t>
            </w:r>
          </w:p>
        </w:tc>
        <w:tc>
          <w:tcPr>
            <w:tcW w:w="517" w:type="pct"/>
            <w:hideMark/>
          </w:tcPr>
          <w:p w14:paraId="5C1F698D" w14:textId="77777777" w:rsidR="00CA7C31" w:rsidRPr="00AD21FF" w:rsidRDefault="00CA7C31">
            <w:pPr>
              <w:rPr>
                <w:noProof/>
                <w:sz w:val="20"/>
                <w:szCs w:val="20"/>
              </w:rPr>
            </w:pPr>
            <w:r w:rsidRPr="00AD21FF">
              <w:rPr>
                <w:noProof/>
                <w:sz w:val="20"/>
                <w:szCs w:val="20"/>
              </w:rPr>
              <w:t>//</w:t>
            </w:r>
          </w:p>
        </w:tc>
      </w:tr>
    </w:tbl>
    <w:p w14:paraId="5DFA55EE" w14:textId="77777777" w:rsidR="00CA7C31" w:rsidRPr="00AD21FF" w:rsidRDefault="00CA7C31" w:rsidP="00CA7C31">
      <w:pPr>
        <w:rPr>
          <w:noProof/>
        </w:rPr>
      </w:pPr>
      <w:r w:rsidRPr="00AD21FF">
        <w:rPr>
          <w:i/>
          <w:iCs/>
          <w:noProof/>
        </w:rPr>
        <w:t>For each digital solution, explanation of how the digital solution complies with applicable digital policies and legislative enactments</w:t>
      </w:r>
    </w:p>
    <w:p w14:paraId="67BF801F" w14:textId="77777777" w:rsidR="00CA7C31" w:rsidRPr="00AD21FF" w:rsidRDefault="00CA7C31" w:rsidP="00CA7C31">
      <w:pPr>
        <w:rPr>
          <w:b/>
          <w:noProof/>
          <w:u w:val="single"/>
        </w:rPr>
      </w:pPr>
      <w:r w:rsidRPr="00AD21FF">
        <w:rPr>
          <w:b/>
          <w:noProof/>
          <w:u w:val="single"/>
        </w:rPr>
        <w:t xml:space="preserve">Digital Permitting </w:t>
      </w:r>
      <w:r w:rsidRPr="00AD21FF">
        <w:rPr>
          <w:b/>
          <w:bCs/>
          <w:noProof/>
          <w:u w:val="single"/>
        </w:rPr>
        <w:t>System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2656"/>
        <w:gridCol w:w="6435"/>
      </w:tblGrid>
      <w:tr w:rsidR="00CA7C31" w:rsidRPr="00AD21FF" w14:paraId="1B3D86B2" w14:textId="77777777">
        <w:trPr>
          <w:tblHeader/>
        </w:trPr>
        <w:tc>
          <w:tcPr>
            <w:tcW w:w="1461" w:type="pct"/>
            <w:vAlign w:val="center"/>
            <w:hideMark/>
          </w:tcPr>
          <w:p w14:paraId="38A31E59" w14:textId="77777777" w:rsidR="00CA7C31" w:rsidRPr="00AD21FF" w:rsidRDefault="00CA7C31">
            <w:pPr>
              <w:rPr>
                <w:noProof/>
                <w:sz w:val="20"/>
                <w:szCs w:val="20"/>
              </w:rPr>
            </w:pPr>
            <w:r w:rsidRPr="00AD21FF">
              <w:rPr>
                <w:b/>
                <w:noProof/>
                <w:sz w:val="20"/>
                <w:szCs w:val="20"/>
              </w:rPr>
              <w:t>Digital and/or sectorial policy (when these are applicable)</w:t>
            </w:r>
          </w:p>
        </w:tc>
        <w:tc>
          <w:tcPr>
            <w:tcW w:w="3539" w:type="pct"/>
            <w:vAlign w:val="center"/>
            <w:hideMark/>
          </w:tcPr>
          <w:p w14:paraId="64D00430" w14:textId="77777777" w:rsidR="00CA7C31" w:rsidRPr="00AD21FF" w:rsidRDefault="00CA7C31">
            <w:pPr>
              <w:rPr>
                <w:noProof/>
                <w:sz w:val="20"/>
                <w:szCs w:val="20"/>
              </w:rPr>
            </w:pPr>
            <w:r w:rsidRPr="00AD21FF">
              <w:rPr>
                <w:b/>
                <w:noProof/>
                <w:sz w:val="20"/>
                <w:szCs w:val="20"/>
              </w:rPr>
              <w:t>Explanation on how it aligns</w:t>
            </w:r>
          </w:p>
        </w:tc>
      </w:tr>
      <w:tr w:rsidR="00CA7C31" w:rsidRPr="00AD21FF" w14:paraId="6BD8340F" w14:textId="77777777">
        <w:tc>
          <w:tcPr>
            <w:tcW w:w="1461" w:type="pct"/>
            <w:hideMark/>
          </w:tcPr>
          <w:p w14:paraId="22652BAA" w14:textId="77777777" w:rsidR="00CA7C31" w:rsidRPr="00AD21FF" w:rsidRDefault="00CA7C31">
            <w:pPr>
              <w:rPr>
                <w:noProof/>
                <w:sz w:val="20"/>
                <w:szCs w:val="20"/>
              </w:rPr>
            </w:pPr>
            <w:r w:rsidRPr="00AD21FF" w:rsidDel="00B60CF7">
              <w:rPr>
                <w:b/>
                <w:i/>
                <w:noProof/>
                <w:sz w:val="20"/>
                <w:szCs w:val="20"/>
              </w:rPr>
              <w:t>AI Act</w:t>
            </w:r>
          </w:p>
        </w:tc>
        <w:tc>
          <w:tcPr>
            <w:tcW w:w="3539" w:type="pct"/>
            <w:hideMark/>
          </w:tcPr>
          <w:p w14:paraId="1E48D9CC" w14:textId="77777777" w:rsidR="00CA7C31" w:rsidRPr="00AD21FF" w:rsidRDefault="00CA7C31">
            <w:pPr>
              <w:rPr>
                <w:noProof/>
                <w:sz w:val="20"/>
                <w:szCs w:val="20"/>
              </w:rPr>
            </w:pPr>
            <w:r w:rsidRPr="00AD21FF">
              <w:rPr>
                <w:noProof/>
                <w:sz w:val="20"/>
                <w:szCs w:val="20"/>
              </w:rPr>
              <w:t>N/A</w:t>
            </w:r>
          </w:p>
        </w:tc>
      </w:tr>
      <w:tr w:rsidR="00CA7C31" w:rsidRPr="00AD21FF" w14:paraId="192D3537" w14:textId="77777777">
        <w:tc>
          <w:tcPr>
            <w:tcW w:w="1461" w:type="pct"/>
            <w:hideMark/>
          </w:tcPr>
          <w:p w14:paraId="60521231" w14:textId="77777777" w:rsidR="00CA7C31" w:rsidRPr="00AD21FF" w:rsidRDefault="00CA7C31">
            <w:pPr>
              <w:rPr>
                <w:noProof/>
                <w:sz w:val="20"/>
                <w:szCs w:val="20"/>
              </w:rPr>
            </w:pPr>
            <w:r w:rsidRPr="00AD21FF" w:rsidDel="00B60CF7">
              <w:rPr>
                <w:b/>
                <w:i/>
                <w:noProof/>
                <w:sz w:val="20"/>
                <w:szCs w:val="20"/>
              </w:rPr>
              <w:t>EU Cybersecurity framework</w:t>
            </w:r>
          </w:p>
        </w:tc>
        <w:tc>
          <w:tcPr>
            <w:tcW w:w="3539" w:type="pct"/>
            <w:hideMark/>
          </w:tcPr>
          <w:p w14:paraId="4790CD9F" w14:textId="77777777" w:rsidR="00CA7C31" w:rsidRPr="00AD21FF" w:rsidRDefault="00CA7C31">
            <w:pPr>
              <w:rPr>
                <w:noProof/>
                <w:sz w:val="20"/>
                <w:szCs w:val="20"/>
              </w:rPr>
            </w:pPr>
            <w:r w:rsidRPr="00AD21FF">
              <w:rPr>
                <w:noProof/>
                <w:sz w:val="20"/>
                <w:szCs w:val="20"/>
              </w:rPr>
              <w:t>The National Digital Permitting System shall be designed to ensure a high level of data protection, cybersecurity, and integrity of information.</w:t>
            </w:r>
          </w:p>
        </w:tc>
      </w:tr>
      <w:tr w:rsidR="00CA7C31" w:rsidRPr="00AD21FF" w14:paraId="26466426" w14:textId="77777777">
        <w:tc>
          <w:tcPr>
            <w:tcW w:w="1461" w:type="pct"/>
            <w:hideMark/>
          </w:tcPr>
          <w:p w14:paraId="765F3A65" w14:textId="77777777" w:rsidR="00CA7C31" w:rsidRPr="00AD21FF" w:rsidRDefault="00CA7C31">
            <w:pPr>
              <w:rPr>
                <w:noProof/>
                <w:sz w:val="20"/>
                <w:szCs w:val="20"/>
              </w:rPr>
            </w:pPr>
            <w:r w:rsidRPr="00AD21FF" w:rsidDel="00B60CF7">
              <w:rPr>
                <w:b/>
                <w:i/>
                <w:noProof/>
                <w:sz w:val="20"/>
                <w:szCs w:val="20"/>
              </w:rPr>
              <w:t>eIDAS</w:t>
            </w:r>
          </w:p>
        </w:tc>
        <w:tc>
          <w:tcPr>
            <w:tcW w:w="3539" w:type="pct"/>
            <w:hideMark/>
          </w:tcPr>
          <w:p w14:paraId="3E503678" w14:textId="77777777" w:rsidR="00CA7C31" w:rsidRPr="00AD21FF" w:rsidRDefault="00CA7C31">
            <w:pPr>
              <w:rPr>
                <w:noProof/>
                <w:sz w:val="20"/>
                <w:szCs w:val="20"/>
              </w:rPr>
            </w:pPr>
            <w:r w:rsidRPr="00AD21FF">
              <w:rPr>
                <w:noProof/>
                <w:sz w:val="20"/>
                <w:szCs w:val="20"/>
              </w:rPr>
              <w:t>//</w:t>
            </w:r>
          </w:p>
        </w:tc>
      </w:tr>
      <w:tr w:rsidR="00CA7C31" w:rsidRPr="00AD21FF" w14:paraId="57694B7A" w14:textId="77777777">
        <w:tc>
          <w:tcPr>
            <w:tcW w:w="1461" w:type="pct"/>
            <w:hideMark/>
          </w:tcPr>
          <w:p w14:paraId="757CD560" w14:textId="77777777" w:rsidR="00CA7C31" w:rsidRPr="00AD21FF" w:rsidRDefault="00CA7C31">
            <w:pPr>
              <w:rPr>
                <w:noProof/>
                <w:sz w:val="20"/>
                <w:szCs w:val="20"/>
              </w:rPr>
            </w:pPr>
            <w:r w:rsidRPr="00AD21FF" w:rsidDel="00B60CF7">
              <w:rPr>
                <w:b/>
                <w:i/>
                <w:noProof/>
                <w:sz w:val="20"/>
                <w:szCs w:val="20"/>
              </w:rPr>
              <w:t>Single Digital Gateway and IMI</w:t>
            </w:r>
          </w:p>
        </w:tc>
        <w:tc>
          <w:tcPr>
            <w:tcW w:w="3539" w:type="pct"/>
            <w:hideMark/>
          </w:tcPr>
          <w:p w14:paraId="5112C055" w14:textId="77777777" w:rsidR="00CA7C31" w:rsidRPr="00AD21FF" w:rsidRDefault="00CA7C31">
            <w:pPr>
              <w:rPr>
                <w:noProof/>
                <w:sz w:val="20"/>
                <w:szCs w:val="20"/>
              </w:rPr>
            </w:pPr>
            <w:r w:rsidRPr="00AD21FF">
              <w:rPr>
                <w:noProof/>
                <w:sz w:val="20"/>
                <w:szCs w:val="20"/>
              </w:rPr>
              <w:t xml:space="preserve">The Single Digital Gateway Regulation is amended to include in its scope </w:t>
            </w:r>
            <w:r w:rsidRPr="00AD21FF">
              <w:rPr>
                <w:rFonts w:eastAsia="Aptos"/>
                <w:noProof/>
                <w:sz w:val="20"/>
                <w:szCs w:val="20"/>
              </w:rPr>
              <w:t xml:space="preserve">Information on permit-granting </w:t>
            </w:r>
            <w:r w:rsidR="00E54D78" w:rsidRPr="00AD21FF">
              <w:rPr>
                <w:rFonts w:eastAsia="Aptos"/>
                <w:noProof/>
                <w:sz w:val="20"/>
                <w:szCs w:val="20"/>
              </w:rPr>
              <w:t>procedures</w:t>
            </w:r>
            <w:r w:rsidRPr="00AD21FF">
              <w:rPr>
                <w:rFonts w:eastAsia="Aptos"/>
                <w:noProof/>
                <w:sz w:val="20"/>
                <w:szCs w:val="20"/>
              </w:rPr>
              <w:t xml:space="preserve"> for industrial manufacturing projects </w:t>
            </w:r>
            <w:r w:rsidRPr="00AD21FF">
              <w:rPr>
                <w:noProof/>
                <w:sz w:val="20"/>
                <w:szCs w:val="20"/>
              </w:rPr>
              <w:t xml:space="preserve">and </w:t>
            </w:r>
            <w:r w:rsidRPr="00AD21FF">
              <w:rPr>
                <w:rFonts w:eastAsia="Aptos"/>
                <w:noProof/>
                <w:sz w:val="20"/>
                <w:szCs w:val="20"/>
              </w:rPr>
              <w:t>procedures related to industrial manufacturing projects.</w:t>
            </w:r>
          </w:p>
        </w:tc>
      </w:tr>
      <w:tr w:rsidR="00CA7C31" w:rsidRPr="00AD21FF" w14:paraId="01ECAEDC" w14:textId="77777777">
        <w:tc>
          <w:tcPr>
            <w:tcW w:w="1461" w:type="pct"/>
            <w:hideMark/>
          </w:tcPr>
          <w:p w14:paraId="7D8175E9" w14:textId="77777777" w:rsidR="00CA7C31" w:rsidRPr="00AD21FF" w:rsidRDefault="00CA7C31">
            <w:pPr>
              <w:rPr>
                <w:noProof/>
                <w:sz w:val="20"/>
                <w:szCs w:val="20"/>
              </w:rPr>
            </w:pPr>
            <w:r w:rsidRPr="00AD21FF" w:rsidDel="00B60CF7">
              <w:rPr>
                <w:b/>
                <w:i/>
                <w:noProof/>
                <w:sz w:val="20"/>
                <w:szCs w:val="20"/>
              </w:rPr>
              <w:t>Others</w:t>
            </w:r>
          </w:p>
        </w:tc>
        <w:tc>
          <w:tcPr>
            <w:tcW w:w="3539" w:type="pct"/>
            <w:hideMark/>
          </w:tcPr>
          <w:p w14:paraId="6A956FBE" w14:textId="77777777" w:rsidR="00CA7C31" w:rsidRPr="00AD21FF" w:rsidRDefault="00CA7C31">
            <w:pPr>
              <w:rPr>
                <w:noProof/>
                <w:sz w:val="20"/>
                <w:szCs w:val="20"/>
              </w:rPr>
            </w:pPr>
            <w:r w:rsidRPr="00AD21FF">
              <w:rPr>
                <w:rFonts w:eastAsia="Calibri"/>
                <w:noProof/>
                <w:sz w:val="20"/>
                <w:szCs w:val="20"/>
              </w:rPr>
              <w:t>Once-Only Technical System</w:t>
            </w:r>
          </w:p>
        </w:tc>
      </w:tr>
    </w:tbl>
    <w:p w14:paraId="6FFCD16F" w14:textId="77777777" w:rsidR="00CA7C31" w:rsidRPr="00AD21FF" w:rsidRDefault="00CA7C31" w:rsidP="00CA7C31">
      <w:pPr>
        <w:pStyle w:val="ManualHeading2"/>
        <w:ind w:left="0" w:firstLine="0"/>
        <w:rPr>
          <w:rStyle w:val="Emphasis"/>
          <w:b w:val="0"/>
          <w:bCs/>
          <w:i w:val="0"/>
          <w:iCs w:val="0"/>
          <w:noProof/>
        </w:rPr>
      </w:pPr>
      <w:r w:rsidRPr="00AD21FF">
        <w:rPr>
          <w:rStyle w:val="Emphasis"/>
          <w:bCs/>
          <w:noProof/>
        </w:rPr>
        <w:t>4.4.</w:t>
      </w:r>
      <w:r w:rsidRPr="00AD21FF">
        <w:rPr>
          <w:noProof/>
        </w:rPr>
        <w:tab/>
      </w:r>
      <w:r w:rsidRPr="00AD21FF">
        <w:rPr>
          <w:rStyle w:val="Emphasis"/>
          <w:bCs/>
          <w:noProof/>
        </w:rPr>
        <w:t>Interoperability assessment</w:t>
      </w:r>
    </w:p>
    <w:p w14:paraId="50FB9346" w14:textId="77777777" w:rsidR="00CA7C31" w:rsidRPr="00AD21FF" w:rsidRDefault="00CA7C31" w:rsidP="00CA7C31">
      <w:pPr>
        <w:rPr>
          <w:noProof/>
        </w:rPr>
      </w:pPr>
      <w:r w:rsidRPr="00AD21FF">
        <w:rPr>
          <w:i/>
          <w:iCs/>
          <w:noProof/>
        </w:rPr>
        <w:t>High-level description of the digital public service(s) affected by the requirements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817"/>
        <w:gridCol w:w="3168"/>
        <w:gridCol w:w="1298"/>
        <w:gridCol w:w="1443"/>
        <w:gridCol w:w="1365"/>
      </w:tblGrid>
      <w:tr w:rsidR="00CA7C31" w:rsidRPr="00AD21FF" w14:paraId="7AD4806D" w14:textId="77777777">
        <w:tc>
          <w:tcPr>
            <w:tcW w:w="1125" w:type="pct"/>
            <w:vAlign w:val="center"/>
            <w:hideMark/>
          </w:tcPr>
          <w:p w14:paraId="5E4DD040" w14:textId="77777777" w:rsidR="00CA7C31" w:rsidRPr="00AD21FF" w:rsidRDefault="00CA7C31">
            <w:pPr>
              <w:rPr>
                <w:noProof/>
                <w:sz w:val="20"/>
                <w:szCs w:val="20"/>
              </w:rPr>
            </w:pPr>
            <w:r w:rsidRPr="00AD21FF">
              <w:rPr>
                <w:b/>
                <w:noProof/>
                <w:sz w:val="20"/>
                <w:szCs w:val="20"/>
              </w:rPr>
              <w:t>Digital public service or category of digital public services</w:t>
            </w:r>
          </w:p>
        </w:tc>
        <w:tc>
          <w:tcPr>
            <w:tcW w:w="1867" w:type="pct"/>
            <w:vAlign w:val="center"/>
            <w:hideMark/>
          </w:tcPr>
          <w:p w14:paraId="6A3B0FB3" w14:textId="77777777" w:rsidR="00CA7C31" w:rsidRPr="00AD21FF" w:rsidRDefault="00CA7C31">
            <w:pPr>
              <w:rPr>
                <w:noProof/>
                <w:sz w:val="20"/>
                <w:szCs w:val="20"/>
              </w:rPr>
            </w:pPr>
            <w:r w:rsidRPr="00AD21FF">
              <w:rPr>
                <w:b/>
                <w:noProof/>
                <w:sz w:val="20"/>
                <w:szCs w:val="20"/>
              </w:rPr>
              <w:t>Description</w:t>
            </w:r>
          </w:p>
        </w:tc>
        <w:tc>
          <w:tcPr>
            <w:tcW w:w="606" w:type="pct"/>
            <w:vAlign w:val="center"/>
            <w:hideMark/>
          </w:tcPr>
          <w:p w14:paraId="76D627CE" w14:textId="77777777" w:rsidR="00CA7C31" w:rsidRPr="00AD21FF" w:rsidRDefault="00CA7C31">
            <w:pPr>
              <w:rPr>
                <w:noProof/>
                <w:sz w:val="20"/>
                <w:szCs w:val="20"/>
              </w:rPr>
            </w:pPr>
            <w:r w:rsidRPr="00AD21FF">
              <w:rPr>
                <w:b/>
                <w:noProof/>
                <w:sz w:val="20"/>
                <w:szCs w:val="20"/>
              </w:rPr>
              <w:t>Reference(s) to the requirement(s)</w:t>
            </w:r>
          </w:p>
        </w:tc>
        <w:tc>
          <w:tcPr>
            <w:tcW w:w="781" w:type="pct"/>
            <w:shd w:val="clear" w:color="auto" w:fill="D9D9D9"/>
            <w:vAlign w:val="center"/>
            <w:hideMark/>
          </w:tcPr>
          <w:p w14:paraId="10C20B9D" w14:textId="77777777" w:rsidR="00CA7C31" w:rsidRPr="00AD21FF" w:rsidRDefault="00CA7C31">
            <w:pPr>
              <w:rPr>
                <w:noProof/>
                <w:sz w:val="20"/>
                <w:szCs w:val="20"/>
              </w:rPr>
            </w:pPr>
            <w:r w:rsidRPr="00AD21FF">
              <w:rPr>
                <w:b/>
                <w:noProof/>
                <w:sz w:val="20"/>
                <w:szCs w:val="20"/>
              </w:rPr>
              <w:t>Interoperable Europe Solution(s)(NOT APPLICABLE)</w:t>
            </w:r>
          </w:p>
        </w:tc>
        <w:tc>
          <w:tcPr>
            <w:tcW w:w="621" w:type="pct"/>
            <w:vAlign w:val="center"/>
            <w:hideMark/>
          </w:tcPr>
          <w:p w14:paraId="7F445096" w14:textId="77777777" w:rsidR="00CA7C31" w:rsidRPr="00AD21FF" w:rsidRDefault="00CA7C31">
            <w:pPr>
              <w:rPr>
                <w:noProof/>
                <w:sz w:val="20"/>
                <w:szCs w:val="20"/>
              </w:rPr>
            </w:pPr>
            <w:r w:rsidRPr="00AD21FF">
              <w:rPr>
                <w:b/>
                <w:noProof/>
                <w:sz w:val="20"/>
                <w:szCs w:val="20"/>
              </w:rPr>
              <w:t>Other interoperability solution(s)</w:t>
            </w:r>
          </w:p>
        </w:tc>
      </w:tr>
      <w:tr w:rsidR="00CA7C31" w:rsidRPr="00AD21FF" w14:paraId="30D812D1" w14:textId="77777777">
        <w:tc>
          <w:tcPr>
            <w:tcW w:w="1125" w:type="pct"/>
            <w:hideMark/>
          </w:tcPr>
          <w:p w14:paraId="454FD234" w14:textId="77777777" w:rsidR="00CA7C31" w:rsidRPr="00AD21FF" w:rsidRDefault="00CA7C31">
            <w:pPr>
              <w:rPr>
                <w:noProof/>
                <w:sz w:val="20"/>
                <w:szCs w:val="20"/>
              </w:rPr>
            </w:pPr>
            <w:r w:rsidRPr="00AD21FF">
              <w:rPr>
                <w:noProof/>
                <w:sz w:val="20"/>
                <w:szCs w:val="20"/>
              </w:rPr>
              <w:t>Digital Permitting System</w:t>
            </w:r>
          </w:p>
          <w:p w14:paraId="223FF16E" w14:textId="77777777" w:rsidR="00CA7C31" w:rsidRPr="00AD21FF" w:rsidRDefault="00CA7C31">
            <w:pPr>
              <w:rPr>
                <w:noProof/>
                <w:sz w:val="20"/>
                <w:szCs w:val="20"/>
              </w:rPr>
            </w:pPr>
          </w:p>
          <w:p w14:paraId="0A1DC8F4" w14:textId="77777777" w:rsidR="00CA7C31" w:rsidRPr="00AD21FF" w:rsidRDefault="00CA7C31">
            <w:pPr>
              <w:rPr>
                <w:noProof/>
                <w:sz w:val="20"/>
                <w:szCs w:val="20"/>
              </w:rPr>
            </w:pPr>
            <w:r w:rsidRPr="00AD21FF">
              <w:rPr>
                <w:rFonts w:eastAsia="Calibri"/>
                <w:noProof/>
                <w:sz w:val="20"/>
                <w:szCs w:val="20"/>
              </w:rPr>
              <w:t xml:space="preserve">Category of digital public services according to </w:t>
            </w:r>
            <w:hyperlink r:id="rId26" w:history="1">
              <w:r w:rsidRPr="00AD21FF">
                <w:rPr>
                  <w:rStyle w:val="Hyperlink"/>
                  <w:rFonts w:eastAsia="Calibri"/>
                  <w:noProof/>
                  <w:sz w:val="20"/>
                  <w:szCs w:val="20"/>
                </w:rPr>
                <w:t>COFOG</w:t>
              </w:r>
            </w:hyperlink>
            <w:r w:rsidRPr="00AD21FF">
              <w:rPr>
                <w:noProof/>
                <w:sz w:val="20"/>
                <w:szCs w:val="20"/>
              </w:rPr>
              <w:t xml:space="preserve"> 04.7.4</w:t>
            </w:r>
          </w:p>
        </w:tc>
        <w:tc>
          <w:tcPr>
            <w:tcW w:w="1867" w:type="pct"/>
            <w:hideMark/>
          </w:tcPr>
          <w:p w14:paraId="33B2F0C3" w14:textId="77777777" w:rsidR="00CA7C31" w:rsidRPr="00AD21FF" w:rsidRDefault="00CA7C31">
            <w:pPr>
              <w:rPr>
                <w:noProof/>
                <w:sz w:val="20"/>
                <w:szCs w:val="20"/>
              </w:rPr>
            </w:pPr>
            <w:r w:rsidRPr="00AD21FF">
              <w:rPr>
                <w:noProof/>
                <w:sz w:val="20"/>
                <w:szCs w:val="20"/>
              </w:rPr>
              <w:t xml:space="preserve">Member States </w:t>
            </w:r>
            <w:r w:rsidRPr="00AD21FF">
              <w:rPr>
                <w:rFonts w:eastAsia="Times"/>
                <w:noProof/>
                <w:sz w:val="20"/>
                <w:szCs w:val="20"/>
              </w:rPr>
              <w:t>shall</w:t>
            </w:r>
            <w:r w:rsidRPr="00AD21FF">
              <w:rPr>
                <w:noProof/>
                <w:sz w:val="20"/>
                <w:szCs w:val="20"/>
              </w:rPr>
              <w:t xml:space="preserve"> enable a national a digital permitting system </w:t>
            </w:r>
            <w:r w:rsidRPr="00AD21FF">
              <w:rPr>
                <w:rFonts w:eastAsia="Times"/>
                <w:noProof/>
                <w:sz w:val="20"/>
                <w:szCs w:val="20"/>
              </w:rPr>
              <w:t>connecting all relevant public authorities, in order to ensure that permit-granting procedures for industrial manufacturing are carried out through fully digital means.</w:t>
            </w:r>
          </w:p>
        </w:tc>
        <w:tc>
          <w:tcPr>
            <w:tcW w:w="606" w:type="pct"/>
            <w:hideMark/>
          </w:tcPr>
          <w:p w14:paraId="72CB448D" w14:textId="77777777" w:rsidR="00CA7C31" w:rsidRPr="00AD21FF" w:rsidRDefault="00CA7C31">
            <w:pPr>
              <w:rPr>
                <w:noProof/>
                <w:sz w:val="20"/>
                <w:szCs w:val="20"/>
              </w:rPr>
            </w:pPr>
            <w:r w:rsidRPr="00AD21FF">
              <w:rPr>
                <w:noProof/>
                <w:sz w:val="20"/>
                <w:szCs w:val="20"/>
              </w:rPr>
              <w:t xml:space="preserve">Article </w:t>
            </w:r>
            <w:r w:rsidR="006A6BDB">
              <w:rPr>
                <w:noProof/>
                <w:sz w:val="20"/>
              </w:rPr>
              <w:t>4</w:t>
            </w:r>
          </w:p>
        </w:tc>
        <w:tc>
          <w:tcPr>
            <w:tcW w:w="781" w:type="pct"/>
            <w:shd w:val="clear" w:color="auto" w:fill="D9D9D9"/>
            <w:hideMark/>
          </w:tcPr>
          <w:p w14:paraId="7B11BBA5" w14:textId="77777777" w:rsidR="00CA7C31" w:rsidRPr="00AD21FF" w:rsidRDefault="00CA7C31">
            <w:pPr>
              <w:rPr>
                <w:noProof/>
                <w:sz w:val="20"/>
                <w:szCs w:val="20"/>
              </w:rPr>
            </w:pPr>
            <w:r w:rsidRPr="00AD21FF">
              <w:rPr>
                <w:noProof/>
                <w:sz w:val="20"/>
                <w:szCs w:val="20"/>
              </w:rPr>
              <w:t>//</w:t>
            </w:r>
          </w:p>
        </w:tc>
        <w:tc>
          <w:tcPr>
            <w:tcW w:w="621" w:type="pct"/>
            <w:hideMark/>
          </w:tcPr>
          <w:p w14:paraId="7258B4D4" w14:textId="77777777" w:rsidR="00CA7C31" w:rsidRPr="00AD21FF" w:rsidRDefault="00CA7C31">
            <w:pPr>
              <w:rPr>
                <w:noProof/>
                <w:sz w:val="20"/>
                <w:szCs w:val="20"/>
              </w:rPr>
            </w:pPr>
            <w:r w:rsidRPr="00AD21FF">
              <w:rPr>
                <w:noProof/>
                <w:sz w:val="20"/>
                <w:szCs w:val="20"/>
              </w:rPr>
              <w:t>Once-Only Technical System</w:t>
            </w:r>
          </w:p>
          <w:p w14:paraId="501E2E03" w14:textId="77777777" w:rsidR="00CA7C31" w:rsidRPr="00AD21FF" w:rsidRDefault="00CA7C31">
            <w:pPr>
              <w:rPr>
                <w:noProof/>
                <w:sz w:val="20"/>
                <w:szCs w:val="20"/>
              </w:rPr>
            </w:pPr>
          </w:p>
        </w:tc>
      </w:tr>
    </w:tbl>
    <w:p w14:paraId="6C569AB7" w14:textId="77777777" w:rsidR="00CA7C31" w:rsidRPr="00AD21FF" w:rsidRDefault="00CA7C31" w:rsidP="00CA7C31">
      <w:pPr>
        <w:rPr>
          <w:i/>
          <w:iCs/>
          <w:noProof/>
        </w:rPr>
      </w:pPr>
      <w:r w:rsidRPr="00AD21FF">
        <w:rPr>
          <w:i/>
          <w:iCs/>
          <w:noProof/>
        </w:rPr>
        <w:t>Assessment of the impact of the requirement(s) on cross-border interoperability</w:t>
      </w:r>
    </w:p>
    <w:p w14:paraId="517A4090" w14:textId="77777777" w:rsidR="00CA7C31" w:rsidRPr="00AD21FF" w:rsidRDefault="00CA7C31" w:rsidP="00CA7C31">
      <w:pPr>
        <w:rPr>
          <w:noProof/>
        </w:rPr>
      </w:pPr>
      <w:r w:rsidRPr="00AD21FF">
        <w:rPr>
          <w:b/>
          <w:bCs/>
          <w:noProof/>
          <w:u w:val="single"/>
        </w:rPr>
        <w:t>Digital public service #1: Digital Permitting System</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1853"/>
        <w:gridCol w:w="4678"/>
        <w:gridCol w:w="2560"/>
      </w:tblGrid>
      <w:tr w:rsidR="00CA7C31" w:rsidRPr="00AD21FF" w14:paraId="116E2270" w14:textId="77777777" w:rsidTr="006E4FCE">
        <w:tc>
          <w:tcPr>
            <w:tcW w:w="1019" w:type="pct"/>
            <w:tcBorders>
              <w:top w:val="single" w:sz="6" w:space="0" w:color="auto"/>
              <w:left w:val="single" w:sz="6" w:space="0" w:color="auto"/>
              <w:bottom w:val="single" w:sz="6" w:space="0" w:color="auto"/>
              <w:right w:val="single" w:sz="6" w:space="0" w:color="auto"/>
            </w:tcBorders>
            <w:vAlign w:val="center"/>
            <w:hideMark/>
          </w:tcPr>
          <w:p w14:paraId="5A0BA54F" w14:textId="77777777" w:rsidR="00CA7C31" w:rsidRPr="00AD21FF" w:rsidRDefault="00CA7C31">
            <w:pPr>
              <w:rPr>
                <w:noProof/>
                <w:sz w:val="20"/>
                <w:szCs w:val="20"/>
              </w:rPr>
            </w:pPr>
            <w:r w:rsidRPr="00AD21FF">
              <w:rPr>
                <w:b/>
                <w:noProof/>
                <w:sz w:val="20"/>
                <w:szCs w:val="20"/>
              </w:rPr>
              <w:t>Assessment</w:t>
            </w:r>
          </w:p>
        </w:tc>
        <w:tc>
          <w:tcPr>
            <w:tcW w:w="2573" w:type="pct"/>
            <w:tcBorders>
              <w:top w:val="single" w:sz="6" w:space="0" w:color="auto"/>
              <w:left w:val="single" w:sz="6" w:space="0" w:color="auto"/>
              <w:bottom w:val="single" w:sz="6" w:space="0" w:color="auto"/>
              <w:right w:val="single" w:sz="6" w:space="0" w:color="auto"/>
            </w:tcBorders>
            <w:vAlign w:val="center"/>
            <w:hideMark/>
          </w:tcPr>
          <w:p w14:paraId="0BD1AF1B" w14:textId="77777777" w:rsidR="00CA7C31" w:rsidRPr="00AD21FF" w:rsidRDefault="00CA7C31">
            <w:pPr>
              <w:rPr>
                <w:noProof/>
                <w:sz w:val="20"/>
                <w:szCs w:val="20"/>
              </w:rPr>
            </w:pPr>
            <w:r w:rsidRPr="00AD21FF">
              <w:rPr>
                <w:b/>
                <w:noProof/>
                <w:sz w:val="20"/>
                <w:szCs w:val="20"/>
              </w:rPr>
              <w:t>Measure(s)</w:t>
            </w:r>
          </w:p>
        </w:tc>
        <w:tc>
          <w:tcPr>
            <w:tcW w:w="1408" w:type="pct"/>
            <w:tcBorders>
              <w:top w:val="single" w:sz="6" w:space="0" w:color="auto"/>
              <w:left w:val="single" w:sz="6" w:space="0" w:color="auto"/>
              <w:bottom w:val="single" w:sz="6" w:space="0" w:color="auto"/>
              <w:right w:val="single" w:sz="6" w:space="0" w:color="auto"/>
            </w:tcBorders>
            <w:vAlign w:val="center"/>
            <w:hideMark/>
          </w:tcPr>
          <w:p w14:paraId="06374567" w14:textId="77777777" w:rsidR="00CA7C31" w:rsidRPr="00AD21FF" w:rsidRDefault="00CA7C31">
            <w:pPr>
              <w:rPr>
                <w:noProof/>
                <w:sz w:val="20"/>
                <w:szCs w:val="20"/>
              </w:rPr>
            </w:pPr>
            <w:r w:rsidRPr="00AD21FF">
              <w:rPr>
                <w:b/>
                <w:noProof/>
                <w:sz w:val="20"/>
                <w:szCs w:val="20"/>
              </w:rPr>
              <w:t>Potential remaining barriers (if applicable)</w:t>
            </w:r>
          </w:p>
        </w:tc>
      </w:tr>
      <w:tr w:rsidR="00CA7C31" w:rsidRPr="00AD21FF" w14:paraId="10E9CAAF" w14:textId="77777777" w:rsidTr="006E4FCE">
        <w:tc>
          <w:tcPr>
            <w:tcW w:w="1019" w:type="pct"/>
            <w:tcBorders>
              <w:top w:val="single" w:sz="6" w:space="0" w:color="auto"/>
              <w:left w:val="single" w:sz="6" w:space="0" w:color="auto"/>
              <w:bottom w:val="single" w:sz="6" w:space="0" w:color="auto"/>
              <w:right w:val="single" w:sz="6" w:space="0" w:color="auto"/>
            </w:tcBorders>
            <w:hideMark/>
          </w:tcPr>
          <w:p w14:paraId="492BE7FF" w14:textId="77777777" w:rsidR="00CA7C31" w:rsidRPr="00AD21FF" w:rsidRDefault="00CA7C31">
            <w:pPr>
              <w:rPr>
                <w:noProof/>
                <w:sz w:val="20"/>
                <w:szCs w:val="20"/>
              </w:rPr>
            </w:pPr>
            <w:r w:rsidRPr="00AD21FF">
              <w:rPr>
                <w:rFonts w:eastAsiaTheme="minorEastAsia"/>
                <w:b/>
                <w:noProof/>
                <w:sz w:val="20"/>
                <w:szCs w:val="20"/>
              </w:rPr>
              <w:t>Organisational measures for a smooth cross-border digital public services delivery</w:t>
            </w:r>
          </w:p>
        </w:tc>
        <w:tc>
          <w:tcPr>
            <w:tcW w:w="2573" w:type="pct"/>
            <w:tcBorders>
              <w:top w:val="outset" w:sz="6" w:space="0" w:color="auto"/>
              <w:left w:val="outset" w:sz="6" w:space="0" w:color="auto"/>
              <w:bottom w:val="outset" w:sz="6" w:space="0" w:color="auto"/>
              <w:right w:val="outset" w:sz="6" w:space="0" w:color="auto"/>
            </w:tcBorders>
            <w:hideMark/>
          </w:tcPr>
          <w:p w14:paraId="346FFC27" w14:textId="77777777" w:rsidR="00CA7C31" w:rsidRPr="00AD21FF" w:rsidRDefault="00CA7C31">
            <w:pPr>
              <w:spacing w:after="0"/>
              <w:rPr>
                <w:rFonts w:eastAsia="Times"/>
                <w:noProof/>
                <w:sz w:val="20"/>
                <w:szCs w:val="20"/>
              </w:rPr>
            </w:pPr>
            <w:r w:rsidRPr="00AD21FF">
              <w:rPr>
                <w:rFonts w:eastAsia="Times"/>
                <w:noProof/>
                <w:sz w:val="20"/>
                <w:szCs w:val="20"/>
              </w:rPr>
              <w:t xml:space="preserve">Member States shall be responsible for the development, operation, maintenance, security, and supervision of their digital permitting systems. </w:t>
            </w:r>
            <w:r w:rsidRPr="00AD21FF">
              <w:rPr>
                <w:noProof/>
                <w:sz w:val="20"/>
                <w:szCs w:val="20"/>
              </w:rPr>
              <w:t>To the extent possible, the implementation of the digital permitting systems should make use of existing Union digital infrastructures, catalogues and building blocks, including those developed under the Once-Only Technical System and its implementing acts. This would promote complementarity, interoperability and the efficient use of public resources, while avoiding duplication of existing digital solutions.</w:t>
            </w:r>
          </w:p>
        </w:tc>
        <w:tc>
          <w:tcPr>
            <w:tcW w:w="1408" w:type="pct"/>
            <w:tcBorders>
              <w:top w:val="single" w:sz="6" w:space="0" w:color="auto"/>
              <w:left w:val="single" w:sz="6" w:space="0" w:color="auto"/>
              <w:bottom w:val="single" w:sz="6" w:space="0" w:color="auto"/>
              <w:right w:val="single" w:sz="6" w:space="0" w:color="auto"/>
            </w:tcBorders>
            <w:hideMark/>
          </w:tcPr>
          <w:p w14:paraId="472927D4" w14:textId="77777777" w:rsidR="00CA7C31" w:rsidRPr="00AD21FF" w:rsidRDefault="0080747A">
            <w:pPr>
              <w:rPr>
                <w:noProof/>
                <w:sz w:val="20"/>
                <w:szCs w:val="20"/>
              </w:rPr>
            </w:pPr>
            <w:r>
              <w:rPr>
                <w:noProof/>
                <w:sz w:val="20"/>
                <w:szCs w:val="20"/>
              </w:rPr>
              <w:t xml:space="preserve">Additional organisational measures at national level may be needed to ensure appropriate involvement of competent authorities responsible for individual permits. </w:t>
            </w:r>
          </w:p>
        </w:tc>
      </w:tr>
      <w:tr w:rsidR="00CA7C31" w:rsidRPr="00AD21FF" w14:paraId="7932788C" w14:textId="77777777" w:rsidTr="006E4FCE">
        <w:tc>
          <w:tcPr>
            <w:tcW w:w="1019" w:type="pct"/>
            <w:tcBorders>
              <w:top w:val="single" w:sz="6" w:space="0" w:color="auto"/>
              <w:left w:val="single" w:sz="6" w:space="0" w:color="auto"/>
              <w:bottom w:val="single" w:sz="6" w:space="0" w:color="auto"/>
              <w:right w:val="single" w:sz="6" w:space="0" w:color="auto"/>
            </w:tcBorders>
            <w:hideMark/>
          </w:tcPr>
          <w:p w14:paraId="741146CE" w14:textId="77777777" w:rsidR="00CA7C31" w:rsidRPr="00AD21FF" w:rsidRDefault="00CA7C31">
            <w:pPr>
              <w:rPr>
                <w:rFonts w:eastAsiaTheme="minorEastAsia"/>
                <w:b/>
                <w:noProof/>
                <w:sz w:val="20"/>
                <w:szCs w:val="20"/>
              </w:rPr>
            </w:pPr>
            <w:r w:rsidRPr="00AD21FF" w:rsidDel="002F2D38">
              <w:rPr>
                <w:rFonts w:eastAsiaTheme="minorEastAsia"/>
                <w:b/>
                <w:noProof/>
                <w:sz w:val="20"/>
                <w:szCs w:val="20"/>
              </w:rPr>
              <w:t>Measures taken to ensure a shared understanding of the data</w:t>
            </w:r>
          </w:p>
        </w:tc>
        <w:tc>
          <w:tcPr>
            <w:tcW w:w="2573" w:type="pct"/>
            <w:tcBorders>
              <w:top w:val="outset" w:sz="6" w:space="0" w:color="auto"/>
              <w:left w:val="outset" w:sz="6" w:space="0" w:color="auto"/>
              <w:bottom w:val="outset" w:sz="6" w:space="0" w:color="auto"/>
              <w:right w:val="outset" w:sz="6" w:space="0" w:color="auto"/>
            </w:tcBorders>
            <w:hideMark/>
          </w:tcPr>
          <w:p w14:paraId="55D6459F" w14:textId="77777777" w:rsidR="00CA7C31" w:rsidRPr="00AD21FF" w:rsidRDefault="00CA7C31">
            <w:pPr>
              <w:rPr>
                <w:noProof/>
                <w:sz w:val="20"/>
                <w:szCs w:val="20"/>
              </w:rPr>
            </w:pPr>
            <w:r w:rsidRPr="00AD21FF">
              <w:rPr>
                <w:rFonts w:eastAsia="Times"/>
                <w:noProof/>
                <w:sz w:val="20"/>
                <w:szCs w:val="20"/>
              </w:rPr>
              <w:t>The Commission shall, by means of implementing acts, establish detailed rules, technical standards, and procedures necessary to ensure the interoperability, security, and effective functioning of the digital permitting systems</w:t>
            </w:r>
            <w:r w:rsidR="006852C5">
              <w:rPr>
                <w:rFonts w:eastAsia="Times"/>
                <w:noProof/>
                <w:sz w:val="20"/>
                <w:szCs w:val="20"/>
              </w:rPr>
              <w:t xml:space="preserve">. </w:t>
            </w:r>
            <w:r w:rsidR="006852C5" w:rsidRPr="006852C5">
              <w:rPr>
                <w:rFonts w:eastAsia="Times"/>
                <w:noProof/>
                <w:sz w:val="20"/>
                <w:szCs w:val="20"/>
              </w:rPr>
              <w:t>The permit-granting procedures are added in the scope of Single Digital Gateway and Once-Only Technical System.</w:t>
            </w:r>
          </w:p>
        </w:tc>
        <w:tc>
          <w:tcPr>
            <w:tcW w:w="1408" w:type="pct"/>
            <w:tcBorders>
              <w:top w:val="single" w:sz="6" w:space="0" w:color="auto"/>
              <w:left w:val="single" w:sz="6" w:space="0" w:color="auto"/>
              <w:bottom w:val="single" w:sz="6" w:space="0" w:color="auto"/>
              <w:right w:val="single" w:sz="6" w:space="0" w:color="auto"/>
            </w:tcBorders>
            <w:hideMark/>
          </w:tcPr>
          <w:p w14:paraId="1839B71C" w14:textId="77777777" w:rsidR="00CA7C31" w:rsidRPr="00AD21FF" w:rsidRDefault="00CA7C31">
            <w:pPr>
              <w:rPr>
                <w:noProof/>
                <w:sz w:val="20"/>
                <w:szCs w:val="20"/>
              </w:rPr>
            </w:pPr>
          </w:p>
        </w:tc>
      </w:tr>
      <w:tr w:rsidR="00CA7C31" w:rsidRPr="00AD21FF" w14:paraId="7FCAC8D1" w14:textId="77777777" w:rsidTr="006E4FCE">
        <w:tc>
          <w:tcPr>
            <w:tcW w:w="1019" w:type="pct"/>
            <w:tcBorders>
              <w:top w:val="single" w:sz="6" w:space="0" w:color="auto"/>
              <w:left w:val="single" w:sz="6" w:space="0" w:color="auto"/>
              <w:bottom w:val="single" w:sz="6" w:space="0" w:color="auto"/>
              <w:right w:val="single" w:sz="6" w:space="0" w:color="auto"/>
            </w:tcBorders>
            <w:hideMark/>
          </w:tcPr>
          <w:p w14:paraId="204788B9" w14:textId="77777777" w:rsidR="00CA7C31" w:rsidRPr="00AD21FF" w:rsidRDefault="00CA7C31">
            <w:pPr>
              <w:rPr>
                <w:rFonts w:eastAsiaTheme="minorEastAsia"/>
                <w:b/>
                <w:noProof/>
                <w:sz w:val="20"/>
                <w:szCs w:val="20"/>
              </w:rPr>
            </w:pPr>
            <w:r w:rsidRPr="00AD21FF" w:rsidDel="002F2D38">
              <w:rPr>
                <w:rFonts w:eastAsiaTheme="minorEastAsia"/>
                <w:b/>
                <w:noProof/>
                <w:sz w:val="20"/>
                <w:szCs w:val="20"/>
              </w:rPr>
              <w:t>Use of commonly agreed open technical specifications and standards</w:t>
            </w:r>
          </w:p>
        </w:tc>
        <w:tc>
          <w:tcPr>
            <w:tcW w:w="2573" w:type="pct"/>
            <w:tcBorders>
              <w:top w:val="single" w:sz="6" w:space="0" w:color="auto"/>
              <w:left w:val="single" w:sz="6" w:space="0" w:color="auto"/>
              <w:bottom w:val="single" w:sz="6" w:space="0" w:color="auto"/>
              <w:right w:val="single" w:sz="6" w:space="0" w:color="auto"/>
            </w:tcBorders>
            <w:hideMark/>
          </w:tcPr>
          <w:p w14:paraId="7354F067" w14:textId="77777777" w:rsidR="00CA7C31" w:rsidRPr="00AD21FF" w:rsidRDefault="00CA7C31">
            <w:pPr>
              <w:rPr>
                <w:noProof/>
                <w:sz w:val="20"/>
                <w:szCs w:val="20"/>
              </w:rPr>
            </w:pPr>
            <w:r w:rsidRPr="00AD21FF">
              <w:rPr>
                <w:rFonts w:eastAsia="Times"/>
                <w:noProof/>
                <w:sz w:val="20"/>
                <w:szCs w:val="20"/>
              </w:rPr>
              <w:t>The Commission shall, by means of implementing acts, establish detailed rules, technical standards, and procedures necessary to ensure the interoperability, security, and effective functioning of the digital permitting systems</w:t>
            </w:r>
            <w:r w:rsidR="006852C5">
              <w:rPr>
                <w:rFonts w:eastAsia="Times"/>
                <w:noProof/>
                <w:sz w:val="20"/>
                <w:szCs w:val="20"/>
              </w:rPr>
              <w:t>.</w:t>
            </w:r>
          </w:p>
        </w:tc>
        <w:tc>
          <w:tcPr>
            <w:tcW w:w="1408" w:type="pct"/>
            <w:tcBorders>
              <w:top w:val="single" w:sz="6" w:space="0" w:color="auto"/>
              <w:left w:val="single" w:sz="6" w:space="0" w:color="auto"/>
              <w:bottom w:val="single" w:sz="6" w:space="0" w:color="auto"/>
              <w:right w:val="single" w:sz="6" w:space="0" w:color="auto"/>
            </w:tcBorders>
            <w:hideMark/>
          </w:tcPr>
          <w:p w14:paraId="1C979F66" w14:textId="77777777" w:rsidR="00CA7C31" w:rsidRPr="00AD21FF" w:rsidRDefault="00CA7C31">
            <w:pPr>
              <w:rPr>
                <w:noProof/>
                <w:sz w:val="20"/>
                <w:szCs w:val="20"/>
              </w:rPr>
            </w:pPr>
          </w:p>
        </w:tc>
      </w:tr>
    </w:tbl>
    <w:p w14:paraId="2187060B" w14:textId="77777777" w:rsidR="00CA7C31" w:rsidRPr="00AD21FF" w:rsidRDefault="00CA7C31" w:rsidP="00CA7C31">
      <w:pPr>
        <w:pStyle w:val="ManualHeading2"/>
        <w:ind w:left="0" w:firstLine="0"/>
        <w:rPr>
          <w:noProof/>
        </w:rPr>
      </w:pPr>
      <w:r w:rsidRPr="00AD21FF">
        <w:rPr>
          <w:noProof/>
        </w:rPr>
        <w:t>4.5.</w:t>
      </w:r>
      <w:r w:rsidRPr="00AD21FF">
        <w:rPr>
          <w:noProof/>
        </w:rPr>
        <w:tab/>
        <w:t>Measures to support digital implementation</w:t>
      </w:r>
    </w:p>
    <w:bookmarkEnd w:id="15"/>
    <w:p w14:paraId="53FFA13F" w14:textId="77777777" w:rsidR="00CA7C31" w:rsidRPr="00AD21FF" w:rsidRDefault="00CA7C31" w:rsidP="00CA7C31">
      <w:pPr>
        <w:rPr>
          <w:noProof/>
        </w:rPr>
      </w:pPr>
      <w:r w:rsidRPr="00AD21FF">
        <w:rPr>
          <w:noProof/>
        </w:rPr>
        <w:t>For each measure to support digital implementation, please fill in the table below</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2210"/>
        <w:gridCol w:w="2519"/>
        <w:gridCol w:w="2253"/>
        <w:gridCol w:w="1161"/>
        <w:gridCol w:w="948"/>
      </w:tblGrid>
      <w:tr w:rsidR="00CA7C31" w:rsidRPr="00AD21FF" w14:paraId="2F98C859" w14:textId="77777777">
        <w:tc>
          <w:tcPr>
            <w:tcW w:w="1239" w:type="pct"/>
            <w:tcBorders>
              <w:top w:val="single" w:sz="6" w:space="0" w:color="auto"/>
              <w:left w:val="single" w:sz="6" w:space="0" w:color="auto"/>
              <w:bottom w:val="single" w:sz="6" w:space="0" w:color="auto"/>
              <w:right w:val="single" w:sz="6" w:space="0" w:color="auto"/>
            </w:tcBorders>
            <w:vAlign w:val="center"/>
            <w:hideMark/>
          </w:tcPr>
          <w:p w14:paraId="10D9D225" w14:textId="77777777" w:rsidR="00CA7C31" w:rsidRPr="00AD21FF" w:rsidRDefault="00CA7C31">
            <w:pPr>
              <w:rPr>
                <w:noProof/>
                <w:sz w:val="20"/>
                <w:szCs w:val="20"/>
              </w:rPr>
            </w:pPr>
            <w:r w:rsidRPr="00AD21FF">
              <w:rPr>
                <w:b/>
                <w:noProof/>
                <w:sz w:val="20"/>
                <w:szCs w:val="20"/>
              </w:rPr>
              <w:t>Description of the measure</w:t>
            </w:r>
          </w:p>
        </w:tc>
        <w:tc>
          <w:tcPr>
            <w:tcW w:w="1409" w:type="pct"/>
            <w:tcBorders>
              <w:top w:val="single" w:sz="6" w:space="0" w:color="auto"/>
              <w:left w:val="single" w:sz="6" w:space="0" w:color="auto"/>
              <w:bottom w:val="single" w:sz="6" w:space="0" w:color="auto"/>
              <w:right w:val="single" w:sz="6" w:space="0" w:color="auto"/>
            </w:tcBorders>
            <w:vAlign w:val="center"/>
            <w:hideMark/>
          </w:tcPr>
          <w:p w14:paraId="0F5F8A45" w14:textId="77777777" w:rsidR="00CA7C31" w:rsidRPr="00AD21FF" w:rsidRDefault="00CA7C31">
            <w:pPr>
              <w:rPr>
                <w:noProof/>
                <w:sz w:val="20"/>
                <w:szCs w:val="20"/>
              </w:rPr>
            </w:pPr>
            <w:r w:rsidRPr="00AD21FF">
              <w:rPr>
                <w:b/>
                <w:noProof/>
                <w:sz w:val="20"/>
                <w:szCs w:val="20"/>
              </w:rPr>
              <w:t>Reference(s) to the requirement(s)</w:t>
            </w:r>
          </w:p>
        </w:tc>
        <w:tc>
          <w:tcPr>
            <w:tcW w:w="1263" w:type="pct"/>
            <w:tcBorders>
              <w:top w:val="single" w:sz="6" w:space="0" w:color="auto"/>
              <w:left w:val="single" w:sz="6" w:space="0" w:color="auto"/>
              <w:bottom w:val="single" w:sz="6" w:space="0" w:color="auto"/>
              <w:right w:val="single" w:sz="6" w:space="0" w:color="auto"/>
            </w:tcBorders>
            <w:vAlign w:val="center"/>
            <w:hideMark/>
          </w:tcPr>
          <w:p w14:paraId="5F482EB7" w14:textId="77777777" w:rsidR="00CA7C31" w:rsidRPr="00AD21FF" w:rsidRDefault="00CA7C31">
            <w:pPr>
              <w:rPr>
                <w:noProof/>
                <w:sz w:val="20"/>
                <w:szCs w:val="20"/>
              </w:rPr>
            </w:pPr>
            <w:r w:rsidRPr="00AD21FF">
              <w:rPr>
                <w:b/>
                <w:noProof/>
                <w:sz w:val="20"/>
                <w:szCs w:val="20"/>
              </w:rPr>
              <w:t>Commission role</w:t>
            </w:r>
            <w:r w:rsidRPr="00AD21FF">
              <w:rPr>
                <w:noProof/>
                <w:sz w:val="20"/>
                <w:szCs w:val="20"/>
              </w:rPr>
              <w:t> (if applicable)</w:t>
            </w:r>
          </w:p>
        </w:tc>
        <w:tc>
          <w:tcPr>
            <w:tcW w:w="662" w:type="pct"/>
            <w:tcBorders>
              <w:top w:val="single" w:sz="6" w:space="0" w:color="auto"/>
              <w:left w:val="single" w:sz="6" w:space="0" w:color="auto"/>
              <w:bottom w:val="single" w:sz="6" w:space="0" w:color="auto"/>
              <w:right w:val="single" w:sz="6" w:space="0" w:color="auto"/>
            </w:tcBorders>
            <w:vAlign w:val="center"/>
            <w:hideMark/>
          </w:tcPr>
          <w:p w14:paraId="6F34FE6A" w14:textId="77777777" w:rsidR="00CA7C31" w:rsidRPr="00AD21FF" w:rsidRDefault="00CA7C31">
            <w:pPr>
              <w:rPr>
                <w:noProof/>
                <w:sz w:val="20"/>
                <w:szCs w:val="20"/>
              </w:rPr>
            </w:pPr>
            <w:r w:rsidRPr="00AD21FF">
              <w:rPr>
                <w:b/>
                <w:noProof/>
                <w:sz w:val="20"/>
                <w:szCs w:val="20"/>
              </w:rPr>
              <w:t>Actors to be involved</w:t>
            </w:r>
            <w:r w:rsidRPr="00AD21FF">
              <w:rPr>
                <w:noProof/>
                <w:sz w:val="20"/>
                <w:szCs w:val="20"/>
              </w:rPr>
              <w:t> (if applicable)</w:t>
            </w:r>
          </w:p>
        </w:tc>
        <w:tc>
          <w:tcPr>
            <w:tcW w:w="427" w:type="pct"/>
            <w:tcBorders>
              <w:top w:val="single" w:sz="6" w:space="0" w:color="auto"/>
              <w:left w:val="single" w:sz="6" w:space="0" w:color="auto"/>
              <w:bottom w:val="single" w:sz="6" w:space="0" w:color="auto"/>
              <w:right w:val="single" w:sz="6" w:space="0" w:color="auto"/>
            </w:tcBorders>
            <w:vAlign w:val="center"/>
            <w:hideMark/>
          </w:tcPr>
          <w:p w14:paraId="5F1123D7" w14:textId="77777777" w:rsidR="00CA7C31" w:rsidRPr="00AD21FF" w:rsidRDefault="00CA7C31">
            <w:pPr>
              <w:rPr>
                <w:noProof/>
                <w:sz w:val="20"/>
                <w:szCs w:val="20"/>
              </w:rPr>
            </w:pPr>
            <w:r w:rsidRPr="00AD21FF">
              <w:rPr>
                <w:b/>
                <w:noProof/>
                <w:sz w:val="20"/>
                <w:szCs w:val="20"/>
              </w:rPr>
              <w:t>Expected timeline</w:t>
            </w:r>
            <w:r w:rsidRPr="00AD21FF">
              <w:rPr>
                <w:noProof/>
                <w:sz w:val="20"/>
                <w:szCs w:val="20"/>
              </w:rPr>
              <w:t> (if applicable)</w:t>
            </w:r>
          </w:p>
        </w:tc>
      </w:tr>
      <w:tr w:rsidR="00CA7C31" w:rsidRPr="00FE5335" w14:paraId="5A1A2683" w14:textId="77777777">
        <w:trPr>
          <w:trHeight w:val="559"/>
        </w:trPr>
        <w:tc>
          <w:tcPr>
            <w:tcW w:w="1239" w:type="pct"/>
            <w:tcBorders>
              <w:top w:val="single" w:sz="6" w:space="0" w:color="auto"/>
              <w:left w:val="single" w:sz="6" w:space="0" w:color="auto"/>
              <w:bottom w:val="single" w:sz="6" w:space="0" w:color="auto"/>
              <w:right w:val="single" w:sz="6" w:space="0" w:color="auto"/>
            </w:tcBorders>
            <w:hideMark/>
          </w:tcPr>
          <w:p w14:paraId="134ABEA0" w14:textId="77777777" w:rsidR="00CA7C31" w:rsidRPr="00AD21FF" w:rsidRDefault="00CA7C31">
            <w:pPr>
              <w:rPr>
                <w:noProof/>
                <w:sz w:val="20"/>
                <w:szCs w:val="20"/>
              </w:rPr>
            </w:pPr>
            <w:r w:rsidRPr="00AD21FF">
              <w:rPr>
                <w:noProof/>
                <w:sz w:val="20"/>
                <w:szCs w:val="20"/>
              </w:rPr>
              <w:t>Implementing Acts</w:t>
            </w:r>
          </w:p>
        </w:tc>
        <w:tc>
          <w:tcPr>
            <w:tcW w:w="1409" w:type="pct"/>
            <w:tcBorders>
              <w:top w:val="outset" w:sz="6" w:space="0" w:color="auto"/>
              <w:left w:val="outset" w:sz="6" w:space="0" w:color="auto"/>
              <w:bottom w:val="outset" w:sz="6" w:space="0" w:color="auto"/>
              <w:right w:val="outset" w:sz="6" w:space="0" w:color="auto"/>
            </w:tcBorders>
            <w:hideMark/>
          </w:tcPr>
          <w:p w14:paraId="357FADC2" w14:textId="77777777" w:rsidR="00CA7C31" w:rsidRPr="00AD21FF" w:rsidRDefault="00CA7C31">
            <w:pPr>
              <w:rPr>
                <w:noProof/>
                <w:sz w:val="20"/>
                <w:szCs w:val="20"/>
              </w:rPr>
            </w:pPr>
            <w:r w:rsidRPr="00AD21FF">
              <w:rPr>
                <w:noProof/>
                <w:sz w:val="20"/>
                <w:szCs w:val="20"/>
              </w:rPr>
              <w:t xml:space="preserve">Article </w:t>
            </w:r>
            <w:r w:rsidR="006A6BDB">
              <w:rPr>
                <w:noProof/>
                <w:sz w:val="20"/>
                <w:szCs w:val="20"/>
              </w:rPr>
              <w:t>4</w:t>
            </w:r>
            <w:r w:rsidR="00C610F1">
              <w:rPr>
                <w:noProof/>
                <w:sz w:val="20"/>
                <w:szCs w:val="20"/>
              </w:rPr>
              <w:t>,</w:t>
            </w:r>
            <w:r w:rsidR="00EF6F92">
              <w:rPr>
                <w:noProof/>
                <w:sz w:val="20"/>
                <w:szCs w:val="20"/>
              </w:rPr>
              <w:t xml:space="preserve"> 1</w:t>
            </w:r>
            <w:r w:rsidR="00CF1D7B">
              <w:rPr>
                <w:noProof/>
                <w:sz w:val="20"/>
                <w:szCs w:val="20"/>
              </w:rPr>
              <w:t>3</w:t>
            </w:r>
            <w:r w:rsidR="00EF6F92">
              <w:rPr>
                <w:noProof/>
                <w:sz w:val="20"/>
                <w:szCs w:val="20"/>
              </w:rPr>
              <w:t>,</w:t>
            </w:r>
            <w:r w:rsidR="00C610F1">
              <w:rPr>
                <w:noProof/>
                <w:sz w:val="20"/>
                <w:szCs w:val="20"/>
              </w:rPr>
              <w:t xml:space="preserve"> </w:t>
            </w:r>
            <w:r w:rsidR="002F7712">
              <w:rPr>
                <w:noProof/>
                <w:sz w:val="20"/>
                <w:szCs w:val="20"/>
              </w:rPr>
              <w:t>3</w:t>
            </w:r>
            <w:r w:rsidR="00CF1D7B">
              <w:rPr>
                <w:noProof/>
                <w:sz w:val="20"/>
                <w:szCs w:val="20"/>
              </w:rPr>
              <w:t>1</w:t>
            </w:r>
          </w:p>
        </w:tc>
        <w:tc>
          <w:tcPr>
            <w:tcW w:w="1263" w:type="pct"/>
            <w:tcBorders>
              <w:top w:val="outset" w:sz="6" w:space="0" w:color="auto"/>
              <w:left w:val="outset" w:sz="6" w:space="0" w:color="auto"/>
              <w:bottom w:val="outset" w:sz="6" w:space="0" w:color="auto"/>
              <w:right w:val="outset" w:sz="6" w:space="0" w:color="auto"/>
            </w:tcBorders>
            <w:hideMark/>
          </w:tcPr>
          <w:p w14:paraId="7E39B6B3" w14:textId="77777777" w:rsidR="00CA7C31" w:rsidRPr="00AD21FF" w:rsidRDefault="00CA7C31">
            <w:pPr>
              <w:rPr>
                <w:noProof/>
                <w:sz w:val="20"/>
                <w:szCs w:val="20"/>
              </w:rPr>
            </w:pPr>
            <w:r w:rsidRPr="00AD21FF">
              <w:rPr>
                <w:noProof/>
                <w:sz w:val="20"/>
                <w:szCs w:val="20"/>
              </w:rPr>
              <w:t>Implementing Acts</w:t>
            </w:r>
          </w:p>
        </w:tc>
        <w:tc>
          <w:tcPr>
            <w:tcW w:w="662" w:type="pct"/>
            <w:tcBorders>
              <w:top w:val="outset" w:sz="6" w:space="0" w:color="auto"/>
              <w:left w:val="outset" w:sz="6" w:space="0" w:color="auto"/>
              <w:bottom w:val="outset" w:sz="6" w:space="0" w:color="auto"/>
              <w:right w:val="outset" w:sz="6" w:space="0" w:color="auto"/>
            </w:tcBorders>
            <w:hideMark/>
          </w:tcPr>
          <w:p w14:paraId="0722FF52" w14:textId="77777777" w:rsidR="00CA7C31" w:rsidRPr="007F0176" w:rsidRDefault="00CA7C31">
            <w:pPr>
              <w:rPr>
                <w:noProof/>
                <w:sz w:val="20"/>
                <w:szCs w:val="20"/>
              </w:rPr>
            </w:pPr>
            <w:r w:rsidRPr="00AD21FF">
              <w:rPr>
                <w:noProof/>
                <w:sz w:val="20"/>
                <w:szCs w:val="20"/>
              </w:rPr>
              <w:t>European Commission</w:t>
            </w:r>
          </w:p>
        </w:tc>
        <w:tc>
          <w:tcPr>
            <w:tcW w:w="427" w:type="pct"/>
            <w:tcBorders>
              <w:top w:val="single" w:sz="6" w:space="0" w:color="auto"/>
              <w:left w:val="single" w:sz="6" w:space="0" w:color="auto"/>
              <w:bottom w:val="single" w:sz="6" w:space="0" w:color="auto"/>
              <w:right w:val="single" w:sz="6" w:space="0" w:color="auto"/>
            </w:tcBorders>
            <w:hideMark/>
          </w:tcPr>
          <w:p w14:paraId="64A99DDD" w14:textId="77777777" w:rsidR="00CA7C31" w:rsidRPr="007F0176" w:rsidRDefault="00CA7C31">
            <w:pPr>
              <w:rPr>
                <w:noProof/>
                <w:sz w:val="20"/>
                <w:szCs w:val="20"/>
              </w:rPr>
            </w:pPr>
          </w:p>
        </w:tc>
      </w:tr>
    </w:tbl>
    <w:p w14:paraId="384459C4" w14:textId="77777777" w:rsidR="00440ED7" w:rsidRPr="00334B30" w:rsidRDefault="00440ED7" w:rsidP="00D50956">
      <w:pPr>
        <w:rPr>
          <w:noProof/>
        </w:rPr>
      </w:pPr>
    </w:p>
    <w:sectPr w:rsidR="00440ED7" w:rsidRPr="00334B30" w:rsidSect="00052996">
      <w:headerReference w:type="default" r:id="rId27"/>
      <w:footerReference w:type="default" r:id="rId28"/>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EC681" w14:textId="77777777" w:rsidR="0038557C" w:rsidRDefault="0038557C" w:rsidP="00440ED7">
      <w:pPr>
        <w:spacing w:before="0" w:after="0"/>
      </w:pPr>
      <w:r>
        <w:separator/>
      </w:r>
    </w:p>
  </w:endnote>
  <w:endnote w:type="continuationSeparator" w:id="0">
    <w:p w14:paraId="4FF96C16" w14:textId="77777777" w:rsidR="0038557C" w:rsidRDefault="0038557C" w:rsidP="00440E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0EFC" w14:textId="2B3CEF43" w:rsidR="00D84455" w:rsidRPr="00052996" w:rsidRDefault="00052996" w:rsidP="00052996">
    <w:pPr>
      <w:pStyle w:val="Footer"/>
      <w:rPr>
        <w:rFonts w:ascii="Arial" w:hAnsi="Arial" w:cs="Arial"/>
        <w:b/>
        <w:sz w:val="48"/>
      </w:rPr>
    </w:pPr>
    <w:r w:rsidRPr="00052996">
      <w:rPr>
        <w:rFonts w:ascii="Arial" w:hAnsi="Arial" w:cs="Arial"/>
        <w:b/>
        <w:sz w:val="48"/>
      </w:rPr>
      <w:t>EN</w:t>
    </w:r>
    <w:r w:rsidRPr="00052996">
      <w:rPr>
        <w:rFonts w:ascii="Arial" w:hAnsi="Arial" w:cs="Arial"/>
        <w:b/>
        <w:sz w:val="48"/>
      </w:rPr>
      <w:tab/>
    </w:r>
    <w:r w:rsidRPr="00052996">
      <w:rPr>
        <w:rFonts w:ascii="Arial" w:hAnsi="Arial" w:cs="Arial"/>
        <w:b/>
        <w:sz w:val="48"/>
      </w:rPr>
      <w:tab/>
    </w:r>
    <w:r w:rsidRPr="00052996">
      <w:tab/>
    </w:r>
    <w:r w:rsidRPr="0005299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8C70" w14:textId="317C97EA" w:rsidR="00D84455" w:rsidRPr="00052996" w:rsidRDefault="00052996" w:rsidP="00052996">
    <w:pPr>
      <w:pStyle w:val="Footer"/>
      <w:rPr>
        <w:rFonts w:ascii="Arial" w:hAnsi="Arial" w:cs="Arial"/>
        <w:b/>
        <w:sz w:val="48"/>
      </w:rPr>
    </w:pPr>
    <w:r w:rsidRPr="00052996">
      <w:rPr>
        <w:rFonts w:ascii="Arial" w:hAnsi="Arial" w:cs="Arial"/>
        <w:b/>
        <w:sz w:val="48"/>
      </w:rPr>
      <w:t>EN</w:t>
    </w:r>
    <w:r w:rsidRPr="00052996">
      <w:rPr>
        <w:rFonts w:ascii="Arial" w:hAnsi="Arial" w:cs="Arial"/>
        <w:b/>
        <w:sz w:val="48"/>
      </w:rPr>
      <w:tab/>
    </w:r>
    <w:r w:rsidRPr="00052996">
      <w:rPr>
        <w:rFonts w:ascii="Arial" w:hAnsi="Arial" w:cs="Arial"/>
        <w:b/>
        <w:sz w:val="48"/>
      </w:rPr>
      <w:tab/>
    </w:r>
    <w:r w:rsidRPr="00052996">
      <w:tab/>
    </w:r>
    <w:r w:rsidRPr="0005299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59ED" w14:textId="77777777" w:rsidR="003007D8" w:rsidRPr="00052996" w:rsidRDefault="003007D8" w:rsidP="000529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A2D11" w14:textId="77777777" w:rsidR="00D84455" w:rsidRDefault="00D844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8CBF" w14:textId="16C715AD" w:rsidR="00052996" w:rsidRPr="00052996" w:rsidRDefault="00052996" w:rsidP="00052996">
    <w:pPr>
      <w:pStyle w:val="Footer"/>
      <w:rPr>
        <w:rFonts w:ascii="Arial" w:hAnsi="Arial" w:cs="Arial"/>
        <w:b/>
        <w:sz w:val="48"/>
      </w:rPr>
    </w:pPr>
    <w:r w:rsidRPr="00052996">
      <w:rPr>
        <w:rFonts w:ascii="Arial" w:hAnsi="Arial" w:cs="Arial"/>
        <w:b/>
        <w:sz w:val="48"/>
      </w:rPr>
      <w:t>EN</w:t>
    </w:r>
    <w:r w:rsidRPr="0005299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052996">
      <w:tab/>
    </w:r>
    <w:r w:rsidRPr="00052996">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900D" w14:textId="77777777" w:rsidR="00D84455" w:rsidRDefault="00D84455" w:rsidP="0005299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982E7" w14:textId="3367F0C4" w:rsidR="00052996" w:rsidRPr="00052996" w:rsidRDefault="00052996" w:rsidP="00052996">
    <w:pPr>
      <w:pStyle w:val="FooterLandscape"/>
      <w:rPr>
        <w:rFonts w:ascii="Arial" w:hAnsi="Arial" w:cs="Arial"/>
        <w:b/>
        <w:sz w:val="48"/>
      </w:rPr>
    </w:pPr>
    <w:r w:rsidRPr="00052996">
      <w:rPr>
        <w:rFonts w:ascii="Arial" w:hAnsi="Arial" w:cs="Arial"/>
        <w:b/>
        <w:sz w:val="48"/>
      </w:rPr>
      <w:t>EN</w:t>
    </w:r>
    <w:r w:rsidRPr="0005299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052996">
      <w:tab/>
    </w:r>
    <w:r w:rsidRPr="00052996">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89A08" w14:textId="43C8370A" w:rsidR="00052996" w:rsidRPr="00052996" w:rsidRDefault="00052996" w:rsidP="00052996">
    <w:pPr>
      <w:pStyle w:val="Footer"/>
      <w:rPr>
        <w:rFonts w:ascii="Arial" w:hAnsi="Arial" w:cs="Arial"/>
        <w:b/>
        <w:sz w:val="48"/>
      </w:rPr>
    </w:pPr>
    <w:r w:rsidRPr="00052996">
      <w:rPr>
        <w:rFonts w:ascii="Arial" w:hAnsi="Arial" w:cs="Arial"/>
        <w:b/>
        <w:sz w:val="48"/>
      </w:rPr>
      <w:t>EN</w:t>
    </w:r>
    <w:r w:rsidRPr="0005299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052996">
      <w:tab/>
    </w:r>
    <w:r w:rsidRPr="00052996">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12740" w14:textId="77777777" w:rsidR="0038557C" w:rsidRDefault="0038557C" w:rsidP="00440ED7">
      <w:pPr>
        <w:spacing w:before="0" w:after="0"/>
      </w:pPr>
      <w:r>
        <w:separator/>
      </w:r>
    </w:p>
  </w:footnote>
  <w:footnote w:type="continuationSeparator" w:id="0">
    <w:p w14:paraId="48F5C052" w14:textId="77777777" w:rsidR="0038557C" w:rsidRDefault="0038557C" w:rsidP="00440ED7">
      <w:pPr>
        <w:spacing w:before="0" w:after="0"/>
      </w:pPr>
      <w:r>
        <w:continuationSeparator/>
      </w:r>
    </w:p>
  </w:footnote>
  <w:footnote w:id="1">
    <w:p w14:paraId="6C13014A" w14:textId="77777777" w:rsidR="00FE7970" w:rsidRPr="003367BA" w:rsidRDefault="00FE7970" w:rsidP="00FE7970">
      <w:pPr>
        <w:pStyle w:val="FootnoteText"/>
      </w:pPr>
      <w:r w:rsidRPr="009664E9">
        <w:rPr>
          <w:rStyle w:val="FootnoteReference"/>
        </w:rPr>
        <w:footnoteRef/>
      </w:r>
      <w:r w:rsidR="009664E9">
        <w:tab/>
      </w:r>
      <w:r>
        <w:t xml:space="preserve">Joint Communication, </w:t>
      </w:r>
      <w:hyperlink r:id="rId1" w:history="1">
        <w:r w:rsidRPr="00085EB3">
          <w:t>Strengthening EU economic security</w:t>
        </w:r>
      </w:hyperlink>
      <w:r>
        <w:t xml:space="preserve">, </w:t>
      </w:r>
      <w:r w:rsidRPr="0000439C">
        <w:t>JOIN(2025) 977 final</w:t>
      </w:r>
      <w:r w:rsidR="00B1457A">
        <w:t>.</w:t>
      </w:r>
    </w:p>
  </w:footnote>
  <w:footnote w:id="2">
    <w:p w14:paraId="302554D7" w14:textId="77777777" w:rsidR="00862074" w:rsidRPr="008B13D7" w:rsidRDefault="00862074" w:rsidP="00862074">
      <w:pPr>
        <w:pStyle w:val="FootnoteText"/>
        <w:rPr>
          <w:lang w:val="en-IE"/>
        </w:rPr>
      </w:pPr>
      <w:r>
        <w:rPr>
          <w:rStyle w:val="FootnoteReference"/>
        </w:rPr>
        <w:footnoteRef/>
      </w:r>
      <w:r w:rsidRPr="008B13D7">
        <w:rPr>
          <w:lang w:val="en-IE"/>
        </w:rPr>
        <w:tab/>
      </w:r>
      <w:r w:rsidRPr="00817332">
        <w:t>Communication from the Commission to the European Parliament, the Council, the European Economic and Social Committee and the Committee of the Regions, The Clean Industrial Deal: A joint roadmap for competitiveness and decarbonisation (COM/2025/85 final, 26.2.2025).</w:t>
      </w:r>
    </w:p>
  </w:footnote>
  <w:footnote w:id="3">
    <w:p w14:paraId="233497BF" w14:textId="77777777" w:rsidR="00D36B32" w:rsidRPr="00867AD7" w:rsidRDefault="00D36B32" w:rsidP="009972DD">
      <w:pPr>
        <w:pStyle w:val="FootnoteText"/>
      </w:pPr>
      <w:r w:rsidRPr="00D5018D">
        <w:rPr>
          <w:rStyle w:val="FootnoteReference"/>
        </w:rPr>
        <w:footnoteRef/>
      </w:r>
      <w:r w:rsidR="00D5018D">
        <w:tab/>
      </w:r>
      <w:r w:rsidR="006C1CE4">
        <w:rPr>
          <w:lang w:val="en-IE"/>
        </w:rPr>
        <w:t xml:space="preserve">Eurostat, </w:t>
      </w:r>
      <w:hyperlink r:id="rId2" w:history="1">
        <w:r w:rsidR="00996A99" w:rsidRPr="00996A99">
          <w:rPr>
            <w:rStyle w:val="Hyperlink"/>
          </w:rPr>
          <w:t>Enterprises by detailed NACE Rev. 2 activity and special aggregates [sbs_ovw_act__custom_20259000]</w:t>
        </w:r>
      </w:hyperlink>
      <w:r w:rsidR="006550A5">
        <w:t>,</w:t>
      </w:r>
      <w:r w:rsidR="006C1CE4">
        <w:t xml:space="preserve"> last updated </w:t>
      </w:r>
      <w:r w:rsidR="006C1CE4" w:rsidRPr="00CD1722">
        <w:t>08</w:t>
      </w:r>
      <w:r w:rsidR="006C1CE4">
        <w:t xml:space="preserve"> December </w:t>
      </w:r>
      <w:r w:rsidR="006C1CE4" w:rsidRPr="00CD1722">
        <w:t>2025</w:t>
      </w:r>
      <w:r w:rsidR="006C1CE4">
        <w:t>, DOI: 10.2908/sbs_ovw_act.</w:t>
      </w:r>
    </w:p>
  </w:footnote>
  <w:footnote w:id="4">
    <w:p w14:paraId="33AE337C" w14:textId="77777777" w:rsidR="006C1CE4" w:rsidRPr="00322A14" w:rsidRDefault="006C1CE4" w:rsidP="006C1CE4">
      <w:pPr>
        <w:pStyle w:val="FootnoteText"/>
      </w:pPr>
      <w:r w:rsidRPr="00D5018D">
        <w:rPr>
          <w:rStyle w:val="FootnoteReference"/>
        </w:rPr>
        <w:footnoteRef/>
      </w:r>
      <w:r w:rsidR="00D5018D">
        <w:tab/>
      </w:r>
      <w:r>
        <w:rPr>
          <w:lang w:val="en-IE"/>
        </w:rPr>
        <w:t xml:space="preserve">Eurostat, </w:t>
      </w:r>
      <w:hyperlink r:id="rId3" w:history="1">
        <w:r w:rsidR="00285370" w:rsidRPr="00285370">
          <w:rPr>
            <w:rStyle w:val="Hyperlink"/>
          </w:rPr>
          <w:t>Gross value added and income by main industry (NACE Rev.2 ) [nama_10_a10__custom_20259318]</w:t>
        </w:r>
      </w:hyperlink>
      <w:r>
        <w:t xml:space="preserve">, last updated </w:t>
      </w:r>
      <w:r w:rsidRPr="00322A14">
        <w:t>20</w:t>
      </w:r>
      <w:r>
        <w:t xml:space="preserve"> February </w:t>
      </w:r>
      <w:r w:rsidRPr="00322A14">
        <w:t>2026</w:t>
      </w:r>
      <w:r>
        <w:t xml:space="preserve">, DOI: </w:t>
      </w:r>
      <w:r w:rsidRPr="00B427D5">
        <w:t>10.2908/nama_10_a10</w:t>
      </w:r>
      <w:r>
        <w:t>.</w:t>
      </w:r>
    </w:p>
  </w:footnote>
  <w:footnote w:id="5">
    <w:p w14:paraId="3CF9DF42" w14:textId="77777777" w:rsidR="00FE7970" w:rsidRPr="003F6A27" w:rsidRDefault="00FE7970" w:rsidP="00FE7970">
      <w:pPr>
        <w:pStyle w:val="FootnoteText"/>
      </w:pPr>
      <w:r w:rsidRPr="009664E9">
        <w:rPr>
          <w:rStyle w:val="FootnoteReference"/>
        </w:rPr>
        <w:footnoteRef/>
      </w:r>
      <w:r w:rsidR="009664E9">
        <w:tab/>
      </w:r>
      <w:r w:rsidRPr="003F6A27">
        <w:t xml:space="preserve">Eurostat, </w:t>
      </w:r>
      <w:hyperlink r:id="rId4" w:history="1">
        <w:r w:rsidR="00B1457A" w:rsidRPr="00B1457A">
          <w:rPr>
            <w:rStyle w:val="Hyperlink"/>
          </w:rPr>
          <w:t>Air emissions accounts by NACE Rev. 2 activity [env_ac_ainah_r2__custom_20259376]</w:t>
        </w:r>
      </w:hyperlink>
      <w:r w:rsidRPr="003F6A27">
        <w:t xml:space="preserve">, </w:t>
      </w:r>
      <w:r w:rsidR="00DF4F10">
        <w:t xml:space="preserve">last updated </w:t>
      </w:r>
      <w:r w:rsidR="00DF4F10" w:rsidRPr="00DF4F10">
        <w:t>28</w:t>
      </w:r>
      <w:r w:rsidR="00DF4F10">
        <w:t xml:space="preserve"> November </w:t>
      </w:r>
      <w:r w:rsidR="00DF4F10" w:rsidRPr="00DF4F10">
        <w:t>2025</w:t>
      </w:r>
      <w:r w:rsidR="00DF4F10">
        <w:t>,</w:t>
      </w:r>
      <w:r w:rsidR="00DF4F10" w:rsidRPr="00DF4F10">
        <w:t xml:space="preserve"> </w:t>
      </w:r>
      <w:r w:rsidRPr="003F6A27">
        <w:t>DOI: 10.2908/env_ac_ainah_r2.</w:t>
      </w:r>
    </w:p>
  </w:footnote>
  <w:footnote w:id="6">
    <w:p w14:paraId="58F6BE31" w14:textId="77777777" w:rsidR="00FE7970" w:rsidRPr="00156BC7" w:rsidRDefault="00FE7970" w:rsidP="00FE7970">
      <w:pPr>
        <w:pStyle w:val="FootnoteText"/>
        <w:rPr>
          <w:lang w:val="en-IE"/>
        </w:rPr>
      </w:pPr>
      <w:r>
        <w:rPr>
          <w:rStyle w:val="FootnoteReference"/>
        </w:rPr>
        <w:footnoteRef/>
      </w:r>
      <w:r>
        <w:rPr>
          <w:lang w:val="en-IE"/>
        </w:rPr>
        <w:tab/>
      </w:r>
      <w:r w:rsidR="00DC080D">
        <w:rPr>
          <w:lang w:val="en-IE"/>
        </w:rPr>
        <w:t xml:space="preserve">Eurostat, </w:t>
      </w:r>
      <w:hyperlink r:id="rId5" w:history="1">
        <w:r w:rsidR="00DC080D" w:rsidRPr="00285370">
          <w:rPr>
            <w:rStyle w:val="Hyperlink"/>
          </w:rPr>
          <w:t>Gro</w:t>
        </w:r>
        <w:bookmarkStart w:id="1" w:name="_Hlt222912631"/>
        <w:bookmarkStart w:id="2" w:name="_Hlt222912632"/>
        <w:r w:rsidR="00DC080D" w:rsidRPr="00285370">
          <w:rPr>
            <w:rStyle w:val="Hyperlink"/>
          </w:rPr>
          <w:t>s</w:t>
        </w:r>
        <w:bookmarkEnd w:id="1"/>
        <w:bookmarkEnd w:id="2"/>
        <w:r w:rsidR="00DC080D" w:rsidRPr="00285370">
          <w:rPr>
            <w:rStyle w:val="Hyperlink"/>
          </w:rPr>
          <w:t>s value added and income by main industry (NACE Rev.2 ) [nama_10_a10__custom_20259318]</w:t>
        </w:r>
      </w:hyperlink>
      <w:r w:rsidR="00DC080D">
        <w:t xml:space="preserve">, last updated </w:t>
      </w:r>
      <w:r w:rsidR="00DC080D" w:rsidRPr="00322A14">
        <w:t>20</w:t>
      </w:r>
      <w:r w:rsidR="00DC080D">
        <w:t xml:space="preserve"> February </w:t>
      </w:r>
      <w:r w:rsidR="00DC080D" w:rsidRPr="00322A14">
        <w:t>2026</w:t>
      </w:r>
      <w:r w:rsidR="00DC080D">
        <w:t>, DOI</w:t>
      </w:r>
      <w:r w:rsidR="0087775F">
        <w:t xml:space="preserve">: </w:t>
      </w:r>
      <w:r w:rsidR="0087775F" w:rsidRPr="00B427D5">
        <w:t>10.2908/nama_10_a10</w:t>
      </w:r>
      <w:r w:rsidR="00E72267">
        <w:t>.</w:t>
      </w:r>
    </w:p>
  </w:footnote>
  <w:footnote w:id="7">
    <w:p w14:paraId="0CEB4821" w14:textId="77777777" w:rsidR="00FE7970" w:rsidRPr="0040742B" w:rsidRDefault="00FE7970" w:rsidP="00FE7970">
      <w:pPr>
        <w:pStyle w:val="FootnoteText"/>
        <w:rPr>
          <w:lang w:val="en-IE"/>
        </w:rPr>
      </w:pPr>
      <w:r>
        <w:rPr>
          <w:rStyle w:val="FootnoteReference"/>
        </w:rPr>
        <w:footnoteRef/>
      </w:r>
      <w:r>
        <w:rPr>
          <w:lang w:val="en-IE"/>
        </w:rPr>
        <w:tab/>
      </w:r>
      <w:r w:rsidRPr="0040742B">
        <w:rPr>
          <w:lang w:val="en-IE"/>
        </w:rPr>
        <w:t xml:space="preserve">Draghi, M. (2024). </w:t>
      </w:r>
      <w:hyperlink r:id="rId6" w:history="1">
        <w:r w:rsidRPr="00D40073">
          <w:rPr>
            <w:rStyle w:val="Hyperlink"/>
            <w:lang w:val="en-IE"/>
          </w:rPr>
          <w:t>The future of European competitiveness – In-depth analysis and recommendations (Part B)</w:t>
        </w:r>
      </w:hyperlink>
      <w:r>
        <w:rPr>
          <w:lang w:val="en-IE"/>
        </w:rPr>
        <w:t>.</w:t>
      </w:r>
    </w:p>
  </w:footnote>
  <w:footnote w:id="8">
    <w:p w14:paraId="393AC3CD" w14:textId="77777777" w:rsidR="00FE7970" w:rsidRPr="009C1E1E" w:rsidRDefault="00FE7970" w:rsidP="00FE7970">
      <w:pPr>
        <w:pStyle w:val="FootnoteText"/>
        <w:rPr>
          <w:lang w:val="en-IE"/>
        </w:rPr>
      </w:pPr>
      <w:r>
        <w:rPr>
          <w:rStyle w:val="FootnoteReference"/>
        </w:rPr>
        <w:footnoteRef/>
      </w:r>
      <w:r>
        <w:rPr>
          <w:lang w:val="en-IE"/>
        </w:rPr>
        <w:tab/>
      </w:r>
      <w:r w:rsidRPr="009C1E1E">
        <w:rPr>
          <w:lang w:val="en-IE"/>
        </w:rPr>
        <w:t>Internal European Commission analysis, see Impact Assessment report</w:t>
      </w:r>
      <w:r>
        <w:rPr>
          <w:lang w:val="en-IE"/>
        </w:rPr>
        <w:t>.</w:t>
      </w:r>
    </w:p>
  </w:footnote>
  <w:footnote w:id="9">
    <w:p w14:paraId="1E765096" w14:textId="77777777" w:rsidR="00FE7970" w:rsidRPr="009838C7" w:rsidRDefault="00FE7970" w:rsidP="00FE7970">
      <w:pPr>
        <w:pStyle w:val="FootnoteText"/>
        <w:rPr>
          <w:lang w:val="en-IE"/>
        </w:rPr>
      </w:pPr>
      <w:r>
        <w:rPr>
          <w:rStyle w:val="FootnoteReference"/>
        </w:rPr>
        <w:footnoteRef/>
      </w:r>
      <w:r>
        <w:rPr>
          <w:lang w:val="en-IE"/>
        </w:rPr>
        <w:tab/>
      </w:r>
      <w:r w:rsidRPr="009838C7">
        <w:rPr>
          <w:lang w:val="en-IE"/>
        </w:rPr>
        <w:t xml:space="preserve">OECD Working Papers, </w:t>
      </w:r>
      <w:hyperlink r:id="rId7" w:history="1">
        <w:r w:rsidRPr="00C330CF">
          <w:rPr>
            <w:rStyle w:val="Hyperlink"/>
            <w:lang w:val="en-IE"/>
          </w:rPr>
          <w:t>A comprehensive overview of the Energy Intensive Industries ecosystem</w:t>
        </w:r>
      </w:hyperlink>
      <w:r w:rsidRPr="009838C7">
        <w:rPr>
          <w:lang w:val="en-IE"/>
        </w:rPr>
        <w:t>, 2025/09</w:t>
      </w:r>
      <w:r>
        <w:rPr>
          <w:lang w:val="en-IE"/>
        </w:rPr>
        <w:t>.</w:t>
      </w:r>
    </w:p>
  </w:footnote>
  <w:footnote w:id="10">
    <w:p w14:paraId="3BFE5E6A" w14:textId="77777777" w:rsidR="00FE7970" w:rsidRPr="00EE6BEF" w:rsidRDefault="00FE7970" w:rsidP="00FE7970">
      <w:pPr>
        <w:pStyle w:val="FootnoteText"/>
        <w:rPr>
          <w:lang w:val="en-IE"/>
        </w:rPr>
      </w:pPr>
      <w:r>
        <w:rPr>
          <w:rStyle w:val="FootnoteReference"/>
        </w:rPr>
        <w:footnoteRef/>
      </w:r>
      <w:r>
        <w:rPr>
          <w:lang w:val="en-IE"/>
        </w:rPr>
        <w:tab/>
      </w:r>
      <w:r w:rsidRPr="00EE6BEF">
        <w:rPr>
          <w:lang w:val="en-IE"/>
        </w:rPr>
        <w:t>A European Steel and Metals Action Plan, COM (2025) 125 final, 19 March 2025.</w:t>
      </w:r>
    </w:p>
  </w:footnote>
  <w:footnote w:id="11">
    <w:p w14:paraId="2878CCC5" w14:textId="77777777" w:rsidR="00FE7970" w:rsidRPr="00272878" w:rsidRDefault="00FE7970" w:rsidP="00FE7970">
      <w:pPr>
        <w:pStyle w:val="FootnoteText"/>
        <w:rPr>
          <w:lang w:val="en-IE"/>
        </w:rPr>
      </w:pPr>
      <w:r>
        <w:rPr>
          <w:rStyle w:val="FootnoteReference"/>
        </w:rPr>
        <w:footnoteRef/>
      </w:r>
      <w:r>
        <w:rPr>
          <w:lang w:val="en-IE"/>
        </w:rPr>
        <w:tab/>
      </w:r>
      <w:r w:rsidRPr="00F42311">
        <w:rPr>
          <w:lang w:val="en-IE"/>
        </w:rPr>
        <w:t xml:space="preserve">Approximately EUR 500 billion are needed by 2040 for the chemicals, basic metals, non-metallic minerals and pulp and paper industries - Draghi, M. (2024). </w:t>
      </w:r>
      <w:hyperlink r:id="rId8" w:history="1">
        <w:r w:rsidRPr="00683D9D">
          <w:rPr>
            <w:rStyle w:val="Hyperlink"/>
            <w:lang w:val="en-IE"/>
          </w:rPr>
          <w:t>The future of European competitiveness – In-depth analysis and recommendations (Part B)</w:t>
        </w:r>
      </w:hyperlink>
      <w:r w:rsidRPr="00F42311">
        <w:rPr>
          <w:lang w:val="en-IE"/>
        </w:rPr>
        <w:t xml:space="preserve">, p. 99 and Commission </w:t>
      </w:r>
      <w:hyperlink r:id="rId9" w:history="1">
        <w:r w:rsidRPr="00497975">
          <w:rPr>
            <w:rStyle w:val="Hyperlink"/>
            <w:lang w:val="en-IE"/>
          </w:rPr>
          <w:t>Staff Working Document</w:t>
        </w:r>
      </w:hyperlink>
      <w:r w:rsidRPr="00F42311">
        <w:rPr>
          <w:lang w:val="en-IE"/>
        </w:rPr>
        <w:t>, Impact assessment report, Europe’s 2040 climate target and path to climate neutrality by 2050 building a sustainable, just and prosperous society, Part 3, pp.164-167.</w:t>
      </w:r>
    </w:p>
  </w:footnote>
  <w:footnote w:id="12">
    <w:p w14:paraId="3D546740" w14:textId="77777777" w:rsidR="00FE7970" w:rsidRPr="00852C86" w:rsidRDefault="00FE7970" w:rsidP="00FE7970">
      <w:pPr>
        <w:pStyle w:val="FootnoteText"/>
        <w:rPr>
          <w:lang w:val="en-IE"/>
        </w:rPr>
      </w:pPr>
      <w:r>
        <w:rPr>
          <w:rStyle w:val="FootnoteReference"/>
        </w:rPr>
        <w:footnoteRef/>
      </w:r>
      <w:r>
        <w:rPr>
          <w:lang w:val="en-IE"/>
        </w:rPr>
        <w:tab/>
      </w:r>
      <w:r w:rsidRPr="00852C86">
        <w:rPr>
          <w:lang w:val="en-IE"/>
        </w:rPr>
        <w:t>JRC analysis, see Impact Assessment report</w:t>
      </w:r>
      <w:r>
        <w:rPr>
          <w:lang w:val="en-IE"/>
        </w:rPr>
        <w:t>.</w:t>
      </w:r>
    </w:p>
  </w:footnote>
  <w:footnote w:id="13">
    <w:p w14:paraId="6A09D93D" w14:textId="77777777" w:rsidR="00FE7970" w:rsidRPr="00570858" w:rsidRDefault="00FE7970" w:rsidP="00FE7970">
      <w:pPr>
        <w:pStyle w:val="FootnoteText"/>
        <w:rPr>
          <w:lang w:val="en-IE"/>
        </w:rPr>
      </w:pPr>
      <w:r>
        <w:rPr>
          <w:rStyle w:val="FootnoteReference"/>
        </w:rPr>
        <w:footnoteRef/>
      </w:r>
      <w:r>
        <w:rPr>
          <w:lang w:val="en-IE"/>
        </w:rPr>
        <w:tab/>
      </w:r>
      <w:hyperlink r:id="rId10" w:history="1">
        <w:r w:rsidRPr="006B0B34">
          <w:rPr>
            <w:rStyle w:val="Hyperlink"/>
            <w:lang w:val="en-IE"/>
          </w:rPr>
          <w:t>Competitiveness Progress Report on Clean Energy Technologies</w:t>
        </w:r>
      </w:hyperlink>
      <w:r w:rsidRPr="00570858">
        <w:rPr>
          <w:lang w:val="en-IE"/>
        </w:rPr>
        <w:t>, COM(2025) 74 final, 26 February 2025.</w:t>
      </w:r>
    </w:p>
  </w:footnote>
  <w:footnote w:id="14">
    <w:p w14:paraId="16DFF4F2" w14:textId="77777777" w:rsidR="00FE7970" w:rsidRPr="008A6B46" w:rsidRDefault="00FE7970" w:rsidP="00FE7970">
      <w:pPr>
        <w:pStyle w:val="FootnoteText"/>
        <w:rPr>
          <w:lang w:val="en-IE"/>
        </w:rPr>
      </w:pPr>
      <w:r>
        <w:rPr>
          <w:rStyle w:val="FootnoteReference"/>
        </w:rPr>
        <w:footnoteRef/>
      </w:r>
      <w:r>
        <w:rPr>
          <w:lang w:val="en-IE"/>
        </w:rPr>
        <w:tab/>
      </w:r>
      <w:r w:rsidRPr="008A6B46">
        <w:rPr>
          <w:lang w:val="en-IE"/>
        </w:rPr>
        <w:t>BloombergNEF, New Energy Outlook</w:t>
      </w:r>
      <w:r>
        <w:rPr>
          <w:lang w:val="en-IE"/>
        </w:rPr>
        <w:t>.</w:t>
      </w:r>
    </w:p>
  </w:footnote>
  <w:footnote w:id="15">
    <w:p w14:paraId="28C49E17" w14:textId="77777777" w:rsidR="00FE7970" w:rsidRPr="00F931EB" w:rsidRDefault="00FE7970" w:rsidP="00FE7970">
      <w:pPr>
        <w:pStyle w:val="FootnoteText"/>
        <w:rPr>
          <w:lang w:val="en-IE"/>
        </w:rPr>
      </w:pPr>
      <w:r>
        <w:rPr>
          <w:rStyle w:val="FootnoteReference"/>
        </w:rPr>
        <w:footnoteRef/>
      </w:r>
      <w:r>
        <w:rPr>
          <w:lang w:val="en-IE"/>
        </w:rPr>
        <w:tab/>
      </w:r>
      <w:hyperlink r:id="rId11" w:history="1">
        <w:r w:rsidRPr="005238AB">
          <w:rPr>
            <w:rStyle w:val="Hyperlink"/>
            <w:lang w:val="en-IE"/>
          </w:rPr>
          <w:t>European automotive industry: What it takes to regain competitiveness</w:t>
        </w:r>
      </w:hyperlink>
      <w:r w:rsidRPr="00F931EB">
        <w:rPr>
          <w:lang w:val="en-IE"/>
        </w:rPr>
        <w:t>, McKinsey, 10 March 2025.</w:t>
      </w:r>
    </w:p>
  </w:footnote>
  <w:footnote w:id="16">
    <w:p w14:paraId="19F19859" w14:textId="77777777" w:rsidR="008B1393" w:rsidRPr="00053E05" w:rsidRDefault="008B1393" w:rsidP="008B1393">
      <w:pPr>
        <w:pStyle w:val="FootnoteText"/>
        <w:rPr>
          <w:lang w:val="en-IE"/>
        </w:rPr>
      </w:pPr>
      <w:r>
        <w:rPr>
          <w:rStyle w:val="FootnoteReference"/>
        </w:rPr>
        <w:footnoteRef/>
      </w:r>
      <w:r w:rsidRPr="00053E05">
        <w:rPr>
          <w:lang w:val="en-IE"/>
        </w:rPr>
        <w:tab/>
      </w:r>
      <w:r w:rsidRPr="00053E05">
        <w:t xml:space="preserve">Proposal for a </w:t>
      </w:r>
      <w:r>
        <w:t>Regulation of the European Parliament and of the Council</w:t>
      </w:r>
      <w:r w:rsidRPr="00053E05">
        <w:t xml:space="preserve"> amending Regulation (EU) 2019/631 as regards CO2 emission performance standards for new light duty vehicles and vehicle labelling and repealing Directive 1999/94/EC.</w:t>
      </w:r>
    </w:p>
  </w:footnote>
  <w:footnote w:id="17">
    <w:p w14:paraId="646E4674" w14:textId="77777777" w:rsidR="00520353" w:rsidRPr="00520353" w:rsidRDefault="00520353">
      <w:pPr>
        <w:pStyle w:val="FootnoteText"/>
        <w:rPr>
          <w:lang w:val="en-IE"/>
        </w:rPr>
      </w:pPr>
      <w:r>
        <w:rPr>
          <w:rStyle w:val="FootnoteReference"/>
        </w:rPr>
        <w:footnoteRef/>
      </w:r>
      <w:r w:rsidRPr="00520353">
        <w:rPr>
          <w:lang w:val="en-IE"/>
        </w:rPr>
        <w:tab/>
      </w:r>
      <w:r w:rsidRPr="00053E05">
        <w:t xml:space="preserve">Proposal for a </w:t>
      </w:r>
      <w:r>
        <w:t>Regulation of the European Parliament and of the Council</w:t>
      </w:r>
      <w:r w:rsidR="004D7F57">
        <w:t xml:space="preserve"> on clean corporate vehicles.</w:t>
      </w:r>
    </w:p>
  </w:footnote>
  <w:footnote w:id="18">
    <w:p w14:paraId="7591ABDA" w14:textId="77777777" w:rsidR="002A7B9E" w:rsidRPr="00693813" w:rsidRDefault="002A7B9E">
      <w:pPr>
        <w:pStyle w:val="FootnoteText"/>
      </w:pPr>
      <w:r w:rsidRPr="00781B63">
        <w:rPr>
          <w:rStyle w:val="FootnoteReference"/>
        </w:rPr>
        <w:footnoteRef/>
      </w:r>
      <w:r w:rsidR="00781B63">
        <w:tab/>
      </w:r>
      <w:r w:rsidR="00F12754">
        <w:t xml:space="preserve">Detailed information is available </w:t>
      </w:r>
      <w:r w:rsidR="00F12754" w:rsidRPr="00F12754">
        <w:t xml:space="preserve">through the </w:t>
      </w:r>
      <w:r w:rsidR="00F12754">
        <w:t xml:space="preserve">European </w:t>
      </w:r>
      <w:r w:rsidR="00F12754" w:rsidRPr="00F12754">
        <w:t>Commission’s “</w:t>
      </w:r>
      <w:hyperlink r:id="rId12" w:anchor="/procumementlocation" w:history="1">
        <w:r w:rsidR="00F12754" w:rsidRPr="00F12754">
          <w:rPr>
            <w:rStyle w:val="Hyperlink"/>
          </w:rPr>
          <w:t>Procurement for Buyers</w:t>
        </w:r>
      </w:hyperlink>
      <w:r w:rsidR="00F12754" w:rsidRPr="00F12754">
        <w:t>” tool on the Access2Markets portal</w:t>
      </w:r>
      <w:r w:rsidR="00F12754">
        <w:t xml:space="preserve"> </w:t>
      </w:r>
      <w:r w:rsidR="00693813">
        <w:t xml:space="preserve">and will help EU contracting entities to find out which bidders are eligible to participate in public procurement procedures in EU member states, based on the provisions of the WTO </w:t>
      </w:r>
      <w:r w:rsidR="000123E2">
        <w:t xml:space="preserve">Agreement on </w:t>
      </w:r>
      <w:r w:rsidR="00693813">
        <w:t>Government Procurement (GPA) and bilateral EU trade agreements.</w:t>
      </w:r>
    </w:p>
  </w:footnote>
  <w:footnote w:id="19">
    <w:p w14:paraId="707AB09F" w14:textId="77777777" w:rsidR="007161E1" w:rsidRPr="006E76A7" w:rsidRDefault="007161E1">
      <w:pPr>
        <w:pStyle w:val="FootnoteText"/>
        <w:rPr>
          <w:lang w:val="en-IE"/>
        </w:rPr>
      </w:pPr>
      <w:r w:rsidRPr="00781B63">
        <w:rPr>
          <w:rStyle w:val="FootnoteReference"/>
        </w:rPr>
        <w:footnoteRef/>
      </w:r>
      <w:r w:rsidR="00781B63">
        <w:tab/>
      </w:r>
      <w:r w:rsidRPr="007161E1">
        <w:t xml:space="preserve">For </w:t>
      </w:r>
      <w:r>
        <w:t xml:space="preserve">the </w:t>
      </w:r>
      <w:r w:rsidRPr="007161E1">
        <w:t>lead markets</w:t>
      </w:r>
      <w:r>
        <w:t xml:space="preserve"> measures related to cement, </w:t>
      </w:r>
      <w:r w:rsidRPr="007161E1">
        <w:t>the requirement</w:t>
      </w:r>
      <w:r>
        <w:t>s</w:t>
      </w:r>
      <w:r w:rsidRPr="007161E1">
        <w:t xml:space="preserve"> </w:t>
      </w:r>
      <w:r>
        <w:t xml:space="preserve">are </w:t>
      </w:r>
      <w:r w:rsidRPr="007161E1">
        <w:t>established at the level of concrete</w:t>
      </w:r>
      <w:r w:rsidR="00E05CBA">
        <w:t xml:space="preserve"> and mortar</w:t>
      </w:r>
      <w:r w:rsidRPr="007161E1">
        <w:t>, as the</w:t>
      </w:r>
      <w:r w:rsidR="00E05CBA">
        <w:t xml:space="preserve">se are </w:t>
      </w:r>
      <w:r w:rsidRPr="007161E1">
        <w:t xml:space="preserve">the </w:t>
      </w:r>
      <w:r w:rsidR="00AC7EC6">
        <w:t>relevant final products</w:t>
      </w:r>
      <w:r>
        <w:t xml:space="preserve"> </w:t>
      </w:r>
      <w:r w:rsidR="005A0955">
        <w:t xml:space="preserve">used </w:t>
      </w:r>
      <w:r>
        <w:t>in construction</w:t>
      </w:r>
      <w:r w:rsidRPr="007161E1">
        <w:t>.</w:t>
      </w:r>
    </w:p>
  </w:footnote>
  <w:footnote w:id="20">
    <w:p w14:paraId="2DD6A94A" w14:textId="77777777" w:rsidR="0090184F" w:rsidRPr="005D5AD7" w:rsidRDefault="0090184F">
      <w:pPr>
        <w:pStyle w:val="FootnoteText"/>
        <w:rPr>
          <w:lang w:val="en-IE"/>
        </w:rPr>
      </w:pPr>
      <w:r>
        <w:rPr>
          <w:rStyle w:val="FootnoteReference"/>
        </w:rPr>
        <w:footnoteRef/>
      </w:r>
      <w:r w:rsidRPr="005D5AD7">
        <w:rPr>
          <w:lang w:val="en-IE"/>
        </w:rPr>
        <w:tab/>
      </w:r>
      <w:r w:rsidR="00274410" w:rsidRPr="005D5AD7">
        <w:rPr>
          <w:lang w:val="en-IE"/>
        </w:rPr>
        <w:t>[…] </w:t>
      </w:r>
    </w:p>
  </w:footnote>
  <w:footnote w:id="21">
    <w:p w14:paraId="1F295A85" w14:textId="77777777" w:rsidR="001603DB" w:rsidRPr="005D5AD7" w:rsidRDefault="001603DB">
      <w:pPr>
        <w:pStyle w:val="FootnoteText"/>
        <w:rPr>
          <w:lang w:val="en-IE"/>
        </w:rPr>
      </w:pPr>
      <w:r>
        <w:rPr>
          <w:rStyle w:val="FootnoteReference"/>
        </w:rPr>
        <w:footnoteRef/>
      </w:r>
      <w:r w:rsidRPr="005D5AD7">
        <w:rPr>
          <w:lang w:val="en-IE"/>
        </w:rPr>
        <w:tab/>
        <w:t>[…] </w:t>
      </w:r>
    </w:p>
  </w:footnote>
  <w:footnote w:id="22">
    <w:p w14:paraId="1082639B" w14:textId="77777777" w:rsidR="002B14CF" w:rsidRPr="005D5AD7" w:rsidRDefault="002B14CF" w:rsidP="002B14CF">
      <w:pPr>
        <w:pStyle w:val="FootnoteText"/>
        <w:rPr>
          <w:lang w:val="en-IE"/>
        </w:rPr>
      </w:pPr>
      <w:r w:rsidRPr="009664E9">
        <w:rPr>
          <w:rStyle w:val="FootnoteReference"/>
        </w:rPr>
        <w:footnoteRef/>
      </w:r>
      <w:r w:rsidR="009664E9" w:rsidRPr="005D5AD7">
        <w:rPr>
          <w:lang w:val="en-IE"/>
        </w:rPr>
        <w:tab/>
      </w:r>
      <w:r w:rsidRPr="005D5AD7">
        <w:rPr>
          <w:lang w:val="en-IE"/>
        </w:rPr>
        <w:t>https://www.consilium.europa.eu/en/policies/european-economic-security/</w:t>
      </w:r>
    </w:p>
  </w:footnote>
  <w:footnote w:id="23">
    <w:p w14:paraId="7533E921" w14:textId="77777777" w:rsidR="00862074" w:rsidRPr="00E522E8" w:rsidRDefault="00862074" w:rsidP="00862074">
      <w:pPr>
        <w:pStyle w:val="FootnoteText"/>
        <w:rPr>
          <w:lang w:val="en-IE"/>
        </w:rPr>
      </w:pPr>
      <w:r>
        <w:rPr>
          <w:rStyle w:val="FootnoteReference"/>
        </w:rPr>
        <w:footnoteRef/>
      </w:r>
      <w:r w:rsidRPr="00E522E8">
        <w:rPr>
          <w:lang w:val="en-IE"/>
        </w:rPr>
        <w:tab/>
      </w:r>
      <w:r w:rsidRPr="004934D2">
        <w:t>Joint Communication to the European Parliament</w:t>
      </w:r>
      <w:r w:rsidRPr="000D4A24">
        <w:t>, the European Council and the Council on “European Economic Security Strategy” (JOIN/2023/20 final).</w:t>
      </w:r>
    </w:p>
  </w:footnote>
  <w:footnote w:id="24">
    <w:p w14:paraId="63837D30" w14:textId="4D0FD9F5" w:rsidR="00862074" w:rsidRPr="006B6362" w:rsidRDefault="00862074" w:rsidP="00862074">
      <w:pPr>
        <w:pStyle w:val="FootnoteText"/>
        <w:rPr>
          <w:lang w:val="en-IE"/>
        </w:rPr>
      </w:pPr>
      <w:r w:rsidRPr="00B105F9">
        <w:rPr>
          <w:rStyle w:val="FootnoteReference"/>
        </w:rPr>
        <w:footnoteRef/>
      </w:r>
      <w:r w:rsidR="00B105F9">
        <w:tab/>
      </w:r>
      <w:r w:rsidRPr="006B6362">
        <w:rPr>
          <w:lang w:val="en-IE"/>
        </w:rPr>
        <w:t>Joint Communication to the European Parliament and the Council on Strengthening EU economic security (JOIN(2025)977 final).</w:t>
      </w:r>
    </w:p>
  </w:footnote>
  <w:footnote w:id="25">
    <w:p w14:paraId="46669159" w14:textId="77777777" w:rsidR="00862074" w:rsidRPr="00190A5B" w:rsidRDefault="00862074" w:rsidP="00862074">
      <w:pPr>
        <w:pStyle w:val="FootnoteText"/>
        <w:rPr>
          <w:lang w:val="en-IE"/>
        </w:rPr>
      </w:pPr>
      <w:r>
        <w:rPr>
          <w:rStyle w:val="FootnoteReference"/>
        </w:rPr>
        <w:footnoteRef/>
      </w:r>
      <w:r w:rsidRPr="00190A5B">
        <w:rPr>
          <w:lang w:val="en-IE"/>
        </w:rPr>
        <w:tab/>
      </w:r>
      <w:r>
        <w:rPr>
          <w:lang w:val="en-IE"/>
        </w:rPr>
        <w:t xml:space="preserve">With the exception of </w:t>
      </w:r>
      <w:r>
        <w:t xml:space="preserve">NACE Code C12, e-liquids used in vaping devices and nicotine-containing products under C20.59 and </w:t>
      </w:r>
      <w:r w:rsidRPr="007562BD">
        <w:rPr>
          <w:lang w:val="en-IE"/>
        </w:rPr>
        <w:t xml:space="preserve">manufacture of electronic cigarettes </w:t>
      </w:r>
      <w:r>
        <w:rPr>
          <w:lang w:val="en-IE"/>
        </w:rPr>
        <w:t xml:space="preserve">and tobacco heating devices under </w:t>
      </w:r>
      <w:r>
        <w:t>C32.99 (u</w:t>
      </w:r>
      <w:r>
        <w:rPr>
          <w:lang w:val="en-IE"/>
        </w:rPr>
        <w:t>nless they are authorised as medicinal products or certified as medical devices)</w:t>
      </w:r>
      <w:r>
        <w:t>.</w:t>
      </w:r>
      <w:r>
        <w:rPr>
          <w:lang w:val="en-IE"/>
        </w:rPr>
        <w:t xml:space="preserve"> </w:t>
      </w:r>
    </w:p>
  </w:footnote>
  <w:footnote w:id="26">
    <w:p w14:paraId="67E2E749" w14:textId="77777777" w:rsidR="00BB6AA8" w:rsidRPr="002D28B8" w:rsidRDefault="00BB6AA8">
      <w:pPr>
        <w:pStyle w:val="FootnoteText"/>
        <w:rPr>
          <w:lang w:val="en-IE"/>
        </w:rPr>
      </w:pPr>
      <w:r w:rsidRPr="00781B63">
        <w:rPr>
          <w:rStyle w:val="FootnoteReference"/>
        </w:rPr>
        <w:footnoteRef/>
      </w:r>
      <w:r w:rsidR="00781B63">
        <w:tab/>
      </w:r>
      <w:r w:rsidR="00E13810" w:rsidRPr="00E13810">
        <w:t>Communication from the Commission to the European, the Council, the European Economic and Social Committee and the Committee of the Regions, A Strategic Framework for a Competitive and Sustainable EU Bioeconomy (</w:t>
      </w:r>
      <w:r w:rsidRPr="00E13810">
        <w:rPr>
          <w:szCs w:val="24"/>
        </w:rPr>
        <w:t>COM(2025)960</w:t>
      </w:r>
      <w:r w:rsidR="00E13810" w:rsidRPr="00E13810">
        <w:rPr>
          <w:szCs w:val="24"/>
        </w:rPr>
        <w:t>).</w:t>
      </w:r>
    </w:p>
  </w:footnote>
  <w:footnote w:id="27">
    <w:p w14:paraId="06CFC133" w14:textId="77777777" w:rsidR="00862074" w:rsidRPr="005C0B7B" w:rsidRDefault="00862074" w:rsidP="00862074">
      <w:pPr>
        <w:pStyle w:val="FootnoteText"/>
        <w:rPr>
          <w:lang w:val="en-IE"/>
        </w:rPr>
      </w:pPr>
      <w:r>
        <w:rPr>
          <w:rStyle w:val="FootnoteReference"/>
        </w:rPr>
        <w:footnoteRef/>
      </w:r>
      <w:r w:rsidRPr="005C0B7B">
        <w:rPr>
          <w:lang w:val="en-IE"/>
        </w:rPr>
        <w:tab/>
        <w:t>Proposal for a Regulation of</w:t>
      </w:r>
      <w:r>
        <w:rPr>
          <w:lang w:val="en-IE"/>
        </w:rPr>
        <w:t xml:space="preserve"> the European Parliament and of the Council on the establishment of European Business Wallets (</w:t>
      </w:r>
      <w:r w:rsidRPr="002D6979">
        <w:t>COM/2025/838 final</w:t>
      </w:r>
      <w:r>
        <w:t>).</w:t>
      </w:r>
    </w:p>
  </w:footnote>
  <w:footnote w:id="28">
    <w:p w14:paraId="6B3387A8" w14:textId="77777777" w:rsidR="00730A27" w:rsidRPr="002732C9" w:rsidRDefault="00730A27" w:rsidP="00730A27">
      <w:pPr>
        <w:pStyle w:val="FootnoteText"/>
        <w:rPr>
          <w:lang w:val="en-IE"/>
        </w:rPr>
      </w:pPr>
      <w:r>
        <w:rPr>
          <w:rStyle w:val="FootnoteReference"/>
        </w:rPr>
        <w:footnoteRef/>
      </w:r>
      <w:r w:rsidRPr="002732C9">
        <w:rPr>
          <w:lang w:val="en-IE"/>
        </w:rPr>
        <w:tab/>
      </w:r>
      <w:r w:rsidRPr="00151D47">
        <w:t>Regulation (EU) 2024/1735 of the European Parliament and of the Council of 13 June 2024 on establishing a framework of measures for strengthening Europe’s net-zero technology manufacturing ecosystem and amending Regulation (EU) 2018/1724</w:t>
      </w:r>
      <w:r>
        <w:t xml:space="preserve"> (</w:t>
      </w:r>
      <w:r w:rsidRPr="002B4BBB">
        <w:t>OJ L, 2024/1735, 28.6.2024, ELI: http://data.europa.eu/eli/reg/2024/1735/oj</w:t>
      </w:r>
      <w:r>
        <w:t>).</w:t>
      </w:r>
    </w:p>
  </w:footnote>
  <w:footnote w:id="29">
    <w:p w14:paraId="32E838D6" w14:textId="77777777" w:rsidR="00730A27" w:rsidRPr="006A16A8" w:rsidRDefault="00730A27" w:rsidP="00730A27">
      <w:pPr>
        <w:pStyle w:val="FootnoteText"/>
        <w:rPr>
          <w:lang w:val="en-IE"/>
        </w:rPr>
      </w:pPr>
      <w:r>
        <w:rPr>
          <w:rStyle w:val="FootnoteReference"/>
        </w:rPr>
        <w:footnoteRef/>
      </w:r>
      <w:r w:rsidRPr="006A16A8">
        <w:rPr>
          <w:lang w:val="en-IE"/>
        </w:rPr>
        <w:tab/>
      </w:r>
      <w:r w:rsidRPr="00AE3C2B">
        <w:t>Regulation (EU) 2024/1252 of the European Parliament and of the Council of 11 April 2024 establishing a framework for ensuring a secure and sustainable supply of critical raw materials and amending Regulations (EU) No 168/2013, (EU) 2018/858, (EU) 2018/1724 and (EU) 2019/1020</w:t>
      </w:r>
      <w:r>
        <w:t xml:space="preserve"> (</w:t>
      </w:r>
      <w:r w:rsidRPr="00344C9F">
        <w:t>OJ L, 2024/1252, 3.5.2024, ELI: http://data.europa.eu/eli/reg/2024/1252/oj</w:t>
      </w:r>
      <w:r>
        <w:t>).</w:t>
      </w:r>
    </w:p>
  </w:footnote>
  <w:footnote w:id="30">
    <w:p w14:paraId="11D92683" w14:textId="77777777" w:rsidR="00730A27" w:rsidRPr="0057538F" w:rsidRDefault="00730A27" w:rsidP="00730A27">
      <w:pPr>
        <w:pStyle w:val="FootnoteText"/>
      </w:pPr>
      <w:r>
        <w:rPr>
          <w:rStyle w:val="FootnoteReference"/>
        </w:rPr>
        <w:footnoteRef/>
      </w:r>
      <w:r w:rsidRPr="005E1420">
        <w:rPr>
          <w:lang w:val="en-IE"/>
        </w:rPr>
        <w:tab/>
      </w:r>
      <w:r w:rsidRPr="00140283">
        <w:t>Proposal for a Regulation of the European Parliament and of the Council on speeding-up environmental assessments (COM/2025/984 final</w:t>
      </w:r>
      <w:r>
        <w:t xml:space="preserve">, </w:t>
      </w:r>
      <w:r w:rsidRPr="00EF3D4B">
        <w:t>10.12.2025</w:t>
      </w:r>
      <w:r w:rsidRPr="00140283">
        <w:t>).</w:t>
      </w:r>
    </w:p>
  </w:footnote>
  <w:footnote w:id="31">
    <w:p w14:paraId="52A72EFA" w14:textId="77777777" w:rsidR="00D76DF6" w:rsidRPr="0091525F" w:rsidRDefault="00D76DF6" w:rsidP="00D76DF6">
      <w:pPr>
        <w:pStyle w:val="FootnoteText"/>
      </w:pPr>
      <w:r w:rsidRPr="00781B63">
        <w:rPr>
          <w:rStyle w:val="FootnoteReference"/>
        </w:rPr>
        <w:footnoteRef/>
      </w:r>
      <w:r>
        <w:tab/>
        <w:t xml:space="preserve">World Trade Organisation (WTO), Agreement on Government Procurement 2012, available at </w:t>
      </w:r>
      <w:hyperlink r:id="rId13" w:history="1">
        <w:r w:rsidRPr="00527DB8">
          <w:rPr>
            <w:rStyle w:val="Hyperlink"/>
          </w:rPr>
          <w:t>https://www.wto.org/english/docs_e/legal_e/rev-gpr-94_01_e.pdf</w:t>
        </w:r>
      </w:hyperlink>
      <w:r>
        <w:t>.</w:t>
      </w:r>
    </w:p>
  </w:footnote>
  <w:footnote w:id="32">
    <w:p w14:paraId="72C22048" w14:textId="77777777" w:rsidR="00D76DF6" w:rsidRPr="00A204EE" w:rsidRDefault="00D76DF6" w:rsidP="00D76DF6">
      <w:pPr>
        <w:pStyle w:val="FootnoteText"/>
      </w:pPr>
      <w:r w:rsidRPr="00781B63">
        <w:rPr>
          <w:rStyle w:val="FootnoteReference"/>
        </w:rPr>
        <w:footnoteRef/>
      </w:r>
      <w:r>
        <w:tab/>
      </w:r>
      <w:r w:rsidRPr="0000409D">
        <w:t>Regulation (EU) 2024/3110 of the European Parliament and of the Council of 27 November 2024 laying down harmonised rules for the marketing of construction products and repealing Regulation (EU) No 305/2011</w:t>
      </w:r>
      <w:r>
        <w:t xml:space="preserve"> (</w:t>
      </w:r>
      <w:r w:rsidRPr="00510A1C">
        <w:t>OJ L, 2024/3110, 18.12.2024</w:t>
      </w:r>
      <w:r>
        <w:t xml:space="preserve">, </w:t>
      </w:r>
      <w:r w:rsidRPr="00A204EE">
        <w:t>ELI: </w:t>
      </w:r>
      <w:hyperlink r:id="rId14" w:tooltip="Gives access to this document through its ELI URI." w:history="1">
        <w:r w:rsidRPr="00A204EE">
          <w:rPr>
            <w:rStyle w:val="Hyperlink"/>
          </w:rPr>
          <w:t>http://data.europa.eu/eli/reg/2024/3110/oj</w:t>
        </w:r>
      </w:hyperlink>
      <w:r>
        <w:t>).</w:t>
      </w:r>
    </w:p>
  </w:footnote>
  <w:footnote w:id="33">
    <w:p w14:paraId="1C5D66D7" w14:textId="77777777" w:rsidR="00D76DF6" w:rsidRPr="002D382F" w:rsidRDefault="00D76DF6" w:rsidP="00D76DF6">
      <w:pPr>
        <w:pStyle w:val="FootnoteText"/>
      </w:pPr>
      <w:r w:rsidRPr="00781B63">
        <w:rPr>
          <w:rStyle w:val="FootnoteReference"/>
        </w:rPr>
        <w:footnoteRef/>
      </w:r>
      <w:r>
        <w:tab/>
      </w:r>
      <w:r w:rsidRPr="00706DEA">
        <w:t>Regulation (EU) 2024/1781 of the European Parliament and of the Council of 13 June 2024 establishing a framework for the setting of ecodesign requirements for sustainable products, amending Directive (EU) 2020/1828 and Regulation (EU) 2023/1542 and repealing Directive 2009/125/EC</w:t>
      </w:r>
      <w:r>
        <w:t xml:space="preserve"> (</w:t>
      </w:r>
      <w:r w:rsidRPr="009425D4">
        <w:t>OJ L, 2024/1781, 28.6.2024</w:t>
      </w:r>
      <w:r>
        <w:t xml:space="preserve">, </w:t>
      </w:r>
      <w:r w:rsidRPr="002D382F">
        <w:t xml:space="preserve">ELI: </w:t>
      </w:r>
      <w:hyperlink r:id="rId15" w:history="1">
        <w:r w:rsidRPr="00527DB8">
          <w:rPr>
            <w:rStyle w:val="Hyperlink"/>
          </w:rPr>
          <w:t>http://data.europa.eu/eli/reg/2024/1781/oj</w:t>
        </w:r>
      </w:hyperlink>
      <w:r>
        <w:t>).</w:t>
      </w:r>
    </w:p>
  </w:footnote>
  <w:footnote w:id="34">
    <w:p w14:paraId="463F032C" w14:textId="77777777" w:rsidR="00D76DF6" w:rsidRPr="008B35AB" w:rsidRDefault="00D76DF6" w:rsidP="00D76DF6">
      <w:pPr>
        <w:pStyle w:val="FootnoteText"/>
        <w:rPr>
          <w:lang w:val="en-IE"/>
        </w:rPr>
      </w:pPr>
      <w:r w:rsidRPr="00D5018D">
        <w:rPr>
          <w:rStyle w:val="FootnoteReference"/>
        </w:rPr>
        <w:footnoteRef/>
      </w:r>
      <w:r>
        <w:tab/>
      </w:r>
      <w:r w:rsidRPr="008B35AB">
        <w:rPr>
          <w:lang w:val="en-IE"/>
        </w:rPr>
        <w:t>Communication From the Commission to the European Parliament, the European Council, the Council, the European Economic and Social Committee and the Committee of The Regions</w:t>
      </w:r>
      <w:r>
        <w:rPr>
          <w:lang w:val="en-IE"/>
        </w:rPr>
        <w:t xml:space="preserve">, </w:t>
      </w:r>
      <w:r w:rsidRPr="008B35AB">
        <w:rPr>
          <w:lang w:val="en-IE"/>
        </w:rPr>
        <w:t>A Green Deal Industrial Plan for the Net-Zero Age</w:t>
      </w:r>
      <w:r>
        <w:rPr>
          <w:lang w:val="en-IE"/>
        </w:rPr>
        <w:t xml:space="preserve"> (</w:t>
      </w:r>
      <w:r w:rsidRPr="00A17057">
        <w:rPr>
          <w:lang w:val="en-IE"/>
        </w:rPr>
        <w:t>COM/2023/62 final</w:t>
      </w:r>
      <w:r>
        <w:rPr>
          <w:lang w:val="en-IE"/>
        </w:rPr>
        <w:t xml:space="preserve">, </w:t>
      </w:r>
      <w:r w:rsidRPr="00131186">
        <w:rPr>
          <w:lang w:val="en-IE"/>
        </w:rPr>
        <w:t>1.2.2023</w:t>
      </w:r>
      <w:r>
        <w:rPr>
          <w:lang w:val="en-IE"/>
        </w:rPr>
        <w:t>).</w:t>
      </w:r>
    </w:p>
  </w:footnote>
  <w:footnote w:id="35">
    <w:p w14:paraId="7A698A3E" w14:textId="77777777" w:rsidR="00D76DF6" w:rsidRPr="00674E52" w:rsidRDefault="00D76DF6" w:rsidP="00D76DF6">
      <w:pPr>
        <w:pStyle w:val="FootnoteText"/>
        <w:rPr>
          <w:lang w:val="en-IE"/>
        </w:rPr>
      </w:pPr>
      <w:r>
        <w:rPr>
          <w:rStyle w:val="FootnoteReference"/>
        </w:rPr>
        <w:footnoteRef/>
      </w:r>
      <w:r w:rsidRPr="00674E52">
        <w:rPr>
          <w:lang w:val="en-IE"/>
        </w:rPr>
        <w:tab/>
      </w:r>
      <w:r w:rsidRPr="00082E66">
        <w:rPr>
          <w:lang w:val="en-IE"/>
        </w:rPr>
        <w:t>Commission Delegated Regulation (EU) 2019/331 of 19 December 2018 determining transitional Union-wide rules for harmonised free allocation of emission allowances pursuant to Article 10a of Directive 2003/87/EC of the European Parliament and of the Council</w:t>
      </w:r>
      <w:r>
        <w:rPr>
          <w:lang w:val="en-IE"/>
        </w:rPr>
        <w:t xml:space="preserve"> (</w:t>
      </w:r>
      <w:r w:rsidRPr="00D47DDB">
        <w:rPr>
          <w:lang w:val="en-IE"/>
        </w:rPr>
        <w:t>OJ L 59, 27.2.2019, p. 8</w:t>
      </w:r>
      <w:r>
        <w:rPr>
          <w:lang w:val="en-IE"/>
        </w:rPr>
        <w:t xml:space="preserve">, </w:t>
      </w:r>
      <w:r w:rsidRPr="00CE36F8">
        <w:rPr>
          <w:lang w:val="en-IE"/>
        </w:rPr>
        <w:t>27.2.2019</w:t>
      </w:r>
      <w:r>
        <w:rPr>
          <w:lang w:val="en-IE"/>
        </w:rPr>
        <w:t xml:space="preserve">, ELI: </w:t>
      </w:r>
      <w:hyperlink r:id="rId16" w:history="1">
        <w:r w:rsidRPr="00687ECC">
          <w:rPr>
            <w:rStyle w:val="Hyperlink"/>
            <w:lang w:val="en-IE"/>
          </w:rPr>
          <w:t>http://data.europa.eu/eli/reg_del/2019/331/oj</w:t>
        </w:r>
      </w:hyperlink>
      <w:r>
        <w:rPr>
          <w:lang w:val="en-IE"/>
        </w:rPr>
        <w:t>).</w:t>
      </w:r>
    </w:p>
  </w:footnote>
  <w:footnote w:id="36">
    <w:p w14:paraId="3DE975DE" w14:textId="77777777" w:rsidR="00D76DF6" w:rsidRPr="00674E52" w:rsidRDefault="00D76DF6" w:rsidP="00D76DF6">
      <w:pPr>
        <w:pStyle w:val="FootnoteText"/>
        <w:rPr>
          <w:lang w:val="en-IE"/>
        </w:rPr>
      </w:pPr>
      <w:r>
        <w:rPr>
          <w:rStyle w:val="FootnoteReference"/>
        </w:rPr>
        <w:footnoteRef/>
      </w:r>
      <w:r w:rsidRPr="00674E52">
        <w:rPr>
          <w:lang w:val="en-IE"/>
        </w:rPr>
        <w:tab/>
      </w:r>
      <w:r w:rsidRPr="00A078D0">
        <w:rPr>
          <w:lang w:val="en-IE"/>
        </w:rPr>
        <w:t>Commission Implementing Regulation (EU) 2018/2066 of 19 December 2018 on the monitoring and reporting of greenhouse gas emissions pursuant to Directive 2003/87/EC of the European Parliament and of the Council and amending Commission Regulation (EU) No 601/2012</w:t>
      </w:r>
      <w:r>
        <w:rPr>
          <w:lang w:val="en-IE"/>
        </w:rPr>
        <w:t xml:space="preserve"> (</w:t>
      </w:r>
      <w:r w:rsidRPr="005D0951">
        <w:rPr>
          <w:lang w:val="en-IE"/>
        </w:rPr>
        <w:t>OJ L 334, 31.12.2018, p. 1</w:t>
      </w:r>
      <w:r>
        <w:rPr>
          <w:lang w:val="en-IE"/>
        </w:rPr>
        <w:t xml:space="preserve">, </w:t>
      </w:r>
      <w:r w:rsidRPr="008E27F1">
        <w:rPr>
          <w:lang w:val="en-IE"/>
        </w:rPr>
        <w:t>31.12.2018</w:t>
      </w:r>
      <w:r>
        <w:rPr>
          <w:lang w:val="en-IE"/>
        </w:rPr>
        <w:t xml:space="preserve">, </w:t>
      </w:r>
      <w:r w:rsidRPr="00B22B35">
        <w:rPr>
          <w:lang w:val="en-IE"/>
        </w:rPr>
        <w:t xml:space="preserve">ELI: </w:t>
      </w:r>
      <w:hyperlink r:id="rId17" w:history="1">
        <w:r w:rsidRPr="00687ECC">
          <w:rPr>
            <w:rStyle w:val="Hyperlink"/>
            <w:lang w:val="en-IE"/>
          </w:rPr>
          <w:t>http://data.europa.eu/eli/reg_impl/2018/2066/oj</w:t>
        </w:r>
      </w:hyperlink>
      <w:r>
        <w:rPr>
          <w:lang w:val="en-IE"/>
        </w:rPr>
        <w:t>).</w:t>
      </w:r>
    </w:p>
  </w:footnote>
  <w:footnote w:id="37">
    <w:p w14:paraId="405B9D8A" w14:textId="77777777" w:rsidR="00D76DF6" w:rsidRPr="00674E52" w:rsidRDefault="00D76DF6" w:rsidP="00D76DF6">
      <w:pPr>
        <w:pStyle w:val="FootnoteText"/>
        <w:rPr>
          <w:lang w:val="en-IE"/>
        </w:rPr>
      </w:pPr>
      <w:r>
        <w:rPr>
          <w:rStyle w:val="FootnoteReference"/>
        </w:rPr>
        <w:footnoteRef/>
      </w:r>
      <w:r>
        <w:rPr>
          <w:lang w:val="en-IE"/>
        </w:rPr>
        <w:tab/>
      </w:r>
      <w:r w:rsidRPr="00AD73E1">
        <w:rPr>
          <w:lang w:val="en-IE"/>
        </w:rPr>
        <w:t>Regulation (EU) 2023/956 of the European Parliament and of the Council of 10 May 2023 establishing a carbon border adjustment mechanism</w:t>
      </w:r>
      <w:r>
        <w:rPr>
          <w:lang w:val="en-IE"/>
        </w:rPr>
        <w:t xml:space="preserve"> (</w:t>
      </w:r>
      <w:r w:rsidRPr="008404C3">
        <w:rPr>
          <w:lang w:val="en-IE"/>
        </w:rPr>
        <w:t>OJ L 130, 16.5.2023, p. 52</w:t>
      </w:r>
      <w:r>
        <w:rPr>
          <w:lang w:val="en-IE"/>
        </w:rPr>
        <w:t xml:space="preserve">, </w:t>
      </w:r>
      <w:r w:rsidRPr="008404C3">
        <w:rPr>
          <w:lang w:val="en-IE"/>
        </w:rPr>
        <w:t>16.5.2023</w:t>
      </w:r>
      <w:r>
        <w:rPr>
          <w:lang w:val="en-IE"/>
        </w:rPr>
        <w:t xml:space="preserve">, </w:t>
      </w:r>
      <w:r w:rsidRPr="00A231C7">
        <w:rPr>
          <w:lang w:val="en-IE"/>
        </w:rPr>
        <w:t xml:space="preserve">ELI: </w:t>
      </w:r>
      <w:hyperlink r:id="rId18" w:history="1">
        <w:r w:rsidRPr="0091503B">
          <w:rPr>
            <w:rStyle w:val="Hyperlink"/>
            <w:lang w:val="en-IE"/>
          </w:rPr>
          <w:t>http://data.europa.eu/eli/reg/2023/956/oj</w:t>
        </w:r>
      </w:hyperlink>
      <w:r>
        <w:rPr>
          <w:lang w:val="en-IE"/>
        </w:rPr>
        <w:t>).</w:t>
      </w:r>
    </w:p>
  </w:footnote>
  <w:footnote w:id="38">
    <w:p w14:paraId="15B79373" w14:textId="77777777" w:rsidR="00D76DF6" w:rsidRPr="00674E52" w:rsidRDefault="00D76DF6" w:rsidP="00D76DF6">
      <w:pPr>
        <w:pStyle w:val="FootnoteText"/>
        <w:rPr>
          <w:lang w:val="en-IE"/>
        </w:rPr>
      </w:pPr>
      <w:r>
        <w:rPr>
          <w:rStyle w:val="FootnoteReference"/>
        </w:rPr>
        <w:footnoteRef/>
      </w:r>
      <w:r w:rsidRPr="00674E52">
        <w:rPr>
          <w:lang w:val="en-IE"/>
        </w:rPr>
        <w:tab/>
      </w:r>
      <w:r w:rsidRPr="00084549">
        <w:rPr>
          <w:lang w:val="en-IE"/>
        </w:rPr>
        <w:t>Directive 2003/87/EC of the European Parliament and of the Council of 13 October 2003 establishing a scheme for greenhouse gas emission allowance trading within the Community and amending Council Directive 96/61/EC</w:t>
      </w:r>
      <w:r>
        <w:rPr>
          <w:lang w:val="en-IE"/>
        </w:rPr>
        <w:t xml:space="preserve"> (</w:t>
      </w:r>
      <w:r w:rsidRPr="00125DA7">
        <w:rPr>
          <w:lang w:val="en-IE"/>
        </w:rPr>
        <w:t>OJ L 275, 25.10.2003, p. 32</w:t>
      </w:r>
      <w:r>
        <w:rPr>
          <w:lang w:val="en-IE"/>
        </w:rPr>
        <w:t xml:space="preserve">, </w:t>
      </w:r>
      <w:r w:rsidRPr="00475CAB">
        <w:rPr>
          <w:lang w:val="en-IE"/>
        </w:rPr>
        <w:t>25.10.2003</w:t>
      </w:r>
      <w:r>
        <w:rPr>
          <w:lang w:val="en-IE"/>
        </w:rPr>
        <w:t xml:space="preserve">, </w:t>
      </w:r>
      <w:r w:rsidRPr="00C63FE3">
        <w:rPr>
          <w:lang w:val="en-IE"/>
        </w:rPr>
        <w:t xml:space="preserve">ELI: </w:t>
      </w:r>
      <w:hyperlink r:id="rId19" w:history="1">
        <w:r w:rsidRPr="0091503B">
          <w:rPr>
            <w:rStyle w:val="Hyperlink"/>
            <w:lang w:val="en-IE"/>
          </w:rPr>
          <w:t>http://data.europa.eu/eli/dir/2003/87/oj</w:t>
        </w:r>
      </w:hyperlink>
      <w:r>
        <w:rPr>
          <w:lang w:val="en-IE"/>
        </w:rPr>
        <w:t>).</w:t>
      </w:r>
    </w:p>
  </w:footnote>
  <w:footnote w:id="39">
    <w:p w14:paraId="3EA04DDD" w14:textId="77777777" w:rsidR="002B14CF" w:rsidRPr="0098029F" w:rsidRDefault="002B14CF" w:rsidP="002B14CF">
      <w:pPr>
        <w:pStyle w:val="FootnoteText"/>
        <w:rPr>
          <w:lang w:val="en-IE"/>
        </w:rPr>
      </w:pPr>
      <w:r>
        <w:rPr>
          <w:rStyle w:val="FootnoteReference"/>
        </w:rPr>
        <w:footnoteRef/>
      </w:r>
      <w:r>
        <w:rPr>
          <w:lang w:val="en-IE"/>
        </w:rPr>
        <w:tab/>
      </w:r>
      <w:r w:rsidRPr="0098029F">
        <w:rPr>
          <w:lang w:val="en-IE"/>
        </w:rPr>
        <w:t>Directive 2014/23/EU of the European Parliament and of the Council of 26 February 2014 on the award of concession contracts (OJ L 94, 28.3.2014, pp. 1-64</w:t>
      </w:r>
      <w:r w:rsidR="003F6E1E">
        <w:rPr>
          <w:lang w:val="en-IE"/>
        </w:rPr>
        <w:t>,</w:t>
      </w:r>
      <w:r w:rsidR="0027261E">
        <w:rPr>
          <w:lang w:val="en-IE"/>
        </w:rPr>
        <w:t xml:space="preserve"> </w:t>
      </w:r>
      <w:r w:rsidR="0027261E" w:rsidRPr="0027261E">
        <w:t>ELI: </w:t>
      </w:r>
      <w:hyperlink r:id="rId20" w:tooltip="Gives access to this document through its ELI URI." w:history="1">
        <w:r w:rsidR="0027261E" w:rsidRPr="0027261E">
          <w:rPr>
            <w:rStyle w:val="Hyperlink"/>
          </w:rPr>
          <w:t>http://data.europa.eu/eli/dir/2014/23/oj</w:t>
        </w:r>
      </w:hyperlink>
      <w:r w:rsidR="003F6E1E">
        <w:rPr>
          <w:lang w:val="en-IE"/>
        </w:rPr>
        <w:t>).</w:t>
      </w:r>
    </w:p>
  </w:footnote>
  <w:footnote w:id="40">
    <w:p w14:paraId="26D7DBC5" w14:textId="77777777" w:rsidR="002B14CF" w:rsidRPr="002D6B69" w:rsidRDefault="002B14CF" w:rsidP="002B14CF">
      <w:pPr>
        <w:pStyle w:val="FootnoteText"/>
        <w:rPr>
          <w:lang w:val="en-IE"/>
        </w:rPr>
      </w:pPr>
      <w:r>
        <w:rPr>
          <w:rStyle w:val="FootnoteReference"/>
        </w:rPr>
        <w:footnoteRef/>
      </w:r>
      <w:r>
        <w:rPr>
          <w:lang w:val="en-IE"/>
        </w:rPr>
        <w:tab/>
      </w:r>
      <w:r w:rsidRPr="002D6B69">
        <w:rPr>
          <w:lang w:val="en-IE"/>
        </w:rPr>
        <w:t>Directive 2014/24/EU of the European Parliament and of the Council of 26 February 2014 on public procurement and repealing Directive 2004/18/EC (OJ L 94, 28.3.2014, p. 65</w:t>
      </w:r>
      <w:r w:rsidR="003F6E1E">
        <w:rPr>
          <w:lang w:val="en-IE"/>
        </w:rPr>
        <w:t>,</w:t>
      </w:r>
      <w:r w:rsidR="00DE1291">
        <w:rPr>
          <w:lang w:val="en-IE"/>
        </w:rPr>
        <w:t xml:space="preserve"> </w:t>
      </w:r>
      <w:r w:rsidR="00DE1291" w:rsidRPr="00DE1291">
        <w:t>ELI: </w:t>
      </w:r>
      <w:hyperlink r:id="rId21" w:tooltip="Gives access to this document through its ELI URI." w:history="1">
        <w:r w:rsidR="00DE1291" w:rsidRPr="00DE1291">
          <w:rPr>
            <w:rStyle w:val="Hyperlink"/>
          </w:rPr>
          <w:t>http://data.europa.eu/eli/dir/2014/24/oj</w:t>
        </w:r>
      </w:hyperlink>
      <w:r w:rsidR="003F6E1E">
        <w:rPr>
          <w:lang w:val="en-IE"/>
        </w:rPr>
        <w:t>).</w:t>
      </w:r>
    </w:p>
  </w:footnote>
  <w:footnote w:id="41">
    <w:p w14:paraId="4216EF28" w14:textId="77777777" w:rsidR="002B14CF" w:rsidRPr="002D6B69" w:rsidRDefault="002B14CF" w:rsidP="002B14CF">
      <w:pPr>
        <w:pStyle w:val="FootnoteText"/>
        <w:rPr>
          <w:lang w:val="en-IE"/>
        </w:rPr>
      </w:pPr>
      <w:r>
        <w:rPr>
          <w:rStyle w:val="FootnoteReference"/>
        </w:rPr>
        <w:footnoteRef/>
      </w:r>
      <w:r>
        <w:rPr>
          <w:lang w:val="en-IE"/>
        </w:rPr>
        <w:tab/>
      </w:r>
      <w:r w:rsidRPr="0094620B">
        <w:rPr>
          <w:lang w:val="en-IE"/>
        </w:rPr>
        <w:t>Directive 2014/25/EU of the European Parliament and of the Council of 26 February 2014 on procurement by entities operating in the water, energy, transport and postal services sectors and repealing Directive 2004/17/EC (OJ L 94, 28.3.2014, p. 243).</w:t>
      </w:r>
    </w:p>
  </w:footnote>
  <w:footnote w:id="42">
    <w:p w14:paraId="04E19C2A" w14:textId="6213E119" w:rsidR="000B1194" w:rsidRPr="00C81ABF" w:rsidRDefault="000B1194" w:rsidP="000B1194">
      <w:pPr>
        <w:pStyle w:val="FootnoteText"/>
        <w:rPr>
          <w:lang w:val="en-IE"/>
        </w:rPr>
      </w:pPr>
      <w:r w:rsidRPr="00B105F9">
        <w:rPr>
          <w:rStyle w:val="FootnoteReference"/>
        </w:rPr>
        <w:footnoteRef/>
      </w:r>
      <w:r w:rsidR="00B105F9">
        <w:tab/>
      </w:r>
      <w:r w:rsidRPr="00C81ABF">
        <w:rPr>
          <w:lang w:val="en-IE"/>
        </w:rPr>
        <w:t>Regulation (EU) 2019/631 of the European Parliament and of the Council of 17 April 2019 setting CO2 emission performance standards for new passenger cars and for new light commercial vehicles, and repealing Regulations (EC) No 443/2009 and (EU) No 510/2011</w:t>
      </w:r>
      <w:r>
        <w:rPr>
          <w:lang w:val="en-IE"/>
        </w:rPr>
        <w:t xml:space="preserve"> (</w:t>
      </w:r>
      <w:r w:rsidRPr="0087607F">
        <w:rPr>
          <w:lang w:val="en-IE"/>
        </w:rPr>
        <w:t>OJ L 111, 25.4.2019, p. 13</w:t>
      </w:r>
      <w:r>
        <w:rPr>
          <w:lang w:val="en-IE"/>
        </w:rPr>
        <w:t xml:space="preserve">, </w:t>
      </w:r>
      <w:r w:rsidRPr="00191665">
        <w:rPr>
          <w:lang w:val="en-IE"/>
        </w:rPr>
        <w:t>ELI: http://data.europa.eu/eli/reg/2019/631/oj</w:t>
      </w:r>
      <w:r>
        <w:rPr>
          <w:lang w:val="en-IE"/>
        </w:rPr>
        <w:t>).</w:t>
      </w:r>
    </w:p>
  </w:footnote>
  <w:footnote w:id="43">
    <w:p w14:paraId="5E30A76F" w14:textId="77777777" w:rsidR="00E6738E" w:rsidRPr="001A27CB" w:rsidRDefault="00E6738E" w:rsidP="00E6738E">
      <w:pPr>
        <w:pStyle w:val="FootnoteText"/>
        <w:rPr>
          <w:lang w:val="en-IE"/>
        </w:rPr>
      </w:pPr>
      <w:r w:rsidRPr="00781B63">
        <w:rPr>
          <w:rStyle w:val="FootnoteReference"/>
        </w:rPr>
        <w:footnoteRef/>
      </w:r>
      <w:r>
        <w:tab/>
      </w:r>
      <w:r w:rsidRPr="00675B55">
        <w:t>Regulation (EU) 2018/858 of the European Parliament and of the Council of 30 May 2018 on the approval and market surveillance of motor vehicles and their trailers, and of systems, components and separate technical units intended for such vehicles, amending Regulations (EC) No 715/2007 and (EC) No 595/2009 and repealing Directive 2007/46/EC</w:t>
      </w:r>
      <w:r>
        <w:t xml:space="preserve"> (</w:t>
      </w:r>
      <w:r w:rsidRPr="007E6585">
        <w:t>OJ L 151, 14.6.2018, p. 1</w:t>
      </w:r>
      <w:r>
        <w:t xml:space="preserve">, ELI: </w:t>
      </w:r>
      <w:r w:rsidRPr="004C56FB">
        <w:t>http://data.europa.eu/eli/reg/2018/858/oj</w:t>
      </w:r>
      <w:r>
        <w:t>).</w:t>
      </w:r>
    </w:p>
  </w:footnote>
  <w:footnote w:id="44">
    <w:p w14:paraId="0B9445AA" w14:textId="77777777" w:rsidR="00901E2C" w:rsidRPr="00B8166B" w:rsidRDefault="00901E2C" w:rsidP="00901E2C">
      <w:pPr>
        <w:pStyle w:val="FootnoteText"/>
      </w:pPr>
      <w:r w:rsidRPr="00781B63">
        <w:rPr>
          <w:rStyle w:val="FootnoteReference"/>
        </w:rPr>
        <w:footnoteRef/>
      </w:r>
      <w:r>
        <w:tab/>
      </w:r>
      <w:r w:rsidRPr="006F5C72">
        <w:t>Regulation (EU) 2019/452 of the European Parliament and of the Council of 19 March 2019 establishing a framework for the screening of foreign direct investments into the Union</w:t>
      </w:r>
      <w:r>
        <w:t xml:space="preserve"> </w:t>
      </w:r>
      <w:r w:rsidRPr="00DC4BEE">
        <w:t>(OJ L 79I, 21.3.2019, p. 1</w:t>
      </w:r>
      <w:r>
        <w:t>,</w:t>
      </w:r>
      <w:r w:rsidRPr="00DC4BEE">
        <w:t xml:space="preserve"> ELI: </w:t>
      </w:r>
      <w:hyperlink r:id="rId22" w:tooltip="Gives access to this document through its ELI URI." w:history="1">
        <w:r w:rsidRPr="00DC4BEE">
          <w:rPr>
            <w:rStyle w:val="Hyperlink"/>
          </w:rPr>
          <w:t>http://data.europa.eu/eli/reg/2019/452/oj</w:t>
        </w:r>
      </w:hyperlink>
      <w:r>
        <w:t>).</w:t>
      </w:r>
    </w:p>
  </w:footnote>
  <w:footnote w:id="45">
    <w:p w14:paraId="5241334B" w14:textId="7A83E3A8" w:rsidR="00901E2C" w:rsidRPr="00D45EC5" w:rsidRDefault="00901E2C" w:rsidP="00901E2C">
      <w:pPr>
        <w:pStyle w:val="FootnoteText"/>
        <w:rPr>
          <w:lang w:val="en-IE"/>
        </w:rPr>
      </w:pPr>
      <w:r w:rsidRPr="00B105F9">
        <w:rPr>
          <w:rStyle w:val="FootnoteReference"/>
        </w:rPr>
        <w:footnoteRef/>
      </w:r>
      <w:r w:rsidR="00B105F9">
        <w:tab/>
      </w:r>
      <w:r w:rsidRPr="00D45EC5">
        <w:t>Regulation (EU) 2022/2560 of the European Parliament and of the Council of 14 December 2022 on foreign subsidies distorting the internal market</w:t>
      </w:r>
      <w:r>
        <w:t xml:space="preserve"> (</w:t>
      </w:r>
      <w:r w:rsidRPr="0032455E">
        <w:t>OJ L 330, 23.12.2022, p. 1</w:t>
      </w:r>
      <w:r>
        <w:t xml:space="preserve">, </w:t>
      </w:r>
      <w:r w:rsidRPr="001D03DC">
        <w:t>ELI: http://data.europa.eu/eli/reg/2022/2560/oj</w:t>
      </w:r>
      <w:r>
        <w:t>).</w:t>
      </w:r>
    </w:p>
  </w:footnote>
  <w:footnote w:id="46">
    <w:p w14:paraId="2A59A85A" w14:textId="6227A5D2" w:rsidR="00901E2C" w:rsidRPr="007E3F70" w:rsidRDefault="00901E2C" w:rsidP="00901E2C">
      <w:pPr>
        <w:pStyle w:val="FootnoteText"/>
        <w:rPr>
          <w:lang w:val="en-IE"/>
        </w:rPr>
      </w:pPr>
      <w:r w:rsidRPr="00B105F9">
        <w:rPr>
          <w:rStyle w:val="FootnoteReference"/>
        </w:rPr>
        <w:footnoteRef/>
      </w:r>
      <w:r w:rsidR="00B105F9">
        <w:tab/>
      </w:r>
      <w:r w:rsidRPr="007E3F70">
        <w:t>Council Regulation (EC) No 139/2004 of 20 January 2004 on the control of concentrations between undertakings (OJ L 24, 29.1.2004, p. 1, ELI: http://data.europa.eu/eli/reg/2004/139/oj).</w:t>
      </w:r>
    </w:p>
  </w:footnote>
  <w:footnote w:id="47">
    <w:p w14:paraId="4C9C51F2" w14:textId="77777777" w:rsidR="005503B6" w:rsidRPr="00297FC6" w:rsidRDefault="005503B6" w:rsidP="005503B6">
      <w:pPr>
        <w:pStyle w:val="FootnoteText"/>
        <w:rPr>
          <w:lang w:val="en-IE"/>
        </w:rPr>
      </w:pPr>
      <w:r w:rsidRPr="00781B63">
        <w:rPr>
          <w:rStyle w:val="FootnoteReference"/>
        </w:rPr>
        <w:footnoteRef/>
      </w:r>
      <w:r>
        <w:rPr>
          <w:lang w:val="en-IE"/>
        </w:rPr>
        <w:tab/>
      </w:r>
      <w:r w:rsidRPr="00A02F36">
        <w:rPr>
          <w:lang w:val="en-IE"/>
        </w:rPr>
        <w:t>Proposal for a Regulation of the European Parliament and of the Council on establishing the European Competitiveness Fund ('ECF’), including the specific programme for defence research and innovation activities, repealing Regulations (EU) 2021/522, (EU) 2021/694, (EU) 2021/697, (EU) 2021/783, repealing provisions of Regulations (EU) 2021/696, (EU) 2023/588, and amending Regulation (EU) (COM/2025/555 final</w:t>
      </w:r>
      <w:r>
        <w:rPr>
          <w:lang w:val="en-IE"/>
        </w:rPr>
        <w:t xml:space="preserve">, </w:t>
      </w:r>
      <w:r w:rsidRPr="005D0ECB">
        <w:rPr>
          <w:lang w:val="en-IE"/>
        </w:rPr>
        <w:t>16.7.2025</w:t>
      </w:r>
      <w:r w:rsidRPr="00A02F36">
        <w:rPr>
          <w:lang w:val="en-IE"/>
        </w:rPr>
        <w:t>).</w:t>
      </w:r>
    </w:p>
  </w:footnote>
  <w:footnote w:id="48">
    <w:p w14:paraId="2400952C" w14:textId="77777777" w:rsidR="00E76B75" w:rsidRPr="00C10402" w:rsidRDefault="00E76B75" w:rsidP="00E76B75">
      <w:pPr>
        <w:pStyle w:val="FootnoteText"/>
        <w:rPr>
          <w:lang w:val="en"/>
        </w:rPr>
      </w:pPr>
      <w:r w:rsidRPr="00781B63">
        <w:rPr>
          <w:rStyle w:val="FootnoteReference"/>
        </w:rPr>
        <w:footnoteRef/>
      </w:r>
      <w:r>
        <w:rPr>
          <w:lang w:val="en-IE"/>
        </w:rPr>
        <w:tab/>
      </w:r>
      <w:r w:rsidRPr="001441FC">
        <w:rPr>
          <w:lang w:val="en-IE"/>
        </w:rPr>
        <w:t xml:space="preserve">Directive 2010/75/EU of the European Parliament and of the Council of 24 November 2010 on industrial emissions (integrated pollution prevention and control) </w:t>
      </w:r>
      <w:r>
        <w:rPr>
          <w:lang w:val="en-IE"/>
        </w:rPr>
        <w:t>(</w:t>
      </w:r>
      <w:r w:rsidRPr="00BB73EF">
        <w:rPr>
          <w:lang w:val="en-IE"/>
        </w:rPr>
        <w:t>OJ L</w:t>
      </w:r>
      <w:r w:rsidRPr="00E4089B">
        <w:rPr>
          <w:lang w:val="en-IE"/>
        </w:rPr>
        <w:t xml:space="preserve"> 334, 17.12.2010, p. 17</w:t>
      </w:r>
      <w:r>
        <w:t xml:space="preserve">, ELI: </w:t>
      </w:r>
      <w:r w:rsidRPr="00F956BE">
        <w:t>http://data.europa.eu/eli/dir/2010/75/oj</w:t>
      </w:r>
      <w:r>
        <w:rPr>
          <w:lang w:val="en"/>
        </w:rPr>
        <w:t>).</w:t>
      </w:r>
      <w:r>
        <w:rPr>
          <w:lang w:val="en-IE"/>
        </w:rPr>
        <w:tab/>
      </w:r>
    </w:p>
  </w:footnote>
  <w:footnote w:id="49">
    <w:p w14:paraId="45676DCF" w14:textId="545C55E5" w:rsidR="00E76B75" w:rsidRPr="0084388D" w:rsidRDefault="00E76B75" w:rsidP="00E76B75">
      <w:pPr>
        <w:pStyle w:val="FootnoteText"/>
        <w:rPr>
          <w:lang w:val="fi-FI"/>
        </w:rPr>
      </w:pPr>
      <w:r w:rsidRPr="00B105F9">
        <w:rPr>
          <w:rStyle w:val="FootnoteReference"/>
        </w:rPr>
        <w:footnoteRef/>
      </w:r>
      <w:r w:rsidR="00B105F9">
        <w:rPr>
          <w:lang w:val="fi-FI"/>
        </w:rPr>
        <w:tab/>
      </w:r>
      <w:r w:rsidRPr="0084388D">
        <w:rPr>
          <w:lang w:val="fi-FI"/>
        </w:rPr>
        <w:t>OJ L 123, 12.5.2016, p. 1, http://data.europa.eu/eli/agree_interinstit/2016/512/oj</w:t>
      </w:r>
      <w:r>
        <w:rPr>
          <w:lang w:val="fi-FI"/>
        </w:rPr>
        <w:t>.</w:t>
      </w:r>
    </w:p>
  </w:footnote>
  <w:footnote w:id="50">
    <w:p w14:paraId="2BEC7A36" w14:textId="77777777" w:rsidR="00E15A7B" w:rsidRPr="001A27CB" w:rsidRDefault="00E15A7B" w:rsidP="00E15A7B">
      <w:pPr>
        <w:pStyle w:val="FootnoteText"/>
        <w:rPr>
          <w:lang w:val="en-IE"/>
        </w:rPr>
      </w:pPr>
      <w:r w:rsidRPr="00781B63">
        <w:rPr>
          <w:rStyle w:val="FootnoteReference"/>
        </w:rPr>
        <w:footnoteRef/>
      </w:r>
      <w:r>
        <w:tab/>
      </w:r>
      <w:r w:rsidRPr="001A27CB">
        <w:rPr>
          <w:lang w:val="en-IE"/>
        </w:rPr>
        <w:t xml:space="preserve">Regulation (EU) No 182/2011 of the European Parliament and of the Council of 16 February 2011 laying down the rules and general principles concerning mechanisms for control by the Member States of the Commission's exercise of implementing powers (OJ L 55, 28.2.2011, p. 13, ELI: </w:t>
      </w:r>
      <w:hyperlink r:id="rId23" w:history="1">
        <w:r w:rsidRPr="0091503B">
          <w:rPr>
            <w:rStyle w:val="Hyperlink"/>
            <w:lang w:val="en-IE"/>
          </w:rPr>
          <w:t>http://data.europa.eu/eli/reg/2011/182/oj</w:t>
        </w:r>
      </w:hyperlink>
      <w:r w:rsidRPr="001A27CB">
        <w:rPr>
          <w:lang w:val="en-IE"/>
        </w:rPr>
        <w:t>).</w:t>
      </w:r>
    </w:p>
  </w:footnote>
  <w:footnote w:id="51">
    <w:p w14:paraId="2A19458E" w14:textId="77777777" w:rsidR="00143279" w:rsidRPr="00140283" w:rsidRDefault="00143279" w:rsidP="00143279">
      <w:pPr>
        <w:pStyle w:val="FootnoteText"/>
        <w:rPr>
          <w:lang w:val="en-IE"/>
        </w:rPr>
      </w:pPr>
      <w:r>
        <w:rPr>
          <w:rStyle w:val="FootnoteReference"/>
        </w:rPr>
        <w:footnoteRef/>
      </w:r>
      <w:r w:rsidRPr="00140283">
        <w:rPr>
          <w:lang w:val="en-IE"/>
        </w:rPr>
        <w:tab/>
      </w:r>
      <w:r w:rsidRPr="003B73D1">
        <w:t>Regulation (EU) 2018/1724 of the European Parliament and of the Council of 2 October 2018 establishing a single digital gateway to provide access to information, to procedures and to assistance and problem-solving services and amending Regulation (EU) No 1024/2012 (OJ L 295, 21.11.2018, p. 1</w:t>
      </w:r>
      <w:r>
        <w:t xml:space="preserve">, </w:t>
      </w:r>
      <w:r w:rsidRPr="007604C8">
        <w:t xml:space="preserve">ELI: </w:t>
      </w:r>
      <w:hyperlink r:id="rId24" w:history="1">
        <w:r w:rsidRPr="0091503B">
          <w:rPr>
            <w:rStyle w:val="Hyperlink"/>
          </w:rPr>
          <w:t>http://data.europa.eu/eli/reg/2018/1724/oj</w:t>
        </w:r>
      </w:hyperlink>
      <w:r w:rsidRPr="003B73D1">
        <w:t>).</w:t>
      </w:r>
    </w:p>
  </w:footnote>
  <w:footnote w:id="52">
    <w:p w14:paraId="268E2D8E" w14:textId="77777777" w:rsidR="004932A2" w:rsidRPr="00FE74F3" w:rsidRDefault="004932A2" w:rsidP="00FE74F3">
      <w:pPr>
        <w:pStyle w:val="FootnoteText"/>
      </w:pPr>
      <w:r w:rsidRPr="00781B63">
        <w:rPr>
          <w:rStyle w:val="FootnoteReference"/>
        </w:rPr>
        <w:footnoteRef/>
      </w:r>
      <w:r w:rsidR="00781B63">
        <w:tab/>
      </w:r>
      <w:r w:rsidR="00267B9F" w:rsidRPr="00267B9F">
        <w:t>Council Directive 2003/96/EC of 27 October 2003 restructuring the Community framework for the taxation of energy products and electricity</w:t>
      </w:r>
      <w:r w:rsidR="00C651BE">
        <w:t xml:space="preserve"> (</w:t>
      </w:r>
      <w:r w:rsidR="00C651BE" w:rsidRPr="00C651BE">
        <w:t>OJ L 283, 31.10.2003, pp. 51–70</w:t>
      </w:r>
      <w:r w:rsidR="00EC1BF7">
        <w:t>,</w:t>
      </w:r>
      <w:r w:rsidR="00C651BE">
        <w:t xml:space="preserve"> </w:t>
      </w:r>
      <w:r w:rsidR="00FE74F3" w:rsidRPr="00FE74F3">
        <w:t>ELI: </w:t>
      </w:r>
      <w:hyperlink r:id="rId25" w:tooltip="Gives access to this document through its ELI URI." w:history="1">
        <w:r w:rsidR="00FE74F3" w:rsidRPr="00FE74F3">
          <w:rPr>
            <w:rStyle w:val="Hyperlink"/>
          </w:rPr>
          <w:t>http://data.europa.eu/eli/dir/2003/96/oj</w:t>
        </w:r>
      </w:hyperlink>
      <w:r w:rsidR="00EC1BF7">
        <w:t>).</w:t>
      </w:r>
    </w:p>
  </w:footnote>
  <w:footnote w:id="53">
    <w:p w14:paraId="377679AD" w14:textId="77777777" w:rsidR="00304B30" w:rsidRPr="004E1003" w:rsidRDefault="00304B30">
      <w:pPr>
        <w:pStyle w:val="FootnoteText"/>
        <w:rPr>
          <w:lang w:val="en-IE"/>
        </w:rPr>
      </w:pPr>
      <w:r>
        <w:rPr>
          <w:rStyle w:val="FootnoteReference"/>
        </w:rPr>
        <w:footnoteRef/>
      </w:r>
      <w:r w:rsidR="004E1003" w:rsidRPr="004E1003">
        <w:rPr>
          <w:lang w:val="en-IE"/>
        </w:rPr>
        <w:tab/>
      </w:r>
      <w:r w:rsidR="004E1003" w:rsidRPr="004E1003">
        <w:t xml:space="preserve">Proposal for a </w:t>
      </w:r>
      <w:r w:rsidR="004E1003">
        <w:t>Directive</w:t>
      </w:r>
      <w:r w:rsidR="004E1003" w:rsidRPr="004E1003">
        <w:t xml:space="preserve"> </w:t>
      </w:r>
      <w:r w:rsidR="004E1003">
        <w:t>of the</w:t>
      </w:r>
      <w:r w:rsidR="004E1003" w:rsidRPr="004E1003">
        <w:t xml:space="preserve"> E</w:t>
      </w:r>
      <w:r w:rsidR="004E1003">
        <w:t>uropean</w:t>
      </w:r>
      <w:r w:rsidR="004E1003" w:rsidRPr="004E1003">
        <w:t xml:space="preserve"> P</w:t>
      </w:r>
      <w:r w:rsidR="004E1003">
        <w:t>arliament and of the Council</w:t>
      </w:r>
      <w:r w:rsidR="004E1003" w:rsidRPr="004E1003">
        <w:t xml:space="preserve"> amending Directives (EU) 2018/2001, (EU) 2019/944, (EU) 2024/1788 as regards acceleration of permit-granting procedures</w:t>
      </w:r>
      <w:r w:rsidR="004E1003">
        <w:t xml:space="preserve"> (</w:t>
      </w:r>
      <w:r w:rsidR="00DA243B" w:rsidRPr="00DA243B">
        <w:t>(2025/0400 (COD))</w:t>
      </w:r>
      <w:r w:rsidR="004E1003" w:rsidRPr="004E1003">
        <w:t>.</w:t>
      </w:r>
      <w:r w:rsidRPr="004E1003">
        <w:rPr>
          <w:lang w:val="en-IE"/>
        </w:rPr>
        <w:tab/>
      </w:r>
    </w:p>
  </w:footnote>
  <w:footnote w:id="54">
    <w:p w14:paraId="5726BA90" w14:textId="77777777" w:rsidR="000D7CA4" w:rsidRPr="00E43573" w:rsidRDefault="000D7CA4" w:rsidP="00E43573">
      <w:pPr>
        <w:pStyle w:val="FootnoteText"/>
      </w:pPr>
      <w:r w:rsidRPr="00781B63">
        <w:rPr>
          <w:rStyle w:val="FootnoteReference"/>
        </w:rPr>
        <w:footnoteRef/>
      </w:r>
      <w:r w:rsidR="00781B63">
        <w:tab/>
      </w:r>
      <w:r w:rsidR="0048348E" w:rsidRPr="0048348E">
        <w:t>Directive 2014/24/EU of the European Parliament and of the Council of 26 February 2014 on public procurement and repealing Directive 2004/18/EC</w:t>
      </w:r>
      <w:r w:rsidR="0048348E">
        <w:t xml:space="preserve"> (</w:t>
      </w:r>
      <w:r w:rsidR="001F2046" w:rsidRPr="001F2046">
        <w:t>OJ L 94, 28.3.2014, pp. 65–242</w:t>
      </w:r>
      <w:r w:rsidR="00EC1BF7">
        <w:t>,</w:t>
      </w:r>
      <w:r w:rsidR="001F2046">
        <w:t xml:space="preserve"> </w:t>
      </w:r>
      <w:r w:rsidR="001F2046" w:rsidRPr="001F2046">
        <w:t>ELI: </w:t>
      </w:r>
      <w:hyperlink r:id="rId26" w:tooltip="Gives access to this document through its ELI URI." w:history="1">
        <w:r w:rsidR="001F2046" w:rsidRPr="001F2046">
          <w:rPr>
            <w:rStyle w:val="Hyperlink"/>
          </w:rPr>
          <w:t>http://data.europa.eu/eli/dir/2014/24/oj</w:t>
        </w:r>
      </w:hyperlink>
      <w:r w:rsidR="00EC1BF7">
        <w:t>).</w:t>
      </w:r>
    </w:p>
  </w:footnote>
  <w:footnote w:id="55">
    <w:p w14:paraId="03D0028E" w14:textId="77777777" w:rsidR="0000460A" w:rsidRPr="00C22746" w:rsidRDefault="0000460A" w:rsidP="00C22746">
      <w:pPr>
        <w:pStyle w:val="FootnoteText"/>
        <w:rPr>
          <w:lang w:val="en"/>
        </w:rPr>
      </w:pPr>
      <w:r w:rsidRPr="00781B63">
        <w:rPr>
          <w:rStyle w:val="FootnoteReference"/>
        </w:rPr>
        <w:footnoteRef/>
      </w:r>
      <w:r w:rsidR="00781B63">
        <w:tab/>
      </w:r>
      <w:r w:rsidR="00101F73" w:rsidRPr="00101F73">
        <w:t>Directive 2014/25/EU of the European Parliament and of the Council of 26 February 2014 on procurement by entities operating in the water, energy, transport and postal services sectors and repealing Directive 2004/17/EC</w:t>
      </w:r>
      <w:r w:rsidR="00334CED">
        <w:t xml:space="preserve"> (</w:t>
      </w:r>
      <w:r w:rsidR="00334CED" w:rsidRPr="00334CED">
        <w:t>OJ L 94, 28.3.2014, pp. 243–374</w:t>
      </w:r>
      <w:r w:rsidR="00367CAB">
        <w:t>,</w:t>
      </w:r>
      <w:r w:rsidR="00240B66">
        <w:t xml:space="preserve"> </w:t>
      </w:r>
      <w:r w:rsidR="00C22746" w:rsidRPr="00C22746">
        <w:rPr>
          <w:lang w:val="en"/>
        </w:rPr>
        <w:t>ELI: </w:t>
      </w:r>
      <w:hyperlink r:id="rId27" w:tooltip="Gives access to this document through its ELI URI." w:history="1">
        <w:r w:rsidR="00C22746" w:rsidRPr="00C22746">
          <w:rPr>
            <w:rStyle w:val="Hyperlink"/>
            <w:lang w:val="en"/>
          </w:rPr>
          <w:t>http://data.europa.eu/eli/dir/2014/25/oj</w:t>
        </w:r>
      </w:hyperlink>
      <w:r w:rsidR="00367CAB">
        <w:t>)</w:t>
      </w:r>
      <w:r w:rsidR="00C22746">
        <w:rPr>
          <w:lang w:val="en"/>
        </w:rPr>
        <w:t>.</w:t>
      </w:r>
    </w:p>
  </w:footnote>
  <w:footnote w:id="56">
    <w:p w14:paraId="5DFEA5B3" w14:textId="77777777" w:rsidR="004B6885" w:rsidRPr="001A27CB" w:rsidRDefault="004B6885" w:rsidP="004B6885">
      <w:pPr>
        <w:pStyle w:val="FootnoteText"/>
        <w:rPr>
          <w:lang w:val="en-IE"/>
        </w:rPr>
      </w:pPr>
      <w:r>
        <w:rPr>
          <w:rStyle w:val="FootnoteReference"/>
        </w:rPr>
        <w:footnoteRef/>
      </w:r>
      <w:r>
        <w:tab/>
        <w:t>Regulation (EU) 2018/858 of the European Parliament and of the Council of 30 May 2018 on the approval and market surveillance of motor vehicles and their trailers, and of systems, components and separate technical units intended for such vehicles, amending Regulations (EC) No 715/2007 and (EC) No 595/2009 and repealing Directive 2007/46/EC (OJ L 151, 14.6.2018, p. 1, ELI: http://data.europa.eu/eli/reg/2018/858/oj).</w:t>
      </w:r>
    </w:p>
  </w:footnote>
  <w:footnote w:id="57">
    <w:p w14:paraId="0D27B300" w14:textId="20B9A401" w:rsidR="005E5997" w:rsidRPr="00A2664F" w:rsidRDefault="005E5997" w:rsidP="005E5997">
      <w:pPr>
        <w:pStyle w:val="FootnoteText"/>
        <w:rPr>
          <w:lang w:val="en-IE"/>
        </w:rPr>
      </w:pPr>
      <w:r w:rsidRPr="00B105F9">
        <w:rPr>
          <w:rStyle w:val="FootnoteReference"/>
        </w:rPr>
        <w:footnoteRef/>
      </w:r>
      <w:r w:rsidR="00B105F9">
        <w:tab/>
      </w:r>
      <w:r w:rsidRPr="00A2664F">
        <w:rPr>
          <w:lang w:val="en-IE"/>
        </w:rPr>
        <w:t>Commission Implementing Regulation (EU) 2025/1178 of 23 May 2025 on laying down rules for the application of Regulation (EU) 2024/1735 of the European Parliament and of the Council as regards the list of net-zero technology final products and their main specific components for the purposes of assessing the contribution to resilience</w:t>
      </w:r>
      <w:r>
        <w:rPr>
          <w:lang w:val="en-IE"/>
        </w:rPr>
        <w:t xml:space="preserve"> (</w:t>
      </w:r>
      <w:r w:rsidRPr="002619E0">
        <w:rPr>
          <w:lang w:val="en-IE"/>
        </w:rPr>
        <w:t>OJ L, 2025/1178, 18.6.2025, ELI: http://data.europa.eu/eli/reg_impl/2025/1178/oj</w:t>
      </w:r>
      <w:r>
        <w:rPr>
          <w:lang w:val="en-IE"/>
        </w:rPr>
        <w:t>).</w:t>
      </w:r>
    </w:p>
  </w:footnote>
  <w:footnote w:id="58">
    <w:p w14:paraId="470ABADA" w14:textId="5EA94A5C" w:rsidR="00DE22C6" w:rsidRPr="00D772B8" w:rsidRDefault="00B105F9" w:rsidP="00DE22C6">
      <w:pPr>
        <w:pStyle w:val="FootnoteText"/>
        <w:rPr>
          <w:lang w:val="en-IE"/>
        </w:rPr>
      </w:pPr>
      <w:r w:rsidRPr="00B105F9">
        <w:rPr>
          <w:rStyle w:val="FootnoteReference"/>
        </w:rPr>
        <w:footnoteRef/>
      </w:r>
      <w:r>
        <w:rPr>
          <w:lang w:val="en-IE"/>
        </w:rPr>
        <w:tab/>
      </w:r>
    </w:p>
  </w:footnote>
  <w:footnote w:id="59">
    <w:p w14:paraId="01AF0B5A" w14:textId="77777777" w:rsidR="0065557B" w:rsidRDefault="0065557B" w:rsidP="0065557B">
      <w:pPr>
        <w:pStyle w:val="FootnoteText"/>
        <w:rPr>
          <w:lang w:val="hu-HU"/>
        </w:rPr>
      </w:pPr>
      <w:r w:rsidRPr="009664E9">
        <w:rPr>
          <w:rStyle w:val="FootnoteReference"/>
        </w:rPr>
        <w:footnoteRef/>
      </w:r>
      <w:r w:rsidR="009664E9">
        <w:tab/>
      </w:r>
      <w:r>
        <w:t>Council Regulation (EC) No 139/2004 of 20 January 2004 on the control of concentrations between undertakings (</w:t>
      </w:r>
      <w:hyperlink r:id="rId28" w:history="1">
        <w:r>
          <w:rPr>
            <w:rStyle w:val="Hyperlink"/>
          </w:rPr>
          <w:t>OJ L 24, 29.1.2004, p. 1</w:t>
        </w:r>
      </w:hyperlink>
      <w:r>
        <w:t>).</w:t>
      </w:r>
    </w:p>
  </w:footnote>
  <w:footnote w:id="60">
    <w:p w14:paraId="33531A1E" w14:textId="6BF406BE" w:rsidR="00C672BE" w:rsidRPr="00D772B8" w:rsidRDefault="00C672BE" w:rsidP="00C672BE">
      <w:pPr>
        <w:pStyle w:val="FootnoteText"/>
        <w:rPr>
          <w:lang w:val="en-IE"/>
        </w:rPr>
      </w:pPr>
      <w:r w:rsidRPr="00B105F9">
        <w:rPr>
          <w:rStyle w:val="FootnoteReference"/>
        </w:rPr>
        <w:footnoteRef/>
      </w:r>
      <w:r w:rsidR="00B105F9">
        <w:tab/>
      </w:r>
      <w:r w:rsidRPr="00D772B8">
        <w:t>Regulation (EU) 2023/1542 of the European Parliament and of the Council of 12 July 2023 concerning batteries and waste batteries, amending Directive 2008/98/EC and Regulation (EU) 2019/1020 and repealing Directive 2006/66/EC</w:t>
      </w:r>
      <w:r>
        <w:t xml:space="preserve"> (</w:t>
      </w:r>
      <w:r w:rsidRPr="00612F89">
        <w:t>OJ L 191, 28.7.2023, p. 1</w:t>
      </w:r>
      <w:r>
        <w:t xml:space="preserve">, ELI: </w:t>
      </w:r>
      <w:r w:rsidRPr="0062128D">
        <w:t>http://data.europa.eu/eli/reg/2023/1542/oj</w:t>
      </w:r>
      <w:r>
        <w:t>).</w:t>
      </w:r>
    </w:p>
  </w:footnote>
  <w:footnote w:id="61">
    <w:p w14:paraId="161DC101" w14:textId="428559CE" w:rsidR="005F57F7" w:rsidRPr="00BE14FF" w:rsidRDefault="005F57F7" w:rsidP="005F57F7">
      <w:pPr>
        <w:pStyle w:val="FootnoteText"/>
        <w:rPr>
          <w:lang w:val="en-IE"/>
        </w:rPr>
      </w:pPr>
      <w:r w:rsidRPr="00B105F9">
        <w:rPr>
          <w:rStyle w:val="FootnoteReference"/>
        </w:rPr>
        <w:footnoteRef/>
      </w:r>
      <w:r w:rsidR="00B105F9">
        <w:tab/>
      </w:r>
      <w:r w:rsidRPr="00A078D0">
        <w:rPr>
          <w:lang w:val="en-IE"/>
        </w:rPr>
        <w:t>Commission Implementing Regulation (EU) 2018/206</w:t>
      </w:r>
      <w:r>
        <w:rPr>
          <w:lang w:val="en-IE"/>
        </w:rPr>
        <w:t>7</w:t>
      </w:r>
      <w:r w:rsidRPr="00A078D0">
        <w:rPr>
          <w:lang w:val="en-IE"/>
        </w:rPr>
        <w:t xml:space="preserve"> of 19 December 2018 on the </w:t>
      </w:r>
      <w:r w:rsidRPr="008D5F26">
        <w:rPr>
          <w:lang w:val="en-IE"/>
        </w:rPr>
        <w:t>verification of data</w:t>
      </w:r>
      <w:r w:rsidRPr="00A078D0">
        <w:rPr>
          <w:lang w:val="en-IE"/>
        </w:rPr>
        <w:t xml:space="preserve"> and </w:t>
      </w:r>
      <w:r w:rsidRPr="008D5F26">
        <w:rPr>
          <w:lang w:val="en-IE"/>
        </w:rPr>
        <w:t>on the accreditation of verifiers</w:t>
      </w:r>
      <w:r w:rsidRPr="00A078D0">
        <w:rPr>
          <w:lang w:val="en-IE"/>
        </w:rPr>
        <w:t xml:space="preserve"> pursuant to Directive 2003/87/EC of the European Parliament and of the Council </w:t>
      </w:r>
      <w:r>
        <w:rPr>
          <w:lang w:val="en-IE"/>
        </w:rPr>
        <w:t>(</w:t>
      </w:r>
      <w:r w:rsidRPr="005D0951">
        <w:rPr>
          <w:lang w:val="en-IE"/>
        </w:rPr>
        <w:t xml:space="preserve">OJ L 334, 31.12.2018, </w:t>
      </w:r>
      <w:r w:rsidRPr="001960EC">
        <w:rPr>
          <w:lang w:val="en-IE"/>
        </w:rPr>
        <w:t>pp. 94</w:t>
      </w:r>
      <w:r>
        <w:rPr>
          <w:lang w:val="en-IE"/>
        </w:rPr>
        <w:t xml:space="preserve">, </w:t>
      </w:r>
      <w:r w:rsidRPr="00B22B35">
        <w:rPr>
          <w:lang w:val="en-IE"/>
        </w:rPr>
        <w:t xml:space="preserve">ELI: </w:t>
      </w:r>
      <w:hyperlink r:id="rId29" w:history="1">
        <w:r>
          <w:rPr>
            <w:rStyle w:val="Hyperlink"/>
            <w:lang w:val="en-IE"/>
          </w:rPr>
          <w:t>http://data.europa.eu/eli/reg_impl/2018/2067/oj</w:t>
        </w:r>
      </w:hyperlink>
      <w:r>
        <w:rPr>
          <w:lang w:val="en-IE"/>
        </w:rPr>
        <w:t>).</w:t>
      </w:r>
    </w:p>
  </w:footnote>
  <w:footnote w:id="62">
    <w:p w14:paraId="0E81EE27" w14:textId="0824D81D" w:rsidR="003E20F0" w:rsidRPr="00677547" w:rsidRDefault="003E20F0" w:rsidP="003E20F0">
      <w:pPr>
        <w:pStyle w:val="FootnoteText"/>
        <w:rPr>
          <w:lang w:val="en-IE"/>
        </w:rPr>
      </w:pPr>
      <w:r w:rsidRPr="00B105F9">
        <w:rPr>
          <w:rStyle w:val="FootnoteReference"/>
        </w:rPr>
        <w:footnoteRef/>
      </w:r>
      <w:r w:rsidR="00B105F9">
        <w:tab/>
      </w:r>
      <w:r w:rsidRPr="00677547">
        <w:rPr>
          <w:lang w:val="en-IE"/>
        </w:rPr>
        <w:t>Regulation (EU) 2021/1119 of the European Parliament and of the Council of 30 June 2021 establishing the framework for achieving climate neutrality and amending Regulations (EC) No 401/2009 and (EU) 2018/1999 (‘European Climate Law’)</w:t>
      </w:r>
      <w:r>
        <w:rPr>
          <w:lang w:val="en-IE"/>
        </w:rPr>
        <w:t xml:space="preserve"> (</w:t>
      </w:r>
      <w:r w:rsidRPr="00453E59">
        <w:rPr>
          <w:lang w:val="en-IE"/>
        </w:rPr>
        <w:t>OJ L 243, 9.7.2021, p. 1</w:t>
      </w:r>
      <w:r>
        <w:rPr>
          <w:lang w:val="en-IE"/>
        </w:rPr>
        <w:t xml:space="preserve">, ELI: </w:t>
      </w:r>
      <w:r w:rsidRPr="00864482">
        <w:rPr>
          <w:lang w:val="en-IE"/>
        </w:rPr>
        <w:t>http://data.europa.eu/eli/reg/2021/1119/oj</w:t>
      </w:r>
      <w:r>
        <w:rPr>
          <w:lang w:val="en-IE"/>
        </w:rPr>
        <w:t>).</w:t>
      </w:r>
    </w:p>
  </w:footnote>
  <w:footnote w:id="63">
    <w:p w14:paraId="2999F6C8" w14:textId="140B5BBE" w:rsidR="004D5305" w:rsidRPr="00796A81" w:rsidRDefault="004D5305" w:rsidP="004D5305">
      <w:pPr>
        <w:pStyle w:val="FootnoteText"/>
        <w:rPr>
          <w:lang w:val="en-IE"/>
        </w:rPr>
      </w:pPr>
      <w:r w:rsidRPr="00B105F9">
        <w:rPr>
          <w:rStyle w:val="FootnoteReference"/>
        </w:rPr>
        <w:footnoteRef/>
      </w:r>
      <w:r w:rsidR="00B105F9">
        <w:tab/>
      </w:r>
      <w:r w:rsidRPr="00796A81">
        <w:rPr>
          <w:lang w:val="en-IE"/>
        </w:rPr>
        <w:t>Directive 2001/42/EC of the European Parliament and of the Council of 27 June 2001 on the assessment of the effects of certain plans and programmes on the environment</w:t>
      </w:r>
      <w:r>
        <w:rPr>
          <w:lang w:val="en-IE"/>
        </w:rPr>
        <w:t xml:space="preserve"> (</w:t>
      </w:r>
      <w:r w:rsidRPr="00EF7A7C">
        <w:rPr>
          <w:lang w:val="en-IE"/>
        </w:rPr>
        <w:t>OJ L 197, 21.7.2001, p. 30</w:t>
      </w:r>
      <w:r>
        <w:rPr>
          <w:lang w:val="en-IE"/>
        </w:rPr>
        <w:t xml:space="preserve">, ELI: </w:t>
      </w:r>
      <w:r w:rsidRPr="00EA2745">
        <w:rPr>
          <w:lang w:val="en-IE"/>
        </w:rPr>
        <w:t>http://data.europa.eu/eli/dir/2001/42/oj</w:t>
      </w:r>
      <w:r>
        <w:rPr>
          <w:lang w:val="en-IE"/>
        </w:rPr>
        <w:t>).</w:t>
      </w:r>
    </w:p>
  </w:footnote>
  <w:footnote w:id="64">
    <w:p w14:paraId="129D1B5E" w14:textId="278C4460" w:rsidR="004D5305" w:rsidRPr="00185A41" w:rsidRDefault="004D5305" w:rsidP="004D5305">
      <w:pPr>
        <w:pStyle w:val="FootnoteText"/>
        <w:rPr>
          <w:lang w:val="en-IE"/>
        </w:rPr>
      </w:pPr>
      <w:r w:rsidRPr="00B105F9">
        <w:rPr>
          <w:rStyle w:val="FootnoteReference"/>
        </w:rPr>
        <w:footnoteRef/>
      </w:r>
      <w:r w:rsidR="00B105F9">
        <w:tab/>
      </w:r>
      <w:r w:rsidRPr="00185A41">
        <w:rPr>
          <w:lang w:val="en-IE"/>
        </w:rPr>
        <w:t>Council Directive 92/43/EEC of 21 May 1992 on the conservation of natural habitats and of wild fauna and flora</w:t>
      </w:r>
      <w:r>
        <w:rPr>
          <w:lang w:val="en-IE"/>
        </w:rPr>
        <w:t xml:space="preserve"> (</w:t>
      </w:r>
      <w:r w:rsidRPr="001266BB">
        <w:rPr>
          <w:lang w:val="en-IE"/>
        </w:rPr>
        <w:t>OJ L 206, 22.7.1992, p. 7</w:t>
      </w:r>
      <w:r>
        <w:rPr>
          <w:lang w:val="en-IE"/>
        </w:rPr>
        <w:t xml:space="preserve">, ELI: </w:t>
      </w:r>
      <w:r w:rsidRPr="006A33ED">
        <w:rPr>
          <w:lang w:val="en-IE"/>
        </w:rPr>
        <w:t>http://data.europa.eu/eli/dir/1992/43/oj</w:t>
      </w:r>
      <w:r>
        <w:rPr>
          <w:lang w:val="en-IE"/>
        </w:rPr>
        <w:t>).</w:t>
      </w:r>
    </w:p>
  </w:footnote>
  <w:footnote w:id="65">
    <w:p w14:paraId="302FAE48" w14:textId="5FBBBF36" w:rsidR="004D5305" w:rsidRPr="00565892" w:rsidRDefault="004D5305" w:rsidP="004D5305">
      <w:pPr>
        <w:pStyle w:val="FootnoteText"/>
        <w:rPr>
          <w:lang w:val="en-IE"/>
        </w:rPr>
      </w:pPr>
      <w:r w:rsidRPr="00B105F9">
        <w:rPr>
          <w:rStyle w:val="FootnoteReference"/>
        </w:rPr>
        <w:footnoteRef/>
      </w:r>
      <w:r w:rsidR="00B105F9">
        <w:tab/>
      </w:r>
      <w:r w:rsidRPr="00565892">
        <w:rPr>
          <w:lang w:val="en-IE"/>
        </w:rPr>
        <w:t>Directive 2000/60/EC of the European Parliament and of the Council of 23 October 2000 establishing a framework for Community action in the field of water policy</w:t>
      </w:r>
      <w:r>
        <w:rPr>
          <w:lang w:val="en-IE"/>
        </w:rPr>
        <w:t xml:space="preserve"> (</w:t>
      </w:r>
      <w:r w:rsidRPr="00D72965">
        <w:rPr>
          <w:lang w:val="en-IE"/>
        </w:rPr>
        <w:t>OJ L 327, 22.12.2000, p. 1</w:t>
      </w:r>
      <w:r>
        <w:rPr>
          <w:lang w:val="en-IE"/>
        </w:rPr>
        <w:t xml:space="preserve">, ELI: </w:t>
      </w:r>
      <w:r w:rsidRPr="006803E9">
        <w:rPr>
          <w:lang w:val="en-IE"/>
        </w:rPr>
        <w:t>http://data.europa.eu/eli/dir/2000/60/oj</w:t>
      </w:r>
      <w:r>
        <w:rPr>
          <w:lang w:val="en-IE"/>
        </w:rPr>
        <w:t>).</w:t>
      </w:r>
    </w:p>
  </w:footnote>
  <w:footnote w:id="66">
    <w:p w14:paraId="303DBE6C" w14:textId="6DE05499" w:rsidR="00F009C1" w:rsidRPr="007F6CF8" w:rsidRDefault="00F009C1" w:rsidP="00F009C1">
      <w:pPr>
        <w:pStyle w:val="FootnoteText"/>
        <w:rPr>
          <w:lang w:val="en-IE"/>
        </w:rPr>
      </w:pPr>
      <w:r w:rsidRPr="00B105F9">
        <w:rPr>
          <w:rStyle w:val="FootnoteReference"/>
        </w:rPr>
        <w:footnoteRef/>
      </w:r>
      <w:r w:rsidR="00B105F9">
        <w:tab/>
      </w:r>
      <w:r w:rsidRPr="007F6CF8">
        <w:rPr>
          <w:lang w:val="en-IE"/>
        </w:rPr>
        <w:t>Directive (EU) 2019/944 of the European Parliament and of the Council of 5 June 2019 on common rules for the internal market for electricity and amending Directive 2012/27/EU</w:t>
      </w:r>
      <w:r>
        <w:rPr>
          <w:lang w:val="en-IE"/>
        </w:rPr>
        <w:t xml:space="preserve"> (</w:t>
      </w:r>
      <w:r w:rsidRPr="004317F8">
        <w:rPr>
          <w:lang w:val="en-IE"/>
        </w:rPr>
        <w:t>OJ L 158, 14.6.2019, p. 125</w:t>
      </w:r>
      <w:r>
        <w:rPr>
          <w:lang w:val="en-IE"/>
        </w:rPr>
        <w:t xml:space="preserve">, </w:t>
      </w:r>
      <w:r w:rsidRPr="002F50DF">
        <w:rPr>
          <w:lang w:val="en-IE"/>
        </w:rPr>
        <w:t>ELI: http://data.europa.eu/eli/dir/2019/944/oj</w:t>
      </w:r>
      <w:r>
        <w:rPr>
          <w:lang w:val="en-IE"/>
        </w:rPr>
        <w:t>).</w:t>
      </w:r>
    </w:p>
  </w:footnote>
  <w:footnote w:id="67">
    <w:p w14:paraId="4BBF0CE6" w14:textId="77777777" w:rsidR="00151225" w:rsidRPr="00862DDB" w:rsidRDefault="00151225" w:rsidP="00151225">
      <w:pPr>
        <w:pStyle w:val="FootnoteText"/>
        <w:rPr>
          <w:lang w:val="en-IE"/>
        </w:rPr>
      </w:pPr>
      <w:r>
        <w:rPr>
          <w:rStyle w:val="FootnoteReference"/>
        </w:rPr>
        <w:footnoteRef/>
      </w:r>
      <w:r w:rsidRPr="00862DDB">
        <w:rPr>
          <w:lang w:val="en-IE"/>
        </w:rPr>
        <w:tab/>
      </w:r>
      <w:r>
        <w:rPr>
          <w:lang w:val="en-IE"/>
        </w:rPr>
        <w:t>C</w:t>
      </w:r>
      <w:r w:rsidRPr="00F53E25">
        <w:rPr>
          <w:lang w:val="en-IE"/>
        </w:rPr>
        <w:t xml:space="preserve">ommunication from the </w:t>
      </w:r>
      <w:r>
        <w:rPr>
          <w:lang w:val="en-IE"/>
        </w:rPr>
        <w:t>C</w:t>
      </w:r>
      <w:r w:rsidRPr="00F53E25">
        <w:rPr>
          <w:lang w:val="en-IE"/>
        </w:rPr>
        <w:t xml:space="preserve">ommission to the </w:t>
      </w:r>
      <w:r>
        <w:rPr>
          <w:lang w:val="en-IE"/>
        </w:rPr>
        <w:t>E</w:t>
      </w:r>
      <w:r w:rsidRPr="00F53E25">
        <w:rPr>
          <w:lang w:val="en-IE"/>
        </w:rPr>
        <w:t xml:space="preserve">uropean </w:t>
      </w:r>
      <w:r>
        <w:rPr>
          <w:lang w:val="en-IE"/>
        </w:rPr>
        <w:t>P</w:t>
      </w:r>
      <w:r w:rsidRPr="00F53E25">
        <w:rPr>
          <w:lang w:val="en-IE"/>
        </w:rPr>
        <w:t xml:space="preserve">arliament, the </w:t>
      </w:r>
      <w:r>
        <w:rPr>
          <w:lang w:val="en-IE"/>
        </w:rPr>
        <w:t>E</w:t>
      </w:r>
      <w:r w:rsidRPr="00F53E25">
        <w:rPr>
          <w:lang w:val="en-IE"/>
        </w:rPr>
        <w:t xml:space="preserve">uropean </w:t>
      </w:r>
      <w:r>
        <w:rPr>
          <w:lang w:val="en-IE"/>
        </w:rPr>
        <w:t>C</w:t>
      </w:r>
      <w:r w:rsidRPr="00F53E25">
        <w:rPr>
          <w:lang w:val="en-IE"/>
        </w:rPr>
        <w:t xml:space="preserve">ouncil, the </w:t>
      </w:r>
      <w:r>
        <w:rPr>
          <w:lang w:val="en-IE"/>
        </w:rPr>
        <w:t>C</w:t>
      </w:r>
      <w:r w:rsidRPr="00F53E25">
        <w:rPr>
          <w:lang w:val="en-IE"/>
        </w:rPr>
        <w:t xml:space="preserve">ouncil, the </w:t>
      </w:r>
      <w:r>
        <w:rPr>
          <w:lang w:val="en-IE"/>
        </w:rPr>
        <w:t>E</w:t>
      </w:r>
      <w:r w:rsidRPr="00F53E25">
        <w:rPr>
          <w:lang w:val="en-IE"/>
        </w:rPr>
        <w:t xml:space="preserve">uropean </w:t>
      </w:r>
      <w:r>
        <w:rPr>
          <w:lang w:val="en-IE"/>
        </w:rPr>
        <w:t>E</w:t>
      </w:r>
      <w:r w:rsidRPr="00F53E25">
        <w:rPr>
          <w:lang w:val="en-IE"/>
        </w:rPr>
        <w:t xml:space="preserve">conomic and </w:t>
      </w:r>
      <w:r>
        <w:rPr>
          <w:lang w:val="en-IE"/>
        </w:rPr>
        <w:t>S</w:t>
      </w:r>
      <w:r w:rsidRPr="00F53E25">
        <w:rPr>
          <w:lang w:val="en-IE"/>
        </w:rPr>
        <w:t xml:space="preserve">ocial </w:t>
      </w:r>
      <w:r>
        <w:rPr>
          <w:lang w:val="en-IE"/>
        </w:rPr>
        <w:t>C</w:t>
      </w:r>
      <w:r w:rsidRPr="00F53E25">
        <w:rPr>
          <w:lang w:val="en-IE"/>
        </w:rPr>
        <w:t xml:space="preserve">ommittee and the </w:t>
      </w:r>
      <w:r>
        <w:rPr>
          <w:lang w:val="en-IE"/>
        </w:rPr>
        <w:t>C</w:t>
      </w:r>
      <w:r w:rsidRPr="00F53E25">
        <w:rPr>
          <w:lang w:val="en-IE"/>
        </w:rPr>
        <w:t xml:space="preserve">ommittee of the </w:t>
      </w:r>
      <w:r>
        <w:rPr>
          <w:lang w:val="en-IE"/>
        </w:rPr>
        <w:t>R</w:t>
      </w:r>
      <w:r w:rsidRPr="00F53E25">
        <w:rPr>
          <w:lang w:val="en-IE"/>
        </w:rPr>
        <w:t xml:space="preserve">egions a </w:t>
      </w:r>
      <w:r>
        <w:rPr>
          <w:lang w:val="en-IE"/>
        </w:rPr>
        <w:t>N</w:t>
      </w:r>
      <w:r w:rsidRPr="00F53E25">
        <w:rPr>
          <w:lang w:val="en-IE"/>
        </w:rPr>
        <w:t xml:space="preserve">ew </w:t>
      </w:r>
      <w:r>
        <w:rPr>
          <w:lang w:val="en-IE"/>
        </w:rPr>
        <w:t>I</w:t>
      </w:r>
      <w:r w:rsidRPr="00F53E25">
        <w:rPr>
          <w:lang w:val="en-IE"/>
        </w:rPr>
        <w:t xml:space="preserve">ndustrial </w:t>
      </w:r>
      <w:r>
        <w:rPr>
          <w:lang w:val="en-IE"/>
        </w:rPr>
        <w:t>S</w:t>
      </w:r>
      <w:r w:rsidRPr="00F53E25">
        <w:rPr>
          <w:lang w:val="en-IE"/>
        </w:rPr>
        <w:t xml:space="preserve">trategy for </w:t>
      </w:r>
      <w:r>
        <w:rPr>
          <w:lang w:val="en-IE"/>
        </w:rPr>
        <w:t>E</w:t>
      </w:r>
      <w:r w:rsidRPr="00F53E25">
        <w:rPr>
          <w:lang w:val="en-IE"/>
        </w:rPr>
        <w:t>urope</w:t>
      </w:r>
      <w:r>
        <w:rPr>
          <w:lang w:val="en-IE"/>
        </w:rPr>
        <w:t xml:space="preserve"> (</w:t>
      </w:r>
      <w:r w:rsidRPr="003B2FC4">
        <w:t>COM/2020/102 final</w:t>
      </w:r>
      <w:r>
        <w:t>).</w:t>
      </w:r>
    </w:p>
  </w:footnote>
  <w:footnote w:id="68">
    <w:p w14:paraId="7B5EC152" w14:textId="77777777" w:rsidR="00B77A34" w:rsidRDefault="00B77A34" w:rsidP="00D714F7">
      <w:pPr>
        <w:pStyle w:val="FootnoteText"/>
      </w:pPr>
      <w:r w:rsidRPr="00781B63">
        <w:rPr>
          <w:rStyle w:val="FootnoteReference"/>
        </w:rPr>
        <w:footnoteRef/>
      </w:r>
      <w:r w:rsidR="00781B63">
        <w:tab/>
      </w:r>
      <w:r w:rsidR="00654B94">
        <w:t>Communication from the Commission to the European Parliament, the Council, the European Parliament</w:t>
      </w:r>
      <w:r w:rsidR="00D714F7">
        <w:t>, the European Economic and Social Committee and the Committee of the Regions</w:t>
      </w:r>
      <w:r w:rsidR="00140283">
        <w:t xml:space="preserve">, </w:t>
      </w:r>
      <w:r w:rsidRPr="08F1F985">
        <w:t>European Skills Agenda for sustainable competitiveness, social fairness and resilience</w:t>
      </w:r>
      <w:r w:rsidR="00140283">
        <w:t xml:space="preserve"> (</w:t>
      </w:r>
      <w:r w:rsidR="00140283" w:rsidRPr="00D714F7">
        <w:t>(COM(2020) 274 final)</w:t>
      </w:r>
      <w:r w:rsidR="00654B94" w:rsidRPr="00D714F7">
        <w:t>.</w:t>
      </w:r>
    </w:p>
    <w:p w14:paraId="7D2B6AF6" w14:textId="77777777" w:rsidR="00B77A34" w:rsidRDefault="00B77A34" w:rsidP="00D714F7">
      <w:pPr>
        <w:pStyle w:val="FootnoteText"/>
        <w:ind w:left="0" w:firstLine="0"/>
      </w:pPr>
    </w:p>
  </w:footnote>
  <w:footnote w:id="69">
    <w:p w14:paraId="05B34918" w14:textId="77777777" w:rsidR="00CA7C31" w:rsidRDefault="00CA7C31" w:rsidP="00CA7C31">
      <w:pPr>
        <w:pStyle w:val="FootnoteText"/>
      </w:pPr>
      <w:r w:rsidRPr="00760368">
        <w:rPr>
          <w:rStyle w:val="FootnoteReference"/>
        </w:rPr>
        <w:footnoteRef/>
      </w:r>
      <w:r>
        <w:tab/>
        <w:t>As referred to in Article 58(2), point (a) or (b) of the Financial Regulation.</w:t>
      </w:r>
    </w:p>
  </w:footnote>
  <w:footnote w:id="70">
    <w:p w14:paraId="4A07DC95" w14:textId="77777777" w:rsidR="00CA7C31" w:rsidRDefault="00CA7C31" w:rsidP="00CA7C31">
      <w:pPr>
        <w:pStyle w:val="FootnoteText"/>
        <w:rPr>
          <w:szCs w:val="24"/>
        </w:rPr>
      </w:pPr>
      <w:r>
        <w:rPr>
          <w:rStyle w:val="FootnoteReference"/>
        </w:rPr>
        <w:footnoteRef/>
      </w:r>
      <w:r>
        <w:tab/>
        <w:t>Diff. = Differentiated appropriations / Non-diff. = Non-differentiated appropriations.</w:t>
      </w:r>
    </w:p>
  </w:footnote>
  <w:footnote w:id="71">
    <w:p w14:paraId="2AA6292E" w14:textId="77777777" w:rsidR="00CA7C31" w:rsidRDefault="00CA7C31" w:rsidP="00CA7C31">
      <w:pPr>
        <w:pStyle w:val="FootnoteText"/>
        <w:rPr>
          <w:szCs w:val="24"/>
        </w:rPr>
      </w:pPr>
      <w:r>
        <w:rPr>
          <w:rStyle w:val="FootnoteReference"/>
        </w:rPr>
        <w:footnoteRef/>
      </w:r>
      <w:r>
        <w:tab/>
        <w:t xml:space="preserve">EFTA: European Free Trade Association. </w:t>
      </w:r>
    </w:p>
  </w:footnote>
  <w:footnote w:id="72">
    <w:p w14:paraId="43869683" w14:textId="77777777" w:rsidR="00CA7C31" w:rsidRDefault="00CA7C31" w:rsidP="00CA7C31">
      <w:pPr>
        <w:pStyle w:val="FootnoteText"/>
        <w:rPr>
          <w:szCs w:val="24"/>
        </w:rPr>
      </w:pPr>
      <w:r>
        <w:rPr>
          <w:rStyle w:val="FootnoteReference"/>
        </w:rPr>
        <w:footnoteRef/>
      </w:r>
      <w:r>
        <w:tab/>
        <w:t>Candidate countries and, where applicable, potential candidates from the Western Balkans.</w:t>
      </w:r>
    </w:p>
  </w:footnote>
  <w:footnote w:id="73">
    <w:p w14:paraId="1D490066" w14:textId="77777777" w:rsidR="00A86410" w:rsidRPr="00A86410" w:rsidRDefault="00A86410">
      <w:pPr>
        <w:pStyle w:val="FootnoteText"/>
        <w:rPr>
          <w:lang w:val="en-IE"/>
        </w:rPr>
      </w:pPr>
      <w:r w:rsidRPr="00781B63">
        <w:rPr>
          <w:rStyle w:val="FootnoteReference"/>
        </w:rPr>
        <w:footnoteRef/>
      </w:r>
      <w:r w:rsidR="00781B63">
        <w:tab/>
      </w:r>
      <w:r w:rsidRPr="00A86410">
        <w:t>Figures in the tables above are all strictly indicative pending the outcome of the 2028-2034 MFF negotiations which cannot be prejudged.</w:t>
      </w:r>
    </w:p>
  </w:footnote>
  <w:footnote w:id="74">
    <w:p w14:paraId="14A1169C" w14:textId="77777777" w:rsidR="00D630EC" w:rsidRPr="00D630EC" w:rsidRDefault="00D630EC">
      <w:pPr>
        <w:pStyle w:val="FootnoteText"/>
        <w:rPr>
          <w:lang w:val="en-IE"/>
        </w:rPr>
      </w:pPr>
      <w:r w:rsidRPr="00781B63">
        <w:rPr>
          <w:rStyle w:val="FootnoteReference"/>
        </w:rPr>
        <w:footnoteRef/>
      </w:r>
      <w:r w:rsidR="00781B63">
        <w:tab/>
      </w:r>
      <w:r w:rsidRPr="00D630EC">
        <w:t>Figures in the tables above are all strictly indicative pending the outcome of the 2028-2034 MFF negotiations which cannot be prejudged.</w:t>
      </w:r>
    </w:p>
  </w:footnote>
  <w:footnote w:id="75">
    <w:p w14:paraId="02ED1214" w14:textId="77777777" w:rsidR="00914E40" w:rsidRPr="00914E40" w:rsidRDefault="00914E40">
      <w:pPr>
        <w:pStyle w:val="FootnoteText"/>
        <w:rPr>
          <w:lang w:val="en-IE"/>
        </w:rPr>
      </w:pPr>
      <w:r w:rsidRPr="00781B63">
        <w:rPr>
          <w:rStyle w:val="FootnoteReference"/>
        </w:rPr>
        <w:footnoteRef/>
      </w:r>
      <w:r w:rsidR="00781B63">
        <w:tab/>
      </w:r>
      <w:r w:rsidRPr="00914E40">
        <w:t>Figures in the tables above are all strictly indicative pending the outcome of the 2028-2034 MFF negotiations which cannot be prejudged.</w:t>
      </w:r>
    </w:p>
  </w:footnote>
  <w:footnote w:id="76">
    <w:p w14:paraId="5BDB2D9B" w14:textId="77777777" w:rsidR="00914E40" w:rsidRPr="00914E40" w:rsidRDefault="00914E40">
      <w:pPr>
        <w:pStyle w:val="FootnoteText"/>
        <w:rPr>
          <w:lang w:val="en-IE"/>
        </w:rPr>
      </w:pPr>
      <w:r w:rsidRPr="00781B63">
        <w:rPr>
          <w:rStyle w:val="FootnoteReference"/>
        </w:rPr>
        <w:footnoteRef/>
      </w:r>
      <w:r w:rsidR="00781B63">
        <w:tab/>
      </w:r>
      <w:r w:rsidRPr="00914E40">
        <w:t>Figures in the tables above are all strictly indicative pending the outcome of the 2028-2034 MFF negotiations which cannot be prejudged.</w:t>
      </w:r>
    </w:p>
  </w:footnote>
  <w:footnote w:id="77">
    <w:p w14:paraId="027170D3" w14:textId="77777777" w:rsidR="00E81723" w:rsidRPr="00E81723" w:rsidRDefault="00E81723">
      <w:pPr>
        <w:pStyle w:val="FootnoteText"/>
        <w:rPr>
          <w:lang w:val="en-IE"/>
        </w:rPr>
      </w:pPr>
      <w:r w:rsidRPr="00781B63">
        <w:rPr>
          <w:rStyle w:val="FootnoteReference"/>
        </w:rPr>
        <w:footnoteRef/>
      </w:r>
      <w:r w:rsidR="00781B63">
        <w:tab/>
      </w:r>
      <w:r w:rsidRPr="00E81723">
        <w:t>Figures in the tables above are all strictly indicative pending the outcome of the 2028-2034 MFF negotiations which cannot be prejudged.</w:t>
      </w:r>
    </w:p>
  </w:footnote>
  <w:footnote w:id="78">
    <w:p w14:paraId="55020D24" w14:textId="77777777" w:rsidR="007E3C0F" w:rsidRPr="007E3C0F" w:rsidRDefault="007E3C0F">
      <w:pPr>
        <w:pStyle w:val="FootnoteText"/>
        <w:rPr>
          <w:lang w:val="en-IE"/>
        </w:rPr>
      </w:pPr>
      <w:r w:rsidRPr="00781B63">
        <w:rPr>
          <w:rStyle w:val="FootnoteReference"/>
        </w:rPr>
        <w:footnoteRef/>
      </w:r>
      <w:r w:rsidR="00781B63">
        <w:tab/>
      </w:r>
      <w:r w:rsidRPr="007E3C0F">
        <w:t>Figures in the tables above are all strictly indicative pending the outcome of the 2028-2034 MFF negotiations which cannot be prejudged.</w:t>
      </w:r>
    </w:p>
  </w:footnote>
  <w:footnote w:id="79">
    <w:p w14:paraId="4ABF0AA7" w14:textId="77777777" w:rsidR="007E3C0F" w:rsidRPr="007E3C0F" w:rsidRDefault="007E3C0F">
      <w:pPr>
        <w:pStyle w:val="FootnoteText"/>
        <w:rPr>
          <w:lang w:val="en-IE"/>
        </w:rPr>
      </w:pPr>
      <w:r w:rsidRPr="00781B63">
        <w:rPr>
          <w:rStyle w:val="FootnoteReference"/>
        </w:rPr>
        <w:footnoteRef/>
      </w:r>
      <w:r w:rsidR="00781B63">
        <w:tab/>
      </w:r>
      <w:r w:rsidRPr="007E3C0F">
        <w:t>Figures in the tables above are all strictly indicative pending the outcome of the 2028-2034 MFF negotiations which cannot be prejudged.</w:t>
      </w:r>
    </w:p>
  </w:footnote>
  <w:footnote w:id="80">
    <w:p w14:paraId="1E087AB8" w14:textId="77777777" w:rsidR="007E3C0F" w:rsidRPr="007E3C0F" w:rsidRDefault="007E3C0F">
      <w:pPr>
        <w:pStyle w:val="FootnoteText"/>
        <w:rPr>
          <w:lang w:val="en-IE"/>
        </w:rPr>
      </w:pPr>
      <w:r w:rsidRPr="00781B63">
        <w:rPr>
          <w:rStyle w:val="FootnoteReference"/>
        </w:rPr>
        <w:footnoteRef/>
      </w:r>
      <w:r w:rsidR="00781B63">
        <w:tab/>
      </w:r>
      <w:r w:rsidRPr="007E3C0F">
        <w:t>Figures in the tables above are all strictly indicative pending the outcome of the 2028-2034 MFF negotiations which cannot be prejudged.</w:t>
      </w:r>
    </w:p>
  </w:footnote>
  <w:footnote w:id="81">
    <w:p w14:paraId="46589459" w14:textId="77777777" w:rsidR="007E3C0F" w:rsidRPr="007E3C0F" w:rsidRDefault="007E3C0F">
      <w:pPr>
        <w:pStyle w:val="FootnoteText"/>
        <w:rPr>
          <w:lang w:val="en-IE"/>
        </w:rPr>
      </w:pPr>
      <w:r w:rsidRPr="00781B63">
        <w:rPr>
          <w:rStyle w:val="FootnoteReference"/>
        </w:rPr>
        <w:footnoteRef/>
      </w:r>
      <w:r w:rsidR="00781B63">
        <w:tab/>
      </w:r>
      <w:r w:rsidRPr="007E3C0F">
        <w:t>Figures in the tables above are all strictly indicative pending the outcome of the 2028-2034 MFF negotiations which cannot be prejudged.</w:t>
      </w:r>
    </w:p>
  </w:footnote>
  <w:footnote w:id="82">
    <w:p w14:paraId="4F3FFA51" w14:textId="77777777" w:rsidR="007E3C0F" w:rsidRPr="007E3C0F" w:rsidRDefault="007E3C0F">
      <w:pPr>
        <w:pStyle w:val="FootnoteText"/>
        <w:rPr>
          <w:lang w:val="en-IE"/>
        </w:rPr>
      </w:pPr>
      <w:r w:rsidRPr="00781B63">
        <w:rPr>
          <w:rStyle w:val="FootnoteReference"/>
        </w:rPr>
        <w:footnoteRef/>
      </w:r>
      <w:r w:rsidR="00781B63">
        <w:tab/>
      </w:r>
      <w:r w:rsidRPr="007E3C0F">
        <w:t>Figures in the tables above are all strictly indicative pending the outcome of the 2028-2034 MFF negotiations which cannot be prejudged.</w:t>
      </w:r>
    </w:p>
  </w:footnote>
  <w:footnote w:id="83">
    <w:p w14:paraId="6472C30D" w14:textId="77777777" w:rsidR="00CA7C31" w:rsidRDefault="00CA7C31" w:rsidP="00CA7C31">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84">
    <w:p w14:paraId="21B1AA75" w14:textId="77777777" w:rsidR="00CA7C31" w:rsidRDefault="00CA7C31" w:rsidP="00CA7C31">
      <w:pPr>
        <w:pStyle w:val="FootnoteText"/>
        <w:rPr>
          <w:szCs w:val="24"/>
        </w:rPr>
      </w:pPr>
      <w:r>
        <w:rPr>
          <w:rStyle w:val="FootnoteReference"/>
        </w:rPr>
        <w:footnoteRef/>
      </w:r>
      <w:r>
        <w:tab/>
        <w:t xml:space="preserve">As described in Section 1.3.2. ‘Specific objective(s)’ </w:t>
      </w:r>
    </w:p>
  </w:footnote>
  <w:footnote w:id="85">
    <w:p w14:paraId="37E51116" w14:textId="77777777" w:rsidR="00666ED3" w:rsidRPr="00666ED3" w:rsidRDefault="00666ED3">
      <w:pPr>
        <w:pStyle w:val="FootnoteText"/>
        <w:rPr>
          <w:lang w:val="en-IE"/>
        </w:rPr>
      </w:pPr>
      <w:r w:rsidRPr="00781B63">
        <w:rPr>
          <w:rStyle w:val="FootnoteReference"/>
        </w:rPr>
        <w:footnoteRef/>
      </w:r>
      <w:r w:rsidR="00781B63">
        <w:tab/>
      </w:r>
      <w:r w:rsidRPr="00666ED3">
        <w:t>Figures in the tables above are all strictly indicative pending the outcome of the 2028-2034 MFF negotiations which cannot be prejudged.</w:t>
      </w:r>
    </w:p>
  </w:footnote>
  <w:footnote w:id="86">
    <w:p w14:paraId="69CD56E0" w14:textId="77777777" w:rsidR="00C76B8F" w:rsidRDefault="00C76B8F" w:rsidP="00CA7C31">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F4A4B" w14:textId="77777777" w:rsidR="003007D8" w:rsidRPr="00052996" w:rsidRDefault="003007D8" w:rsidP="000529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F950" w14:textId="77777777" w:rsidR="003007D8" w:rsidRPr="00052996" w:rsidRDefault="003007D8" w:rsidP="00052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B0D9" w14:textId="77777777" w:rsidR="003007D8" w:rsidRPr="00052996" w:rsidRDefault="003007D8" w:rsidP="00052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67FC" w14:textId="77777777" w:rsidR="00D84455" w:rsidRDefault="00D844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481A" w14:textId="77777777" w:rsidR="00D84455" w:rsidRDefault="00D84455" w:rsidP="000529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B7C3" w14:textId="77777777" w:rsidR="00052996" w:rsidRPr="00052996" w:rsidRDefault="00052996" w:rsidP="00052996">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EDB1" w14:textId="77777777" w:rsidR="00052996" w:rsidRPr="00052996" w:rsidRDefault="00052996" w:rsidP="000529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461"/>
    <w:multiLevelType w:val="hybridMultilevel"/>
    <w:tmpl w:val="245661E6"/>
    <w:lvl w:ilvl="0" w:tplc="4E06BD9C">
      <w:start w:val="1"/>
      <w:numFmt w:val="decimal"/>
      <w:pStyle w:val="Point"/>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D47696"/>
    <w:multiLevelType w:val="hybridMultilevel"/>
    <w:tmpl w:val="84C60572"/>
    <w:lvl w:ilvl="0" w:tplc="24BC9BC8">
      <w:start w:val="1"/>
      <w:numFmt w:val="decimal"/>
      <w:pStyle w:val="NumPara1"/>
      <w:lvlText w:val="%1."/>
      <w:lvlJc w:val="left"/>
      <w:pPr>
        <w:ind w:left="360" w:hanging="360"/>
      </w:pPr>
      <w:rPr>
        <w:rFonts w:ascii="Aptos" w:eastAsia="Calibri" w:hAnsi="Aptos" w:cs="Times New Roman"/>
        <w:b w:val="0"/>
        <w:bCs w:val="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CD6765C"/>
    <w:multiLevelType w:val="hybridMultilevel"/>
    <w:tmpl w:val="EFA40E02"/>
    <w:lvl w:ilvl="0" w:tplc="87AA070A">
      <w:start w:val="1"/>
      <w:numFmt w:val="decimal"/>
      <w:pStyle w:val="Article"/>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4DCD04F8"/>
    <w:multiLevelType w:val="hybridMultilevel"/>
    <w:tmpl w:val="27985444"/>
    <w:lvl w:ilvl="0" w:tplc="FFFFFFFF">
      <w:start w:val="1"/>
      <w:numFmt w:val="decimal"/>
      <w:pStyle w:val="Point0num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Times New Roman" w:eastAsiaTheme="minorHAnsi" w:hAnsi="Times New Roman" w:cs="Times New Roman" w:hint="default"/>
      </w:rPr>
    </w:lvl>
    <w:lvl w:ilvl="3" w:tplc="FFFFFFFF">
      <w:start w:val="1"/>
      <w:numFmt w:val="decimal"/>
      <w:lvlText w:val="%4."/>
      <w:lvlJc w:val="left"/>
      <w:pPr>
        <w:ind w:left="502" w:hanging="360"/>
      </w:pPr>
    </w:lvl>
    <w:lvl w:ilvl="4" w:tplc="FFFFFFFF" w:tentative="1">
      <w:start w:val="1"/>
      <w:numFmt w:val="lowerLetter"/>
      <w:lvlText w:val="%5."/>
      <w:lvlJc w:val="left"/>
      <w:pPr>
        <w:ind w:left="3600" w:hanging="360"/>
      </w:pPr>
    </w:lvl>
    <w:lvl w:ilvl="5" w:tplc="FFFFFFFF">
      <w:start w:val="1"/>
      <w:numFmt w:val="decimal"/>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Point4number"/>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132821270">
    <w:abstractNumId w:val="21"/>
  </w:num>
  <w:num w:numId="2" w16cid:durableId="1709527960">
    <w:abstractNumId w:val="6"/>
  </w:num>
  <w:num w:numId="3" w16cid:durableId="1860197629">
    <w:abstractNumId w:val="17"/>
  </w:num>
  <w:num w:numId="4" w16cid:durableId="1887376332">
    <w:abstractNumId w:val="15"/>
  </w:num>
  <w:num w:numId="5" w16cid:durableId="1403988195">
    <w:abstractNumId w:val="28"/>
  </w:num>
  <w:num w:numId="6" w16cid:durableId="697707532">
    <w:abstractNumId w:val="25"/>
  </w:num>
  <w:num w:numId="7" w16cid:durableId="192153156">
    <w:abstractNumId w:val="29"/>
  </w:num>
  <w:num w:numId="8" w16cid:durableId="2024622779">
    <w:abstractNumId w:val="30"/>
  </w:num>
  <w:num w:numId="9" w16cid:durableId="989214207">
    <w:abstractNumId w:val="8"/>
  </w:num>
  <w:num w:numId="10" w16cid:durableId="1971326345">
    <w:abstractNumId w:val="9"/>
  </w:num>
  <w:num w:numId="11" w16cid:durableId="216360612">
    <w:abstractNumId w:val="7"/>
  </w:num>
  <w:num w:numId="12" w16cid:durableId="579146702">
    <w:abstractNumId w:val="19"/>
  </w:num>
  <w:num w:numId="13" w16cid:durableId="1766222923">
    <w:abstractNumId w:val="5"/>
  </w:num>
  <w:num w:numId="14" w16cid:durableId="628317382">
    <w:abstractNumId w:val="14"/>
    <w:lvlOverride w:ilvl="0">
      <w:startOverride w:val="1"/>
    </w:lvlOverride>
  </w:num>
  <w:num w:numId="15" w16cid:durableId="1772117616">
    <w:abstractNumId w:val="16"/>
  </w:num>
  <w:num w:numId="16" w16cid:durableId="271909703">
    <w:abstractNumId w:val="0"/>
  </w:num>
  <w:num w:numId="17" w16cid:durableId="1209368483">
    <w:abstractNumId w:val="14"/>
    <w:lvlOverride w:ilvl="0">
      <w:startOverride w:val="1"/>
    </w:lvlOverride>
  </w:num>
  <w:num w:numId="18" w16cid:durableId="559051051">
    <w:abstractNumId w:val="18"/>
  </w:num>
  <w:num w:numId="19" w16cid:durableId="7148168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8499823">
    <w:abstractNumId w:val="22"/>
  </w:num>
  <w:num w:numId="21" w16cid:durableId="2089693441">
    <w:abstractNumId w:val="24"/>
  </w:num>
  <w:num w:numId="22" w16cid:durableId="1693998065">
    <w:abstractNumId w:val="10"/>
  </w:num>
  <w:num w:numId="23" w16cid:durableId="788817884">
    <w:abstractNumId w:val="27"/>
  </w:num>
  <w:num w:numId="24" w16cid:durableId="1535464848">
    <w:abstractNumId w:val="4"/>
  </w:num>
  <w:num w:numId="25" w16cid:durableId="639657071">
    <w:abstractNumId w:val="12"/>
  </w:num>
  <w:num w:numId="26" w16cid:durableId="361050661">
    <w:abstractNumId w:val="13"/>
  </w:num>
  <w:num w:numId="27" w16cid:durableId="472790552">
    <w:abstractNumId w:val="2"/>
  </w:num>
  <w:num w:numId="28" w16cid:durableId="384646725">
    <w:abstractNumId w:val="26"/>
  </w:num>
  <w:num w:numId="29" w16cid:durableId="2031682509">
    <w:abstractNumId w:val="1"/>
  </w:num>
  <w:num w:numId="30" w16cid:durableId="150604668">
    <w:abstractNumId w:val="14"/>
  </w:num>
  <w:num w:numId="31" w16cid:durableId="1298296966">
    <w:abstractNumId w:val="23"/>
  </w:num>
  <w:num w:numId="32" w16cid:durableId="1306230484">
    <w:abstractNumId w:val="3"/>
  </w:num>
  <w:num w:numId="33" w16cid:durableId="24066917">
    <w:abstractNumId w:val="20"/>
  </w:num>
  <w:num w:numId="34" w16cid:durableId="485436588">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attachedTemplate r:id="rId1"/>
  <w:doNotTrackFormatting/>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3-04 08:39: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EB80209-95E2-4528-88CA-43B1FE829068"/>
    <w:docVar w:name="LW_COVERPAGE_TYPE" w:val="1"/>
    <w:docVar w:name="LW_CreatedUtc" w:val="2026-02-03T16:50:50.4244561Z"/>
    <w:docVar w:name="LW_CROSSREFERENCE" w:val="{SEC(2026) 70 final} - {SWD(2026) 70 final} - {SWD(2026) 71 final} - {SWD(2026) 72 final}"/>
    <w:docVar w:name="LW_DocType" w:val="COM"/>
    <w:docVar w:name="LW_EMISSION" w:val="4.3.2026"/>
    <w:docVar w:name="LW_EMISSION_ISODATE" w:val="2026-03-04"/>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68"/>
    <w:docVar w:name="LW_REF.II.NEW.CP_YEAR" w:val="2026"/>
    <w:docVar w:name="LW_REF.INST.NEW" w:val="COM"/>
    <w:docVar w:name="LW_REF.INST.NEW_ADOPTED" w:val="final"/>
    <w:docVar w:name="LW_REF.INST.NEW_TEXT" w:val="(2026) 1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a framework of measures for the acceleration of industrial capacity and_x000b_decarbonisation in strategic sectors and amending Regulations (EU) 2018/1724,_x000b_(EU) 2024/1735 and (EU) 2024/3110"/>
    <w:docVar w:name="LW_TYPE.DOC.CP" w:val="REGULATION OF THE EUROPEAN PARLIAMENT AND OF THE COUNCIL"/>
    <w:docVar w:name="LwApiVersions" w:val="LW4CoDe 1.24.5.0; LW 9.2, Build 20251112"/>
  </w:docVars>
  <w:rsids>
    <w:rsidRoot w:val="00440ED7"/>
    <w:rsid w:val="0000020E"/>
    <w:rsid w:val="000003E9"/>
    <w:rsid w:val="000004F0"/>
    <w:rsid w:val="00000520"/>
    <w:rsid w:val="00000544"/>
    <w:rsid w:val="00000592"/>
    <w:rsid w:val="00000616"/>
    <w:rsid w:val="00000828"/>
    <w:rsid w:val="00000A4E"/>
    <w:rsid w:val="00000AFC"/>
    <w:rsid w:val="00000C1C"/>
    <w:rsid w:val="00000CD6"/>
    <w:rsid w:val="00000D35"/>
    <w:rsid w:val="00001332"/>
    <w:rsid w:val="0000158D"/>
    <w:rsid w:val="000015D4"/>
    <w:rsid w:val="000016A2"/>
    <w:rsid w:val="0000180D"/>
    <w:rsid w:val="00001845"/>
    <w:rsid w:val="000018D6"/>
    <w:rsid w:val="00001B15"/>
    <w:rsid w:val="00001C07"/>
    <w:rsid w:val="00001C36"/>
    <w:rsid w:val="00001C6B"/>
    <w:rsid w:val="00001F93"/>
    <w:rsid w:val="00001FE9"/>
    <w:rsid w:val="00002111"/>
    <w:rsid w:val="00002183"/>
    <w:rsid w:val="000022D1"/>
    <w:rsid w:val="00002392"/>
    <w:rsid w:val="000023C8"/>
    <w:rsid w:val="0000259A"/>
    <w:rsid w:val="000025DB"/>
    <w:rsid w:val="0000261D"/>
    <w:rsid w:val="0000282F"/>
    <w:rsid w:val="00002A2F"/>
    <w:rsid w:val="00002B85"/>
    <w:rsid w:val="00002B9C"/>
    <w:rsid w:val="00002BDE"/>
    <w:rsid w:val="00002C03"/>
    <w:rsid w:val="00002F5C"/>
    <w:rsid w:val="00003246"/>
    <w:rsid w:val="00003446"/>
    <w:rsid w:val="00003604"/>
    <w:rsid w:val="000038EF"/>
    <w:rsid w:val="0000393B"/>
    <w:rsid w:val="00003988"/>
    <w:rsid w:val="00003AC7"/>
    <w:rsid w:val="00003BE2"/>
    <w:rsid w:val="00003DFF"/>
    <w:rsid w:val="00003F09"/>
    <w:rsid w:val="0000403A"/>
    <w:rsid w:val="0000409D"/>
    <w:rsid w:val="00004274"/>
    <w:rsid w:val="00004316"/>
    <w:rsid w:val="0000460A"/>
    <w:rsid w:val="000049B5"/>
    <w:rsid w:val="00004A96"/>
    <w:rsid w:val="00004B9A"/>
    <w:rsid w:val="00004BAD"/>
    <w:rsid w:val="00004BD2"/>
    <w:rsid w:val="00004F38"/>
    <w:rsid w:val="00004FF4"/>
    <w:rsid w:val="00005364"/>
    <w:rsid w:val="00005592"/>
    <w:rsid w:val="000056E5"/>
    <w:rsid w:val="000057E0"/>
    <w:rsid w:val="000059FB"/>
    <w:rsid w:val="00005ADD"/>
    <w:rsid w:val="00005DF8"/>
    <w:rsid w:val="00006117"/>
    <w:rsid w:val="0000618E"/>
    <w:rsid w:val="0000622B"/>
    <w:rsid w:val="00006257"/>
    <w:rsid w:val="00006284"/>
    <w:rsid w:val="000066C1"/>
    <w:rsid w:val="0000670E"/>
    <w:rsid w:val="0000671E"/>
    <w:rsid w:val="0000688F"/>
    <w:rsid w:val="00006953"/>
    <w:rsid w:val="00006998"/>
    <w:rsid w:val="00006AEE"/>
    <w:rsid w:val="00006B0B"/>
    <w:rsid w:val="00006D8F"/>
    <w:rsid w:val="00006FDA"/>
    <w:rsid w:val="00007092"/>
    <w:rsid w:val="000073B9"/>
    <w:rsid w:val="00007812"/>
    <w:rsid w:val="0000799C"/>
    <w:rsid w:val="00007A24"/>
    <w:rsid w:val="00007AE4"/>
    <w:rsid w:val="00007AFC"/>
    <w:rsid w:val="00007D38"/>
    <w:rsid w:val="00007DC2"/>
    <w:rsid w:val="00007F3D"/>
    <w:rsid w:val="00007FA2"/>
    <w:rsid w:val="00007FB3"/>
    <w:rsid w:val="00007FC5"/>
    <w:rsid w:val="0001001A"/>
    <w:rsid w:val="000100F7"/>
    <w:rsid w:val="00010266"/>
    <w:rsid w:val="0001076F"/>
    <w:rsid w:val="000108E7"/>
    <w:rsid w:val="000108F9"/>
    <w:rsid w:val="00010952"/>
    <w:rsid w:val="00010A9C"/>
    <w:rsid w:val="00010B5D"/>
    <w:rsid w:val="00010D8E"/>
    <w:rsid w:val="00010E03"/>
    <w:rsid w:val="00011103"/>
    <w:rsid w:val="000112A1"/>
    <w:rsid w:val="0001131A"/>
    <w:rsid w:val="0001144E"/>
    <w:rsid w:val="00011557"/>
    <w:rsid w:val="00011BB9"/>
    <w:rsid w:val="00011BD5"/>
    <w:rsid w:val="00011C3C"/>
    <w:rsid w:val="00011DB6"/>
    <w:rsid w:val="00011DC6"/>
    <w:rsid w:val="00011E72"/>
    <w:rsid w:val="00011ED1"/>
    <w:rsid w:val="00012057"/>
    <w:rsid w:val="00012328"/>
    <w:rsid w:val="000123E2"/>
    <w:rsid w:val="000127B2"/>
    <w:rsid w:val="0001294A"/>
    <w:rsid w:val="00012AD6"/>
    <w:rsid w:val="00012CFC"/>
    <w:rsid w:val="00012DB1"/>
    <w:rsid w:val="00012F3D"/>
    <w:rsid w:val="00013010"/>
    <w:rsid w:val="000132EC"/>
    <w:rsid w:val="00013625"/>
    <w:rsid w:val="000137BA"/>
    <w:rsid w:val="000138BB"/>
    <w:rsid w:val="00013A3A"/>
    <w:rsid w:val="00013C50"/>
    <w:rsid w:val="00013ECF"/>
    <w:rsid w:val="00013F58"/>
    <w:rsid w:val="00013FA9"/>
    <w:rsid w:val="000143B5"/>
    <w:rsid w:val="00014574"/>
    <w:rsid w:val="000146E6"/>
    <w:rsid w:val="000146ED"/>
    <w:rsid w:val="00014796"/>
    <w:rsid w:val="000147EE"/>
    <w:rsid w:val="00014AA8"/>
    <w:rsid w:val="00014BC1"/>
    <w:rsid w:val="00014BFF"/>
    <w:rsid w:val="00014D85"/>
    <w:rsid w:val="00014E32"/>
    <w:rsid w:val="00014EA1"/>
    <w:rsid w:val="00015258"/>
    <w:rsid w:val="00015275"/>
    <w:rsid w:val="000155E6"/>
    <w:rsid w:val="000156A9"/>
    <w:rsid w:val="0001570A"/>
    <w:rsid w:val="0001597B"/>
    <w:rsid w:val="000159FC"/>
    <w:rsid w:val="00015C09"/>
    <w:rsid w:val="00015C69"/>
    <w:rsid w:val="0001622A"/>
    <w:rsid w:val="00016267"/>
    <w:rsid w:val="0001628B"/>
    <w:rsid w:val="000162AB"/>
    <w:rsid w:val="000163CA"/>
    <w:rsid w:val="0001689D"/>
    <w:rsid w:val="00016B71"/>
    <w:rsid w:val="00016F3B"/>
    <w:rsid w:val="000170BE"/>
    <w:rsid w:val="00017103"/>
    <w:rsid w:val="0001714F"/>
    <w:rsid w:val="00017209"/>
    <w:rsid w:val="00017389"/>
    <w:rsid w:val="000174D3"/>
    <w:rsid w:val="0001763D"/>
    <w:rsid w:val="000177AD"/>
    <w:rsid w:val="0001781B"/>
    <w:rsid w:val="000207DA"/>
    <w:rsid w:val="00020A95"/>
    <w:rsid w:val="00020BA0"/>
    <w:rsid w:val="00020DA4"/>
    <w:rsid w:val="00020DC9"/>
    <w:rsid w:val="00021109"/>
    <w:rsid w:val="00021282"/>
    <w:rsid w:val="0002147F"/>
    <w:rsid w:val="000215AE"/>
    <w:rsid w:val="00021688"/>
    <w:rsid w:val="00021898"/>
    <w:rsid w:val="00021B6F"/>
    <w:rsid w:val="00021CE4"/>
    <w:rsid w:val="00021D47"/>
    <w:rsid w:val="00021D8B"/>
    <w:rsid w:val="00021E7D"/>
    <w:rsid w:val="000220B6"/>
    <w:rsid w:val="0002231C"/>
    <w:rsid w:val="000225A1"/>
    <w:rsid w:val="000227D4"/>
    <w:rsid w:val="000227EB"/>
    <w:rsid w:val="00022829"/>
    <w:rsid w:val="000229AB"/>
    <w:rsid w:val="00022C4E"/>
    <w:rsid w:val="00022D1D"/>
    <w:rsid w:val="00022D36"/>
    <w:rsid w:val="00022FF6"/>
    <w:rsid w:val="00023000"/>
    <w:rsid w:val="0002322B"/>
    <w:rsid w:val="00023297"/>
    <w:rsid w:val="000234F5"/>
    <w:rsid w:val="00023721"/>
    <w:rsid w:val="00023749"/>
    <w:rsid w:val="00023871"/>
    <w:rsid w:val="00023980"/>
    <w:rsid w:val="000239C9"/>
    <w:rsid w:val="000239DB"/>
    <w:rsid w:val="00023EAE"/>
    <w:rsid w:val="00023F99"/>
    <w:rsid w:val="0002419E"/>
    <w:rsid w:val="0002432E"/>
    <w:rsid w:val="00024511"/>
    <w:rsid w:val="000247EA"/>
    <w:rsid w:val="00024923"/>
    <w:rsid w:val="000249F2"/>
    <w:rsid w:val="00024B52"/>
    <w:rsid w:val="00024E69"/>
    <w:rsid w:val="00024E9F"/>
    <w:rsid w:val="00025064"/>
    <w:rsid w:val="000250F4"/>
    <w:rsid w:val="000251B5"/>
    <w:rsid w:val="00025414"/>
    <w:rsid w:val="000259E2"/>
    <w:rsid w:val="00025A04"/>
    <w:rsid w:val="00025BEB"/>
    <w:rsid w:val="00025CC4"/>
    <w:rsid w:val="00025CD0"/>
    <w:rsid w:val="00025D10"/>
    <w:rsid w:val="00025F23"/>
    <w:rsid w:val="00025FF3"/>
    <w:rsid w:val="00026173"/>
    <w:rsid w:val="00026480"/>
    <w:rsid w:val="00026515"/>
    <w:rsid w:val="00026557"/>
    <w:rsid w:val="000265B9"/>
    <w:rsid w:val="000266C3"/>
    <w:rsid w:val="000269C3"/>
    <w:rsid w:val="00026A9B"/>
    <w:rsid w:val="00026C87"/>
    <w:rsid w:val="00026D50"/>
    <w:rsid w:val="00026DCD"/>
    <w:rsid w:val="00026DD0"/>
    <w:rsid w:val="00026ED0"/>
    <w:rsid w:val="0002702B"/>
    <w:rsid w:val="000272CA"/>
    <w:rsid w:val="000273D5"/>
    <w:rsid w:val="00027419"/>
    <w:rsid w:val="000274D6"/>
    <w:rsid w:val="000277EE"/>
    <w:rsid w:val="000278C6"/>
    <w:rsid w:val="00027929"/>
    <w:rsid w:val="00027B19"/>
    <w:rsid w:val="00027B74"/>
    <w:rsid w:val="00027BEA"/>
    <w:rsid w:val="000300BA"/>
    <w:rsid w:val="0003022D"/>
    <w:rsid w:val="00030344"/>
    <w:rsid w:val="00030A09"/>
    <w:rsid w:val="00030AD7"/>
    <w:rsid w:val="00030D4C"/>
    <w:rsid w:val="00030D95"/>
    <w:rsid w:val="00030FCE"/>
    <w:rsid w:val="00031078"/>
    <w:rsid w:val="00031092"/>
    <w:rsid w:val="000310F9"/>
    <w:rsid w:val="00031257"/>
    <w:rsid w:val="000315F6"/>
    <w:rsid w:val="00031766"/>
    <w:rsid w:val="00031BD2"/>
    <w:rsid w:val="00031DFE"/>
    <w:rsid w:val="00032070"/>
    <w:rsid w:val="00032124"/>
    <w:rsid w:val="00032146"/>
    <w:rsid w:val="000321EF"/>
    <w:rsid w:val="00032476"/>
    <w:rsid w:val="0003277E"/>
    <w:rsid w:val="0003280B"/>
    <w:rsid w:val="00032887"/>
    <w:rsid w:val="00032911"/>
    <w:rsid w:val="000329FF"/>
    <w:rsid w:val="00032AA2"/>
    <w:rsid w:val="00032AB8"/>
    <w:rsid w:val="00032E93"/>
    <w:rsid w:val="00032F3A"/>
    <w:rsid w:val="00032FD6"/>
    <w:rsid w:val="000330C0"/>
    <w:rsid w:val="000332C7"/>
    <w:rsid w:val="00033546"/>
    <w:rsid w:val="00033571"/>
    <w:rsid w:val="0003369C"/>
    <w:rsid w:val="000336A2"/>
    <w:rsid w:val="000336AC"/>
    <w:rsid w:val="000336D8"/>
    <w:rsid w:val="000337E2"/>
    <w:rsid w:val="00033CDF"/>
    <w:rsid w:val="00034028"/>
    <w:rsid w:val="00034087"/>
    <w:rsid w:val="000340E7"/>
    <w:rsid w:val="00034139"/>
    <w:rsid w:val="00034324"/>
    <w:rsid w:val="0003436C"/>
    <w:rsid w:val="00034440"/>
    <w:rsid w:val="00034711"/>
    <w:rsid w:val="0003480D"/>
    <w:rsid w:val="00034CDE"/>
    <w:rsid w:val="00034E5F"/>
    <w:rsid w:val="00034F69"/>
    <w:rsid w:val="00035512"/>
    <w:rsid w:val="00035537"/>
    <w:rsid w:val="000357BC"/>
    <w:rsid w:val="00035955"/>
    <w:rsid w:val="00035ACE"/>
    <w:rsid w:val="00035E2E"/>
    <w:rsid w:val="00035F46"/>
    <w:rsid w:val="00035FEA"/>
    <w:rsid w:val="00036064"/>
    <w:rsid w:val="00036081"/>
    <w:rsid w:val="00036125"/>
    <w:rsid w:val="000361BE"/>
    <w:rsid w:val="000361F0"/>
    <w:rsid w:val="000362D6"/>
    <w:rsid w:val="0003637F"/>
    <w:rsid w:val="000364C0"/>
    <w:rsid w:val="0003658C"/>
    <w:rsid w:val="000365E7"/>
    <w:rsid w:val="00036634"/>
    <w:rsid w:val="00036707"/>
    <w:rsid w:val="00036B24"/>
    <w:rsid w:val="00036CDD"/>
    <w:rsid w:val="00036E84"/>
    <w:rsid w:val="00036F3E"/>
    <w:rsid w:val="000371BD"/>
    <w:rsid w:val="00037320"/>
    <w:rsid w:val="000374EE"/>
    <w:rsid w:val="00037657"/>
    <w:rsid w:val="00037A7A"/>
    <w:rsid w:val="00037C92"/>
    <w:rsid w:val="00037CF1"/>
    <w:rsid w:val="0004005B"/>
    <w:rsid w:val="000402B6"/>
    <w:rsid w:val="00040303"/>
    <w:rsid w:val="0004055D"/>
    <w:rsid w:val="000406E4"/>
    <w:rsid w:val="00040AEC"/>
    <w:rsid w:val="00040BB0"/>
    <w:rsid w:val="00040D9F"/>
    <w:rsid w:val="00040DE4"/>
    <w:rsid w:val="00040EA5"/>
    <w:rsid w:val="00040F93"/>
    <w:rsid w:val="0004161A"/>
    <w:rsid w:val="00041692"/>
    <w:rsid w:val="000417D3"/>
    <w:rsid w:val="000417D9"/>
    <w:rsid w:val="00041C2B"/>
    <w:rsid w:val="00041D3C"/>
    <w:rsid w:val="00041F87"/>
    <w:rsid w:val="00042239"/>
    <w:rsid w:val="00042457"/>
    <w:rsid w:val="00042499"/>
    <w:rsid w:val="00042586"/>
    <w:rsid w:val="00042636"/>
    <w:rsid w:val="0004266C"/>
    <w:rsid w:val="00042808"/>
    <w:rsid w:val="00042E6E"/>
    <w:rsid w:val="00042ED6"/>
    <w:rsid w:val="00042EE2"/>
    <w:rsid w:val="00043264"/>
    <w:rsid w:val="00043340"/>
    <w:rsid w:val="00043382"/>
    <w:rsid w:val="000433D4"/>
    <w:rsid w:val="00043635"/>
    <w:rsid w:val="000436CD"/>
    <w:rsid w:val="00043B18"/>
    <w:rsid w:val="000440B9"/>
    <w:rsid w:val="00044138"/>
    <w:rsid w:val="00044292"/>
    <w:rsid w:val="000447CB"/>
    <w:rsid w:val="000447D2"/>
    <w:rsid w:val="00044822"/>
    <w:rsid w:val="00044825"/>
    <w:rsid w:val="00044996"/>
    <w:rsid w:val="00044A1C"/>
    <w:rsid w:val="00044A91"/>
    <w:rsid w:val="00044C94"/>
    <w:rsid w:val="00045033"/>
    <w:rsid w:val="00045165"/>
    <w:rsid w:val="0004525D"/>
    <w:rsid w:val="000452F0"/>
    <w:rsid w:val="0004554E"/>
    <w:rsid w:val="0004569E"/>
    <w:rsid w:val="00045A8C"/>
    <w:rsid w:val="00045B4F"/>
    <w:rsid w:val="00045BC3"/>
    <w:rsid w:val="00045CEF"/>
    <w:rsid w:val="00045D07"/>
    <w:rsid w:val="00045E7D"/>
    <w:rsid w:val="0004630D"/>
    <w:rsid w:val="00046467"/>
    <w:rsid w:val="00046AF1"/>
    <w:rsid w:val="00046C0C"/>
    <w:rsid w:val="00046D8C"/>
    <w:rsid w:val="00046DAB"/>
    <w:rsid w:val="00046E85"/>
    <w:rsid w:val="00046ED4"/>
    <w:rsid w:val="00046FD1"/>
    <w:rsid w:val="0004706E"/>
    <w:rsid w:val="0004709C"/>
    <w:rsid w:val="000472C2"/>
    <w:rsid w:val="000473B3"/>
    <w:rsid w:val="000473F0"/>
    <w:rsid w:val="000475C8"/>
    <w:rsid w:val="0004765E"/>
    <w:rsid w:val="00047747"/>
    <w:rsid w:val="00047946"/>
    <w:rsid w:val="00047D55"/>
    <w:rsid w:val="00047EE1"/>
    <w:rsid w:val="0005009B"/>
    <w:rsid w:val="000500D2"/>
    <w:rsid w:val="00050174"/>
    <w:rsid w:val="000504BB"/>
    <w:rsid w:val="00050789"/>
    <w:rsid w:val="000507FB"/>
    <w:rsid w:val="0005088D"/>
    <w:rsid w:val="000509CA"/>
    <w:rsid w:val="00050C16"/>
    <w:rsid w:val="00050E37"/>
    <w:rsid w:val="00050EF8"/>
    <w:rsid w:val="00051310"/>
    <w:rsid w:val="00051343"/>
    <w:rsid w:val="0005148A"/>
    <w:rsid w:val="000517FF"/>
    <w:rsid w:val="000518E9"/>
    <w:rsid w:val="000519A7"/>
    <w:rsid w:val="000519DB"/>
    <w:rsid w:val="000519F6"/>
    <w:rsid w:val="00051B8E"/>
    <w:rsid w:val="00051C82"/>
    <w:rsid w:val="00051DB7"/>
    <w:rsid w:val="00051E59"/>
    <w:rsid w:val="00051F12"/>
    <w:rsid w:val="00052020"/>
    <w:rsid w:val="000520B8"/>
    <w:rsid w:val="000520F8"/>
    <w:rsid w:val="0005270A"/>
    <w:rsid w:val="000527C9"/>
    <w:rsid w:val="00052885"/>
    <w:rsid w:val="000528BC"/>
    <w:rsid w:val="00052996"/>
    <w:rsid w:val="000529DD"/>
    <w:rsid w:val="00052A01"/>
    <w:rsid w:val="00052B02"/>
    <w:rsid w:val="00052B5C"/>
    <w:rsid w:val="00053013"/>
    <w:rsid w:val="0005307A"/>
    <w:rsid w:val="000530C1"/>
    <w:rsid w:val="00053199"/>
    <w:rsid w:val="000534C8"/>
    <w:rsid w:val="000536C0"/>
    <w:rsid w:val="00053879"/>
    <w:rsid w:val="000538DE"/>
    <w:rsid w:val="00053A97"/>
    <w:rsid w:val="00053BBE"/>
    <w:rsid w:val="00053C1E"/>
    <w:rsid w:val="00053ED5"/>
    <w:rsid w:val="00053F5B"/>
    <w:rsid w:val="000540FD"/>
    <w:rsid w:val="00054116"/>
    <w:rsid w:val="00054123"/>
    <w:rsid w:val="00054162"/>
    <w:rsid w:val="0005421E"/>
    <w:rsid w:val="00054605"/>
    <w:rsid w:val="000546F9"/>
    <w:rsid w:val="0005481B"/>
    <w:rsid w:val="000548BF"/>
    <w:rsid w:val="00054AEA"/>
    <w:rsid w:val="00054AFE"/>
    <w:rsid w:val="00054B9B"/>
    <w:rsid w:val="00054C16"/>
    <w:rsid w:val="00054CCE"/>
    <w:rsid w:val="00054D04"/>
    <w:rsid w:val="00054F02"/>
    <w:rsid w:val="0005507B"/>
    <w:rsid w:val="00055188"/>
    <w:rsid w:val="00055208"/>
    <w:rsid w:val="0005525F"/>
    <w:rsid w:val="00055267"/>
    <w:rsid w:val="000554E2"/>
    <w:rsid w:val="00055537"/>
    <w:rsid w:val="00055591"/>
    <w:rsid w:val="00055878"/>
    <w:rsid w:val="00055C7A"/>
    <w:rsid w:val="00055EC7"/>
    <w:rsid w:val="00055F75"/>
    <w:rsid w:val="00055F7C"/>
    <w:rsid w:val="00056018"/>
    <w:rsid w:val="00056083"/>
    <w:rsid w:val="000561BC"/>
    <w:rsid w:val="00056293"/>
    <w:rsid w:val="00056472"/>
    <w:rsid w:val="0005686A"/>
    <w:rsid w:val="00056966"/>
    <w:rsid w:val="00056971"/>
    <w:rsid w:val="00056B1E"/>
    <w:rsid w:val="00056CE6"/>
    <w:rsid w:val="00056F0F"/>
    <w:rsid w:val="00056F26"/>
    <w:rsid w:val="00056F36"/>
    <w:rsid w:val="00056F57"/>
    <w:rsid w:val="00057023"/>
    <w:rsid w:val="00057058"/>
    <w:rsid w:val="000570CF"/>
    <w:rsid w:val="000570E6"/>
    <w:rsid w:val="0005721B"/>
    <w:rsid w:val="000572C4"/>
    <w:rsid w:val="0005748C"/>
    <w:rsid w:val="0005766D"/>
    <w:rsid w:val="00057711"/>
    <w:rsid w:val="0005774D"/>
    <w:rsid w:val="000578E5"/>
    <w:rsid w:val="00057B71"/>
    <w:rsid w:val="00057B8A"/>
    <w:rsid w:val="00057C14"/>
    <w:rsid w:val="00057CBF"/>
    <w:rsid w:val="00060010"/>
    <w:rsid w:val="000600C9"/>
    <w:rsid w:val="00060124"/>
    <w:rsid w:val="00060265"/>
    <w:rsid w:val="00060683"/>
    <w:rsid w:val="00060BD6"/>
    <w:rsid w:val="00060BF7"/>
    <w:rsid w:val="00060C07"/>
    <w:rsid w:val="00060F2F"/>
    <w:rsid w:val="00060F6C"/>
    <w:rsid w:val="00061077"/>
    <w:rsid w:val="000610CE"/>
    <w:rsid w:val="000610DE"/>
    <w:rsid w:val="000611C3"/>
    <w:rsid w:val="00061261"/>
    <w:rsid w:val="0006139D"/>
    <w:rsid w:val="00061466"/>
    <w:rsid w:val="0006158D"/>
    <w:rsid w:val="0006160F"/>
    <w:rsid w:val="0006164A"/>
    <w:rsid w:val="000619AE"/>
    <w:rsid w:val="00061A23"/>
    <w:rsid w:val="00061A94"/>
    <w:rsid w:val="00061AFB"/>
    <w:rsid w:val="00061C0B"/>
    <w:rsid w:val="000627C0"/>
    <w:rsid w:val="00062A1B"/>
    <w:rsid w:val="00062C6A"/>
    <w:rsid w:val="00062D7E"/>
    <w:rsid w:val="00062E0E"/>
    <w:rsid w:val="00062E35"/>
    <w:rsid w:val="00063283"/>
    <w:rsid w:val="000633AF"/>
    <w:rsid w:val="000633FE"/>
    <w:rsid w:val="00063AD1"/>
    <w:rsid w:val="00063E62"/>
    <w:rsid w:val="000641A4"/>
    <w:rsid w:val="000641B7"/>
    <w:rsid w:val="000642E2"/>
    <w:rsid w:val="000643E0"/>
    <w:rsid w:val="00064542"/>
    <w:rsid w:val="000645D4"/>
    <w:rsid w:val="00064934"/>
    <w:rsid w:val="00064A87"/>
    <w:rsid w:val="00064C59"/>
    <w:rsid w:val="00064CCF"/>
    <w:rsid w:val="00064EA9"/>
    <w:rsid w:val="00064EAD"/>
    <w:rsid w:val="00065191"/>
    <w:rsid w:val="0006519B"/>
    <w:rsid w:val="0006526F"/>
    <w:rsid w:val="0006530B"/>
    <w:rsid w:val="00065495"/>
    <w:rsid w:val="00065719"/>
    <w:rsid w:val="000658C0"/>
    <w:rsid w:val="00065986"/>
    <w:rsid w:val="00065AD3"/>
    <w:rsid w:val="00065D6C"/>
    <w:rsid w:val="00066006"/>
    <w:rsid w:val="00066053"/>
    <w:rsid w:val="0006613B"/>
    <w:rsid w:val="00066265"/>
    <w:rsid w:val="000662B5"/>
    <w:rsid w:val="00066650"/>
    <w:rsid w:val="00066824"/>
    <w:rsid w:val="0006686B"/>
    <w:rsid w:val="00066A23"/>
    <w:rsid w:val="00066A5A"/>
    <w:rsid w:val="00066CDB"/>
    <w:rsid w:val="00066E2E"/>
    <w:rsid w:val="00066E65"/>
    <w:rsid w:val="000671B1"/>
    <w:rsid w:val="000674D1"/>
    <w:rsid w:val="00067A3C"/>
    <w:rsid w:val="00067CAF"/>
    <w:rsid w:val="00067FA7"/>
    <w:rsid w:val="00067FDD"/>
    <w:rsid w:val="00070009"/>
    <w:rsid w:val="00070446"/>
    <w:rsid w:val="000708FA"/>
    <w:rsid w:val="00070945"/>
    <w:rsid w:val="00070A4B"/>
    <w:rsid w:val="00070ADA"/>
    <w:rsid w:val="00070B40"/>
    <w:rsid w:val="00070CB3"/>
    <w:rsid w:val="00070EC6"/>
    <w:rsid w:val="00070F09"/>
    <w:rsid w:val="00070F22"/>
    <w:rsid w:val="000710F3"/>
    <w:rsid w:val="00071119"/>
    <w:rsid w:val="000712C6"/>
    <w:rsid w:val="000713FA"/>
    <w:rsid w:val="00071A62"/>
    <w:rsid w:val="00071B9E"/>
    <w:rsid w:val="00071D87"/>
    <w:rsid w:val="00071FAC"/>
    <w:rsid w:val="0007217C"/>
    <w:rsid w:val="000722C0"/>
    <w:rsid w:val="000724E6"/>
    <w:rsid w:val="00072880"/>
    <w:rsid w:val="00072AAA"/>
    <w:rsid w:val="00072B32"/>
    <w:rsid w:val="00072C30"/>
    <w:rsid w:val="00072C74"/>
    <w:rsid w:val="000730D3"/>
    <w:rsid w:val="00073279"/>
    <w:rsid w:val="00073303"/>
    <w:rsid w:val="000736DD"/>
    <w:rsid w:val="000736FA"/>
    <w:rsid w:val="0007395E"/>
    <w:rsid w:val="00073AE4"/>
    <w:rsid w:val="00073B28"/>
    <w:rsid w:val="00073EEB"/>
    <w:rsid w:val="00073F0C"/>
    <w:rsid w:val="00073F24"/>
    <w:rsid w:val="00074108"/>
    <w:rsid w:val="000742C7"/>
    <w:rsid w:val="000742E4"/>
    <w:rsid w:val="0007459E"/>
    <w:rsid w:val="000746FA"/>
    <w:rsid w:val="00074771"/>
    <w:rsid w:val="00074A2A"/>
    <w:rsid w:val="00074C3F"/>
    <w:rsid w:val="00074EFB"/>
    <w:rsid w:val="00074F10"/>
    <w:rsid w:val="00074FD2"/>
    <w:rsid w:val="0007503A"/>
    <w:rsid w:val="00075379"/>
    <w:rsid w:val="0007540E"/>
    <w:rsid w:val="00075438"/>
    <w:rsid w:val="000755DE"/>
    <w:rsid w:val="000755E6"/>
    <w:rsid w:val="000755F1"/>
    <w:rsid w:val="000756EF"/>
    <w:rsid w:val="00075730"/>
    <w:rsid w:val="000758CD"/>
    <w:rsid w:val="00075920"/>
    <w:rsid w:val="0007592D"/>
    <w:rsid w:val="00075ABE"/>
    <w:rsid w:val="00075CB8"/>
    <w:rsid w:val="00075F08"/>
    <w:rsid w:val="00075FD7"/>
    <w:rsid w:val="00076829"/>
    <w:rsid w:val="00076899"/>
    <w:rsid w:val="00076923"/>
    <w:rsid w:val="00076945"/>
    <w:rsid w:val="00076985"/>
    <w:rsid w:val="00076CDC"/>
    <w:rsid w:val="00077010"/>
    <w:rsid w:val="0007747C"/>
    <w:rsid w:val="00077601"/>
    <w:rsid w:val="0007762F"/>
    <w:rsid w:val="000777E4"/>
    <w:rsid w:val="000777E5"/>
    <w:rsid w:val="0007785E"/>
    <w:rsid w:val="00077A34"/>
    <w:rsid w:val="00077F0D"/>
    <w:rsid w:val="00077FA1"/>
    <w:rsid w:val="000801F8"/>
    <w:rsid w:val="00080238"/>
    <w:rsid w:val="000802E0"/>
    <w:rsid w:val="000804E8"/>
    <w:rsid w:val="00080858"/>
    <w:rsid w:val="000809C0"/>
    <w:rsid w:val="00080C9D"/>
    <w:rsid w:val="00080D15"/>
    <w:rsid w:val="00080F47"/>
    <w:rsid w:val="0008102D"/>
    <w:rsid w:val="00081049"/>
    <w:rsid w:val="0008108F"/>
    <w:rsid w:val="00081212"/>
    <w:rsid w:val="0008137C"/>
    <w:rsid w:val="000813B4"/>
    <w:rsid w:val="000813EA"/>
    <w:rsid w:val="00081481"/>
    <w:rsid w:val="00081493"/>
    <w:rsid w:val="00081792"/>
    <w:rsid w:val="000818BD"/>
    <w:rsid w:val="00081AE1"/>
    <w:rsid w:val="00081D13"/>
    <w:rsid w:val="00081FD1"/>
    <w:rsid w:val="0008231E"/>
    <w:rsid w:val="00082510"/>
    <w:rsid w:val="000825E0"/>
    <w:rsid w:val="00082E66"/>
    <w:rsid w:val="00082E90"/>
    <w:rsid w:val="00082F77"/>
    <w:rsid w:val="00083065"/>
    <w:rsid w:val="00083406"/>
    <w:rsid w:val="0008348F"/>
    <w:rsid w:val="00083654"/>
    <w:rsid w:val="00083756"/>
    <w:rsid w:val="000838F3"/>
    <w:rsid w:val="00083A26"/>
    <w:rsid w:val="00083AD3"/>
    <w:rsid w:val="00083AD6"/>
    <w:rsid w:val="00083C57"/>
    <w:rsid w:val="00083CF3"/>
    <w:rsid w:val="00083F9A"/>
    <w:rsid w:val="00084037"/>
    <w:rsid w:val="00084549"/>
    <w:rsid w:val="00084672"/>
    <w:rsid w:val="00084A7E"/>
    <w:rsid w:val="00084A8E"/>
    <w:rsid w:val="00084B28"/>
    <w:rsid w:val="00084C08"/>
    <w:rsid w:val="00084F2B"/>
    <w:rsid w:val="00085160"/>
    <w:rsid w:val="0008530A"/>
    <w:rsid w:val="000853D1"/>
    <w:rsid w:val="00085414"/>
    <w:rsid w:val="00085619"/>
    <w:rsid w:val="000856CC"/>
    <w:rsid w:val="0008572A"/>
    <w:rsid w:val="00085753"/>
    <w:rsid w:val="000857E8"/>
    <w:rsid w:val="00085DDE"/>
    <w:rsid w:val="000862B2"/>
    <w:rsid w:val="000862F4"/>
    <w:rsid w:val="00086CBC"/>
    <w:rsid w:val="00086D3D"/>
    <w:rsid w:val="00086D7F"/>
    <w:rsid w:val="00086ECC"/>
    <w:rsid w:val="00086F24"/>
    <w:rsid w:val="00087070"/>
    <w:rsid w:val="000872B7"/>
    <w:rsid w:val="00087459"/>
    <w:rsid w:val="00087479"/>
    <w:rsid w:val="00087781"/>
    <w:rsid w:val="000877DE"/>
    <w:rsid w:val="0008781B"/>
    <w:rsid w:val="00087AA3"/>
    <w:rsid w:val="00087AB7"/>
    <w:rsid w:val="00087C13"/>
    <w:rsid w:val="00087E5A"/>
    <w:rsid w:val="00087E64"/>
    <w:rsid w:val="00087EF5"/>
    <w:rsid w:val="00090337"/>
    <w:rsid w:val="00090372"/>
    <w:rsid w:val="0009042B"/>
    <w:rsid w:val="00090477"/>
    <w:rsid w:val="00090491"/>
    <w:rsid w:val="000905AC"/>
    <w:rsid w:val="00090813"/>
    <w:rsid w:val="00090860"/>
    <w:rsid w:val="00090930"/>
    <w:rsid w:val="00090ABE"/>
    <w:rsid w:val="00090CAC"/>
    <w:rsid w:val="00090CD6"/>
    <w:rsid w:val="00090FA5"/>
    <w:rsid w:val="00091071"/>
    <w:rsid w:val="0009127E"/>
    <w:rsid w:val="0009130C"/>
    <w:rsid w:val="00091372"/>
    <w:rsid w:val="00091507"/>
    <w:rsid w:val="0009161A"/>
    <w:rsid w:val="00091765"/>
    <w:rsid w:val="00091934"/>
    <w:rsid w:val="00091BC8"/>
    <w:rsid w:val="00091C91"/>
    <w:rsid w:val="00091C95"/>
    <w:rsid w:val="00091ED1"/>
    <w:rsid w:val="00091FAE"/>
    <w:rsid w:val="000922E2"/>
    <w:rsid w:val="000923F2"/>
    <w:rsid w:val="000924AE"/>
    <w:rsid w:val="0009278E"/>
    <w:rsid w:val="0009292E"/>
    <w:rsid w:val="00092C01"/>
    <w:rsid w:val="00092D7D"/>
    <w:rsid w:val="00092DFE"/>
    <w:rsid w:val="000934C4"/>
    <w:rsid w:val="00093850"/>
    <w:rsid w:val="00093891"/>
    <w:rsid w:val="000938AB"/>
    <w:rsid w:val="000939EC"/>
    <w:rsid w:val="00093DC3"/>
    <w:rsid w:val="000941A7"/>
    <w:rsid w:val="000942CA"/>
    <w:rsid w:val="00094310"/>
    <w:rsid w:val="00094442"/>
    <w:rsid w:val="0009457B"/>
    <w:rsid w:val="00094811"/>
    <w:rsid w:val="00094877"/>
    <w:rsid w:val="0009488A"/>
    <w:rsid w:val="00094951"/>
    <w:rsid w:val="00094975"/>
    <w:rsid w:val="00094AD0"/>
    <w:rsid w:val="00094BE0"/>
    <w:rsid w:val="00094BE7"/>
    <w:rsid w:val="00094F5A"/>
    <w:rsid w:val="00095150"/>
    <w:rsid w:val="00095365"/>
    <w:rsid w:val="0009548D"/>
    <w:rsid w:val="000954D7"/>
    <w:rsid w:val="00095662"/>
    <w:rsid w:val="0009571C"/>
    <w:rsid w:val="000958E0"/>
    <w:rsid w:val="00095906"/>
    <w:rsid w:val="00095B52"/>
    <w:rsid w:val="00095C23"/>
    <w:rsid w:val="00095C93"/>
    <w:rsid w:val="00095F67"/>
    <w:rsid w:val="000960A7"/>
    <w:rsid w:val="0009618B"/>
    <w:rsid w:val="00096200"/>
    <w:rsid w:val="00096216"/>
    <w:rsid w:val="00096384"/>
    <w:rsid w:val="00096424"/>
    <w:rsid w:val="000964B1"/>
    <w:rsid w:val="000965EE"/>
    <w:rsid w:val="0009664B"/>
    <w:rsid w:val="00096C40"/>
    <w:rsid w:val="00096D1F"/>
    <w:rsid w:val="00096D41"/>
    <w:rsid w:val="00096DA4"/>
    <w:rsid w:val="00096F29"/>
    <w:rsid w:val="00096F77"/>
    <w:rsid w:val="000972CA"/>
    <w:rsid w:val="00097526"/>
    <w:rsid w:val="00097884"/>
    <w:rsid w:val="0009790B"/>
    <w:rsid w:val="000979FC"/>
    <w:rsid w:val="00097B5F"/>
    <w:rsid w:val="00097E35"/>
    <w:rsid w:val="00097E4D"/>
    <w:rsid w:val="000A0168"/>
    <w:rsid w:val="000A03C1"/>
    <w:rsid w:val="000A0541"/>
    <w:rsid w:val="000A05E7"/>
    <w:rsid w:val="000A0631"/>
    <w:rsid w:val="000A0919"/>
    <w:rsid w:val="000A09D4"/>
    <w:rsid w:val="000A0AF6"/>
    <w:rsid w:val="000A11F7"/>
    <w:rsid w:val="000A14BF"/>
    <w:rsid w:val="000A159F"/>
    <w:rsid w:val="000A15A5"/>
    <w:rsid w:val="000A17C6"/>
    <w:rsid w:val="000A17E6"/>
    <w:rsid w:val="000A18EB"/>
    <w:rsid w:val="000A1B15"/>
    <w:rsid w:val="000A1B8C"/>
    <w:rsid w:val="000A1BB8"/>
    <w:rsid w:val="000A2023"/>
    <w:rsid w:val="000A21B8"/>
    <w:rsid w:val="000A226B"/>
    <w:rsid w:val="000A26B5"/>
    <w:rsid w:val="000A2A97"/>
    <w:rsid w:val="000A2ABE"/>
    <w:rsid w:val="000A2BEB"/>
    <w:rsid w:val="000A2C55"/>
    <w:rsid w:val="000A3138"/>
    <w:rsid w:val="000A31B6"/>
    <w:rsid w:val="000A31FD"/>
    <w:rsid w:val="000A368C"/>
    <w:rsid w:val="000A3699"/>
    <w:rsid w:val="000A372E"/>
    <w:rsid w:val="000A38C4"/>
    <w:rsid w:val="000A39D1"/>
    <w:rsid w:val="000A3A75"/>
    <w:rsid w:val="000A3AA7"/>
    <w:rsid w:val="000A3C92"/>
    <w:rsid w:val="000A3EA9"/>
    <w:rsid w:val="000A3F53"/>
    <w:rsid w:val="000A3FFA"/>
    <w:rsid w:val="000A4559"/>
    <w:rsid w:val="000A458F"/>
    <w:rsid w:val="000A467E"/>
    <w:rsid w:val="000A4AC3"/>
    <w:rsid w:val="000A4B85"/>
    <w:rsid w:val="000A5121"/>
    <w:rsid w:val="000A51C4"/>
    <w:rsid w:val="000A51E2"/>
    <w:rsid w:val="000A547D"/>
    <w:rsid w:val="000A5678"/>
    <w:rsid w:val="000A5770"/>
    <w:rsid w:val="000A5BC6"/>
    <w:rsid w:val="000A5C9E"/>
    <w:rsid w:val="000A5D85"/>
    <w:rsid w:val="000A5E31"/>
    <w:rsid w:val="000A5E43"/>
    <w:rsid w:val="000A5E6D"/>
    <w:rsid w:val="000A6375"/>
    <w:rsid w:val="000A6444"/>
    <w:rsid w:val="000A6501"/>
    <w:rsid w:val="000A65A6"/>
    <w:rsid w:val="000A6692"/>
    <w:rsid w:val="000A66AD"/>
    <w:rsid w:val="000A672D"/>
    <w:rsid w:val="000A68CB"/>
    <w:rsid w:val="000A6AF0"/>
    <w:rsid w:val="000A6CD9"/>
    <w:rsid w:val="000A6CEF"/>
    <w:rsid w:val="000A6D49"/>
    <w:rsid w:val="000A6FC8"/>
    <w:rsid w:val="000A700E"/>
    <w:rsid w:val="000A7160"/>
    <w:rsid w:val="000A7171"/>
    <w:rsid w:val="000A7272"/>
    <w:rsid w:val="000A747B"/>
    <w:rsid w:val="000A75A4"/>
    <w:rsid w:val="000A76B7"/>
    <w:rsid w:val="000A776C"/>
    <w:rsid w:val="000A7823"/>
    <w:rsid w:val="000A7986"/>
    <w:rsid w:val="000A7B9A"/>
    <w:rsid w:val="000A7BC2"/>
    <w:rsid w:val="000A7C27"/>
    <w:rsid w:val="000A7D02"/>
    <w:rsid w:val="000A7DCF"/>
    <w:rsid w:val="000A7E07"/>
    <w:rsid w:val="000A7EE8"/>
    <w:rsid w:val="000A7F8D"/>
    <w:rsid w:val="000B0011"/>
    <w:rsid w:val="000B0032"/>
    <w:rsid w:val="000B00DE"/>
    <w:rsid w:val="000B0298"/>
    <w:rsid w:val="000B0ADB"/>
    <w:rsid w:val="000B0D64"/>
    <w:rsid w:val="000B1147"/>
    <w:rsid w:val="000B1194"/>
    <w:rsid w:val="000B12C0"/>
    <w:rsid w:val="000B133E"/>
    <w:rsid w:val="000B1502"/>
    <w:rsid w:val="000B15B9"/>
    <w:rsid w:val="000B164E"/>
    <w:rsid w:val="000B1A41"/>
    <w:rsid w:val="000B1D14"/>
    <w:rsid w:val="000B1DE4"/>
    <w:rsid w:val="000B1E6A"/>
    <w:rsid w:val="000B2023"/>
    <w:rsid w:val="000B2079"/>
    <w:rsid w:val="000B20F0"/>
    <w:rsid w:val="000B22AA"/>
    <w:rsid w:val="000B255D"/>
    <w:rsid w:val="000B25D2"/>
    <w:rsid w:val="000B2634"/>
    <w:rsid w:val="000B27B4"/>
    <w:rsid w:val="000B2C35"/>
    <w:rsid w:val="000B2C6F"/>
    <w:rsid w:val="000B2C84"/>
    <w:rsid w:val="000B2CBD"/>
    <w:rsid w:val="000B2F31"/>
    <w:rsid w:val="000B2F76"/>
    <w:rsid w:val="000B30BA"/>
    <w:rsid w:val="000B317B"/>
    <w:rsid w:val="000B3359"/>
    <w:rsid w:val="000B3368"/>
    <w:rsid w:val="000B366F"/>
    <w:rsid w:val="000B3793"/>
    <w:rsid w:val="000B38E8"/>
    <w:rsid w:val="000B39A4"/>
    <w:rsid w:val="000B3A02"/>
    <w:rsid w:val="000B3AE6"/>
    <w:rsid w:val="000B3BEC"/>
    <w:rsid w:val="000B3C38"/>
    <w:rsid w:val="000B3C6E"/>
    <w:rsid w:val="000B3DC3"/>
    <w:rsid w:val="000B3E1C"/>
    <w:rsid w:val="000B3EAE"/>
    <w:rsid w:val="000B3FD4"/>
    <w:rsid w:val="000B401A"/>
    <w:rsid w:val="000B4039"/>
    <w:rsid w:val="000B415A"/>
    <w:rsid w:val="000B42CB"/>
    <w:rsid w:val="000B439E"/>
    <w:rsid w:val="000B4422"/>
    <w:rsid w:val="000B446C"/>
    <w:rsid w:val="000B44AB"/>
    <w:rsid w:val="000B451F"/>
    <w:rsid w:val="000B4726"/>
    <w:rsid w:val="000B480C"/>
    <w:rsid w:val="000B4A82"/>
    <w:rsid w:val="000B4B24"/>
    <w:rsid w:val="000B4D03"/>
    <w:rsid w:val="000B4D91"/>
    <w:rsid w:val="000B4F12"/>
    <w:rsid w:val="000B4F8F"/>
    <w:rsid w:val="000B5013"/>
    <w:rsid w:val="000B5147"/>
    <w:rsid w:val="000B519A"/>
    <w:rsid w:val="000B5354"/>
    <w:rsid w:val="000B5357"/>
    <w:rsid w:val="000B5373"/>
    <w:rsid w:val="000B53E8"/>
    <w:rsid w:val="000B59AE"/>
    <w:rsid w:val="000B5BBC"/>
    <w:rsid w:val="000B5D57"/>
    <w:rsid w:val="000B6077"/>
    <w:rsid w:val="000B6369"/>
    <w:rsid w:val="000B67EF"/>
    <w:rsid w:val="000B6992"/>
    <w:rsid w:val="000B6A76"/>
    <w:rsid w:val="000B6BA3"/>
    <w:rsid w:val="000B709E"/>
    <w:rsid w:val="000B727F"/>
    <w:rsid w:val="000B72D0"/>
    <w:rsid w:val="000B73BC"/>
    <w:rsid w:val="000B73F1"/>
    <w:rsid w:val="000B7521"/>
    <w:rsid w:val="000B76BC"/>
    <w:rsid w:val="000B7AA0"/>
    <w:rsid w:val="000B7AC2"/>
    <w:rsid w:val="000B7D9E"/>
    <w:rsid w:val="000C0039"/>
    <w:rsid w:val="000C0052"/>
    <w:rsid w:val="000C021B"/>
    <w:rsid w:val="000C0260"/>
    <w:rsid w:val="000C03B5"/>
    <w:rsid w:val="000C048B"/>
    <w:rsid w:val="000C0800"/>
    <w:rsid w:val="000C0911"/>
    <w:rsid w:val="000C0980"/>
    <w:rsid w:val="000C0B2E"/>
    <w:rsid w:val="000C0BF2"/>
    <w:rsid w:val="000C0E42"/>
    <w:rsid w:val="000C0FFE"/>
    <w:rsid w:val="000C119B"/>
    <w:rsid w:val="000C122C"/>
    <w:rsid w:val="000C1315"/>
    <w:rsid w:val="000C17C4"/>
    <w:rsid w:val="000C19BF"/>
    <w:rsid w:val="000C1B67"/>
    <w:rsid w:val="000C1BDA"/>
    <w:rsid w:val="000C1C40"/>
    <w:rsid w:val="000C1DCA"/>
    <w:rsid w:val="000C1EB3"/>
    <w:rsid w:val="000C1ED3"/>
    <w:rsid w:val="000C202C"/>
    <w:rsid w:val="000C22CB"/>
    <w:rsid w:val="000C22F7"/>
    <w:rsid w:val="000C243E"/>
    <w:rsid w:val="000C25C5"/>
    <w:rsid w:val="000C2612"/>
    <w:rsid w:val="000C28A9"/>
    <w:rsid w:val="000C2A9B"/>
    <w:rsid w:val="000C2AE3"/>
    <w:rsid w:val="000C2B7F"/>
    <w:rsid w:val="000C2C47"/>
    <w:rsid w:val="000C2F7C"/>
    <w:rsid w:val="000C2FB2"/>
    <w:rsid w:val="000C2FCE"/>
    <w:rsid w:val="000C3077"/>
    <w:rsid w:val="000C30A8"/>
    <w:rsid w:val="000C3167"/>
    <w:rsid w:val="000C3338"/>
    <w:rsid w:val="000C3406"/>
    <w:rsid w:val="000C3429"/>
    <w:rsid w:val="000C386B"/>
    <w:rsid w:val="000C3A33"/>
    <w:rsid w:val="000C3B51"/>
    <w:rsid w:val="000C3D43"/>
    <w:rsid w:val="000C3E24"/>
    <w:rsid w:val="000C4012"/>
    <w:rsid w:val="000C4122"/>
    <w:rsid w:val="000C4383"/>
    <w:rsid w:val="000C4A0B"/>
    <w:rsid w:val="000C4E34"/>
    <w:rsid w:val="000C51CB"/>
    <w:rsid w:val="000C5348"/>
    <w:rsid w:val="000C5377"/>
    <w:rsid w:val="000C5396"/>
    <w:rsid w:val="000C55AE"/>
    <w:rsid w:val="000C5640"/>
    <w:rsid w:val="000C5A1E"/>
    <w:rsid w:val="000C5C2B"/>
    <w:rsid w:val="000C5D8A"/>
    <w:rsid w:val="000C5DB8"/>
    <w:rsid w:val="000C5E79"/>
    <w:rsid w:val="000C5F83"/>
    <w:rsid w:val="000C604F"/>
    <w:rsid w:val="000C605C"/>
    <w:rsid w:val="000C616F"/>
    <w:rsid w:val="000C6197"/>
    <w:rsid w:val="000C6562"/>
    <w:rsid w:val="000C6699"/>
    <w:rsid w:val="000C66E9"/>
    <w:rsid w:val="000C680D"/>
    <w:rsid w:val="000C6837"/>
    <w:rsid w:val="000C6A84"/>
    <w:rsid w:val="000C6CD0"/>
    <w:rsid w:val="000C6D52"/>
    <w:rsid w:val="000C6F82"/>
    <w:rsid w:val="000C705D"/>
    <w:rsid w:val="000C7215"/>
    <w:rsid w:val="000C73BB"/>
    <w:rsid w:val="000C7568"/>
    <w:rsid w:val="000C75BE"/>
    <w:rsid w:val="000C77FF"/>
    <w:rsid w:val="000C781D"/>
    <w:rsid w:val="000C7821"/>
    <w:rsid w:val="000C787F"/>
    <w:rsid w:val="000C78C3"/>
    <w:rsid w:val="000C78E4"/>
    <w:rsid w:val="000C7985"/>
    <w:rsid w:val="000C7B2A"/>
    <w:rsid w:val="000C7BAA"/>
    <w:rsid w:val="000D02B3"/>
    <w:rsid w:val="000D0531"/>
    <w:rsid w:val="000D0556"/>
    <w:rsid w:val="000D0A3E"/>
    <w:rsid w:val="000D0A76"/>
    <w:rsid w:val="000D0ADF"/>
    <w:rsid w:val="000D0BA4"/>
    <w:rsid w:val="000D0C3B"/>
    <w:rsid w:val="000D0C3E"/>
    <w:rsid w:val="000D0F05"/>
    <w:rsid w:val="000D1159"/>
    <w:rsid w:val="000D1223"/>
    <w:rsid w:val="000D1596"/>
    <w:rsid w:val="000D1604"/>
    <w:rsid w:val="000D1993"/>
    <w:rsid w:val="000D1B59"/>
    <w:rsid w:val="000D1D80"/>
    <w:rsid w:val="000D1EE3"/>
    <w:rsid w:val="000D2074"/>
    <w:rsid w:val="000D20C5"/>
    <w:rsid w:val="000D24A2"/>
    <w:rsid w:val="000D2532"/>
    <w:rsid w:val="000D257D"/>
    <w:rsid w:val="000D2740"/>
    <w:rsid w:val="000D2756"/>
    <w:rsid w:val="000D28B6"/>
    <w:rsid w:val="000D29B8"/>
    <w:rsid w:val="000D2B57"/>
    <w:rsid w:val="000D2C31"/>
    <w:rsid w:val="000D2C94"/>
    <w:rsid w:val="000D2CAA"/>
    <w:rsid w:val="000D2E6B"/>
    <w:rsid w:val="000D2FEF"/>
    <w:rsid w:val="000D307A"/>
    <w:rsid w:val="000D311F"/>
    <w:rsid w:val="000D3323"/>
    <w:rsid w:val="000D3418"/>
    <w:rsid w:val="000D3578"/>
    <w:rsid w:val="000D37AC"/>
    <w:rsid w:val="000D37AE"/>
    <w:rsid w:val="000D3BF2"/>
    <w:rsid w:val="000D3E5D"/>
    <w:rsid w:val="000D3F5D"/>
    <w:rsid w:val="000D426C"/>
    <w:rsid w:val="000D437D"/>
    <w:rsid w:val="000D4437"/>
    <w:rsid w:val="000D4541"/>
    <w:rsid w:val="000D4577"/>
    <w:rsid w:val="000D46FD"/>
    <w:rsid w:val="000D47A5"/>
    <w:rsid w:val="000D4AB6"/>
    <w:rsid w:val="000D4B24"/>
    <w:rsid w:val="000D4C22"/>
    <w:rsid w:val="000D4CE0"/>
    <w:rsid w:val="000D4DEE"/>
    <w:rsid w:val="000D51D9"/>
    <w:rsid w:val="000D59D4"/>
    <w:rsid w:val="000D5B01"/>
    <w:rsid w:val="000D5ECD"/>
    <w:rsid w:val="000D6337"/>
    <w:rsid w:val="000D6368"/>
    <w:rsid w:val="000D655C"/>
    <w:rsid w:val="000D65DC"/>
    <w:rsid w:val="000D65F9"/>
    <w:rsid w:val="000D692F"/>
    <w:rsid w:val="000D6A09"/>
    <w:rsid w:val="000D6D5B"/>
    <w:rsid w:val="000D70E2"/>
    <w:rsid w:val="000D721C"/>
    <w:rsid w:val="000D749F"/>
    <w:rsid w:val="000D75B4"/>
    <w:rsid w:val="000D75B5"/>
    <w:rsid w:val="000D7815"/>
    <w:rsid w:val="000D7AE8"/>
    <w:rsid w:val="000D7BE0"/>
    <w:rsid w:val="000D7C84"/>
    <w:rsid w:val="000D7CA4"/>
    <w:rsid w:val="000E0151"/>
    <w:rsid w:val="000E0311"/>
    <w:rsid w:val="000E033E"/>
    <w:rsid w:val="000E0373"/>
    <w:rsid w:val="000E085E"/>
    <w:rsid w:val="000E08EB"/>
    <w:rsid w:val="000E0A55"/>
    <w:rsid w:val="000E0AF4"/>
    <w:rsid w:val="000E0B79"/>
    <w:rsid w:val="000E0C97"/>
    <w:rsid w:val="000E0C9E"/>
    <w:rsid w:val="000E0E0C"/>
    <w:rsid w:val="000E0E64"/>
    <w:rsid w:val="000E1408"/>
    <w:rsid w:val="000E14A2"/>
    <w:rsid w:val="000E14EC"/>
    <w:rsid w:val="000E1751"/>
    <w:rsid w:val="000E1914"/>
    <w:rsid w:val="000E19C2"/>
    <w:rsid w:val="000E1E02"/>
    <w:rsid w:val="000E1EA3"/>
    <w:rsid w:val="000E20B9"/>
    <w:rsid w:val="000E20F8"/>
    <w:rsid w:val="000E20FC"/>
    <w:rsid w:val="000E2323"/>
    <w:rsid w:val="000E241C"/>
    <w:rsid w:val="000E24A2"/>
    <w:rsid w:val="000E2504"/>
    <w:rsid w:val="000E2CCF"/>
    <w:rsid w:val="000E2F57"/>
    <w:rsid w:val="000E31A1"/>
    <w:rsid w:val="000E31C4"/>
    <w:rsid w:val="000E3257"/>
    <w:rsid w:val="000E3557"/>
    <w:rsid w:val="000E364A"/>
    <w:rsid w:val="000E40B8"/>
    <w:rsid w:val="000E40E4"/>
    <w:rsid w:val="000E425A"/>
    <w:rsid w:val="000E4288"/>
    <w:rsid w:val="000E43FA"/>
    <w:rsid w:val="000E4747"/>
    <w:rsid w:val="000E4805"/>
    <w:rsid w:val="000E4863"/>
    <w:rsid w:val="000E48D7"/>
    <w:rsid w:val="000E48DF"/>
    <w:rsid w:val="000E49A7"/>
    <w:rsid w:val="000E4CFA"/>
    <w:rsid w:val="000E4DE4"/>
    <w:rsid w:val="000E4E31"/>
    <w:rsid w:val="000E57BD"/>
    <w:rsid w:val="000E587A"/>
    <w:rsid w:val="000E58E2"/>
    <w:rsid w:val="000E5CBE"/>
    <w:rsid w:val="000E5E67"/>
    <w:rsid w:val="000E60B3"/>
    <w:rsid w:val="000E620E"/>
    <w:rsid w:val="000E62A8"/>
    <w:rsid w:val="000E62C6"/>
    <w:rsid w:val="000E64C9"/>
    <w:rsid w:val="000E676B"/>
    <w:rsid w:val="000E6819"/>
    <w:rsid w:val="000E6886"/>
    <w:rsid w:val="000E6CDB"/>
    <w:rsid w:val="000E7044"/>
    <w:rsid w:val="000E725C"/>
    <w:rsid w:val="000E72C4"/>
    <w:rsid w:val="000E7413"/>
    <w:rsid w:val="000E768F"/>
    <w:rsid w:val="000E78C4"/>
    <w:rsid w:val="000E7A02"/>
    <w:rsid w:val="000E7A71"/>
    <w:rsid w:val="000E7BE4"/>
    <w:rsid w:val="000E7F3E"/>
    <w:rsid w:val="000F00D3"/>
    <w:rsid w:val="000F09C3"/>
    <w:rsid w:val="000F0A2F"/>
    <w:rsid w:val="000F0A72"/>
    <w:rsid w:val="000F0EBA"/>
    <w:rsid w:val="000F10EE"/>
    <w:rsid w:val="000F1141"/>
    <w:rsid w:val="000F12DE"/>
    <w:rsid w:val="000F1502"/>
    <w:rsid w:val="000F155C"/>
    <w:rsid w:val="000F17C9"/>
    <w:rsid w:val="000F1876"/>
    <w:rsid w:val="000F1B05"/>
    <w:rsid w:val="000F1B7A"/>
    <w:rsid w:val="000F1C84"/>
    <w:rsid w:val="000F1CB3"/>
    <w:rsid w:val="000F1D51"/>
    <w:rsid w:val="000F1FF6"/>
    <w:rsid w:val="000F223C"/>
    <w:rsid w:val="000F2750"/>
    <w:rsid w:val="000F275F"/>
    <w:rsid w:val="000F27ED"/>
    <w:rsid w:val="000F29F5"/>
    <w:rsid w:val="000F2B63"/>
    <w:rsid w:val="000F3075"/>
    <w:rsid w:val="000F307B"/>
    <w:rsid w:val="000F30B5"/>
    <w:rsid w:val="000F3493"/>
    <w:rsid w:val="000F34B9"/>
    <w:rsid w:val="000F369D"/>
    <w:rsid w:val="000F36BB"/>
    <w:rsid w:val="000F37FB"/>
    <w:rsid w:val="000F3884"/>
    <w:rsid w:val="000F3893"/>
    <w:rsid w:val="000F3AD0"/>
    <w:rsid w:val="000F3CDD"/>
    <w:rsid w:val="000F3CE7"/>
    <w:rsid w:val="000F3D41"/>
    <w:rsid w:val="000F3D92"/>
    <w:rsid w:val="000F3DE5"/>
    <w:rsid w:val="000F43AA"/>
    <w:rsid w:val="000F43DA"/>
    <w:rsid w:val="000F446E"/>
    <w:rsid w:val="000F44C3"/>
    <w:rsid w:val="000F4500"/>
    <w:rsid w:val="000F4A26"/>
    <w:rsid w:val="000F4B2C"/>
    <w:rsid w:val="000F4CA6"/>
    <w:rsid w:val="000F4D5A"/>
    <w:rsid w:val="000F4E29"/>
    <w:rsid w:val="000F4FFD"/>
    <w:rsid w:val="000F5021"/>
    <w:rsid w:val="000F5143"/>
    <w:rsid w:val="000F5198"/>
    <w:rsid w:val="000F51B0"/>
    <w:rsid w:val="000F531D"/>
    <w:rsid w:val="000F5613"/>
    <w:rsid w:val="000F5AAC"/>
    <w:rsid w:val="000F5D25"/>
    <w:rsid w:val="000F5E93"/>
    <w:rsid w:val="000F5EFB"/>
    <w:rsid w:val="000F5F54"/>
    <w:rsid w:val="000F6082"/>
    <w:rsid w:val="000F63F0"/>
    <w:rsid w:val="000F649D"/>
    <w:rsid w:val="000F6802"/>
    <w:rsid w:val="000F6945"/>
    <w:rsid w:val="000F6CC5"/>
    <w:rsid w:val="000F6EF0"/>
    <w:rsid w:val="000F7284"/>
    <w:rsid w:val="000F7379"/>
    <w:rsid w:val="000F73D4"/>
    <w:rsid w:val="000F74D0"/>
    <w:rsid w:val="000F760D"/>
    <w:rsid w:val="000F7782"/>
    <w:rsid w:val="000F7A7E"/>
    <w:rsid w:val="000F7B05"/>
    <w:rsid w:val="000F7D2A"/>
    <w:rsid w:val="000F7D82"/>
    <w:rsid w:val="000F7E90"/>
    <w:rsid w:val="00100223"/>
    <w:rsid w:val="001003A8"/>
    <w:rsid w:val="001003E1"/>
    <w:rsid w:val="001005D5"/>
    <w:rsid w:val="001005FD"/>
    <w:rsid w:val="001006EC"/>
    <w:rsid w:val="001006EF"/>
    <w:rsid w:val="00100BB1"/>
    <w:rsid w:val="00100C5A"/>
    <w:rsid w:val="00100E2A"/>
    <w:rsid w:val="00100F0C"/>
    <w:rsid w:val="00101228"/>
    <w:rsid w:val="00101489"/>
    <w:rsid w:val="00101508"/>
    <w:rsid w:val="001015F0"/>
    <w:rsid w:val="001016FF"/>
    <w:rsid w:val="00101726"/>
    <w:rsid w:val="0010172D"/>
    <w:rsid w:val="0010175C"/>
    <w:rsid w:val="0010181B"/>
    <w:rsid w:val="00101A1D"/>
    <w:rsid w:val="00101A8F"/>
    <w:rsid w:val="00101C16"/>
    <w:rsid w:val="00101CC2"/>
    <w:rsid w:val="00101D07"/>
    <w:rsid w:val="00101E3C"/>
    <w:rsid w:val="00101F19"/>
    <w:rsid w:val="00101F73"/>
    <w:rsid w:val="00102248"/>
    <w:rsid w:val="00102269"/>
    <w:rsid w:val="001022E3"/>
    <w:rsid w:val="001023D6"/>
    <w:rsid w:val="0010246E"/>
    <w:rsid w:val="00102555"/>
    <w:rsid w:val="0010255F"/>
    <w:rsid w:val="001025B7"/>
    <w:rsid w:val="00102845"/>
    <w:rsid w:val="001029EE"/>
    <w:rsid w:val="001029FD"/>
    <w:rsid w:val="00102A37"/>
    <w:rsid w:val="00102A69"/>
    <w:rsid w:val="00102EE5"/>
    <w:rsid w:val="001030C2"/>
    <w:rsid w:val="001030F6"/>
    <w:rsid w:val="0010311D"/>
    <w:rsid w:val="0010321E"/>
    <w:rsid w:val="001033CF"/>
    <w:rsid w:val="001034A7"/>
    <w:rsid w:val="001035B3"/>
    <w:rsid w:val="0010388E"/>
    <w:rsid w:val="00103921"/>
    <w:rsid w:val="001039D4"/>
    <w:rsid w:val="00103DB1"/>
    <w:rsid w:val="00103E9C"/>
    <w:rsid w:val="00103F8A"/>
    <w:rsid w:val="001040B5"/>
    <w:rsid w:val="001047B8"/>
    <w:rsid w:val="0010495D"/>
    <w:rsid w:val="00104963"/>
    <w:rsid w:val="00104993"/>
    <w:rsid w:val="00104A51"/>
    <w:rsid w:val="00104B39"/>
    <w:rsid w:val="00104C30"/>
    <w:rsid w:val="00104EFF"/>
    <w:rsid w:val="00105054"/>
    <w:rsid w:val="0010507B"/>
    <w:rsid w:val="001052CC"/>
    <w:rsid w:val="00105310"/>
    <w:rsid w:val="00105542"/>
    <w:rsid w:val="001055A7"/>
    <w:rsid w:val="001055CD"/>
    <w:rsid w:val="001056C0"/>
    <w:rsid w:val="001058F6"/>
    <w:rsid w:val="00105A4C"/>
    <w:rsid w:val="00105ACC"/>
    <w:rsid w:val="00105CD2"/>
    <w:rsid w:val="00105CDF"/>
    <w:rsid w:val="00105D21"/>
    <w:rsid w:val="00105FB3"/>
    <w:rsid w:val="001065F5"/>
    <w:rsid w:val="001066A1"/>
    <w:rsid w:val="00106D29"/>
    <w:rsid w:val="00106F98"/>
    <w:rsid w:val="00107048"/>
    <w:rsid w:val="001070C1"/>
    <w:rsid w:val="001070C4"/>
    <w:rsid w:val="001070C7"/>
    <w:rsid w:val="00107167"/>
    <w:rsid w:val="001073B4"/>
    <w:rsid w:val="00107753"/>
    <w:rsid w:val="0010782A"/>
    <w:rsid w:val="001078A5"/>
    <w:rsid w:val="001078B2"/>
    <w:rsid w:val="0010794A"/>
    <w:rsid w:val="001079DA"/>
    <w:rsid w:val="00107A9D"/>
    <w:rsid w:val="0011026C"/>
    <w:rsid w:val="00110458"/>
    <w:rsid w:val="0011069D"/>
    <w:rsid w:val="001107D0"/>
    <w:rsid w:val="00110CD6"/>
    <w:rsid w:val="00110F83"/>
    <w:rsid w:val="0011136B"/>
    <w:rsid w:val="00111643"/>
    <w:rsid w:val="001119FE"/>
    <w:rsid w:val="00111C3A"/>
    <w:rsid w:val="001120A4"/>
    <w:rsid w:val="001122AA"/>
    <w:rsid w:val="0011238E"/>
    <w:rsid w:val="001123B7"/>
    <w:rsid w:val="00112533"/>
    <w:rsid w:val="0011253B"/>
    <w:rsid w:val="001125C5"/>
    <w:rsid w:val="00112988"/>
    <w:rsid w:val="00112BB8"/>
    <w:rsid w:val="00112F9F"/>
    <w:rsid w:val="0011301B"/>
    <w:rsid w:val="00113248"/>
    <w:rsid w:val="00113263"/>
    <w:rsid w:val="001132B2"/>
    <w:rsid w:val="001134DD"/>
    <w:rsid w:val="00113754"/>
    <w:rsid w:val="001139F5"/>
    <w:rsid w:val="00113A7B"/>
    <w:rsid w:val="00113E4E"/>
    <w:rsid w:val="00113E7E"/>
    <w:rsid w:val="00114220"/>
    <w:rsid w:val="00114384"/>
    <w:rsid w:val="00114494"/>
    <w:rsid w:val="001144BB"/>
    <w:rsid w:val="00114573"/>
    <w:rsid w:val="00114634"/>
    <w:rsid w:val="001146A6"/>
    <w:rsid w:val="00114A95"/>
    <w:rsid w:val="00114C54"/>
    <w:rsid w:val="00114C70"/>
    <w:rsid w:val="00114C9F"/>
    <w:rsid w:val="0011516D"/>
    <w:rsid w:val="001151C4"/>
    <w:rsid w:val="0011523A"/>
    <w:rsid w:val="0011539A"/>
    <w:rsid w:val="0011545F"/>
    <w:rsid w:val="0011567C"/>
    <w:rsid w:val="00115859"/>
    <w:rsid w:val="001158AF"/>
    <w:rsid w:val="001158B4"/>
    <w:rsid w:val="00115ABA"/>
    <w:rsid w:val="00115B56"/>
    <w:rsid w:val="00115B96"/>
    <w:rsid w:val="00115DA8"/>
    <w:rsid w:val="00115E7B"/>
    <w:rsid w:val="00115FBC"/>
    <w:rsid w:val="00116104"/>
    <w:rsid w:val="0011660C"/>
    <w:rsid w:val="00116826"/>
    <w:rsid w:val="001169D3"/>
    <w:rsid w:val="00116D20"/>
    <w:rsid w:val="00116F89"/>
    <w:rsid w:val="00117330"/>
    <w:rsid w:val="001175CA"/>
    <w:rsid w:val="00117753"/>
    <w:rsid w:val="00117786"/>
    <w:rsid w:val="00117AB1"/>
    <w:rsid w:val="00117AC4"/>
    <w:rsid w:val="00117DE2"/>
    <w:rsid w:val="00117F9B"/>
    <w:rsid w:val="00117FB3"/>
    <w:rsid w:val="00120159"/>
    <w:rsid w:val="0012036A"/>
    <w:rsid w:val="001207B5"/>
    <w:rsid w:val="00120809"/>
    <w:rsid w:val="001208FC"/>
    <w:rsid w:val="001209BF"/>
    <w:rsid w:val="00120B39"/>
    <w:rsid w:val="00120CA1"/>
    <w:rsid w:val="00121293"/>
    <w:rsid w:val="001213A8"/>
    <w:rsid w:val="00121530"/>
    <w:rsid w:val="001218FD"/>
    <w:rsid w:val="00121944"/>
    <w:rsid w:val="00121A13"/>
    <w:rsid w:val="00121B37"/>
    <w:rsid w:val="00121D2D"/>
    <w:rsid w:val="00121D34"/>
    <w:rsid w:val="00121DF6"/>
    <w:rsid w:val="001225BF"/>
    <w:rsid w:val="001227E9"/>
    <w:rsid w:val="00122882"/>
    <w:rsid w:val="00122CE7"/>
    <w:rsid w:val="00122D8E"/>
    <w:rsid w:val="00122F3B"/>
    <w:rsid w:val="0012316C"/>
    <w:rsid w:val="00123318"/>
    <w:rsid w:val="001233D6"/>
    <w:rsid w:val="0012359A"/>
    <w:rsid w:val="001235B9"/>
    <w:rsid w:val="001235DF"/>
    <w:rsid w:val="00123613"/>
    <w:rsid w:val="001237D1"/>
    <w:rsid w:val="00123839"/>
    <w:rsid w:val="001238EF"/>
    <w:rsid w:val="00123C4B"/>
    <w:rsid w:val="00123D5A"/>
    <w:rsid w:val="00123E1B"/>
    <w:rsid w:val="00123E3E"/>
    <w:rsid w:val="00123E79"/>
    <w:rsid w:val="00124011"/>
    <w:rsid w:val="00124160"/>
    <w:rsid w:val="00124174"/>
    <w:rsid w:val="001241FF"/>
    <w:rsid w:val="00124521"/>
    <w:rsid w:val="00124542"/>
    <w:rsid w:val="00124948"/>
    <w:rsid w:val="001249E1"/>
    <w:rsid w:val="001249F9"/>
    <w:rsid w:val="00124B85"/>
    <w:rsid w:val="00124EC9"/>
    <w:rsid w:val="00124F61"/>
    <w:rsid w:val="001250AC"/>
    <w:rsid w:val="001250C0"/>
    <w:rsid w:val="00125476"/>
    <w:rsid w:val="00125790"/>
    <w:rsid w:val="001258F3"/>
    <w:rsid w:val="0012595B"/>
    <w:rsid w:val="00125977"/>
    <w:rsid w:val="001259A4"/>
    <w:rsid w:val="00125CB5"/>
    <w:rsid w:val="00125DA7"/>
    <w:rsid w:val="00125E1E"/>
    <w:rsid w:val="001260D0"/>
    <w:rsid w:val="001264E4"/>
    <w:rsid w:val="001264E5"/>
    <w:rsid w:val="001264ED"/>
    <w:rsid w:val="00126550"/>
    <w:rsid w:val="0012664B"/>
    <w:rsid w:val="001266B7"/>
    <w:rsid w:val="001268A1"/>
    <w:rsid w:val="00126AF5"/>
    <w:rsid w:val="00126EFB"/>
    <w:rsid w:val="001271BC"/>
    <w:rsid w:val="001272D5"/>
    <w:rsid w:val="001273E5"/>
    <w:rsid w:val="00127611"/>
    <w:rsid w:val="00127721"/>
    <w:rsid w:val="00127D24"/>
    <w:rsid w:val="00130128"/>
    <w:rsid w:val="00130161"/>
    <w:rsid w:val="00130219"/>
    <w:rsid w:val="00130356"/>
    <w:rsid w:val="0013056F"/>
    <w:rsid w:val="001308B1"/>
    <w:rsid w:val="00130911"/>
    <w:rsid w:val="00130920"/>
    <w:rsid w:val="00130931"/>
    <w:rsid w:val="00130A1D"/>
    <w:rsid w:val="00130A5B"/>
    <w:rsid w:val="00130BEA"/>
    <w:rsid w:val="00130DE7"/>
    <w:rsid w:val="00130E0A"/>
    <w:rsid w:val="00130E8A"/>
    <w:rsid w:val="00130F28"/>
    <w:rsid w:val="00130F72"/>
    <w:rsid w:val="001310DD"/>
    <w:rsid w:val="00131753"/>
    <w:rsid w:val="001317BA"/>
    <w:rsid w:val="00131EB6"/>
    <w:rsid w:val="00131F10"/>
    <w:rsid w:val="001320BD"/>
    <w:rsid w:val="00132167"/>
    <w:rsid w:val="00132383"/>
    <w:rsid w:val="0013276B"/>
    <w:rsid w:val="001327C9"/>
    <w:rsid w:val="001329B1"/>
    <w:rsid w:val="001329EE"/>
    <w:rsid w:val="00132DC5"/>
    <w:rsid w:val="001331AB"/>
    <w:rsid w:val="001332B7"/>
    <w:rsid w:val="00133690"/>
    <w:rsid w:val="00133BF1"/>
    <w:rsid w:val="00133C76"/>
    <w:rsid w:val="00133FAB"/>
    <w:rsid w:val="0013414F"/>
    <w:rsid w:val="0013425B"/>
    <w:rsid w:val="001343E9"/>
    <w:rsid w:val="001346D6"/>
    <w:rsid w:val="001348CA"/>
    <w:rsid w:val="00134AA9"/>
    <w:rsid w:val="00134AAC"/>
    <w:rsid w:val="00134D60"/>
    <w:rsid w:val="00134F4A"/>
    <w:rsid w:val="00134F5B"/>
    <w:rsid w:val="00135486"/>
    <w:rsid w:val="001354A9"/>
    <w:rsid w:val="00135532"/>
    <w:rsid w:val="001356FA"/>
    <w:rsid w:val="001357E8"/>
    <w:rsid w:val="00135809"/>
    <w:rsid w:val="001359A8"/>
    <w:rsid w:val="00135C46"/>
    <w:rsid w:val="00135CC2"/>
    <w:rsid w:val="00135D33"/>
    <w:rsid w:val="00135E7B"/>
    <w:rsid w:val="0013604B"/>
    <w:rsid w:val="001360F5"/>
    <w:rsid w:val="00136141"/>
    <w:rsid w:val="001361C3"/>
    <w:rsid w:val="001361D1"/>
    <w:rsid w:val="00136207"/>
    <w:rsid w:val="001362EA"/>
    <w:rsid w:val="001363D9"/>
    <w:rsid w:val="001364CA"/>
    <w:rsid w:val="001367E5"/>
    <w:rsid w:val="001368CE"/>
    <w:rsid w:val="00136A23"/>
    <w:rsid w:val="00136A26"/>
    <w:rsid w:val="00136BC7"/>
    <w:rsid w:val="00136EF7"/>
    <w:rsid w:val="00137042"/>
    <w:rsid w:val="00137217"/>
    <w:rsid w:val="0013748A"/>
    <w:rsid w:val="00137658"/>
    <w:rsid w:val="00137F92"/>
    <w:rsid w:val="001400B6"/>
    <w:rsid w:val="00140244"/>
    <w:rsid w:val="00140283"/>
    <w:rsid w:val="00140699"/>
    <w:rsid w:val="00140736"/>
    <w:rsid w:val="00140749"/>
    <w:rsid w:val="00140757"/>
    <w:rsid w:val="001408D1"/>
    <w:rsid w:val="0014091D"/>
    <w:rsid w:val="00140A02"/>
    <w:rsid w:val="00140B7B"/>
    <w:rsid w:val="00140D37"/>
    <w:rsid w:val="00140E42"/>
    <w:rsid w:val="00140E6E"/>
    <w:rsid w:val="00140E71"/>
    <w:rsid w:val="0014113B"/>
    <w:rsid w:val="001411BD"/>
    <w:rsid w:val="00141230"/>
    <w:rsid w:val="001412A9"/>
    <w:rsid w:val="00141512"/>
    <w:rsid w:val="00141643"/>
    <w:rsid w:val="00141797"/>
    <w:rsid w:val="0014195E"/>
    <w:rsid w:val="00141992"/>
    <w:rsid w:val="00141ACB"/>
    <w:rsid w:val="00141DF8"/>
    <w:rsid w:val="00142165"/>
    <w:rsid w:val="001427C1"/>
    <w:rsid w:val="00142CD1"/>
    <w:rsid w:val="00142E61"/>
    <w:rsid w:val="00143036"/>
    <w:rsid w:val="00143258"/>
    <w:rsid w:val="00143279"/>
    <w:rsid w:val="00143327"/>
    <w:rsid w:val="00143451"/>
    <w:rsid w:val="00143717"/>
    <w:rsid w:val="001439D5"/>
    <w:rsid w:val="00143C3A"/>
    <w:rsid w:val="00143CC0"/>
    <w:rsid w:val="00143F12"/>
    <w:rsid w:val="0014400B"/>
    <w:rsid w:val="001441B0"/>
    <w:rsid w:val="001441B6"/>
    <w:rsid w:val="0014423C"/>
    <w:rsid w:val="001442D5"/>
    <w:rsid w:val="00144300"/>
    <w:rsid w:val="001444D3"/>
    <w:rsid w:val="00144532"/>
    <w:rsid w:val="0014455C"/>
    <w:rsid w:val="0014460C"/>
    <w:rsid w:val="0014476F"/>
    <w:rsid w:val="00144961"/>
    <w:rsid w:val="00144981"/>
    <w:rsid w:val="001449E8"/>
    <w:rsid w:val="00144A45"/>
    <w:rsid w:val="00144A5E"/>
    <w:rsid w:val="00144B32"/>
    <w:rsid w:val="00144B9E"/>
    <w:rsid w:val="00144C41"/>
    <w:rsid w:val="00144C96"/>
    <w:rsid w:val="00144CCD"/>
    <w:rsid w:val="00144DFD"/>
    <w:rsid w:val="00144EA8"/>
    <w:rsid w:val="00144FAE"/>
    <w:rsid w:val="0014528A"/>
    <w:rsid w:val="0014533F"/>
    <w:rsid w:val="001453EF"/>
    <w:rsid w:val="00145788"/>
    <w:rsid w:val="00145B7D"/>
    <w:rsid w:val="00145DBC"/>
    <w:rsid w:val="00145EE0"/>
    <w:rsid w:val="00145FE2"/>
    <w:rsid w:val="001463E5"/>
    <w:rsid w:val="00146794"/>
    <w:rsid w:val="00146807"/>
    <w:rsid w:val="00146934"/>
    <w:rsid w:val="00146A71"/>
    <w:rsid w:val="00146F79"/>
    <w:rsid w:val="0014703E"/>
    <w:rsid w:val="0014713C"/>
    <w:rsid w:val="0014722E"/>
    <w:rsid w:val="001472BD"/>
    <w:rsid w:val="00147337"/>
    <w:rsid w:val="001473B6"/>
    <w:rsid w:val="00147555"/>
    <w:rsid w:val="001475A4"/>
    <w:rsid w:val="00147A2A"/>
    <w:rsid w:val="00147AFD"/>
    <w:rsid w:val="00147D46"/>
    <w:rsid w:val="00147D7A"/>
    <w:rsid w:val="00147ED2"/>
    <w:rsid w:val="00150079"/>
    <w:rsid w:val="00150177"/>
    <w:rsid w:val="00150801"/>
    <w:rsid w:val="00150824"/>
    <w:rsid w:val="001508B2"/>
    <w:rsid w:val="0015090F"/>
    <w:rsid w:val="00150AA6"/>
    <w:rsid w:val="00150B2F"/>
    <w:rsid w:val="00150C46"/>
    <w:rsid w:val="00150DE1"/>
    <w:rsid w:val="00150E2B"/>
    <w:rsid w:val="00150EA5"/>
    <w:rsid w:val="00151087"/>
    <w:rsid w:val="0015108C"/>
    <w:rsid w:val="001511E7"/>
    <w:rsid w:val="00151225"/>
    <w:rsid w:val="0015123D"/>
    <w:rsid w:val="001516EF"/>
    <w:rsid w:val="00151731"/>
    <w:rsid w:val="00151776"/>
    <w:rsid w:val="0015187D"/>
    <w:rsid w:val="0015188E"/>
    <w:rsid w:val="00151AA1"/>
    <w:rsid w:val="00151AAB"/>
    <w:rsid w:val="00151AD1"/>
    <w:rsid w:val="00151DB6"/>
    <w:rsid w:val="0015211E"/>
    <w:rsid w:val="00152446"/>
    <w:rsid w:val="0015254D"/>
    <w:rsid w:val="001528FD"/>
    <w:rsid w:val="001529A0"/>
    <w:rsid w:val="00152C61"/>
    <w:rsid w:val="00152E28"/>
    <w:rsid w:val="00152FD0"/>
    <w:rsid w:val="00153029"/>
    <w:rsid w:val="001530CC"/>
    <w:rsid w:val="0015318E"/>
    <w:rsid w:val="001531D7"/>
    <w:rsid w:val="0015320E"/>
    <w:rsid w:val="00153659"/>
    <w:rsid w:val="00153679"/>
    <w:rsid w:val="001536F2"/>
    <w:rsid w:val="00153A46"/>
    <w:rsid w:val="00153BB1"/>
    <w:rsid w:val="00153BE8"/>
    <w:rsid w:val="00153E21"/>
    <w:rsid w:val="00153E34"/>
    <w:rsid w:val="00154335"/>
    <w:rsid w:val="001543A2"/>
    <w:rsid w:val="00154669"/>
    <w:rsid w:val="001546E3"/>
    <w:rsid w:val="0015486F"/>
    <w:rsid w:val="00154982"/>
    <w:rsid w:val="00154C92"/>
    <w:rsid w:val="00154D91"/>
    <w:rsid w:val="00154DD8"/>
    <w:rsid w:val="00155261"/>
    <w:rsid w:val="001553C9"/>
    <w:rsid w:val="0015541B"/>
    <w:rsid w:val="001554FC"/>
    <w:rsid w:val="00155733"/>
    <w:rsid w:val="0015574B"/>
    <w:rsid w:val="00155754"/>
    <w:rsid w:val="001557E3"/>
    <w:rsid w:val="00155821"/>
    <w:rsid w:val="001559E1"/>
    <w:rsid w:val="00155B48"/>
    <w:rsid w:val="00155B7C"/>
    <w:rsid w:val="00155D7D"/>
    <w:rsid w:val="00155DBC"/>
    <w:rsid w:val="00155F00"/>
    <w:rsid w:val="001560B1"/>
    <w:rsid w:val="00156158"/>
    <w:rsid w:val="001561C5"/>
    <w:rsid w:val="00156270"/>
    <w:rsid w:val="0015636E"/>
    <w:rsid w:val="001569CB"/>
    <w:rsid w:val="00156D9A"/>
    <w:rsid w:val="00156DFA"/>
    <w:rsid w:val="00156E1A"/>
    <w:rsid w:val="00156EE7"/>
    <w:rsid w:val="00156FC9"/>
    <w:rsid w:val="0015709D"/>
    <w:rsid w:val="001570E6"/>
    <w:rsid w:val="00157443"/>
    <w:rsid w:val="00157652"/>
    <w:rsid w:val="0015767B"/>
    <w:rsid w:val="00157AD2"/>
    <w:rsid w:val="00157B6B"/>
    <w:rsid w:val="00157F85"/>
    <w:rsid w:val="001600CF"/>
    <w:rsid w:val="0016019A"/>
    <w:rsid w:val="0016019E"/>
    <w:rsid w:val="00160273"/>
    <w:rsid w:val="001603DB"/>
    <w:rsid w:val="0016041B"/>
    <w:rsid w:val="001604A1"/>
    <w:rsid w:val="001604DF"/>
    <w:rsid w:val="0016061E"/>
    <w:rsid w:val="001606DD"/>
    <w:rsid w:val="001607DF"/>
    <w:rsid w:val="00160848"/>
    <w:rsid w:val="00160A44"/>
    <w:rsid w:val="00160B7E"/>
    <w:rsid w:val="00160E26"/>
    <w:rsid w:val="00160F28"/>
    <w:rsid w:val="001615D3"/>
    <w:rsid w:val="0016160A"/>
    <w:rsid w:val="00161623"/>
    <w:rsid w:val="00161725"/>
    <w:rsid w:val="00161748"/>
    <w:rsid w:val="0016177B"/>
    <w:rsid w:val="001617CD"/>
    <w:rsid w:val="00161918"/>
    <w:rsid w:val="001619B5"/>
    <w:rsid w:val="00161C1D"/>
    <w:rsid w:val="00161D82"/>
    <w:rsid w:val="00161EC0"/>
    <w:rsid w:val="00161FE6"/>
    <w:rsid w:val="001621D9"/>
    <w:rsid w:val="001622E4"/>
    <w:rsid w:val="00162399"/>
    <w:rsid w:val="001623C1"/>
    <w:rsid w:val="00162979"/>
    <w:rsid w:val="001629BF"/>
    <w:rsid w:val="00162A4A"/>
    <w:rsid w:val="00162BB6"/>
    <w:rsid w:val="00162E40"/>
    <w:rsid w:val="00163039"/>
    <w:rsid w:val="001632C3"/>
    <w:rsid w:val="001633D8"/>
    <w:rsid w:val="00163454"/>
    <w:rsid w:val="0016355A"/>
    <w:rsid w:val="0016373E"/>
    <w:rsid w:val="001638AA"/>
    <w:rsid w:val="0016396E"/>
    <w:rsid w:val="00163E08"/>
    <w:rsid w:val="00163E2C"/>
    <w:rsid w:val="00163E60"/>
    <w:rsid w:val="00164066"/>
    <w:rsid w:val="0016437A"/>
    <w:rsid w:val="001643C1"/>
    <w:rsid w:val="00164586"/>
    <w:rsid w:val="001646E7"/>
    <w:rsid w:val="001647C8"/>
    <w:rsid w:val="0016483F"/>
    <w:rsid w:val="00164841"/>
    <w:rsid w:val="00164862"/>
    <w:rsid w:val="00164A3C"/>
    <w:rsid w:val="00164A7A"/>
    <w:rsid w:val="00164AF6"/>
    <w:rsid w:val="00164EAC"/>
    <w:rsid w:val="00164F7C"/>
    <w:rsid w:val="00164FD3"/>
    <w:rsid w:val="00165140"/>
    <w:rsid w:val="00165363"/>
    <w:rsid w:val="0016552F"/>
    <w:rsid w:val="001656EB"/>
    <w:rsid w:val="00165887"/>
    <w:rsid w:val="00165916"/>
    <w:rsid w:val="00165953"/>
    <w:rsid w:val="00165960"/>
    <w:rsid w:val="001659A8"/>
    <w:rsid w:val="00165A63"/>
    <w:rsid w:val="00165B87"/>
    <w:rsid w:val="00165CA7"/>
    <w:rsid w:val="00165CC0"/>
    <w:rsid w:val="00165DDE"/>
    <w:rsid w:val="00165E02"/>
    <w:rsid w:val="00165E41"/>
    <w:rsid w:val="001660E3"/>
    <w:rsid w:val="001663C7"/>
    <w:rsid w:val="00166491"/>
    <w:rsid w:val="00166648"/>
    <w:rsid w:val="001667FA"/>
    <w:rsid w:val="001669BC"/>
    <w:rsid w:val="00166B5B"/>
    <w:rsid w:val="00166B74"/>
    <w:rsid w:val="00166CD5"/>
    <w:rsid w:val="00166DED"/>
    <w:rsid w:val="00166F17"/>
    <w:rsid w:val="00167270"/>
    <w:rsid w:val="001673EF"/>
    <w:rsid w:val="00167429"/>
    <w:rsid w:val="001674D6"/>
    <w:rsid w:val="0016750F"/>
    <w:rsid w:val="001677B3"/>
    <w:rsid w:val="001677EA"/>
    <w:rsid w:val="0016789A"/>
    <w:rsid w:val="0016789D"/>
    <w:rsid w:val="001678F4"/>
    <w:rsid w:val="0016794E"/>
    <w:rsid w:val="001679D2"/>
    <w:rsid w:val="00167AEB"/>
    <w:rsid w:val="00167C20"/>
    <w:rsid w:val="00167D98"/>
    <w:rsid w:val="00167F23"/>
    <w:rsid w:val="0017012D"/>
    <w:rsid w:val="0017044A"/>
    <w:rsid w:val="0017093D"/>
    <w:rsid w:val="0017096F"/>
    <w:rsid w:val="00170A74"/>
    <w:rsid w:val="00170B6E"/>
    <w:rsid w:val="00170E44"/>
    <w:rsid w:val="00170EB8"/>
    <w:rsid w:val="001712E5"/>
    <w:rsid w:val="001713CF"/>
    <w:rsid w:val="001714A3"/>
    <w:rsid w:val="001715A0"/>
    <w:rsid w:val="0017173A"/>
    <w:rsid w:val="00171844"/>
    <w:rsid w:val="00171ACF"/>
    <w:rsid w:val="00171D84"/>
    <w:rsid w:val="00171DCE"/>
    <w:rsid w:val="00171E95"/>
    <w:rsid w:val="0017200C"/>
    <w:rsid w:val="0017220A"/>
    <w:rsid w:val="0017249B"/>
    <w:rsid w:val="001729DB"/>
    <w:rsid w:val="00172AB7"/>
    <w:rsid w:val="00172BB1"/>
    <w:rsid w:val="00172CA7"/>
    <w:rsid w:val="00172D3F"/>
    <w:rsid w:val="00172D73"/>
    <w:rsid w:val="00172F63"/>
    <w:rsid w:val="0017314B"/>
    <w:rsid w:val="00173223"/>
    <w:rsid w:val="001732A8"/>
    <w:rsid w:val="00173682"/>
    <w:rsid w:val="0017368A"/>
    <w:rsid w:val="00173824"/>
    <w:rsid w:val="00173C10"/>
    <w:rsid w:val="00173CAC"/>
    <w:rsid w:val="00173DBC"/>
    <w:rsid w:val="00174029"/>
    <w:rsid w:val="00174044"/>
    <w:rsid w:val="0017423D"/>
    <w:rsid w:val="00174950"/>
    <w:rsid w:val="001749E4"/>
    <w:rsid w:val="00174B3D"/>
    <w:rsid w:val="00174F9E"/>
    <w:rsid w:val="0017509E"/>
    <w:rsid w:val="001751CD"/>
    <w:rsid w:val="00175381"/>
    <w:rsid w:val="0017547C"/>
    <w:rsid w:val="00175496"/>
    <w:rsid w:val="001755E6"/>
    <w:rsid w:val="00175616"/>
    <w:rsid w:val="001758BD"/>
    <w:rsid w:val="00175D3D"/>
    <w:rsid w:val="00175F06"/>
    <w:rsid w:val="00175F5C"/>
    <w:rsid w:val="00176538"/>
    <w:rsid w:val="001766C9"/>
    <w:rsid w:val="001767D2"/>
    <w:rsid w:val="001767F6"/>
    <w:rsid w:val="00176A03"/>
    <w:rsid w:val="00176BD7"/>
    <w:rsid w:val="00176C60"/>
    <w:rsid w:val="00176CEE"/>
    <w:rsid w:val="00176D3B"/>
    <w:rsid w:val="00176DB5"/>
    <w:rsid w:val="00176DE1"/>
    <w:rsid w:val="001773B4"/>
    <w:rsid w:val="001774B8"/>
    <w:rsid w:val="001775BC"/>
    <w:rsid w:val="0017763C"/>
    <w:rsid w:val="001776D0"/>
    <w:rsid w:val="00177AFF"/>
    <w:rsid w:val="00177D72"/>
    <w:rsid w:val="00177DD8"/>
    <w:rsid w:val="001801AA"/>
    <w:rsid w:val="0018044A"/>
    <w:rsid w:val="00180508"/>
    <w:rsid w:val="00180642"/>
    <w:rsid w:val="001806BB"/>
    <w:rsid w:val="001806D8"/>
    <w:rsid w:val="001807A0"/>
    <w:rsid w:val="001807A1"/>
    <w:rsid w:val="00180820"/>
    <w:rsid w:val="001808B6"/>
    <w:rsid w:val="00180964"/>
    <w:rsid w:val="00180A19"/>
    <w:rsid w:val="00180CFD"/>
    <w:rsid w:val="001810BC"/>
    <w:rsid w:val="00181294"/>
    <w:rsid w:val="001813FF"/>
    <w:rsid w:val="001814A6"/>
    <w:rsid w:val="001814C2"/>
    <w:rsid w:val="0018156D"/>
    <w:rsid w:val="001815CB"/>
    <w:rsid w:val="00181967"/>
    <w:rsid w:val="001819CE"/>
    <w:rsid w:val="00181D80"/>
    <w:rsid w:val="00181EFA"/>
    <w:rsid w:val="001820EC"/>
    <w:rsid w:val="00182481"/>
    <w:rsid w:val="0018258F"/>
    <w:rsid w:val="001825FD"/>
    <w:rsid w:val="00182686"/>
    <w:rsid w:val="001827C5"/>
    <w:rsid w:val="00182A24"/>
    <w:rsid w:val="00182A3B"/>
    <w:rsid w:val="00182A49"/>
    <w:rsid w:val="00182DC2"/>
    <w:rsid w:val="00183255"/>
    <w:rsid w:val="001833E6"/>
    <w:rsid w:val="00183425"/>
    <w:rsid w:val="0018350F"/>
    <w:rsid w:val="00183715"/>
    <w:rsid w:val="00183729"/>
    <w:rsid w:val="001837EB"/>
    <w:rsid w:val="00183A0B"/>
    <w:rsid w:val="00183B2C"/>
    <w:rsid w:val="00183F01"/>
    <w:rsid w:val="00183FB6"/>
    <w:rsid w:val="0018411F"/>
    <w:rsid w:val="00184128"/>
    <w:rsid w:val="001841A2"/>
    <w:rsid w:val="00184532"/>
    <w:rsid w:val="0018461F"/>
    <w:rsid w:val="00184716"/>
    <w:rsid w:val="0018477D"/>
    <w:rsid w:val="001847D4"/>
    <w:rsid w:val="00184BBF"/>
    <w:rsid w:val="00184E99"/>
    <w:rsid w:val="00185054"/>
    <w:rsid w:val="00185257"/>
    <w:rsid w:val="001854FD"/>
    <w:rsid w:val="001855F7"/>
    <w:rsid w:val="00185603"/>
    <w:rsid w:val="0018570B"/>
    <w:rsid w:val="00185843"/>
    <w:rsid w:val="00185D3D"/>
    <w:rsid w:val="0018607F"/>
    <w:rsid w:val="001860A3"/>
    <w:rsid w:val="001861E5"/>
    <w:rsid w:val="00186217"/>
    <w:rsid w:val="00186302"/>
    <w:rsid w:val="00186672"/>
    <w:rsid w:val="00186904"/>
    <w:rsid w:val="00186D22"/>
    <w:rsid w:val="00186D5E"/>
    <w:rsid w:val="00186DD6"/>
    <w:rsid w:val="00186FFB"/>
    <w:rsid w:val="001870A5"/>
    <w:rsid w:val="0018723C"/>
    <w:rsid w:val="00187306"/>
    <w:rsid w:val="00187413"/>
    <w:rsid w:val="001874A5"/>
    <w:rsid w:val="0018759D"/>
    <w:rsid w:val="0018777A"/>
    <w:rsid w:val="001878B6"/>
    <w:rsid w:val="00187AF0"/>
    <w:rsid w:val="00187AF5"/>
    <w:rsid w:val="00187CAE"/>
    <w:rsid w:val="00187CBF"/>
    <w:rsid w:val="00187F6C"/>
    <w:rsid w:val="001901B5"/>
    <w:rsid w:val="001906B1"/>
    <w:rsid w:val="00190804"/>
    <w:rsid w:val="001908EC"/>
    <w:rsid w:val="00190E16"/>
    <w:rsid w:val="001910AA"/>
    <w:rsid w:val="00191145"/>
    <w:rsid w:val="001913EE"/>
    <w:rsid w:val="001918C8"/>
    <w:rsid w:val="001918DD"/>
    <w:rsid w:val="00191A2B"/>
    <w:rsid w:val="00191B78"/>
    <w:rsid w:val="00191DD9"/>
    <w:rsid w:val="00191F45"/>
    <w:rsid w:val="00191F8B"/>
    <w:rsid w:val="0019202D"/>
    <w:rsid w:val="001922F4"/>
    <w:rsid w:val="0019236F"/>
    <w:rsid w:val="00192410"/>
    <w:rsid w:val="0019278C"/>
    <w:rsid w:val="001929A4"/>
    <w:rsid w:val="001929B2"/>
    <w:rsid w:val="00192A36"/>
    <w:rsid w:val="00192A5D"/>
    <w:rsid w:val="00192B25"/>
    <w:rsid w:val="00192DDC"/>
    <w:rsid w:val="00192E9D"/>
    <w:rsid w:val="00193783"/>
    <w:rsid w:val="001939C3"/>
    <w:rsid w:val="00193C6B"/>
    <w:rsid w:val="00193E31"/>
    <w:rsid w:val="001942C6"/>
    <w:rsid w:val="00194397"/>
    <w:rsid w:val="0019441D"/>
    <w:rsid w:val="00194717"/>
    <w:rsid w:val="0019485B"/>
    <w:rsid w:val="001948CA"/>
    <w:rsid w:val="00194AE0"/>
    <w:rsid w:val="00194E64"/>
    <w:rsid w:val="00194FDB"/>
    <w:rsid w:val="001950DA"/>
    <w:rsid w:val="00195133"/>
    <w:rsid w:val="001956C7"/>
    <w:rsid w:val="00195A17"/>
    <w:rsid w:val="00195BE5"/>
    <w:rsid w:val="00195CA5"/>
    <w:rsid w:val="00195CB9"/>
    <w:rsid w:val="00195CE0"/>
    <w:rsid w:val="00195CEA"/>
    <w:rsid w:val="00195F57"/>
    <w:rsid w:val="001961CF"/>
    <w:rsid w:val="00196361"/>
    <w:rsid w:val="00196426"/>
    <w:rsid w:val="0019645D"/>
    <w:rsid w:val="00196806"/>
    <w:rsid w:val="001968C9"/>
    <w:rsid w:val="00196B23"/>
    <w:rsid w:val="00196CDE"/>
    <w:rsid w:val="00196D3B"/>
    <w:rsid w:val="00196ED8"/>
    <w:rsid w:val="00196FC3"/>
    <w:rsid w:val="00197015"/>
    <w:rsid w:val="00197410"/>
    <w:rsid w:val="00197432"/>
    <w:rsid w:val="00197439"/>
    <w:rsid w:val="00197613"/>
    <w:rsid w:val="001977B6"/>
    <w:rsid w:val="00197832"/>
    <w:rsid w:val="0019783D"/>
    <w:rsid w:val="001979E0"/>
    <w:rsid w:val="00197BA4"/>
    <w:rsid w:val="00197C97"/>
    <w:rsid w:val="00197CFF"/>
    <w:rsid w:val="00197D14"/>
    <w:rsid w:val="00197D3C"/>
    <w:rsid w:val="00197DDE"/>
    <w:rsid w:val="00197F3B"/>
    <w:rsid w:val="001A00AE"/>
    <w:rsid w:val="001A01E9"/>
    <w:rsid w:val="001A06A7"/>
    <w:rsid w:val="001A0776"/>
    <w:rsid w:val="001A0963"/>
    <w:rsid w:val="001A0BA0"/>
    <w:rsid w:val="001A0C96"/>
    <w:rsid w:val="001A0D2B"/>
    <w:rsid w:val="001A0E22"/>
    <w:rsid w:val="001A1195"/>
    <w:rsid w:val="001A11A3"/>
    <w:rsid w:val="001A14D1"/>
    <w:rsid w:val="001A14D5"/>
    <w:rsid w:val="001A1889"/>
    <w:rsid w:val="001A18D9"/>
    <w:rsid w:val="001A1BA6"/>
    <w:rsid w:val="001A1CE9"/>
    <w:rsid w:val="001A1DEF"/>
    <w:rsid w:val="001A1E76"/>
    <w:rsid w:val="001A1EBF"/>
    <w:rsid w:val="001A2330"/>
    <w:rsid w:val="001A2543"/>
    <w:rsid w:val="001A2966"/>
    <w:rsid w:val="001A2B0D"/>
    <w:rsid w:val="001A2B8E"/>
    <w:rsid w:val="001A2C76"/>
    <w:rsid w:val="001A2D03"/>
    <w:rsid w:val="001A2E55"/>
    <w:rsid w:val="001A2F9F"/>
    <w:rsid w:val="001A327C"/>
    <w:rsid w:val="001A332A"/>
    <w:rsid w:val="001A33C8"/>
    <w:rsid w:val="001A3660"/>
    <w:rsid w:val="001A3915"/>
    <w:rsid w:val="001A3999"/>
    <w:rsid w:val="001A39C0"/>
    <w:rsid w:val="001A3A51"/>
    <w:rsid w:val="001A3AF8"/>
    <w:rsid w:val="001A3B88"/>
    <w:rsid w:val="001A3C13"/>
    <w:rsid w:val="001A3C89"/>
    <w:rsid w:val="001A3CCE"/>
    <w:rsid w:val="001A3D79"/>
    <w:rsid w:val="001A3FE1"/>
    <w:rsid w:val="001A426A"/>
    <w:rsid w:val="001A433B"/>
    <w:rsid w:val="001A43B3"/>
    <w:rsid w:val="001A45C7"/>
    <w:rsid w:val="001A460F"/>
    <w:rsid w:val="001A49BF"/>
    <w:rsid w:val="001A4A64"/>
    <w:rsid w:val="001A4A88"/>
    <w:rsid w:val="001A4ABD"/>
    <w:rsid w:val="001A4BE4"/>
    <w:rsid w:val="001A4D3F"/>
    <w:rsid w:val="001A4D66"/>
    <w:rsid w:val="001A4D84"/>
    <w:rsid w:val="001A4DFF"/>
    <w:rsid w:val="001A4E65"/>
    <w:rsid w:val="001A4F65"/>
    <w:rsid w:val="001A4FFF"/>
    <w:rsid w:val="001A53AB"/>
    <w:rsid w:val="001A53D5"/>
    <w:rsid w:val="001A54CE"/>
    <w:rsid w:val="001A54FA"/>
    <w:rsid w:val="001A55DF"/>
    <w:rsid w:val="001A5920"/>
    <w:rsid w:val="001A5AC6"/>
    <w:rsid w:val="001A5D47"/>
    <w:rsid w:val="001A5E34"/>
    <w:rsid w:val="001A62FF"/>
    <w:rsid w:val="001A6332"/>
    <w:rsid w:val="001A634B"/>
    <w:rsid w:val="001A63D1"/>
    <w:rsid w:val="001A64C4"/>
    <w:rsid w:val="001A64D7"/>
    <w:rsid w:val="001A650E"/>
    <w:rsid w:val="001A67CB"/>
    <w:rsid w:val="001A68B7"/>
    <w:rsid w:val="001A6C9E"/>
    <w:rsid w:val="001A6CB6"/>
    <w:rsid w:val="001A6CF7"/>
    <w:rsid w:val="001A6E00"/>
    <w:rsid w:val="001A6E59"/>
    <w:rsid w:val="001A6E7A"/>
    <w:rsid w:val="001A6EBE"/>
    <w:rsid w:val="001A6F60"/>
    <w:rsid w:val="001A7053"/>
    <w:rsid w:val="001A709F"/>
    <w:rsid w:val="001A724A"/>
    <w:rsid w:val="001A75CC"/>
    <w:rsid w:val="001A7705"/>
    <w:rsid w:val="001A78E7"/>
    <w:rsid w:val="001A79E9"/>
    <w:rsid w:val="001A7B58"/>
    <w:rsid w:val="001B0047"/>
    <w:rsid w:val="001B014D"/>
    <w:rsid w:val="001B027E"/>
    <w:rsid w:val="001B0289"/>
    <w:rsid w:val="001B032C"/>
    <w:rsid w:val="001B046E"/>
    <w:rsid w:val="001B060A"/>
    <w:rsid w:val="001B06B6"/>
    <w:rsid w:val="001B0905"/>
    <w:rsid w:val="001B0928"/>
    <w:rsid w:val="001B09C4"/>
    <w:rsid w:val="001B0BEE"/>
    <w:rsid w:val="001B0C83"/>
    <w:rsid w:val="001B0D6E"/>
    <w:rsid w:val="001B0F70"/>
    <w:rsid w:val="001B10B0"/>
    <w:rsid w:val="001B10C4"/>
    <w:rsid w:val="001B10C5"/>
    <w:rsid w:val="001B112A"/>
    <w:rsid w:val="001B121F"/>
    <w:rsid w:val="001B14F7"/>
    <w:rsid w:val="001B1539"/>
    <w:rsid w:val="001B1680"/>
    <w:rsid w:val="001B184A"/>
    <w:rsid w:val="001B1B19"/>
    <w:rsid w:val="001B1B39"/>
    <w:rsid w:val="001B1CF0"/>
    <w:rsid w:val="001B2252"/>
    <w:rsid w:val="001B22F9"/>
    <w:rsid w:val="001B254B"/>
    <w:rsid w:val="001B281C"/>
    <w:rsid w:val="001B298A"/>
    <w:rsid w:val="001B2D30"/>
    <w:rsid w:val="001B2FCA"/>
    <w:rsid w:val="001B3050"/>
    <w:rsid w:val="001B330D"/>
    <w:rsid w:val="001B3424"/>
    <w:rsid w:val="001B362F"/>
    <w:rsid w:val="001B38AE"/>
    <w:rsid w:val="001B3959"/>
    <w:rsid w:val="001B3D62"/>
    <w:rsid w:val="001B3E12"/>
    <w:rsid w:val="001B4065"/>
    <w:rsid w:val="001B4350"/>
    <w:rsid w:val="001B44B8"/>
    <w:rsid w:val="001B44C2"/>
    <w:rsid w:val="001B452B"/>
    <w:rsid w:val="001B4881"/>
    <w:rsid w:val="001B4A1E"/>
    <w:rsid w:val="001B4AFE"/>
    <w:rsid w:val="001B4B78"/>
    <w:rsid w:val="001B4BFA"/>
    <w:rsid w:val="001B4DCB"/>
    <w:rsid w:val="001B4EBB"/>
    <w:rsid w:val="001B506C"/>
    <w:rsid w:val="001B529A"/>
    <w:rsid w:val="001B52E0"/>
    <w:rsid w:val="001B53C3"/>
    <w:rsid w:val="001B5597"/>
    <w:rsid w:val="001B56BF"/>
    <w:rsid w:val="001B576C"/>
    <w:rsid w:val="001B57E4"/>
    <w:rsid w:val="001B5872"/>
    <w:rsid w:val="001B58C2"/>
    <w:rsid w:val="001B5AA3"/>
    <w:rsid w:val="001B5AC5"/>
    <w:rsid w:val="001B5C94"/>
    <w:rsid w:val="001B5C97"/>
    <w:rsid w:val="001B63B3"/>
    <w:rsid w:val="001B6432"/>
    <w:rsid w:val="001B6580"/>
    <w:rsid w:val="001B66EA"/>
    <w:rsid w:val="001B6802"/>
    <w:rsid w:val="001B685C"/>
    <w:rsid w:val="001B692B"/>
    <w:rsid w:val="001B69D6"/>
    <w:rsid w:val="001B6AAB"/>
    <w:rsid w:val="001B6B18"/>
    <w:rsid w:val="001B6CDB"/>
    <w:rsid w:val="001B6FBC"/>
    <w:rsid w:val="001B7018"/>
    <w:rsid w:val="001B7093"/>
    <w:rsid w:val="001B730C"/>
    <w:rsid w:val="001B766E"/>
    <w:rsid w:val="001B7A8F"/>
    <w:rsid w:val="001B7B6B"/>
    <w:rsid w:val="001B7BE4"/>
    <w:rsid w:val="001B7E35"/>
    <w:rsid w:val="001B7EFC"/>
    <w:rsid w:val="001BD933"/>
    <w:rsid w:val="001C01C2"/>
    <w:rsid w:val="001C01D2"/>
    <w:rsid w:val="001C0297"/>
    <w:rsid w:val="001C038B"/>
    <w:rsid w:val="001C0543"/>
    <w:rsid w:val="001C0682"/>
    <w:rsid w:val="001C0696"/>
    <w:rsid w:val="001C0B5B"/>
    <w:rsid w:val="001C0CC4"/>
    <w:rsid w:val="001C0CE2"/>
    <w:rsid w:val="001C0E9B"/>
    <w:rsid w:val="001C119A"/>
    <w:rsid w:val="001C12A5"/>
    <w:rsid w:val="001C138C"/>
    <w:rsid w:val="001C13BC"/>
    <w:rsid w:val="001C1549"/>
    <w:rsid w:val="001C15E1"/>
    <w:rsid w:val="001C17E0"/>
    <w:rsid w:val="001C17F0"/>
    <w:rsid w:val="001C1AA6"/>
    <w:rsid w:val="001C1AB7"/>
    <w:rsid w:val="001C1BCF"/>
    <w:rsid w:val="001C1EBD"/>
    <w:rsid w:val="001C21CD"/>
    <w:rsid w:val="001C2234"/>
    <w:rsid w:val="001C2870"/>
    <w:rsid w:val="001C291C"/>
    <w:rsid w:val="001C2AEC"/>
    <w:rsid w:val="001C2AEE"/>
    <w:rsid w:val="001C2BAE"/>
    <w:rsid w:val="001C2D67"/>
    <w:rsid w:val="001C2DF4"/>
    <w:rsid w:val="001C2E8B"/>
    <w:rsid w:val="001C3043"/>
    <w:rsid w:val="001C313B"/>
    <w:rsid w:val="001C3170"/>
    <w:rsid w:val="001C31AA"/>
    <w:rsid w:val="001C37D4"/>
    <w:rsid w:val="001C37F1"/>
    <w:rsid w:val="001C3BB1"/>
    <w:rsid w:val="001C3D9E"/>
    <w:rsid w:val="001C408B"/>
    <w:rsid w:val="001C43C8"/>
    <w:rsid w:val="001C443C"/>
    <w:rsid w:val="001C4466"/>
    <w:rsid w:val="001C44B3"/>
    <w:rsid w:val="001C4765"/>
    <w:rsid w:val="001C47F4"/>
    <w:rsid w:val="001C4940"/>
    <w:rsid w:val="001C495E"/>
    <w:rsid w:val="001C4AD2"/>
    <w:rsid w:val="001C4BD6"/>
    <w:rsid w:val="001C4C04"/>
    <w:rsid w:val="001C4E68"/>
    <w:rsid w:val="001C53A8"/>
    <w:rsid w:val="001C5587"/>
    <w:rsid w:val="001C5775"/>
    <w:rsid w:val="001C5A4A"/>
    <w:rsid w:val="001C5D74"/>
    <w:rsid w:val="001C5DC0"/>
    <w:rsid w:val="001C5FD4"/>
    <w:rsid w:val="001C5FFE"/>
    <w:rsid w:val="001C6022"/>
    <w:rsid w:val="001C602F"/>
    <w:rsid w:val="001C6241"/>
    <w:rsid w:val="001C6375"/>
    <w:rsid w:val="001C66FD"/>
    <w:rsid w:val="001C67E2"/>
    <w:rsid w:val="001C6877"/>
    <w:rsid w:val="001C6A02"/>
    <w:rsid w:val="001C6C35"/>
    <w:rsid w:val="001C6F80"/>
    <w:rsid w:val="001C706C"/>
    <w:rsid w:val="001C7564"/>
    <w:rsid w:val="001C75E3"/>
    <w:rsid w:val="001C77C9"/>
    <w:rsid w:val="001C77FE"/>
    <w:rsid w:val="001C7879"/>
    <w:rsid w:val="001C797F"/>
    <w:rsid w:val="001C7A5D"/>
    <w:rsid w:val="001C7B04"/>
    <w:rsid w:val="001C7B16"/>
    <w:rsid w:val="001C7B28"/>
    <w:rsid w:val="001C7C40"/>
    <w:rsid w:val="001C7D58"/>
    <w:rsid w:val="001C7EF3"/>
    <w:rsid w:val="001C7F97"/>
    <w:rsid w:val="001D00BB"/>
    <w:rsid w:val="001D0362"/>
    <w:rsid w:val="001D03E6"/>
    <w:rsid w:val="001D0511"/>
    <w:rsid w:val="001D06D9"/>
    <w:rsid w:val="001D086E"/>
    <w:rsid w:val="001D08DC"/>
    <w:rsid w:val="001D0DDB"/>
    <w:rsid w:val="001D0E0B"/>
    <w:rsid w:val="001D0F76"/>
    <w:rsid w:val="001D0FE7"/>
    <w:rsid w:val="001D1017"/>
    <w:rsid w:val="001D125C"/>
    <w:rsid w:val="001D15A9"/>
    <w:rsid w:val="001D15FA"/>
    <w:rsid w:val="001D1644"/>
    <w:rsid w:val="001D1676"/>
    <w:rsid w:val="001D1697"/>
    <w:rsid w:val="001D16BF"/>
    <w:rsid w:val="001D17FC"/>
    <w:rsid w:val="001D19DE"/>
    <w:rsid w:val="001D1AEC"/>
    <w:rsid w:val="001D1B12"/>
    <w:rsid w:val="001D1C09"/>
    <w:rsid w:val="001D1E45"/>
    <w:rsid w:val="001D2035"/>
    <w:rsid w:val="001D21FF"/>
    <w:rsid w:val="001D224B"/>
    <w:rsid w:val="001D2596"/>
    <w:rsid w:val="001D271C"/>
    <w:rsid w:val="001D2823"/>
    <w:rsid w:val="001D2C24"/>
    <w:rsid w:val="001D2D09"/>
    <w:rsid w:val="001D2DF3"/>
    <w:rsid w:val="001D2E12"/>
    <w:rsid w:val="001D3115"/>
    <w:rsid w:val="001D31F3"/>
    <w:rsid w:val="001D3316"/>
    <w:rsid w:val="001D3797"/>
    <w:rsid w:val="001D3907"/>
    <w:rsid w:val="001D3AAE"/>
    <w:rsid w:val="001D3AF2"/>
    <w:rsid w:val="001D3BB2"/>
    <w:rsid w:val="001D3F23"/>
    <w:rsid w:val="001D42EF"/>
    <w:rsid w:val="001D4353"/>
    <w:rsid w:val="001D4A8B"/>
    <w:rsid w:val="001D4A9F"/>
    <w:rsid w:val="001D4AB6"/>
    <w:rsid w:val="001D4B54"/>
    <w:rsid w:val="001D4B67"/>
    <w:rsid w:val="001D4D00"/>
    <w:rsid w:val="001D4D5A"/>
    <w:rsid w:val="001D5001"/>
    <w:rsid w:val="001D50F9"/>
    <w:rsid w:val="001D51B6"/>
    <w:rsid w:val="001D528A"/>
    <w:rsid w:val="001D54A6"/>
    <w:rsid w:val="001D54B1"/>
    <w:rsid w:val="001D5658"/>
    <w:rsid w:val="001D5674"/>
    <w:rsid w:val="001D58B4"/>
    <w:rsid w:val="001D5A37"/>
    <w:rsid w:val="001D5F08"/>
    <w:rsid w:val="001D61A7"/>
    <w:rsid w:val="001D63BA"/>
    <w:rsid w:val="001D6BE3"/>
    <w:rsid w:val="001D6C40"/>
    <w:rsid w:val="001D6CC4"/>
    <w:rsid w:val="001D6E26"/>
    <w:rsid w:val="001D7010"/>
    <w:rsid w:val="001D70B3"/>
    <w:rsid w:val="001D7269"/>
    <w:rsid w:val="001D73FF"/>
    <w:rsid w:val="001D7462"/>
    <w:rsid w:val="001D7516"/>
    <w:rsid w:val="001D768A"/>
    <w:rsid w:val="001D7723"/>
    <w:rsid w:val="001D77F5"/>
    <w:rsid w:val="001D7829"/>
    <w:rsid w:val="001D7A26"/>
    <w:rsid w:val="001D7ABE"/>
    <w:rsid w:val="001D7B6D"/>
    <w:rsid w:val="001D7D3A"/>
    <w:rsid w:val="001D7D6E"/>
    <w:rsid w:val="001E00A6"/>
    <w:rsid w:val="001E052D"/>
    <w:rsid w:val="001E05F0"/>
    <w:rsid w:val="001E06C1"/>
    <w:rsid w:val="001E0A16"/>
    <w:rsid w:val="001E0B98"/>
    <w:rsid w:val="001E0BED"/>
    <w:rsid w:val="001E0D84"/>
    <w:rsid w:val="001E0DDB"/>
    <w:rsid w:val="001E0DF9"/>
    <w:rsid w:val="001E0E44"/>
    <w:rsid w:val="001E0F1E"/>
    <w:rsid w:val="001E11F5"/>
    <w:rsid w:val="001E136C"/>
    <w:rsid w:val="001E14A8"/>
    <w:rsid w:val="001E1562"/>
    <w:rsid w:val="001E15A0"/>
    <w:rsid w:val="001E16F0"/>
    <w:rsid w:val="001E1BCF"/>
    <w:rsid w:val="001E1E24"/>
    <w:rsid w:val="001E1F38"/>
    <w:rsid w:val="001E2044"/>
    <w:rsid w:val="001E21E9"/>
    <w:rsid w:val="001E22D6"/>
    <w:rsid w:val="001E23EA"/>
    <w:rsid w:val="001E2446"/>
    <w:rsid w:val="001E245D"/>
    <w:rsid w:val="001E2489"/>
    <w:rsid w:val="001E28AF"/>
    <w:rsid w:val="001E28C6"/>
    <w:rsid w:val="001E2A7A"/>
    <w:rsid w:val="001E2B8C"/>
    <w:rsid w:val="001E2C60"/>
    <w:rsid w:val="001E2DF0"/>
    <w:rsid w:val="001E3169"/>
    <w:rsid w:val="001E33F4"/>
    <w:rsid w:val="001E351A"/>
    <w:rsid w:val="001E359C"/>
    <w:rsid w:val="001E35F0"/>
    <w:rsid w:val="001E37B2"/>
    <w:rsid w:val="001E38F5"/>
    <w:rsid w:val="001E3B22"/>
    <w:rsid w:val="001E40B5"/>
    <w:rsid w:val="001E4333"/>
    <w:rsid w:val="001E4368"/>
    <w:rsid w:val="001E44D6"/>
    <w:rsid w:val="001E4528"/>
    <w:rsid w:val="001E49C0"/>
    <w:rsid w:val="001E49CB"/>
    <w:rsid w:val="001E4A0C"/>
    <w:rsid w:val="001E4B9D"/>
    <w:rsid w:val="001E4BFC"/>
    <w:rsid w:val="001E4D17"/>
    <w:rsid w:val="001E4DB9"/>
    <w:rsid w:val="001E4EC5"/>
    <w:rsid w:val="001E4EE8"/>
    <w:rsid w:val="001E573A"/>
    <w:rsid w:val="001E5963"/>
    <w:rsid w:val="001E59D4"/>
    <w:rsid w:val="001E59E6"/>
    <w:rsid w:val="001E5B1E"/>
    <w:rsid w:val="001E6032"/>
    <w:rsid w:val="001E6692"/>
    <w:rsid w:val="001E6CF9"/>
    <w:rsid w:val="001E6D8E"/>
    <w:rsid w:val="001E6D90"/>
    <w:rsid w:val="001E7141"/>
    <w:rsid w:val="001E724F"/>
    <w:rsid w:val="001E739A"/>
    <w:rsid w:val="001E7482"/>
    <w:rsid w:val="001E76B1"/>
    <w:rsid w:val="001E77F9"/>
    <w:rsid w:val="001E78CF"/>
    <w:rsid w:val="001E7B20"/>
    <w:rsid w:val="001E7CFB"/>
    <w:rsid w:val="001F00B4"/>
    <w:rsid w:val="001F04C4"/>
    <w:rsid w:val="001F0513"/>
    <w:rsid w:val="001F057C"/>
    <w:rsid w:val="001F05AC"/>
    <w:rsid w:val="001F06F2"/>
    <w:rsid w:val="001F0822"/>
    <w:rsid w:val="001F097E"/>
    <w:rsid w:val="001F0A7C"/>
    <w:rsid w:val="001F0CD4"/>
    <w:rsid w:val="001F0E85"/>
    <w:rsid w:val="001F1037"/>
    <w:rsid w:val="001F16BD"/>
    <w:rsid w:val="001F19A2"/>
    <w:rsid w:val="001F2046"/>
    <w:rsid w:val="001F22BD"/>
    <w:rsid w:val="001F2310"/>
    <w:rsid w:val="001F2422"/>
    <w:rsid w:val="001F275E"/>
    <w:rsid w:val="001F2941"/>
    <w:rsid w:val="001F2A82"/>
    <w:rsid w:val="001F2B88"/>
    <w:rsid w:val="001F3030"/>
    <w:rsid w:val="001F303F"/>
    <w:rsid w:val="001F31BE"/>
    <w:rsid w:val="001F3226"/>
    <w:rsid w:val="001F3261"/>
    <w:rsid w:val="001F32A5"/>
    <w:rsid w:val="001F3473"/>
    <w:rsid w:val="001F34D1"/>
    <w:rsid w:val="001F35F1"/>
    <w:rsid w:val="001F3636"/>
    <w:rsid w:val="001F3798"/>
    <w:rsid w:val="001F38F0"/>
    <w:rsid w:val="001F3976"/>
    <w:rsid w:val="001F39A1"/>
    <w:rsid w:val="001F3A2D"/>
    <w:rsid w:val="001F3A8B"/>
    <w:rsid w:val="001F3C11"/>
    <w:rsid w:val="001F3F7D"/>
    <w:rsid w:val="001F3F8F"/>
    <w:rsid w:val="001F426A"/>
    <w:rsid w:val="001F4380"/>
    <w:rsid w:val="001F43B2"/>
    <w:rsid w:val="001F4611"/>
    <w:rsid w:val="001F477A"/>
    <w:rsid w:val="001F4AE5"/>
    <w:rsid w:val="001F4B9F"/>
    <w:rsid w:val="001F5070"/>
    <w:rsid w:val="001F5330"/>
    <w:rsid w:val="001F537F"/>
    <w:rsid w:val="001F53B5"/>
    <w:rsid w:val="001F555E"/>
    <w:rsid w:val="001F5729"/>
    <w:rsid w:val="001F5760"/>
    <w:rsid w:val="001F57A3"/>
    <w:rsid w:val="001F5864"/>
    <w:rsid w:val="001F59B7"/>
    <w:rsid w:val="001F5AE2"/>
    <w:rsid w:val="001F5C81"/>
    <w:rsid w:val="001F5CCE"/>
    <w:rsid w:val="001F5E0A"/>
    <w:rsid w:val="001F5FC2"/>
    <w:rsid w:val="001F6177"/>
    <w:rsid w:val="001F6211"/>
    <w:rsid w:val="001F650C"/>
    <w:rsid w:val="001F6566"/>
    <w:rsid w:val="001F657E"/>
    <w:rsid w:val="001F658F"/>
    <w:rsid w:val="001F6857"/>
    <w:rsid w:val="001F6A91"/>
    <w:rsid w:val="001F6E1F"/>
    <w:rsid w:val="001F70D3"/>
    <w:rsid w:val="001F7104"/>
    <w:rsid w:val="001F7153"/>
    <w:rsid w:val="001F715D"/>
    <w:rsid w:val="001F7CA0"/>
    <w:rsid w:val="001F7D85"/>
    <w:rsid w:val="001F7F69"/>
    <w:rsid w:val="001F7FBD"/>
    <w:rsid w:val="002000C0"/>
    <w:rsid w:val="0020016F"/>
    <w:rsid w:val="002003A6"/>
    <w:rsid w:val="00200815"/>
    <w:rsid w:val="00200B68"/>
    <w:rsid w:val="00200BBB"/>
    <w:rsid w:val="00200DD6"/>
    <w:rsid w:val="00200EE3"/>
    <w:rsid w:val="00200F8A"/>
    <w:rsid w:val="002010A9"/>
    <w:rsid w:val="00201147"/>
    <w:rsid w:val="002011C1"/>
    <w:rsid w:val="00201555"/>
    <w:rsid w:val="00201621"/>
    <w:rsid w:val="002016AF"/>
    <w:rsid w:val="002018B0"/>
    <w:rsid w:val="00201955"/>
    <w:rsid w:val="00201A78"/>
    <w:rsid w:val="00201BE8"/>
    <w:rsid w:val="00201C3E"/>
    <w:rsid w:val="00201FDF"/>
    <w:rsid w:val="00201FE9"/>
    <w:rsid w:val="0020229A"/>
    <w:rsid w:val="0020298F"/>
    <w:rsid w:val="00202C81"/>
    <w:rsid w:val="00202C82"/>
    <w:rsid w:val="00202CEA"/>
    <w:rsid w:val="00202E80"/>
    <w:rsid w:val="00202FDA"/>
    <w:rsid w:val="0020318D"/>
    <w:rsid w:val="00203350"/>
    <w:rsid w:val="002034A8"/>
    <w:rsid w:val="00203500"/>
    <w:rsid w:val="002036B0"/>
    <w:rsid w:val="002036C5"/>
    <w:rsid w:val="0020372B"/>
    <w:rsid w:val="00203903"/>
    <w:rsid w:val="00203BFF"/>
    <w:rsid w:val="00203C1A"/>
    <w:rsid w:val="00203C6A"/>
    <w:rsid w:val="00203E66"/>
    <w:rsid w:val="00203F78"/>
    <w:rsid w:val="00203F9F"/>
    <w:rsid w:val="002041DC"/>
    <w:rsid w:val="0020445A"/>
    <w:rsid w:val="002044A9"/>
    <w:rsid w:val="00204633"/>
    <w:rsid w:val="00204667"/>
    <w:rsid w:val="002049D8"/>
    <w:rsid w:val="002049E5"/>
    <w:rsid w:val="00204FF9"/>
    <w:rsid w:val="0020515C"/>
    <w:rsid w:val="002055CF"/>
    <w:rsid w:val="00205731"/>
    <w:rsid w:val="002057EA"/>
    <w:rsid w:val="0020580A"/>
    <w:rsid w:val="00205824"/>
    <w:rsid w:val="002058CA"/>
    <w:rsid w:val="00205CED"/>
    <w:rsid w:val="00205D41"/>
    <w:rsid w:val="00205EBC"/>
    <w:rsid w:val="00206407"/>
    <w:rsid w:val="00206515"/>
    <w:rsid w:val="002066B0"/>
    <w:rsid w:val="002069FB"/>
    <w:rsid w:val="00206B0D"/>
    <w:rsid w:val="00206C6D"/>
    <w:rsid w:val="00206DC7"/>
    <w:rsid w:val="00206FEB"/>
    <w:rsid w:val="002070FF"/>
    <w:rsid w:val="002074EE"/>
    <w:rsid w:val="0020779C"/>
    <w:rsid w:val="0020795A"/>
    <w:rsid w:val="00207AD8"/>
    <w:rsid w:val="00207C47"/>
    <w:rsid w:val="00207D1B"/>
    <w:rsid w:val="00207D92"/>
    <w:rsid w:val="00210271"/>
    <w:rsid w:val="002104BC"/>
    <w:rsid w:val="00210541"/>
    <w:rsid w:val="00210574"/>
    <w:rsid w:val="002105C3"/>
    <w:rsid w:val="002105CA"/>
    <w:rsid w:val="002106A6"/>
    <w:rsid w:val="00210779"/>
    <w:rsid w:val="0021080B"/>
    <w:rsid w:val="0021088E"/>
    <w:rsid w:val="00210ABC"/>
    <w:rsid w:val="00210C6C"/>
    <w:rsid w:val="00210F78"/>
    <w:rsid w:val="002113BD"/>
    <w:rsid w:val="0021142D"/>
    <w:rsid w:val="00211467"/>
    <w:rsid w:val="002114DC"/>
    <w:rsid w:val="0021180B"/>
    <w:rsid w:val="00211903"/>
    <w:rsid w:val="00211A0E"/>
    <w:rsid w:val="00211B3A"/>
    <w:rsid w:val="00211C50"/>
    <w:rsid w:val="00211D82"/>
    <w:rsid w:val="00212030"/>
    <w:rsid w:val="0021203D"/>
    <w:rsid w:val="00212122"/>
    <w:rsid w:val="00212467"/>
    <w:rsid w:val="002126FA"/>
    <w:rsid w:val="00212808"/>
    <w:rsid w:val="002128E5"/>
    <w:rsid w:val="002129B2"/>
    <w:rsid w:val="00212AE1"/>
    <w:rsid w:val="00212AED"/>
    <w:rsid w:val="00212E5A"/>
    <w:rsid w:val="002130CF"/>
    <w:rsid w:val="0021325B"/>
    <w:rsid w:val="002133C7"/>
    <w:rsid w:val="00213679"/>
    <w:rsid w:val="0021387D"/>
    <w:rsid w:val="00213B2D"/>
    <w:rsid w:val="00213BAA"/>
    <w:rsid w:val="00213DF8"/>
    <w:rsid w:val="00213F0A"/>
    <w:rsid w:val="00214378"/>
    <w:rsid w:val="00214607"/>
    <w:rsid w:val="00214687"/>
    <w:rsid w:val="002146A8"/>
    <w:rsid w:val="002147D6"/>
    <w:rsid w:val="0021490F"/>
    <w:rsid w:val="00214962"/>
    <w:rsid w:val="00214999"/>
    <w:rsid w:val="00214A7D"/>
    <w:rsid w:val="00214BBA"/>
    <w:rsid w:val="00214E1A"/>
    <w:rsid w:val="00214FCE"/>
    <w:rsid w:val="00214FDB"/>
    <w:rsid w:val="002152B7"/>
    <w:rsid w:val="002152ED"/>
    <w:rsid w:val="002153BC"/>
    <w:rsid w:val="00215572"/>
    <w:rsid w:val="002158C8"/>
    <w:rsid w:val="00215C21"/>
    <w:rsid w:val="00215C28"/>
    <w:rsid w:val="00215D6B"/>
    <w:rsid w:val="00215DCC"/>
    <w:rsid w:val="002160A2"/>
    <w:rsid w:val="0021627C"/>
    <w:rsid w:val="002163FC"/>
    <w:rsid w:val="002164A8"/>
    <w:rsid w:val="00216577"/>
    <w:rsid w:val="00216603"/>
    <w:rsid w:val="00216679"/>
    <w:rsid w:val="0021687D"/>
    <w:rsid w:val="002168E0"/>
    <w:rsid w:val="00216965"/>
    <w:rsid w:val="00216971"/>
    <w:rsid w:val="00216A5C"/>
    <w:rsid w:val="00216A9C"/>
    <w:rsid w:val="00216AF8"/>
    <w:rsid w:val="00216B2F"/>
    <w:rsid w:val="00216BBE"/>
    <w:rsid w:val="00216BC8"/>
    <w:rsid w:val="00216BEC"/>
    <w:rsid w:val="00216C9C"/>
    <w:rsid w:val="00216FF6"/>
    <w:rsid w:val="0021708D"/>
    <w:rsid w:val="00217111"/>
    <w:rsid w:val="0021715A"/>
    <w:rsid w:val="002171DB"/>
    <w:rsid w:val="00217252"/>
    <w:rsid w:val="00217617"/>
    <w:rsid w:val="00217659"/>
    <w:rsid w:val="002178A2"/>
    <w:rsid w:val="00217C95"/>
    <w:rsid w:val="00217DD7"/>
    <w:rsid w:val="00217E79"/>
    <w:rsid w:val="00217EF7"/>
    <w:rsid w:val="00217EFA"/>
    <w:rsid w:val="0022017E"/>
    <w:rsid w:val="0022018E"/>
    <w:rsid w:val="00220284"/>
    <w:rsid w:val="00220287"/>
    <w:rsid w:val="002202DD"/>
    <w:rsid w:val="002202F7"/>
    <w:rsid w:val="0022035C"/>
    <w:rsid w:val="00220600"/>
    <w:rsid w:val="002207D1"/>
    <w:rsid w:val="002207EA"/>
    <w:rsid w:val="0022091F"/>
    <w:rsid w:val="0022092E"/>
    <w:rsid w:val="00220EB8"/>
    <w:rsid w:val="00221066"/>
    <w:rsid w:val="002211F1"/>
    <w:rsid w:val="002211F6"/>
    <w:rsid w:val="0022123A"/>
    <w:rsid w:val="00221375"/>
    <w:rsid w:val="0022148A"/>
    <w:rsid w:val="002215BA"/>
    <w:rsid w:val="00221609"/>
    <w:rsid w:val="002218AC"/>
    <w:rsid w:val="00221B1C"/>
    <w:rsid w:val="00221BE7"/>
    <w:rsid w:val="00221C73"/>
    <w:rsid w:val="00221D8A"/>
    <w:rsid w:val="00222057"/>
    <w:rsid w:val="002221D2"/>
    <w:rsid w:val="0022229C"/>
    <w:rsid w:val="0022230C"/>
    <w:rsid w:val="0022243F"/>
    <w:rsid w:val="00222440"/>
    <w:rsid w:val="002224F7"/>
    <w:rsid w:val="00222585"/>
    <w:rsid w:val="00222718"/>
    <w:rsid w:val="002227C5"/>
    <w:rsid w:val="00222885"/>
    <w:rsid w:val="002228E9"/>
    <w:rsid w:val="00222ADB"/>
    <w:rsid w:val="00222AFD"/>
    <w:rsid w:val="00222D8F"/>
    <w:rsid w:val="00222F89"/>
    <w:rsid w:val="00223663"/>
    <w:rsid w:val="00223886"/>
    <w:rsid w:val="00223CD3"/>
    <w:rsid w:val="00223F0A"/>
    <w:rsid w:val="00223F1A"/>
    <w:rsid w:val="00224149"/>
    <w:rsid w:val="00224304"/>
    <w:rsid w:val="00224337"/>
    <w:rsid w:val="00224B03"/>
    <w:rsid w:val="00224C77"/>
    <w:rsid w:val="0022518B"/>
    <w:rsid w:val="002253AD"/>
    <w:rsid w:val="00225453"/>
    <w:rsid w:val="002255E5"/>
    <w:rsid w:val="00225741"/>
    <w:rsid w:val="00225744"/>
    <w:rsid w:val="00225ADB"/>
    <w:rsid w:val="00225D14"/>
    <w:rsid w:val="00225D32"/>
    <w:rsid w:val="00225D3C"/>
    <w:rsid w:val="0022611E"/>
    <w:rsid w:val="00226201"/>
    <w:rsid w:val="00226658"/>
    <w:rsid w:val="00226683"/>
    <w:rsid w:val="00226806"/>
    <w:rsid w:val="00226B3E"/>
    <w:rsid w:val="00226E00"/>
    <w:rsid w:val="00226EFD"/>
    <w:rsid w:val="00226F72"/>
    <w:rsid w:val="0022703F"/>
    <w:rsid w:val="002270EF"/>
    <w:rsid w:val="00227101"/>
    <w:rsid w:val="002272DF"/>
    <w:rsid w:val="00227552"/>
    <w:rsid w:val="002275CE"/>
    <w:rsid w:val="00227605"/>
    <w:rsid w:val="0022764A"/>
    <w:rsid w:val="0022773F"/>
    <w:rsid w:val="00227B00"/>
    <w:rsid w:val="00227B15"/>
    <w:rsid w:val="00227C68"/>
    <w:rsid w:val="00227ED6"/>
    <w:rsid w:val="002300DD"/>
    <w:rsid w:val="0023084C"/>
    <w:rsid w:val="00230854"/>
    <w:rsid w:val="002308F5"/>
    <w:rsid w:val="00230A0B"/>
    <w:rsid w:val="00230C7E"/>
    <w:rsid w:val="00230E22"/>
    <w:rsid w:val="00230F76"/>
    <w:rsid w:val="0023116D"/>
    <w:rsid w:val="002313C4"/>
    <w:rsid w:val="0023159E"/>
    <w:rsid w:val="002315DC"/>
    <w:rsid w:val="002317E9"/>
    <w:rsid w:val="00231C97"/>
    <w:rsid w:val="00231FE1"/>
    <w:rsid w:val="002323B8"/>
    <w:rsid w:val="002325AE"/>
    <w:rsid w:val="00232771"/>
    <w:rsid w:val="002327A2"/>
    <w:rsid w:val="002327CF"/>
    <w:rsid w:val="0023282B"/>
    <w:rsid w:val="002328FB"/>
    <w:rsid w:val="002329E8"/>
    <w:rsid w:val="00232A62"/>
    <w:rsid w:val="00232A6D"/>
    <w:rsid w:val="00232B92"/>
    <w:rsid w:val="00232C01"/>
    <w:rsid w:val="00232F04"/>
    <w:rsid w:val="0023318D"/>
    <w:rsid w:val="00233B8C"/>
    <w:rsid w:val="00233DC7"/>
    <w:rsid w:val="00233E0E"/>
    <w:rsid w:val="00233E3E"/>
    <w:rsid w:val="0023410A"/>
    <w:rsid w:val="00234567"/>
    <w:rsid w:val="00234691"/>
    <w:rsid w:val="00234A22"/>
    <w:rsid w:val="00234A8C"/>
    <w:rsid w:val="00234B33"/>
    <w:rsid w:val="00234B4B"/>
    <w:rsid w:val="00234BC3"/>
    <w:rsid w:val="00234C76"/>
    <w:rsid w:val="00234DC1"/>
    <w:rsid w:val="00234F05"/>
    <w:rsid w:val="0023510E"/>
    <w:rsid w:val="0023554D"/>
    <w:rsid w:val="002355C4"/>
    <w:rsid w:val="002356A6"/>
    <w:rsid w:val="002356CA"/>
    <w:rsid w:val="00235AE0"/>
    <w:rsid w:val="00235B42"/>
    <w:rsid w:val="00235D51"/>
    <w:rsid w:val="0023623B"/>
    <w:rsid w:val="00236249"/>
    <w:rsid w:val="00236483"/>
    <w:rsid w:val="002364F8"/>
    <w:rsid w:val="0023656F"/>
    <w:rsid w:val="002366C1"/>
    <w:rsid w:val="002366E3"/>
    <w:rsid w:val="002368A8"/>
    <w:rsid w:val="00236AD3"/>
    <w:rsid w:val="00236C5C"/>
    <w:rsid w:val="00236DB1"/>
    <w:rsid w:val="00236E00"/>
    <w:rsid w:val="0023745D"/>
    <w:rsid w:val="00237598"/>
    <w:rsid w:val="00237787"/>
    <w:rsid w:val="00237B28"/>
    <w:rsid w:val="00237B30"/>
    <w:rsid w:val="00240070"/>
    <w:rsid w:val="0024032E"/>
    <w:rsid w:val="00240422"/>
    <w:rsid w:val="00240452"/>
    <w:rsid w:val="0024061E"/>
    <w:rsid w:val="0024099E"/>
    <w:rsid w:val="00240AC6"/>
    <w:rsid w:val="00240B66"/>
    <w:rsid w:val="00240C9E"/>
    <w:rsid w:val="00240D49"/>
    <w:rsid w:val="00240F95"/>
    <w:rsid w:val="00241241"/>
    <w:rsid w:val="00241331"/>
    <w:rsid w:val="0024139A"/>
    <w:rsid w:val="002413BB"/>
    <w:rsid w:val="00241462"/>
    <w:rsid w:val="0024152E"/>
    <w:rsid w:val="0024182B"/>
    <w:rsid w:val="00241A7B"/>
    <w:rsid w:val="00241CBA"/>
    <w:rsid w:val="00241E3B"/>
    <w:rsid w:val="00242141"/>
    <w:rsid w:val="00242564"/>
    <w:rsid w:val="002425A7"/>
    <w:rsid w:val="002426B2"/>
    <w:rsid w:val="002426FB"/>
    <w:rsid w:val="0024297F"/>
    <w:rsid w:val="002429F2"/>
    <w:rsid w:val="002429FF"/>
    <w:rsid w:val="00242B1F"/>
    <w:rsid w:val="00243105"/>
    <w:rsid w:val="0024320E"/>
    <w:rsid w:val="0024336C"/>
    <w:rsid w:val="00243378"/>
    <w:rsid w:val="00243399"/>
    <w:rsid w:val="00243A27"/>
    <w:rsid w:val="00243A5C"/>
    <w:rsid w:val="00243B3C"/>
    <w:rsid w:val="00243B80"/>
    <w:rsid w:val="00243EB6"/>
    <w:rsid w:val="00244201"/>
    <w:rsid w:val="002444C4"/>
    <w:rsid w:val="002445F6"/>
    <w:rsid w:val="00244973"/>
    <w:rsid w:val="00244A44"/>
    <w:rsid w:val="00244C3B"/>
    <w:rsid w:val="00244DC4"/>
    <w:rsid w:val="00244E39"/>
    <w:rsid w:val="00244FA1"/>
    <w:rsid w:val="0024536A"/>
    <w:rsid w:val="00245840"/>
    <w:rsid w:val="00245A88"/>
    <w:rsid w:val="00245AFD"/>
    <w:rsid w:val="00245C1F"/>
    <w:rsid w:val="00245C76"/>
    <w:rsid w:val="00245CCE"/>
    <w:rsid w:val="00245CEE"/>
    <w:rsid w:val="00245D50"/>
    <w:rsid w:val="00245E4E"/>
    <w:rsid w:val="002466BF"/>
    <w:rsid w:val="00246804"/>
    <w:rsid w:val="00246856"/>
    <w:rsid w:val="00246896"/>
    <w:rsid w:val="00246A39"/>
    <w:rsid w:val="00246C06"/>
    <w:rsid w:val="00246D9A"/>
    <w:rsid w:val="00246E85"/>
    <w:rsid w:val="0024728D"/>
    <w:rsid w:val="0024728F"/>
    <w:rsid w:val="002472F4"/>
    <w:rsid w:val="00247360"/>
    <w:rsid w:val="002476D2"/>
    <w:rsid w:val="00247779"/>
    <w:rsid w:val="0024791D"/>
    <w:rsid w:val="00247999"/>
    <w:rsid w:val="00247DF8"/>
    <w:rsid w:val="00247FCA"/>
    <w:rsid w:val="002500AA"/>
    <w:rsid w:val="002500B8"/>
    <w:rsid w:val="002505CF"/>
    <w:rsid w:val="00250974"/>
    <w:rsid w:val="00250D13"/>
    <w:rsid w:val="00250D8A"/>
    <w:rsid w:val="00250FA1"/>
    <w:rsid w:val="00251013"/>
    <w:rsid w:val="0025102C"/>
    <w:rsid w:val="00251144"/>
    <w:rsid w:val="002511B6"/>
    <w:rsid w:val="0025127B"/>
    <w:rsid w:val="0025131F"/>
    <w:rsid w:val="002513F2"/>
    <w:rsid w:val="00251441"/>
    <w:rsid w:val="00251702"/>
    <w:rsid w:val="0025188B"/>
    <w:rsid w:val="00251A4A"/>
    <w:rsid w:val="00251C64"/>
    <w:rsid w:val="00251F7D"/>
    <w:rsid w:val="00252210"/>
    <w:rsid w:val="00252215"/>
    <w:rsid w:val="00252277"/>
    <w:rsid w:val="0025239D"/>
    <w:rsid w:val="002525B7"/>
    <w:rsid w:val="002527F2"/>
    <w:rsid w:val="002527FA"/>
    <w:rsid w:val="00252826"/>
    <w:rsid w:val="0025293C"/>
    <w:rsid w:val="002529B1"/>
    <w:rsid w:val="00252E3A"/>
    <w:rsid w:val="00252F3B"/>
    <w:rsid w:val="002530A9"/>
    <w:rsid w:val="0025313A"/>
    <w:rsid w:val="0025320E"/>
    <w:rsid w:val="00253243"/>
    <w:rsid w:val="0025324A"/>
    <w:rsid w:val="0025329E"/>
    <w:rsid w:val="002536E9"/>
    <w:rsid w:val="0025381D"/>
    <w:rsid w:val="00253A87"/>
    <w:rsid w:val="00253AFF"/>
    <w:rsid w:val="00253C3D"/>
    <w:rsid w:val="00253E8A"/>
    <w:rsid w:val="00253EE4"/>
    <w:rsid w:val="00254090"/>
    <w:rsid w:val="002541F8"/>
    <w:rsid w:val="00254261"/>
    <w:rsid w:val="00254286"/>
    <w:rsid w:val="002542C6"/>
    <w:rsid w:val="002545A6"/>
    <w:rsid w:val="002545B8"/>
    <w:rsid w:val="00254663"/>
    <w:rsid w:val="002549A5"/>
    <w:rsid w:val="00254B6E"/>
    <w:rsid w:val="00254B72"/>
    <w:rsid w:val="00254BCD"/>
    <w:rsid w:val="00254C19"/>
    <w:rsid w:val="00254F1F"/>
    <w:rsid w:val="00254F6F"/>
    <w:rsid w:val="002550D3"/>
    <w:rsid w:val="002551D9"/>
    <w:rsid w:val="002553F3"/>
    <w:rsid w:val="00255572"/>
    <w:rsid w:val="002556B1"/>
    <w:rsid w:val="00255707"/>
    <w:rsid w:val="002557CD"/>
    <w:rsid w:val="00255947"/>
    <w:rsid w:val="00255958"/>
    <w:rsid w:val="002559E7"/>
    <w:rsid w:val="00255BD7"/>
    <w:rsid w:val="00255C35"/>
    <w:rsid w:val="00255C6D"/>
    <w:rsid w:val="00255D96"/>
    <w:rsid w:val="00255E04"/>
    <w:rsid w:val="00255E52"/>
    <w:rsid w:val="00255ED8"/>
    <w:rsid w:val="00256130"/>
    <w:rsid w:val="00256136"/>
    <w:rsid w:val="00256204"/>
    <w:rsid w:val="00256257"/>
    <w:rsid w:val="00256371"/>
    <w:rsid w:val="00256512"/>
    <w:rsid w:val="00256A70"/>
    <w:rsid w:val="00256B6E"/>
    <w:rsid w:val="00256BB4"/>
    <w:rsid w:val="00256E24"/>
    <w:rsid w:val="002572E1"/>
    <w:rsid w:val="002574E8"/>
    <w:rsid w:val="0025753C"/>
    <w:rsid w:val="0025755B"/>
    <w:rsid w:val="002575E1"/>
    <w:rsid w:val="002577F8"/>
    <w:rsid w:val="00257840"/>
    <w:rsid w:val="0025799F"/>
    <w:rsid w:val="00257C8C"/>
    <w:rsid w:val="00257EFF"/>
    <w:rsid w:val="00260049"/>
    <w:rsid w:val="0026009A"/>
    <w:rsid w:val="002600B2"/>
    <w:rsid w:val="00260288"/>
    <w:rsid w:val="0026035C"/>
    <w:rsid w:val="002604A8"/>
    <w:rsid w:val="00260640"/>
    <w:rsid w:val="002606BC"/>
    <w:rsid w:val="002606D4"/>
    <w:rsid w:val="00260811"/>
    <w:rsid w:val="00260960"/>
    <w:rsid w:val="00260BA5"/>
    <w:rsid w:val="00260DF9"/>
    <w:rsid w:val="00260E07"/>
    <w:rsid w:val="00261052"/>
    <w:rsid w:val="00261343"/>
    <w:rsid w:val="002613F2"/>
    <w:rsid w:val="00261AC0"/>
    <w:rsid w:val="00261ACB"/>
    <w:rsid w:val="00261C2C"/>
    <w:rsid w:val="00261DC8"/>
    <w:rsid w:val="002620D3"/>
    <w:rsid w:val="00262134"/>
    <w:rsid w:val="002621C9"/>
    <w:rsid w:val="00262295"/>
    <w:rsid w:val="0026237D"/>
    <w:rsid w:val="00262560"/>
    <w:rsid w:val="0026273F"/>
    <w:rsid w:val="00262790"/>
    <w:rsid w:val="0026286E"/>
    <w:rsid w:val="002629E7"/>
    <w:rsid w:val="00262B22"/>
    <w:rsid w:val="00262BB4"/>
    <w:rsid w:val="00262D14"/>
    <w:rsid w:val="00262D85"/>
    <w:rsid w:val="00262DEB"/>
    <w:rsid w:val="00262E18"/>
    <w:rsid w:val="00262F54"/>
    <w:rsid w:val="002630C1"/>
    <w:rsid w:val="00263207"/>
    <w:rsid w:val="002635A8"/>
    <w:rsid w:val="002635F4"/>
    <w:rsid w:val="0026368A"/>
    <w:rsid w:val="00263984"/>
    <w:rsid w:val="00263BC7"/>
    <w:rsid w:val="00263C76"/>
    <w:rsid w:val="00263E62"/>
    <w:rsid w:val="002642BF"/>
    <w:rsid w:val="00264386"/>
    <w:rsid w:val="002643A5"/>
    <w:rsid w:val="0026466A"/>
    <w:rsid w:val="002646EE"/>
    <w:rsid w:val="00264948"/>
    <w:rsid w:val="00264959"/>
    <w:rsid w:val="00264C4B"/>
    <w:rsid w:val="00264CFC"/>
    <w:rsid w:val="00264CFD"/>
    <w:rsid w:val="00264F41"/>
    <w:rsid w:val="0026505E"/>
    <w:rsid w:val="0026542B"/>
    <w:rsid w:val="00265499"/>
    <w:rsid w:val="002654A0"/>
    <w:rsid w:val="00265582"/>
    <w:rsid w:val="0026562D"/>
    <w:rsid w:val="00265703"/>
    <w:rsid w:val="00265753"/>
    <w:rsid w:val="0026590A"/>
    <w:rsid w:val="00265A2B"/>
    <w:rsid w:val="00265E7B"/>
    <w:rsid w:val="00265F50"/>
    <w:rsid w:val="00265F8D"/>
    <w:rsid w:val="002660A9"/>
    <w:rsid w:val="002660DB"/>
    <w:rsid w:val="00266611"/>
    <w:rsid w:val="0026671C"/>
    <w:rsid w:val="0026676E"/>
    <w:rsid w:val="0026690D"/>
    <w:rsid w:val="00266977"/>
    <w:rsid w:val="00266C1F"/>
    <w:rsid w:val="00266C35"/>
    <w:rsid w:val="00266DFB"/>
    <w:rsid w:val="00267009"/>
    <w:rsid w:val="00267468"/>
    <w:rsid w:val="002675B7"/>
    <w:rsid w:val="002677A6"/>
    <w:rsid w:val="00267B3C"/>
    <w:rsid w:val="00267B9F"/>
    <w:rsid w:val="00267C2A"/>
    <w:rsid w:val="00267C7C"/>
    <w:rsid w:val="00267DB0"/>
    <w:rsid w:val="00267FF0"/>
    <w:rsid w:val="0027028C"/>
    <w:rsid w:val="002703BA"/>
    <w:rsid w:val="00270435"/>
    <w:rsid w:val="0027087E"/>
    <w:rsid w:val="00270D05"/>
    <w:rsid w:val="002711FF"/>
    <w:rsid w:val="002719DC"/>
    <w:rsid w:val="00271BC5"/>
    <w:rsid w:val="00271D35"/>
    <w:rsid w:val="00271DEF"/>
    <w:rsid w:val="00272001"/>
    <w:rsid w:val="00272161"/>
    <w:rsid w:val="0027220D"/>
    <w:rsid w:val="002723AD"/>
    <w:rsid w:val="002723CA"/>
    <w:rsid w:val="002724BE"/>
    <w:rsid w:val="0027259C"/>
    <w:rsid w:val="002725B0"/>
    <w:rsid w:val="0027261E"/>
    <w:rsid w:val="00272639"/>
    <w:rsid w:val="002726AF"/>
    <w:rsid w:val="00272706"/>
    <w:rsid w:val="002729AA"/>
    <w:rsid w:val="00272ECF"/>
    <w:rsid w:val="00272F8D"/>
    <w:rsid w:val="0027328B"/>
    <w:rsid w:val="00273553"/>
    <w:rsid w:val="002735F4"/>
    <w:rsid w:val="00273DE5"/>
    <w:rsid w:val="00274061"/>
    <w:rsid w:val="00274388"/>
    <w:rsid w:val="00274410"/>
    <w:rsid w:val="00274659"/>
    <w:rsid w:val="00274966"/>
    <w:rsid w:val="00274B1F"/>
    <w:rsid w:val="00274B4D"/>
    <w:rsid w:val="00274E22"/>
    <w:rsid w:val="00274ECE"/>
    <w:rsid w:val="00274FDD"/>
    <w:rsid w:val="00275012"/>
    <w:rsid w:val="00275081"/>
    <w:rsid w:val="002750A5"/>
    <w:rsid w:val="00275115"/>
    <w:rsid w:val="0027528E"/>
    <w:rsid w:val="002752A6"/>
    <w:rsid w:val="002753FC"/>
    <w:rsid w:val="0027548F"/>
    <w:rsid w:val="00275540"/>
    <w:rsid w:val="00275745"/>
    <w:rsid w:val="0027596F"/>
    <w:rsid w:val="00275AEC"/>
    <w:rsid w:val="0027615E"/>
    <w:rsid w:val="0027684B"/>
    <w:rsid w:val="00276885"/>
    <w:rsid w:val="00276D4F"/>
    <w:rsid w:val="00276EB9"/>
    <w:rsid w:val="0027730E"/>
    <w:rsid w:val="002773BF"/>
    <w:rsid w:val="00277519"/>
    <w:rsid w:val="0027752E"/>
    <w:rsid w:val="002775B2"/>
    <w:rsid w:val="0027764B"/>
    <w:rsid w:val="002777B2"/>
    <w:rsid w:val="002778EA"/>
    <w:rsid w:val="002779AC"/>
    <w:rsid w:val="00277ACC"/>
    <w:rsid w:val="00277AD4"/>
    <w:rsid w:val="00277C1C"/>
    <w:rsid w:val="00277C5E"/>
    <w:rsid w:val="00277D41"/>
    <w:rsid w:val="00277D8D"/>
    <w:rsid w:val="00280193"/>
    <w:rsid w:val="002802C7"/>
    <w:rsid w:val="00280459"/>
    <w:rsid w:val="00280476"/>
    <w:rsid w:val="002808BD"/>
    <w:rsid w:val="002808DA"/>
    <w:rsid w:val="00280C0E"/>
    <w:rsid w:val="00280C39"/>
    <w:rsid w:val="00280CFC"/>
    <w:rsid w:val="00280FB4"/>
    <w:rsid w:val="002810E5"/>
    <w:rsid w:val="0028117D"/>
    <w:rsid w:val="002811BB"/>
    <w:rsid w:val="002811E7"/>
    <w:rsid w:val="00281234"/>
    <w:rsid w:val="00281866"/>
    <w:rsid w:val="00281E18"/>
    <w:rsid w:val="00281F97"/>
    <w:rsid w:val="00281FBE"/>
    <w:rsid w:val="0028201B"/>
    <w:rsid w:val="0028214A"/>
    <w:rsid w:val="00282466"/>
    <w:rsid w:val="00282935"/>
    <w:rsid w:val="00282B7D"/>
    <w:rsid w:val="00282DC2"/>
    <w:rsid w:val="00282E5B"/>
    <w:rsid w:val="00283025"/>
    <w:rsid w:val="0028323A"/>
    <w:rsid w:val="0028326E"/>
    <w:rsid w:val="002832C5"/>
    <w:rsid w:val="00283344"/>
    <w:rsid w:val="0028368B"/>
    <w:rsid w:val="00283B4C"/>
    <w:rsid w:val="00283B9C"/>
    <w:rsid w:val="00283C71"/>
    <w:rsid w:val="00283DBE"/>
    <w:rsid w:val="00283E2B"/>
    <w:rsid w:val="00283E5B"/>
    <w:rsid w:val="00283F2C"/>
    <w:rsid w:val="00284038"/>
    <w:rsid w:val="002842B6"/>
    <w:rsid w:val="00284439"/>
    <w:rsid w:val="0028449F"/>
    <w:rsid w:val="002844CC"/>
    <w:rsid w:val="002844F5"/>
    <w:rsid w:val="00284625"/>
    <w:rsid w:val="0028494A"/>
    <w:rsid w:val="00284B27"/>
    <w:rsid w:val="00284EA8"/>
    <w:rsid w:val="00284FB2"/>
    <w:rsid w:val="00285290"/>
    <w:rsid w:val="00285370"/>
    <w:rsid w:val="00285493"/>
    <w:rsid w:val="002855EE"/>
    <w:rsid w:val="002855F9"/>
    <w:rsid w:val="00285B51"/>
    <w:rsid w:val="00285BE2"/>
    <w:rsid w:val="00285BEE"/>
    <w:rsid w:val="00285D42"/>
    <w:rsid w:val="00285EF0"/>
    <w:rsid w:val="00285FD9"/>
    <w:rsid w:val="00286070"/>
    <w:rsid w:val="00286197"/>
    <w:rsid w:val="00286306"/>
    <w:rsid w:val="002863CD"/>
    <w:rsid w:val="00286479"/>
    <w:rsid w:val="00286503"/>
    <w:rsid w:val="00286599"/>
    <w:rsid w:val="00286C71"/>
    <w:rsid w:val="00286D98"/>
    <w:rsid w:val="00286DE6"/>
    <w:rsid w:val="00286E2D"/>
    <w:rsid w:val="00286E61"/>
    <w:rsid w:val="00287174"/>
    <w:rsid w:val="002871FB"/>
    <w:rsid w:val="0028735F"/>
    <w:rsid w:val="0028755C"/>
    <w:rsid w:val="0028755E"/>
    <w:rsid w:val="00287587"/>
    <w:rsid w:val="002877DF"/>
    <w:rsid w:val="0028784B"/>
    <w:rsid w:val="00287D05"/>
    <w:rsid w:val="002901B0"/>
    <w:rsid w:val="00290535"/>
    <w:rsid w:val="002905E5"/>
    <w:rsid w:val="00290640"/>
    <w:rsid w:val="0029079D"/>
    <w:rsid w:val="002908C3"/>
    <w:rsid w:val="002909CE"/>
    <w:rsid w:val="00290AA1"/>
    <w:rsid w:val="00290FF0"/>
    <w:rsid w:val="00291167"/>
    <w:rsid w:val="00291292"/>
    <w:rsid w:val="00291377"/>
    <w:rsid w:val="002913A3"/>
    <w:rsid w:val="002913CD"/>
    <w:rsid w:val="002914BE"/>
    <w:rsid w:val="0029171F"/>
    <w:rsid w:val="0029174D"/>
    <w:rsid w:val="00291869"/>
    <w:rsid w:val="00291CD0"/>
    <w:rsid w:val="00291DB3"/>
    <w:rsid w:val="00291F5B"/>
    <w:rsid w:val="0029204B"/>
    <w:rsid w:val="00292101"/>
    <w:rsid w:val="00292211"/>
    <w:rsid w:val="0029223D"/>
    <w:rsid w:val="0029224A"/>
    <w:rsid w:val="002922B1"/>
    <w:rsid w:val="00292508"/>
    <w:rsid w:val="00292819"/>
    <w:rsid w:val="0029282F"/>
    <w:rsid w:val="00292B58"/>
    <w:rsid w:val="00292BE1"/>
    <w:rsid w:val="00292C1E"/>
    <w:rsid w:val="00292D3B"/>
    <w:rsid w:val="00292EE0"/>
    <w:rsid w:val="00293009"/>
    <w:rsid w:val="0029316F"/>
    <w:rsid w:val="00293170"/>
    <w:rsid w:val="00293208"/>
    <w:rsid w:val="00293365"/>
    <w:rsid w:val="002934F1"/>
    <w:rsid w:val="00293619"/>
    <w:rsid w:val="002936CD"/>
    <w:rsid w:val="00293806"/>
    <w:rsid w:val="00293960"/>
    <w:rsid w:val="00293B4A"/>
    <w:rsid w:val="00293BF8"/>
    <w:rsid w:val="00293D4E"/>
    <w:rsid w:val="00294188"/>
    <w:rsid w:val="0029424F"/>
    <w:rsid w:val="00294284"/>
    <w:rsid w:val="002942C1"/>
    <w:rsid w:val="002944EB"/>
    <w:rsid w:val="00294559"/>
    <w:rsid w:val="00294959"/>
    <w:rsid w:val="002949C5"/>
    <w:rsid w:val="00294B93"/>
    <w:rsid w:val="00294E5B"/>
    <w:rsid w:val="00294E9E"/>
    <w:rsid w:val="00294FFD"/>
    <w:rsid w:val="0029533F"/>
    <w:rsid w:val="002955ED"/>
    <w:rsid w:val="0029584F"/>
    <w:rsid w:val="0029595E"/>
    <w:rsid w:val="00295AE4"/>
    <w:rsid w:val="00295C45"/>
    <w:rsid w:val="00295C8B"/>
    <w:rsid w:val="00295E57"/>
    <w:rsid w:val="00295EFD"/>
    <w:rsid w:val="002961E2"/>
    <w:rsid w:val="0029625B"/>
    <w:rsid w:val="002962C9"/>
    <w:rsid w:val="00296FCB"/>
    <w:rsid w:val="002970A5"/>
    <w:rsid w:val="002970BA"/>
    <w:rsid w:val="002971BA"/>
    <w:rsid w:val="00297309"/>
    <w:rsid w:val="00297469"/>
    <w:rsid w:val="00297651"/>
    <w:rsid w:val="002976C4"/>
    <w:rsid w:val="002977E6"/>
    <w:rsid w:val="00297B9D"/>
    <w:rsid w:val="00297BBA"/>
    <w:rsid w:val="00297CD4"/>
    <w:rsid w:val="00297D8D"/>
    <w:rsid w:val="00297DEE"/>
    <w:rsid w:val="00297E71"/>
    <w:rsid w:val="00297F9C"/>
    <w:rsid w:val="00297FC6"/>
    <w:rsid w:val="002A0078"/>
    <w:rsid w:val="002A030F"/>
    <w:rsid w:val="002A0314"/>
    <w:rsid w:val="002A039A"/>
    <w:rsid w:val="002A047A"/>
    <w:rsid w:val="002A0603"/>
    <w:rsid w:val="002A0620"/>
    <w:rsid w:val="002A06B5"/>
    <w:rsid w:val="002A06FA"/>
    <w:rsid w:val="002A0701"/>
    <w:rsid w:val="002A07BC"/>
    <w:rsid w:val="002A08F1"/>
    <w:rsid w:val="002A09A7"/>
    <w:rsid w:val="002A0BB2"/>
    <w:rsid w:val="002A0BFE"/>
    <w:rsid w:val="002A0BFF"/>
    <w:rsid w:val="002A0D0C"/>
    <w:rsid w:val="002A0D9E"/>
    <w:rsid w:val="002A0E6F"/>
    <w:rsid w:val="002A1112"/>
    <w:rsid w:val="002A1118"/>
    <w:rsid w:val="002A112C"/>
    <w:rsid w:val="002A1175"/>
    <w:rsid w:val="002A1228"/>
    <w:rsid w:val="002A166C"/>
    <w:rsid w:val="002A16F5"/>
    <w:rsid w:val="002A1938"/>
    <w:rsid w:val="002A202E"/>
    <w:rsid w:val="002A20ED"/>
    <w:rsid w:val="002A27EB"/>
    <w:rsid w:val="002A2803"/>
    <w:rsid w:val="002A2939"/>
    <w:rsid w:val="002A2A37"/>
    <w:rsid w:val="002A2AD0"/>
    <w:rsid w:val="002A2AF9"/>
    <w:rsid w:val="002A2FD5"/>
    <w:rsid w:val="002A3226"/>
    <w:rsid w:val="002A331B"/>
    <w:rsid w:val="002A33B1"/>
    <w:rsid w:val="002A367D"/>
    <w:rsid w:val="002A388C"/>
    <w:rsid w:val="002A397D"/>
    <w:rsid w:val="002A39EA"/>
    <w:rsid w:val="002A3A1A"/>
    <w:rsid w:val="002A3A7C"/>
    <w:rsid w:val="002A3A7E"/>
    <w:rsid w:val="002A3CEC"/>
    <w:rsid w:val="002A3CFA"/>
    <w:rsid w:val="002A4126"/>
    <w:rsid w:val="002A431D"/>
    <w:rsid w:val="002A4340"/>
    <w:rsid w:val="002A459B"/>
    <w:rsid w:val="002A45EF"/>
    <w:rsid w:val="002A47E5"/>
    <w:rsid w:val="002A4804"/>
    <w:rsid w:val="002A4CAF"/>
    <w:rsid w:val="002A4CBC"/>
    <w:rsid w:val="002A4F87"/>
    <w:rsid w:val="002A501F"/>
    <w:rsid w:val="002A523B"/>
    <w:rsid w:val="002A55DA"/>
    <w:rsid w:val="002A56F3"/>
    <w:rsid w:val="002A5A6E"/>
    <w:rsid w:val="002A5B2E"/>
    <w:rsid w:val="002A5C28"/>
    <w:rsid w:val="002A5CEE"/>
    <w:rsid w:val="002A6139"/>
    <w:rsid w:val="002A62FE"/>
    <w:rsid w:val="002A63CA"/>
    <w:rsid w:val="002A64A1"/>
    <w:rsid w:val="002A6657"/>
    <w:rsid w:val="002A67B6"/>
    <w:rsid w:val="002A6A01"/>
    <w:rsid w:val="002A6B48"/>
    <w:rsid w:val="002A6BBC"/>
    <w:rsid w:val="002A6C4F"/>
    <w:rsid w:val="002A6D28"/>
    <w:rsid w:val="002A6F29"/>
    <w:rsid w:val="002A7275"/>
    <w:rsid w:val="002A75F0"/>
    <w:rsid w:val="002A7648"/>
    <w:rsid w:val="002A7ACE"/>
    <w:rsid w:val="002A7AE8"/>
    <w:rsid w:val="002A7B9E"/>
    <w:rsid w:val="002A7BB8"/>
    <w:rsid w:val="002B001C"/>
    <w:rsid w:val="002B0216"/>
    <w:rsid w:val="002B0435"/>
    <w:rsid w:val="002B05DF"/>
    <w:rsid w:val="002B08E7"/>
    <w:rsid w:val="002B08F4"/>
    <w:rsid w:val="002B0926"/>
    <w:rsid w:val="002B0B8E"/>
    <w:rsid w:val="002B0CE5"/>
    <w:rsid w:val="002B0EC5"/>
    <w:rsid w:val="002B1467"/>
    <w:rsid w:val="002B14CF"/>
    <w:rsid w:val="002B15A2"/>
    <w:rsid w:val="002B15AA"/>
    <w:rsid w:val="002B1770"/>
    <w:rsid w:val="002B1B71"/>
    <w:rsid w:val="002B1BBF"/>
    <w:rsid w:val="002B1EA0"/>
    <w:rsid w:val="002B1FA6"/>
    <w:rsid w:val="002B209A"/>
    <w:rsid w:val="002B2168"/>
    <w:rsid w:val="002B22D3"/>
    <w:rsid w:val="002B235E"/>
    <w:rsid w:val="002B24BE"/>
    <w:rsid w:val="002B2529"/>
    <w:rsid w:val="002B277D"/>
    <w:rsid w:val="002B28E7"/>
    <w:rsid w:val="002B2AB0"/>
    <w:rsid w:val="002B2AF0"/>
    <w:rsid w:val="002B2DA4"/>
    <w:rsid w:val="002B2DCE"/>
    <w:rsid w:val="002B2FCA"/>
    <w:rsid w:val="002B30AF"/>
    <w:rsid w:val="002B311C"/>
    <w:rsid w:val="002B312E"/>
    <w:rsid w:val="002B31B6"/>
    <w:rsid w:val="002B32D6"/>
    <w:rsid w:val="002B34A4"/>
    <w:rsid w:val="002B3739"/>
    <w:rsid w:val="002B378D"/>
    <w:rsid w:val="002B379F"/>
    <w:rsid w:val="002B38C6"/>
    <w:rsid w:val="002B3B56"/>
    <w:rsid w:val="002B3E7A"/>
    <w:rsid w:val="002B3EE6"/>
    <w:rsid w:val="002B3F32"/>
    <w:rsid w:val="002B4378"/>
    <w:rsid w:val="002B4394"/>
    <w:rsid w:val="002B43A5"/>
    <w:rsid w:val="002B43C2"/>
    <w:rsid w:val="002B44BC"/>
    <w:rsid w:val="002B457C"/>
    <w:rsid w:val="002B46C2"/>
    <w:rsid w:val="002B4D61"/>
    <w:rsid w:val="002B500D"/>
    <w:rsid w:val="002B5152"/>
    <w:rsid w:val="002B51EF"/>
    <w:rsid w:val="002B52AE"/>
    <w:rsid w:val="002B538F"/>
    <w:rsid w:val="002B560D"/>
    <w:rsid w:val="002B561E"/>
    <w:rsid w:val="002B5BFD"/>
    <w:rsid w:val="002B5CEF"/>
    <w:rsid w:val="002B601A"/>
    <w:rsid w:val="002B6044"/>
    <w:rsid w:val="002B61CB"/>
    <w:rsid w:val="002B644A"/>
    <w:rsid w:val="002B6515"/>
    <w:rsid w:val="002B6530"/>
    <w:rsid w:val="002B6531"/>
    <w:rsid w:val="002B65BA"/>
    <w:rsid w:val="002B66A5"/>
    <w:rsid w:val="002B67D1"/>
    <w:rsid w:val="002B7063"/>
    <w:rsid w:val="002B7217"/>
    <w:rsid w:val="002B72A2"/>
    <w:rsid w:val="002B7308"/>
    <w:rsid w:val="002B73B6"/>
    <w:rsid w:val="002B7693"/>
    <w:rsid w:val="002B7E17"/>
    <w:rsid w:val="002C00B2"/>
    <w:rsid w:val="002C0120"/>
    <w:rsid w:val="002C0164"/>
    <w:rsid w:val="002C0176"/>
    <w:rsid w:val="002C0346"/>
    <w:rsid w:val="002C0545"/>
    <w:rsid w:val="002C0691"/>
    <w:rsid w:val="002C06BF"/>
    <w:rsid w:val="002C084C"/>
    <w:rsid w:val="002C085F"/>
    <w:rsid w:val="002C0AC6"/>
    <w:rsid w:val="002C0BB3"/>
    <w:rsid w:val="002C0C30"/>
    <w:rsid w:val="002C0CDC"/>
    <w:rsid w:val="002C0D4B"/>
    <w:rsid w:val="002C0EBB"/>
    <w:rsid w:val="002C0F22"/>
    <w:rsid w:val="002C0F98"/>
    <w:rsid w:val="002C0FC5"/>
    <w:rsid w:val="002C11C2"/>
    <w:rsid w:val="002C11D5"/>
    <w:rsid w:val="002C144C"/>
    <w:rsid w:val="002C155C"/>
    <w:rsid w:val="002C19F9"/>
    <w:rsid w:val="002C1AF5"/>
    <w:rsid w:val="002C1CBB"/>
    <w:rsid w:val="002C1E67"/>
    <w:rsid w:val="002C222E"/>
    <w:rsid w:val="002C2234"/>
    <w:rsid w:val="002C24E6"/>
    <w:rsid w:val="002C25C6"/>
    <w:rsid w:val="002C29EF"/>
    <w:rsid w:val="002C2A48"/>
    <w:rsid w:val="002C3139"/>
    <w:rsid w:val="002C33BC"/>
    <w:rsid w:val="002C354B"/>
    <w:rsid w:val="002C357E"/>
    <w:rsid w:val="002C372D"/>
    <w:rsid w:val="002C3849"/>
    <w:rsid w:val="002C38F3"/>
    <w:rsid w:val="002C3A41"/>
    <w:rsid w:val="002C3AF7"/>
    <w:rsid w:val="002C3D4E"/>
    <w:rsid w:val="002C4053"/>
    <w:rsid w:val="002C4088"/>
    <w:rsid w:val="002C43A0"/>
    <w:rsid w:val="002C4851"/>
    <w:rsid w:val="002C4AAB"/>
    <w:rsid w:val="002C4B24"/>
    <w:rsid w:val="002C4E83"/>
    <w:rsid w:val="002C4F43"/>
    <w:rsid w:val="002C4F56"/>
    <w:rsid w:val="002C4F97"/>
    <w:rsid w:val="002C5013"/>
    <w:rsid w:val="002C5068"/>
    <w:rsid w:val="002C5073"/>
    <w:rsid w:val="002C50F6"/>
    <w:rsid w:val="002C5109"/>
    <w:rsid w:val="002C5505"/>
    <w:rsid w:val="002C563A"/>
    <w:rsid w:val="002C5640"/>
    <w:rsid w:val="002C57FC"/>
    <w:rsid w:val="002C597A"/>
    <w:rsid w:val="002C5A70"/>
    <w:rsid w:val="002C5AE1"/>
    <w:rsid w:val="002C5B77"/>
    <w:rsid w:val="002C60B2"/>
    <w:rsid w:val="002C61EF"/>
    <w:rsid w:val="002C6201"/>
    <w:rsid w:val="002C669B"/>
    <w:rsid w:val="002C6758"/>
    <w:rsid w:val="002C682D"/>
    <w:rsid w:val="002C6837"/>
    <w:rsid w:val="002C68B8"/>
    <w:rsid w:val="002C6A6B"/>
    <w:rsid w:val="002C6B63"/>
    <w:rsid w:val="002C6C8A"/>
    <w:rsid w:val="002C6D65"/>
    <w:rsid w:val="002C6FFA"/>
    <w:rsid w:val="002C70E8"/>
    <w:rsid w:val="002C7149"/>
    <w:rsid w:val="002C742C"/>
    <w:rsid w:val="002C76BD"/>
    <w:rsid w:val="002C7824"/>
    <w:rsid w:val="002C78FC"/>
    <w:rsid w:val="002C798F"/>
    <w:rsid w:val="002C7BB1"/>
    <w:rsid w:val="002D0144"/>
    <w:rsid w:val="002D018A"/>
    <w:rsid w:val="002D01CA"/>
    <w:rsid w:val="002D0209"/>
    <w:rsid w:val="002D0935"/>
    <w:rsid w:val="002D09C3"/>
    <w:rsid w:val="002D09D6"/>
    <w:rsid w:val="002D09DC"/>
    <w:rsid w:val="002D0C01"/>
    <w:rsid w:val="002D105F"/>
    <w:rsid w:val="002D1122"/>
    <w:rsid w:val="002D1331"/>
    <w:rsid w:val="002D1416"/>
    <w:rsid w:val="002D1528"/>
    <w:rsid w:val="002D15FE"/>
    <w:rsid w:val="002D1621"/>
    <w:rsid w:val="002D185F"/>
    <w:rsid w:val="002D1990"/>
    <w:rsid w:val="002D1A93"/>
    <w:rsid w:val="002D1B0E"/>
    <w:rsid w:val="002D1CA6"/>
    <w:rsid w:val="002D1CB5"/>
    <w:rsid w:val="002D1F13"/>
    <w:rsid w:val="002D1FE4"/>
    <w:rsid w:val="002D20BA"/>
    <w:rsid w:val="002D213D"/>
    <w:rsid w:val="002D2196"/>
    <w:rsid w:val="002D222F"/>
    <w:rsid w:val="002D286A"/>
    <w:rsid w:val="002D28B8"/>
    <w:rsid w:val="002D29C2"/>
    <w:rsid w:val="002D2D7F"/>
    <w:rsid w:val="002D2E0E"/>
    <w:rsid w:val="002D2F8D"/>
    <w:rsid w:val="002D3314"/>
    <w:rsid w:val="002D373B"/>
    <w:rsid w:val="002D382F"/>
    <w:rsid w:val="002D39E1"/>
    <w:rsid w:val="002D3B84"/>
    <w:rsid w:val="002D4023"/>
    <w:rsid w:val="002D41BD"/>
    <w:rsid w:val="002D4278"/>
    <w:rsid w:val="002D4390"/>
    <w:rsid w:val="002D4439"/>
    <w:rsid w:val="002D44FD"/>
    <w:rsid w:val="002D456D"/>
    <w:rsid w:val="002D458A"/>
    <w:rsid w:val="002D4609"/>
    <w:rsid w:val="002D498A"/>
    <w:rsid w:val="002D49A5"/>
    <w:rsid w:val="002D4B09"/>
    <w:rsid w:val="002D4B5A"/>
    <w:rsid w:val="002D4E8A"/>
    <w:rsid w:val="002D4EDB"/>
    <w:rsid w:val="002D4EDF"/>
    <w:rsid w:val="002D4F28"/>
    <w:rsid w:val="002D5204"/>
    <w:rsid w:val="002D54F1"/>
    <w:rsid w:val="002D5741"/>
    <w:rsid w:val="002D57E3"/>
    <w:rsid w:val="002D582A"/>
    <w:rsid w:val="002D583B"/>
    <w:rsid w:val="002D58EE"/>
    <w:rsid w:val="002D5C0F"/>
    <w:rsid w:val="002D5C6D"/>
    <w:rsid w:val="002D5DEB"/>
    <w:rsid w:val="002D5FDF"/>
    <w:rsid w:val="002D5FEC"/>
    <w:rsid w:val="002D6166"/>
    <w:rsid w:val="002D6292"/>
    <w:rsid w:val="002D633E"/>
    <w:rsid w:val="002D6554"/>
    <w:rsid w:val="002D65E2"/>
    <w:rsid w:val="002D6664"/>
    <w:rsid w:val="002D66BC"/>
    <w:rsid w:val="002D671D"/>
    <w:rsid w:val="002D687A"/>
    <w:rsid w:val="002D6906"/>
    <w:rsid w:val="002D6AE8"/>
    <w:rsid w:val="002D6C74"/>
    <w:rsid w:val="002D6D6C"/>
    <w:rsid w:val="002D6DC8"/>
    <w:rsid w:val="002D6E63"/>
    <w:rsid w:val="002D6FA5"/>
    <w:rsid w:val="002D6FD6"/>
    <w:rsid w:val="002D7221"/>
    <w:rsid w:val="002D723F"/>
    <w:rsid w:val="002D724D"/>
    <w:rsid w:val="002D73CD"/>
    <w:rsid w:val="002D7450"/>
    <w:rsid w:val="002D75F7"/>
    <w:rsid w:val="002D760B"/>
    <w:rsid w:val="002D7982"/>
    <w:rsid w:val="002D7A13"/>
    <w:rsid w:val="002D7B2F"/>
    <w:rsid w:val="002D7BA9"/>
    <w:rsid w:val="002D7D13"/>
    <w:rsid w:val="002D7D73"/>
    <w:rsid w:val="002D7E59"/>
    <w:rsid w:val="002D7E5B"/>
    <w:rsid w:val="002D7FAB"/>
    <w:rsid w:val="002E0104"/>
    <w:rsid w:val="002E02EA"/>
    <w:rsid w:val="002E05E6"/>
    <w:rsid w:val="002E0659"/>
    <w:rsid w:val="002E070A"/>
    <w:rsid w:val="002E0785"/>
    <w:rsid w:val="002E07B7"/>
    <w:rsid w:val="002E0C3F"/>
    <w:rsid w:val="002E0C63"/>
    <w:rsid w:val="002E0D36"/>
    <w:rsid w:val="002E0E92"/>
    <w:rsid w:val="002E0F7B"/>
    <w:rsid w:val="002E110B"/>
    <w:rsid w:val="002E153D"/>
    <w:rsid w:val="002E15DC"/>
    <w:rsid w:val="002E1729"/>
    <w:rsid w:val="002E172D"/>
    <w:rsid w:val="002E1933"/>
    <w:rsid w:val="002E1A6D"/>
    <w:rsid w:val="002E1D5D"/>
    <w:rsid w:val="002E1DC8"/>
    <w:rsid w:val="002E1EB8"/>
    <w:rsid w:val="002E1F16"/>
    <w:rsid w:val="002E1F17"/>
    <w:rsid w:val="002E21DE"/>
    <w:rsid w:val="002E293B"/>
    <w:rsid w:val="002E2946"/>
    <w:rsid w:val="002E296D"/>
    <w:rsid w:val="002E2A8F"/>
    <w:rsid w:val="002E2AA2"/>
    <w:rsid w:val="002E2B29"/>
    <w:rsid w:val="002E2CF5"/>
    <w:rsid w:val="002E2D59"/>
    <w:rsid w:val="002E3021"/>
    <w:rsid w:val="002E303E"/>
    <w:rsid w:val="002E319B"/>
    <w:rsid w:val="002E31A0"/>
    <w:rsid w:val="002E34E5"/>
    <w:rsid w:val="002E362C"/>
    <w:rsid w:val="002E3641"/>
    <w:rsid w:val="002E373D"/>
    <w:rsid w:val="002E37CB"/>
    <w:rsid w:val="002E398D"/>
    <w:rsid w:val="002E3CB7"/>
    <w:rsid w:val="002E3F55"/>
    <w:rsid w:val="002E3FEA"/>
    <w:rsid w:val="002E40A6"/>
    <w:rsid w:val="002E4215"/>
    <w:rsid w:val="002E4329"/>
    <w:rsid w:val="002E4339"/>
    <w:rsid w:val="002E467C"/>
    <w:rsid w:val="002E4768"/>
    <w:rsid w:val="002E4942"/>
    <w:rsid w:val="002E49DD"/>
    <w:rsid w:val="002E4C73"/>
    <w:rsid w:val="002E4E15"/>
    <w:rsid w:val="002E4EE9"/>
    <w:rsid w:val="002E4F3A"/>
    <w:rsid w:val="002E4FE4"/>
    <w:rsid w:val="002E5274"/>
    <w:rsid w:val="002E544A"/>
    <w:rsid w:val="002E5490"/>
    <w:rsid w:val="002E554E"/>
    <w:rsid w:val="002E56CA"/>
    <w:rsid w:val="002E5707"/>
    <w:rsid w:val="002E5720"/>
    <w:rsid w:val="002E5AFE"/>
    <w:rsid w:val="002E5B02"/>
    <w:rsid w:val="002E5B13"/>
    <w:rsid w:val="002E5B1A"/>
    <w:rsid w:val="002E5BD0"/>
    <w:rsid w:val="002E5C49"/>
    <w:rsid w:val="002E5E84"/>
    <w:rsid w:val="002E5E99"/>
    <w:rsid w:val="002E5F95"/>
    <w:rsid w:val="002E6144"/>
    <w:rsid w:val="002E622C"/>
    <w:rsid w:val="002E6279"/>
    <w:rsid w:val="002E62ED"/>
    <w:rsid w:val="002E634B"/>
    <w:rsid w:val="002E6360"/>
    <w:rsid w:val="002E64DC"/>
    <w:rsid w:val="002E6839"/>
    <w:rsid w:val="002E688F"/>
    <w:rsid w:val="002E6901"/>
    <w:rsid w:val="002E72F0"/>
    <w:rsid w:val="002E73F0"/>
    <w:rsid w:val="002E7415"/>
    <w:rsid w:val="002E743A"/>
    <w:rsid w:val="002E7689"/>
    <w:rsid w:val="002E771A"/>
    <w:rsid w:val="002E79D5"/>
    <w:rsid w:val="002E79FB"/>
    <w:rsid w:val="002E7A62"/>
    <w:rsid w:val="002E7AC0"/>
    <w:rsid w:val="002E7B90"/>
    <w:rsid w:val="002E7BB3"/>
    <w:rsid w:val="002E7C01"/>
    <w:rsid w:val="002E7F14"/>
    <w:rsid w:val="002E7F43"/>
    <w:rsid w:val="002E7F44"/>
    <w:rsid w:val="002E7FAE"/>
    <w:rsid w:val="002F0038"/>
    <w:rsid w:val="002F01C1"/>
    <w:rsid w:val="002F029A"/>
    <w:rsid w:val="002F02D6"/>
    <w:rsid w:val="002F05F6"/>
    <w:rsid w:val="002F0608"/>
    <w:rsid w:val="002F0891"/>
    <w:rsid w:val="002F08FB"/>
    <w:rsid w:val="002F09FE"/>
    <w:rsid w:val="002F0A49"/>
    <w:rsid w:val="002F0A66"/>
    <w:rsid w:val="002F0CD4"/>
    <w:rsid w:val="002F0DC9"/>
    <w:rsid w:val="002F0F8E"/>
    <w:rsid w:val="002F1039"/>
    <w:rsid w:val="002F119F"/>
    <w:rsid w:val="002F11DE"/>
    <w:rsid w:val="002F1351"/>
    <w:rsid w:val="002F1810"/>
    <w:rsid w:val="002F1CC5"/>
    <w:rsid w:val="002F1E3D"/>
    <w:rsid w:val="002F2254"/>
    <w:rsid w:val="002F2349"/>
    <w:rsid w:val="002F2444"/>
    <w:rsid w:val="002F2464"/>
    <w:rsid w:val="002F2527"/>
    <w:rsid w:val="002F25AF"/>
    <w:rsid w:val="002F2742"/>
    <w:rsid w:val="002F2754"/>
    <w:rsid w:val="002F27A8"/>
    <w:rsid w:val="002F2954"/>
    <w:rsid w:val="002F2B42"/>
    <w:rsid w:val="002F2C6F"/>
    <w:rsid w:val="002F2DB4"/>
    <w:rsid w:val="002F2E15"/>
    <w:rsid w:val="002F3141"/>
    <w:rsid w:val="002F3185"/>
    <w:rsid w:val="002F31F8"/>
    <w:rsid w:val="002F33DC"/>
    <w:rsid w:val="002F3420"/>
    <w:rsid w:val="002F34C7"/>
    <w:rsid w:val="002F34E1"/>
    <w:rsid w:val="002F35F1"/>
    <w:rsid w:val="002F3637"/>
    <w:rsid w:val="002F38D7"/>
    <w:rsid w:val="002F399F"/>
    <w:rsid w:val="002F3A6F"/>
    <w:rsid w:val="002F3C2C"/>
    <w:rsid w:val="002F3C32"/>
    <w:rsid w:val="002F3FAB"/>
    <w:rsid w:val="002F4157"/>
    <w:rsid w:val="002F4290"/>
    <w:rsid w:val="002F439F"/>
    <w:rsid w:val="002F44A5"/>
    <w:rsid w:val="002F47B2"/>
    <w:rsid w:val="002F48BA"/>
    <w:rsid w:val="002F4D82"/>
    <w:rsid w:val="002F4E9F"/>
    <w:rsid w:val="002F507D"/>
    <w:rsid w:val="002F5198"/>
    <w:rsid w:val="002F52F0"/>
    <w:rsid w:val="002F548C"/>
    <w:rsid w:val="002F5532"/>
    <w:rsid w:val="002F58CA"/>
    <w:rsid w:val="002F5975"/>
    <w:rsid w:val="002F59AE"/>
    <w:rsid w:val="002F59B5"/>
    <w:rsid w:val="002F5A82"/>
    <w:rsid w:val="002F5E7F"/>
    <w:rsid w:val="002F6233"/>
    <w:rsid w:val="002F6531"/>
    <w:rsid w:val="002F66D7"/>
    <w:rsid w:val="002F67A2"/>
    <w:rsid w:val="002F6906"/>
    <w:rsid w:val="002F694F"/>
    <w:rsid w:val="002F6D80"/>
    <w:rsid w:val="002F73C6"/>
    <w:rsid w:val="002F7652"/>
    <w:rsid w:val="002F7712"/>
    <w:rsid w:val="002F7804"/>
    <w:rsid w:val="002F782F"/>
    <w:rsid w:val="002F786A"/>
    <w:rsid w:val="002F7935"/>
    <w:rsid w:val="002F7A59"/>
    <w:rsid w:val="002F7CC3"/>
    <w:rsid w:val="002F7F41"/>
    <w:rsid w:val="00300294"/>
    <w:rsid w:val="003003EC"/>
    <w:rsid w:val="00300596"/>
    <w:rsid w:val="0030062C"/>
    <w:rsid w:val="0030073F"/>
    <w:rsid w:val="00300780"/>
    <w:rsid w:val="003007D8"/>
    <w:rsid w:val="00300EFE"/>
    <w:rsid w:val="0030129A"/>
    <w:rsid w:val="00301383"/>
    <w:rsid w:val="003013E9"/>
    <w:rsid w:val="003014B4"/>
    <w:rsid w:val="003016CD"/>
    <w:rsid w:val="003016E0"/>
    <w:rsid w:val="00301777"/>
    <w:rsid w:val="00301916"/>
    <w:rsid w:val="00301D85"/>
    <w:rsid w:val="00301DD1"/>
    <w:rsid w:val="00301EBC"/>
    <w:rsid w:val="00301F47"/>
    <w:rsid w:val="0030225C"/>
    <w:rsid w:val="003022FE"/>
    <w:rsid w:val="003023DE"/>
    <w:rsid w:val="003024B1"/>
    <w:rsid w:val="003024E1"/>
    <w:rsid w:val="0030264E"/>
    <w:rsid w:val="003026EC"/>
    <w:rsid w:val="003028AA"/>
    <w:rsid w:val="00302901"/>
    <w:rsid w:val="003029B2"/>
    <w:rsid w:val="00302A19"/>
    <w:rsid w:val="00302ABF"/>
    <w:rsid w:val="00302B8B"/>
    <w:rsid w:val="00302D87"/>
    <w:rsid w:val="00302F5F"/>
    <w:rsid w:val="00303068"/>
    <w:rsid w:val="003030BD"/>
    <w:rsid w:val="00303396"/>
    <w:rsid w:val="003033F5"/>
    <w:rsid w:val="003034A8"/>
    <w:rsid w:val="00303A0B"/>
    <w:rsid w:val="00303A3F"/>
    <w:rsid w:val="00303AA0"/>
    <w:rsid w:val="00303D02"/>
    <w:rsid w:val="00303F6C"/>
    <w:rsid w:val="003042A3"/>
    <w:rsid w:val="0030435F"/>
    <w:rsid w:val="003043FB"/>
    <w:rsid w:val="003044D6"/>
    <w:rsid w:val="00304613"/>
    <w:rsid w:val="00304A6B"/>
    <w:rsid w:val="00304B30"/>
    <w:rsid w:val="00304C5A"/>
    <w:rsid w:val="00304C6D"/>
    <w:rsid w:val="00304CD6"/>
    <w:rsid w:val="00304DA1"/>
    <w:rsid w:val="00304E89"/>
    <w:rsid w:val="00304F1F"/>
    <w:rsid w:val="00304F66"/>
    <w:rsid w:val="00305259"/>
    <w:rsid w:val="003052DE"/>
    <w:rsid w:val="00305355"/>
    <w:rsid w:val="00305452"/>
    <w:rsid w:val="003054A9"/>
    <w:rsid w:val="003054CC"/>
    <w:rsid w:val="00305683"/>
    <w:rsid w:val="00305698"/>
    <w:rsid w:val="00305751"/>
    <w:rsid w:val="00305A2A"/>
    <w:rsid w:val="00305B4D"/>
    <w:rsid w:val="00305BE7"/>
    <w:rsid w:val="00305E80"/>
    <w:rsid w:val="00306200"/>
    <w:rsid w:val="0030659A"/>
    <w:rsid w:val="00306686"/>
    <w:rsid w:val="003067C9"/>
    <w:rsid w:val="00306828"/>
    <w:rsid w:val="0030692F"/>
    <w:rsid w:val="0030694E"/>
    <w:rsid w:val="00306BAE"/>
    <w:rsid w:val="00306C68"/>
    <w:rsid w:val="00306D07"/>
    <w:rsid w:val="00306FE4"/>
    <w:rsid w:val="00307266"/>
    <w:rsid w:val="0030736C"/>
    <w:rsid w:val="0030740D"/>
    <w:rsid w:val="00307506"/>
    <w:rsid w:val="00307939"/>
    <w:rsid w:val="00307980"/>
    <w:rsid w:val="00307A3E"/>
    <w:rsid w:val="00307F27"/>
    <w:rsid w:val="00310017"/>
    <w:rsid w:val="00310039"/>
    <w:rsid w:val="003101A4"/>
    <w:rsid w:val="00310245"/>
    <w:rsid w:val="003102FE"/>
    <w:rsid w:val="0031030C"/>
    <w:rsid w:val="00310366"/>
    <w:rsid w:val="0031043A"/>
    <w:rsid w:val="003105CF"/>
    <w:rsid w:val="003105FB"/>
    <w:rsid w:val="00310619"/>
    <w:rsid w:val="00310C62"/>
    <w:rsid w:val="00310D0C"/>
    <w:rsid w:val="00310D87"/>
    <w:rsid w:val="00310E9D"/>
    <w:rsid w:val="0031111E"/>
    <w:rsid w:val="0031146E"/>
    <w:rsid w:val="0031147C"/>
    <w:rsid w:val="00311561"/>
    <w:rsid w:val="003117FD"/>
    <w:rsid w:val="00311937"/>
    <w:rsid w:val="00311E11"/>
    <w:rsid w:val="00311E75"/>
    <w:rsid w:val="00312131"/>
    <w:rsid w:val="00312133"/>
    <w:rsid w:val="003121A5"/>
    <w:rsid w:val="003123D1"/>
    <w:rsid w:val="00312508"/>
    <w:rsid w:val="00312698"/>
    <w:rsid w:val="0031276F"/>
    <w:rsid w:val="00312790"/>
    <w:rsid w:val="003129D8"/>
    <w:rsid w:val="00312E21"/>
    <w:rsid w:val="0031308E"/>
    <w:rsid w:val="00313438"/>
    <w:rsid w:val="003134FF"/>
    <w:rsid w:val="00313512"/>
    <w:rsid w:val="00313611"/>
    <w:rsid w:val="0031361C"/>
    <w:rsid w:val="00313EBC"/>
    <w:rsid w:val="0031405D"/>
    <w:rsid w:val="00314107"/>
    <w:rsid w:val="00314818"/>
    <w:rsid w:val="00314E1D"/>
    <w:rsid w:val="00314FAF"/>
    <w:rsid w:val="003151BA"/>
    <w:rsid w:val="003151F1"/>
    <w:rsid w:val="0031530F"/>
    <w:rsid w:val="00315351"/>
    <w:rsid w:val="003156A5"/>
    <w:rsid w:val="003157A7"/>
    <w:rsid w:val="00315A65"/>
    <w:rsid w:val="00315A8D"/>
    <w:rsid w:val="00315C21"/>
    <w:rsid w:val="00315D19"/>
    <w:rsid w:val="00315F5F"/>
    <w:rsid w:val="00315F6B"/>
    <w:rsid w:val="003161C6"/>
    <w:rsid w:val="0031648E"/>
    <w:rsid w:val="003164B5"/>
    <w:rsid w:val="0031664E"/>
    <w:rsid w:val="00316BE7"/>
    <w:rsid w:val="00316CA6"/>
    <w:rsid w:val="00316DC2"/>
    <w:rsid w:val="00316E72"/>
    <w:rsid w:val="0031703A"/>
    <w:rsid w:val="0031712F"/>
    <w:rsid w:val="0031713D"/>
    <w:rsid w:val="003171C5"/>
    <w:rsid w:val="00317217"/>
    <w:rsid w:val="003172F8"/>
    <w:rsid w:val="0031745D"/>
    <w:rsid w:val="003175FC"/>
    <w:rsid w:val="00317620"/>
    <w:rsid w:val="0031782F"/>
    <w:rsid w:val="00317852"/>
    <w:rsid w:val="003178E2"/>
    <w:rsid w:val="00317AB1"/>
    <w:rsid w:val="00317BB8"/>
    <w:rsid w:val="00317C1A"/>
    <w:rsid w:val="00317C35"/>
    <w:rsid w:val="00317C40"/>
    <w:rsid w:val="0032002F"/>
    <w:rsid w:val="003200A4"/>
    <w:rsid w:val="003200DD"/>
    <w:rsid w:val="0032047A"/>
    <w:rsid w:val="0032057A"/>
    <w:rsid w:val="003206D6"/>
    <w:rsid w:val="00320760"/>
    <w:rsid w:val="003209B4"/>
    <w:rsid w:val="00320BF6"/>
    <w:rsid w:val="0032135B"/>
    <w:rsid w:val="0032166D"/>
    <w:rsid w:val="00321A2F"/>
    <w:rsid w:val="00321B31"/>
    <w:rsid w:val="00321B41"/>
    <w:rsid w:val="00321D91"/>
    <w:rsid w:val="003220F2"/>
    <w:rsid w:val="003224C5"/>
    <w:rsid w:val="003224CB"/>
    <w:rsid w:val="00322546"/>
    <w:rsid w:val="003225D2"/>
    <w:rsid w:val="0032267C"/>
    <w:rsid w:val="00322761"/>
    <w:rsid w:val="00322A14"/>
    <w:rsid w:val="00322A31"/>
    <w:rsid w:val="00322A96"/>
    <w:rsid w:val="00322E07"/>
    <w:rsid w:val="00323055"/>
    <w:rsid w:val="003232EF"/>
    <w:rsid w:val="00323371"/>
    <w:rsid w:val="003233F9"/>
    <w:rsid w:val="00323415"/>
    <w:rsid w:val="00323683"/>
    <w:rsid w:val="003236AE"/>
    <w:rsid w:val="00323886"/>
    <w:rsid w:val="00323A7E"/>
    <w:rsid w:val="00323D32"/>
    <w:rsid w:val="00323D4A"/>
    <w:rsid w:val="00323DAE"/>
    <w:rsid w:val="0032401E"/>
    <w:rsid w:val="003243A3"/>
    <w:rsid w:val="003245E0"/>
    <w:rsid w:val="00324747"/>
    <w:rsid w:val="003247F0"/>
    <w:rsid w:val="003248A2"/>
    <w:rsid w:val="00324BCC"/>
    <w:rsid w:val="00324C88"/>
    <w:rsid w:val="00324D56"/>
    <w:rsid w:val="00324EF8"/>
    <w:rsid w:val="00324F7E"/>
    <w:rsid w:val="00325525"/>
    <w:rsid w:val="0032564B"/>
    <w:rsid w:val="0032586A"/>
    <w:rsid w:val="00325A57"/>
    <w:rsid w:val="00325BD9"/>
    <w:rsid w:val="00325D8E"/>
    <w:rsid w:val="00325FE2"/>
    <w:rsid w:val="0032612F"/>
    <w:rsid w:val="00326188"/>
    <w:rsid w:val="00326359"/>
    <w:rsid w:val="00326389"/>
    <w:rsid w:val="003264C1"/>
    <w:rsid w:val="003266A6"/>
    <w:rsid w:val="003266D1"/>
    <w:rsid w:val="00326D50"/>
    <w:rsid w:val="00327032"/>
    <w:rsid w:val="00327068"/>
    <w:rsid w:val="0032731D"/>
    <w:rsid w:val="00327340"/>
    <w:rsid w:val="00327397"/>
    <w:rsid w:val="00327645"/>
    <w:rsid w:val="00327996"/>
    <w:rsid w:val="00327ADB"/>
    <w:rsid w:val="00327BC0"/>
    <w:rsid w:val="00327BE1"/>
    <w:rsid w:val="00327C47"/>
    <w:rsid w:val="00327C74"/>
    <w:rsid w:val="00327D95"/>
    <w:rsid w:val="00330134"/>
    <w:rsid w:val="0033022A"/>
    <w:rsid w:val="003302D2"/>
    <w:rsid w:val="0033032A"/>
    <w:rsid w:val="003304AE"/>
    <w:rsid w:val="003305B5"/>
    <w:rsid w:val="00330BE2"/>
    <w:rsid w:val="00330C17"/>
    <w:rsid w:val="003313E0"/>
    <w:rsid w:val="003313E5"/>
    <w:rsid w:val="00331534"/>
    <w:rsid w:val="00331769"/>
    <w:rsid w:val="00331E8B"/>
    <w:rsid w:val="00332186"/>
    <w:rsid w:val="0033225D"/>
    <w:rsid w:val="003322BD"/>
    <w:rsid w:val="00332371"/>
    <w:rsid w:val="0033240A"/>
    <w:rsid w:val="0033248C"/>
    <w:rsid w:val="003324A7"/>
    <w:rsid w:val="00332B05"/>
    <w:rsid w:val="00332BCD"/>
    <w:rsid w:val="0033344A"/>
    <w:rsid w:val="0033353D"/>
    <w:rsid w:val="00333644"/>
    <w:rsid w:val="0033368B"/>
    <w:rsid w:val="00333A9F"/>
    <w:rsid w:val="00333AB3"/>
    <w:rsid w:val="00333B0A"/>
    <w:rsid w:val="00333D3D"/>
    <w:rsid w:val="00333E14"/>
    <w:rsid w:val="00333E73"/>
    <w:rsid w:val="00333F29"/>
    <w:rsid w:val="00334007"/>
    <w:rsid w:val="00334137"/>
    <w:rsid w:val="00334568"/>
    <w:rsid w:val="0033477D"/>
    <w:rsid w:val="00334782"/>
    <w:rsid w:val="003348A4"/>
    <w:rsid w:val="00334A00"/>
    <w:rsid w:val="00334A5B"/>
    <w:rsid w:val="00334CED"/>
    <w:rsid w:val="00334DB9"/>
    <w:rsid w:val="00334F1D"/>
    <w:rsid w:val="00334F62"/>
    <w:rsid w:val="0033508C"/>
    <w:rsid w:val="003351D8"/>
    <w:rsid w:val="00335383"/>
    <w:rsid w:val="003353C8"/>
    <w:rsid w:val="003353C9"/>
    <w:rsid w:val="003354BB"/>
    <w:rsid w:val="003357A5"/>
    <w:rsid w:val="003357FE"/>
    <w:rsid w:val="0033585E"/>
    <w:rsid w:val="00335A3C"/>
    <w:rsid w:val="00335CFE"/>
    <w:rsid w:val="00335D4C"/>
    <w:rsid w:val="00335F17"/>
    <w:rsid w:val="00336043"/>
    <w:rsid w:val="00336451"/>
    <w:rsid w:val="003368B2"/>
    <w:rsid w:val="003368B4"/>
    <w:rsid w:val="00336C4F"/>
    <w:rsid w:val="00336D28"/>
    <w:rsid w:val="003371B9"/>
    <w:rsid w:val="003372F0"/>
    <w:rsid w:val="003374E3"/>
    <w:rsid w:val="00337538"/>
    <w:rsid w:val="003376F3"/>
    <w:rsid w:val="00337791"/>
    <w:rsid w:val="0033786C"/>
    <w:rsid w:val="00337C47"/>
    <w:rsid w:val="00337D53"/>
    <w:rsid w:val="00337D8A"/>
    <w:rsid w:val="00337EAD"/>
    <w:rsid w:val="003403EE"/>
    <w:rsid w:val="0034065C"/>
    <w:rsid w:val="00340775"/>
    <w:rsid w:val="0034079B"/>
    <w:rsid w:val="00340898"/>
    <w:rsid w:val="003408EE"/>
    <w:rsid w:val="00340A14"/>
    <w:rsid w:val="00340A26"/>
    <w:rsid w:val="00340A4B"/>
    <w:rsid w:val="00340AAF"/>
    <w:rsid w:val="00340E64"/>
    <w:rsid w:val="00340E84"/>
    <w:rsid w:val="00340EB5"/>
    <w:rsid w:val="00340EC9"/>
    <w:rsid w:val="00340F24"/>
    <w:rsid w:val="003410BD"/>
    <w:rsid w:val="00341313"/>
    <w:rsid w:val="003413E0"/>
    <w:rsid w:val="00341533"/>
    <w:rsid w:val="003417BD"/>
    <w:rsid w:val="00341867"/>
    <w:rsid w:val="00341963"/>
    <w:rsid w:val="00341BEE"/>
    <w:rsid w:val="00341E70"/>
    <w:rsid w:val="00342018"/>
    <w:rsid w:val="003420F4"/>
    <w:rsid w:val="003421DF"/>
    <w:rsid w:val="003422A3"/>
    <w:rsid w:val="0034239D"/>
    <w:rsid w:val="003423AC"/>
    <w:rsid w:val="00342404"/>
    <w:rsid w:val="00342642"/>
    <w:rsid w:val="00342673"/>
    <w:rsid w:val="00342AD5"/>
    <w:rsid w:val="00342C48"/>
    <w:rsid w:val="00342CBB"/>
    <w:rsid w:val="00342EB4"/>
    <w:rsid w:val="00342F45"/>
    <w:rsid w:val="00342FB9"/>
    <w:rsid w:val="00343046"/>
    <w:rsid w:val="00343186"/>
    <w:rsid w:val="003432F1"/>
    <w:rsid w:val="0034335C"/>
    <w:rsid w:val="00343439"/>
    <w:rsid w:val="0034353E"/>
    <w:rsid w:val="0034360B"/>
    <w:rsid w:val="00343646"/>
    <w:rsid w:val="003436BA"/>
    <w:rsid w:val="00343A93"/>
    <w:rsid w:val="00343B37"/>
    <w:rsid w:val="00343D1B"/>
    <w:rsid w:val="00343E0E"/>
    <w:rsid w:val="0034403E"/>
    <w:rsid w:val="0034423A"/>
    <w:rsid w:val="00344440"/>
    <w:rsid w:val="0034463A"/>
    <w:rsid w:val="003448BD"/>
    <w:rsid w:val="00344922"/>
    <w:rsid w:val="003449B5"/>
    <w:rsid w:val="00344BB5"/>
    <w:rsid w:val="00344FBF"/>
    <w:rsid w:val="00344FC5"/>
    <w:rsid w:val="00345031"/>
    <w:rsid w:val="00345182"/>
    <w:rsid w:val="00345278"/>
    <w:rsid w:val="0034545A"/>
    <w:rsid w:val="00345523"/>
    <w:rsid w:val="00345742"/>
    <w:rsid w:val="0034582C"/>
    <w:rsid w:val="00345875"/>
    <w:rsid w:val="0034597E"/>
    <w:rsid w:val="00345BE6"/>
    <w:rsid w:val="00345E0F"/>
    <w:rsid w:val="00345F19"/>
    <w:rsid w:val="0034601A"/>
    <w:rsid w:val="003461FD"/>
    <w:rsid w:val="003462B8"/>
    <w:rsid w:val="00346307"/>
    <w:rsid w:val="00346735"/>
    <w:rsid w:val="00346847"/>
    <w:rsid w:val="003468E2"/>
    <w:rsid w:val="00346922"/>
    <w:rsid w:val="00346A3C"/>
    <w:rsid w:val="00346AF9"/>
    <w:rsid w:val="00346B5B"/>
    <w:rsid w:val="00346CBD"/>
    <w:rsid w:val="00346E15"/>
    <w:rsid w:val="00346E28"/>
    <w:rsid w:val="00346E29"/>
    <w:rsid w:val="00346FEE"/>
    <w:rsid w:val="00347033"/>
    <w:rsid w:val="003472A9"/>
    <w:rsid w:val="0034750D"/>
    <w:rsid w:val="003476DC"/>
    <w:rsid w:val="00347C18"/>
    <w:rsid w:val="00347DA0"/>
    <w:rsid w:val="00347F52"/>
    <w:rsid w:val="003501E6"/>
    <w:rsid w:val="003505B9"/>
    <w:rsid w:val="003505F5"/>
    <w:rsid w:val="003507E6"/>
    <w:rsid w:val="003507F5"/>
    <w:rsid w:val="003508CD"/>
    <w:rsid w:val="00350937"/>
    <w:rsid w:val="00350A80"/>
    <w:rsid w:val="00350B46"/>
    <w:rsid w:val="00350EDD"/>
    <w:rsid w:val="00350F4E"/>
    <w:rsid w:val="00350F7A"/>
    <w:rsid w:val="003510B1"/>
    <w:rsid w:val="00351125"/>
    <w:rsid w:val="00351339"/>
    <w:rsid w:val="003513A0"/>
    <w:rsid w:val="0035143A"/>
    <w:rsid w:val="0035144E"/>
    <w:rsid w:val="003514C7"/>
    <w:rsid w:val="003517F1"/>
    <w:rsid w:val="003519CC"/>
    <w:rsid w:val="003519DC"/>
    <w:rsid w:val="00351A15"/>
    <w:rsid w:val="00351CE7"/>
    <w:rsid w:val="00351D0F"/>
    <w:rsid w:val="00351E8A"/>
    <w:rsid w:val="00351FB2"/>
    <w:rsid w:val="00352110"/>
    <w:rsid w:val="0035219D"/>
    <w:rsid w:val="00352335"/>
    <w:rsid w:val="00352545"/>
    <w:rsid w:val="003527C0"/>
    <w:rsid w:val="00352DA5"/>
    <w:rsid w:val="00352E77"/>
    <w:rsid w:val="00352E89"/>
    <w:rsid w:val="00352ED4"/>
    <w:rsid w:val="00352FE1"/>
    <w:rsid w:val="00353014"/>
    <w:rsid w:val="0035324E"/>
    <w:rsid w:val="003538AB"/>
    <w:rsid w:val="00354334"/>
    <w:rsid w:val="003547B7"/>
    <w:rsid w:val="0035480B"/>
    <w:rsid w:val="003548EF"/>
    <w:rsid w:val="00354A06"/>
    <w:rsid w:val="00354CF9"/>
    <w:rsid w:val="00354D3C"/>
    <w:rsid w:val="00354EAF"/>
    <w:rsid w:val="00354ED9"/>
    <w:rsid w:val="0035542A"/>
    <w:rsid w:val="00355611"/>
    <w:rsid w:val="00355758"/>
    <w:rsid w:val="00355810"/>
    <w:rsid w:val="00355CAF"/>
    <w:rsid w:val="00355D50"/>
    <w:rsid w:val="00355DC5"/>
    <w:rsid w:val="00355EE7"/>
    <w:rsid w:val="00355F0A"/>
    <w:rsid w:val="00356081"/>
    <w:rsid w:val="003560F3"/>
    <w:rsid w:val="003566A8"/>
    <w:rsid w:val="003566B5"/>
    <w:rsid w:val="00356764"/>
    <w:rsid w:val="00356787"/>
    <w:rsid w:val="003567E6"/>
    <w:rsid w:val="00356839"/>
    <w:rsid w:val="00356CD0"/>
    <w:rsid w:val="00356EF0"/>
    <w:rsid w:val="00356FC0"/>
    <w:rsid w:val="00357168"/>
    <w:rsid w:val="003572BF"/>
    <w:rsid w:val="00357391"/>
    <w:rsid w:val="003573F8"/>
    <w:rsid w:val="003573FA"/>
    <w:rsid w:val="0035748A"/>
    <w:rsid w:val="003574C1"/>
    <w:rsid w:val="00357564"/>
    <w:rsid w:val="00357732"/>
    <w:rsid w:val="00357C62"/>
    <w:rsid w:val="00360078"/>
    <w:rsid w:val="003600BA"/>
    <w:rsid w:val="0036013F"/>
    <w:rsid w:val="0036021C"/>
    <w:rsid w:val="0036024B"/>
    <w:rsid w:val="0036049B"/>
    <w:rsid w:val="0036071C"/>
    <w:rsid w:val="003607FF"/>
    <w:rsid w:val="00360A37"/>
    <w:rsid w:val="00360D85"/>
    <w:rsid w:val="00360D87"/>
    <w:rsid w:val="00360DC2"/>
    <w:rsid w:val="00361064"/>
    <w:rsid w:val="003613F7"/>
    <w:rsid w:val="00361607"/>
    <w:rsid w:val="0036179B"/>
    <w:rsid w:val="00361946"/>
    <w:rsid w:val="00361B6F"/>
    <w:rsid w:val="00361BD3"/>
    <w:rsid w:val="00361C5E"/>
    <w:rsid w:val="00361C6D"/>
    <w:rsid w:val="00361C8A"/>
    <w:rsid w:val="00361E50"/>
    <w:rsid w:val="00361FDD"/>
    <w:rsid w:val="00362352"/>
    <w:rsid w:val="00362353"/>
    <w:rsid w:val="003623AB"/>
    <w:rsid w:val="003623C5"/>
    <w:rsid w:val="0036252E"/>
    <w:rsid w:val="003626C8"/>
    <w:rsid w:val="00362801"/>
    <w:rsid w:val="0036293B"/>
    <w:rsid w:val="003629E7"/>
    <w:rsid w:val="00362CE3"/>
    <w:rsid w:val="00363442"/>
    <w:rsid w:val="00363462"/>
    <w:rsid w:val="00363680"/>
    <w:rsid w:val="0036374C"/>
    <w:rsid w:val="003637B5"/>
    <w:rsid w:val="00363936"/>
    <w:rsid w:val="003639CA"/>
    <w:rsid w:val="00363A08"/>
    <w:rsid w:val="00363DC5"/>
    <w:rsid w:val="00363DDC"/>
    <w:rsid w:val="0036401A"/>
    <w:rsid w:val="00364068"/>
    <w:rsid w:val="003640A4"/>
    <w:rsid w:val="0036412A"/>
    <w:rsid w:val="00364185"/>
    <w:rsid w:val="00364306"/>
    <w:rsid w:val="0036445B"/>
    <w:rsid w:val="0036458D"/>
    <w:rsid w:val="00364824"/>
    <w:rsid w:val="00364D47"/>
    <w:rsid w:val="00364F26"/>
    <w:rsid w:val="00364F71"/>
    <w:rsid w:val="003650B9"/>
    <w:rsid w:val="0036535E"/>
    <w:rsid w:val="003653A7"/>
    <w:rsid w:val="00365714"/>
    <w:rsid w:val="00365835"/>
    <w:rsid w:val="00365841"/>
    <w:rsid w:val="00365BBE"/>
    <w:rsid w:val="00365D74"/>
    <w:rsid w:val="00365F92"/>
    <w:rsid w:val="00366446"/>
    <w:rsid w:val="003664D7"/>
    <w:rsid w:val="00366611"/>
    <w:rsid w:val="00366B63"/>
    <w:rsid w:val="00366B91"/>
    <w:rsid w:val="00366E55"/>
    <w:rsid w:val="00366F89"/>
    <w:rsid w:val="003673A8"/>
    <w:rsid w:val="00367464"/>
    <w:rsid w:val="003675BE"/>
    <w:rsid w:val="003678A3"/>
    <w:rsid w:val="003679FD"/>
    <w:rsid w:val="00367AA1"/>
    <w:rsid w:val="00367B66"/>
    <w:rsid w:val="00367C23"/>
    <w:rsid w:val="00367CAB"/>
    <w:rsid w:val="00367CC8"/>
    <w:rsid w:val="00367D1D"/>
    <w:rsid w:val="00367E2F"/>
    <w:rsid w:val="00367FC8"/>
    <w:rsid w:val="00370037"/>
    <w:rsid w:val="0037005F"/>
    <w:rsid w:val="0037014B"/>
    <w:rsid w:val="00370210"/>
    <w:rsid w:val="00370391"/>
    <w:rsid w:val="003703B8"/>
    <w:rsid w:val="0037055C"/>
    <w:rsid w:val="0037066C"/>
    <w:rsid w:val="003706DB"/>
    <w:rsid w:val="00370BF8"/>
    <w:rsid w:val="00370DAF"/>
    <w:rsid w:val="00370DFA"/>
    <w:rsid w:val="00370F90"/>
    <w:rsid w:val="00371356"/>
    <w:rsid w:val="00371609"/>
    <w:rsid w:val="00371702"/>
    <w:rsid w:val="00371766"/>
    <w:rsid w:val="003717A3"/>
    <w:rsid w:val="00371820"/>
    <w:rsid w:val="0037183F"/>
    <w:rsid w:val="0037197C"/>
    <w:rsid w:val="00371A09"/>
    <w:rsid w:val="00371A69"/>
    <w:rsid w:val="00371B9E"/>
    <w:rsid w:val="00371DC1"/>
    <w:rsid w:val="00371EC3"/>
    <w:rsid w:val="00372523"/>
    <w:rsid w:val="00372825"/>
    <w:rsid w:val="00372893"/>
    <w:rsid w:val="00372B82"/>
    <w:rsid w:val="00372C59"/>
    <w:rsid w:val="00372E82"/>
    <w:rsid w:val="003733DF"/>
    <w:rsid w:val="0037357C"/>
    <w:rsid w:val="00373A31"/>
    <w:rsid w:val="00373AD6"/>
    <w:rsid w:val="00373B2A"/>
    <w:rsid w:val="00373BB9"/>
    <w:rsid w:val="00373C1E"/>
    <w:rsid w:val="00373E85"/>
    <w:rsid w:val="0037413C"/>
    <w:rsid w:val="00374224"/>
    <w:rsid w:val="0037425F"/>
    <w:rsid w:val="003742B0"/>
    <w:rsid w:val="003745E3"/>
    <w:rsid w:val="003746F9"/>
    <w:rsid w:val="00374ABC"/>
    <w:rsid w:val="00374B5C"/>
    <w:rsid w:val="00374DF0"/>
    <w:rsid w:val="00374EEE"/>
    <w:rsid w:val="00374F54"/>
    <w:rsid w:val="0037512F"/>
    <w:rsid w:val="003751C8"/>
    <w:rsid w:val="003751CF"/>
    <w:rsid w:val="003751DF"/>
    <w:rsid w:val="003754DC"/>
    <w:rsid w:val="003755D7"/>
    <w:rsid w:val="00375605"/>
    <w:rsid w:val="003756EF"/>
    <w:rsid w:val="00375794"/>
    <w:rsid w:val="003757A1"/>
    <w:rsid w:val="00375E89"/>
    <w:rsid w:val="00375F8F"/>
    <w:rsid w:val="00376383"/>
    <w:rsid w:val="003763AA"/>
    <w:rsid w:val="00376557"/>
    <w:rsid w:val="00376578"/>
    <w:rsid w:val="00376685"/>
    <w:rsid w:val="00376828"/>
    <w:rsid w:val="003768D7"/>
    <w:rsid w:val="003769AA"/>
    <w:rsid w:val="00376AA0"/>
    <w:rsid w:val="00376CB1"/>
    <w:rsid w:val="00376D09"/>
    <w:rsid w:val="00376EF5"/>
    <w:rsid w:val="0037745D"/>
    <w:rsid w:val="00377523"/>
    <w:rsid w:val="003775E4"/>
    <w:rsid w:val="003777B3"/>
    <w:rsid w:val="003777D7"/>
    <w:rsid w:val="003777F3"/>
    <w:rsid w:val="00377BCE"/>
    <w:rsid w:val="00377D94"/>
    <w:rsid w:val="00377DF3"/>
    <w:rsid w:val="00377E18"/>
    <w:rsid w:val="00377EAD"/>
    <w:rsid w:val="00377EFE"/>
    <w:rsid w:val="00377FDB"/>
    <w:rsid w:val="0038021D"/>
    <w:rsid w:val="003803F4"/>
    <w:rsid w:val="00380523"/>
    <w:rsid w:val="00380972"/>
    <w:rsid w:val="00380995"/>
    <w:rsid w:val="00380A64"/>
    <w:rsid w:val="00380ADE"/>
    <w:rsid w:val="00380C59"/>
    <w:rsid w:val="00380FE3"/>
    <w:rsid w:val="00381195"/>
    <w:rsid w:val="003811FC"/>
    <w:rsid w:val="00381439"/>
    <w:rsid w:val="00381479"/>
    <w:rsid w:val="0038158C"/>
    <w:rsid w:val="00381810"/>
    <w:rsid w:val="00381B1C"/>
    <w:rsid w:val="00381D33"/>
    <w:rsid w:val="00382258"/>
    <w:rsid w:val="003823FB"/>
    <w:rsid w:val="0038246A"/>
    <w:rsid w:val="00382635"/>
    <w:rsid w:val="00382656"/>
    <w:rsid w:val="00382685"/>
    <w:rsid w:val="003829E9"/>
    <w:rsid w:val="00382B05"/>
    <w:rsid w:val="00382D4C"/>
    <w:rsid w:val="00382D6B"/>
    <w:rsid w:val="00382D81"/>
    <w:rsid w:val="00382E42"/>
    <w:rsid w:val="00382F06"/>
    <w:rsid w:val="003834DE"/>
    <w:rsid w:val="00383DF0"/>
    <w:rsid w:val="00383E48"/>
    <w:rsid w:val="00383E66"/>
    <w:rsid w:val="00383FE4"/>
    <w:rsid w:val="00383FFD"/>
    <w:rsid w:val="00384091"/>
    <w:rsid w:val="00384254"/>
    <w:rsid w:val="003842D0"/>
    <w:rsid w:val="003843BD"/>
    <w:rsid w:val="00384506"/>
    <w:rsid w:val="003845DB"/>
    <w:rsid w:val="003846C3"/>
    <w:rsid w:val="003846FA"/>
    <w:rsid w:val="0038481F"/>
    <w:rsid w:val="00384968"/>
    <w:rsid w:val="00384BEE"/>
    <w:rsid w:val="00384C7C"/>
    <w:rsid w:val="00384D8B"/>
    <w:rsid w:val="00384DBC"/>
    <w:rsid w:val="00384F47"/>
    <w:rsid w:val="0038501C"/>
    <w:rsid w:val="003853EB"/>
    <w:rsid w:val="0038557C"/>
    <w:rsid w:val="00385868"/>
    <w:rsid w:val="00385882"/>
    <w:rsid w:val="003859C3"/>
    <w:rsid w:val="003859DE"/>
    <w:rsid w:val="00385B53"/>
    <w:rsid w:val="00385B8A"/>
    <w:rsid w:val="00385C87"/>
    <w:rsid w:val="00385DDB"/>
    <w:rsid w:val="00385F7C"/>
    <w:rsid w:val="00385F85"/>
    <w:rsid w:val="00386383"/>
    <w:rsid w:val="0038639F"/>
    <w:rsid w:val="0038651F"/>
    <w:rsid w:val="00386537"/>
    <w:rsid w:val="00386B47"/>
    <w:rsid w:val="00386CB2"/>
    <w:rsid w:val="00386CB8"/>
    <w:rsid w:val="00386DA3"/>
    <w:rsid w:val="00386E50"/>
    <w:rsid w:val="00386E6C"/>
    <w:rsid w:val="00386EF3"/>
    <w:rsid w:val="00386EFE"/>
    <w:rsid w:val="0038707A"/>
    <w:rsid w:val="00387093"/>
    <w:rsid w:val="00387240"/>
    <w:rsid w:val="0038730C"/>
    <w:rsid w:val="003875D7"/>
    <w:rsid w:val="00387742"/>
    <w:rsid w:val="003877BA"/>
    <w:rsid w:val="00387982"/>
    <w:rsid w:val="003879CA"/>
    <w:rsid w:val="00387A6A"/>
    <w:rsid w:val="00387C31"/>
    <w:rsid w:val="00390344"/>
    <w:rsid w:val="00390439"/>
    <w:rsid w:val="003904A3"/>
    <w:rsid w:val="0039053E"/>
    <w:rsid w:val="003905C1"/>
    <w:rsid w:val="003905CD"/>
    <w:rsid w:val="00390890"/>
    <w:rsid w:val="00390A4E"/>
    <w:rsid w:val="00391071"/>
    <w:rsid w:val="003910B9"/>
    <w:rsid w:val="003910F0"/>
    <w:rsid w:val="00391129"/>
    <w:rsid w:val="003911E4"/>
    <w:rsid w:val="003911ED"/>
    <w:rsid w:val="00391375"/>
    <w:rsid w:val="00391389"/>
    <w:rsid w:val="003914AA"/>
    <w:rsid w:val="00391695"/>
    <w:rsid w:val="00391C48"/>
    <w:rsid w:val="00391CFB"/>
    <w:rsid w:val="00391F52"/>
    <w:rsid w:val="00391FA2"/>
    <w:rsid w:val="003924E5"/>
    <w:rsid w:val="00392556"/>
    <w:rsid w:val="00392924"/>
    <w:rsid w:val="00392B1C"/>
    <w:rsid w:val="00392C13"/>
    <w:rsid w:val="00392D08"/>
    <w:rsid w:val="00392EDB"/>
    <w:rsid w:val="00392F04"/>
    <w:rsid w:val="0039341E"/>
    <w:rsid w:val="003936A4"/>
    <w:rsid w:val="003937F3"/>
    <w:rsid w:val="003938D0"/>
    <w:rsid w:val="0039391C"/>
    <w:rsid w:val="00393AEB"/>
    <w:rsid w:val="00393B2C"/>
    <w:rsid w:val="00393C6A"/>
    <w:rsid w:val="0039438A"/>
    <w:rsid w:val="003945BA"/>
    <w:rsid w:val="0039463D"/>
    <w:rsid w:val="00394A43"/>
    <w:rsid w:val="00394CDA"/>
    <w:rsid w:val="00394D1C"/>
    <w:rsid w:val="00394D4E"/>
    <w:rsid w:val="00395025"/>
    <w:rsid w:val="003950EF"/>
    <w:rsid w:val="003951AB"/>
    <w:rsid w:val="00395935"/>
    <w:rsid w:val="00395C70"/>
    <w:rsid w:val="00395CB3"/>
    <w:rsid w:val="00395E29"/>
    <w:rsid w:val="0039610D"/>
    <w:rsid w:val="00396262"/>
    <w:rsid w:val="00396375"/>
    <w:rsid w:val="00396C4B"/>
    <w:rsid w:val="00396DA1"/>
    <w:rsid w:val="00396FD3"/>
    <w:rsid w:val="00397094"/>
    <w:rsid w:val="0039719C"/>
    <w:rsid w:val="00397230"/>
    <w:rsid w:val="00397477"/>
    <w:rsid w:val="00397588"/>
    <w:rsid w:val="00397632"/>
    <w:rsid w:val="003976C9"/>
    <w:rsid w:val="003977C0"/>
    <w:rsid w:val="00397AA9"/>
    <w:rsid w:val="00397B57"/>
    <w:rsid w:val="00397CB6"/>
    <w:rsid w:val="00397DCF"/>
    <w:rsid w:val="00397EED"/>
    <w:rsid w:val="00397F18"/>
    <w:rsid w:val="00397F2D"/>
    <w:rsid w:val="00397FFE"/>
    <w:rsid w:val="003A013C"/>
    <w:rsid w:val="003A0223"/>
    <w:rsid w:val="003A024F"/>
    <w:rsid w:val="003A0317"/>
    <w:rsid w:val="003A0507"/>
    <w:rsid w:val="003A0763"/>
    <w:rsid w:val="003A081F"/>
    <w:rsid w:val="003A08BA"/>
    <w:rsid w:val="003A0920"/>
    <w:rsid w:val="003A0A29"/>
    <w:rsid w:val="003A0B06"/>
    <w:rsid w:val="003A0B41"/>
    <w:rsid w:val="003A0C67"/>
    <w:rsid w:val="003A11B3"/>
    <w:rsid w:val="003A11F1"/>
    <w:rsid w:val="003A13D2"/>
    <w:rsid w:val="003A17F7"/>
    <w:rsid w:val="003A1954"/>
    <w:rsid w:val="003A1B88"/>
    <w:rsid w:val="003A1EAC"/>
    <w:rsid w:val="003A1F7A"/>
    <w:rsid w:val="003A2032"/>
    <w:rsid w:val="003A2048"/>
    <w:rsid w:val="003A2176"/>
    <w:rsid w:val="003A237D"/>
    <w:rsid w:val="003A2528"/>
    <w:rsid w:val="003A262A"/>
    <w:rsid w:val="003A29B9"/>
    <w:rsid w:val="003A2B2C"/>
    <w:rsid w:val="003A3068"/>
    <w:rsid w:val="003A3140"/>
    <w:rsid w:val="003A31F7"/>
    <w:rsid w:val="003A35CE"/>
    <w:rsid w:val="003A3644"/>
    <w:rsid w:val="003A37DD"/>
    <w:rsid w:val="003A39B7"/>
    <w:rsid w:val="003A3A7B"/>
    <w:rsid w:val="003A3DFF"/>
    <w:rsid w:val="003A3F98"/>
    <w:rsid w:val="003A416A"/>
    <w:rsid w:val="003A43E5"/>
    <w:rsid w:val="003A4E3F"/>
    <w:rsid w:val="003A4F3E"/>
    <w:rsid w:val="003A4FC5"/>
    <w:rsid w:val="003A4FEC"/>
    <w:rsid w:val="003A5294"/>
    <w:rsid w:val="003A5398"/>
    <w:rsid w:val="003A55C0"/>
    <w:rsid w:val="003A564C"/>
    <w:rsid w:val="003A591D"/>
    <w:rsid w:val="003A5A1A"/>
    <w:rsid w:val="003A5A30"/>
    <w:rsid w:val="003A6194"/>
    <w:rsid w:val="003A61F5"/>
    <w:rsid w:val="003A6544"/>
    <w:rsid w:val="003A667A"/>
    <w:rsid w:val="003A6761"/>
    <w:rsid w:val="003A6917"/>
    <w:rsid w:val="003A6946"/>
    <w:rsid w:val="003A69C1"/>
    <w:rsid w:val="003A6D79"/>
    <w:rsid w:val="003A6E76"/>
    <w:rsid w:val="003A6EBF"/>
    <w:rsid w:val="003A7049"/>
    <w:rsid w:val="003A7291"/>
    <w:rsid w:val="003A769E"/>
    <w:rsid w:val="003A76C5"/>
    <w:rsid w:val="003A7981"/>
    <w:rsid w:val="003A7ACB"/>
    <w:rsid w:val="003A7C0A"/>
    <w:rsid w:val="003A7C7B"/>
    <w:rsid w:val="003A7DD1"/>
    <w:rsid w:val="003A7E83"/>
    <w:rsid w:val="003B033E"/>
    <w:rsid w:val="003B0377"/>
    <w:rsid w:val="003B05A7"/>
    <w:rsid w:val="003B0CD6"/>
    <w:rsid w:val="003B0D33"/>
    <w:rsid w:val="003B0E1B"/>
    <w:rsid w:val="003B0E75"/>
    <w:rsid w:val="003B1101"/>
    <w:rsid w:val="003B1615"/>
    <w:rsid w:val="003B1642"/>
    <w:rsid w:val="003B1821"/>
    <w:rsid w:val="003B1EA8"/>
    <w:rsid w:val="003B2A99"/>
    <w:rsid w:val="003B2B60"/>
    <w:rsid w:val="003B2E02"/>
    <w:rsid w:val="003B3124"/>
    <w:rsid w:val="003B3247"/>
    <w:rsid w:val="003B324B"/>
    <w:rsid w:val="003B34CB"/>
    <w:rsid w:val="003B3580"/>
    <w:rsid w:val="003B39CC"/>
    <w:rsid w:val="003B3B19"/>
    <w:rsid w:val="003B3BB5"/>
    <w:rsid w:val="003B4026"/>
    <w:rsid w:val="003B40C9"/>
    <w:rsid w:val="003B41C3"/>
    <w:rsid w:val="003B4285"/>
    <w:rsid w:val="003B42B5"/>
    <w:rsid w:val="003B44EC"/>
    <w:rsid w:val="003B468A"/>
    <w:rsid w:val="003B47B4"/>
    <w:rsid w:val="003B49D9"/>
    <w:rsid w:val="003B4B47"/>
    <w:rsid w:val="003B4D82"/>
    <w:rsid w:val="003B4E17"/>
    <w:rsid w:val="003B51A6"/>
    <w:rsid w:val="003B54DD"/>
    <w:rsid w:val="003B5705"/>
    <w:rsid w:val="003B5712"/>
    <w:rsid w:val="003B590D"/>
    <w:rsid w:val="003B5B37"/>
    <w:rsid w:val="003B5C57"/>
    <w:rsid w:val="003B5CBC"/>
    <w:rsid w:val="003B5D54"/>
    <w:rsid w:val="003B5EA0"/>
    <w:rsid w:val="003B5F32"/>
    <w:rsid w:val="003B657D"/>
    <w:rsid w:val="003B65F1"/>
    <w:rsid w:val="003B68FC"/>
    <w:rsid w:val="003B6991"/>
    <w:rsid w:val="003B6B1C"/>
    <w:rsid w:val="003B6E7D"/>
    <w:rsid w:val="003B71C5"/>
    <w:rsid w:val="003B72F2"/>
    <w:rsid w:val="003B7464"/>
    <w:rsid w:val="003B7572"/>
    <w:rsid w:val="003B7C37"/>
    <w:rsid w:val="003B7C70"/>
    <w:rsid w:val="003B7D09"/>
    <w:rsid w:val="003B7F2E"/>
    <w:rsid w:val="003B7FC5"/>
    <w:rsid w:val="003C0032"/>
    <w:rsid w:val="003C0211"/>
    <w:rsid w:val="003C028B"/>
    <w:rsid w:val="003C02BD"/>
    <w:rsid w:val="003C02DF"/>
    <w:rsid w:val="003C02E9"/>
    <w:rsid w:val="003C041D"/>
    <w:rsid w:val="003C05C1"/>
    <w:rsid w:val="003C06AD"/>
    <w:rsid w:val="003C0721"/>
    <w:rsid w:val="003C084A"/>
    <w:rsid w:val="003C09ED"/>
    <w:rsid w:val="003C0DD5"/>
    <w:rsid w:val="003C0EA9"/>
    <w:rsid w:val="003C10C1"/>
    <w:rsid w:val="003C10FC"/>
    <w:rsid w:val="003C16D1"/>
    <w:rsid w:val="003C186D"/>
    <w:rsid w:val="003C187D"/>
    <w:rsid w:val="003C1A52"/>
    <w:rsid w:val="003C1FA7"/>
    <w:rsid w:val="003C204C"/>
    <w:rsid w:val="003C25EA"/>
    <w:rsid w:val="003C2755"/>
    <w:rsid w:val="003C2828"/>
    <w:rsid w:val="003C2893"/>
    <w:rsid w:val="003C2A2D"/>
    <w:rsid w:val="003C2A97"/>
    <w:rsid w:val="003C2D00"/>
    <w:rsid w:val="003C2D75"/>
    <w:rsid w:val="003C2D8D"/>
    <w:rsid w:val="003C2E43"/>
    <w:rsid w:val="003C2ED8"/>
    <w:rsid w:val="003C306C"/>
    <w:rsid w:val="003C3536"/>
    <w:rsid w:val="003C3988"/>
    <w:rsid w:val="003C3ADE"/>
    <w:rsid w:val="003C3C08"/>
    <w:rsid w:val="003C3D65"/>
    <w:rsid w:val="003C3D67"/>
    <w:rsid w:val="003C3F3E"/>
    <w:rsid w:val="003C417B"/>
    <w:rsid w:val="003C43F8"/>
    <w:rsid w:val="003C4422"/>
    <w:rsid w:val="003C4433"/>
    <w:rsid w:val="003C45E1"/>
    <w:rsid w:val="003C4761"/>
    <w:rsid w:val="003C4810"/>
    <w:rsid w:val="003C4894"/>
    <w:rsid w:val="003C4A0C"/>
    <w:rsid w:val="003C4A83"/>
    <w:rsid w:val="003C4C5C"/>
    <w:rsid w:val="003C4D56"/>
    <w:rsid w:val="003C4D8D"/>
    <w:rsid w:val="003C4EF6"/>
    <w:rsid w:val="003C4F2D"/>
    <w:rsid w:val="003C510C"/>
    <w:rsid w:val="003C55B3"/>
    <w:rsid w:val="003C55C2"/>
    <w:rsid w:val="003C5719"/>
    <w:rsid w:val="003C5DCD"/>
    <w:rsid w:val="003C60BF"/>
    <w:rsid w:val="003C62A0"/>
    <w:rsid w:val="003C62C0"/>
    <w:rsid w:val="003C62E5"/>
    <w:rsid w:val="003C634B"/>
    <w:rsid w:val="003C677C"/>
    <w:rsid w:val="003C68BD"/>
    <w:rsid w:val="003C6919"/>
    <w:rsid w:val="003C6968"/>
    <w:rsid w:val="003C69B1"/>
    <w:rsid w:val="003C6EF8"/>
    <w:rsid w:val="003C6F14"/>
    <w:rsid w:val="003C7065"/>
    <w:rsid w:val="003C717F"/>
    <w:rsid w:val="003C71E0"/>
    <w:rsid w:val="003C7204"/>
    <w:rsid w:val="003C7301"/>
    <w:rsid w:val="003C73F7"/>
    <w:rsid w:val="003C74B8"/>
    <w:rsid w:val="003C7784"/>
    <w:rsid w:val="003C77C5"/>
    <w:rsid w:val="003C78E5"/>
    <w:rsid w:val="003C7918"/>
    <w:rsid w:val="003C7D8D"/>
    <w:rsid w:val="003D023F"/>
    <w:rsid w:val="003D0364"/>
    <w:rsid w:val="003D03E2"/>
    <w:rsid w:val="003D062B"/>
    <w:rsid w:val="003D07E2"/>
    <w:rsid w:val="003D08DB"/>
    <w:rsid w:val="003D0A6C"/>
    <w:rsid w:val="003D0D6B"/>
    <w:rsid w:val="003D0DA8"/>
    <w:rsid w:val="003D0F09"/>
    <w:rsid w:val="003D102F"/>
    <w:rsid w:val="003D107D"/>
    <w:rsid w:val="003D124A"/>
    <w:rsid w:val="003D14CC"/>
    <w:rsid w:val="003D154F"/>
    <w:rsid w:val="003D1662"/>
    <w:rsid w:val="003D1851"/>
    <w:rsid w:val="003D1903"/>
    <w:rsid w:val="003D19EF"/>
    <w:rsid w:val="003D1A05"/>
    <w:rsid w:val="003D1AAA"/>
    <w:rsid w:val="003D1ABD"/>
    <w:rsid w:val="003D1B70"/>
    <w:rsid w:val="003D1DA0"/>
    <w:rsid w:val="003D1F66"/>
    <w:rsid w:val="003D1F94"/>
    <w:rsid w:val="003D21D7"/>
    <w:rsid w:val="003D21D8"/>
    <w:rsid w:val="003D22E7"/>
    <w:rsid w:val="003D250E"/>
    <w:rsid w:val="003D279D"/>
    <w:rsid w:val="003D2860"/>
    <w:rsid w:val="003D2F7C"/>
    <w:rsid w:val="003D301D"/>
    <w:rsid w:val="003D3070"/>
    <w:rsid w:val="003D3685"/>
    <w:rsid w:val="003D37D3"/>
    <w:rsid w:val="003D382F"/>
    <w:rsid w:val="003D38E7"/>
    <w:rsid w:val="003D3953"/>
    <w:rsid w:val="003D39B6"/>
    <w:rsid w:val="003D3DFB"/>
    <w:rsid w:val="003D3E31"/>
    <w:rsid w:val="003D3E74"/>
    <w:rsid w:val="003D40F0"/>
    <w:rsid w:val="003D4484"/>
    <w:rsid w:val="003D4530"/>
    <w:rsid w:val="003D45B3"/>
    <w:rsid w:val="003D468D"/>
    <w:rsid w:val="003D47F1"/>
    <w:rsid w:val="003D485F"/>
    <w:rsid w:val="003D49E6"/>
    <w:rsid w:val="003D4D89"/>
    <w:rsid w:val="003D5023"/>
    <w:rsid w:val="003D5038"/>
    <w:rsid w:val="003D54F3"/>
    <w:rsid w:val="003D5632"/>
    <w:rsid w:val="003D5A3B"/>
    <w:rsid w:val="003D5B02"/>
    <w:rsid w:val="003D5B2B"/>
    <w:rsid w:val="003D5BD1"/>
    <w:rsid w:val="003D5DDB"/>
    <w:rsid w:val="003D60D6"/>
    <w:rsid w:val="003D62E8"/>
    <w:rsid w:val="003D63F5"/>
    <w:rsid w:val="003D6538"/>
    <w:rsid w:val="003D65C3"/>
    <w:rsid w:val="003D65C4"/>
    <w:rsid w:val="003D6661"/>
    <w:rsid w:val="003D6A79"/>
    <w:rsid w:val="003D6AD9"/>
    <w:rsid w:val="003D6B03"/>
    <w:rsid w:val="003D6BCF"/>
    <w:rsid w:val="003D6FD6"/>
    <w:rsid w:val="003D7087"/>
    <w:rsid w:val="003D72CC"/>
    <w:rsid w:val="003D72FC"/>
    <w:rsid w:val="003D72FE"/>
    <w:rsid w:val="003D73B2"/>
    <w:rsid w:val="003D7533"/>
    <w:rsid w:val="003D75F6"/>
    <w:rsid w:val="003D776B"/>
    <w:rsid w:val="003D77AE"/>
    <w:rsid w:val="003D78A6"/>
    <w:rsid w:val="003D7993"/>
    <w:rsid w:val="003D79E1"/>
    <w:rsid w:val="003D7A25"/>
    <w:rsid w:val="003D7D12"/>
    <w:rsid w:val="003D7ED7"/>
    <w:rsid w:val="003E0062"/>
    <w:rsid w:val="003E00F8"/>
    <w:rsid w:val="003E0149"/>
    <w:rsid w:val="003E036A"/>
    <w:rsid w:val="003E0750"/>
    <w:rsid w:val="003E07AC"/>
    <w:rsid w:val="003E07DC"/>
    <w:rsid w:val="003E0BBB"/>
    <w:rsid w:val="003E1307"/>
    <w:rsid w:val="003E140F"/>
    <w:rsid w:val="003E1526"/>
    <w:rsid w:val="003E15A3"/>
    <w:rsid w:val="003E17F9"/>
    <w:rsid w:val="003E17FD"/>
    <w:rsid w:val="003E1A4E"/>
    <w:rsid w:val="003E1BEA"/>
    <w:rsid w:val="003E1E77"/>
    <w:rsid w:val="003E1EF1"/>
    <w:rsid w:val="003E20F0"/>
    <w:rsid w:val="003E2221"/>
    <w:rsid w:val="003E23EC"/>
    <w:rsid w:val="003E2621"/>
    <w:rsid w:val="003E2643"/>
    <w:rsid w:val="003E27AB"/>
    <w:rsid w:val="003E27DF"/>
    <w:rsid w:val="003E2A8E"/>
    <w:rsid w:val="003E2CE7"/>
    <w:rsid w:val="003E2D63"/>
    <w:rsid w:val="003E2DFB"/>
    <w:rsid w:val="003E2ECA"/>
    <w:rsid w:val="003E2F35"/>
    <w:rsid w:val="003E2F55"/>
    <w:rsid w:val="003E2F91"/>
    <w:rsid w:val="003E306F"/>
    <w:rsid w:val="003E3792"/>
    <w:rsid w:val="003E3937"/>
    <w:rsid w:val="003E398E"/>
    <w:rsid w:val="003E3A11"/>
    <w:rsid w:val="003E3B27"/>
    <w:rsid w:val="003E3B39"/>
    <w:rsid w:val="003E3E4B"/>
    <w:rsid w:val="003E404B"/>
    <w:rsid w:val="003E4177"/>
    <w:rsid w:val="003E42D4"/>
    <w:rsid w:val="003E4417"/>
    <w:rsid w:val="003E45B2"/>
    <w:rsid w:val="003E4653"/>
    <w:rsid w:val="003E4695"/>
    <w:rsid w:val="003E4861"/>
    <w:rsid w:val="003E4CC0"/>
    <w:rsid w:val="003E4E88"/>
    <w:rsid w:val="003E4E8D"/>
    <w:rsid w:val="003E4F2E"/>
    <w:rsid w:val="003E5479"/>
    <w:rsid w:val="003E5498"/>
    <w:rsid w:val="003E58C2"/>
    <w:rsid w:val="003E59C8"/>
    <w:rsid w:val="003E5B79"/>
    <w:rsid w:val="003E5C0C"/>
    <w:rsid w:val="003E5C73"/>
    <w:rsid w:val="003E5D56"/>
    <w:rsid w:val="003E5DA9"/>
    <w:rsid w:val="003E5FAE"/>
    <w:rsid w:val="003E61CC"/>
    <w:rsid w:val="003E6336"/>
    <w:rsid w:val="003E65A9"/>
    <w:rsid w:val="003E66F0"/>
    <w:rsid w:val="003E6760"/>
    <w:rsid w:val="003E679F"/>
    <w:rsid w:val="003E69DE"/>
    <w:rsid w:val="003E6A17"/>
    <w:rsid w:val="003E6B90"/>
    <w:rsid w:val="003E6C59"/>
    <w:rsid w:val="003E6C61"/>
    <w:rsid w:val="003E6CCA"/>
    <w:rsid w:val="003E6D04"/>
    <w:rsid w:val="003E6DCA"/>
    <w:rsid w:val="003E6F54"/>
    <w:rsid w:val="003E6F8F"/>
    <w:rsid w:val="003E73B5"/>
    <w:rsid w:val="003E772D"/>
    <w:rsid w:val="003E7D13"/>
    <w:rsid w:val="003E7E86"/>
    <w:rsid w:val="003E7EAA"/>
    <w:rsid w:val="003E7FD0"/>
    <w:rsid w:val="003F0180"/>
    <w:rsid w:val="003F0554"/>
    <w:rsid w:val="003F0557"/>
    <w:rsid w:val="003F0738"/>
    <w:rsid w:val="003F0A9A"/>
    <w:rsid w:val="003F0B6B"/>
    <w:rsid w:val="003F0C6A"/>
    <w:rsid w:val="003F0C93"/>
    <w:rsid w:val="003F0E90"/>
    <w:rsid w:val="003F0F04"/>
    <w:rsid w:val="003F0FF8"/>
    <w:rsid w:val="003F129A"/>
    <w:rsid w:val="003F1359"/>
    <w:rsid w:val="003F135B"/>
    <w:rsid w:val="003F1391"/>
    <w:rsid w:val="003F139F"/>
    <w:rsid w:val="003F13CD"/>
    <w:rsid w:val="003F14A3"/>
    <w:rsid w:val="003F16C2"/>
    <w:rsid w:val="003F170A"/>
    <w:rsid w:val="003F1828"/>
    <w:rsid w:val="003F1915"/>
    <w:rsid w:val="003F1967"/>
    <w:rsid w:val="003F1A15"/>
    <w:rsid w:val="003F1ABD"/>
    <w:rsid w:val="003F1B3C"/>
    <w:rsid w:val="003F1BC8"/>
    <w:rsid w:val="003F1E9C"/>
    <w:rsid w:val="003F1EAB"/>
    <w:rsid w:val="003F1F78"/>
    <w:rsid w:val="003F210F"/>
    <w:rsid w:val="003F21C5"/>
    <w:rsid w:val="003F21D1"/>
    <w:rsid w:val="003F21FC"/>
    <w:rsid w:val="003F22C0"/>
    <w:rsid w:val="003F22F3"/>
    <w:rsid w:val="003F2350"/>
    <w:rsid w:val="003F24AD"/>
    <w:rsid w:val="003F2586"/>
    <w:rsid w:val="003F26B4"/>
    <w:rsid w:val="003F270D"/>
    <w:rsid w:val="003F29CA"/>
    <w:rsid w:val="003F2C32"/>
    <w:rsid w:val="003F2CE0"/>
    <w:rsid w:val="003F2D28"/>
    <w:rsid w:val="003F2DE3"/>
    <w:rsid w:val="003F2E07"/>
    <w:rsid w:val="003F3000"/>
    <w:rsid w:val="003F3249"/>
    <w:rsid w:val="003F3262"/>
    <w:rsid w:val="003F327E"/>
    <w:rsid w:val="003F32AD"/>
    <w:rsid w:val="003F32F2"/>
    <w:rsid w:val="003F33F0"/>
    <w:rsid w:val="003F35BC"/>
    <w:rsid w:val="003F3607"/>
    <w:rsid w:val="003F3B46"/>
    <w:rsid w:val="003F3D10"/>
    <w:rsid w:val="003F3DD9"/>
    <w:rsid w:val="003F3FDB"/>
    <w:rsid w:val="003F42B8"/>
    <w:rsid w:val="003F431C"/>
    <w:rsid w:val="003F454D"/>
    <w:rsid w:val="003F46B9"/>
    <w:rsid w:val="003F4928"/>
    <w:rsid w:val="003F497F"/>
    <w:rsid w:val="003F49F4"/>
    <w:rsid w:val="003F4B4A"/>
    <w:rsid w:val="003F4CC8"/>
    <w:rsid w:val="003F4CEB"/>
    <w:rsid w:val="003F4ED5"/>
    <w:rsid w:val="003F58A2"/>
    <w:rsid w:val="003F5BDE"/>
    <w:rsid w:val="003F5C40"/>
    <w:rsid w:val="003F5CE2"/>
    <w:rsid w:val="003F5CF5"/>
    <w:rsid w:val="003F5E72"/>
    <w:rsid w:val="003F5EFB"/>
    <w:rsid w:val="003F5F85"/>
    <w:rsid w:val="003F631B"/>
    <w:rsid w:val="003F6335"/>
    <w:rsid w:val="003F648A"/>
    <w:rsid w:val="003F66E4"/>
    <w:rsid w:val="003F68FC"/>
    <w:rsid w:val="003F68FD"/>
    <w:rsid w:val="003F6C6D"/>
    <w:rsid w:val="003F6CC5"/>
    <w:rsid w:val="003F6DF1"/>
    <w:rsid w:val="003F6E1E"/>
    <w:rsid w:val="003F6ED9"/>
    <w:rsid w:val="003F6EE9"/>
    <w:rsid w:val="003F700F"/>
    <w:rsid w:val="003F7200"/>
    <w:rsid w:val="003F7297"/>
    <w:rsid w:val="003F748F"/>
    <w:rsid w:val="003F74A9"/>
    <w:rsid w:val="003F766E"/>
    <w:rsid w:val="003F7670"/>
    <w:rsid w:val="003F774A"/>
    <w:rsid w:val="003F7794"/>
    <w:rsid w:val="003F77A0"/>
    <w:rsid w:val="003F784F"/>
    <w:rsid w:val="003F7AB7"/>
    <w:rsid w:val="003F7BEB"/>
    <w:rsid w:val="003F7BFF"/>
    <w:rsid w:val="003F7C8E"/>
    <w:rsid w:val="00400017"/>
    <w:rsid w:val="00400171"/>
    <w:rsid w:val="004001BF"/>
    <w:rsid w:val="004001C8"/>
    <w:rsid w:val="004001FB"/>
    <w:rsid w:val="00400268"/>
    <w:rsid w:val="004002BB"/>
    <w:rsid w:val="00400395"/>
    <w:rsid w:val="004003F2"/>
    <w:rsid w:val="0040097D"/>
    <w:rsid w:val="0040098F"/>
    <w:rsid w:val="00400A9C"/>
    <w:rsid w:val="00400D75"/>
    <w:rsid w:val="0040116C"/>
    <w:rsid w:val="0040117C"/>
    <w:rsid w:val="004011D6"/>
    <w:rsid w:val="0040120E"/>
    <w:rsid w:val="004015D3"/>
    <w:rsid w:val="004015E6"/>
    <w:rsid w:val="0040165D"/>
    <w:rsid w:val="00401B46"/>
    <w:rsid w:val="00401BCD"/>
    <w:rsid w:val="00401E54"/>
    <w:rsid w:val="00401E84"/>
    <w:rsid w:val="004021CD"/>
    <w:rsid w:val="004022A9"/>
    <w:rsid w:val="004023D3"/>
    <w:rsid w:val="004024A8"/>
    <w:rsid w:val="004025BD"/>
    <w:rsid w:val="00402750"/>
    <w:rsid w:val="00402771"/>
    <w:rsid w:val="0040298F"/>
    <w:rsid w:val="00402AC8"/>
    <w:rsid w:val="004032C1"/>
    <w:rsid w:val="00403788"/>
    <w:rsid w:val="00403922"/>
    <w:rsid w:val="00403A7E"/>
    <w:rsid w:val="00403B02"/>
    <w:rsid w:val="00403BC4"/>
    <w:rsid w:val="00403E1C"/>
    <w:rsid w:val="00404242"/>
    <w:rsid w:val="00404353"/>
    <w:rsid w:val="00404448"/>
    <w:rsid w:val="00404452"/>
    <w:rsid w:val="00404646"/>
    <w:rsid w:val="0040469B"/>
    <w:rsid w:val="00404CB2"/>
    <w:rsid w:val="00404E86"/>
    <w:rsid w:val="00404EB5"/>
    <w:rsid w:val="00404F93"/>
    <w:rsid w:val="00404F9F"/>
    <w:rsid w:val="00405026"/>
    <w:rsid w:val="00405210"/>
    <w:rsid w:val="0040526D"/>
    <w:rsid w:val="0040589F"/>
    <w:rsid w:val="00405928"/>
    <w:rsid w:val="00405C8F"/>
    <w:rsid w:val="00406018"/>
    <w:rsid w:val="00406444"/>
    <w:rsid w:val="00406761"/>
    <w:rsid w:val="00406860"/>
    <w:rsid w:val="00406AA9"/>
    <w:rsid w:val="00406E77"/>
    <w:rsid w:val="00406EEB"/>
    <w:rsid w:val="00406F5F"/>
    <w:rsid w:val="004070DC"/>
    <w:rsid w:val="004070E7"/>
    <w:rsid w:val="0040721B"/>
    <w:rsid w:val="0040728C"/>
    <w:rsid w:val="00407318"/>
    <w:rsid w:val="00407610"/>
    <w:rsid w:val="0040763E"/>
    <w:rsid w:val="0040792A"/>
    <w:rsid w:val="00407A65"/>
    <w:rsid w:val="00407A66"/>
    <w:rsid w:val="00407AB3"/>
    <w:rsid w:val="00407BC6"/>
    <w:rsid w:val="00407CF0"/>
    <w:rsid w:val="00407FAD"/>
    <w:rsid w:val="0041000C"/>
    <w:rsid w:val="004101D0"/>
    <w:rsid w:val="004102F8"/>
    <w:rsid w:val="004104E5"/>
    <w:rsid w:val="004108A1"/>
    <w:rsid w:val="00410C8B"/>
    <w:rsid w:val="00410E39"/>
    <w:rsid w:val="00410F89"/>
    <w:rsid w:val="0041104A"/>
    <w:rsid w:val="00411214"/>
    <w:rsid w:val="004113A2"/>
    <w:rsid w:val="004114F0"/>
    <w:rsid w:val="00411716"/>
    <w:rsid w:val="00411796"/>
    <w:rsid w:val="00411ADB"/>
    <w:rsid w:val="00411D29"/>
    <w:rsid w:val="00411E7A"/>
    <w:rsid w:val="00411EBC"/>
    <w:rsid w:val="0041201C"/>
    <w:rsid w:val="0041206C"/>
    <w:rsid w:val="0041234E"/>
    <w:rsid w:val="0041271F"/>
    <w:rsid w:val="00412853"/>
    <w:rsid w:val="00412DF1"/>
    <w:rsid w:val="00412E3B"/>
    <w:rsid w:val="00412FB0"/>
    <w:rsid w:val="00412FC4"/>
    <w:rsid w:val="00413045"/>
    <w:rsid w:val="004131D7"/>
    <w:rsid w:val="004133E8"/>
    <w:rsid w:val="004134F8"/>
    <w:rsid w:val="0041391A"/>
    <w:rsid w:val="0041396F"/>
    <w:rsid w:val="00414244"/>
    <w:rsid w:val="004143C2"/>
    <w:rsid w:val="004145C2"/>
    <w:rsid w:val="0041462E"/>
    <w:rsid w:val="00414947"/>
    <w:rsid w:val="00414A4C"/>
    <w:rsid w:val="00414B5A"/>
    <w:rsid w:val="00414B6E"/>
    <w:rsid w:val="00414D4F"/>
    <w:rsid w:val="00414DA4"/>
    <w:rsid w:val="00415191"/>
    <w:rsid w:val="00415224"/>
    <w:rsid w:val="00415295"/>
    <w:rsid w:val="004158BF"/>
    <w:rsid w:val="004159CC"/>
    <w:rsid w:val="00415A5F"/>
    <w:rsid w:val="00415A68"/>
    <w:rsid w:val="00415BCD"/>
    <w:rsid w:val="00415C80"/>
    <w:rsid w:val="00415FAE"/>
    <w:rsid w:val="00415FBD"/>
    <w:rsid w:val="004161EB"/>
    <w:rsid w:val="0041625D"/>
    <w:rsid w:val="004162BB"/>
    <w:rsid w:val="00416336"/>
    <w:rsid w:val="0041667A"/>
    <w:rsid w:val="0041681D"/>
    <w:rsid w:val="00416973"/>
    <w:rsid w:val="00416C41"/>
    <w:rsid w:val="00416C8C"/>
    <w:rsid w:val="00416CE5"/>
    <w:rsid w:val="00416CFA"/>
    <w:rsid w:val="00416DCE"/>
    <w:rsid w:val="004171E1"/>
    <w:rsid w:val="0041733C"/>
    <w:rsid w:val="0041733F"/>
    <w:rsid w:val="00417553"/>
    <w:rsid w:val="00417754"/>
    <w:rsid w:val="004178AD"/>
    <w:rsid w:val="004179C7"/>
    <w:rsid w:val="00417A6D"/>
    <w:rsid w:val="00417D6D"/>
    <w:rsid w:val="004203D2"/>
    <w:rsid w:val="00420831"/>
    <w:rsid w:val="004209AB"/>
    <w:rsid w:val="00420BBA"/>
    <w:rsid w:val="00420E6E"/>
    <w:rsid w:val="00420F37"/>
    <w:rsid w:val="00420FA7"/>
    <w:rsid w:val="00421237"/>
    <w:rsid w:val="004212AE"/>
    <w:rsid w:val="004213A8"/>
    <w:rsid w:val="004213E2"/>
    <w:rsid w:val="0042172F"/>
    <w:rsid w:val="0042189B"/>
    <w:rsid w:val="00421973"/>
    <w:rsid w:val="004219A1"/>
    <w:rsid w:val="00421BAA"/>
    <w:rsid w:val="00421C36"/>
    <w:rsid w:val="00421C58"/>
    <w:rsid w:val="00421D42"/>
    <w:rsid w:val="00421DE6"/>
    <w:rsid w:val="00421F05"/>
    <w:rsid w:val="00422202"/>
    <w:rsid w:val="0042244C"/>
    <w:rsid w:val="00422461"/>
    <w:rsid w:val="0042249B"/>
    <w:rsid w:val="004224FA"/>
    <w:rsid w:val="00422873"/>
    <w:rsid w:val="0042296C"/>
    <w:rsid w:val="00422D1B"/>
    <w:rsid w:val="00422E44"/>
    <w:rsid w:val="00422F58"/>
    <w:rsid w:val="00423031"/>
    <w:rsid w:val="004230A0"/>
    <w:rsid w:val="004230C5"/>
    <w:rsid w:val="0042319D"/>
    <w:rsid w:val="004231CA"/>
    <w:rsid w:val="00423311"/>
    <w:rsid w:val="00423384"/>
    <w:rsid w:val="00423606"/>
    <w:rsid w:val="004236DD"/>
    <w:rsid w:val="00423B94"/>
    <w:rsid w:val="00423F03"/>
    <w:rsid w:val="00424284"/>
    <w:rsid w:val="004242D2"/>
    <w:rsid w:val="00424363"/>
    <w:rsid w:val="004243B1"/>
    <w:rsid w:val="004243F5"/>
    <w:rsid w:val="004244E0"/>
    <w:rsid w:val="004245E0"/>
    <w:rsid w:val="0042469B"/>
    <w:rsid w:val="004248B8"/>
    <w:rsid w:val="00424904"/>
    <w:rsid w:val="0042490E"/>
    <w:rsid w:val="00424975"/>
    <w:rsid w:val="00424A15"/>
    <w:rsid w:val="00424B94"/>
    <w:rsid w:val="00424CFF"/>
    <w:rsid w:val="004250B7"/>
    <w:rsid w:val="00425212"/>
    <w:rsid w:val="00425296"/>
    <w:rsid w:val="004252D2"/>
    <w:rsid w:val="00425365"/>
    <w:rsid w:val="0042552B"/>
    <w:rsid w:val="004257D3"/>
    <w:rsid w:val="0042594E"/>
    <w:rsid w:val="0042599B"/>
    <w:rsid w:val="00425A5A"/>
    <w:rsid w:val="00425BD6"/>
    <w:rsid w:val="00425E8E"/>
    <w:rsid w:val="00426110"/>
    <w:rsid w:val="004262E6"/>
    <w:rsid w:val="0042648E"/>
    <w:rsid w:val="00426A9C"/>
    <w:rsid w:val="00426DFE"/>
    <w:rsid w:val="004270E2"/>
    <w:rsid w:val="00427139"/>
    <w:rsid w:val="00427F8F"/>
    <w:rsid w:val="00430110"/>
    <w:rsid w:val="004303DB"/>
    <w:rsid w:val="0043063E"/>
    <w:rsid w:val="0043077B"/>
    <w:rsid w:val="0043094A"/>
    <w:rsid w:val="00430BDD"/>
    <w:rsid w:val="00430DD8"/>
    <w:rsid w:val="00430EB7"/>
    <w:rsid w:val="00430EBE"/>
    <w:rsid w:val="00430F4D"/>
    <w:rsid w:val="00430FBD"/>
    <w:rsid w:val="00431139"/>
    <w:rsid w:val="00431180"/>
    <w:rsid w:val="00431358"/>
    <w:rsid w:val="0043139C"/>
    <w:rsid w:val="0043162E"/>
    <w:rsid w:val="0043166B"/>
    <w:rsid w:val="0043169F"/>
    <w:rsid w:val="0043194A"/>
    <w:rsid w:val="00431CD9"/>
    <w:rsid w:val="00431F30"/>
    <w:rsid w:val="0043205F"/>
    <w:rsid w:val="004320AA"/>
    <w:rsid w:val="00432135"/>
    <w:rsid w:val="00432685"/>
    <w:rsid w:val="004326CB"/>
    <w:rsid w:val="004326F6"/>
    <w:rsid w:val="00432951"/>
    <w:rsid w:val="00432A13"/>
    <w:rsid w:val="00432C8D"/>
    <w:rsid w:val="00432CE8"/>
    <w:rsid w:val="00432E80"/>
    <w:rsid w:val="00432EB1"/>
    <w:rsid w:val="00432FF4"/>
    <w:rsid w:val="0043316C"/>
    <w:rsid w:val="00433299"/>
    <w:rsid w:val="0043329B"/>
    <w:rsid w:val="00433331"/>
    <w:rsid w:val="00433391"/>
    <w:rsid w:val="0043346D"/>
    <w:rsid w:val="004336FB"/>
    <w:rsid w:val="0043384E"/>
    <w:rsid w:val="004338F9"/>
    <w:rsid w:val="00433D23"/>
    <w:rsid w:val="00433D2C"/>
    <w:rsid w:val="00433E01"/>
    <w:rsid w:val="00433E47"/>
    <w:rsid w:val="00433F9F"/>
    <w:rsid w:val="00434107"/>
    <w:rsid w:val="004344F7"/>
    <w:rsid w:val="00434518"/>
    <w:rsid w:val="0043459E"/>
    <w:rsid w:val="00434B87"/>
    <w:rsid w:val="00434CED"/>
    <w:rsid w:val="00434F77"/>
    <w:rsid w:val="004351F4"/>
    <w:rsid w:val="004353AE"/>
    <w:rsid w:val="004355C8"/>
    <w:rsid w:val="0043576B"/>
    <w:rsid w:val="0043599E"/>
    <w:rsid w:val="00435AFF"/>
    <w:rsid w:val="00435C0D"/>
    <w:rsid w:val="00435FC9"/>
    <w:rsid w:val="00436085"/>
    <w:rsid w:val="004360E8"/>
    <w:rsid w:val="0043622C"/>
    <w:rsid w:val="00436249"/>
    <w:rsid w:val="004362D4"/>
    <w:rsid w:val="0043657C"/>
    <w:rsid w:val="00436860"/>
    <w:rsid w:val="004368BA"/>
    <w:rsid w:val="0043694D"/>
    <w:rsid w:val="00436BD4"/>
    <w:rsid w:val="00436C2C"/>
    <w:rsid w:val="00436CB7"/>
    <w:rsid w:val="00436F9E"/>
    <w:rsid w:val="004370C3"/>
    <w:rsid w:val="004371C5"/>
    <w:rsid w:val="0043720E"/>
    <w:rsid w:val="004374E6"/>
    <w:rsid w:val="0043786D"/>
    <w:rsid w:val="0043789A"/>
    <w:rsid w:val="004378A0"/>
    <w:rsid w:val="00437AB3"/>
    <w:rsid w:val="00437BF9"/>
    <w:rsid w:val="00437DA8"/>
    <w:rsid w:val="0044018B"/>
    <w:rsid w:val="00440566"/>
    <w:rsid w:val="004407E7"/>
    <w:rsid w:val="00440895"/>
    <w:rsid w:val="00440C2A"/>
    <w:rsid w:val="00440EBB"/>
    <w:rsid w:val="00440ED7"/>
    <w:rsid w:val="00440FE9"/>
    <w:rsid w:val="00441047"/>
    <w:rsid w:val="004410D6"/>
    <w:rsid w:val="00441314"/>
    <w:rsid w:val="0044132B"/>
    <w:rsid w:val="004417F8"/>
    <w:rsid w:val="00441964"/>
    <w:rsid w:val="00441BB8"/>
    <w:rsid w:val="00441E92"/>
    <w:rsid w:val="004421C9"/>
    <w:rsid w:val="0044223D"/>
    <w:rsid w:val="00442485"/>
    <w:rsid w:val="00442503"/>
    <w:rsid w:val="00442660"/>
    <w:rsid w:val="00442835"/>
    <w:rsid w:val="004429DB"/>
    <w:rsid w:val="00442BEA"/>
    <w:rsid w:val="004430DA"/>
    <w:rsid w:val="004430FD"/>
    <w:rsid w:val="00443283"/>
    <w:rsid w:val="00443309"/>
    <w:rsid w:val="0044336C"/>
    <w:rsid w:val="004435EF"/>
    <w:rsid w:val="00443628"/>
    <w:rsid w:val="00443725"/>
    <w:rsid w:val="00443728"/>
    <w:rsid w:val="004437E1"/>
    <w:rsid w:val="004438CA"/>
    <w:rsid w:val="00443987"/>
    <w:rsid w:val="0044399F"/>
    <w:rsid w:val="004439F4"/>
    <w:rsid w:val="00443B37"/>
    <w:rsid w:val="00443B50"/>
    <w:rsid w:val="00443C71"/>
    <w:rsid w:val="00443CB0"/>
    <w:rsid w:val="00443D2A"/>
    <w:rsid w:val="00443F30"/>
    <w:rsid w:val="004440E5"/>
    <w:rsid w:val="00444118"/>
    <w:rsid w:val="00444156"/>
    <w:rsid w:val="00444184"/>
    <w:rsid w:val="0044433A"/>
    <w:rsid w:val="004445AF"/>
    <w:rsid w:val="004449D2"/>
    <w:rsid w:val="00444A45"/>
    <w:rsid w:val="00444AE4"/>
    <w:rsid w:val="00444B16"/>
    <w:rsid w:val="00444D49"/>
    <w:rsid w:val="00445106"/>
    <w:rsid w:val="004451C2"/>
    <w:rsid w:val="004452A8"/>
    <w:rsid w:val="004453CA"/>
    <w:rsid w:val="00445589"/>
    <w:rsid w:val="00445700"/>
    <w:rsid w:val="00445771"/>
    <w:rsid w:val="0044589C"/>
    <w:rsid w:val="0044592F"/>
    <w:rsid w:val="004459AC"/>
    <w:rsid w:val="004459DE"/>
    <w:rsid w:val="00445AA5"/>
    <w:rsid w:val="00445C86"/>
    <w:rsid w:val="00446352"/>
    <w:rsid w:val="00446447"/>
    <w:rsid w:val="00446665"/>
    <w:rsid w:val="00446711"/>
    <w:rsid w:val="00446716"/>
    <w:rsid w:val="00446768"/>
    <w:rsid w:val="00446BA4"/>
    <w:rsid w:val="00446D1C"/>
    <w:rsid w:val="00446D5A"/>
    <w:rsid w:val="00446D9B"/>
    <w:rsid w:val="00446DB6"/>
    <w:rsid w:val="00446E2F"/>
    <w:rsid w:val="00447335"/>
    <w:rsid w:val="00447403"/>
    <w:rsid w:val="00447590"/>
    <w:rsid w:val="00447607"/>
    <w:rsid w:val="004476CC"/>
    <w:rsid w:val="00447821"/>
    <w:rsid w:val="00447935"/>
    <w:rsid w:val="00447A64"/>
    <w:rsid w:val="00447B63"/>
    <w:rsid w:val="00447BC0"/>
    <w:rsid w:val="00447C97"/>
    <w:rsid w:val="00447CA2"/>
    <w:rsid w:val="00450144"/>
    <w:rsid w:val="004502DE"/>
    <w:rsid w:val="0045069A"/>
    <w:rsid w:val="0045076C"/>
    <w:rsid w:val="00450A26"/>
    <w:rsid w:val="00450AE5"/>
    <w:rsid w:val="00450B08"/>
    <w:rsid w:val="00450F3E"/>
    <w:rsid w:val="00450FF4"/>
    <w:rsid w:val="00451397"/>
    <w:rsid w:val="004513AC"/>
    <w:rsid w:val="00451657"/>
    <w:rsid w:val="00451748"/>
    <w:rsid w:val="00451A2A"/>
    <w:rsid w:val="00451B0D"/>
    <w:rsid w:val="00451EB8"/>
    <w:rsid w:val="004521B9"/>
    <w:rsid w:val="0045247A"/>
    <w:rsid w:val="004526FE"/>
    <w:rsid w:val="004527F8"/>
    <w:rsid w:val="0045286B"/>
    <w:rsid w:val="0045290D"/>
    <w:rsid w:val="00452986"/>
    <w:rsid w:val="00452BA6"/>
    <w:rsid w:val="00452EDF"/>
    <w:rsid w:val="00452FB6"/>
    <w:rsid w:val="00453101"/>
    <w:rsid w:val="00453415"/>
    <w:rsid w:val="0045351B"/>
    <w:rsid w:val="004538DC"/>
    <w:rsid w:val="0045391C"/>
    <w:rsid w:val="00453A1D"/>
    <w:rsid w:val="00453C15"/>
    <w:rsid w:val="00453D9A"/>
    <w:rsid w:val="00453E8A"/>
    <w:rsid w:val="00453EC2"/>
    <w:rsid w:val="00453FB1"/>
    <w:rsid w:val="004540F1"/>
    <w:rsid w:val="0045421E"/>
    <w:rsid w:val="00454275"/>
    <w:rsid w:val="0045432B"/>
    <w:rsid w:val="004544B1"/>
    <w:rsid w:val="00454599"/>
    <w:rsid w:val="00454639"/>
    <w:rsid w:val="004546DA"/>
    <w:rsid w:val="00454AD1"/>
    <w:rsid w:val="00454F97"/>
    <w:rsid w:val="0045504F"/>
    <w:rsid w:val="004550E0"/>
    <w:rsid w:val="00455349"/>
    <w:rsid w:val="004553C9"/>
    <w:rsid w:val="00455431"/>
    <w:rsid w:val="004554D1"/>
    <w:rsid w:val="004555A9"/>
    <w:rsid w:val="00455685"/>
    <w:rsid w:val="004557C5"/>
    <w:rsid w:val="00455CB1"/>
    <w:rsid w:val="00455F41"/>
    <w:rsid w:val="00456011"/>
    <w:rsid w:val="00456140"/>
    <w:rsid w:val="0045617D"/>
    <w:rsid w:val="004562AC"/>
    <w:rsid w:val="00456322"/>
    <w:rsid w:val="00456439"/>
    <w:rsid w:val="00456682"/>
    <w:rsid w:val="00456689"/>
    <w:rsid w:val="00456743"/>
    <w:rsid w:val="004568EA"/>
    <w:rsid w:val="00456916"/>
    <w:rsid w:val="004569EB"/>
    <w:rsid w:val="00456B8A"/>
    <w:rsid w:val="004570FC"/>
    <w:rsid w:val="004572BE"/>
    <w:rsid w:val="004573BB"/>
    <w:rsid w:val="00457491"/>
    <w:rsid w:val="00457831"/>
    <w:rsid w:val="004578A1"/>
    <w:rsid w:val="00457D2E"/>
    <w:rsid w:val="00457E41"/>
    <w:rsid w:val="004602EC"/>
    <w:rsid w:val="0046030B"/>
    <w:rsid w:val="00460378"/>
    <w:rsid w:val="004607D1"/>
    <w:rsid w:val="00460AA3"/>
    <w:rsid w:val="00460B00"/>
    <w:rsid w:val="00460D1D"/>
    <w:rsid w:val="00460D3C"/>
    <w:rsid w:val="00460F48"/>
    <w:rsid w:val="00461181"/>
    <w:rsid w:val="004615C1"/>
    <w:rsid w:val="004616DE"/>
    <w:rsid w:val="004618E2"/>
    <w:rsid w:val="004619B2"/>
    <w:rsid w:val="00461BA9"/>
    <w:rsid w:val="00461D83"/>
    <w:rsid w:val="00461DA8"/>
    <w:rsid w:val="00461EC5"/>
    <w:rsid w:val="00461F45"/>
    <w:rsid w:val="00461F91"/>
    <w:rsid w:val="00462133"/>
    <w:rsid w:val="00462226"/>
    <w:rsid w:val="0046245C"/>
    <w:rsid w:val="004625A2"/>
    <w:rsid w:val="004626FE"/>
    <w:rsid w:val="00462746"/>
    <w:rsid w:val="00462990"/>
    <w:rsid w:val="00462BA6"/>
    <w:rsid w:val="00462DA8"/>
    <w:rsid w:val="00462FFE"/>
    <w:rsid w:val="0046337B"/>
    <w:rsid w:val="00463672"/>
    <w:rsid w:val="004638DC"/>
    <w:rsid w:val="00463AE5"/>
    <w:rsid w:val="00463B19"/>
    <w:rsid w:val="00463B4F"/>
    <w:rsid w:val="00463C39"/>
    <w:rsid w:val="00463C56"/>
    <w:rsid w:val="00463CB6"/>
    <w:rsid w:val="00463E78"/>
    <w:rsid w:val="00463F80"/>
    <w:rsid w:val="00463F87"/>
    <w:rsid w:val="00464248"/>
    <w:rsid w:val="0046424D"/>
    <w:rsid w:val="004643D5"/>
    <w:rsid w:val="004643D9"/>
    <w:rsid w:val="004646FD"/>
    <w:rsid w:val="0046486B"/>
    <w:rsid w:val="00464D32"/>
    <w:rsid w:val="00464DA8"/>
    <w:rsid w:val="00464DC2"/>
    <w:rsid w:val="00464FF8"/>
    <w:rsid w:val="00465120"/>
    <w:rsid w:val="004651BB"/>
    <w:rsid w:val="00465217"/>
    <w:rsid w:val="004652D2"/>
    <w:rsid w:val="004654CE"/>
    <w:rsid w:val="004656E4"/>
    <w:rsid w:val="004658C8"/>
    <w:rsid w:val="00465A33"/>
    <w:rsid w:val="00465A3E"/>
    <w:rsid w:val="00465B42"/>
    <w:rsid w:val="00465C18"/>
    <w:rsid w:val="00465CAE"/>
    <w:rsid w:val="00465DAF"/>
    <w:rsid w:val="00465DFA"/>
    <w:rsid w:val="004661CD"/>
    <w:rsid w:val="00466295"/>
    <w:rsid w:val="00466440"/>
    <w:rsid w:val="004665AF"/>
    <w:rsid w:val="00466689"/>
    <w:rsid w:val="00466714"/>
    <w:rsid w:val="00466A1F"/>
    <w:rsid w:val="00466D4A"/>
    <w:rsid w:val="00466FDD"/>
    <w:rsid w:val="00467000"/>
    <w:rsid w:val="0046716E"/>
    <w:rsid w:val="00467351"/>
    <w:rsid w:val="004677F6"/>
    <w:rsid w:val="0046783E"/>
    <w:rsid w:val="00467BD3"/>
    <w:rsid w:val="00467C3D"/>
    <w:rsid w:val="00467D3F"/>
    <w:rsid w:val="00470110"/>
    <w:rsid w:val="004705BF"/>
    <w:rsid w:val="00470649"/>
    <w:rsid w:val="00470796"/>
    <w:rsid w:val="00470AF6"/>
    <w:rsid w:val="00470D7B"/>
    <w:rsid w:val="00470D85"/>
    <w:rsid w:val="0047120C"/>
    <w:rsid w:val="0047141B"/>
    <w:rsid w:val="004717BB"/>
    <w:rsid w:val="00471819"/>
    <w:rsid w:val="004718DA"/>
    <w:rsid w:val="00471BCA"/>
    <w:rsid w:val="00471C3C"/>
    <w:rsid w:val="00471D35"/>
    <w:rsid w:val="00472040"/>
    <w:rsid w:val="00472079"/>
    <w:rsid w:val="004720B0"/>
    <w:rsid w:val="004722F0"/>
    <w:rsid w:val="00472328"/>
    <w:rsid w:val="0047250A"/>
    <w:rsid w:val="004725DC"/>
    <w:rsid w:val="0047275F"/>
    <w:rsid w:val="004728BB"/>
    <w:rsid w:val="004728C6"/>
    <w:rsid w:val="00472B0B"/>
    <w:rsid w:val="00472D17"/>
    <w:rsid w:val="00472E8B"/>
    <w:rsid w:val="00472F97"/>
    <w:rsid w:val="00473078"/>
    <w:rsid w:val="004732C6"/>
    <w:rsid w:val="004732E8"/>
    <w:rsid w:val="0047336D"/>
    <w:rsid w:val="004733F6"/>
    <w:rsid w:val="004735B3"/>
    <w:rsid w:val="004736B3"/>
    <w:rsid w:val="0047373D"/>
    <w:rsid w:val="004737F0"/>
    <w:rsid w:val="004738A3"/>
    <w:rsid w:val="004738C1"/>
    <w:rsid w:val="004738D1"/>
    <w:rsid w:val="00473936"/>
    <w:rsid w:val="00473DCD"/>
    <w:rsid w:val="00474352"/>
    <w:rsid w:val="0047436B"/>
    <w:rsid w:val="004745D8"/>
    <w:rsid w:val="0047485D"/>
    <w:rsid w:val="00474878"/>
    <w:rsid w:val="00474C50"/>
    <w:rsid w:val="00474F40"/>
    <w:rsid w:val="00475097"/>
    <w:rsid w:val="0047512D"/>
    <w:rsid w:val="00475551"/>
    <w:rsid w:val="004757C3"/>
    <w:rsid w:val="00475944"/>
    <w:rsid w:val="00475A52"/>
    <w:rsid w:val="00475A84"/>
    <w:rsid w:val="00475CAB"/>
    <w:rsid w:val="00475F1B"/>
    <w:rsid w:val="00475F47"/>
    <w:rsid w:val="00475FD2"/>
    <w:rsid w:val="00476098"/>
    <w:rsid w:val="004761A2"/>
    <w:rsid w:val="0047621E"/>
    <w:rsid w:val="0047638D"/>
    <w:rsid w:val="00476580"/>
    <w:rsid w:val="0047663E"/>
    <w:rsid w:val="00476848"/>
    <w:rsid w:val="00476F37"/>
    <w:rsid w:val="004770B4"/>
    <w:rsid w:val="00477211"/>
    <w:rsid w:val="00477212"/>
    <w:rsid w:val="0047747D"/>
    <w:rsid w:val="004779FD"/>
    <w:rsid w:val="00477A09"/>
    <w:rsid w:val="00477DA2"/>
    <w:rsid w:val="00480073"/>
    <w:rsid w:val="004801DC"/>
    <w:rsid w:val="004801F1"/>
    <w:rsid w:val="004802AF"/>
    <w:rsid w:val="004803B5"/>
    <w:rsid w:val="004803DC"/>
    <w:rsid w:val="0048090E"/>
    <w:rsid w:val="00480939"/>
    <w:rsid w:val="004809DC"/>
    <w:rsid w:val="00480A6E"/>
    <w:rsid w:val="00480B46"/>
    <w:rsid w:val="00480CD9"/>
    <w:rsid w:val="00480E49"/>
    <w:rsid w:val="00480FDA"/>
    <w:rsid w:val="0048110C"/>
    <w:rsid w:val="00481203"/>
    <w:rsid w:val="00481242"/>
    <w:rsid w:val="00481362"/>
    <w:rsid w:val="004813F1"/>
    <w:rsid w:val="004815B1"/>
    <w:rsid w:val="004816EE"/>
    <w:rsid w:val="0048182C"/>
    <w:rsid w:val="00481990"/>
    <w:rsid w:val="00481ACB"/>
    <w:rsid w:val="00481B73"/>
    <w:rsid w:val="00481D59"/>
    <w:rsid w:val="00481FC1"/>
    <w:rsid w:val="00482539"/>
    <w:rsid w:val="00482854"/>
    <w:rsid w:val="00482DB9"/>
    <w:rsid w:val="004831FE"/>
    <w:rsid w:val="00483328"/>
    <w:rsid w:val="0048348E"/>
    <w:rsid w:val="00483534"/>
    <w:rsid w:val="004836B7"/>
    <w:rsid w:val="00483940"/>
    <w:rsid w:val="00483A39"/>
    <w:rsid w:val="00483BDD"/>
    <w:rsid w:val="0048401A"/>
    <w:rsid w:val="00484210"/>
    <w:rsid w:val="00484301"/>
    <w:rsid w:val="00484742"/>
    <w:rsid w:val="00484898"/>
    <w:rsid w:val="0048497D"/>
    <w:rsid w:val="0048498D"/>
    <w:rsid w:val="00484ED2"/>
    <w:rsid w:val="00484EE4"/>
    <w:rsid w:val="00484FFC"/>
    <w:rsid w:val="00485166"/>
    <w:rsid w:val="00485202"/>
    <w:rsid w:val="0048530F"/>
    <w:rsid w:val="0048542E"/>
    <w:rsid w:val="004854E9"/>
    <w:rsid w:val="00485626"/>
    <w:rsid w:val="004858A8"/>
    <w:rsid w:val="00485943"/>
    <w:rsid w:val="004859E9"/>
    <w:rsid w:val="00485A8A"/>
    <w:rsid w:val="00485AF2"/>
    <w:rsid w:val="00485CF0"/>
    <w:rsid w:val="00485FD7"/>
    <w:rsid w:val="004860B9"/>
    <w:rsid w:val="004860CF"/>
    <w:rsid w:val="00486386"/>
    <w:rsid w:val="00486467"/>
    <w:rsid w:val="0048649E"/>
    <w:rsid w:val="004864DF"/>
    <w:rsid w:val="0048654F"/>
    <w:rsid w:val="00486580"/>
    <w:rsid w:val="00486670"/>
    <w:rsid w:val="0048670D"/>
    <w:rsid w:val="004869D3"/>
    <w:rsid w:val="004869E5"/>
    <w:rsid w:val="00486AC0"/>
    <w:rsid w:val="00486D6D"/>
    <w:rsid w:val="00486EDB"/>
    <w:rsid w:val="00486EFC"/>
    <w:rsid w:val="00486FF3"/>
    <w:rsid w:val="00487236"/>
    <w:rsid w:val="004873D1"/>
    <w:rsid w:val="004873F9"/>
    <w:rsid w:val="004875B6"/>
    <w:rsid w:val="004879A8"/>
    <w:rsid w:val="004879AE"/>
    <w:rsid w:val="00487AAB"/>
    <w:rsid w:val="00487DB1"/>
    <w:rsid w:val="00487DFD"/>
    <w:rsid w:val="00487F7C"/>
    <w:rsid w:val="00490172"/>
    <w:rsid w:val="00490357"/>
    <w:rsid w:val="00490359"/>
    <w:rsid w:val="00490410"/>
    <w:rsid w:val="00490437"/>
    <w:rsid w:val="00490478"/>
    <w:rsid w:val="00490563"/>
    <w:rsid w:val="004905DC"/>
    <w:rsid w:val="00490655"/>
    <w:rsid w:val="00490740"/>
    <w:rsid w:val="00490866"/>
    <w:rsid w:val="004908F1"/>
    <w:rsid w:val="00490A8D"/>
    <w:rsid w:val="00490AE7"/>
    <w:rsid w:val="00490E3F"/>
    <w:rsid w:val="00490F37"/>
    <w:rsid w:val="00490F41"/>
    <w:rsid w:val="00490F80"/>
    <w:rsid w:val="004911BA"/>
    <w:rsid w:val="004912D3"/>
    <w:rsid w:val="00491434"/>
    <w:rsid w:val="004914BD"/>
    <w:rsid w:val="004918FD"/>
    <w:rsid w:val="0049191C"/>
    <w:rsid w:val="00491A32"/>
    <w:rsid w:val="00491AA9"/>
    <w:rsid w:val="00491B9B"/>
    <w:rsid w:val="00491E83"/>
    <w:rsid w:val="00492012"/>
    <w:rsid w:val="00492282"/>
    <w:rsid w:val="00492851"/>
    <w:rsid w:val="00492915"/>
    <w:rsid w:val="00492949"/>
    <w:rsid w:val="0049296E"/>
    <w:rsid w:val="00492A03"/>
    <w:rsid w:val="00492B07"/>
    <w:rsid w:val="00492BE3"/>
    <w:rsid w:val="00492C74"/>
    <w:rsid w:val="00492C92"/>
    <w:rsid w:val="00492CC6"/>
    <w:rsid w:val="00492D15"/>
    <w:rsid w:val="00492D55"/>
    <w:rsid w:val="00492E85"/>
    <w:rsid w:val="00492EB4"/>
    <w:rsid w:val="0049327E"/>
    <w:rsid w:val="004932A2"/>
    <w:rsid w:val="0049339A"/>
    <w:rsid w:val="004933CF"/>
    <w:rsid w:val="00493561"/>
    <w:rsid w:val="004935FB"/>
    <w:rsid w:val="004936D2"/>
    <w:rsid w:val="004937A3"/>
    <w:rsid w:val="00493CCD"/>
    <w:rsid w:val="00493F79"/>
    <w:rsid w:val="00493F92"/>
    <w:rsid w:val="004944DC"/>
    <w:rsid w:val="004947AA"/>
    <w:rsid w:val="00494851"/>
    <w:rsid w:val="00494B97"/>
    <w:rsid w:val="00494CF5"/>
    <w:rsid w:val="004954EA"/>
    <w:rsid w:val="00495538"/>
    <w:rsid w:val="004955B9"/>
    <w:rsid w:val="004958D6"/>
    <w:rsid w:val="0049593B"/>
    <w:rsid w:val="00495B86"/>
    <w:rsid w:val="00495DC6"/>
    <w:rsid w:val="00495DDD"/>
    <w:rsid w:val="00495E07"/>
    <w:rsid w:val="004961E4"/>
    <w:rsid w:val="00496249"/>
    <w:rsid w:val="00496342"/>
    <w:rsid w:val="004963AE"/>
    <w:rsid w:val="004965EA"/>
    <w:rsid w:val="004968C0"/>
    <w:rsid w:val="00496ADA"/>
    <w:rsid w:val="00497046"/>
    <w:rsid w:val="004973F1"/>
    <w:rsid w:val="0049741F"/>
    <w:rsid w:val="00497528"/>
    <w:rsid w:val="00497947"/>
    <w:rsid w:val="00497D9F"/>
    <w:rsid w:val="00497F0E"/>
    <w:rsid w:val="00497F14"/>
    <w:rsid w:val="004A009C"/>
    <w:rsid w:val="004A0128"/>
    <w:rsid w:val="004A033D"/>
    <w:rsid w:val="004A03B5"/>
    <w:rsid w:val="004A06EB"/>
    <w:rsid w:val="004A075E"/>
    <w:rsid w:val="004A091D"/>
    <w:rsid w:val="004A09C0"/>
    <w:rsid w:val="004A0A9C"/>
    <w:rsid w:val="004A0B5C"/>
    <w:rsid w:val="004A0E03"/>
    <w:rsid w:val="004A0F91"/>
    <w:rsid w:val="004A0FA8"/>
    <w:rsid w:val="004A1140"/>
    <w:rsid w:val="004A1143"/>
    <w:rsid w:val="004A1189"/>
    <w:rsid w:val="004A13C6"/>
    <w:rsid w:val="004A1499"/>
    <w:rsid w:val="004A1715"/>
    <w:rsid w:val="004A1892"/>
    <w:rsid w:val="004A1C58"/>
    <w:rsid w:val="004A1C79"/>
    <w:rsid w:val="004A1FCD"/>
    <w:rsid w:val="004A20A1"/>
    <w:rsid w:val="004A219B"/>
    <w:rsid w:val="004A2250"/>
    <w:rsid w:val="004A2601"/>
    <w:rsid w:val="004A29D9"/>
    <w:rsid w:val="004A2B67"/>
    <w:rsid w:val="004A2EFB"/>
    <w:rsid w:val="004A2FA7"/>
    <w:rsid w:val="004A303C"/>
    <w:rsid w:val="004A305A"/>
    <w:rsid w:val="004A30A6"/>
    <w:rsid w:val="004A3271"/>
    <w:rsid w:val="004A3347"/>
    <w:rsid w:val="004A3639"/>
    <w:rsid w:val="004A3788"/>
    <w:rsid w:val="004A3A4A"/>
    <w:rsid w:val="004A3B61"/>
    <w:rsid w:val="004A3C5D"/>
    <w:rsid w:val="004A3D73"/>
    <w:rsid w:val="004A3E8F"/>
    <w:rsid w:val="004A3F30"/>
    <w:rsid w:val="004A4006"/>
    <w:rsid w:val="004A40DC"/>
    <w:rsid w:val="004A41D0"/>
    <w:rsid w:val="004A4259"/>
    <w:rsid w:val="004A4260"/>
    <w:rsid w:val="004A432B"/>
    <w:rsid w:val="004A476E"/>
    <w:rsid w:val="004A489B"/>
    <w:rsid w:val="004A48A0"/>
    <w:rsid w:val="004A4999"/>
    <w:rsid w:val="004A4AB0"/>
    <w:rsid w:val="004A4AB4"/>
    <w:rsid w:val="004A4B7D"/>
    <w:rsid w:val="004A4EA5"/>
    <w:rsid w:val="004A52F3"/>
    <w:rsid w:val="004A53B8"/>
    <w:rsid w:val="004A55D0"/>
    <w:rsid w:val="004A570E"/>
    <w:rsid w:val="004A58B1"/>
    <w:rsid w:val="004A5D5F"/>
    <w:rsid w:val="004A5E28"/>
    <w:rsid w:val="004A5EF7"/>
    <w:rsid w:val="004A618D"/>
    <w:rsid w:val="004A61F6"/>
    <w:rsid w:val="004A637A"/>
    <w:rsid w:val="004A651E"/>
    <w:rsid w:val="004A65F3"/>
    <w:rsid w:val="004A6681"/>
    <w:rsid w:val="004A6910"/>
    <w:rsid w:val="004A6B6E"/>
    <w:rsid w:val="004A6D91"/>
    <w:rsid w:val="004A6E30"/>
    <w:rsid w:val="004A7077"/>
    <w:rsid w:val="004A71C9"/>
    <w:rsid w:val="004A744F"/>
    <w:rsid w:val="004A75E1"/>
    <w:rsid w:val="004A7D36"/>
    <w:rsid w:val="004A7EFC"/>
    <w:rsid w:val="004B0569"/>
    <w:rsid w:val="004B06BA"/>
    <w:rsid w:val="004B0783"/>
    <w:rsid w:val="004B0872"/>
    <w:rsid w:val="004B08DA"/>
    <w:rsid w:val="004B0B89"/>
    <w:rsid w:val="004B0C4E"/>
    <w:rsid w:val="004B0D90"/>
    <w:rsid w:val="004B0FEA"/>
    <w:rsid w:val="004B145E"/>
    <w:rsid w:val="004B1502"/>
    <w:rsid w:val="004B167A"/>
    <w:rsid w:val="004B1938"/>
    <w:rsid w:val="004B1B84"/>
    <w:rsid w:val="004B1BB4"/>
    <w:rsid w:val="004B1D26"/>
    <w:rsid w:val="004B1D93"/>
    <w:rsid w:val="004B1EAB"/>
    <w:rsid w:val="004B202E"/>
    <w:rsid w:val="004B2297"/>
    <w:rsid w:val="004B2567"/>
    <w:rsid w:val="004B26B0"/>
    <w:rsid w:val="004B27D7"/>
    <w:rsid w:val="004B288D"/>
    <w:rsid w:val="004B2996"/>
    <w:rsid w:val="004B2B06"/>
    <w:rsid w:val="004B2C77"/>
    <w:rsid w:val="004B2E41"/>
    <w:rsid w:val="004B3209"/>
    <w:rsid w:val="004B36FD"/>
    <w:rsid w:val="004B371F"/>
    <w:rsid w:val="004B38B2"/>
    <w:rsid w:val="004B38EF"/>
    <w:rsid w:val="004B3AB9"/>
    <w:rsid w:val="004B3C5E"/>
    <w:rsid w:val="004B3D08"/>
    <w:rsid w:val="004B3F5A"/>
    <w:rsid w:val="004B3F99"/>
    <w:rsid w:val="004B4120"/>
    <w:rsid w:val="004B4484"/>
    <w:rsid w:val="004B4534"/>
    <w:rsid w:val="004B4587"/>
    <w:rsid w:val="004B46BA"/>
    <w:rsid w:val="004B492F"/>
    <w:rsid w:val="004B49DC"/>
    <w:rsid w:val="004B4A54"/>
    <w:rsid w:val="004B4B2C"/>
    <w:rsid w:val="004B4B9B"/>
    <w:rsid w:val="004B5097"/>
    <w:rsid w:val="004B5189"/>
    <w:rsid w:val="004B51CE"/>
    <w:rsid w:val="004B52DE"/>
    <w:rsid w:val="004B5318"/>
    <w:rsid w:val="004B5363"/>
    <w:rsid w:val="004B5489"/>
    <w:rsid w:val="004B5965"/>
    <w:rsid w:val="004B5B9C"/>
    <w:rsid w:val="004B5E93"/>
    <w:rsid w:val="004B616C"/>
    <w:rsid w:val="004B6280"/>
    <w:rsid w:val="004B6342"/>
    <w:rsid w:val="004B6527"/>
    <w:rsid w:val="004B6605"/>
    <w:rsid w:val="004B6698"/>
    <w:rsid w:val="004B67FF"/>
    <w:rsid w:val="004B6880"/>
    <w:rsid w:val="004B6885"/>
    <w:rsid w:val="004B6B45"/>
    <w:rsid w:val="004B6DAE"/>
    <w:rsid w:val="004B6E38"/>
    <w:rsid w:val="004B6F66"/>
    <w:rsid w:val="004B7357"/>
    <w:rsid w:val="004B7366"/>
    <w:rsid w:val="004B740F"/>
    <w:rsid w:val="004B748B"/>
    <w:rsid w:val="004B74AA"/>
    <w:rsid w:val="004B765D"/>
    <w:rsid w:val="004B7712"/>
    <w:rsid w:val="004B77AD"/>
    <w:rsid w:val="004B7BAF"/>
    <w:rsid w:val="004B7C6B"/>
    <w:rsid w:val="004B7D34"/>
    <w:rsid w:val="004B7E7D"/>
    <w:rsid w:val="004C008C"/>
    <w:rsid w:val="004C01CE"/>
    <w:rsid w:val="004C0296"/>
    <w:rsid w:val="004C02A8"/>
    <w:rsid w:val="004C04CE"/>
    <w:rsid w:val="004C0565"/>
    <w:rsid w:val="004C065B"/>
    <w:rsid w:val="004C0711"/>
    <w:rsid w:val="004C0887"/>
    <w:rsid w:val="004C090D"/>
    <w:rsid w:val="004C098E"/>
    <w:rsid w:val="004C09E7"/>
    <w:rsid w:val="004C0A76"/>
    <w:rsid w:val="004C0B6A"/>
    <w:rsid w:val="004C0BDA"/>
    <w:rsid w:val="004C0C47"/>
    <w:rsid w:val="004C0D0C"/>
    <w:rsid w:val="004C0E66"/>
    <w:rsid w:val="004C0E88"/>
    <w:rsid w:val="004C100F"/>
    <w:rsid w:val="004C156A"/>
    <w:rsid w:val="004C16DA"/>
    <w:rsid w:val="004C190B"/>
    <w:rsid w:val="004C1981"/>
    <w:rsid w:val="004C1A81"/>
    <w:rsid w:val="004C1B5C"/>
    <w:rsid w:val="004C1C61"/>
    <w:rsid w:val="004C1C86"/>
    <w:rsid w:val="004C218F"/>
    <w:rsid w:val="004C25BD"/>
    <w:rsid w:val="004C27C2"/>
    <w:rsid w:val="004C2A43"/>
    <w:rsid w:val="004C2B3F"/>
    <w:rsid w:val="004C2BFD"/>
    <w:rsid w:val="004C2CFA"/>
    <w:rsid w:val="004C2D74"/>
    <w:rsid w:val="004C2F9E"/>
    <w:rsid w:val="004C31F6"/>
    <w:rsid w:val="004C3299"/>
    <w:rsid w:val="004C32B1"/>
    <w:rsid w:val="004C350F"/>
    <w:rsid w:val="004C35BA"/>
    <w:rsid w:val="004C3635"/>
    <w:rsid w:val="004C36E9"/>
    <w:rsid w:val="004C3773"/>
    <w:rsid w:val="004C3800"/>
    <w:rsid w:val="004C38AC"/>
    <w:rsid w:val="004C3AEC"/>
    <w:rsid w:val="004C3CF9"/>
    <w:rsid w:val="004C3D40"/>
    <w:rsid w:val="004C3F0C"/>
    <w:rsid w:val="004C3F67"/>
    <w:rsid w:val="004C4098"/>
    <w:rsid w:val="004C4208"/>
    <w:rsid w:val="004C437D"/>
    <w:rsid w:val="004C43F0"/>
    <w:rsid w:val="004C4592"/>
    <w:rsid w:val="004C46CF"/>
    <w:rsid w:val="004C4A7A"/>
    <w:rsid w:val="004C4AA4"/>
    <w:rsid w:val="004C4C56"/>
    <w:rsid w:val="004C4C85"/>
    <w:rsid w:val="004C4ECD"/>
    <w:rsid w:val="004C4EE4"/>
    <w:rsid w:val="004C500B"/>
    <w:rsid w:val="004C535E"/>
    <w:rsid w:val="004C55C7"/>
    <w:rsid w:val="004C57CE"/>
    <w:rsid w:val="004C5972"/>
    <w:rsid w:val="004C598D"/>
    <w:rsid w:val="004C599A"/>
    <w:rsid w:val="004C59F6"/>
    <w:rsid w:val="004C5C4D"/>
    <w:rsid w:val="004C5FCA"/>
    <w:rsid w:val="004C61A3"/>
    <w:rsid w:val="004C61BC"/>
    <w:rsid w:val="004C6379"/>
    <w:rsid w:val="004C63A1"/>
    <w:rsid w:val="004C64FC"/>
    <w:rsid w:val="004C6616"/>
    <w:rsid w:val="004C662D"/>
    <w:rsid w:val="004C663C"/>
    <w:rsid w:val="004C66D6"/>
    <w:rsid w:val="004C68D0"/>
    <w:rsid w:val="004C6EE6"/>
    <w:rsid w:val="004C6F1D"/>
    <w:rsid w:val="004C7068"/>
    <w:rsid w:val="004C712E"/>
    <w:rsid w:val="004C726E"/>
    <w:rsid w:val="004C7305"/>
    <w:rsid w:val="004C731E"/>
    <w:rsid w:val="004C7461"/>
    <w:rsid w:val="004C78B0"/>
    <w:rsid w:val="004C7B77"/>
    <w:rsid w:val="004C7BB3"/>
    <w:rsid w:val="004C7BD2"/>
    <w:rsid w:val="004C7DCE"/>
    <w:rsid w:val="004C7DD8"/>
    <w:rsid w:val="004D0052"/>
    <w:rsid w:val="004D00C3"/>
    <w:rsid w:val="004D027B"/>
    <w:rsid w:val="004D02CC"/>
    <w:rsid w:val="004D04D2"/>
    <w:rsid w:val="004D052A"/>
    <w:rsid w:val="004D0551"/>
    <w:rsid w:val="004D0650"/>
    <w:rsid w:val="004D081D"/>
    <w:rsid w:val="004D09D4"/>
    <w:rsid w:val="004D0A0C"/>
    <w:rsid w:val="004D0B50"/>
    <w:rsid w:val="004D0B8C"/>
    <w:rsid w:val="004D0CA4"/>
    <w:rsid w:val="004D0E28"/>
    <w:rsid w:val="004D12D1"/>
    <w:rsid w:val="004D130F"/>
    <w:rsid w:val="004D1391"/>
    <w:rsid w:val="004D1716"/>
    <w:rsid w:val="004D17F8"/>
    <w:rsid w:val="004D1817"/>
    <w:rsid w:val="004D1B3A"/>
    <w:rsid w:val="004D1B6B"/>
    <w:rsid w:val="004D1BB3"/>
    <w:rsid w:val="004D1C05"/>
    <w:rsid w:val="004D1CAF"/>
    <w:rsid w:val="004D1CBA"/>
    <w:rsid w:val="004D1CDB"/>
    <w:rsid w:val="004D1D03"/>
    <w:rsid w:val="004D1F57"/>
    <w:rsid w:val="004D1FB2"/>
    <w:rsid w:val="004D20E7"/>
    <w:rsid w:val="004D2131"/>
    <w:rsid w:val="004D2147"/>
    <w:rsid w:val="004D2247"/>
    <w:rsid w:val="004D23D9"/>
    <w:rsid w:val="004D2411"/>
    <w:rsid w:val="004D28D2"/>
    <w:rsid w:val="004D2D80"/>
    <w:rsid w:val="004D2EB5"/>
    <w:rsid w:val="004D31BA"/>
    <w:rsid w:val="004D32E5"/>
    <w:rsid w:val="004D3393"/>
    <w:rsid w:val="004D33FD"/>
    <w:rsid w:val="004D3607"/>
    <w:rsid w:val="004D361E"/>
    <w:rsid w:val="004D3667"/>
    <w:rsid w:val="004D36CD"/>
    <w:rsid w:val="004D3926"/>
    <w:rsid w:val="004D3F8F"/>
    <w:rsid w:val="004D409D"/>
    <w:rsid w:val="004D40C9"/>
    <w:rsid w:val="004D4265"/>
    <w:rsid w:val="004D42F3"/>
    <w:rsid w:val="004D44C0"/>
    <w:rsid w:val="004D4600"/>
    <w:rsid w:val="004D46F3"/>
    <w:rsid w:val="004D4737"/>
    <w:rsid w:val="004D48CC"/>
    <w:rsid w:val="004D4945"/>
    <w:rsid w:val="004D4C21"/>
    <w:rsid w:val="004D4CE7"/>
    <w:rsid w:val="004D4E7F"/>
    <w:rsid w:val="004D4F5F"/>
    <w:rsid w:val="004D513A"/>
    <w:rsid w:val="004D51A6"/>
    <w:rsid w:val="004D5305"/>
    <w:rsid w:val="004D537C"/>
    <w:rsid w:val="004D5418"/>
    <w:rsid w:val="004D5446"/>
    <w:rsid w:val="004D5466"/>
    <w:rsid w:val="004D5658"/>
    <w:rsid w:val="004D580D"/>
    <w:rsid w:val="004D5945"/>
    <w:rsid w:val="004D5C90"/>
    <w:rsid w:val="004D6144"/>
    <w:rsid w:val="004D62CD"/>
    <w:rsid w:val="004D6579"/>
    <w:rsid w:val="004D67B9"/>
    <w:rsid w:val="004D6808"/>
    <w:rsid w:val="004D6993"/>
    <w:rsid w:val="004D69A5"/>
    <w:rsid w:val="004D6A65"/>
    <w:rsid w:val="004D6A95"/>
    <w:rsid w:val="004D6C17"/>
    <w:rsid w:val="004D6C5B"/>
    <w:rsid w:val="004D6C8D"/>
    <w:rsid w:val="004D6E82"/>
    <w:rsid w:val="004D6EE9"/>
    <w:rsid w:val="004D6F79"/>
    <w:rsid w:val="004D7057"/>
    <w:rsid w:val="004D70C8"/>
    <w:rsid w:val="004D72B6"/>
    <w:rsid w:val="004D72F0"/>
    <w:rsid w:val="004D7375"/>
    <w:rsid w:val="004D73DB"/>
    <w:rsid w:val="004D7563"/>
    <w:rsid w:val="004D764F"/>
    <w:rsid w:val="004D77C5"/>
    <w:rsid w:val="004D77D8"/>
    <w:rsid w:val="004D79D3"/>
    <w:rsid w:val="004D7DDB"/>
    <w:rsid w:val="004D7F42"/>
    <w:rsid w:val="004D7F57"/>
    <w:rsid w:val="004D7FF5"/>
    <w:rsid w:val="004E001D"/>
    <w:rsid w:val="004E034C"/>
    <w:rsid w:val="004E0459"/>
    <w:rsid w:val="004E04A0"/>
    <w:rsid w:val="004E04DD"/>
    <w:rsid w:val="004E050B"/>
    <w:rsid w:val="004E07CB"/>
    <w:rsid w:val="004E09A8"/>
    <w:rsid w:val="004E0AEB"/>
    <w:rsid w:val="004E0D4B"/>
    <w:rsid w:val="004E0E24"/>
    <w:rsid w:val="004E0EBD"/>
    <w:rsid w:val="004E0ECF"/>
    <w:rsid w:val="004E0F79"/>
    <w:rsid w:val="004E1003"/>
    <w:rsid w:val="004E10AD"/>
    <w:rsid w:val="004E11DC"/>
    <w:rsid w:val="004E1244"/>
    <w:rsid w:val="004E1295"/>
    <w:rsid w:val="004E1377"/>
    <w:rsid w:val="004E145D"/>
    <w:rsid w:val="004E17AA"/>
    <w:rsid w:val="004E18C2"/>
    <w:rsid w:val="004E1A83"/>
    <w:rsid w:val="004E1A93"/>
    <w:rsid w:val="004E1CB9"/>
    <w:rsid w:val="004E1CCB"/>
    <w:rsid w:val="004E1EC0"/>
    <w:rsid w:val="004E1F10"/>
    <w:rsid w:val="004E2205"/>
    <w:rsid w:val="004E27AA"/>
    <w:rsid w:val="004E27D8"/>
    <w:rsid w:val="004E283A"/>
    <w:rsid w:val="004E28D0"/>
    <w:rsid w:val="004E28F8"/>
    <w:rsid w:val="004E2979"/>
    <w:rsid w:val="004E29B1"/>
    <w:rsid w:val="004E2B3F"/>
    <w:rsid w:val="004E2C10"/>
    <w:rsid w:val="004E2DB2"/>
    <w:rsid w:val="004E2EEF"/>
    <w:rsid w:val="004E2F4B"/>
    <w:rsid w:val="004E2F8D"/>
    <w:rsid w:val="004E3049"/>
    <w:rsid w:val="004E3432"/>
    <w:rsid w:val="004E374A"/>
    <w:rsid w:val="004E3760"/>
    <w:rsid w:val="004E3873"/>
    <w:rsid w:val="004E38C0"/>
    <w:rsid w:val="004E3A23"/>
    <w:rsid w:val="004E3C1B"/>
    <w:rsid w:val="004E3C6C"/>
    <w:rsid w:val="004E3C77"/>
    <w:rsid w:val="004E3CC2"/>
    <w:rsid w:val="004E3FD6"/>
    <w:rsid w:val="004E446B"/>
    <w:rsid w:val="004E460F"/>
    <w:rsid w:val="004E4D9D"/>
    <w:rsid w:val="004E4E25"/>
    <w:rsid w:val="004E4EFE"/>
    <w:rsid w:val="004E4FA6"/>
    <w:rsid w:val="004E508B"/>
    <w:rsid w:val="004E5144"/>
    <w:rsid w:val="004E5204"/>
    <w:rsid w:val="004E544E"/>
    <w:rsid w:val="004E57FE"/>
    <w:rsid w:val="004E5889"/>
    <w:rsid w:val="004E597C"/>
    <w:rsid w:val="004E59BF"/>
    <w:rsid w:val="004E5B27"/>
    <w:rsid w:val="004E5C72"/>
    <w:rsid w:val="004E5CD7"/>
    <w:rsid w:val="004E5D27"/>
    <w:rsid w:val="004E60D0"/>
    <w:rsid w:val="004E60F4"/>
    <w:rsid w:val="004E63D9"/>
    <w:rsid w:val="004E6508"/>
    <w:rsid w:val="004E6550"/>
    <w:rsid w:val="004E6637"/>
    <w:rsid w:val="004E6685"/>
    <w:rsid w:val="004E66F3"/>
    <w:rsid w:val="004E684A"/>
    <w:rsid w:val="004E690A"/>
    <w:rsid w:val="004E6AC0"/>
    <w:rsid w:val="004E6AF5"/>
    <w:rsid w:val="004E6BF4"/>
    <w:rsid w:val="004E6E68"/>
    <w:rsid w:val="004E6F2D"/>
    <w:rsid w:val="004E702C"/>
    <w:rsid w:val="004E7069"/>
    <w:rsid w:val="004E7429"/>
    <w:rsid w:val="004E7848"/>
    <w:rsid w:val="004E7BD4"/>
    <w:rsid w:val="004E7D08"/>
    <w:rsid w:val="004E7D40"/>
    <w:rsid w:val="004E7E15"/>
    <w:rsid w:val="004E7FAA"/>
    <w:rsid w:val="004F0298"/>
    <w:rsid w:val="004F03C9"/>
    <w:rsid w:val="004F04B2"/>
    <w:rsid w:val="004F0560"/>
    <w:rsid w:val="004F0591"/>
    <w:rsid w:val="004F0877"/>
    <w:rsid w:val="004F0A97"/>
    <w:rsid w:val="004F0B0D"/>
    <w:rsid w:val="004F0B2D"/>
    <w:rsid w:val="004F0D22"/>
    <w:rsid w:val="004F0E35"/>
    <w:rsid w:val="004F0F8F"/>
    <w:rsid w:val="004F0FE3"/>
    <w:rsid w:val="004F1010"/>
    <w:rsid w:val="004F10B5"/>
    <w:rsid w:val="004F1343"/>
    <w:rsid w:val="004F1553"/>
    <w:rsid w:val="004F17BD"/>
    <w:rsid w:val="004F1ACA"/>
    <w:rsid w:val="004F1C6F"/>
    <w:rsid w:val="004F1E71"/>
    <w:rsid w:val="004F1EF9"/>
    <w:rsid w:val="004F1FA2"/>
    <w:rsid w:val="004F1FE2"/>
    <w:rsid w:val="004F2120"/>
    <w:rsid w:val="004F29FC"/>
    <w:rsid w:val="004F2ACD"/>
    <w:rsid w:val="004F2BEB"/>
    <w:rsid w:val="004F2D9B"/>
    <w:rsid w:val="004F2ED6"/>
    <w:rsid w:val="004F2FFF"/>
    <w:rsid w:val="004F3020"/>
    <w:rsid w:val="004F31D4"/>
    <w:rsid w:val="004F3258"/>
    <w:rsid w:val="004F3469"/>
    <w:rsid w:val="004F3509"/>
    <w:rsid w:val="004F3716"/>
    <w:rsid w:val="004F37DF"/>
    <w:rsid w:val="004F3849"/>
    <w:rsid w:val="004F3A55"/>
    <w:rsid w:val="004F3A91"/>
    <w:rsid w:val="004F3B9B"/>
    <w:rsid w:val="004F3F68"/>
    <w:rsid w:val="004F3F71"/>
    <w:rsid w:val="004F409A"/>
    <w:rsid w:val="004F42C6"/>
    <w:rsid w:val="004F43CD"/>
    <w:rsid w:val="004F43F4"/>
    <w:rsid w:val="004F44D2"/>
    <w:rsid w:val="004F4546"/>
    <w:rsid w:val="004F478A"/>
    <w:rsid w:val="004F47B9"/>
    <w:rsid w:val="004F49E8"/>
    <w:rsid w:val="004F4BF1"/>
    <w:rsid w:val="004F4DAC"/>
    <w:rsid w:val="004F4F87"/>
    <w:rsid w:val="004F5119"/>
    <w:rsid w:val="004F5207"/>
    <w:rsid w:val="004F5211"/>
    <w:rsid w:val="004F5441"/>
    <w:rsid w:val="004F575D"/>
    <w:rsid w:val="004F57C9"/>
    <w:rsid w:val="004F57F8"/>
    <w:rsid w:val="004F5917"/>
    <w:rsid w:val="004F63E4"/>
    <w:rsid w:val="004F6BD5"/>
    <w:rsid w:val="004F6ED4"/>
    <w:rsid w:val="004F6EE5"/>
    <w:rsid w:val="004F70E3"/>
    <w:rsid w:val="004F749B"/>
    <w:rsid w:val="004F776C"/>
    <w:rsid w:val="004F7A88"/>
    <w:rsid w:val="004F7AB6"/>
    <w:rsid w:val="004F7D7A"/>
    <w:rsid w:val="004F7EDB"/>
    <w:rsid w:val="004F7FDE"/>
    <w:rsid w:val="0050008B"/>
    <w:rsid w:val="00500170"/>
    <w:rsid w:val="005001D2"/>
    <w:rsid w:val="0050038A"/>
    <w:rsid w:val="005005E8"/>
    <w:rsid w:val="005007E8"/>
    <w:rsid w:val="00500951"/>
    <w:rsid w:val="00500C57"/>
    <w:rsid w:val="00500CA5"/>
    <w:rsid w:val="00500CBE"/>
    <w:rsid w:val="00500EEC"/>
    <w:rsid w:val="00500EFF"/>
    <w:rsid w:val="005010BA"/>
    <w:rsid w:val="0050148F"/>
    <w:rsid w:val="005016C7"/>
    <w:rsid w:val="005017C3"/>
    <w:rsid w:val="00501835"/>
    <w:rsid w:val="005019CF"/>
    <w:rsid w:val="00501B4E"/>
    <w:rsid w:val="00501B71"/>
    <w:rsid w:val="00501C23"/>
    <w:rsid w:val="00501D47"/>
    <w:rsid w:val="00501DD5"/>
    <w:rsid w:val="00501DEE"/>
    <w:rsid w:val="00501F91"/>
    <w:rsid w:val="00502190"/>
    <w:rsid w:val="00502316"/>
    <w:rsid w:val="00502361"/>
    <w:rsid w:val="00502749"/>
    <w:rsid w:val="00502754"/>
    <w:rsid w:val="0050299D"/>
    <w:rsid w:val="00502A63"/>
    <w:rsid w:val="00502CBF"/>
    <w:rsid w:val="00502D19"/>
    <w:rsid w:val="00502EA3"/>
    <w:rsid w:val="00503045"/>
    <w:rsid w:val="005030E8"/>
    <w:rsid w:val="0050313B"/>
    <w:rsid w:val="00503173"/>
    <w:rsid w:val="005032AF"/>
    <w:rsid w:val="00503481"/>
    <w:rsid w:val="00503591"/>
    <w:rsid w:val="00503711"/>
    <w:rsid w:val="0050376A"/>
    <w:rsid w:val="005037FB"/>
    <w:rsid w:val="005038F8"/>
    <w:rsid w:val="005039D0"/>
    <w:rsid w:val="00503BB3"/>
    <w:rsid w:val="00503C1D"/>
    <w:rsid w:val="00503D33"/>
    <w:rsid w:val="00503ED3"/>
    <w:rsid w:val="00504165"/>
    <w:rsid w:val="005047A8"/>
    <w:rsid w:val="005049A0"/>
    <w:rsid w:val="00504AC2"/>
    <w:rsid w:val="00504BF9"/>
    <w:rsid w:val="00504DE6"/>
    <w:rsid w:val="00504EDD"/>
    <w:rsid w:val="00504F58"/>
    <w:rsid w:val="00504FDF"/>
    <w:rsid w:val="0050502F"/>
    <w:rsid w:val="005050AD"/>
    <w:rsid w:val="005053A0"/>
    <w:rsid w:val="0050543A"/>
    <w:rsid w:val="005054CE"/>
    <w:rsid w:val="0050576F"/>
    <w:rsid w:val="00505789"/>
    <w:rsid w:val="00505907"/>
    <w:rsid w:val="00505983"/>
    <w:rsid w:val="00505A94"/>
    <w:rsid w:val="00505C7B"/>
    <w:rsid w:val="00505D7B"/>
    <w:rsid w:val="00505DFC"/>
    <w:rsid w:val="005061B0"/>
    <w:rsid w:val="00506243"/>
    <w:rsid w:val="00506261"/>
    <w:rsid w:val="00506338"/>
    <w:rsid w:val="0050644D"/>
    <w:rsid w:val="005064EB"/>
    <w:rsid w:val="005066BF"/>
    <w:rsid w:val="005067A1"/>
    <w:rsid w:val="00506AA0"/>
    <w:rsid w:val="00506C5B"/>
    <w:rsid w:val="00506E2F"/>
    <w:rsid w:val="00506F75"/>
    <w:rsid w:val="00507161"/>
    <w:rsid w:val="005072CB"/>
    <w:rsid w:val="00507455"/>
    <w:rsid w:val="00507558"/>
    <w:rsid w:val="00507726"/>
    <w:rsid w:val="00507753"/>
    <w:rsid w:val="005077D0"/>
    <w:rsid w:val="005078AF"/>
    <w:rsid w:val="005078C8"/>
    <w:rsid w:val="005078D3"/>
    <w:rsid w:val="00507CF2"/>
    <w:rsid w:val="00507D3F"/>
    <w:rsid w:val="00507DE4"/>
    <w:rsid w:val="00507E23"/>
    <w:rsid w:val="0051001B"/>
    <w:rsid w:val="005100DE"/>
    <w:rsid w:val="005101C6"/>
    <w:rsid w:val="00510260"/>
    <w:rsid w:val="00510268"/>
    <w:rsid w:val="00510421"/>
    <w:rsid w:val="00510472"/>
    <w:rsid w:val="005104D1"/>
    <w:rsid w:val="005107C2"/>
    <w:rsid w:val="00510A1C"/>
    <w:rsid w:val="00510BC9"/>
    <w:rsid w:val="00510D3B"/>
    <w:rsid w:val="00510EF3"/>
    <w:rsid w:val="00510F45"/>
    <w:rsid w:val="00511057"/>
    <w:rsid w:val="00511306"/>
    <w:rsid w:val="00511567"/>
    <w:rsid w:val="00511684"/>
    <w:rsid w:val="00511695"/>
    <w:rsid w:val="00511873"/>
    <w:rsid w:val="00511AFA"/>
    <w:rsid w:val="00511B74"/>
    <w:rsid w:val="00511CCE"/>
    <w:rsid w:val="00511DB1"/>
    <w:rsid w:val="00511DCB"/>
    <w:rsid w:val="00511E8B"/>
    <w:rsid w:val="00511EE3"/>
    <w:rsid w:val="00511FF8"/>
    <w:rsid w:val="00512202"/>
    <w:rsid w:val="005122C9"/>
    <w:rsid w:val="005124EF"/>
    <w:rsid w:val="005128DB"/>
    <w:rsid w:val="00512AEF"/>
    <w:rsid w:val="00512C8A"/>
    <w:rsid w:val="00512E0F"/>
    <w:rsid w:val="00512EB1"/>
    <w:rsid w:val="00512EFA"/>
    <w:rsid w:val="00513110"/>
    <w:rsid w:val="005132E5"/>
    <w:rsid w:val="005133B2"/>
    <w:rsid w:val="005136E3"/>
    <w:rsid w:val="00513E3E"/>
    <w:rsid w:val="00513EA5"/>
    <w:rsid w:val="00514130"/>
    <w:rsid w:val="0051419A"/>
    <w:rsid w:val="0051442C"/>
    <w:rsid w:val="0051450E"/>
    <w:rsid w:val="00514540"/>
    <w:rsid w:val="0051475E"/>
    <w:rsid w:val="005147C5"/>
    <w:rsid w:val="00514949"/>
    <w:rsid w:val="00514AA4"/>
    <w:rsid w:val="00514E2E"/>
    <w:rsid w:val="00514E5A"/>
    <w:rsid w:val="00515149"/>
    <w:rsid w:val="005151C5"/>
    <w:rsid w:val="005153B0"/>
    <w:rsid w:val="00515516"/>
    <w:rsid w:val="005158CB"/>
    <w:rsid w:val="00515AC3"/>
    <w:rsid w:val="00515B4D"/>
    <w:rsid w:val="00515BB4"/>
    <w:rsid w:val="00515C84"/>
    <w:rsid w:val="00515CDD"/>
    <w:rsid w:val="00515EA4"/>
    <w:rsid w:val="005161E7"/>
    <w:rsid w:val="005163AA"/>
    <w:rsid w:val="0051651B"/>
    <w:rsid w:val="00516689"/>
    <w:rsid w:val="00516B0B"/>
    <w:rsid w:val="00516D48"/>
    <w:rsid w:val="00517074"/>
    <w:rsid w:val="005171AF"/>
    <w:rsid w:val="0051720B"/>
    <w:rsid w:val="005174E1"/>
    <w:rsid w:val="005176F0"/>
    <w:rsid w:val="00517768"/>
    <w:rsid w:val="00517B27"/>
    <w:rsid w:val="00517C4B"/>
    <w:rsid w:val="00517C5C"/>
    <w:rsid w:val="00517C5E"/>
    <w:rsid w:val="00517CCA"/>
    <w:rsid w:val="00517D5A"/>
    <w:rsid w:val="00517DD0"/>
    <w:rsid w:val="00517E69"/>
    <w:rsid w:val="00520353"/>
    <w:rsid w:val="00520403"/>
    <w:rsid w:val="0052042A"/>
    <w:rsid w:val="00520DFE"/>
    <w:rsid w:val="00520F69"/>
    <w:rsid w:val="0052105B"/>
    <w:rsid w:val="00521065"/>
    <w:rsid w:val="005210C0"/>
    <w:rsid w:val="005210D5"/>
    <w:rsid w:val="00521182"/>
    <w:rsid w:val="005211BA"/>
    <w:rsid w:val="005214CA"/>
    <w:rsid w:val="0052173D"/>
    <w:rsid w:val="005218DC"/>
    <w:rsid w:val="00522153"/>
    <w:rsid w:val="00522329"/>
    <w:rsid w:val="005225F7"/>
    <w:rsid w:val="005227D1"/>
    <w:rsid w:val="005228EB"/>
    <w:rsid w:val="00522D85"/>
    <w:rsid w:val="00522EA8"/>
    <w:rsid w:val="00523022"/>
    <w:rsid w:val="0052321C"/>
    <w:rsid w:val="005233C2"/>
    <w:rsid w:val="005236A0"/>
    <w:rsid w:val="005236A6"/>
    <w:rsid w:val="0052390F"/>
    <w:rsid w:val="00523987"/>
    <w:rsid w:val="00523C53"/>
    <w:rsid w:val="00523D9E"/>
    <w:rsid w:val="00523E6C"/>
    <w:rsid w:val="00523FA1"/>
    <w:rsid w:val="005241E5"/>
    <w:rsid w:val="0052431F"/>
    <w:rsid w:val="00524611"/>
    <w:rsid w:val="0052473D"/>
    <w:rsid w:val="005247D9"/>
    <w:rsid w:val="00524828"/>
    <w:rsid w:val="00524AD2"/>
    <w:rsid w:val="00524C49"/>
    <w:rsid w:val="00524E2E"/>
    <w:rsid w:val="00524E72"/>
    <w:rsid w:val="00524EB4"/>
    <w:rsid w:val="0052523E"/>
    <w:rsid w:val="00525244"/>
    <w:rsid w:val="005252A6"/>
    <w:rsid w:val="0052537C"/>
    <w:rsid w:val="005253D3"/>
    <w:rsid w:val="0052541C"/>
    <w:rsid w:val="005258A4"/>
    <w:rsid w:val="00525A64"/>
    <w:rsid w:val="00525ABE"/>
    <w:rsid w:val="00525F40"/>
    <w:rsid w:val="00525F73"/>
    <w:rsid w:val="00525FC9"/>
    <w:rsid w:val="00526065"/>
    <w:rsid w:val="005260AB"/>
    <w:rsid w:val="005260D3"/>
    <w:rsid w:val="00526446"/>
    <w:rsid w:val="005265C5"/>
    <w:rsid w:val="00526774"/>
    <w:rsid w:val="00526844"/>
    <w:rsid w:val="005268B8"/>
    <w:rsid w:val="00526941"/>
    <w:rsid w:val="0052698A"/>
    <w:rsid w:val="00526BDC"/>
    <w:rsid w:val="00526C0C"/>
    <w:rsid w:val="00526F41"/>
    <w:rsid w:val="00527054"/>
    <w:rsid w:val="00527170"/>
    <w:rsid w:val="00527228"/>
    <w:rsid w:val="00527404"/>
    <w:rsid w:val="00527432"/>
    <w:rsid w:val="00527578"/>
    <w:rsid w:val="00527673"/>
    <w:rsid w:val="005276A6"/>
    <w:rsid w:val="00527781"/>
    <w:rsid w:val="005277D4"/>
    <w:rsid w:val="00527A21"/>
    <w:rsid w:val="00527A32"/>
    <w:rsid w:val="00527A63"/>
    <w:rsid w:val="00527E1D"/>
    <w:rsid w:val="00527FDA"/>
    <w:rsid w:val="00530333"/>
    <w:rsid w:val="00530796"/>
    <w:rsid w:val="005307BD"/>
    <w:rsid w:val="0053080A"/>
    <w:rsid w:val="0053083B"/>
    <w:rsid w:val="00530AD4"/>
    <w:rsid w:val="00530C06"/>
    <w:rsid w:val="00530FCA"/>
    <w:rsid w:val="00531003"/>
    <w:rsid w:val="0053147A"/>
    <w:rsid w:val="00531900"/>
    <w:rsid w:val="00531A2C"/>
    <w:rsid w:val="00531ABD"/>
    <w:rsid w:val="00531CEA"/>
    <w:rsid w:val="00531DF3"/>
    <w:rsid w:val="00531E54"/>
    <w:rsid w:val="00531E96"/>
    <w:rsid w:val="00531FCF"/>
    <w:rsid w:val="0053208F"/>
    <w:rsid w:val="005321A1"/>
    <w:rsid w:val="005322D4"/>
    <w:rsid w:val="00532373"/>
    <w:rsid w:val="00532930"/>
    <w:rsid w:val="00532C89"/>
    <w:rsid w:val="00532D12"/>
    <w:rsid w:val="00532DAB"/>
    <w:rsid w:val="00532EE5"/>
    <w:rsid w:val="00532F0A"/>
    <w:rsid w:val="00532FE7"/>
    <w:rsid w:val="005331DC"/>
    <w:rsid w:val="00533208"/>
    <w:rsid w:val="005334AF"/>
    <w:rsid w:val="00533515"/>
    <w:rsid w:val="005337CE"/>
    <w:rsid w:val="00533800"/>
    <w:rsid w:val="0053391E"/>
    <w:rsid w:val="005339A6"/>
    <w:rsid w:val="00533CA0"/>
    <w:rsid w:val="00534022"/>
    <w:rsid w:val="0053404B"/>
    <w:rsid w:val="00534456"/>
    <w:rsid w:val="00534537"/>
    <w:rsid w:val="005346FC"/>
    <w:rsid w:val="00534723"/>
    <w:rsid w:val="005347B1"/>
    <w:rsid w:val="00534849"/>
    <w:rsid w:val="00534C54"/>
    <w:rsid w:val="00534D0A"/>
    <w:rsid w:val="00534E58"/>
    <w:rsid w:val="00535056"/>
    <w:rsid w:val="0053520A"/>
    <w:rsid w:val="005352A1"/>
    <w:rsid w:val="005355F4"/>
    <w:rsid w:val="0053565E"/>
    <w:rsid w:val="005356B3"/>
    <w:rsid w:val="00535763"/>
    <w:rsid w:val="00535817"/>
    <w:rsid w:val="00535B8D"/>
    <w:rsid w:val="00535BB9"/>
    <w:rsid w:val="00535E54"/>
    <w:rsid w:val="00535E75"/>
    <w:rsid w:val="00535F09"/>
    <w:rsid w:val="0053616C"/>
    <w:rsid w:val="0053620E"/>
    <w:rsid w:val="00536540"/>
    <w:rsid w:val="005366BA"/>
    <w:rsid w:val="005368C2"/>
    <w:rsid w:val="005368F7"/>
    <w:rsid w:val="005369DE"/>
    <w:rsid w:val="00536A22"/>
    <w:rsid w:val="00536A7C"/>
    <w:rsid w:val="00536E36"/>
    <w:rsid w:val="0053700B"/>
    <w:rsid w:val="00537071"/>
    <w:rsid w:val="00537136"/>
    <w:rsid w:val="0053721E"/>
    <w:rsid w:val="005373DB"/>
    <w:rsid w:val="00537497"/>
    <w:rsid w:val="005375A5"/>
    <w:rsid w:val="00537B25"/>
    <w:rsid w:val="00537B6C"/>
    <w:rsid w:val="00537C7B"/>
    <w:rsid w:val="00537DF7"/>
    <w:rsid w:val="00537FCA"/>
    <w:rsid w:val="0054007E"/>
    <w:rsid w:val="00540269"/>
    <w:rsid w:val="00540320"/>
    <w:rsid w:val="0054053A"/>
    <w:rsid w:val="005409F5"/>
    <w:rsid w:val="00540F46"/>
    <w:rsid w:val="0054183A"/>
    <w:rsid w:val="0054185E"/>
    <w:rsid w:val="005418DB"/>
    <w:rsid w:val="005419CA"/>
    <w:rsid w:val="005419D4"/>
    <w:rsid w:val="00541C26"/>
    <w:rsid w:val="00541CEF"/>
    <w:rsid w:val="00541F29"/>
    <w:rsid w:val="005421C6"/>
    <w:rsid w:val="00542284"/>
    <w:rsid w:val="005422D5"/>
    <w:rsid w:val="0054249B"/>
    <w:rsid w:val="00542620"/>
    <w:rsid w:val="00542C08"/>
    <w:rsid w:val="00542D99"/>
    <w:rsid w:val="00542EB3"/>
    <w:rsid w:val="00542EE6"/>
    <w:rsid w:val="005430DB"/>
    <w:rsid w:val="005434DB"/>
    <w:rsid w:val="0054356D"/>
    <w:rsid w:val="00543573"/>
    <w:rsid w:val="00543641"/>
    <w:rsid w:val="0054396D"/>
    <w:rsid w:val="005439E4"/>
    <w:rsid w:val="005439FE"/>
    <w:rsid w:val="00543AE4"/>
    <w:rsid w:val="00543BC4"/>
    <w:rsid w:val="00543C63"/>
    <w:rsid w:val="00543CBB"/>
    <w:rsid w:val="00543E11"/>
    <w:rsid w:val="00543E8B"/>
    <w:rsid w:val="00543EAF"/>
    <w:rsid w:val="00543EB3"/>
    <w:rsid w:val="00543F7A"/>
    <w:rsid w:val="005440C4"/>
    <w:rsid w:val="005441BD"/>
    <w:rsid w:val="00544298"/>
    <w:rsid w:val="005442ED"/>
    <w:rsid w:val="00544474"/>
    <w:rsid w:val="00544501"/>
    <w:rsid w:val="00544985"/>
    <w:rsid w:val="005449B2"/>
    <w:rsid w:val="00544BF2"/>
    <w:rsid w:val="00544CD5"/>
    <w:rsid w:val="00544DA4"/>
    <w:rsid w:val="00544DDE"/>
    <w:rsid w:val="00544E8A"/>
    <w:rsid w:val="00544E95"/>
    <w:rsid w:val="00544FFB"/>
    <w:rsid w:val="005450E9"/>
    <w:rsid w:val="0054518A"/>
    <w:rsid w:val="005454BB"/>
    <w:rsid w:val="005454D9"/>
    <w:rsid w:val="0054555F"/>
    <w:rsid w:val="005455E5"/>
    <w:rsid w:val="00545770"/>
    <w:rsid w:val="00545927"/>
    <w:rsid w:val="0054595D"/>
    <w:rsid w:val="00545D44"/>
    <w:rsid w:val="0054628D"/>
    <w:rsid w:val="005465B4"/>
    <w:rsid w:val="00546696"/>
    <w:rsid w:val="00546717"/>
    <w:rsid w:val="00546ACA"/>
    <w:rsid w:val="00546B38"/>
    <w:rsid w:val="00546ED1"/>
    <w:rsid w:val="00546F57"/>
    <w:rsid w:val="0054724F"/>
    <w:rsid w:val="005472C4"/>
    <w:rsid w:val="0054768B"/>
    <w:rsid w:val="00547767"/>
    <w:rsid w:val="00547892"/>
    <w:rsid w:val="00547955"/>
    <w:rsid w:val="00547A53"/>
    <w:rsid w:val="00547BB7"/>
    <w:rsid w:val="00547DED"/>
    <w:rsid w:val="00550218"/>
    <w:rsid w:val="00550388"/>
    <w:rsid w:val="005503B6"/>
    <w:rsid w:val="005503CE"/>
    <w:rsid w:val="005508AE"/>
    <w:rsid w:val="005508FC"/>
    <w:rsid w:val="005509A5"/>
    <w:rsid w:val="005509CB"/>
    <w:rsid w:val="00550A6F"/>
    <w:rsid w:val="00550B48"/>
    <w:rsid w:val="00550BE4"/>
    <w:rsid w:val="00550E87"/>
    <w:rsid w:val="00551230"/>
    <w:rsid w:val="0055142A"/>
    <w:rsid w:val="005515A4"/>
    <w:rsid w:val="0055182C"/>
    <w:rsid w:val="00551879"/>
    <w:rsid w:val="00551AA9"/>
    <w:rsid w:val="00551AC1"/>
    <w:rsid w:val="00551CFE"/>
    <w:rsid w:val="00551DD8"/>
    <w:rsid w:val="00552599"/>
    <w:rsid w:val="0055262B"/>
    <w:rsid w:val="0055290B"/>
    <w:rsid w:val="00552973"/>
    <w:rsid w:val="00552C90"/>
    <w:rsid w:val="0055328C"/>
    <w:rsid w:val="005534C2"/>
    <w:rsid w:val="0055368A"/>
    <w:rsid w:val="005537CC"/>
    <w:rsid w:val="005537D7"/>
    <w:rsid w:val="00553B2A"/>
    <w:rsid w:val="00553B59"/>
    <w:rsid w:val="00553C44"/>
    <w:rsid w:val="00553DC3"/>
    <w:rsid w:val="00553EFC"/>
    <w:rsid w:val="00554291"/>
    <w:rsid w:val="005545CD"/>
    <w:rsid w:val="0055495B"/>
    <w:rsid w:val="00555012"/>
    <w:rsid w:val="00555066"/>
    <w:rsid w:val="005550E3"/>
    <w:rsid w:val="00555138"/>
    <w:rsid w:val="0055517C"/>
    <w:rsid w:val="005551D5"/>
    <w:rsid w:val="005551FA"/>
    <w:rsid w:val="00555349"/>
    <w:rsid w:val="005553F3"/>
    <w:rsid w:val="0055548B"/>
    <w:rsid w:val="005554BE"/>
    <w:rsid w:val="0055550A"/>
    <w:rsid w:val="005556A8"/>
    <w:rsid w:val="00555797"/>
    <w:rsid w:val="005557EC"/>
    <w:rsid w:val="005558A8"/>
    <w:rsid w:val="00555953"/>
    <w:rsid w:val="00555AB4"/>
    <w:rsid w:val="0055603B"/>
    <w:rsid w:val="005561C8"/>
    <w:rsid w:val="005561F2"/>
    <w:rsid w:val="0055626A"/>
    <w:rsid w:val="005562EA"/>
    <w:rsid w:val="00556341"/>
    <w:rsid w:val="0055652B"/>
    <w:rsid w:val="00556552"/>
    <w:rsid w:val="0055670A"/>
    <w:rsid w:val="00556960"/>
    <w:rsid w:val="0055697D"/>
    <w:rsid w:val="00556E19"/>
    <w:rsid w:val="00556E53"/>
    <w:rsid w:val="00556FF8"/>
    <w:rsid w:val="00557032"/>
    <w:rsid w:val="0055738F"/>
    <w:rsid w:val="00557724"/>
    <w:rsid w:val="00557859"/>
    <w:rsid w:val="00557906"/>
    <w:rsid w:val="00557989"/>
    <w:rsid w:val="00557AA2"/>
    <w:rsid w:val="00557AA7"/>
    <w:rsid w:val="00557B1F"/>
    <w:rsid w:val="00557B9F"/>
    <w:rsid w:val="00557E8F"/>
    <w:rsid w:val="00557F7D"/>
    <w:rsid w:val="00557F93"/>
    <w:rsid w:val="00557FD9"/>
    <w:rsid w:val="00560071"/>
    <w:rsid w:val="005600B6"/>
    <w:rsid w:val="00560106"/>
    <w:rsid w:val="0056032F"/>
    <w:rsid w:val="0056056C"/>
    <w:rsid w:val="0056080D"/>
    <w:rsid w:val="00560883"/>
    <w:rsid w:val="00560AB3"/>
    <w:rsid w:val="00560B08"/>
    <w:rsid w:val="00560BE4"/>
    <w:rsid w:val="00560BED"/>
    <w:rsid w:val="00560DC0"/>
    <w:rsid w:val="0056109A"/>
    <w:rsid w:val="005611C0"/>
    <w:rsid w:val="005616C8"/>
    <w:rsid w:val="00561844"/>
    <w:rsid w:val="0056186F"/>
    <w:rsid w:val="00561AA4"/>
    <w:rsid w:val="00561AF8"/>
    <w:rsid w:val="00561AFE"/>
    <w:rsid w:val="00561D84"/>
    <w:rsid w:val="00561E5F"/>
    <w:rsid w:val="00561F77"/>
    <w:rsid w:val="00561FD5"/>
    <w:rsid w:val="005620C5"/>
    <w:rsid w:val="005622F0"/>
    <w:rsid w:val="005623DE"/>
    <w:rsid w:val="005627AE"/>
    <w:rsid w:val="00562871"/>
    <w:rsid w:val="00562904"/>
    <w:rsid w:val="005629D2"/>
    <w:rsid w:val="00562B2C"/>
    <w:rsid w:val="00562B67"/>
    <w:rsid w:val="00562C1C"/>
    <w:rsid w:val="00562E6D"/>
    <w:rsid w:val="00563205"/>
    <w:rsid w:val="00563310"/>
    <w:rsid w:val="0056331A"/>
    <w:rsid w:val="005633F0"/>
    <w:rsid w:val="0056357E"/>
    <w:rsid w:val="005635E2"/>
    <w:rsid w:val="005636BB"/>
    <w:rsid w:val="005637FA"/>
    <w:rsid w:val="0056380A"/>
    <w:rsid w:val="005638D2"/>
    <w:rsid w:val="00563B6B"/>
    <w:rsid w:val="00563D31"/>
    <w:rsid w:val="00563D92"/>
    <w:rsid w:val="00563F02"/>
    <w:rsid w:val="00564255"/>
    <w:rsid w:val="005643C9"/>
    <w:rsid w:val="0056480D"/>
    <w:rsid w:val="00564B29"/>
    <w:rsid w:val="00564BED"/>
    <w:rsid w:val="00564C27"/>
    <w:rsid w:val="00564CCE"/>
    <w:rsid w:val="00564EAB"/>
    <w:rsid w:val="00564EBF"/>
    <w:rsid w:val="00564FD7"/>
    <w:rsid w:val="00565099"/>
    <w:rsid w:val="005651E0"/>
    <w:rsid w:val="00565314"/>
    <w:rsid w:val="0056547C"/>
    <w:rsid w:val="005654C3"/>
    <w:rsid w:val="005659AB"/>
    <w:rsid w:val="00565B23"/>
    <w:rsid w:val="00566050"/>
    <w:rsid w:val="00566213"/>
    <w:rsid w:val="00566237"/>
    <w:rsid w:val="00566385"/>
    <w:rsid w:val="005665AB"/>
    <w:rsid w:val="00566964"/>
    <w:rsid w:val="00566993"/>
    <w:rsid w:val="005669D5"/>
    <w:rsid w:val="005669EE"/>
    <w:rsid w:val="00566B1E"/>
    <w:rsid w:val="005670C2"/>
    <w:rsid w:val="00567320"/>
    <w:rsid w:val="005673AB"/>
    <w:rsid w:val="005674F8"/>
    <w:rsid w:val="00567570"/>
    <w:rsid w:val="005676FC"/>
    <w:rsid w:val="0056777F"/>
    <w:rsid w:val="0056796E"/>
    <w:rsid w:val="00567B08"/>
    <w:rsid w:val="00567BD1"/>
    <w:rsid w:val="00567D79"/>
    <w:rsid w:val="005700C4"/>
    <w:rsid w:val="005702FF"/>
    <w:rsid w:val="0057042D"/>
    <w:rsid w:val="0057046F"/>
    <w:rsid w:val="005706A9"/>
    <w:rsid w:val="00570896"/>
    <w:rsid w:val="0057099E"/>
    <w:rsid w:val="00570B03"/>
    <w:rsid w:val="00570BAF"/>
    <w:rsid w:val="00570BB3"/>
    <w:rsid w:val="00570BEF"/>
    <w:rsid w:val="00570CF4"/>
    <w:rsid w:val="00570E3D"/>
    <w:rsid w:val="00570E5B"/>
    <w:rsid w:val="0057100E"/>
    <w:rsid w:val="005711CD"/>
    <w:rsid w:val="0057137F"/>
    <w:rsid w:val="005713F0"/>
    <w:rsid w:val="0057145E"/>
    <w:rsid w:val="005714C4"/>
    <w:rsid w:val="005717D0"/>
    <w:rsid w:val="005718B9"/>
    <w:rsid w:val="005718C0"/>
    <w:rsid w:val="00571D70"/>
    <w:rsid w:val="00571FE9"/>
    <w:rsid w:val="005720CA"/>
    <w:rsid w:val="00572100"/>
    <w:rsid w:val="005721A0"/>
    <w:rsid w:val="005726F2"/>
    <w:rsid w:val="00572807"/>
    <w:rsid w:val="00572855"/>
    <w:rsid w:val="00572AEB"/>
    <w:rsid w:val="00573244"/>
    <w:rsid w:val="00573558"/>
    <w:rsid w:val="0057373A"/>
    <w:rsid w:val="00573745"/>
    <w:rsid w:val="00573B3B"/>
    <w:rsid w:val="00573D56"/>
    <w:rsid w:val="00573EA8"/>
    <w:rsid w:val="00573FD8"/>
    <w:rsid w:val="005741D5"/>
    <w:rsid w:val="00574349"/>
    <w:rsid w:val="00574881"/>
    <w:rsid w:val="00574920"/>
    <w:rsid w:val="00574A07"/>
    <w:rsid w:val="00574AEA"/>
    <w:rsid w:val="00574AFF"/>
    <w:rsid w:val="00574B11"/>
    <w:rsid w:val="00574DC3"/>
    <w:rsid w:val="00574DF3"/>
    <w:rsid w:val="00575259"/>
    <w:rsid w:val="0057584B"/>
    <w:rsid w:val="005759B3"/>
    <w:rsid w:val="005759F5"/>
    <w:rsid w:val="00575A25"/>
    <w:rsid w:val="00575C1E"/>
    <w:rsid w:val="00575D5D"/>
    <w:rsid w:val="00575F7C"/>
    <w:rsid w:val="005761AC"/>
    <w:rsid w:val="005762E1"/>
    <w:rsid w:val="00576340"/>
    <w:rsid w:val="0057634A"/>
    <w:rsid w:val="0057638B"/>
    <w:rsid w:val="005766EB"/>
    <w:rsid w:val="00576799"/>
    <w:rsid w:val="00576850"/>
    <w:rsid w:val="0057694E"/>
    <w:rsid w:val="00576BF0"/>
    <w:rsid w:val="00576C57"/>
    <w:rsid w:val="00577110"/>
    <w:rsid w:val="00577B55"/>
    <w:rsid w:val="00577BB3"/>
    <w:rsid w:val="00577BEB"/>
    <w:rsid w:val="00577C94"/>
    <w:rsid w:val="00577CA2"/>
    <w:rsid w:val="00577E2D"/>
    <w:rsid w:val="00580057"/>
    <w:rsid w:val="00580064"/>
    <w:rsid w:val="005801C9"/>
    <w:rsid w:val="005807B2"/>
    <w:rsid w:val="0058086E"/>
    <w:rsid w:val="00580883"/>
    <w:rsid w:val="005808B6"/>
    <w:rsid w:val="00580CF7"/>
    <w:rsid w:val="00580DF5"/>
    <w:rsid w:val="00580E76"/>
    <w:rsid w:val="005813BD"/>
    <w:rsid w:val="0058146E"/>
    <w:rsid w:val="00581505"/>
    <w:rsid w:val="0058156D"/>
    <w:rsid w:val="00581593"/>
    <w:rsid w:val="00581709"/>
    <w:rsid w:val="00581831"/>
    <w:rsid w:val="005819B3"/>
    <w:rsid w:val="005819B5"/>
    <w:rsid w:val="00581B97"/>
    <w:rsid w:val="00581C82"/>
    <w:rsid w:val="00581D26"/>
    <w:rsid w:val="00581E5D"/>
    <w:rsid w:val="00581EBB"/>
    <w:rsid w:val="00582100"/>
    <w:rsid w:val="0058233A"/>
    <w:rsid w:val="00582450"/>
    <w:rsid w:val="0058247B"/>
    <w:rsid w:val="00582638"/>
    <w:rsid w:val="0058292F"/>
    <w:rsid w:val="00582C1F"/>
    <w:rsid w:val="00582E2E"/>
    <w:rsid w:val="00583180"/>
    <w:rsid w:val="0058324C"/>
    <w:rsid w:val="00583408"/>
    <w:rsid w:val="00583562"/>
    <w:rsid w:val="00583ADE"/>
    <w:rsid w:val="00583BD0"/>
    <w:rsid w:val="00583DF4"/>
    <w:rsid w:val="00583EBD"/>
    <w:rsid w:val="00583F9D"/>
    <w:rsid w:val="005842BA"/>
    <w:rsid w:val="0058443E"/>
    <w:rsid w:val="00584608"/>
    <w:rsid w:val="00584718"/>
    <w:rsid w:val="005848E0"/>
    <w:rsid w:val="00584BC1"/>
    <w:rsid w:val="0058526B"/>
    <w:rsid w:val="0058556E"/>
    <w:rsid w:val="00585CE0"/>
    <w:rsid w:val="00585DC8"/>
    <w:rsid w:val="00585E44"/>
    <w:rsid w:val="00585F8E"/>
    <w:rsid w:val="0058622D"/>
    <w:rsid w:val="0058624F"/>
    <w:rsid w:val="005862C6"/>
    <w:rsid w:val="005864DB"/>
    <w:rsid w:val="0058683B"/>
    <w:rsid w:val="005868BC"/>
    <w:rsid w:val="00586B4A"/>
    <w:rsid w:val="00586D69"/>
    <w:rsid w:val="00586DE0"/>
    <w:rsid w:val="00586F81"/>
    <w:rsid w:val="00586FEB"/>
    <w:rsid w:val="00587043"/>
    <w:rsid w:val="00587181"/>
    <w:rsid w:val="00587576"/>
    <w:rsid w:val="0058766A"/>
    <w:rsid w:val="00587811"/>
    <w:rsid w:val="0058782E"/>
    <w:rsid w:val="00587917"/>
    <w:rsid w:val="00587B9B"/>
    <w:rsid w:val="00587BA2"/>
    <w:rsid w:val="00587BEB"/>
    <w:rsid w:val="00587CCD"/>
    <w:rsid w:val="00587EC3"/>
    <w:rsid w:val="00587FC3"/>
    <w:rsid w:val="00590642"/>
    <w:rsid w:val="00590677"/>
    <w:rsid w:val="00590689"/>
    <w:rsid w:val="0059069B"/>
    <w:rsid w:val="00590A87"/>
    <w:rsid w:val="00590AE7"/>
    <w:rsid w:val="00590CB0"/>
    <w:rsid w:val="00590DBD"/>
    <w:rsid w:val="005910DC"/>
    <w:rsid w:val="005911A6"/>
    <w:rsid w:val="0059171E"/>
    <w:rsid w:val="0059176D"/>
    <w:rsid w:val="00591A92"/>
    <w:rsid w:val="00591B68"/>
    <w:rsid w:val="0059201B"/>
    <w:rsid w:val="00592443"/>
    <w:rsid w:val="005924B9"/>
    <w:rsid w:val="005924BA"/>
    <w:rsid w:val="005925AA"/>
    <w:rsid w:val="00592730"/>
    <w:rsid w:val="00592890"/>
    <w:rsid w:val="00592B4F"/>
    <w:rsid w:val="00592BA6"/>
    <w:rsid w:val="00592DA1"/>
    <w:rsid w:val="00592EEE"/>
    <w:rsid w:val="00592FFD"/>
    <w:rsid w:val="005930A9"/>
    <w:rsid w:val="005932F2"/>
    <w:rsid w:val="005933E0"/>
    <w:rsid w:val="00593533"/>
    <w:rsid w:val="00593578"/>
    <w:rsid w:val="005937B5"/>
    <w:rsid w:val="00593841"/>
    <w:rsid w:val="00593861"/>
    <w:rsid w:val="005939F2"/>
    <w:rsid w:val="005939FF"/>
    <w:rsid w:val="00593C7A"/>
    <w:rsid w:val="00593C97"/>
    <w:rsid w:val="00594571"/>
    <w:rsid w:val="005945F1"/>
    <w:rsid w:val="00594657"/>
    <w:rsid w:val="005946BC"/>
    <w:rsid w:val="005947A2"/>
    <w:rsid w:val="00594A09"/>
    <w:rsid w:val="00594BDD"/>
    <w:rsid w:val="00594E77"/>
    <w:rsid w:val="00594ECB"/>
    <w:rsid w:val="00594F8C"/>
    <w:rsid w:val="0059528C"/>
    <w:rsid w:val="0059545A"/>
    <w:rsid w:val="00595678"/>
    <w:rsid w:val="00595745"/>
    <w:rsid w:val="005958FE"/>
    <w:rsid w:val="0059590E"/>
    <w:rsid w:val="00595966"/>
    <w:rsid w:val="00595A3B"/>
    <w:rsid w:val="00595C8F"/>
    <w:rsid w:val="00595CD9"/>
    <w:rsid w:val="00595CDB"/>
    <w:rsid w:val="00595EDD"/>
    <w:rsid w:val="00596051"/>
    <w:rsid w:val="005960F1"/>
    <w:rsid w:val="00596132"/>
    <w:rsid w:val="00596280"/>
    <w:rsid w:val="00596294"/>
    <w:rsid w:val="005964C0"/>
    <w:rsid w:val="00596604"/>
    <w:rsid w:val="005966F8"/>
    <w:rsid w:val="00596809"/>
    <w:rsid w:val="0059682F"/>
    <w:rsid w:val="00596C0D"/>
    <w:rsid w:val="00596C8E"/>
    <w:rsid w:val="00596E14"/>
    <w:rsid w:val="00597292"/>
    <w:rsid w:val="005972E2"/>
    <w:rsid w:val="005972E5"/>
    <w:rsid w:val="005973ED"/>
    <w:rsid w:val="00597478"/>
    <w:rsid w:val="00597609"/>
    <w:rsid w:val="00597737"/>
    <w:rsid w:val="0059793E"/>
    <w:rsid w:val="00597972"/>
    <w:rsid w:val="00597BF3"/>
    <w:rsid w:val="00597D9B"/>
    <w:rsid w:val="00597DB3"/>
    <w:rsid w:val="00597DE8"/>
    <w:rsid w:val="00597E79"/>
    <w:rsid w:val="005A00BB"/>
    <w:rsid w:val="005A00D3"/>
    <w:rsid w:val="005A0313"/>
    <w:rsid w:val="005A039A"/>
    <w:rsid w:val="005A03A8"/>
    <w:rsid w:val="005A03BA"/>
    <w:rsid w:val="005A048C"/>
    <w:rsid w:val="005A04BB"/>
    <w:rsid w:val="005A055B"/>
    <w:rsid w:val="005A0955"/>
    <w:rsid w:val="005A0A99"/>
    <w:rsid w:val="005A0B5F"/>
    <w:rsid w:val="005A0C02"/>
    <w:rsid w:val="005A0F74"/>
    <w:rsid w:val="005A10E6"/>
    <w:rsid w:val="005A1167"/>
    <w:rsid w:val="005A1200"/>
    <w:rsid w:val="005A134F"/>
    <w:rsid w:val="005A165A"/>
    <w:rsid w:val="005A16E3"/>
    <w:rsid w:val="005A17B6"/>
    <w:rsid w:val="005A1850"/>
    <w:rsid w:val="005A18AE"/>
    <w:rsid w:val="005A1901"/>
    <w:rsid w:val="005A1C9D"/>
    <w:rsid w:val="005A1CEC"/>
    <w:rsid w:val="005A1DA5"/>
    <w:rsid w:val="005A1EEF"/>
    <w:rsid w:val="005A2007"/>
    <w:rsid w:val="005A2313"/>
    <w:rsid w:val="005A24CC"/>
    <w:rsid w:val="005A26FB"/>
    <w:rsid w:val="005A2732"/>
    <w:rsid w:val="005A276A"/>
    <w:rsid w:val="005A2778"/>
    <w:rsid w:val="005A279C"/>
    <w:rsid w:val="005A2CFA"/>
    <w:rsid w:val="005A2F40"/>
    <w:rsid w:val="005A30A1"/>
    <w:rsid w:val="005A313A"/>
    <w:rsid w:val="005A317B"/>
    <w:rsid w:val="005A322C"/>
    <w:rsid w:val="005A32A3"/>
    <w:rsid w:val="005A37CE"/>
    <w:rsid w:val="005A3B75"/>
    <w:rsid w:val="005A3BF5"/>
    <w:rsid w:val="005A3C87"/>
    <w:rsid w:val="005A405E"/>
    <w:rsid w:val="005A407B"/>
    <w:rsid w:val="005A41D7"/>
    <w:rsid w:val="005A42C0"/>
    <w:rsid w:val="005A42D0"/>
    <w:rsid w:val="005A461D"/>
    <w:rsid w:val="005A474D"/>
    <w:rsid w:val="005A4937"/>
    <w:rsid w:val="005A49BF"/>
    <w:rsid w:val="005A4A36"/>
    <w:rsid w:val="005A4B25"/>
    <w:rsid w:val="005A4BC8"/>
    <w:rsid w:val="005A4C22"/>
    <w:rsid w:val="005A4D14"/>
    <w:rsid w:val="005A4D80"/>
    <w:rsid w:val="005A4DD0"/>
    <w:rsid w:val="005A4E5D"/>
    <w:rsid w:val="005A50A7"/>
    <w:rsid w:val="005A5164"/>
    <w:rsid w:val="005A51C0"/>
    <w:rsid w:val="005A526C"/>
    <w:rsid w:val="005A5557"/>
    <w:rsid w:val="005A5574"/>
    <w:rsid w:val="005A5647"/>
    <w:rsid w:val="005A5A7C"/>
    <w:rsid w:val="005A5B70"/>
    <w:rsid w:val="005A5C69"/>
    <w:rsid w:val="005A5D33"/>
    <w:rsid w:val="005A5DF8"/>
    <w:rsid w:val="005A5E97"/>
    <w:rsid w:val="005A604A"/>
    <w:rsid w:val="005A61C9"/>
    <w:rsid w:val="005A6240"/>
    <w:rsid w:val="005A6332"/>
    <w:rsid w:val="005A6371"/>
    <w:rsid w:val="005A6495"/>
    <w:rsid w:val="005A64B8"/>
    <w:rsid w:val="005A688A"/>
    <w:rsid w:val="005A68A7"/>
    <w:rsid w:val="005A6AA8"/>
    <w:rsid w:val="005A6C3D"/>
    <w:rsid w:val="005A6E11"/>
    <w:rsid w:val="005A706A"/>
    <w:rsid w:val="005A70D8"/>
    <w:rsid w:val="005A70F5"/>
    <w:rsid w:val="005A746B"/>
    <w:rsid w:val="005A7594"/>
    <w:rsid w:val="005A76AA"/>
    <w:rsid w:val="005A78C2"/>
    <w:rsid w:val="005A7A4E"/>
    <w:rsid w:val="005A7FCF"/>
    <w:rsid w:val="005B0113"/>
    <w:rsid w:val="005B023D"/>
    <w:rsid w:val="005B05B4"/>
    <w:rsid w:val="005B0A0D"/>
    <w:rsid w:val="005B0A67"/>
    <w:rsid w:val="005B0E21"/>
    <w:rsid w:val="005B0E41"/>
    <w:rsid w:val="005B0F1F"/>
    <w:rsid w:val="005B113C"/>
    <w:rsid w:val="005B1520"/>
    <w:rsid w:val="005B1524"/>
    <w:rsid w:val="005B16AA"/>
    <w:rsid w:val="005B18E8"/>
    <w:rsid w:val="005B1BEC"/>
    <w:rsid w:val="005B1C00"/>
    <w:rsid w:val="005B1EB6"/>
    <w:rsid w:val="005B203E"/>
    <w:rsid w:val="005B2240"/>
    <w:rsid w:val="005B226F"/>
    <w:rsid w:val="005B229E"/>
    <w:rsid w:val="005B2453"/>
    <w:rsid w:val="005B25BC"/>
    <w:rsid w:val="005B265C"/>
    <w:rsid w:val="005B297F"/>
    <w:rsid w:val="005B29B4"/>
    <w:rsid w:val="005B2AAB"/>
    <w:rsid w:val="005B2AB9"/>
    <w:rsid w:val="005B2AD2"/>
    <w:rsid w:val="005B2ADE"/>
    <w:rsid w:val="005B2C62"/>
    <w:rsid w:val="005B2E20"/>
    <w:rsid w:val="005B2FD2"/>
    <w:rsid w:val="005B300C"/>
    <w:rsid w:val="005B303E"/>
    <w:rsid w:val="005B3295"/>
    <w:rsid w:val="005B3587"/>
    <w:rsid w:val="005B370B"/>
    <w:rsid w:val="005B37E2"/>
    <w:rsid w:val="005B38FD"/>
    <w:rsid w:val="005B3B19"/>
    <w:rsid w:val="005B3FB3"/>
    <w:rsid w:val="005B40A0"/>
    <w:rsid w:val="005B40E2"/>
    <w:rsid w:val="005B4153"/>
    <w:rsid w:val="005B437A"/>
    <w:rsid w:val="005B445F"/>
    <w:rsid w:val="005B4463"/>
    <w:rsid w:val="005B45DC"/>
    <w:rsid w:val="005B4673"/>
    <w:rsid w:val="005B4729"/>
    <w:rsid w:val="005B4889"/>
    <w:rsid w:val="005B5062"/>
    <w:rsid w:val="005B5097"/>
    <w:rsid w:val="005B54D6"/>
    <w:rsid w:val="005B54F2"/>
    <w:rsid w:val="005B557B"/>
    <w:rsid w:val="005B58CE"/>
    <w:rsid w:val="005B59D3"/>
    <w:rsid w:val="005B5B12"/>
    <w:rsid w:val="005B5BC4"/>
    <w:rsid w:val="005B5D95"/>
    <w:rsid w:val="005B5DCD"/>
    <w:rsid w:val="005B5F6E"/>
    <w:rsid w:val="005B5F8A"/>
    <w:rsid w:val="005B5F9E"/>
    <w:rsid w:val="005B62E6"/>
    <w:rsid w:val="005B63CA"/>
    <w:rsid w:val="005B63F3"/>
    <w:rsid w:val="005B641D"/>
    <w:rsid w:val="005B655B"/>
    <w:rsid w:val="005B65E3"/>
    <w:rsid w:val="005B66B5"/>
    <w:rsid w:val="005B6787"/>
    <w:rsid w:val="005B695F"/>
    <w:rsid w:val="005B6BE4"/>
    <w:rsid w:val="005B6C7B"/>
    <w:rsid w:val="005B70B5"/>
    <w:rsid w:val="005B7122"/>
    <w:rsid w:val="005B7372"/>
    <w:rsid w:val="005B737C"/>
    <w:rsid w:val="005B7438"/>
    <w:rsid w:val="005B74F0"/>
    <w:rsid w:val="005B770D"/>
    <w:rsid w:val="005B791F"/>
    <w:rsid w:val="005B7998"/>
    <w:rsid w:val="005B7AEA"/>
    <w:rsid w:val="005B7E88"/>
    <w:rsid w:val="005B7FAD"/>
    <w:rsid w:val="005C0390"/>
    <w:rsid w:val="005C045A"/>
    <w:rsid w:val="005C083C"/>
    <w:rsid w:val="005C08B3"/>
    <w:rsid w:val="005C0A61"/>
    <w:rsid w:val="005C0DE5"/>
    <w:rsid w:val="005C1927"/>
    <w:rsid w:val="005C1A83"/>
    <w:rsid w:val="005C1B05"/>
    <w:rsid w:val="005C1F49"/>
    <w:rsid w:val="005C1F87"/>
    <w:rsid w:val="005C1F95"/>
    <w:rsid w:val="005C2058"/>
    <w:rsid w:val="005C2197"/>
    <w:rsid w:val="005C21BD"/>
    <w:rsid w:val="005C26C0"/>
    <w:rsid w:val="005C2772"/>
    <w:rsid w:val="005C2E70"/>
    <w:rsid w:val="005C2E7F"/>
    <w:rsid w:val="005C32F1"/>
    <w:rsid w:val="005C36B5"/>
    <w:rsid w:val="005C383A"/>
    <w:rsid w:val="005C3890"/>
    <w:rsid w:val="005C3CDA"/>
    <w:rsid w:val="005C3D2F"/>
    <w:rsid w:val="005C3D6E"/>
    <w:rsid w:val="005C3F9D"/>
    <w:rsid w:val="005C3FAB"/>
    <w:rsid w:val="005C4069"/>
    <w:rsid w:val="005C44C2"/>
    <w:rsid w:val="005C45F0"/>
    <w:rsid w:val="005C4971"/>
    <w:rsid w:val="005C4CDA"/>
    <w:rsid w:val="005C4ED7"/>
    <w:rsid w:val="005C4FE7"/>
    <w:rsid w:val="005C54E6"/>
    <w:rsid w:val="005C559A"/>
    <w:rsid w:val="005C5738"/>
    <w:rsid w:val="005C585F"/>
    <w:rsid w:val="005C5871"/>
    <w:rsid w:val="005C5890"/>
    <w:rsid w:val="005C58F6"/>
    <w:rsid w:val="005C5A3B"/>
    <w:rsid w:val="005C5C2D"/>
    <w:rsid w:val="005C5C6E"/>
    <w:rsid w:val="005C5CAE"/>
    <w:rsid w:val="005C5CEA"/>
    <w:rsid w:val="005C5F33"/>
    <w:rsid w:val="005C6197"/>
    <w:rsid w:val="005C6276"/>
    <w:rsid w:val="005C6467"/>
    <w:rsid w:val="005C6603"/>
    <w:rsid w:val="005C6698"/>
    <w:rsid w:val="005C66FF"/>
    <w:rsid w:val="005C67AA"/>
    <w:rsid w:val="005C6813"/>
    <w:rsid w:val="005C6A8D"/>
    <w:rsid w:val="005C6A96"/>
    <w:rsid w:val="005C6B20"/>
    <w:rsid w:val="005C6BC1"/>
    <w:rsid w:val="005C6C3E"/>
    <w:rsid w:val="005C6E08"/>
    <w:rsid w:val="005C74D9"/>
    <w:rsid w:val="005C76A2"/>
    <w:rsid w:val="005C7797"/>
    <w:rsid w:val="005C7874"/>
    <w:rsid w:val="005C78C1"/>
    <w:rsid w:val="005C7956"/>
    <w:rsid w:val="005C7A0A"/>
    <w:rsid w:val="005C7A0B"/>
    <w:rsid w:val="005C7E17"/>
    <w:rsid w:val="005C7E1D"/>
    <w:rsid w:val="005C7E63"/>
    <w:rsid w:val="005D0035"/>
    <w:rsid w:val="005D00C6"/>
    <w:rsid w:val="005D00E9"/>
    <w:rsid w:val="005D0357"/>
    <w:rsid w:val="005D0358"/>
    <w:rsid w:val="005D03F7"/>
    <w:rsid w:val="005D0460"/>
    <w:rsid w:val="005D05BC"/>
    <w:rsid w:val="005D06A9"/>
    <w:rsid w:val="005D06AE"/>
    <w:rsid w:val="005D06B4"/>
    <w:rsid w:val="005D0951"/>
    <w:rsid w:val="005D09DE"/>
    <w:rsid w:val="005D0D83"/>
    <w:rsid w:val="005D0E97"/>
    <w:rsid w:val="005D0EB1"/>
    <w:rsid w:val="005D0F05"/>
    <w:rsid w:val="005D0F10"/>
    <w:rsid w:val="005D0F5E"/>
    <w:rsid w:val="005D0FEE"/>
    <w:rsid w:val="005D1074"/>
    <w:rsid w:val="005D1414"/>
    <w:rsid w:val="005D15F3"/>
    <w:rsid w:val="005D170D"/>
    <w:rsid w:val="005D172A"/>
    <w:rsid w:val="005D1A22"/>
    <w:rsid w:val="005D1A62"/>
    <w:rsid w:val="005D1A70"/>
    <w:rsid w:val="005D1B95"/>
    <w:rsid w:val="005D1C0D"/>
    <w:rsid w:val="005D1CA9"/>
    <w:rsid w:val="005D1F90"/>
    <w:rsid w:val="005D21D5"/>
    <w:rsid w:val="005D228E"/>
    <w:rsid w:val="005D2317"/>
    <w:rsid w:val="005D24FC"/>
    <w:rsid w:val="005D25C7"/>
    <w:rsid w:val="005D26A5"/>
    <w:rsid w:val="005D2B3B"/>
    <w:rsid w:val="005D3074"/>
    <w:rsid w:val="005D3131"/>
    <w:rsid w:val="005D3235"/>
    <w:rsid w:val="005D33E6"/>
    <w:rsid w:val="005D36F4"/>
    <w:rsid w:val="005D3748"/>
    <w:rsid w:val="005D38F4"/>
    <w:rsid w:val="005D3949"/>
    <w:rsid w:val="005D3C4B"/>
    <w:rsid w:val="005D3DF5"/>
    <w:rsid w:val="005D4022"/>
    <w:rsid w:val="005D4137"/>
    <w:rsid w:val="005D4261"/>
    <w:rsid w:val="005D43CC"/>
    <w:rsid w:val="005D4427"/>
    <w:rsid w:val="005D4538"/>
    <w:rsid w:val="005D474F"/>
    <w:rsid w:val="005D4ADA"/>
    <w:rsid w:val="005D4DD9"/>
    <w:rsid w:val="005D4E48"/>
    <w:rsid w:val="005D4EB8"/>
    <w:rsid w:val="005D4F9F"/>
    <w:rsid w:val="005D50E3"/>
    <w:rsid w:val="005D511B"/>
    <w:rsid w:val="005D5158"/>
    <w:rsid w:val="005D5309"/>
    <w:rsid w:val="005D54BE"/>
    <w:rsid w:val="005D5543"/>
    <w:rsid w:val="005D57D6"/>
    <w:rsid w:val="005D58E6"/>
    <w:rsid w:val="005D5AD7"/>
    <w:rsid w:val="005D5C2E"/>
    <w:rsid w:val="005D5C6E"/>
    <w:rsid w:val="005D5DED"/>
    <w:rsid w:val="005D5E36"/>
    <w:rsid w:val="005D5E5A"/>
    <w:rsid w:val="005D5FEB"/>
    <w:rsid w:val="005D6071"/>
    <w:rsid w:val="005D612C"/>
    <w:rsid w:val="005D61A0"/>
    <w:rsid w:val="005D62CA"/>
    <w:rsid w:val="005D630C"/>
    <w:rsid w:val="005D64B1"/>
    <w:rsid w:val="005D6560"/>
    <w:rsid w:val="005D6643"/>
    <w:rsid w:val="005D670D"/>
    <w:rsid w:val="005D67E3"/>
    <w:rsid w:val="005D685F"/>
    <w:rsid w:val="005D6D3A"/>
    <w:rsid w:val="005D6F1C"/>
    <w:rsid w:val="005D6FA2"/>
    <w:rsid w:val="005D70A2"/>
    <w:rsid w:val="005D7168"/>
    <w:rsid w:val="005D71CE"/>
    <w:rsid w:val="005D72E7"/>
    <w:rsid w:val="005D7453"/>
    <w:rsid w:val="005D7529"/>
    <w:rsid w:val="005D753A"/>
    <w:rsid w:val="005D7BA1"/>
    <w:rsid w:val="005D7C46"/>
    <w:rsid w:val="005D7DAE"/>
    <w:rsid w:val="005D7E49"/>
    <w:rsid w:val="005D7E85"/>
    <w:rsid w:val="005D7F57"/>
    <w:rsid w:val="005E0018"/>
    <w:rsid w:val="005E0144"/>
    <w:rsid w:val="005E0173"/>
    <w:rsid w:val="005E022A"/>
    <w:rsid w:val="005E04F9"/>
    <w:rsid w:val="005E04FA"/>
    <w:rsid w:val="005E0524"/>
    <w:rsid w:val="005E07FE"/>
    <w:rsid w:val="005E0928"/>
    <w:rsid w:val="005E0A54"/>
    <w:rsid w:val="005E0B46"/>
    <w:rsid w:val="005E0DEA"/>
    <w:rsid w:val="005E0E35"/>
    <w:rsid w:val="005E0F17"/>
    <w:rsid w:val="005E100C"/>
    <w:rsid w:val="005E10A4"/>
    <w:rsid w:val="005E10AC"/>
    <w:rsid w:val="005E1250"/>
    <w:rsid w:val="005E12FE"/>
    <w:rsid w:val="005E1420"/>
    <w:rsid w:val="005E16D1"/>
    <w:rsid w:val="005E1910"/>
    <w:rsid w:val="005E1AB4"/>
    <w:rsid w:val="005E1C44"/>
    <w:rsid w:val="005E1C53"/>
    <w:rsid w:val="005E1D76"/>
    <w:rsid w:val="005E1ECB"/>
    <w:rsid w:val="005E2020"/>
    <w:rsid w:val="005E208C"/>
    <w:rsid w:val="005E2115"/>
    <w:rsid w:val="005E22EB"/>
    <w:rsid w:val="005E2333"/>
    <w:rsid w:val="005E2451"/>
    <w:rsid w:val="005E2520"/>
    <w:rsid w:val="005E2525"/>
    <w:rsid w:val="005E2548"/>
    <w:rsid w:val="005E263E"/>
    <w:rsid w:val="005E270C"/>
    <w:rsid w:val="005E2792"/>
    <w:rsid w:val="005E2B96"/>
    <w:rsid w:val="005E2C56"/>
    <w:rsid w:val="005E2C9B"/>
    <w:rsid w:val="005E2EEA"/>
    <w:rsid w:val="005E3222"/>
    <w:rsid w:val="005E32A4"/>
    <w:rsid w:val="005E330E"/>
    <w:rsid w:val="005E350F"/>
    <w:rsid w:val="005E38C1"/>
    <w:rsid w:val="005E3942"/>
    <w:rsid w:val="005E3E22"/>
    <w:rsid w:val="005E3F9B"/>
    <w:rsid w:val="005E41E7"/>
    <w:rsid w:val="005E43EA"/>
    <w:rsid w:val="005E4441"/>
    <w:rsid w:val="005E47B8"/>
    <w:rsid w:val="005E481E"/>
    <w:rsid w:val="005E4871"/>
    <w:rsid w:val="005E4AE0"/>
    <w:rsid w:val="005E4CE6"/>
    <w:rsid w:val="005E4DB4"/>
    <w:rsid w:val="005E4E59"/>
    <w:rsid w:val="005E5608"/>
    <w:rsid w:val="005E5997"/>
    <w:rsid w:val="005E5AD1"/>
    <w:rsid w:val="005E5BE8"/>
    <w:rsid w:val="005E5C13"/>
    <w:rsid w:val="005E6381"/>
    <w:rsid w:val="005E6468"/>
    <w:rsid w:val="005E6643"/>
    <w:rsid w:val="005E6A56"/>
    <w:rsid w:val="005E6AA2"/>
    <w:rsid w:val="005E6ACD"/>
    <w:rsid w:val="005E6C1E"/>
    <w:rsid w:val="005E6CBF"/>
    <w:rsid w:val="005E6DBE"/>
    <w:rsid w:val="005E7181"/>
    <w:rsid w:val="005E75C0"/>
    <w:rsid w:val="005E7679"/>
    <w:rsid w:val="005E776F"/>
    <w:rsid w:val="005E7777"/>
    <w:rsid w:val="005E78AB"/>
    <w:rsid w:val="005E7B23"/>
    <w:rsid w:val="005E7C13"/>
    <w:rsid w:val="005E7DF2"/>
    <w:rsid w:val="005E7E3B"/>
    <w:rsid w:val="005E7F86"/>
    <w:rsid w:val="005F00FC"/>
    <w:rsid w:val="005F06FE"/>
    <w:rsid w:val="005F08B2"/>
    <w:rsid w:val="005F0DED"/>
    <w:rsid w:val="005F1028"/>
    <w:rsid w:val="005F11CC"/>
    <w:rsid w:val="005F12D7"/>
    <w:rsid w:val="005F1410"/>
    <w:rsid w:val="005F153D"/>
    <w:rsid w:val="005F16EC"/>
    <w:rsid w:val="005F1737"/>
    <w:rsid w:val="005F17F7"/>
    <w:rsid w:val="005F1921"/>
    <w:rsid w:val="005F199E"/>
    <w:rsid w:val="005F1B61"/>
    <w:rsid w:val="005F1C8C"/>
    <w:rsid w:val="005F1DDE"/>
    <w:rsid w:val="005F22C7"/>
    <w:rsid w:val="005F24BD"/>
    <w:rsid w:val="005F2659"/>
    <w:rsid w:val="005F26A8"/>
    <w:rsid w:val="005F2B6A"/>
    <w:rsid w:val="005F2EB8"/>
    <w:rsid w:val="005F3095"/>
    <w:rsid w:val="005F3135"/>
    <w:rsid w:val="005F3210"/>
    <w:rsid w:val="005F32A5"/>
    <w:rsid w:val="005F380E"/>
    <w:rsid w:val="005F392E"/>
    <w:rsid w:val="005F3B6E"/>
    <w:rsid w:val="005F3BEE"/>
    <w:rsid w:val="005F3C58"/>
    <w:rsid w:val="005F3F27"/>
    <w:rsid w:val="005F40F7"/>
    <w:rsid w:val="005F4294"/>
    <w:rsid w:val="005F4548"/>
    <w:rsid w:val="005F4557"/>
    <w:rsid w:val="005F46A3"/>
    <w:rsid w:val="005F4733"/>
    <w:rsid w:val="005F475E"/>
    <w:rsid w:val="005F4864"/>
    <w:rsid w:val="005F48B0"/>
    <w:rsid w:val="005F492D"/>
    <w:rsid w:val="005F51C2"/>
    <w:rsid w:val="005F526A"/>
    <w:rsid w:val="005F52D3"/>
    <w:rsid w:val="005F542F"/>
    <w:rsid w:val="005F54CB"/>
    <w:rsid w:val="005F54EC"/>
    <w:rsid w:val="005F55B9"/>
    <w:rsid w:val="005F57F7"/>
    <w:rsid w:val="005F5953"/>
    <w:rsid w:val="005F5A20"/>
    <w:rsid w:val="005F5DE6"/>
    <w:rsid w:val="005F5E91"/>
    <w:rsid w:val="005F5F80"/>
    <w:rsid w:val="005F62E8"/>
    <w:rsid w:val="005F6435"/>
    <w:rsid w:val="005F6480"/>
    <w:rsid w:val="005F65E8"/>
    <w:rsid w:val="005F67DC"/>
    <w:rsid w:val="005F6D42"/>
    <w:rsid w:val="005F6DDC"/>
    <w:rsid w:val="005F7012"/>
    <w:rsid w:val="005F705F"/>
    <w:rsid w:val="005F70E9"/>
    <w:rsid w:val="005F722E"/>
    <w:rsid w:val="005F743B"/>
    <w:rsid w:val="005F74AF"/>
    <w:rsid w:val="005F76DA"/>
    <w:rsid w:val="005F76E5"/>
    <w:rsid w:val="005F7721"/>
    <w:rsid w:val="005F780F"/>
    <w:rsid w:val="005F7940"/>
    <w:rsid w:val="005F79FF"/>
    <w:rsid w:val="005F7A2D"/>
    <w:rsid w:val="005F7BD7"/>
    <w:rsid w:val="005F7DE1"/>
    <w:rsid w:val="005F7F6A"/>
    <w:rsid w:val="006000A8"/>
    <w:rsid w:val="006004BE"/>
    <w:rsid w:val="006004EE"/>
    <w:rsid w:val="0060069A"/>
    <w:rsid w:val="006008D5"/>
    <w:rsid w:val="0060097E"/>
    <w:rsid w:val="00600996"/>
    <w:rsid w:val="0060099A"/>
    <w:rsid w:val="00600A7B"/>
    <w:rsid w:val="00600AFC"/>
    <w:rsid w:val="00600BA9"/>
    <w:rsid w:val="00600C4C"/>
    <w:rsid w:val="00600CC8"/>
    <w:rsid w:val="00600DB5"/>
    <w:rsid w:val="00600E3C"/>
    <w:rsid w:val="00600F1D"/>
    <w:rsid w:val="00600F96"/>
    <w:rsid w:val="006010AF"/>
    <w:rsid w:val="00601167"/>
    <w:rsid w:val="00601193"/>
    <w:rsid w:val="006011B0"/>
    <w:rsid w:val="0060133E"/>
    <w:rsid w:val="006014A2"/>
    <w:rsid w:val="006014AD"/>
    <w:rsid w:val="00601942"/>
    <w:rsid w:val="00601944"/>
    <w:rsid w:val="00601E08"/>
    <w:rsid w:val="0060207C"/>
    <w:rsid w:val="006021A8"/>
    <w:rsid w:val="006023BD"/>
    <w:rsid w:val="006026DC"/>
    <w:rsid w:val="00602708"/>
    <w:rsid w:val="006028EB"/>
    <w:rsid w:val="00602B1B"/>
    <w:rsid w:val="00602CB3"/>
    <w:rsid w:val="00602CD7"/>
    <w:rsid w:val="0060304B"/>
    <w:rsid w:val="00603098"/>
    <w:rsid w:val="006030B4"/>
    <w:rsid w:val="00603183"/>
    <w:rsid w:val="0060331C"/>
    <w:rsid w:val="00603444"/>
    <w:rsid w:val="0060352B"/>
    <w:rsid w:val="006035A2"/>
    <w:rsid w:val="00603636"/>
    <w:rsid w:val="006036AC"/>
    <w:rsid w:val="00603864"/>
    <w:rsid w:val="00603946"/>
    <w:rsid w:val="006039A5"/>
    <w:rsid w:val="00603C48"/>
    <w:rsid w:val="0060412B"/>
    <w:rsid w:val="006041D7"/>
    <w:rsid w:val="00604546"/>
    <w:rsid w:val="0060467A"/>
    <w:rsid w:val="0060482D"/>
    <w:rsid w:val="00604C15"/>
    <w:rsid w:val="00604C4F"/>
    <w:rsid w:val="006050D3"/>
    <w:rsid w:val="0060513E"/>
    <w:rsid w:val="00605342"/>
    <w:rsid w:val="006056C9"/>
    <w:rsid w:val="006056D2"/>
    <w:rsid w:val="006058B0"/>
    <w:rsid w:val="00605ACA"/>
    <w:rsid w:val="00605B5F"/>
    <w:rsid w:val="00605BA1"/>
    <w:rsid w:val="00605DDD"/>
    <w:rsid w:val="00605EF3"/>
    <w:rsid w:val="006060B1"/>
    <w:rsid w:val="006060DF"/>
    <w:rsid w:val="006062DE"/>
    <w:rsid w:val="00606366"/>
    <w:rsid w:val="006065EE"/>
    <w:rsid w:val="00606611"/>
    <w:rsid w:val="006067B9"/>
    <w:rsid w:val="00606850"/>
    <w:rsid w:val="00606863"/>
    <w:rsid w:val="00606CBD"/>
    <w:rsid w:val="00606E91"/>
    <w:rsid w:val="00606EF8"/>
    <w:rsid w:val="0060703D"/>
    <w:rsid w:val="006071E9"/>
    <w:rsid w:val="00607294"/>
    <w:rsid w:val="0060732E"/>
    <w:rsid w:val="0060756B"/>
    <w:rsid w:val="00607644"/>
    <w:rsid w:val="00607677"/>
    <w:rsid w:val="0060778E"/>
    <w:rsid w:val="0060782D"/>
    <w:rsid w:val="0060786E"/>
    <w:rsid w:val="006078D8"/>
    <w:rsid w:val="006079CB"/>
    <w:rsid w:val="00607A90"/>
    <w:rsid w:val="00607B2B"/>
    <w:rsid w:val="00607B8F"/>
    <w:rsid w:val="00607BA6"/>
    <w:rsid w:val="006105A7"/>
    <w:rsid w:val="00610608"/>
    <w:rsid w:val="00610842"/>
    <w:rsid w:val="00610C00"/>
    <w:rsid w:val="00610DEA"/>
    <w:rsid w:val="00610F1D"/>
    <w:rsid w:val="00610FDD"/>
    <w:rsid w:val="00611221"/>
    <w:rsid w:val="0061149F"/>
    <w:rsid w:val="006114EE"/>
    <w:rsid w:val="00611592"/>
    <w:rsid w:val="006115BA"/>
    <w:rsid w:val="0061166E"/>
    <w:rsid w:val="0061170B"/>
    <w:rsid w:val="00611747"/>
    <w:rsid w:val="00611B17"/>
    <w:rsid w:val="00611CE2"/>
    <w:rsid w:val="0061230C"/>
    <w:rsid w:val="00612602"/>
    <w:rsid w:val="0061264B"/>
    <w:rsid w:val="00612A6A"/>
    <w:rsid w:val="00612CBC"/>
    <w:rsid w:val="00612CD2"/>
    <w:rsid w:val="00612EF9"/>
    <w:rsid w:val="00612F97"/>
    <w:rsid w:val="00613051"/>
    <w:rsid w:val="00613397"/>
    <w:rsid w:val="00613580"/>
    <w:rsid w:val="006135AE"/>
    <w:rsid w:val="00613879"/>
    <w:rsid w:val="006138D4"/>
    <w:rsid w:val="006138E3"/>
    <w:rsid w:val="00613C43"/>
    <w:rsid w:val="00613EBA"/>
    <w:rsid w:val="006140E8"/>
    <w:rsid w:val="0061416E"/>
    <w:rsid w:val="00614175"/>
    <w:rsid w:val="00614263"/>
    <w:rsid w:val="0061431C"/>
    <w:rsid w:val="006147B7"/>
    <w:rsid w:val="006147C6"/>
    <w:rsid w:val="00614B49"/>
    <w:rsid w:val="00614B60"/>
    <w:rsid w:val="00615146"/>
    <w:rsid w:val="00615200"/>
    <w:rsid w:val="0061558B"/>
    <w:rsid w:val="0061564F"/>
    <w:rsid w:val="006157C7"/>
    <w:rsid w:val="00615895"/>
    <w:rsid w:val="00615A04"/>
    <w:rsid w:val="00615ABF"/>
    <w:rsid w:val="006162EE"/>
    <w:rsid w:val="006163BD"/>
    <w:rsid w:val="0061650F"/>
    <w:rsid w:val="00616856"/>
    <w:rsid w:val="00616933"/>
    <w:rsid w:val="00616C51"/>
    <w:rsid w:val="00616E39"/>
    <w:rsid w:val="00616E44"/>
    <w:rsid w:val="006174C3"/>
    <w:rsid w:val="006176CB"/>
    <w:rsid w:val="006176DD"/>
    <w:rsid w:val="0061778E"/>
    <w:rsid w:val="00617B6D"/>
    <w:rsid w:val="00617CEC"/>
    <w:rsid w:val="00617EC0"/>
    <w:rsid w:val="00620053"/>
    <w:rsid w:val="00620169"/>
    <w:rsid w:val="006201E1"/>
    <w:rsid w:val="00620277"/>
    <w:rsid w:val="00620821"/>
    <w:rsid w:val="006209D0"/>
    <w:rsid w:val="00620C2C"/>
    <w:rsid w:val="00620E7C"/>
    <w:rsid w:val="00620EF5"/>
    <w:rsid w:val="00621223"/>
    <w:rsid w:val="006212DA"/>
    <w:rsid w:val="006212F7"/>
    <w:rsid w:val="00621577"/>
    <w:rsid w:val="006215FE"/>
    <w:rsid w:val="006216D3"/>
    <w:rsid w:val="0062179E"/>
    <w:rsid w:val="006221AE"/>
    <w:rsid w:val="006221C8"/>
    <w:rsid w:val="00622257"/>
    <w:rsid w:val="0062225F"/>
    <w:rsid w:val="006224C4"/>
    <w:rsid w:val="006224D8"/>
    <w:rsid w:val="006229E5"/>
    <w:rsid w:val="00622A73"/>
    <w:rsid w:val="00622FD3"/>
    <w:rsid w:val="006232A2"/>
    <w:rsid w:val="006234AA"/>
    <w:rsid w:val="0062391B"/>
    <w:rsid w:val="00623A2E"/>
    <w:rsid w:val="00623B49"/>
    <w:rsid w:val="00623D38"/>
    <w:rsid w:val="00623DA5"/>
    <w:rsid w:val="00623DF3"/>
    <w:rsid w:val="00623FFE"/>
    <w:rsid w:val="00624181"/>
    <w:rsid w:val="006241DC"/>
    <w:rsid w:val="00624220"/>
    <w:rsid w:val="0062430F"/>
    <w:rsid w:val="00624415"/>
    <w:rsid w:val="0062443A"/>
    <w:rsid w:val="006245DF"/>
    <w:rsid w:val="00624899"/>
    <w:rsid w:val="00624938"/>
    <w:rsid w:val="00624D19"/>
    <w:rsid w:val="00624F51"/>
    <w:rsid w:val="00625213"/>
    <w:rsid w:val="006252A5"/>
    <w:rsid w:val="0062535A"/>
    <w:rsid w:val="006254FC"/>
    <w:rsid w:val="00625511"/>
    <w:rsid w:val="006257A6"/>
    <w:rsid w:val="006257B2"/>
    <w:rsid w:val="006258EC"/>
    <w:rsid w:val="006259D8"/>
    <w:rsid w:val="00625AFC"/>
    <w:rsid w:val="00625B43"/>
    <w:rsid w:val="00625CA6"/>
    <w:rsid w:val="00625D3A"/>
    <w:rsid w:val="00625DDE"/>
    <w:rsid w:val="00625E01"/>
    <w:rsid w:val="00626025"/>
    <w:rsid w:val="00626279"/>
    <w:rsid w:val="00626329"/>
    <w:rsid w:val="006266E5"/>
    <w:rsid w:val="006266FF"/>
    <w:rsid w:val="0062677E"/>
    <w:rsid w:val="006268B4"/>
    <w:rsid w:val="00626942"/>
    <w:rsid w:val="0062697F"/>
    <w:rsid w:val="00626A36"/>
    <w:rsid w:val="00626B4A"/>
    <w:rsid w:val="00626C29"/>
    <w:rsid w:val="00626E7C"/>
    <w:rsid w:val="0062704A"/>
    <w:rsid w:val="006271DD"/>
    <w:rsid w:val="006272EE"/>
    <w:rsid w:val="0062742C"/>
    <w:rsid w:val="006278A9"/>
    <w:rsid w:val="006279F7"/>
    <w:rsid w:val="00627AE9"/>
    <w:rsid w:val="00627E75"/>
    <w:rsid w:val="00630071"/>
    <w:rsid w:val="0063009C"/>
    <w:rsid w:val="006301BB"/>
    <w:rsid w:val="0063031B"/>
    <w:rsid w:val="0063049B"/>
    <w:rsid w:val="006305F5"/>
    <w:rsid w:val="0063068B"/>
    <w:rsid w:val="00630701"/>
    <w:rsid w:val="00630885"/>
    <w:rsid w:val="00630928"/>
    <w:rsid w:val="00630A60"/>
    <w:rsid w:val="00630AC5"/>
    <w:rsid w:val="00630B54"/>
    <w:rsid w:val="00630BD7"/>
    <w:rsid w:val="00630C41"/>
    <w:rsid w:val="00630D78"/>
    <w:rsid w:val="00630DA4"/>
    <w:rsid w:val="00630E1A"/>
    <w:rsid w:val="00630E3B"/>
    <w:rsid w:val="00631479"/>
    <w:rsid w:val="00631573"/>
    <w:rsid w:val="006317EE"/>
    <w:rsid w:val="00631817"/>
    <w:rsid w:val="0063185B"/>
    <w:rsid w:val="00631A1F"/>
    <w:rsid w:val="00631A53"/>
    <w:rsid w:val="00631A57"/>
    <w:rsid w:val="00631E7F"/>
    <w:rsid w:val="00631F9C"/>
    <w:rsid w:val="00631FC3"/>
    <w:rsid w:val="00631FD0"/>
    <w:rsid w:val="00632005"/>
    <w:rsid w:val="006320F4"/>
    <w:rsid w:val="006321A5"/>
    <w:rsid w:val="00632209"/>
    <w:rsid w:val="006323C4"/>
    <w:rsid w:val="00632671"/>
    <w:rsid w:val="006327EC"/>
    <w:rsid w:val="006328EB"/>
    <w:rsid w:val="00632951"/>
    <w:rsid w:val="00632966"/>
    <w:rsid w:val="00632976"/>
    <w:rsid w:val="00632A05"/>
    <w:rsid w:val="00632D68"/>
    <w:rsid w:val="00632D97"/>
    <w:rsid w:val="00633053"/>
    <w:rsid w:val="006330E9"/>
    <w:rsid w:val="00633622"/>
    <w:rsid w:val="00633624"/>
    <w:rsid w:val="006337AB"/>
    <w:rsid w:val="00633970"/>
    <w:rsid w:val="00633A9F"/>
    <w:rsid w:val="00633CA2"/>
    <w:rsid w:val="00633DFA"/>
    <w:rsid w:val="0063401B"/>
    <w:rsid w:val="00634096"/>
    <w:rsid w:val="00634306"/>
    <w:rsid w:val="00634627"/>
    <w:rsid w:val="00634735"/>
    <w:rsid w:val="006348A4"/>
    <w:rsid w:val="00634B44"/>
    <w:rsid w:val="00634B9B"/>
    <w:rsid w:val="00634C88"/>
    <w:rsid w:val="00634D20"/>
    <w:rsid w:val="00634E10"/>
    <w:rsid w:val="00634EF8"/>
    <w:rsid w:val="0063502E"/>
    <w:rsid w:val="00635156"/>
    <w:rsid w:val="006351A0"/>
    <w:rsid w:val="006355DF"/>
    <w:rsid w:val="00635725"/>
    <w:rsid w:val="0063578A"/>
    <w:rsid w:val="00635A06"/>
    <w:rsid w:val="00635A83"/>
    <w:rsid w:val="00635E4E"/>
    <w:rsid w:val="00635EDB"/>
    <w:rsid w:val="00635EFA"/>
    <w:rsid w:val="00635FD3"/>
    <w:rsid w:val="006361CD"/>
    <w:rsid w:val="00636322"/>
    <w:rsid w:val="00636458"/>
    <w:rsid w:val="00636490"/>
    <w:rsid w:val="00636620"/>
    <w:rsid w:val="006366A4"/>
    <w:rsid w:val="0063696D"/>
    <w:rsid w:val="006369AC"/>
    <w:rsid w:val="00636B14"/>
    <w:rsid w:val="00636B57"/>
    <w:rsid w:val="00637330"/>
    <w:rsid w:val="00637344"/>
    <w:rsid w:val="006376F3"/>
    <w:rsid w:val="0063776F"/>
    <w:rsid w:val="00637B45"/>
    <w:rsid w:val="00637C88"/>
    <w:rsid w:val="00637E20"/>
    <w:rsid w:val="00637EE6"/>
    <w:rsid w:val="00637EF6"/>
    <w:rsid w:val="006400BB"/>
    <w:rsid w:val="00640104"/>
    <w:rsid w:val="00640143"/>
    <w:rsid w:val="006404DB"/>
    <w:rsid w:val="0064072C"/>
    <w:rsid w:val="0064084C"/>
    <w:rsid w:val="00640A00"/>
    <w:rsid w:val="00640C33"/>
    <w:rsid w:val="00640CE1"/>
    <w:rsid w:val="00640D28"/>
    <w:rsid w:val="00640E00"/>
    <w:rsid w:val="00641174"/>
    <w:rsid w:val="006416BA"/>
    <w:rsid w:val="006416D8"/>
    <w:rsid w:val="006419D5"/>
    <w:rsid w:val="00641A7E"/>
    <w:rsid w:val="00641D7F"/>
    <w:rsid w:val="00641EAB"/>
    <w:rsid w:val="00641F2F"/>
    <w:rsid w:val="00641F41"/>
    <w:rsid w:val="00642315"/>
    <w:rsid w:val="00642332"/>
    <w:rsid w:val="00642495"/>
    <w:rsid w:val="006425C9"/>
    <w:rsid w:val="0064265B"/>
    <w:rsid w:val="0064279E"/>
    <w:rsid w:val="00642959"/>
    <w:rsid w:val="00642AE1"/>
    <w:rsid w:val="00642D27"/>
    <w:rsid w:val="00642F60"/>
    <w:rsid w:val="00643241"/>
    <w:rsid w:val="00643516"/>
    <w:rsid w:val="006436D5"/>
    <w:rsid w:val="0064376B"/>
    <w:rsid w:val="00643915"/>
    <w:rsid w:val="00643B21"/>
    <w:rsid w:val="00643D8D"/>
    <w:rsid w:val="00643DA6"/>
    <w:rsid w:val="00643F81"/>
    <w:rsid w:val="006441E6"/>
    <w:rsid w:val="00644281"/>
    <w:rsid w:val="0064434B"/>
    <w:rsid w:val="006443C3"/>
    <w:rsid w:val="00644485"/>
    <w:rsid w:val="006448DD"/>
    <w:rsid w:val="00644DAD"/>
    <w:rsid w:val="00644F32"/>
    <w:rsid w:val="00644F58"/>
    <w:rsid w:val="006450BF"/>
    <w:rsid w:val="00645263"/>
    <w:rsid w:val="006452A1"/>
    <w:rsid w:val="00645315"/>
    <w:rsid w:val="006454D9"/>
    <w:rsid w:val="00645522"/>
    <w:rsid w:val="0064566A"/>
    <w:rsid w:val="00645886"/>
    <w:rsid w:val="0064596C"/>
    <w:rsid w:val="00645EFE"/>
    <w:rsid w:val="00646315"/>
    <w:rsid w:val="00646354"/>
    <w:rsid w:val="0064635A"/>
    <w:rsid w:val="00646505"/>
    <w:rsid w:val="00646555"/>
    <w:rsid w:val="00646591"/>
    <w:rsid w:val="0064669E"/>
    <w:rsid w:val="0064677D"/>
    <w:rsid w:val="006468AF"/>
    <w:rsid w:val="00646B1C"/>
    <w:rsid w:val="00646B6D"/>
    <w:rsid w:val="00646E36"/>
    <w:rsid w:val="00647020"/>
    <w:rsid w:val="00647185"/>
    <w:rsid w:val="0064719D"/>
    <w:rsid w:val="006471B7"/>
    <w:rsid w:val="006471FE"/>
    <w:rsid w:val="0064721D"/>
    <w:rsid w:val="0064744C"/>
    <w:rsid w:val="0064749A"/>
    <w:rsid w:val="0064761A"/>
    <w:rsid w:val="006476F3"/>
    <w:rsid w:val="006477D3"/>
    <w:rsid w:val="0064797B"/>
    <w:rsid w:val="00647B07"/>
    <w:rsid w:val="00647C3A"/>
    <w:rsid w:val="006500D9"/>
    <w:rsid w:val="00650333"/>
    <w:rsid w:val="00650374"/>
    <w:rsid w:val="0065037D"/>
    <w:rsid w:val="00650792"/>
    <w:rsid w:val="0065083F"/>
    <w:rsid w:val="00650888"/>
    <w:rsid w:val="00650ABC"/>
    <w:rsid w:val="00650AF6"/>
    <w:rsid w:val="00650E4B"/>
    <w:rsid w:val="00650E4F"/>
    <w:rsid w:val="00650FF5"/>
    <w:rsid w:val="00651027"/>
    <w:rsid w:val="0065150D"/>
    <w:rsid w:val="00651556"/>
    <w:rsid w:val="0065166F"/>
    <w:rsid w:val="006516A6"/>
    <w:rsid w:val="006516E3"/>
    <w:rsid w:val="006516ED"/>
    <w:rsid w:val="0065177C"/>
    <w:rsid w:val="00651B1F"/>
    <w:rsid w:val="00651B2D"/>
    <w:rsid w:val="00651D5F"/>
    <w:rsid w:val="0065248C"/>
    <w:rsid w:val="006525DB"/>
    <w:rsid w:val="00652703"/>
    <w:rsid w:val="00652F39"/>
    <w:rsid w:val="0065334D"/>
    <w:rsid w:val="00653358"/>
    <w:rsid w:val="006533FA"/>
    <w:rsid w:val="00653488"/>
    <w:rsid w:val="006536F9"/>
    <w:rsid w:val="00653725"/>
    <w:rsid w:val="0065372C"/>
    <w:rsid w:val="0065385F"/>
    <w:rsid w:val="00653923"/>
    <w:rsid w:val="0065398C"/>
    <w:rsid w:val="006539B7"/>
    <w:rsid w:val="00653AF9"/>
    <w:rsid w:val="00653B7A"/>
    <w:rsid w:val="00653EE1"/>
    <w:rsid w:val="00653FAB"/>
    <w:rsid w:val="00654263"/>
    <w:rsid w:val="0065433F"/>
    <w:rsid w:val="00654375"/>
    <w:rsid w:val="006543A6"/>
    <w:rsid w:val="006545B5"/>
    <w:rsid w:val="006546D5"/>
    <w:rsid w:val="006549AE"/>
    <w:rsid w:val="00654A2D"/>
    <w:rsid w:val="00654B94"/>
    <w:rsid w:val="00654C7D"/>
    <w:rsid w:val="00654CDF"/>
    <w:rsid w:val="00654DD7"/>
    <w:rsid w:val="00654E40"/>
    <w:rsid w:val="00655041"/>
    <w:rsid w:val="006550A5"/>
    <w:rsid w:val="0065519E"/>
    <w:rsid w:val="006551A8"/>
    <w:rsid w:val="00655288"/>
    <w:rsid w:val="0065557B"/>
    <w:rsid w:val="006555A9"/>
    <w:rsid w:val="006555B8"/>
    <w:rsid w:val="0065562E"/>
    <w:rsid w:val="006558B1"/>
    <w:rsid w:val="00655A55"/>
    <w:rsid w:val="00656230"/>
    <w:rsid w:val="006564D7"/>
    <w:rsid w:val="00656571"/>
    <w:rsid w:val="0065678E"/>
    <w:rsid w:val="006567F5"/>
    <w:rsid w:val="006569A9"/>
    <w:rsid w:val="006569F8"/>
    <w:rsid w:val="00656B71"/>
    <w:rsid w:val="00656CFC"/>
    <w:rsid w:val="00656D19"/>
    <w:rsid w:val="00656DA5"/>
    <w:rsid w:val="00656E90"/>
    <w:rsid w:val="006570A9"/>
    <w:rsid w:val="006570FB"/>
    <w:rsid w:val="0065710D"/>
    <w:rsid w:val="00657172"/>
    <w:rsid w:val="00657472"/>
    <w:rsid w:val="00657521"/>
    <w:rsid w:val="006577AA"/>
    <w:rsid w:val="00657835"/>
    <w:rsid w:val="00657C45"/>
    <w:rsid w:val="0066031A"/>
    <w:rsid w:val="0066058C"/>
    <w:rsid w:val="0066061D"/>
    <w:rsid w:val="0066068C"/>
    <w:rsid w:val="006606A1"/>
    <w:rsid w:val="00660746"/>
    <w:rsid w:val="006608F2"/>
    <w:rsid w:val="00660CD5"/>
    <w:rsid w:val="00660EE1"/>
    <w:rsid w:val="00660F19"/>
    <w:rsid w:val="006614BE"/>
    <w:rsid w:val="006615D1"/>
    <w:rsid w:val="00661613"/>
    <w:rsid w:val="006617FB"/>
    <w:rsid w:val="0066181A"/>
    <w:rsid w:val="00661893"/>
    <w:rsid w:val="006618CF"/>
    <w:rsid w:val="00661983"/>
    <w:rsid w:val="006619A7"/>
    <w:rsid w:val="00661D4C"/>
    <w:rsid w:val="00661F32"/>
    <w:rsid w:val="00661FE4"/>
    <w:rsid w:val="006620BA"/>
    <w:rsid w:val="00662184"/>
    <w:rsid w:val="00662670"/>
    <w:rsid w:val="00662731"/>
    <w:rsid w:val="0066275C"/>
    <w:rsid w:val="0066285E"/>
    <w:rsid w:val="00662A1D"/>
    <w:rsid w:val="00662BDF"/>
    <w:rsid w:val="00662DE0"/>
    <w:rsid w:val="00663058"/>
    <w:rsid w:val="006631C5"/>
    <w:rsid w:val="006634CC"/>
    <w:rsid w:val="00663532"/>
    <w:rsid w:val="00663781"/>
    <w:rsid w:val="0066391F"/>
    <w:rsid w:val="00663CCC"/>
    <w:rsid w:val="00663DA7"/>
    <w:rsid w:val="00663DBF"/>
    <w:rsid w:val="00663FA3"/>
    <w:rsid w:val="00664042"/>
    <w:rsid w:val="0066416B"/>
    <w:rsid w:val="006641A0"/>
    <w:rsid w:val="00664309"/>
    <w:rsid w:val="0066431A"/>
    <w:rsid w:val="0066439F"/>
    <w:rsid w:val="0066449D"/>
    <w:rsid w:val="00664633"/>
    <w:rsid w:val="0066470E"/>
    <w:rsid w:val="00664871"/>
    <w:rsid w:val="00664AB6"/>
    <w:rsid w:val="00664BC0"/>
    <w:rsid w:val="00664C8A"/>
    <w:rsid w:val="00664EF8"/>
    <w:rsid w:val="0066507B"/>
    <w:rsid w:val="00665302"/>
    <w:rsid w:val="00665376"/>
    <w:rsid w:val="00665487"/>
    <w:rsid w:val="00665508"/>
    <w:rsid w:val="00665515"/>
    <w:rsid w:val="00665A0E"/>
    <w:rsid w:val="00665A48"/>
    <w:rsid w:val="00665C2E"/>
    <w:rsid w:val="00665C4E"/>
    <w:rsid w:val="00665D83"/>
    <w:rsid w:val="006660C5"/>
    <w:rsid w:val="00666125"/>
    <w:rsid w:val="006661FC"/>
    <w:rsid w:val="00666324"/>
    <w:rsid w:val="00666644"/>
    <w:rsid w:val="006667AB"/>
    <w:rsid w:val="006667BE"/>
    <w:rsid w:val="00666842"/>
    <w:rsid w:val="00666880"/>
    <w:rsid w:val="006669B7"/>
    <w:rsid w:val="006669EF"/>
    <w:rsid w:val="00666B14"/>
    <w:rsid w:val="00666B56"/>
    <w:rsid w:val="00666B8F"/>
    <w:rsid w:val="00666E6B"/>
    <w:rsid w:val="00666ED3"/>
    <w:rsid w:val="00666F79"/>
    <w:rsid w:val="00666FFF"/>
    <w:rsid w:val="0066712B"/>
    <w:rsid w:val="006671B8"/>
    <w:rsid w:val="006671F9"/>
    <w:rsid w:val="006672A4"/>
    <w:rsid w:val="006674B2"/>
    <w:rsid w:val="00667699"/>
    <w:rsid w:val="00667798"/>
    <w:rsid w:val="00667829"/>
    <w:rsid w:val="006678E7"/>
    <w:rsid w:val="00667957"/>
    <w:rsid w:val="00667AF7"/>
    <w:rsid w:val="00667CDF"/>
    <w:rsid w:val="006704D3"/>
    <w:rsid w:val="0067055A"/>
    <w:rsid w:val="006705A4"/>
    <w:rsid w:val="006707C9"/>
    <w:rsid w:val="0067088D"/>
    <w:rsid w:val="006708AB"/>
    <w:rsid w:val="006708FE"/>
    <w:rsid w:val="00670BC0"/>
    <w:rsid w:val="00670BEA"/>
    <w:rsid w:val="00670D90"/>
    <w:rsid w:val="00670F9F"/>
    <w:rsid w:val="006713D9"/>
    <w:rsid w:val="0067146B"/>
    <w:rsid w:val="006716F5"/>
    <w:rsid w:val="006718BA"/>
    <w:rsid w:val="00671952"/>
    <w:rsid w:val="00671BDF"/>
    <w:rsid w:val="00671C5A"/>
    <w:rsid w:val="00671F13"/>
    <w:rsid w:val="00672133"/>
    <w:rsid w:val="00672692"/>
    <w:rsid w:val="0067276F"/>
    <w:rsid w:val="006728D0"/>
    <w:rsid w:val="00672BB0"/>
    <w:rsid w:val="00672BF8"/>
    <w:rsid w:val="00672E64"/>
    <w:rsid w:val="00672E92"/>
    <w:rsid w:val="00672ED0"/>
    <w:rsid w:val="00673082"/>
    <w:rsid w:val="00673819"/>
    <w:rsid w:val="00673972"/>
    <w:rsid w:val="006739EE"/>
    <w:rsid w:val="00673A42"/>
    <w:rsid w:val="00673B26"/>
    <w:rsid w:val="00673B3B"/>
    <w:rsid w:val="00673B65"/>
    <w:rsid w:val="00673CFA"/>
    <w:rsid w:val="00673D14"/>
    <w:rsid w:val="00673D84"/>
    <w:rsid w:val="00673F83"/>
    <w:rsid w:val="00674027"/>
    <w:rsid w:val="00674091"/>
    <w:rsid w:val="0067410B"/>
    <w:rsid w:val="00674AC9"/>
    <w:rsid w:val="00674B7C"/>
    <w:rsid w:val="00674C10"/>
    <w:rsid w:val="00674C81"/>
    <w:rsid w:val="00674E52"/>
    <w:rsid w:val="00674FEC"/>
    <w:rsid w:val="006750E1"/>
    <w:rsid w:val="00675332"/>
    <w:rsid w:val="0067539C"/>
    <w:rsid w:val="006754F5"/>
    <w:rsid w:val="00675658"/>
    <w:rsid w:val="0067569E"/>
    <w:rsid w:val="006756D9"/>
    <w:rsid w:val="00675906"/>
    <w:rsid w:val="00675D7C"/>
    <w:rsid w:val="006761DD"/>
    <w:rsid w:val="006762E2"/>
    <w:rsid w:val="00676568"/>
    <w:rsid w:val="006765FC"/>
    <w:rsid w:val="00676698"/>
    <w:rsid w:val="0067690A"/>
    <w:rsid w:val="0067693A"/>
    <w:rsid w:val="00676A0D"/>
    <w:rsid w:val="00676B6E"/>
    <w:rsid w:val="00676C10"/>
    <w:rsid w:val="00676E3A"/>
    <w:rsid w:val="0067712B"/>
    <w:rsid w:val="006772C1"/>
    <w:rsid w:val="00677EB5"/>
    <w:rsid w:val="00677F5D"/>
    <w:rsid w:val="0068030E"/>
    <w:rsid w:val="00680392"/>
    <w:rsid w:val="006803DB"/>
    <w:rsid w:val="0068072A"/>
    <w:rsid w:val="006807B1"/>
    <w:rsid w:val="00680B43"/>
    <w:rsid w:val="00680B7F"/>
    <w:rsid w:val="00680D31"/>
    <w:rsid w:val="00680E17"/>
    <w:rsid w:val="00680ECA"/>
    <w:rsid w:val="00680EF2"/>
    <w:rsid w:val="00680F0A"/>
    <w:rsid w:val="00680FAF"/>
    <w:rsid w:val="006811B7"/>
    <w:rsid w:val="00681209"/>
    <w:rsid w:val="00681263"/>
    <w:rsid w:val="00681440"/>
    <w:rsid w:val="00681460"/>
    <w:rsid w:val="00681466"/>
    <w:rsid w:val="006816A6"/>
    <w:rsid w:val="0068188A"/>
    <w:rsid w:val="00681993"/>
    <w:rsid w:val="00681A52"/>
    <w:rsid w:val="00681AD0"/>
    <w:rsid w:val="00681CBD"/>
    <w:rsid w:val="00681FC0"/>
    <w:rsid w:val="006824E6"/>
    <w:rsid w:val="00682567"/>
    <w:rsid w:val="0068270C"/>
    <w:rsid w:val="006827CF"/>
    <w:rsid w:val="00682974"/>
    <w:rsid w:val="00682A00"/>
    <w:rsid w:val="00682A80"/>
    <w:rsid w:val="00682DDC"/>
    <w:rsid w:val="00683245"/>
    <w:rsid w:val="00683286"/>
    <w:rsid w:val="0068333A"/>
    <w:rsid w:val="00683400"/>
    <w:rsid w:val="00683406"/>
    <w:rsid w:val="0068344C"/>
    <w:rsid w:val="00683630"/>
    <w:rsid w:val="00683746"/>
    <w:rsid w:val="006837D0"/>
    <w:rsid w:val="00683924"/>
    <w:rsid w:val="00683A9C"/>
    <w:rsid w:val="00683E9F"/>
    <w:rsid w:val="00683EE4"/>
    <w:rsid w:val="00684027"/>
    <w:rsid w:val="00684266"/>
    <w:rsid w:val="006843E5"/>
    <w:rsid w:val="0068457F"/>
    <w:rsid w:val="006845BA"/>
    <w:rsid w:val="0068469A"/>
    <w:rsid w:val="00684808"/>
    <w:rsid w:val="0068494F"/>
    <w:rsid w:val="00684A6F"/>
    <w:rsid w:val="00684C07"/>
    <w:rsid w:val="00684C51"/>
    <w:rsid w:val="006852C5"/>
    <w:rsid w:val="0068552B"/>
    <w:rsid w:val="00685534"/>
    <w:rsid w:val="006857C3"/>
    <w:rsid w:val="006857E8"/>
    <w:rsid w:val="0068583C"/>
    <w:rsid w:val="00685A6A"/>
    <w:rsid w:val="00685AA3"/>
    <w:rsid w:val="00685CA1"/>
    <w:rsid w:val="00685D90"/>
    <w:rsid w:val="00685E29"/>
    <w:rsid w:val="00686029"/>
    <w:rsid w:val="006860A7"/>
    <w:rsid w:val="006863F1"/>
    <w:rsid w:val="006864E5"/>
    <w:rsid w:val="006868E1"/>
    <w:rsid w:val="00686920"/>
    <w:rsid w:val="00686938"/>
    <w:rsid w:val="00686988"/>
    <w:rsid w:val="00686B8E"/>
    <w:rsid w:val="00686C53"/>
    <w:rsid w:val="00686C77"/>
    <w:rsid w:val="00686F98"/>
    <w:rsid w:val="006870C8"/>
    <w:rsid w:val="006871A8"/>
    <w:rsid w:val="006871EF"/>
    <w:rsid w:val="006874CD"/>
    <w:rsid w:val="00687556"/>
    <w:rsid w:val="006875A2"/>
    <w:rsid w:val="00687613"/>
    <w:rsid w:val="00687B32"/>
    <w:rsid w:val="00687DA2"/>
    <w:rsid w:val="00687E61"/>
    <w:rsid w:val="00687F12"/>
    <w:rsid w:val="0069009B"/>
    <w:rsid w:val="006900BB"/>
    <w:rsid w:val="00690119"/>
    <w:rsid w:val="006901A9"/>
    <w:rsid w:val="0069020C"/>
    <w:rsid w:val="00690215"/>
    <w:rsid w:val="006902D9"/>
    <w:rsid w:val="0069031A"/>
    <w:rsid w:val="0069048E"/>
    <w:rsid w:val="00690490"/>
    <w:rsid w:val="00690516"/>
    <w:rsid w:val="00690524"/>
    <w:rsid w:val="006905CB"/>
    <w:rsid w:val="00690665"/>
    <w:rsid w:val="00690940"/>
    <w:rsid w:val="00690A07"/>
    <w:rsid w:val="00690A7E"/>
    <w:rsid w:val="00690AB8"/>
    <w:rsid w:val="00690AD0"/>
    <w:rsid w:val="00690E7F"/>
    <w:rsid w:val="006911F5"/>
    <w:rsid w:val="0069139A"/>
    <w:rsid w:val="0069168B"/>
    <w:rsid w:val="0069188C"/>
    <w:rsid w:val="00691A24"/>
    <w:rsid w:val="00691D1B"/>
    <w:rsid w:val="00691D1E"/>
    <w:rsid w:val="00691D49"/>
    <w:rsid w:val="00691D80"/>
    <w:rsid w:val="00691E47"/>
    <w:rsid w:val="0069214A"/>
    <w:rsid w:val="00692481"/>
    <w:rsid w:val="00692556"/>
    <w:rsid w:val="006925BB"/>
    <w:rsid w:val="006926D8"/>
    <w:rsid w:val="006927C9"/>
    <w:rsid w:val="00692899"/>
    <w:rsid w:val="006928C9"/>
    <w:rsid w:val="006928F3"/>
    <w:rsid w:val="006929A0"/>
    <w:rsid w:val="00692A64"/>
    <w:rsid w:val="00692A9F"/>
    <w:rsid w:val="00692AB8"/>
    <w:rsid w:val="00692B09"/>
    <w:rsid w:val="00692D32"/>
    <w:rsid w:val="00692E33"/>
    <w:rsid w:val="00692F84"/>
    <w:rsid w:val="00692F8E"/>
    <w:rsid w:val="00693038"/>
    <w:rsid w:val="00693160"/>
    <w:rsid w:val="006932BF"/>
    <w:rsid w:val="0069351D"/>
    <w:rsid w:val="0069361D"/>
    <w:rsid w:val="00693638"/>
    <w:rsid w:val="00693656"/>
    <w:rsid w:val="006936B5"/>
    <w:rsid w:val="00693813"/>
    <w:rsid w:val="00693829"/>
    <w:rsid w:val="00693871"/>
    <w:rsid w:val="00693AF8"/>
    <w:rsid w:val="00693B86"/>
    <w:rsid w:val="00693BA1"/>
    <w:rsid w:val="00693C5F"/>
    <w:rsid w:val="00693EBA"/>
    <w:rsid w:val="00693FE5"/>
    <w:rsid w:val="006941D4"/>
    <w:rsid w:val="0069422A"/>
    <w:rsid w:val="00694293"/>
    <w:rsid w:val="00694302"/>
    <w:rsid w:val="006944DE"/>
    <w:rsid w:val="006944E4"/>
    <w:rsid w:val="00694639"/>
    <w:rsid w:val="006949B7"/>
    <w:rsid w:val="00694AAD"/>
    <w:rsid w:val="00694CE2"/>
    <w:rsid w:val="006950D2"/>
    <w:rsid w:val="00695163"/>
    <w:rsid w:val="00695436"/>
    <w:rsid w:val="00695459"/>
    <w:rsid w:val="00695534"/>
    <w:rsid w:val="006956D6"/>
    <w:rsid w:val="00695712"/>
    <w:rsid w:val="0069574F"/>
    <w:rsid w:val="006957C4"/>
    <w:rsid w:val="0069581F"/>
    <w:rsid w:val="00695B1E"/>
    <w:rsid w:val="00695C1C"/>
    <w:rsid w:val="00695E67"/>
    <w:rsid w:val="00695EC2"/>
    <w:rsid w:val="00695F14"/>
    <w:rsid w:val="006962FD"/>
    <w:rsid w:val="00696369"/>
    <w:rsid w:val="006965D1"/>
    <w:rsid w:val="0069661A"/>
    <w:rsid w:val="00696680"/>
    <w:rsid w:val="006969A0"/>
    <w:rsid w:val="00696BBE"/>
    <w:rsid w:val="00696C6E"/>
    <w:rsid w:val="00696E7C"/>
    <w:rsid w:val="006970FD"/>
    <w:rsid w:val="0069760D"/>
    <w:rsid w:val="00697689"/>
    <w:rsid w:val="006978A5"/>
    <w:rsid w:val="00697A6B"/>
    <w:rsid w:val="00697AA7"/>
    <w:rsid w:val="00697C73"/>
    <w:rsid w:val="00697EA8"/>
    <w:rsid w:val="00697F4D"/>
    <w:rsid w:val="006A0345"/>
    <w:rsid w:val="006A038A"/>
    <w:rsid w:val="006A03D3"/>
    <w:rsid w:val="006A0A50"/>
    <w:rsid w:val="006A0A87"/>
    <w:rsid w:val="006A0B64"/>
    <w:rsid w:val="006A0C7E"/>
    <w:rsid w:val="006A0CE2"/>
    <w:rsid w:val="006A0F60"/>
    <w:rsid w:val="006A0FC3"/>
    <w:rsid w:val="006A103A"/>
    <w:rsid w:val="006A18E0"/>
    <w:rsid w:val="006A1A59"/>
    <w:rsid w:val="006A1B32"/>
    <w:rsid w:val="006A1B6E"/>
    <w:rsid w:val="006A1F10"/>
    <w:rsid w:val="006A20CE"/>
    <w:rsid w:val="006A2192"/>
    <w:rsid w:val="006A23FC"/>
    <w:rsid w:val="006A27A1"/>
    <w:rsid w:val="006A2856"/>
    <w:rsid w:val="006A2AE9"/>
    <w:rsid w:val="006A2B44"/>
    <w:rsid w:val="006A2C08"/>
    <w:rsid w:val="006A2C28"/>
    <w:rsid w:val="006A2C6C"/>
    <w:rsid w:val="006A2CCF"/>
    <w:rsid w:val="006A3089"/>
    <w:rsid w:val="006A31D0"/>
    <w:rsid w:val="006A34F8"/>
    <w:rsid w:val="006A34FB"/>
    <w:rsid w:val="006A3513"/>
    <w:rsid w:val="006A370B"/>
    <w:rsid w:val="006A397B"/>
    <w:rsid w:val="006A3A18"/>
    <w:rsid w:val="006A3B04"/>
    <w:rsid w:val="006A3B83"/>
    <w:rsid w:val="006A3D4C"/>
    <w:rsid w:val="006A3D4E"/>
    <w:rsid w:val="006A3FD8"/>
    <w:rsid w:val="006A42C4"/>
    <w:rsid w:val="006A42CE"/>
    <w:rsid w:val="006A4655"/>
    <w:rsid w:val="006A46B6"/>
    <w:rsid w:val="006A482E"/>
    <w:rsid w:val="006A496B"/>
    <w:rsid w:val="006A4E12"/>
    <w:rsid w:val="006A4FBA"/>
    <w:rsid w:val="006A53B4"/>
    <w:rsid w:val="006A547C"/>
    <w:rsid w:val="006A54C2"/>
    <w:rsid w:val="006A54E4"/>
    <w:rsid w:val="006A54EA"/>
    <w:rsid w:val="006A54EF"/>
    <w:rsid w:val="006A55DF"/>
    <w:rsid w:val="006A583F"/>
    <w:rsid w:val="006A5C34"/>
    <w:rsid w:val="006A5D8C"/>
    <w:rsid w:val="006A5EEC"/>
    <w:rsid w:val="006A5F0F"/>
    <w:rsid w:val="006A61E1"/>
    <w:rsid w:val="006A62CD"/>
    <w:rsid w:val="006A62E9"/>
    <w:rsid w:val="006A6643"/>
    <w:rsid w:val="006A66CC"/>
    <w:rsid w:val="006A6761"/>
    <w:rsid w:val="006A6870"/>
    <w:rsid w:val="006A6A5A"/>
    <w:rsid w:val="006A6BDB"/>
    <w:rsid w:val="006A6C38"/>
    <w:rsid w:val="006A6CD0"/>
    <w:rsid w:val="006A6F67"/>
    <w:rsid w:val="006A7060"/>
    <w:rsid w:val="006A7216"/>
    <w:rsid w:val="006A7563"/>
    <w:rsid w:val="006A761F"/>
    <w:rsid w:val="006A76D7"/>
    <w:rsid w:val="006A7824"/>
    <w:rsid w:val="006A7909"/>
    <w:rsid w:val="006A795B"/>
    <w:rsid w:val="006A7B6B"/>
    <w:rsid w:val="006A7B9F"/>
    <w:rsid w:val="006A7C13"/>
    <w:rsid w:val="006A7C4E"/>
    <w:rsid w:val="006B01F3"/>
    <w:rsid w:val="006B02F9"/>
    <w:rsid w:val="006B0358"/>
    <w:rsid w:val="006B0381"/>
    <w:rsid w:val="006B061A"/>
    <w:rsid w:val="006B07C7"/>
    <w:rsid w:val="006B0857"/>
    <w:rsid w:val="006B0A00"/>
    <w:rsid w:val="006B0AFB"/>
    <w:rsid w:val="006B0BBD"/>
    <w:rsid w:val="006B0E0A"/>
    <w:rsid w:val="006B0EC4"/>
    <w:rsid w:val="006B0F1C"/>
    <w:rsid w:val="006B1031"/>
    <w:rsid w:val="006B10F8"/>
    <w:rsid w:val="006B1174"/>
    <w:rsid w:val="006B129F"/>
    <w:rsid w:val="006B13B2"/>
    <w:rsid w:val="006B15B1"/>
    <w:rsid w:val="006B17B9"/>
    <w:rsid w:val="006B1859"/>
    <w:rsid w:val="006B1C18"/>
    <w:rsid w:val="006B1E8E"/>
    <w:rsid w:val="006B1EAF"/>
    <w:rsid w:val="006B1F47"/>
    <w:rsid w:val="006B1FEC"/>
    <w:rsid w:val="006B20B9"/>
    <w:rsid w:val="006B2185"/>
    <w:rsid w:val="006B21AB"/>
    <w:rsid w:val="006B21EB"/>
    <w:rsid w:val="006B24EF"/>
    <w:rsid w:val="006B2734"/>
    <w:rsid w:val="006B279D"/>
    <w:rsid w:val="006B2A56"/>
    <w:rsid w:val="006B2D02"/>
    <w:rsid w:val="006B2D9B"/>
    <w:rsid w:val="006B2DB8"/>
    <w:rsid w:val="006B2E41"/>
    <w:rsid w:val="006B2E5E"/>
    <w:rsid w:val="006B2EC0"/>
    <w:rsid w:val="006B2FB4"/>
    <w:rsid w:val="006B3103"/>
    <w:rsid w:val="006B31D4"/>
    <w:rsid w:val="006B3522"/>
    <w:rsid w:val="006B35FF"/>
    <w:rsid w:val="006B3790"/>
    <w:rsid w:val="006B3B35"/>
    <w:rsid w:val="006B3E04"/>
    <w:rsid w:val="006B3F11"/>
    <w:rsid w:val="006B3F2F"/>
    <w:rsid w:val="006B3FF3"/>
    <w:rsid w:val="006B4303"/>
    <w:rsid w:val="006B4474"/>
    <w:rsid w:val="006B45B1"/>
    <w:rsid w:val="006B45BC"/>
    <w:rsid w:val="006B45EA"/>
    <w:rsid w:val="006B4A8B"/>
    <w:rsid w:val="006B4BA2"/>
    <w:rsid w:val="006B4F43"/>
    <w:rsid w:val="006B5072"/>
    <w:rsid w:val="006B52B0"/>
    <w:rsid w:val="006B536D"/>
    <w:rsid w:val="006B56BA"/>
    <w:rsid w:val="006B5764"/>
    <w:rsid w:val="006B583A"/>
    <w:rsid w:val="006B5AA2"/>
    <w:rsid w:val="006B5CED"/>
    <w:rsid w:val="006B5D5A"/>
    <w:rsid w:val="006B5E35"/>
    <w:rsid w:val="006B5E46"/>
    <w:rsid w:val="006B6105"/>
    <w:rsid w:val="006B65A6"/>
    <w:rsid w:val="006B671F"/>
    <w:rsid w:val="006B672F"/>
    <w:rsid w:val="006B691A"/>
    <w:rsid w:val="006B6C4B"/>
    <w:rsid w:val="006B6C6A"/>
    <w:rsid w:val="006B6E9E"/>
    <w:rsid w:val="006B6EBD"/>
    <w:rsid w:val="006B6F44"/>
    <w:rsid w:val="006B708A"/>
    <w:rsid w:val="006B756C"/>
    <w:rsid w:val="006B78C1"/>
    <w:rsid w:val="006B7921"/>
    <w:rsid w:val="006B7C2A"/>
    <w:rsid w:val="006B7C4F"/>
    <w:rsid w:val="006B7D84"/>
    <w:rsid w:val="006B7DEA"/>
    <w:rsid w:val="006B7E09"/>
    <w:rsid w:val="006B7E21"/>
    <w:rsid w:val="006B7E80"/>
    <w:rsid w:val="006C00BB"/>
    <w:rsid w:val="006C00BC"/>
    <w:rsid w:val="006C00CA"/>
    <w:rsid w:val="006C011F"/>
    <w:rsid w:val="006C047E"/>
    <w:rsid w:val="006C04D5"/>
    <w:rsid w:val="006C07AD"/>
    <w:rsid w:val="006C08B8"/>
    <w:rsid w:val="006C0B57"/>
    <w:rsid w:val="006C0BEA"/>
    <w:rsid w:val="006C0C4C"/>
    <w:rsid w:val="006C0CFC"/>
    <w:rsid w:val="006C0F89"/>
    <w:rsid w:val="006C0FED"/>
    <w:rsid w:val="006C1079"/>
    <w:rsid w:val="006C10EF"/>
    <w:rsid w:val="006C129D"/>
    <w:rsid w:val="006C138C"/>
    <w:rsid w:val="006C14A8"/>
    <w:rsid w:val="006C1894"/>
    <w:rsid w:val="006C1BF5"/>
    <w:rsid w:val="006C1CDB"/>
    <w:rsid w:val="006C1CE4"/>
    <w:rsid w:val="006C226A"/>
    <w:rsid w:val="006C23CD"/>
    <w:rsid w:val="006C270A"/>
    <w:rsid w:val="006C27B5"/>
    <w:rsid w:val="006C2C74"/>
    <w:rsid w:val="006C2C80"/>
    <w:rsid w:val="006C2CB5"/>
    <w:rsid w:val="006C2CDF"/>
    <w:rsid w:val="006C2D7D"/>
    <w:rsid w:val="006C2DC7"/>
    <w:rsid w:val="006C3027"/>
    <w:rsid w:val="006C32C2"/>
    <w:rsid w:val="006C32EF"/>
    <w:rsid w:val="006C346F"/>
    <w:rsid w:val="006C3641"/>
    <w:rsid w:val="006C3660"/>
    <w:rsid w:val="006C369D"/>
    <w:rsid w:val="006C36F7"/>
    <w:rsid w:val="006C37BD"/>
    <w:rsid w:val="006C3A0A"/>
    <w:rsid w:val="006C3D74"/>
    <w:rsid w:val="006C3E1D"/>
    <w:rsid w:val="006C3EBB"/>
    <w:rsid w:val="006C3EF9"/>
    <w:rsid w:val="006C413A"/>
    <w:rsid w:val="006C43ED"/>
    <w:rsid w:val="006C4475"/>
    <w:rsid w:val="006C458B"/>
    <w:rsid w:val="006C46B1"/>
    <w:rsid w:val="006C47D8"/>
    <w:rsid w:val="006C49CE"/>
    <w:rsid w:val="006C4C09"/>
    <w:rsid w:val="006C4CA4"/>
    <w:rsid w:val="006C5202"/>
    <w:rsid w:val="006C5352"/>
    <w:rsid w:val="006C5434"/>
    <w:rsid w:val="006C55AD"/>
    <w:rsid w:val="006C56E8"/>
    <w:rsid w:val="006C57C6"/>
    <w:rsid w:val="006C58F2"/>
    <w:rsid w:val="006C59B1"/>
    <w:rsid w:val="006C5B0B"/>
    <w:rsid w:val="006C5BB1"/>
    <w:rsid w:val="006C5BD1"/>
    <w:rsid w:val="006C5BFD"/>
    <w:rsid w:val="006C5C7C"/>
    <w:rsid w:val="006C5CF7"/>
    <w:rsid w:val="006C5DED"/>
    <w:rsid w:val="006C5FB7"/>
    <w:rsid w:val="006C6247"/>
    <w:rsid w:val="006C65F6"/>
    <w:rsid w:val="006C66D3"/>
    <w:rsid w:val="006C6746"/>
    <w:rsid w:val="006C6BBF"/>
    <w:rsid w:val="006C6BF4"/>
    <w:rsid w:val="006C6CE0"/>
    <w:rsid w:val="006C6F0F"/>
    <w:rsid w:val="006C712F"/>
    <w:rsid w:val="006C71D6"/>
    <w:rsid w:val="006C72EC"/>
    <w:rsid w:val="006C731D"/>
    <w:rsid w:val="006C7402"/>
    <w:rsid w:val="006C75E9"/>
    <w:rsid w:val="006C7608"/>
    <w:rsid w:val="006C76BF"/>
    <w:rsid w:val="006C78E0"/>
    <w:rsid w:val="006C790F"/>
    <w:rsid w:val="006C79C6"/>
    <w:rsid w:val="006C79CD"/>
    <w:rsid w:val="006C7B97"/>
    <w:rsid w:val="006C7F85"/>
    <w:rsid w:val="006D00DE"/>
    <w:rsid w:val="006D018F"/>
    <w:rsid w:val="006D01DB"/>
    <w:rsid w:val="006D0529"/>
    <w:rsid w:val="006D08DC"/>
    <w:rsid w:val="006D0A77"/>
    <w:rsid w:val="006D1262"/>
    <w:rsid w:val="006D1493"/>
    <w:rsid w:val="006D15A6"/>
    <w:rsid w:val="006D1651"/>
    <w:rsid w:val="006D169D"/>
    <w:rsid w:val="006D16D7"/>
    <w:rsid w:val="006D1885"/>
    <w:rsid w:val="006D1CB8"/>
    <w:rsid w:val="006D24A4"/>
    <w:rsid w:val="006D252E"/>
    <w:rsid w:val="006D25C7"/>
    <w:rsid w:val="006D25F2"/>
    <w:rsid w:val="006D26FD"/>
    <w:rsid w:val="006D2740"/>
    <w:rsid w:val="006D275F"/>
    <w:rsid w:val="006D296A"/>
    <w:rsid w:val="006D29D7"/>
    <w:rsid w:val="006D2CB5"/>
    <w:rsid w:val="006D303F"/>
    <w:rsid w:val="006D311E"/>
    <w:rsid w:val="006D3126"/>
    <w:rsid w:val="006D314A"/>
    <w:rsid w:val="006D31E4"/>
    <w:rsid w:val="006D33E4"/>
    <w:rsid w:val="006D359F"/>
    <w:rsid w:val="006D37D7"/>
    <w:rsid w:val="006D3C05"/>
    <w:rsid w:val="006D3D26"/>
    <w:rsid w:val="006D3F5B"/>
    <w:rsid w:val="006D406E"/>
    <w:rsid w:val="006D4204"/>
    <w:rsid w:val="006D42CA"/>
    <w:rsid w:val="006D43D6"/>
    <w:rsid w:val="006D4485"/>
    <w:rsid w:val="006D44CF"/>
    <w:rsid w:val="006D4501"/>
    <w:rsid w:val="006D45C7"/>
    <w:rsid w:val="006D462A"/>
    <w:rsid w:val="006D4996"/>
    <w:rsid w:val="006D4B66"/>
    <w:rsid w:val="006D4BEF"/>
    <w:rsid w:val="006D4D52"/>
    <w:rsid w:val="006D4FB2"/>
    <w:rsid w:val="006D5186"/>
    <w:rsid w:val="006D52F7"/>
    <w:rsid w:val="006D541C"/>
    <w:rsid w:val="006D5635"/>
    <w:rsid w:val="006D5666"/>
    <w:rsid w:val="006D589D"/>
    <w:rsid w:val="006D5CFD"/>
    <w:rsid w:val="006D5F58"/>
    <w:rsid w:val="006D6137"/>
    <w:rsid w:val="006D6449"/>
    <w:rsid w:val="006D6528"/>
    <w:rsid w:val="006D6587"/>
    <w:rsid w:val="006D6682"/>
    <w:rsid w:val="006D669D"/>
    <w:rsid w:val="006D681A"/>
    <w:rsid w:val="006D6A6E"/>
    <w:rsid w:val="006D6CDC"/>
    <w:rsid w:val="006D7167"/>
    <w:rsid w:val="006D72A0"/>
    <w:rsid w:val="006D741F"/>
    <w:rsid w:val="006D7573"/>
    <w:rsid w:val="006D783D"/>
    <w:rsid w:val="006D7860"/>
    <w:rsid w:val="006D78FA"/>
    <w:rsid w:val="006D791A"/>
    <w:rsid w:val="006D7A52"/>
    <w:rsid w:val="006D7C56"/>
    <w:rsid w:val="006D7EEC"/>
    <w:rsid w:val="006D7F23"/>
    <w:rsid w:val="006E0016"/>
    <w:rsid w:val="006E010B"/>
    <w:rsid w:val="006E0293"/>
    <w:rsid w:val="006E02B1"/>
    <w:rsid w:val="006E03E1"/>
    <w:rsid w:val="006E04E8"/>
    <w:rsid w:val="006E05DC"/>
    <w:rsid w:val="006E0632"/>
    <w:rsid w:val="006E06B6"/>
    <w:rsid w:val="006E07A8"/>
    <w:rsid w:val="006E08C0"/>
    <w:rsid w:val="006E0B4D"/>
    <w:rsid w:val="006E0DA1"/>
    <w:rsid w:val="006E0EAA"/>
    <w:rsid w:val="006E0F3F"/>
    <w:rsid w:val="006E0FE2"/>
    <w:rsid w:val="006E1025"/>
    <w:rsid w:val="006E1080"/>
    <w:rsid w:val="006E10F3"/>
    <w:rsid w:val="006E139D"/>
    <w:rsid w:val="006E13CF"/>
    <w:rsid w:val="006E1420"/>
    <w:rsid w:val="006E1654"/>
    <w:rsid w:val="006E1695"/>
    <w:rsid w:val="006E178D"/>
    <w:rsid w:val="006E1A77"/>
    <w:rsid w:val="006E1FDB"/>
    <w:rsid w:val="006E2022"/>
    <w:rsid w:val="006E2436"/>
    <w:rsid w:val="006E2481"/>
    <w:rsid w:val="006E292A"/>
    <w:rsid w:val="006E2DF0"/>
    <w:rsid w:val="006E2E5B"/>
    <w:rsid w:val="006E2F6A"/>
    <w:rsid w:val="006E304D"/>
    <w:rsid w:val="006E37B2"/>
    <w:rsid w:val="006E3876"/>
    <w:rsid w:val="006E3AB5"/>
    <w:rsid w:val="006E3BDA"/>
    <w:rsid w:val="006E3D5F"/>
    <w:rsid w:val="006E3D9E"/>
    <w:rsid w:val="006E3E97"/>
    <w:rsid w:val="006E3EA0"/>
    <w:rsid w:val="006E4187"/>
    <w:rsid w:val="006E4261"/>
    <w:rsid w:val="006E443D"/>
    <w:rsid w:val="006E47D8"/>
    <w:rsid w:val="006E47EC"/>
    <w:rsid w:val="006E4D38"/>
    <w:rsid w:val="006E4FCE"/>
    <w:rsid w:val="006E52E6"/>
    <w:rsid w:val="006E53C6"/>
    <w:rsid w:val="006E56EE"/>
    <w:rsid w:val="006E5711"/>
    <w:rsid w:val="006E576F"/>
    <w:rsid w:val="006E5B26"/>
    <w:rsid w:val="006E5B7F"/>
    <w:rsid w:val="006E5F34"/>
    <w:rsid w:val="006E6050"/>
    <w:rsid w:val="006E6084"/>
    <w:rsid w:val="006E6122"/>
    <w:rsid w:val="006E6155"/>
    <w:rsid w:val="006E6246"/>
    <w:rsid w:val="006E6292"/>
    <w:rsid w:val="006E64AB"/>
    <w:rsid w:val="006E64CB"/>
    <w:rsid w:val="006E6A39"/>
    <w:rsid w:val="006E6D91"/>
    <w:rsid w:val="006E719B"/>
    <w:rsid w:val="006E71E9"/>
    <w:rsid w:val="006E7449"/>
    <w:rsid w:val="006E75E1"/>
    <w:rsid w:val="006E75E4"/>
    <w:rsid w:val="006E76A7"/>
    <w:rsid w:val="006E771E"/>
    <w:rsid w:val="006E771F"/>
    <w:rsid w:val="006E78E4"/>
    <w:rsid w:val="006E79F3"/>
    <w:rsid w:val="006E7A05"/>
    <w:rsid w:val="006E7B4A"/>
    <w:rsid w:val="006E7BC2"/>
    <w:rsid w:val="006E7C9E"/>
    <w:rsid w:val="006E7F0A"/>
    <w:rsid w:val="006F092B"/>
    <w:rsid w:val="006F0EAE"/>
    <w:rsid w:val="006F0F8D"/>
    <w:rsid w:val="006F1172"/>
    <w:rsid w:val="006F11CF"/>
    <w:rsid w:val="006F15CB"/>
    <w:rsid w:val="006F1AB9"/>
    <w:rsid w:val="006F1BD5"/>
    <w:rsid w:val="006F21D8"/>
    <w:rsid w:val="006F22BC"/>
    <w:rsid w:val="006F267B"/>
    <w:rsid w:val="006F2A6E"/>
    <w:rsid w:val="006F2CBD"/>
    <w:rsid w:val="006F2D71"/>
    <w:rsid w:val="006F2DD6"/>
    <w:rsid w:val="006F2E1F"/>
    <w:rsid w:val="006F2F25"/>
    <w:rsid w:val="006F3554"/>
    <w:rsid w:val="006F3562"/>
    <w:rsid w:val="006F3A82"/>
    <w:rsid w:val="006F3A8A"/>
    <w:rsid w:val="006F3B60"/>
    <w:rsid w:val="006F3BE7"/>
    <w:rsid w:val="006F4203"/>
    <w:rsid w:val="006F4496"/>
    <w:rsid w:val="006F47F4"/>
    <w:rsid w:val="006F4828"/>
    <w:rsid w:val="006F49E3"/>
    <w:rsid w:val="006F4A49"/>
    <w:rsid w:val="006F4A7A"/>
    <w:rsid w:val="006F4D0D"/>
    <w:rsid w:val="006F4D4D"/>
    <w:rsid w:val="006F4EC7"/>
    <w:rsid w:val="006F4EEC"/>
    <w:rsid w:val="006F5432"/>
    <w:rsid w:val="006F55AB"/>
    <w:rsid w:val="006F56ED"/>
    <w:rsid w:val="006F5886"/>
    <w:rsid w:val="006F59BA"/>
    <w:rsid w:val="006F59FD"/>
    <w:rsid w:val="006F5C72"/>
    <w:rsid w:val="006F6356"/>
    <w:rsid w:val="006F650E"/>
    <w:rsid w:val="006F6793"/>
    <w:rsid w:val="006F68D9"/>
    <w:rsid w:val="006F6EF0"/>
    <w:rsid w:val="006F728A"/>
    <w:rsid w:val="006F7326"/>
    <w:rsid w:val="006F76E3"/>
    <w:rsid w:val="006F7AB1"/>
    <w:rsid w:val="006F7B61"/>
    <w:rsid w:val="006F7B8C"/>
    <w:rsid w:val="006F7BCE"/>
    <w:rsid w:val="00700046"/>
    <w:rsid w:val="007000CB"/>
    <w:rsid w:val="007001D1"/>
    <w:rsid w:val="00700388"/>
    <w:rsid w:val="00700445"/>
    <w:rsid w:val="00700653"/>
    <w:rsid w:val="0070072A"/>
    <w:rsid w:val="00700817"/>
    <w:rsid w:val="00700E47"/>
    <w:rsid w:val="007010D8"/>
    <w:rsid w:val="0070122C"/>
    <w:rsid w:val="00701271"/>
    <w:rsid w:val="00701355"/>
    <w:rsid w:val="007013A6"/>
    <w:rsid w:val="007015DB"/>
    <w:rsid w:val="007016F7"/>
    <w:rsid w:val="0070196F"/>
    <w:rsid w:val="00701C61"/>
    <w:rsid w:val="00701CF7"/>
    <w:rsid w:val="00701D82"/>
    <w:rsid w:val="0070217A"/>
    <w:rsid w:val="0070225E"/>
    <w:rsid w:val="0070233E"/>
    <w:rsid w:val="00702392"/>
    <w:rsid w:val="0070266A"/>
    <w:rsid w:val="00702682"/>
    <w:rsid w:val="0070291B"/>
    <w:rsid w:val="00702BA6"/>
    <w:rsid w:val="00703126"/>
    <w:rsid w:val="00703231"/>
    <w:rsid w:val="007033D3"/>
    <w:rsid w:val="0070346B"/>
    <w:rsid w:val="00703BFE"/>
    <w:rsid w:val="00703C56"/>
    <w:rsid w:val="00703D1E"/>
    <w:rsid w:val="00703E91"/>
    <w:rsid w:val="00703ED9"/>
    <w:rsid w:val="00704177"/>
    <w:rsid w:val="007043F1"/>
    <w:rsid w:val="0070481B"/>
    <w:rsid w:val="00704903"/>
    <w:rsid w:val="007049F3"/>
    <w:rsid w:val="00704A73"/>
    <w:rsid w:val="00704AE6"/>
    <w:rsid w:val="00704C9D"/>
    <w:rsid w:val="00704D16"/>
    <w:rsid w:val="00704E3D"/>
    <w:rsid w:val="00704F17"/>
    <w:rsid w:val="00704F4E"/>
    <w:rsid w:val="00704F8B"/>
    <w:rsid w:val="007050F2"/>
    <w:rsid w:val="007052B1"/>
    <w:rsid w:val="0070533C"/>
    <w:rsid w:val="0070544D"/>
    <w:rsid w:val="007055F2"/>
    <w:rsid w:val="00705688"/>
    <w:rsid w:val="0070576E"/>
    <w:rsid w:val="0070596D"/>
    <w:rsid w:val="00705AF3"/>
    <w:rsid w:val="00705AFD"/>
    <w:rsid w:val="00705B8D"/>
    <w:rsid w:val="00705BE2"/>
    <w:rsid w:val="00705BFD"/>
    <w:rsid w:val="00705E24"/>
    <w:rsid w:val="00705FA2"/>
    <w:rsid w:val="00706584"/>
    <w:rsid w:val="00706637"/>
    <w:rsid w:val="0070678C"/>
    <w:rsid w:val="007068D1"/>
    <w:rsid w:val="00706919"/>
    <w:rsid w:val="00706A45"/>
    <w:rsid w:val="00706B63"/>
    <w:rsid w:val="00706B91"/>
    <w:rsid w:val="00706D1D"/>
    <w:rsid w:val="00706D43"/>
    <w:rsid w:val="00706D88"/>
    <w:rsid w:val="00706DEA"/>
    <w:rsid w:val="00706F02"/>
    <w:rsid w:val="00707022"/>
    <w:rsid w:val="00707188"/>
    <w:rsid w:val="00707252"/>
    <w:rsid w:val="00707444"/>
    <w:rsid w:val="00707650"/>
    <w:rsid w:val="007077D7"/>
    <w:rsid w:val="00707936"/>
    <w:rsid w:val="00707C7E"/>
    <w:rsid w:val="00707D2F"/>
    <w:rsid w:val="00707D64"/>
    <w:rsid w:val="00707EB8"/>
    <w:rsid w:val="00707FD1"/>
    <w:rsid w:val="007103ED"/>
    <w:rsid w:val="00710777"/>
    <w:rsid w:val="0071080C"/>
    <w:rsid w:val="0071083A"/>
    <w:rsid w:val="00710971"/>
    <w:rsid w:val="00710989"/>
    <w:rsid w:val="00710A8A"/>
    <w:rsid w:val="00710BDE"/>
    <w:rsid w:val="00710CE6"/>
    <w:rsid w:val="00710D02"/>
    <w:rsid w:val="00710ECB"/>
    <w:rsid w:val="00710EF6"/>
    <w:rsid w:val="00711334"/>
    <w:rsid w:val="007113C5"/>
    <w:rsid w:val="00711453"/>
    <w:rsid w:val="007115F0"/>
    <w:rsid w:val="0071187B"/>
    <w:rsid w:val="00711A44"/>
    <w:rsid w:val="00711C6D"/>
    <w:rsid w:val="00711E58"/>
    <w:rsid w:val="00711E78"/>
    <w:rsid w:val="00711FB7"/>
    <w:rsid w:val="007120A9"/>
    <w:rsid w:val="00712103"/>
    <w:rsid w:val="007121E2"/>
    <w:rsid w:val="00712249"/>
    <w:rsid w:val="00712336"/>
    <w:rsid w:val="007124A6"/>
    <w:rsid w:val="0071257F"/>
    <w:rsid w:val="00712A15"/>
    <w:rsid w:val="00712CCD"/>
    <w:rsid w:val="00712D24"/>
    <w:rsid w:val="00712DA8"/>
    <w:rsid w:val="00712E90"/>
    <w:rsid w:val="00713138"/>
    <w:rsid w:val="0071333F"/>
    <w:rsid w:val="00713379"/>
    <w:rsid w:val="00713613"/>
    <w:rsid w:val="00713711"/>
    <w:rsid w:val="0071375B"/>
    <w:rsid w:val="00713A1F"/>
    <w:rsid w:val="00713A46"/>
    <w:rsid w:val="00713AE1"/>
    <w:rsid w:val="00713C31"/>
    <w:rsid w:val="00713FCA"/>
    <w:rsid w:val="00714118"/>
    <w:rsid w:val="00714227"/>
    <w:rsid w:val="007142DD"/>
    <w:rsid w:val="0071431D"/>
    <w:rsid w:val="00714492"/>
    <w:rsid w:val="007145C6"/>
    <w:rsid w:val="007145CD"/>
    <w:rsid w:val="0071482B"/>
    <w:rsid w:val="007148E1"/>
    <w:rsid w:val="00714AAB"/>
    <w:rsid w:val="00714ABD"/>
    <w:rsid w:val="00714B5A"/>
    <w:rsid w:val="00714BA4"/>
    <w:rsid w:val="00714DD9"/>
    <w:rsid w:val="00714EB0"/>
    <w:rsid w:val="00714F3D"/>
    <w:rsid w:val="007150FB"/>
    <w:rsid w:val="00715121"/>
    <w:rsid w:val="0071527C"/>
    <w:rsid w:val="007153D0"/>
    <w:rsid w:val="00715502"/>
    <w:rsid w:val="00715545"/>
    <w:rsid w:val="00715673"/>
    <w:rsid w:val="007156F5"/>
    <w:rsid w:val="00715ACC"/>
    <w:rsid w:val="00715C22"/>
    <w:rsid w:val="00715C50"/>
    <w:rsid w:val="00715C53"/>
    <w:rsid w:val="00715D4C"/>
    <w:rsid w:val="00715D5C"/>
    <w:rsid w:val="00715F75"/>
    <w:rsid w:val="0071609E"/>
    <w:rsid w:val="007161E1"/>
    <w:rsid w:val="007163D4"/>
    <w:rsid w:val="007164F1"/>
    <w:rsid w:val="007167C3"/>
    <w:rsid w:val="0071691A"/>
    <w:rsid w:val="00716F23"/>
    <w:rsid w:val="00716F42"/>
    <w:rsid w:val="007172C8"/>
    <w:rsid w:val="007173CE"/>
    <w:rsid w:val="0071745F"/>
    <w:rsid w:val="007174F0"/>
    <w:rsid w:val="00717595"/>
    <w:rsid w:val="0071770D"/>
    <w:rsid w:val="00717932"/>
    <w:rsid w:val="00717BAA"/>
    <w:rsid w:val="00717C71"/>
    <w:rsid w:val="00717D3C"/>
    <w:rsid w:val="00717D73"/>
    <w:rsid w:val="0072001B"/>
    <w:rsid w:val="00720126"/>
    <w:rsid w:val="0072016E"/>
    <w:rsid w:val="0072037C"/>
    <w:rsid w:val="007203F5"/>
    <w:rsid w:val="0072072A"/>
    <w:rsid w:val="0072082B"/>
    <w:rsid w:val="0072094D"/>
    <w:rsid w:val="00720965"/>
    <w:rsid w:val="00720A6B"/>
    <w:rsid w:val="00720B17"/>
    <w:rsid w:val="00720EAB"/>
    <w:rsid w:val="00721222"/>
    <w:rsid w:val="00721294"/>
    <w:rsid w:val="0072132A"/>
    <w:rsid w:val="007214F4"/>
    <w:rsid w:val="007216DC"/>
    <w:rsid w:val="0072194B"/>
    <w:rsid w:val="007219A0"/>
    <w:rsid w:val="007219C0"/>
    <w:rsid w:val="00721A05"/>
    <w:rsid w:val="00721A9F"/>
    <w:rsid w:val="00721B07"/>
    <w:rsid w:val="00721BE3"/>
    <w:rsid w:val="00721CA5"/>
    <w:rsid w:val="00721F01"/>
    <w:rsid w:val="00722028"/>
    <w:rsid w:val="00722077"/>
    <w:rsid w:val="0072219B"/>
    <w:rsid w:val="00722243"/>
    <w:rsid w:val="00722409"/>
    <w:rsid w:val="0072251D"/>
    <w:rsid w:val="00722570"/>
    <w:rsid w:val="0072257D"/>
    <w:rsid w:val="0072274A"/>
    <w:rsid w:val="0072284F"/>
    <w:rsid w:val="0072296F"/>
    <w:rsid w:val="00722E52"/>
    <w:rsid w:val="00723087"/>
    <w:rsid w:val="007231B1"/>
    <w:rsid w:val="00723376"/>
    <w:rsid w:val="0072343E"/>
    <w:rsid w:val="007234AE"/>
    <w:rsid w:val="007234F4"/>
    <w:rsid w:val="0072371A"/>
    <w:rsid w:val="00723C42"/>
    <w:rsid w:val="00723DB9"/>
    <w:rsid w:val="00724128"/>
    <w:rsid w:val="007244E2"/>
    <w:rsid w:val="0072452E"/>
    <w:rsid w:val="00724585"/>
    <w:rsid w:val="00724835"/>
    <w:rsid w:val="007248C1"/>
    <w:rsid w:val="007248C5"/>
    <w:rsid w:val="00724C66"/>
    <w:rsid w:val="00724CBC"/>
    <w:rsid w:val="00724FA9"/>
    <w:rsid w:val="00724FAD"/>
    <w:rsid w:val="00725066"/>
    <w:rsid w:val="007251D7"/>
    <w:rsid w:val="007252DC"/>
    <w:rsid w:val="007256F5"/>
    <w:rsid w:val="0072596A"/>
    <w:rsid w:val="00725D3E"/>
    <w:rsid w:val="0072614D"/>
    <w:rsid w:val="0072632C"/>
    <w:rsid w:val="007263CA"/>
    <w:rsid w:val="00726467"/>
    <w:rsid w:val="0072653B"/>
    <w:rsid w:val="0072657B"/>
    <w:rsid w:val="007266D7"/>
    <w:rsid w:val="007267CD"/>
    <w:rsid w:val="00726AD2"/>
    <w:rsid w:val="00726B9B"/>
    <w:rsid w:val="0072711B"/>
    <w:rsid w:val="00727124"/>
    <w:rsid w:val="0072724A"/>
    <w:rsid w:val="007273D4"/>
    <w:rsid w:val="0072754D"/>
    <w:rsid w:val="007276D8"/>
    <w:rsid w:val="00727A84"/>
    <w:rsid w:val="00727BCA"/>
    <w:rsid w:val="00727D11"/>
    <w:rsid w:val="00727F42"/>
    <w:rsid w:val="007300E5"/>
    <w:rsid w:val="007302E5"/>
    <w:rsid w:val="00730375"/>
    <w:rsid w:val="00730538"/>
    <w:rsid w:val="0073057A"/>
    <w:rsid w:val="007306F5"/>
    <w:rsid w:val="0073088A"/>
    <w:rsid w:val="007308EC"/>
    <w:rsid w:val="00730909"/>
    <w:rsid w:val="00730994"/>
    <w:rsid w:val="00730A0D"/>
    <w:rsid w:val="00730A27"/>
    <w:rsid w:val="00730BB7"/>
    <w:rsid w:val="00730E90"/>
    <w:rsid w:val="00731081"/>
    <w:rsid w:val="007312C1"/>
    <w:rsid w:val="00731362"/>
    <w:rsid w:val="0073147B"/>
    <w:rsid w:val="007315DD"/>
    <w:rsid w:val="007315E2"/>
    <w:rsid w:val="007316AF"/>
    <w:rsid w:val="00731868"/>
    <w:rsid w:val="00731CCD"/>
    <w:rsid w:val="00731E4D"/>
    <w:rsid w:val="00731FC0"/>
    <w:rsid w:val="00732749"/>
    <w:rsid w:val="00732824"/>
    <w:rsid w:val="00732831"/>
    <w:rsid w:val="0073290F"/>
    <w:rsid w:val="00732916"/>
    <w:rsid w:val="00732959"/>
    <w:rsid w:val="00732B13"/>
    <w:rsid w:val="00732B21"/>
    <w:rsid w:val="00732C26"/>
    <w:rsid w:val="00732F60"/>
    <w:rsid w:val="00733123"/>
    <w:rsid w:val="0073313A"/>
    <w:rsid w:val="00733470"/>
    <w:rsid w:val="00733474"/>
    <w:rsid w:val="0073349C"/>
    <w:rsid w:val="0073361F"/>
    <w:rsid w:val="00733626"/>
    <w:rsid w:val="007338A4"/>
    <w:rsid w:val="00733A3E"/>
    <w:rsid w:val="00733CE0"/>
    <w:rsid w:val="00733CF3"/>
    <w:rsid w:val="00733D2C"/>
    <w:rsid w:val="00733D79"/>
    <w:rsid w:val="00733DD5"/>
    <w:rsid w:val="00733DF2"/>
    <w:rsid w:val="00733E3F"/>
    <w:rsid w:val="00733E7F"/>
    <w:rsid w:val="00733FFB"/>
    <w:rsid w:val="0073408B"/>
    <w:rsid w:val="007340B3"/>
    <w:rsid w:val="0073442E"/>
    <w:rsid w:val="00734460"/>
    <w:rsid w:val="007347EA"/>
    <w:rsid w:val="00734C61"/>
    <w:rsid w:val="00734D17"/>
    <w:rsid w:val="00735019"/>
    <w:rsid w:val="00735417"/>
    <w:rsid w:val="0073543A"/>
    <w:rsid w:val="00735463"/>
    <w:rsid w:val="00735521"/>
    <w:rsid w:val="007356D6"/>
    <w:rsid w:val="00735759"/>
    <w:rsid w:val="007359E0"/>
    <w:rsid w:val="00735B15"/>
    <w:rsid w:val="00735D56"/>
    <w:rsid w:val="00735F8E"/>
    <w:rsid w:val="00735FD3"/>
    <w:rsid w:val="00736281"/>
    <w:rsid w:val="00736621"/>
    <w:rsid w:val="007366F0"/>
    <w:rsid w:val="0073672F"/>
    <w:rsid w:val="0073683B"/>
    <w:rsid w:val="007368CC"/>
    <w:rsid w:val="00736AD8"/>
    <w:rsid w:val="00736EEB"/>
    <w:rsid w:val="00736F87"/>
    <w:rsid w:val="00737311"/>
    <w:rsid w:val="00737477"/>
    <w:rsid w:val="007375D1"/>
    <w:rsid w:val="00737657"/>
    <w:rsid w:val="00737698"/>
    <w:rsid w:val="00737829"/>
    <w:rsid w:val="00737850"/>
    <w:rsid w:val="0073786B"/>
    <w:rsid w:val="00737A6D"/>
    <w:rsid w:val="00737CDE"/>
    <w:rsid w:val="00737E33"/>
    <w:rsid w:val="00737E91"/>
    <w:rsid w:val="007400F6"/>
    <w:rsid w:val="00740339"/>
    <w:rsid w:val="00740358"/>
    <w:rsid w:val="00740515"/>
    <w:rsid w:val="0074057C"/>
    <w:rsid w:val="00740D39"/>
    <w:rsid w:val="00740DAD"/>
    <w:rsid w:val="00740E54"/>
    <w:rsid w:val="00740EE6"/>
    <w:rsid w:val="00740FA7"/>
    <w:rsid w:val="0074120C"/>
    <w:rsid w:val="0074165A"/>
    <w:rsid w:val="00741971"/>
    <w:rsid w:val="00741AB1"/>
    <w:rsid w:val="00741B99"/>
    <w:rsid w:val="00741E60"/>
    <w:rsid w:val="00741E89"/>
    <w:rsid w:val="00741EEA"/>
    <w:rsid w:val="00742023"/>
    <w:rsid w:val="0074292F"/>
    <w:rsid w:val="00742B37"/>
    <w:rsid w:val="00742EE7"/>
    <w:rsid w:val="00742FC3"/>
    <w:rsid w:val="00743157"/>
    <w:rsid w:val="00743220"/>
    <w:rsid w:val="00743259"/>
    <w:rsid w:val="00743341"/>
    <w:rsid w:val="007435D1"/>
    <w:rsid w:val="007436D9"/>
    <w:rsid w:val="007437B2"/>
    <w:rsid w:val="0074389C"/>
    <w:rsid w:val="007442E3"/>
    <w:rsid w:val="00744599"/>
    <w:rsid w:val="0074469E"/>
    <w:rsid w:val="007446DA"/>
    <w:rsid w:val="0074488E"/>
    <w:rsid w:val="00744894"/>
    <w:rsid w:val="00744A4C"/>
    <w:rsid w:val="00744A6E"/>
    <w:rsid w:val="00744AA7"/>
    <w:rsid w:val="00744B3B"/>
    <w:rsid w:val="00744C7E"/>
    <w:rsid w:val="00744DC3"/>
    <w:rsid w:val="00744E35"/>
    <w:rsid w:val="00745234"/>
    <w:rsid w:val="007452C6"/>
    <w:rsid w:val="0074559D"/>
    <w:rsid w:val="0074568B"/>
    <w:rsid w:val="00745919"/>
    <w:rsid w:val="00745DE0"/>
    <w:rsid w:val="00745F0E"/>
    <w:rsid w:val="007461E8"/>
    <w:rsid w:val="0074623D"/>
    <w:rsid w:val="00746262"/>
    <w:rsid w:val="0074634E"/>
    <w:rsid w:val="007463D4"/>
    <w:rsid w:val="007463EA"/>
    <w:rsid w:val="0074650B"/>
    <w:rsid w:val="00746641"/>
    <w:rsid w:val="00746693"/>
    <w:rsid w:val="00746778"/>
    <w:rsid w:val="00746834"/>
    <w:rsid w:val="00746B4C"/>
    <w:rsid w:val="00746CC2"/>
    <w:rsid w:val="00746D2F"/>
    <w:rsid w:val="00747127"/>
    <w:rsid w:val="0074720F"/>
    <w:rsid w:val="00747298"/>
    <w:rsid w:val="0074731D"/>
    <w:rsid w:val="0074732F"/>
    <w:rsid w:val="00747350"/>
    <w:rsid w:val="00747525"/>
    <w:rsid w:val="007475AF"/>
    <w:rsid w:val="007478A5"/>
    <w:rsid w:val="00747A26"/>
    <w:rsid w:val="00747A33"/>
    <w:rsid w:val="00747A34"/>
    <w:rsid w:val="00747DAD"/>
    <w:rsid w:val="00747DF7"/>
    <w:rsid w:val="00747E67"/>
    <w:rsid w:val="00747EEA"/>
    <w:rsid w:val="00750290"/>
    <w:rsid w:val="007502C5"/>
    <w:rsid w:val="007502E1"/>
    <w:rsid w:val="00750359"/>
    <w:rsid w:val="00750374"/>
    <w:rsid w:val="007505D9"/>
    <w:rsid w:val="00750859"/>
    <w:rsid w:val="0075099D"/>
    <w:rsid w:val="00750B68"/>
    <w:rsid w:val="00750DE5"/>
    <w:rsid w:val="00750F4A"/>
    <w:rsid w:val="0075107B"/>
    <w:rsid w:val="00751111"/>
    <w:rsid w:val="00751238"/>
    <w:rsid w:val="00751280"/>
    <w:rsid w:val="00751412"/>
    <w:rsid w:val="00751540"/>
    <w:rsid w:val="00751613"/>
    <w:rsid w:val="0075198B"/>
    <w:rsid w:val="00751A6F"/>
    <w:rsid w:val="00751E28"/>
    <w:rsid w:val="00751EFC"/>
    <w:rsid w:val="00752120"/>
    <w:rsid w:val="0075227A"/>
    <w:rsid w:val="00752316"/>
    <w:rsid w:val="007523D3"/>
    <w:rsid w:val="0075284A"/>
    <w:rsid w:val="0075292C"/>
    <w:rsid w:val="00752A60"/>
    <w:rsid w:val="00752BC0"/>
    <w:rsid w:val="00752C63"/>
    <w:rsid w:val="00752D19"/>
    <w:rsid w:val="00752E3D"/>
    <w:rsid w:val="00752F91"/>
    <w:rsid w:val="007531AB"/>
    <w:rsid w:val="00753274"/>
    <w:rsid w:val="0075379A"/>
    <w:rsid w:val="00753875"/>
    <w:rsid w:val="00753921"/>
    <w:rsid w:val="00753966"/>
    <w:rsid w:val="00753A7F"/>
    <w:rsid w:val="00753BBD"/>
    <w:rsid w:val="00753C1B"/>
    <w:rsid w:val="00753FD4"/>
    <w:rsid w:val="00754615"/>
    <w:rsid w:val="0075463E"/>
    <w:rsid w:val="00754E5C"/>
    <w:rsid w:val="00755201"/>
    <w:rsid w:val="00755C95"/>
    <w:rsid w:val="00755CA8"/>
    <w:rsid w:val="00755EEA"/>
    <w:rsid w:val="00756117"/>
    <w:rsid w:val="00756369"/>
    <w:rsid w:val="00756628"/>
    <w:rsid w:val="0075677A"/>
    <w:rsid w:val="00756845"/>
    <w:rsid w:val="00756A53"/>
    <w:rsid w:val="00756E1D"/>
    <w:rsid w:val="00757029"/>
    <w:rsid w:val="007570D9"/>
    <w:rsid w:val="00757113"/>
    <w:rsid w:val="00757150"/>
    <w:rsid w:val="007574F9"/>
    <w:rsid w:val="00757881"/>
    <w:rsid w:val="00757B1F"/>
    <w:rsid w:val="00757D70"/>
    <w:rsid w:val="00757FF8"/>
    <w:rsid w:val="007602C5"/>
    <w:rsid w:val="007607AB"/>
    <w:rsid w:val="00760B1A"/>
    <w:rsid w:val="00760B9A"/>
    <w:rsid w:val="00760C86"/>
    <w:rsid w:val="00760CE9"/>
    <w:rsid w:val="00760D85"/>
    <w:rsid w:val="00760DA7"/>
    <w:rsid w:val="007613B4"/>
    <w:rsid w:val="007613C9"/>
    <w:rsid w:val="007614AE"/>
    <w:rsid w:val="007615ED"/>
    <w:rsid w:val="007617F6"/>
    <w:rsid w:val="00761837"/>
    <w:rsid w:val="00761A0B"/>
    <w:rsid w:val="00761AD6"/>
    <w:rsid w:val="007621D5"/>
    <w:rsid w:val="00762232"/>
    <w:rsid w:val="007626C0"/>
    <w:rsid w:val="007627A2"/>
    <w:rsid w:val="00762C06"/>
    <w:rsid w:val="00762D34"/>
    <w:rsid w:val="00762DD6"/>
    <w:rsid w:val="00763086"/>
    <w:rsid w:val="00763150"/>
    <w:rsid w:val="007632E5"/>
    <w:rsid w:val="007634B2"/>
    <w:rsid w:val="0076351B"/>
    <w:rsid w:val="00763821"/>
    <w:rsid w:val="0076387D"/>
    <w:rsid w:val="00763951"/>
    <w:rsid w:val="00763A40"/>
    <w:rsid w:val="00763A8D"/>
    <w:rsid w:val="00763C2F"/>
    <w:rsid w:val="00763E40"/>
    <w:rsid w:val="00763EAE"/>
    <w:rsid w:val="00764005"/>
    <w:rsid w:val="00764085"/>
    <w:rsid w:val="00764114"/>
    <w:rsid w:val="007645F2"/>
    <w:rsid w:val="00764781"/>
    <w:rsid w:val="00764B70"/>
    <w:rsid w:val="00764F7B"/>
    <w:rsid w:val="007650B8"/>
    <w:rsid w:val="007655F6"/>
    <w:rsid w:val="007656D9"/>
    <w:rsid w:val="007659DD"/>
    <w:rsid w:val="00765A41"/>
    <w:rsid w:val="00765C0B"/>
    <w:rsid w:val="00765D59"/>
    <w:rsid w:val="00765E0B"/>
    <w:rsid w:val="00766165"/>
    <w:rsid w:val="00766295"/>
    <w:rsid w:val="007663B5"/>
    <w:rsid w:val="0076662C"/>
    <w:rsid w:val="007668AB"/>
    <w:rsid w:val="0076693A"/>
    <w:rsid w:val="00766C69"/>
    <w:rsid w:val="00766D13"/>
    <w:rsid w:val="00766DCE"/>
    <w:rsid w:val="00766E87"/>
    <w:rsid w:val="00766FAD"/>
    <w:rsid w:val="00767296"/>
    <w:rsid w:val="0076733B"/>
    <w:rsid w:val="00767AC6"/>
    <w:rsid w:val="00767E9B"/>
    <w:rsid w:val="00767FED"/>
    <w:rsid w:val="00770013"/>
    <w:rsid w:val="00770023"/>
    <w:rsid w:val="0077006E"/>
    <w:rsid w:val="00770147"/>
    <w:rsid w:val="00770464"/>
    <w:rsid w:val="00770503"/>
    <w:rsid w:val="007705B8"/>
    <w:rsid w:val="007705CF"/>
    <w:rsid w:val="00770714"/>
    <w:rsid w:val="00770892"/>
    <w:rsid w:val="007709C8"/>
    <w:rsid w:val="00770A5D"/>
    <w:rsid w:val="0077108F"/>
    <w:rsid w:val="007711CE"/>
    <w:rsid w:val="0077121D"/>
    <w:rsid w:val="0077123E"/>
    <w:rsid w:val="00771502"/>
    <w:rsid w:val="007715C2"/>
    <w:rsid w:val="00771616"/>
    <w:rsid w:val="00771645"/>
    <w:rsid w:val="0077164D"/>
    <w:rsid w:val="00771A6A"/>
    <w:rsid w:val="00771AA3"/>
    <w:rsid w:val="00771D81"/>
    <w:rsid w:val="00771EF6"/>
    <w:rsid w:val="00771F13"/>
    <w:rsid w:val="00771FA1"/>
    <w:rsid w:val="00772197"/>
    <w:rsid w:val="007722F4"/>
    <w:rsid w:val="00772332"/>
    <w:rsid w:val="00772351"/>
    <w:rsid w:val="00772414"/>
    <w:rsid w:val="00772525"/>
    <w:rsid w:val="00772566"/>
    <w:rsid w:val="007727F2"/>
    <w:rsid w:val="00772CB1"/>
    <w:rsid w:val="00772D94"/>
    <w:rsid w:val="00772DF5"/>
    <w:rsid w:val="007730E2"/>
    <w:rsid w:val="00773103"/>
    <w:rsid w:val="00773229"/>
    <w:rsid w:val="00773260"/>
    <w:rsid w:val="00773331"/>
    <w:rsid w:val="007734C3"/>
    <w:rsid w:val="00773519"/>
    <w:rsid w:val="00773674"/>
    <w:rsid w:val="00773789"/>
    <w:rsid w:val="0077385F"/>
    <w:rsid w:val="00773969"/>
    <w:rsid w:val="00773DA0"/>
    <w:rsid w:val="007740E6"/>
    <w:rsid w:val="007741FA"/>
    <w:rsid w:val="0077425A"/>
    <w:rsid w:val="007746AE"/>
    <w:rsid w:val="00774A2E"/>
    <w:rsid w:val="00774B3E"/>
    <w:rsid w:val="00774CD0"/>
    <w:rsid w:val="00774EFB"/>
    <w:rsid w:val="00774FF9"/>
    <w:rsid w:val="0077505F"/>
    <w:rsid w:val="007750B7"/>
    <w:rsid w:val="00775150"/>
    <w:rsid w:val="007751AF"/>
    <w:rsid w:val="0077537E"/>
    <w:rsid w:val="00775437"/>
    <w:rsid w:val="00775625"/>
    <w:rsid w:val="007757BA"/>
    <w:rsid w:val="007757DB"/>
    <w:rsid w:val="00775A64"/>
    <w:rsid w:val="0077605C"/>
    <w:rsid w:val="00776088"/>
    <w:rsid w:val="0077614D"/>
    <w:rsid w:val="007761A1"/>
    <w:rsid w:val="00776217"/>
    <w:rsid w:val="0077644A"/>
    <w:rsid w:val="007767F3"/>
    <w:rsid w:val="007767FB"/>
    <w:rsid w:val="00776810"/>
    <w:rsid w:val="007768B6"/>
    <w:rsid w:val="007768D4"/>
    <w:rsid w:val="0077690F"/>
    <w:rsid w:val="0077692C"/>
    <w:rsid w:val="00776B2B"/>
    <w:rsid w:val="00776B3F"/>
    <w:rsid w:val="00776C48"/>
    <w:rsid w:val="00776CED"/>
    <w:rsid w:val="00776D1A"/>
    <w:rsid w:val="00776D4A"/>
    <w:rsid w:val="00777544"/>
    <w:rsid w:val="0077771A"/>
    <w:rsid w:val="007778D3"/>
    <w:rsid w:val="00777CE0"/>
    <w:rsid w:val="00777E65"/>
    <w:rsid w:val="00780628"/>
    <w:rsid w:val="0078099C"/>
    <w:rsid w:val="007809F8"/>
    <w:rsid w:val="00780A38"/>
    <w:rsid w:val="00780B8F"/>
    <w:rsid w:val="00780C6E"/>
    <w:rsid w:val="00781180"/>
    <w:rsid w:val="0078124F"/>
    <w:rsid w:val="00781381"/>
    <w:rsid w:val="007813D0"/>
    <w:rsid w:val="00781405"/>
    <w:rsid w:val="007814AB"/>
    <w:rsid w:val="0078151C"/>
    <w:rsid w:val="0078158D"/>
    <w:rsid w:val="007817E8"/>
    <w:rsid w:val="00781925"/>
    <w:rsid w:val="00781963"/>
    <w:rsid w:val="007819A8"/>
    <w:rsid w:val="00781B63"/>
    <w:rsid w:val="00781C5C"/>
    <w:rsid w:val="00781C7A"/>
    <w:rsid w:val="00781E11"/>
    <w:rsid w:val="00782280"/>
    <w:rsid w:val="0078238A"/>
    <w:rsid w:val="007826BB"/>
    <w:rsid w:val="0078280D"/>
    <w:rsid w:val="007828FE"/>
    <w:rsid w:val="0078290C"/>
    <w:rsid w:val="0078296D"/>
    <w:rsid w:val="00782C48"/>
    <w:rsid w:val="00782CDB"/>
    <w:rsid w:val="00782D59"/>
    <w:rsid w:val="00782DE2"/>
    <w:rsid w:val="00782EE1"/>
    <w:rsid w:val="00782F51"/>
    <w:rsid w:val="00782F6B"/>
    <w:rsid w:val="00782FDD"/>
    <w:rsid w:val="0078325F"/>
    <w:rsid w:val="007832AE"/>
    <w:rsid w:val="00783720"/>
    <w:rsid w:val="0078384F"/>
    <w:rsid w:val="007838AF"/>
    <w:rsid w:val="00783B72"/>
    <w:rsid w:val="00783C8B"/>
    <w:rsid w:val="00783D2B"/>
    <w:rsid w:val="00783D7E"/>
    <w:rsid w:val="00783EC0"/>
    <w:rsid w:val="00784320"/>
    <w:rsid w:val="0078457A"/>
    <w:rsid w:val="0078461E"/>
    <w:rsid w:val="00784621"/>
    <w:rsid w:val="00784652"/>
    <w:rsid w:val="00784715"/>
    <w:rsid w:val="007849CA"/>
    <w:rsid w:val="00784A46"/>
    <w:rsid w:val="00784E0B"/>
    <w:rsid w:val="00784F04"/>
    <w:rsid w:val="0078507C"/>
    <w:rsid w:val="0078522F"/>
    <w:rsid w:val="00785378"/>
    <w:rsid w:val="00785394"/>
    <w:rsid w:val="007853AB"/>
    <w:rsid w:val="007853B0"/>
    <w:rsid w:val="007854B3"/>
    <w:rsid w:val="007854F5"/>
    <w:rsid w:val="007856AB"/>
    <w:rsid w:val="007857B1"/>
    <w:rsid w:val="0078597C"/>
    <w:rsid w:val="00785B69"/>
    <w:rsid w:val="00785D36"/>
    <w:rsid w:val="00785FAF"/>
    <w:rsid w:val="007861C1"/>
    <w:rsid w:val="0078628E"/>
    <w:rsid w:val="007862A4"/>
    <w:rsid w:val="00786539"/>
    <w:rsid w:val="007866AA"/>
    <w:rsid w:val="00786747"/>
    <w:rsid w:val="00786A58"/>
    <w:rsid w:val="00786AE9"/>
    <w:rsid w:val="00786B3A"/>
    <w:rsid w:val="00786B94"/>
    <w:rsid w:val="00786CF0"/>
    <w:rsid w:val="00786D67"/>
    <w:rsid w:val="00787071"/>
    <w:rsid w:val="007870AD"/>
    <w:rsid w:val="007870E6"/>
    <w:rsid w:val="007871F6"/>
    <w:rsid w:val="00787243"/>
    <w:rsid w:val="00787366"/>
    <w:rsid w:val="00787395"/>
    <w:rsid w:val="00787529"/>
    <w:rsid w:val="0078785B"/>
    <w:rsid w:val="007878A2"/>
    <w:rsid w:val="007878CE"/>
    <w:rsid w:val="00787AC5"/>
    <w:rsid w:val="00787B49"/>
    <w:rsid w:val="00787B4C"/>
    <w:rsid w:val="00787D16"/>
    <w:rsid w:val="00787F18"/>
    <w:rsid w:val="007900D3"/>
    <w:rsid w:val="00790279"/>
    <w:rsid w:val="00790327"/>
    <w:rsid w:val="007903CE"/>
    <w:rsid w:val="00790760"/>
    <w:rsid w:val="00790823"/>
    <w:rsid w:val="00790B97"/>
    <w:rsid w:val="00790C00"/>
    <w:rsid w:val="00790F7D"/>
    <w:rsid w:val="007912D0"/>
    <w:rsid w:val="00791594"/>
    <w:rsid w:val="007917B5"/>
    <w:rsid w:val="00791D91"/>
    <w:rsid w:val="00791EEE"/>
    <w:rsid w:val="00791F0E"/>
    <w:rsid w:val="00791FC3"/>
    <w:rsid w:val="00792123"/>
    <w:rsid w:val="0079272E"/>
    <w:rsid w:val="007927AB"/>
    <w:rsid w:val="00792B56"/>
    <w:rsid w:val="00792E29"/>
    <w:rsid w:val="00792FFB"/>
    <w:rsid w:val="00793189"/>
    <w:rsid w:val="00793248"/>
    <w:rsid w:val="007932EF"/>
    <w:rsid w:val="0079348D"/>
    <w:rsid w:val="00793662"/>
    <w:rsid w:val="00793809"/>
    <w:rsid w:val="0079392D"/>
    <w:rsid w:val="00793A8E"/>
    <w:rsid w:val="00793B2D"/>
    <w:rsid w:val="007940B7"/>
    <w:rsid w:val="00794118"/>
    <w:rsid w:val="00794221"/>
    <w:rsid w:val="0079429B"/>
    <w:rsid w:val="007943A4"/>
    <w:rsid w:val="007943ED"/>
    <w:rsid w:val="00794407"/>
    <w:rsid w:val="0079444B"/>
    <w:rsid w:val="00794472"/>
    <w:rsid w:val="00794646"/>
    <w:rsid w:val="007946C0"/>
    <w:rsid w:val="007946DE"/>
    <w:rsid w:val="0079473F"/>
    <w:rsid w:val="007947F3"/>
    <w:rsid w:val="00794AC7"/>
    <w:rsid w:val="00794AF5"/>
    <w:rsid w:val="00794C85"/>
    <w:rsid w:val="00794E61"/>
    <w:rsid w:val="00795107"/>
    <w:rsid w:val="00795189"/>
    <w:rsid w:val="007954C3"/>
    <w:rsid w:val="007954CE"/>
    <w:rsid w:val="007956A6"/>
    <w:rsid w:val="00795731"/>
    <w:rsid w:val="00795738"/>
    <w:rsid w:val="007957AE"/>
    <w:rsid w:val="007959D6"/>
    <w:rsid w:val="007959F4"/>
    <w:rsid w:val="00795CB4"/>
    <w:rsid w:val="00795CEC"/>
    <w:rsid w:val="0079612D"/>
    <w:rsid w:val="007961FC"/>
    <w:rsid w:val="00796229"/>
    <w:rsid w:val="0079623E"/>
    <w:rsid w:val="007962E0"/>
    <w:rsid w:val="007963FF"/>
    <w:rsid w:val="0079648D"/>
    <w:rsid w:val="00796500"/>
    <w:rsid w:val="007965F0"/>
    <w:rsid w:val="00796910"/>
    <w:rsid w:val="0079693B"/>
    <w:rsid w:val="007969E1"/>
    <w:rsid w:val="00796E5C"/>
    <w:rsid w:val="00796FC4"/>
    <w:rsid w:val="00797204"/>
    <w:rsid w:val="00797277"/>
    <w:rsid w:val="007973BB"/>
    <w:rsid w:val="007977FD"/>
    <w:rsid w:val="0079780A"/>
    <w:rsid w:val="00797989"/>
    <w:rsid w:val="00797B37"/>
    <w:rsid w:val="00797BDD"/>
    <w:rsid w:val="00797EB3"/>
    <w:rsid w:val="007A04C9"/>
    <w:rsid w:val="007A055A"/>
    <w:rsid w:val="007A0563"/>
    <w:rsid w:val="007A06E3"/>
    <w:rsid w:val="007A0737"/>
    <w:rsid w:val="007A07B1"/>
    <w:rsid w:val="007A0AE3"/>
    <w:rsid w:val="007A100A"/>
    <w:rsid w:val="007A113E"/>
    <w:rsid w:val="007A1276"/>
    <w:rsid w:val="007A1389"/>
    <w:rsid w:val="007A148D"/>
    <w:rsid w:val="007A14E1"/>
    <w:rsid w:val="007A1757"/>
    <w:rsid w:val="007A17CB"/>
    <w:rsid w:val="007A18B1"/>
    <w:rsid w:val="007A1BB2"/>
    <w:rsid w:val="007A1DF6"/>
    <w:rsid w:val="007A1F42"/>
    <w:rsid w:val="007A20A8"/>
    <w:rsid w:val="007A2200"/>
    <w:rsid w:val="007A2220"/>
    <w:rsid w:val="007A2287"/>
    <w:rsid w:val="007A2289"/>
    <w:rsid w:val="007A23D6"/>
    <w:rsid w:val="007A25AB"/>
    <w:rsid w:val="007A27D4"/>
    <w:rsid w:val="007A2955"/>
    <w:rsid w:val="007A29A0"/>
    <w:rsid w:val="007A2A1D"/>
    <w:rsid w:val="007A2CC6"/>
    <w:rsid w:val="007A2EC6"/>
    <w:rsid w:val="007A2F9F"/>
    <w:rsid w:val="007A3072"/>
    <w:rsid w:val="007A318D"/>
    <w:rsid w:val="007A31AA"/>
    <w:rsid w:val="007A31CE"/>
    <w:rsid w:val="007A3223"/>
    <w:rsid w:val="007A35E0"/>
    <w:rsid w:val="007A381E"/>
    <w:rsid w:val="007A39F5"/>
    <w:rsid w:val="007A3AD3"/>
    <w:rsid w:val="007A3AEC"/>
    <w:rsid w:val="007A3BB3"/>
    <w:rsid w:val="007A3D4F"/>
    <w:rsid w:val="007A3F2A"/>
    <w:rsid w:val="007A3F8F"/>
    <w:rsid w:val="007A40A8"/>
    <w:rsid w:val="007A41C3"/>
    <w:rsid w:val="007A425A"/>
    <w:rsid w:val="007A43B7"/>
    <w:rsid w:val="007A4443"/>
    <w:rsid w:val="007A470A"/>
    <w:rsid w:val="007A471D"/>
    <w:rsid w:val="007A4A03"/>
    <w:rsid w:val="007A4A61"/>
    <w:rsid w:val="007A4B52"/>
    <w:rsid w:val="007A4BC8"/>
    <w:rsid w:val="007A4DA5"/>
    <w:rsid w:val="007A4E62"/>
    <w:rsid w:val="007A51BC"/>
    <w:rsid w:val="007A5250"/>
    <w:rsid w:val="007A528E"/>
    <w:rsid w:val="007A54B7"/>
    <w:rsid w:val="007A55C2"/>
    <w:rsid w:val="007A5745"/>
    <w:rsid w:val="007A59B5"/>
    <w:rsid w:val="007A5BD3"/>
    <w:rsid w:val="007A5C7A"/>
    <w:rsid w:val="007A5E58"/>
    <w:rsid w:val="007A5F69"/>
    <w:rsid w:val="007A601F"/>
    <w:rsid w:val="007A60AB"/>
    <w:rsid w:val="007A6208"/>
    <w:rsid w:val="007A6244"/>
    <w:rsid w:val="007A63E8"/>
    <w:rsid w:val="007A645B"/>
    <w:rsid w:val="007A64A4"/>
    <w:rsid w:val="007A654A"/>
    <w:rsid w:val="007A65DE"/>
    <w:rsid w:val="007A66A6"/>
    <w:rsid w:val="007A6883"/>
    <w:rsid w:val="007A69FD"/>
    <w:rsid w:val="007A6DC7"/>
    <w:rsid w:val="007A6F71"/>
    <w:rsid w:val="007A7000"/>
    <w:rsid w:val="007A7192"/>
    <w:rsid w:val="007A72B6"/>
    <w:rsid w:val="007A73A5"/>
    <w:rsid w:val="007A760B"/>
    <w:rsid w:val="007A766A"/>
    <w:rsid w:val="007A766C"/>
    <w:rsid w:val="007A78ED"/>
    <w:rsid w:val="007A7961"/>
    <w:rsid w:val="007A79DE"/>
    <w:rsid w:val="007A7B69"/>
    <w:rsid w:val="007A7C5A"/>
    <w:rsid w:val="007B0841"/>
    <w:rsid w:val="007B09E4"/>
    <w:rsid w:val="007B0DD3"/>
    <w:rsid w:val="007B0E04"/>
    <w:rsid w:val="007B123A"/>
    <w:rsid w:val="007B1333"/>
    <w:rsid w:val="007B17B3"/>
    <w:rsid w:val="007B1E4F"/>
    <w:rsid w:val="007B1F34"/>
    <w:rsid w:val="007B21BF"/>
    <w:rsid w:val="007B21EF"/>
    <w:rsid w:val="007B241F"/>
    <w:rsid w:val="007B27A1"/>
    <w:rsid w:val="007B27A2"/>
    <w:rsid w:val="007B27D4"/>
    <w:rsid w:val="007B27EA"/>
    <w:rsid w:val="007B2C61"/>
    <w:rsid w:val="007B2CDD"/>
    <w:rsid w:val="007B2D5C"/>
    <w:rsid w:val="007B2D91"/>
    <w:rsid w:val="007B2DD3"/>
    <w:rsid w:val="007B2F61"/>
    <w:rsid w:val="007B315C"/>
    <w:rsid w:val="007B3224"/>
    <w:rsid w:val="007B32E9"/>
    <w:rsid w:val="007B39A6"/>
    <w:rsid w:val="007B3C37"/>
    <w:rsid w:val="007B3D97"/>
    <w:rsid w:val="007B3EDB"/>
    <w:rsid w:val="007B41C0"/>
    <w:rsid w:val="007B4289"/>
    <w:rsid w:val="007B4476"/>
    <w:rsid w:val="007B44EA"/>
    <w:rsid w:val="007B4719"/>
    <w:rsid w:val="007B49FE"/>
    <w:rsid w:val="007B4B48"/>
    <w:rsid w:val="007B4D15"/>
    <w:rsid w:val="007B4DA4"/>
    <w:rsid w:val="007B4E26"/>
    <w:rsid w:val="007B4EF7"/>
    <w:rsid w:val="007B543E"/>
    <w:rsid w:val="007B5563"/>
    <w:rsid w:val="007B5667"/>
    <w:rsid w:val="007B59AD"/>
    <w:rsid w:val="007B59B9"/>
    <w:rsid w:val="007B5AEB"/>
    <w:rsid w:val="007B5D55"/>
    <w:rsid w:val="007B5E1E"/>
    <w:rsid w:val="007B5E51"/>
    <w:rsid w:val="007B61A3"/>
    <w:rsid w:val="007B6361"/>
    <w:rsid w:val="007B645D"/>
    <w:rsid w:val="007B673E"/>
    <w:rsid w:val="007B67A2"/>
    <w:rsid w:val="007B67D9"/>
    <w:rsid w:val="007B6B52"/>
    <w:rsid w:val="007B6BEF"/>
    <w:rsid w:val="007B6CBE"/>
    <w:rsid w:val="007B6D15"/>
    <w:rsid w:val="007B6E83"/>
    <w:rsid w:val="007B6F36"/>
    <w:rsid w:val="007B6FBA"/>
    <w:rsid w:val="007B7043"/>
    <w:rsid w:val="007B735B"/>
    <w:rsid w:val="007B736C"/>
    <w:rsid w:val="007B73E5"/>
    <w:rsid w:val="007B7407"/>
    <w:rsid w:val="007B747D"/>
    <w:rsid w:val="007B753D"/>
    <w:rsid w:val="007B76ED"/>
    <w:rsid w:val="007B792A"/>
    <w:rsid w:val="007B7933"/>
    <w:rsid w:val="007B798B"/>
    <w:rsid w:val="007B7AAD"/>
    <w:rsid w:val="007B7E72"/>
    <w:rsid w:val="007B7EF2"/>
    <w:rsid w:val="007B7F37"/>
    <w:rsid w:val="007B7FDD"/>
    <w:rsid w:val="007C0031"/>
    <w:rsid w:val="007C00AC"/>
    <w:rsid w:val="007C0330"/>
    <w:rsid w:val="007C035C"/>
    <w:rsid w:val="007C03E2"/>
    <w:rsid w:val="007C051D"/>
    <w:rsid w:val="007C060E"/>
    <w:rsid w:val="007C07D1"/>
    <w:rsid w:val="007C0913"/>
    <w:rsid w:val="007C093B"/>
    <w:rsid w:val="007C0A4B"/>
    <w:rsid w:val="007C0A51"/>
    <w:rsid w:val="007C0B59"/>
    <w:rsid w:val="007C0BE0"/>
    <w:rsid w:val="007C1261"/>
    <w:rsid w:val="007C18EA"/>
    <w:rsid w:val="007C1AA5"/>
    <w:rsid w:val="007C1EC9"/>
    <w:rsid w:val="007C1F06"/>
    <w:rsid w:val="007C20A3"/>
    <w:rsid w:val="007C23FA"/>
    <w:rsid w:val="007C25B3"/>
    <w:rsid w:val="007C271C"/>
    <w:rsid w:val="007C2A0E"/>
    <w:rsid w:val="007C2A8E"/>
    <w:rsid w:val="007C2A9A"/>
    <w:rsid w:val="007C2E22"/>
    <w:rsid w:val="007C3254"/>
    <w:rsid w:val="007C3451"/>
    <w:rsid w:val="007C3555"/>
    <w:rsid w:val="007C3584"/>
    <w:rsid w:val="007C35F4"/>
    <w:rsid w:val="007C36CE"/>
    <w:rsid w:val="007C37B6"/>
    <w:rsid w:val="007C3971"/>
    <w:rsid w:val="007C3A3E"/>
    <w:rsid w:val="007C3AA1"/>
    <w:rsid w:val="007C3B76"/>
    <w:rsid w:val="007C3D6B"/>
    <w:rsid w:val="007C4055"/>
    <w:rsid w:val="007C4152"/>
    <w:rsid w:val="007C41F7"/>
    <w:rsid w:val="007C42B2"/>
    <w:rsid w:val="007C4365"/>
    <w:rsid w:val="007C43EC"/>
    <w:rsid w:val="007C43FD"/>
    <w:rsid w:val="007C4504"/>
    <w:rsid w:val="007C45BC"/>
    <w:rsid w:val="007C467B"/>
    <w:rsid w:val="007C46FD"/>
    <w:rsid w:val="007C4C48"/>
    <w:rsid w:val="007C4D3D"/>
    <w:rsid w:val="007C4EBB"/>
    <w:rsid w:val="007C503B"/>
    <w:rsid w:val="007C5051"/>
    <w:rsid w:val="007C5284"/>
    <w:rsid w:val="007C549E"/>
    <w:rsid w:val="007C54E8"/>
    <w:rsid w:val="007C555D"/>
    <w:rsid w:val="007C55FC"/>
    <w:rsid w:val="007C575D"/>
    <w:rsid w:val="007C598B"/>
    <w:rsid w:val="007C5994"/>
    <w:rsid w:val="007C5A53"/>
    <w:rsid w:val="007C5BF0"/>
    <w:rsid w:val="007C5C53"/>
    <w:rsid w:val="007C6205"/>
    <w:rsid w:val="007C642B"/>
    <w:rsid w:val="007C650A"/>
    <w:rsid w:val="007C6B94"/>
    <w:rsid w:val="007C6C8A"/>
    <w:rsid w:val="007C6D3E"/>
    <w:rsid w:val="007C6D7C"/>
    <w:rsid w:val="007C701C"/>
    <w:rsid w:val="007C710F"/>
    <w:rsid w:val="007C76AB"/>
    <w:rsid w:val="007C787D"/>
    <w:rsid w:val="007C7BC0"/>
    <w:rsid w:val="007C7BD5"/>
    <w:rsid w:val="007C7C2E"/>
    <w:rsid w:val="007C7C4D"/>
    <w:rsid w:val="007D004A"/>
    <w:rsid w:val="007D005D"/>
    <w:rsid w:val="007D04A1"/>
    <w:rsid w:val="007D0529"/>
    <w:rsid w:val="007D06AD"/>
    <w:rsid w:val="007D0720"/>
    <w:rsid w:val="007D0722"/>
    <w:rsid w:val="007D086C"/>
    <w:rsid w:val="007D08D4"/>
    <w:rsid w:val="007D09EA"/>
    <w:rsid w:val="007D0A3E"/>
    <w:rsid w:val="007D0C1E"/>
    <w:rsid w:val="007D0DCE"/>
    <w:rsid w:val="007D1218"/>
    <w:rsid w:val="007D12AD"/>
    <w:rsid w:val="007D14C5"/>
    <w:rsid w:val="007D14F3"/>
    <w:rsid w:val="007D1580"/>
    <w:rsid w:val="007D15A8"/>
    <w:rsid w:val="007D161A"/>
    <w:rsid w:val="007D171F"/>
    <w:rsid w:val="007D17F2"/>
    <w:rsid w:val="007D192D"/>
    <w:rsid w:val="007D1975"/>
    <w:rsid w:val="007D1B23"/>
    <w:rsid w:val="007D1B2F"/>
    <w:rsid w:val="007D1B67"/>
    <w:rsid w:val="007D1F3E"/>
    <w:rsid w:val="007D20EF"/>
    <w:rsid w:val="007D2178"/>
    <w:rsid w:val="007D2670"/>
    <w:rsid w:val="007D29E3"/>
    <w:rsid w:val="007D2A92"/>
    <w:rsid w:val="007D2E8D"/>
    <w:rsid w:val="007D3084"/>
    <w:rsid w:val="007D328D"/>
    <w:rsid w:val="007D32DF"/>
    <w:rsid w:val="007D333A"/>
    <w:rsid w:val="007D345D"/>
    <w:rsid w:val="007D350E"/>
    <w:rsid w:val="007D365A"/>
    <w:rsid w:val="007D39CA"/>
    <w:rsid w:val="007D3ABE"/>
    <w:rsid w:val="007D3AD2"/>
    <w:rsid w:val="007D4124"/>
    <w:rsid w:val="007D417C"/>
    <w:rsid w:val="007D4503"/>
    <w:rsid w:val="007D4676"/>
    <w:rsid w:val="007D46C4"/>
    <w:rsid w:val="007D46F2"/>
    <w:rsid w:val="007D4750"/>
    <w:rsid w:val="007D4A11"/>
    <w:rsid w:val="007D4A9A"/>
    <w:rsid w:val="007D4E51"/>
    <w:rsid w:val="007D4FB6"/>
    <w:rsid w:val="007D51AF"/>
    <w:rsid w:val="007D52A5"/>
    <w:rsid w:val="007D544D"/>
    <w:rsid w:val="007D57B8"/>
    <w:rsid w:val="007D59BB"/>
    <w:rsid w:val="007D5A30"/>
    <w:rsid w:val="007D5A90"/>
    <w:rsid w:val="007D5AFB"/>
    <w:rsid w:val="007D5B3C"/>
    <w:rsid w:val="007D60A2"/>
    <w:rsid w:val="007D6190"/>
    <w:rsid w:val="007D61D9"/>
    <w:rsid w:val="007D6279"/>
    <w:rsid w:val="007D6290"/>
    <w:rsid w:val="007D6366"/>
    <w:rsid w:val="007D63D0"/>
    <w:rsid w:val="007D649F"/>
    <w:rsid w:val="007D660C"/>
    <w:rsid w:val="007D6614"/>
    <w:rsid w:val="007D66FF"/>
    <w:rsid w:val="007D680D"/>
    <w:rsid w:val="007D6831"/>
    <w:rsid w:val="007D6859"/>
    <w:rsid w:val="007D6943"/>
    <w:rsid w:val="007D6E40"/>
    <w:rsid w:val="007D6E65"/>
    <w:rsid w:val="007D6F01"/>
    <w:rsid w:val="007D6F6D"/>
    <w:rsid w:val="007D6F72"/>
    <w:rsid w:val="007D7082"/>
    <w:rsid w:val="007D7128"/>
    <w:rsid w:val="007D71D7"/>
    <w:rsid w:val="007D76CB"/>
    <w:rsid w:val="007D7823"/>
    <w:rsid w:val="007D7A38"/>
    <w:rsid w:val="007D7E57"/>
    <w:rsid w:val="007D7FDF"/>
    <w:rsid w:val="007E00B6"/>
    <w:rsid w:val="007E0374"/>
    <w:rsid w:val="007E040C"/>
    <w:rsid w:val="007E0490"/>
    <w:rsid w:val="007E049B"/>
    <w:rsid w:val="007E0573"/>
    <w:rsid w:val="007E05B0"/>
    <w:rsid w:val="007E070E"/>
    <w:rsid w:val="007E077B"/>
    <w:rsid w:val="007E07ED"/>
    <w:rsid w:val="007E090B"/>
    <w:rsid w:val="007E0B48"/>
    <w:rsid w:val="007E0F26"/>
    <w:rsid w:val="007E1360"/>
    <w:rsid w:val="007E1693"/>
    <w:rsid w:val="007E169B"/>
    <w:rsid w:val="007E173E"/>
    <w:rsid w:val="007E18BA"/>
    <w:rsid w:val="007E196B"/>
    <w:rsid w:val="007E1D24"/>
    <w:rsid w:val="007E1F40"/>
    <w:rsid w:val="007E20D1"/>
    <w:rsid w:val="007E20E0"/>
    <w:rsid w:val="007E2282"/>
    <w:rsid w:val="007E22FA"/>
    <w:rsid w:val="007E23F7"/>
    <w:rsid w:val="007E24B1"/>
    <w:rsid w:val="007E2744"/>
    <w:rsid w:val="007E275F"/>
    <w:rsid w:val="007E2844"/>
    <w:rsid w:val="007E29AB"/>
    <w:rsid w:val="007E29C2"/>
    <w:rsid w:val="007E2D02"/>
    <w:rsid w:val="007E2D74"/>
    <w:rsid w:val="007E2FFF"/>
    <w:rsid w:val="007E301F"/>
    <w:rsid w:val="007E30D0"/>
    <w:rsid w:val="007E314B"/>
    <w:rsid w:val="007E340B"/>
    <w:rsid w:val="007E3700"/>
    <w:rsid w:val="007E3753"/>
    <w:rsid w:val="007E391E"/>
    <w:rsid w:val="007E3998"/>
    <w:rsid w:val="007E3BC8"/>
    <w:rsid w:val="007E3BCB"/>
    <w:rsid w:val="007E3C0F"/>
    <w:rsid w:val="007E3EA9"/>
    <w:rsid w:val="007E3EF9"/>
    <w:rsid w:val="007E4033"/>
    <w:rsid w:val="007E415F"/>
    <w:rsid w:val="007E4693"/>
    <w:rsid w:val="007E48A9"/>
    <w:rsid w:val="007E4924"/>
    <w:rsid w:val="007E49B6"/>
    <w:rsid w:val="007E4BA5"/>
    <w:rsid w:val="007E4C50"/>
    <w:rsid w:val="007E4CB6"/>
    <w:rsid w:val="007E4D76"/>
    <w:rsid w:val="007E4E09"/>
    <w:rsid w:val="007E4F62"/>
    <w:rsid w:val="007E50FD"/>
    <w:rsid w:val="007E5134"/>
    <w:rsid w:val="007E53B6"/>
    <w:rsid w:val="007E55BD"/>
    <w:rsid w:val="007E5679"/>
    <w:rsid w:val="007E5768"/>
    <w:rsid w:val="007E579D"/>
    <w:rsid w:val="007E584A"/>
    <w:rsid w:val="007E5855"/>
    <w:rsid w:val="007E5BBB"/>
    <w:rsid w:val="007E5F1E"/>
    <w:rsid w:val="007E642B"/>
    <w:rsid w:val="007E645C"/>
    <w:rsid w:val="007E665C"/>
    <w:rsid w:val="007E67EA"/>
    <w:rsid w:val="007E6C9D"/>
    <w:rsid w:val="007E6DF3"/>
    <w:rsid w:val="007E6E47"/>
    <w:rsid w:val="007E6F8B"/>
    <w:rsid w:val="007E702E"/>
    <w:rsid w:val="007E7297"/>
    <w:rsid w:val="007E72B0"/>
    <w:rsid w:val="007E73C4"/>
    <w:rsid w:val="007E741A"/>
    <w:rsid w:val="007E7571"/>
    <w:rsid w:val="007E75E3"/>
    <w:rsid w:val="007E76BC"/>
    <w:rsid w:val="007E799B"/>
    <w:rsid w:val="007E7C5A"/>
    <w:rsid w:val="007E7DBB"/>
    <w:rsid w:val="007E7F76"/>
    <w:rsid w:val="007F0080"/>
    <w:rsid w:val="007F01AA"/>
    <w:rsid w:val="007F038A"/>
    <w:rsid w:val="007F0445"/>
    <w:rsid w:val="007F0D97"/>
    <w:rsid w:val="007F0DF0"/>
    <w:rsid w:val="007F0EA8"/>
    <w:rsid w:val="007F1071"/>
    <w:rsid w:val="007F121D"/>
    <w:rsid w:val="007F142E"/>
    <w:rsid w:val="007F1596"/>
    <w:rsid w:val="007F1D7C"/>
    <w:rsid w:val="007F1DC5"/>
    <w:rsid w:val="007F1E88"/>
    <w:rsid w:val="007F204C"/>
    <w:rsid w:val="007F21CD"/>
    <w:rsid w:val="007F21E8"/>
    <w:rsid w:val="007F2814"/>
    <w:rsid w:val="007F28FC"/>
    <w:rsid w:val="007F2942"/>
    <w:rsid w:val="007F2953"/>
    <w:rsid w:val="007F2AA9"/>
    <w:rsid w:val="007F2D3B"/>
    <w:rsid w:val="007F2DBA"/>
    <w:rsid w:val="007F2E84"/>
    <w:rsid w:val="007F2F98"/>
    <w:rsid w:val="007F30BB"/>
    <w:rsid w:val="007F3154"/>
    <w:rsid w:val="007F3250"/>
    <w:rsid w:val="007F34B2"/>
    <w:rsid w:val="007F365E"/>
    <w:rsid w:val="007F3783"/>
    <w:rsid w:val="007F37D4"/>
    <w:rsid w:val="007F37DE"/>
    <w:rsid w:val="007F3EFB"/>
    <w:rsid w:val="007F4021"/>
    <w:rsid w:val="007F41B2"/>
    <w:rsid w:val="007F4597"/>
    <w:rsid w:val="007F459E"/>
    <w:rsid w:val="007F462C"/>
    <w:rsid w:val="007F4816"/>
    <w:rsid w:val="007F4B18"/>
    <w:rsid w:val="007F4C9E"/>
    <w:rsid w:val="007F4D9E"/>
    <w:rsid w:val="007F4FEE"/>
    <w:rsid w:val="007F541D"/>
    <w:rsid w:val="007F5488"/>
    <w:rsid w:val="007F55C9"/>
    <w:rsid w:val="007F596D"/>
    <w:rsid w:val="007F5B3B"/>
    <w:rsid w:val="007F5BB3"/>
    <w:rsid w:val="007F5CD6"/>
    <w:rsid w:val="007F5CE5"/>
    <w:rsid w:val="007F5F43"/>
    <w:rsid w:val="007F5FAF"/>
    <w:rsid w:val="007F5FD5"/>
    <w:rsid w:val="007F6136"/>
    <w:rsid w:val="007F61F1"/>
    <w:rsid w:val="007F62E7"/>
    <w:rsid w:val="007F63BD"/>
    <w:rsid w:val="007F63E6"/>
    <w:rsid w:val="007F6716"/>
    <w:rsid w:val="007F7045"/>
    <w:rsid w:val="007F7132"/>
    <w:rsid w:val="007F71EC"/>
    <w:rsid w:val="007F7454"/>
    <w:rsid w:val="007F7723"/>
    <w:rsid w:val="007F7896"/>
    <w:rsid w:val="007F7BBD"/>
    <w:rsid w:val="007F7BC5"/>
    <w:rsid w:val="007F7C01"/>
    <w:rsid w:val="007F7F0A"/>
    <w:rsid w:val="008000F1"/>
    <w:rsid w:val="00800183"/>
    <w:rsid w:val="008002E7"/>
    <w:rsid w:val="0080033A"/>
    <w:rsid w:val="008007D4"/>
    <w:rsid w:val="0080087F"/>
    <w:rsid w:val="00800B64"/>
    <w:rsid w:val="00800C51"/>
    <w:rsid w:val="0080111C"/>
    <w:rsid w:val="00801130"/>
    <w:rsid w:val="0080122E"/>
    <w:rsid w:val="00801577"/>
    <w:rsid w:val="008015A7"/>
    <w:rsid w:val="008015E9"/>
    <w:rsid w:val="0080161E"/>
    <w:rsid w:val="008016F0"/>
    <w:rsid w:val="0080174C"/>
    <w:rsid w:val="008017EC"/>
    <w:rsid w:val="00801B1C"/>
    <w:rsid w:val="00801F35"/>
    <w:rsid w:val="00802147"/>
    <w:rsid w:val="0080224E"/>
    <w:rsid w:val="008026E1"/>
    <w:rsid w:val="0080282F"/>
    <w:rsid w:val="008028DC"/>
    <w:rsid w:val="008028F8"/>
    <w:rsid w:val="0080295B"/>
    <w:rsid w:val="00802A13"/>
    <w:rsid w:val="00802A6C"/>
    <w:rsid w:val="00802A98"/>
    <w:rsid w:val="00802B7B"/>
    <w:rsid w:val="00802BC2"/>
    <w:rsid w:val="008030EA"/>
    <w:rsid w:val="00803129"/>
    <w:rsid w:val="00803429"/>
    <w:rsid w:val="00803823"/>
    <w:rsid w:val="00803AAB"/>
    <w:rsid w:val="00803AC8"/>
    <w:rsid w:val="00803D38"/>
    <w:rsid w:val="00804185"/>
    <w:rsid w:val="0080436C"/>
    <w:rsid w:val="0080479C"/>
    <w:rsid w:val="00804A5C"/>
    <w:rsid w:val="00804AF9"/>
    <w:rsid w:val="00804B4E"/>
    <w:rsid w:val="00804BB8"/>
    <w:rsid w:val="00804CC9"/>
    <w:rsid w:val="00804D67"/>
    <w:rsid w:val="00804E74"/>
    <w:rsid w:val="00804F16"/>
    <w:rsid w:val="00805104"/>
    <w:rsid w:val="00805124"/>
    <w:rsid w:val="0080512D"/>
    <w:rsid w:val="00805248"/>
    <w:rsid w:val="00805413"/>
    <w:rsid w:val="00805737"/>
    <w:rsid w:val="00805863"/>
    <w:rsid w:val="00805A3B"/>
    <w:rsid w:val="00805B89"/>
    <w:rsid w:val="00805C67"/>
    <w:rsid w:val="00805D30"/>
    <w:rsid w:val="00805E94"/>
    <w:rsid w:val="00805F21"/>
    <w:rsid w:val="00805F4F"/>
    <w:rsid w:val="00805F77"/>
    <w:rsid w:val="00805FC9"/>
    <w:rsid w:val="0080604E"/>
    <w:rsid w:val="008061F3"/>
    <w:rsid w:val="0080621E"/>
    <w:rsid w:val="00806504"/>
    <w:rsid w:val="00806535"/>
    <w:rsid w:val="008066EC"/>
    <w:rsid w:val="008066FE"/>
    <w:rsid w:val="008069A4"/>
    <w:rsid w:val="00806B68"/>
    <w:rsid w:val="00806B81"/>
    <w:rsid w:val="00806E09"/>
    <w:rsid w:val="00806FD8"/>
    <w:rsid w:val="00806FEA"/>
    <w:rsid w:val="008070B7"/>
    <w:rsid w:val="008071F3"/>
    <w:rsid w:val="00807350"/>
    <w:rsid w:val="0080736C"/>
    <w:rsid w:val="008073C7"/>
    <w:rsid w:val="0080747A"/>
    <w:rsid w:val="0080758D"/>
    <w:rsid w:val="0080774A"/>
    <w:rsid w:val="008078BB"/>
    <w:rsid w:val="00807942"/>
    <w:rsid w:val="00807C48"/>
    <w:rsid w:val="00807C81"/>
    <w:rsid w:val="0081005B"/>
    <w:rsid w:val="0081006F"/>
    <w:rsid w:val="008101FA"/>
    <w:rsid w:val="008102BF"/>
    <w:rsid w:val="00810539"/>
    <w:rsid w:val="008108BD"/>
    <w:rsid w:val="00810996"/>
    <w:rsid w:val="00810C05"/>
    <w:rsid w:val="00810E67"/>
    <w:rsid w:val="0081112D"/>
    <w:rsid w:val="008111AA"/>
    <w:rsid w:val="008111DC"/>
    <w:rsid w:val="00811564"/>
    <w:rsid w:val="008116B8"/>
    <w:rsid w:val="008116D0"/>
    <w:rsid w:val="008117C3"/>
    <w:rsid w:val="00811D23"/>
    <w:rsid w:val="00811D9D"/>
    <w:rsid w:val="00811E29"/>
    <w:rsid w:val="00811E9C"/>
    <w:rsid w:val="0081210F"/>
    <w:rsid w:val="00812274"/>
    <w:rsid w:val="008122ED"/>
    <w:rsid w:val="00812430"/>
    <w:rsid w:val="00812476"/>
    <w:rsid w:val="0081268C"/>
    <w:rsid w:val="0081271D"/>
    <w:rsid w:val="00812A49"/>
    <w:rsid w:val="00812B4D"/>
    <w:rsid w:val="00812B88"/>
    <w:rsid w:val="00812BED"/>
    <w:rsid w:val="00812C70"/>
    <w:rsid w:val="00812D63"/>
    <w:rsid w:val="00813224"/>
    <w:rsid w:val="00813308"/>
    <w:rsid w:val="00813511"/>
    <w:rsid w:val="00813919"/>
    <w:rsid w:val="00813A2F"/>
    <w:rsid w:val="00813A5D"/>
    <w:rsid w:val="00813B39"/>
    <w:rsid w:val="00813C28"/>
    <w:rsid w:val="00813D68"/>
    <w:rsid w:val="00813ED5"/>
    <w:rsid w:val="00813F79"/>
    <w:rsid w:val="00814060"/>
    <w:rsid w:val="0081426D"/>
    <w:rsid w:val="008142EC"/>
    <w:rsid w:val="008143C5"/>
    <w:rsid w:val="00814443"/>
    <w:rsid w:val="00814547"/>
    <w:rsid w:val="00814620"/>
    <w:rsid w:val="0081465B"/>
    <w:rsid w:val="0081466B"/>
    <w:rsid w:val="008147BA"/>
    <w:rsid w:val="00814809"/>
    <w:rsid w:val="0081495B"/>
    <w:rsid w:val="00814A31"/>
    <w:rsid w:val="00814A47"/>
    <w:rsid w:val="00814A79"/>
    <w:rsid w:val="00814B02"/>
    <w:rsid w:val="00814B63"/>
    <w:rsid w:val="00814CF5"/>
    <w:rsid w:val="00815070"/>
    <w:rsid w:val="00815078"/>
    <w:rsid w:val="0081514C"/>
    <w:rsid w:val="00815169"/>
    <w:rsid w:val="008151DE"/>
    <w:rsid w:val="008153F9"/>
    <w:rsid w:val="0081543B"/>
    <w:rsid w:val="008157D8"/>
    <w:rsid w:val="00815894"/>
    <w:rsid w:val="008158F4"/>
    <w:rsid w:val="00815A1A"/>
    <w:rsid w:val="00815BC3"/>
    <w:rsid w:val="00815D75"/>
    <w:rsid w:val="00815E32"/>
    <w:rsid w:val="00815F02"/>
    <w:rsid w:val="00815F65"/>
    <w:rsid w:val="00815F7A"/>
    <w:rsid w:val="008160DA"/>
    <w:rsid w:val="00816586"/>
    <w:rsid w:val="0081660D"/>
    <w:rsid w:val="0081661E"/>
    <w:rsid w:val="00816716"/>
    <w:rsid w:val="0081674B"/>
    <w:rsid w:val="0081682F"/>
    <w:rsid w:val="00816B10"/>
    <w:rsid w:val="00816C17"/>
    <w:rsid w:val="00816D4F"/>
    <w:rsid w:val="00816D56"/>
    <w:rsid w:val="00816FAD"/>
    <w:rsid w:val="00816FFC"/>
    <w:rsid w:val="0081705C"/>
    <w:rsid w:val="0081747D"/>
    <w:rsid w:val="008174F9"/>
    <w:rsid w:val="0081752A"/>
    <w:rsid w:val="00817535"/>
    <w:rsid w:val="0081760E"/>
    <w:rsid w:val="00817847"/>
    <w:rsid w:val="00817C15"/>
    <w:rsid w:val="00817C7F"/>
    <w:rsid w:val="00817E19"/>
    <w:rsid w:val="00817F56"/>
    <w:rsid w:val="00817FF9"/>
    <w:rsid w:val="00820140"/>
    <w:rsid w:val="008201C3"/>
    <w:rsid w:val="00820378"/>
    <w:rsid w:val="0082056A"/>
    <w:rsid w:val="008208DA"/>
    <w:rsid w:val="00820A9D"/>
    <w:rsid w:val="00820EBF"/>
    <w:rsid w:val="00820F83"/>
    <w:rsid w:val="00821087"/>
    <w:rsid w:val="00821175"/>
    <w:rsid w:val="008216E9"/>
    <w:rsid w:val="00821945"/>
    <w:rsid w:val="00822043"/>
    <w:rsid w:val="00822131"/>
    <w:rsid w:val="008221D8"/>
    <w:rsid w:val="008222E7"/>
    <w:rsid w:val="008225FD"/>
    <w:rsid w:val="00822637"/>
    <w:rsid w:val="008226A3"/>
    <w:rsid w:val="00822874"/>
    <w:rsid w:val="008228CD"/>
    <w:rsid w:val="0082297D"/>
    <w:rsid w:val="00822BD2"/>
    <w:rsid w:val="00822C34"/>
    <w:rsid w:val="00822C73"/>
    <w:rsid w:val="00822C9B"/>
    <w:rsid w:val="00822E41"/>
    <w:rsid w:val="00822E86"/>
    <w:rsid w:val="0082303F"/>
    <w:rsid w:val="008230D8"/>
    <w:rsid w:val="00823925"/>
    <w:rsid w:val="008239AF"/>
    <w:rsid w:val="008239CB"/>
    <w:rsid w:val="00823CC8"/>
    <w:rsid w:val="00824197"/>
    <w:rsid w:val="008241C3"/>
    <w:rsid w:val="0082435F"/>
    <w:rsid w:val="00824427"/>
    <w:rsid w:val="008246DA"/>
    <w:rsid w:val="0082470B"/>
    <w:rsid w:val="008248D5"/>
    <w:rsid w:val="008249B6"/>
    <w:rsid w:val="00824A32"/>
    <w:rsid w:val="00824A7A"/>
    <w:rsid w:val="00824B1E"/>
    <w:rsid w:val="00824C28"/>
    <w:rsid w:val="00824CE8"/>
    <w:rsid w:val="00824E66"/>
    <w:rsid w:val="00824ECB"/>
    <w:rsid w:val="00824EDF"/>
    <w:rsid w:val="00825001"/>
    <w:rsid w:val="0082516B"/>
    <w:rsid w:val="008251DB"/>
    <w:rsid w:val="00825311"/>
    <w:rsid w:val="00825916"/>
    <w:rsid w:val="00825A2B"/>
    <w:rsid w:val="00825C1E"/>
    <w:rsid w:val="00825D7B"/>
    <w:rsid w:val="00825E77"/>
    <w:rsid w:val="00826057"/>
    <w:rsid w:val="0082633E"/>
    <w:rsid w:val="008265A8"/>
    <w:rsid w:val="00826605"/>
    <w:rsid w:val="0082660F"/>
    <w:rsid w:val="008267F1"/>
    <w:rsid w:val="00826AB5"/>
    <w:rsid w:val="00826CC2"/>
    <w:rsid w:val="00826E25"/>
    <w:rsid w:val="00827162"/>
    <w:rsid w:val="008271FD"/>
    <w:rsid w:val="008275D0"/>
    <w:rsid w:val="00827785"/>
    <w:rsid w:val="00827B63"/>
    <w:rsid w:val="00827FE5"/>
    <w:rsid w:val="00830061"/>
    <w:rsid w:val="0083007C"/>
    <w:rsid w:val="00830200"/>
    <w:rsid w:val="0083074F"/>
    <w:rsid w:val="00830B99"/>
    <w:rsid w:val="00830EAE"/>
    <w:rsid w:val="00830FD8"/>
    <w:rsid w:val="0083103A"/>
    <w:rsid w:val="0083135E"/>
    <w:rsid w:val="008313D5"/>
    <w:rsid w:val="008316F1"/>
    <w:rsid w:val="0083196C"/>
    <w:rsid w:val="00831C73"/>
    <w:rsid w:val="00831D0D"/>
    <w:rsid w:val="00831E72"/>
    <w:rsid w:val="00831F7B"/>
    <w:rsid w:val="00832196"/>
    <w:rsid w:val="008321C5"/>
    <w:rsid w:val="00832242"/>
    <w:rsid w:val="00832368"/>
    <w:rsid w:val="00832447"/>
    <w:rsid w:val="00832A30"/>
    <w:rsid w:val="00832ADB"/>
    <w:rsid w:val="00832ADF"/>
    <w:rsid w:val="00832B29"/>
    <w:rsid w:val="00832E4D"/>
    <w:rsid w:val="00833097"/>
    <w:rsid w:val="0083315B"/>
    <w:rsid w:val="00833160"/>
    <w:rsid w:val="00833231"/>
    <w:rsid w:val="008333EB"/>
    <w:rsid w:val="008336D7"/>
    <w:rsid w:val="0083379C"/>
    <w:rsid w:val="00833902"/>
    <w:rsid w:val="00833A37"/>
    <w:rsid w:val="00833BBF"/>
    <w:rsid w:val="00833BE3"/>
    <w:rsid w:val="00833C9E"/>
    <w:rsid w:val="00833EFD"/>
    <w:rsid w:val="00833FDE"/>
    <w:rsid w:val="00833FF2"/>
    <w:rsid w:val="00834018"/>
    <w:rsid w:val="00834472"/>
    <w:rsid w:val="0083473B"/>
    <w:rsid w:val="0083492C"/>
    <w:rsid w:val="00834940"/>
    <w:rsid w:val="00834949"/>
    <w:rsid w:val="00834EA5"/>
    <w:rsid w:val="00834EED"/>
    <w:rsid w:val="00835073"/>
    <w:rsid w:val="008350D2"/>
    <w:rsid w:val="00835259"/>
    <w:rsid w:val="008353DA"/>
    <w:rsid w:val="008354F8"/>
    <w:rsid w:val="008355BC"/>
    <w:rsid w:val="00835826"/>
    <w:rsid w:val="008358E6"/>
    <w:rsid w:val="00835A12"/>
    <w:rsid w:val="00835E97"/>
    <w:rsid w:val="00836401"/>
    <w:rsid w:val="00836490"/>
    <w:rsid w:val="0083650E"/>
    <w:rsid w:val="0083657E"/>
    <w:rsid w:val="008368F2"/>
    <w:rsid w:val="00836958"/>
    <w:rsid w:val="00836A68"/>
    <w:rsid w:val="00836CE7"/>
    <w:rsid w:val="00836D60"/>
    <w:rsid w:val="00837023"/>
    <w:rsid w:val="0083705E"/>
    <w:rsid w:val="00837418"/>
    <w:rsid w:val="008374C5"/>
    <w:rsid w:val="0083773B"/>
    <w:rsid w:val="00837A57"/>
    <w:rsid w:val="00837B2B"/>
    <w:rsid w:val="00837C61"/>
    <w:rsid w:val="00837CEF"/>
    <w:rsid w:val="0084011F"/>
    <w:rsid w:val="0084018A"/>
    <w:rsid w:val="00840241"/>
    <w:rsid w:val="008402F2"/>
    <w:rsid w:val="008403D7"/>
    <w:rsid w:val="008403ED"/>
    <w:rsid w:val="008403F1"/>
    <w:rsid w:val="008404C3"/>
    <w:rsid w:val="0084057D"/>
    <w:rsid w:val="008405A5"/>
    <w:rsid w:val="0084060F"/>
    <w:rsid w:val="008407B4"/>
    <w:rsid w:val="0084098C"/>
    <w:rsid w:val="00840A93"/>
    <w:rsid w:val="00840EA9"/>
    <w:rsid w:val="00841008"/>
    <w:rsid w:val="0084110D"/>
    <w:rsid w:val="00841208"/>
    <w:rsid w:val="0084139F"/>
    <w:rsid w:val="00841431"/>
    <w:rsid w:val="008414FE"/>
    <w:rsid w:val="00841B0E"/>
    <w:rsid w:val="00841BFE"/>
    <w:rsid w:val="00841DDA"/>
    <w:rsid w:val="00841FDC"/>
    <w:rsid w:val="008422B8"/>
    <w:rsid w:val="00842426"/>
    <w:rsid w:val="008426F2"/>
    <w:rsid w:val="0084293E"/>
    <w:rsid w:val="00842943"/>
    <w:rsid w:val="00842B8A"/>
    <w:rsid w:val="00842CEC"/>
    <w:rsid w:val="00842E71"/>
    <w:rsid w:val="0084320C"/>
    <w:rsid w:val="008432E7"/>
    <w:rsid w:val="00843372"/>
    <w:rsid w:val="00843617"/>
    <w:rsid w:val="008437C0"/>
    <w:rsid w:val="00843924"/>
    <w:rsid w:val="008439FC"/>
    <w:rsid w:val="00843D1A"/>
    <w:rsid w:val="00843D32"/>
    <w:rsid w:val="008440C3"/>
    <w:rsid w:val="00844388"/>
    <w:rsid w:val="0084455F"/>
    <w:rsid w:val="00844692"/>
    <w:rsid w:val="00844737"/>
    <w:rsid w:val="0084478F"/>
    <w:rsid w:val="00844815"/>
    <w:rsid w:val="008449AE"/>
    <w:rsid w:val="00844B24"/>
    <w:rsid w:val="00844D8B"/>
    <w:rsid w:val="00844E25"/>
    <w:rsid w:val="00844E47"/>
    <w:rsid w:val="00844EFD"/>
    <w:rsid w:val="00844F19"/>
    <w:rsid w:val="00844F8B"/>
    <w:rsid w:val="0084513E"/>
    <w:rsid w:val="008451F6"/>
    <w:rsid w:val="0084522E"/>
    <w:rsid w:val="00845235"/>
    <w:rsid w:val="008453BA"/>
    <w:rsid w:val="008454C6"/>
    <w:rsid w:val="008459B2"/>
    <w:rsid w:val="008459DB"/>
    <w:rsid w:val="00845C46"/>
    <w:rsid w:val="00845E76"/>
    <w:rsid w:val="00846065"/>
    <w:rsid w:val="008460D9"/>
    <w:rsid w:val="00846390"/>
    <w:rsid w:val="008467A7"/>
    <w:rsid w:val="00846A54"/>
    <w:rsid w:val="00846B66"/>
    <w:rsid w:val="00846E58"/>
    <w:rsid w:val="00846E93"/>
    <w:rsid w:val="00846F62"/>
    <w:rsid w:val="00847039"/>
    <w:rsid w:val="0084709F"/>
    <w:rsid w:val="0084710A"/>
    <w:rsid w:val="00847304"/>
    <w:rsid w:val="00847496"/>
    <w:rsid w:val="00847574"/>
    <w:rsid w:val="00847721"/>
    <w:rsid w:val="00847784"/>
    <w:rsid w:val="00847D0A"/>
    <w:rsid w:val="00847E4B"/>
    <w:rsid w:val="00847EC3"/>
    <w:rsid w:val="008500EA"/>
    <w:rsid w:val="00850113"/>
    <w:rsid w:val="00850131"/>
    <w:rsid w:val="008501BE"/>
    <w:rsid w:val="008503B5"/>
    <w:rsid w:val="00850484"/>
    <w:rsid w:val="008505AC"/>
    <w:rsid w:val="008505BD"/>
    <w:rsid w:val="00850897"/>
    <w:rsid w:val="00850BED"/>
    <w:rsid w:val="00850C3F"/>
    <w:rsid w:val="00850EF8"/>
    <w:rsid w:val="00850FA3"/>
    <w:rsid w:val="00851027"/>
    <w:rsid w:val="0085127D"/>
    <w:rsid w:val="0085146C"/>
    <w:rsid w:val="008515AB"/>
    <w:rsid w:val="00851922"/>
    <w:rsid w:val="008519ED"/>
    <w:rsid w:val="00851B4B"/>
    <w:rsid w:val="00851CFF"/>
    <w:rsid w:val="00851DA9"/>
    <w:rsid w:val="0085226D"/>
    <w:rsid w:val="008525AF"/>
    <w:rsid w:val="00852762"/>
    <w:rsid w:val="008527C7"/>
    <w:rsid w:val="00852860"/>
    <w:rsid w:val="00853054"/>
    <w:rsid w:val="00853098"/>
    <w:rsid w:val="008533D5"/>
    <w:rsid w:val="0085368C"/>
    <w:rsid w:val="00853DEE"/>
    <w:rsid w:val="00853F04"/>
    <w:rsid w:val="0085400D"/>
    <w:rsid w:val="00854236"/>
    <w:rsid w:val="0085430B"/>
    <w:rsid w:val="00854341"/>
    <w:rsid w:val="0085437A"/>
    <w:rsid w:val="00854418"/>
    <w:rsid w:val="00854479"/>
    <w:rsid w:val="0085454D"/>
    <w:rsid w:val="0085495D"/>
    <w:rsid w:val="00854AED"/>
    <w:rsid w:val="00854BE0"/>
    <w:rsid w:val="00854C30"/>
    <w:rsid w:val="00854D6C"/>
    <w:rsid w:val="00855072"/>
    <w:rsid w:val="00855602"/>
    <w:rsid w:val="008558EF"/>
    <w:rsid w:val="00855956"/>
    <w:rsid w:val="008559E6"/>
    <w:rsid w:val="00855A11"/>
    <w:rsid w:val="00855BC9"/>
    <w:rsid w:val="00855D31"/>
    <w:rsid w:val="00855DDD"/>
    <w:rsid w:val="00855F93"/>
    <w:rsid w:val="00856011"/>
    <w:rsid w:val="00856058"/>
    <w:rsid w:val="00856485"/>
    <w:rsid w:val="008564E1"/>
    <w:rsid w:val="00856512"/>
    <w:rsid w:val="00856599"/>
    <w:rsid w:val="0085694C"/>
    <w:rsid w:val="00856AEF"/>
    <w:rsid w:val="00856F84"/>
    <w:rsid w:val="00857042"/>
    <w:rsid w:val="008570DD"/>
    <w:rsid w:val="00857125"/>
    <w:rsid w:val="008573F4"/>
    <w:rsid w:val="008576B6"/>
    <w:rsid w:val="008578DB"/>
    <w:rsid w:val="00857973"/>
    <w:rsid w:val="0085798D"/>
    <w:rsid w:val="0085798E"/>
    <w:rsid w:val="00857BC4"/>
    <w:rsid w:val="008600A7"/>
    <w:rsid w:val="0086012D"/>
    <w:rsid w:val="00860235"/>
    <w:rsid w:val="00860283"/>
    <w:rsid w:val="0086051B"/>
    <w:rsid w:val="0086059E"/>
    <w:rsid w:val="008607A8"/>
    <w:rsid w:val="0086082E"/>
    <w:rsid w:val="00860897"/>
    <w:rsid w:val="008608E6"/>
    <w:rsid w:val="008609B0"/>
    <w:rsid w:val="00860AC9"/>
    <w:rsid w:val="00860B08"/>
    <w:rsid w:val="00860E39"/>
    <w:rsid w:val="00860FF5"/>
    <w:rsid w:val="008613C6"/>
    <w:rsid w:val="00861527"/>
    <w:rsid w:val="008615A0"/>
    <w:rsid w:val="008618A2"/>
    <w:rsid w:val="00861A02"/>
    <w:rsid w:val="00861A83"/>
    <w:rsid w:val="00861CEC"/>
    <w:rsid w:val="00861E9E"/>
    <w:rsid w:val="0086204D"/>
    <w:rsid w:val="00862074"/>
    <w:rsid w:val="008620B1"/>
    <w:rsid w:val="008621F2"/>
    <w:rsid w:val="008623C8"/>
    <w:rsid w:val="008623EC"/>
    <w:rsid w:val="00862496"/>
    <w:rsid w:val="008624FC"/>
    <w:rsid w:val="008628EB"/>
    <w:rsid w:val="00862BE1"/>
    <w:rsid w:val="008633AE"/>
    <w:rsid w:val="00863663"/>
    <w:rsid w:val="00863785"/>
    <w:rsid w:val="00863882"/>
    <w:rsid w:val="00863A47"/>
    <w:rsid w:val="00863C9E"/>
    <w:rsid w:val="00863E08"/>
    <w:rsid w:val="008642D2"/>
    <w:rsid w:val="008644A7"/>
    <w:rsid w:val="008645AB"/>
    <w:rsid w:val="00864804"/>
    <w:rsid w:val="00864A98"/>
    <w:rsid w:val="00864AB1"/>
    <w:rsid w:val="00864BBE"/>
    <w:rsid w:val="00864DDB"/>
    <w:rsid w:val="00864DF0"/>
    <w:rsid w:val="008650CC"/>
    <w:rsid w:val="008650F6"/>
    <w:rsid w:val="00865126"/>
    <w:rsid w:val="008651BB"/>
    <w:rsid w:val="00865606"/>
    <w:rsid w:val="0086560A"/>
    <w:rsid w:val="008658C5"/>
    <w:rsid w:val="00865A8F"/>
    <w:rsid w:val="00865C7E"/>
    <w:rsid w:val="00865E95"/>
    <w:rsid w:val="0086609F"/>
    <w:rsid w:val="0086616D"/>
    <w:rsid w:val="00866479"/>
    <w:rsid w:val="008665FB"/>
    <w:rsid w:val="00866620"/>
    <w:rsid w:val="00866933"/>
    <w:rsid w:val="0086695F"/>
    <w:rsid w:val="00866A0B"/>
    <w:rsid w:val="00866A9A"/>
    <w:rsid w:val="00866C59"/>
    <w:rsid w:val="00866DCE"/>
    <w:rsid w:val="00866E63"/>
    <w:rsid w:val="00866F0D"/>
    <w:rsid w:val="008671BC"/>
    <w:rsid w:val="008671E7"/>
    <w:rsid w:val="00867398"/>
    <w:rsid w:val="0086739A"/>
    <w:rsid w:val="008677C1"/>
    <w:rsid w:val="00867A93"/>
    <w:rsid w:val="00867AD7"/>
    <w:rsid w:val="00867D41"/>
    <w:rsid w:val="00867F57"/>
    <w:rsid w:val="00870018"/>
    <w:rsid w:val="00870083"/>
    <w:rsid w:val="008700E0"/>
    <w:rsid w:val="008701D2"/>
    <w:rsid w:val="00870434"/>
    <w:rsid w:val="008704B1"/>
    <w:rsid w:val="00870516"/>
    <w:rsid w:val="008705F5"/>
    <w:rsid w:val="00870617"/>
    <w:rsid w:val="00870953"/>
    <w:rsid w:val="008710EB"/>
    <w:rsid w:val="0087117B"/>
    <w:rsid w:val="008711A9"/>
    <w:rsid w:val="0087127F"/>
    <w:rsid w:val="0087131B"/>
    <w:rsid w:val="00871447"/>
    <w:rsid w:val="008719D3"/>
    <w:rsid w:val="00871A6C"/>
    <w:rsid w:val="00871BA2"/>
    <w:rsid w:val="00871C37"/>
    <w:rsid w:val="00871D4D"/>
    <w:rsid w:val="00871D70"/>
    <w:rsid w:val="00872270"/>
    <w:rsid w:val="00872444"/>
    <w:rsid w:val="00872498"/>
    <w:rsid w:val="00872962"/>
    <w:rsid w:val="00872B04"/>
    <w:rsid w:val="00872BB5"/>
    <w:rsid w:val="00872EFD"/>
    <w:rsid w:val="008730D9"/>
    <w:rsid w:val="008731B7"/>
    <w:rsid w:val="008732CA"/>
    <w:rsid w:val="00873495"/>
    <w:rsid w:val="00873557"/>
    <w:rsid w:val="00873696"/>
    <w:rsid w:val="00873B61"/>
    <w:rsid w:val="00873BC3"/>
    <w:rsid w:val="00873DA7"/>
    <w:rsid w:val="00873F4F"/>
    <w:rsid w:val="00873F78"/>
    <w:rsid w:val="00874193"/>
    <w:rsid w:val="008741FE"/>
    <w:rsid w:val="008743CE"/>
    <w:rsid w:val="0087465F"/>
    <w:rsid w:val="00874666"/>
    <w:rsid w:val="0087470E"/>
    <w:rsid w:val="00874739"/>
    <w:rsid w:val="0087486D"/>
    <w:rsid w:val="00874936"/>
    <w:rsid w:val="00874A1C"/>
    <w:rsid w:val="00874B48"/>
    <w:rsid w:val="00874BB3"/>
    <w:rsid w:val="00874C3B"/>
    <w:rsid w:val="00874C85"/>
    <w:rsid w:val="00874D22"/>
    <w:rsid w:val="00874DAF"/>
    <w:rsid w:val="00874ED0"/>
    <w:rsid w:val="00874F08"/>
    <w:rsid w:val="008750E1"/>
    <w:rsid w:val="0087510D"/>
    <w:rsid w:val="00875346"/>
    <w:rsid w:val="00875384"/>
    <w:rsid w:val="008753EB"/>
    <w:rsid w:val="00875562"/>
    <w:rsid w:val="00875644"/>
    <w:rsid w:val="00875947"/>
    <w:rsid w:val="00875C83"/>
    <w:rsid w:val="008761BB"/>
    <w:rsid w:val="008762ED"/>
    <w:rsid w:val="008764CB"/>
    <w:rsid w:val="00876573"/>
    <w:rsid w:val="008765AE"/>
    <w:rsid w:val="00876731"/>
    <w:rsid w:val="00876931"/>
    <w:rsid w:val="00876A3B"/>
    <w:rsid w:val="00876ECC"/>
    <w:rsid w:val="00876EF3"/>
    <w:rsid w:val="00876FED"/>
    <w:rsid w:val="00876FF0"/>
    <w:rsid w:val="0087706D"/>
    <w:rsid w:val="0087718B"/>
    <w:rsid w:val="0087737E"/>
    <w:rsid w:val="008774B5"/>
    <w:rsid w:val="00877659"/>
    <w:rsid w:val="0087775D"/>
    <w:rsid w:val="0087775F"/>
    <w:rsid w:val="0087786D"/>
    <w:rsid w:val="00877AB7"/>
    <w:rsid w:val="00877B52"/>
    <w:rsid w:val="00877BC4"/>
    <w:rsid w:val="00877D04"/>
    <w:rsid w:val="00877E34"/>
    <w:rsid w:val="00877E9D"/>
    <w:rsid w:val="0088003F"/>
    <w:rsid w:val="00880054"/>
    <w:rsid w:val="00880287"/>
    <w:rsid w:val="008803FD"/>
    <w:rsid w:val="0088049D"/>
    <w:rsid w:val="008806AE"/>
    <w:rsid w:val="00880B15"/>
    <w:rsid w:val="00880B51"/>
    <w:rsid w:val="00880BEF"/>
    <w:rsid w:val="00880F49"/>
    <w:rsid w:val="0088122D"/>
    <w:rsid w:val="0088144F"/>
    <w:rsid w:val="0088178F"/>
    <w:rsid w:val="00881804"/>
    <w:rsid w:val="008819B6"/>
    <w:rsid w:val="00881B4B"/>
    <w:rsid w:val="00881C21"/>
    <w:rsid w:val="00881F72"/>
    <w:rsid w:val="00882239"/>
    <w:rsid w:val="008824F8"/>
    <w:rsid w:val="00882566"/>
    <w:rsid w:val="008825D7"/>
    <w:rsid w:val="008828F9"/>
    <w:rsid w:val="008829B7"/>
    <w:rsid w:val="008830B0"/>
    <w:rsid w:val="00883137"/>
    <w:rsid w:val="00883170"/>
    <w:rsid w:val="0088340D"/>
    <w:rsid w:val="00883846"/>
    <w:rsid w:val="00883879"/>
    <w:rsid w:val="00883A75"/>
    <w:rsid w:val="00883AD4"/>
    <w:rsid w:val="00883D02"/>
    <w:rsid w:val="00883D1D"/>
    <w:rsid w:val="00883E25"/>
    <w:rsid w:val="00883EA8"/>
    <w:rsid w:val="00883EE7"/>
    <w:rsid w:val="008843D4"/>
    <w:rsid w:val="00884473"/>
    <w:rsid w:val="00884AAC"/>
    <w:rsid w:val="00884AFC"/>
    <w:rsid w:val="0088552B"/>
    <w:rsid w:val="00885667"/>
    <w:rsid w:val="00885918"/>
    <w:rsid w:val="00885AFA"/>
    <w:rsid w:val="00886139"/>
    <w:rsid w:val="00886177"/>
    <w:rsid w:val="008861C4"/>
    <w:rsid w:val="008863C9"/>
    <w:rsid w:val="008864C7"/>
    <w:rsid w:val="008865B9"/>
    <w:rsid w:val="0088664C"/>
    <w:rsid w:val="00886665"/>
    <w:rsid w:val="00886672"/>
    <w:rsid w:val="00886706"/>
    <w:rsid w:val="00886714"/>
    <w:rsid w:val="008867A0"/>
    <w:rsid w:val="008867F1"/>
    <w:rsid w:val="00886886"/>
    <w:rsid w:val="008868D9"/>
    <w:rsid w:val="00886BCB"/>
    <w:rsid w:val="00886CAC"/>
    <w:rsid w:val="00886D1D"/>
    <w:rsid w:val="00886DA7"/>
    <w:rsid w:val="00886E54"/>
    <w:rsid w:val="00886FAA"/>
    <w:rsid w:val="008870EB"/>
    <w:rsid w:val="008871E9"/>
    <w:rsid w:val="008872A5"/>
    <w:rsid w:val="00887438"/>
    <w:rsid w:val="008877BF"/>
    <w:rsid w:val="00887B2C"/>
    <w:rsid w:val="00887C70"/>
    <w:rsid w:val="00887E2A"/>
    <w:rsid w:val="00890006"/>
    <w:rsid w:val="008902C6"/>
    <w:rsid w:val="00890347"/>
    <w:rsid w:val="00890371"/>
    <w:rsid w:val="00890527"/>
    <w:rsid w:val="008906CA"/>
    <w:rsid w:val="008909FB"/>
    <w:rsid w:val="00890CA5"/>
    <w:rsid w:val="00890E99"/>
    <w:rsid w:val="008913CA"/>
    <w:rsid w:val="008914A0"/>
    <w:rsid w:val="0089157B"/>
    <w:rsid w:val="0089183D"/>
    <w:rsid w:val="0089186C"/>
    <w:rsid w:val="00891886"/>
    <w:rsid w:val="00891924"/>
    <w:rsid w:val="00891969"/>
    <w:rsid w:val="00891A20"/>
    <w:rsid w:val="00891A8C"/>
    <w:rsid w:val="00891AC5"/>
    <w:rsid w:val="00891B56"/>
    <w:rsid w:val="00891E8F"/>
    <w:rsid w:val="00891EA6"/>
    <w:rsid w:val="008920EB"/>
    <w:rsid w:val="008924E5"/>
    <w:rsid w:val="00892603"/>
    <w:rsid w:val="00892655"/>
    <w:rsid w:val="00892767"/>
    <w:rsid w:val="008928B8"/>
    <w:rsid w:val="0089296B"/>
    <w:rsid w:val="00892A61"/>
    <w:rsid w:val="00892B41"/>
    <w:rsid w:val="00892B5E"/>
    <w:rsid w:val="00892B6D"/>
    <w:rsid w:val="00892D17"/>
    <w:rsid w:val="00892D2F"/>
    <w:rsid w:val="00893161"/>
    <w:rsid w:val="00893374"/>
    <w:rsid w:val="008933B1"/>
    <w:rsid w:val="008936BA"/>
    <w:rsid w:val="008936E1"/>
    <w:rsid w:val="00893808"/>
    <w:rsid w:val="0089392F"/>
    <w:rsid w:val="00893949"/>
    <w:rsid w:val="008939AC"/>
    <w:rsid w:val="00893C4E"/>
    <w:rsid w:val="00893DB8"/>
    <w:rsid w:val="00893F37"/>
    <w:rsid w:val="00893F63"/>
    <w:rsid w:val="00894131"/>
    <w:rsid w:val="0089417D"/>
    <w:rsid w:val="008941F4"/>
    <w:rsid w:val="0089436D"/>
    <w:rsid w:val="00894575"/>
    <w:rsid w:val="008945AC"/>
    <w:rsid w:val="0089488B"/>
    <w:rsid w:val="00894E1B"/>
    <w:rsid w:val="00894EE5"/>
    <w:rsid w:val="00894FB0"/>
    <w:rsid w:val="008951EB"/>
    <w:rsid w:val="0089544D"/>
    <w:rsid w:val="00895635"/>
    <w:rsid w:val="00895C78"/>
    <w:rsid w:val="008967B7"/>
    <w:rsid w:val="00896989"/>
    <w:rsid w:val="00896A94"/>
    <w:rsid w:val="008970BE"/>
    <w:rsid w:val="00897364"/>
    <w:rsid w:val="00897A48"/>
    <w:rsid w:val="00897BD3"/>
    <w:rsid w:val="00897DDD"/>
    <w:rsid w:val="00897DFE"/>
    <w:rsid w:val="008A01E6"/>
    <w:rsid w:val="008A0589"/>
    <w:rsid w:val="008A0949"/>
    <w:rsid w:val="008A09A7"/>
    <w:rsid w:val="008A09B3"/>
    <w:rsid w:val="008A0A8F"/>
    <w:rsid w:val="008A0C27"/>
    <w:rsid w:val="008A0F15"/>
    <w:rsid w:val="008A1302"/>
    <w:rsid w:val="008A1322"/>
    <w:rsid w:val="008A1E3E"/>
    <w:rsid w:val="008A1EBD"/>
    <w:rsid w:val="008A1F7D"/>
    <w:rsid w:val="008A2284"/>
    <w:rsid w:val="008A2379"/>
    <w:rsid w:val="008A2503"/>
    <w:rsid w:val="008A2623"/>
    <w:rsid w:val="008A2638"/>
    <w:rsid w:val="008A276A"/>
    <w:rsid w:val="008A27A6"/>
    <w:rsid w:val="008A2831"/>
    <w:rsid w:val="008A28F5"/>
    <w:rsid w:val="008A2914"/>
    <w:rsid w:val="008A2915"/>
    <w:rsid w:val="008A2B2A"/>
    <w:rsid w:val="008A2BC1"/>
    <w:rsid w:val="008A32B5"/>
    <w:rsid w:val="008A367C"/>
    <w:rsid w:val="008A37FA"/>
    <w:rsid w:val="008A3B26"/>
    <w:rsid w:val="008A3CF4"/>
    <w:rsid w:val="008A3D22"/>
    <w:rsid w:val="008A3D9C"/>
    <w:rsid w:val="008A3EF7"/>
    <w:rsid w:val="008A4050"/>
    <w:rsid w:val="008A40CC"/>
    <w:rsid w:val="008A46DF"/>
    <w:rsid w:val="008A4866"/>
    <w:rsid w:val="008A4B26"/>
    <w:rsid w:val="008A4BB1"/>
    <w:rsid w:val="008A4C1A"/>
    <w:rsid w:val="008A5061"/>
    <w:rsid w:val="008A5310"/>
    <w:rsid w:val="008A5538"/>
    <w:rsid w:val="008A578A"/>
    <w:rsid w:val="008A5906"/>
    <w:rsid w:val="008A595C"/>
    <w:rsid w:val="008A5980"/>
    <w:rsid w:val="008A5995"/>
    <w:rsid w:val="008A5A5C"/>
    <w:rsid w:val="008A5DC2"/>
    <w:rsid w:val="008A5EFB"/>
    <w:rsid w:val="008A5F58"/>
    <w:rsid w:val="008A6283"/>
    <w:rsid w:val="008A634B"/>
    <w:rsid w:val="008A64E6"/>
    <w:rsid w:val="008A6A78"/>
    <w:rsid w:val="008A6CD2"/>
    <w:rsid w:val="008A6E2E"/>
    <w:rsid w:val="008A6FDA"/>
    <w:rsid w:val="008A7086"/>
    <w:rsid w:val="008A71DF"/>
    <w:rsid w:val="008A72A3"/>
    <w:rsid w:val="008A733C"/>
    <w:rsid w:val="008A73CD"/>
    <w:rsid w:val="008A763F"/>
    <w:rsid w:val="008A7648"/>
    <w:rsid w:val="008A78D8"/>
    <w:rsid w:val="008A7923"/>
    <w:rsid w:val="008A7C37"/>
    <w:rsid w:val="008A7D69"/>
    <w:rsid w:val="008A7FD4"/>
    <w:rsid w:val="008B008F"/>
    <w:rsid w:val="008B01AD"/>
    <w:rsid w:val="008B0278"/>
    <w:rsid w:val="008B0469"/>
    <w:rsid w:val="008B0494"/>
    <w:rsid w:val="008B059A"/>
    <w:rsid w:val="008B0784"/>
    <w:rsid w:val="008B080A"/>
    <w:rsid w:val="008B0D3F"/>
    <w:rsid w:val="008B0E08"/>
    <w:rsid w:val="008B1179"/>
    <w:rsid w:val="008B1257"/>
    <w:rsid w:val="008B1393"/>
    <w:rsid w:val="008B146A"/>
    <w:rsid w:val="008B14DD"/>
    <w:rsid w:val="008B1607"/>
    <w:rsid w:val="008B1669"/>
    <w:rsid w:val="008B1A74"/>
    <w:rsid w:val="008B1BDA"/>
    <w:rsid w:val="008B1E29"/>
    <w:rsid w:val="008B1E49"/>
    <w:rsid w:val="008B1F25"/>
    <w:rsid w:val="008B2012"/>
    <w:rsid w:val="008B207A"/>
    <w:rsid w:val="008B20FE"/>
    <w:rsid w:val="008B2450"/>
    <w:rsid w:val="008B24BD"/>
    <w:rsid w:val="008B24E0"/>
    <w:rsid w:val="008B2593"/>
    <w:rsid w:val="008B276D"/>
    <w:rsid w:val="008B27FD"/>
    <w:rsid w:val="008B2844"/>
    <w:rsid w:val="008B29D2"/>
    <w:rsid w:val="008B2AAB"/>
    <w:rsid w:val="008B2B73"/>
    <w:rsid w:val="008B2B99"/>
    <w:rsid w:val="008B2C21"/>
    <w:rsid w:val="008B2DC0"/>
    <w:rsid w:val="008B312E"/>
    <w:rsid w:val="008B31C4"/>
    <w:rsid w:val="008B31CB"/>
    <w:rsid w:val="008B3425"/>
    <w:rsid w:val="008B35AB"/>
    <w:rsid w:val="008B3629"/>
    <w:rsid w:val="008B3771"/>
    <w:rsid w:val="008B3850"/>
    <w:rsid w:val="008B3A42"/>
    <w:rsid w:val="008B3B23"/>
    <w:rsid w:val="008B3ED3"/>
    <w:rsid w:val="008B3FDE"/>
    <w:rsid w:val="008B4058"/>
    <w:rsid w:val="008B415D"/>
    <w:rsid w:val="008B4321"/>
    <w:rsid w:val="008B4626"/>
    <w:rsid w:val="008B482C"/>
    <w:rsid w:val="008B48A4"/>
    <w:rsid w:val="008B490C"/>
    <w:rsid w:val="008B4DDB"/>
    <w:rsid w:val="008B4E67"/>
    <w:rsid w:val="008B4F01"/>
    <w:rsid w:val="008B4FA2"/>
    <w:rsid w:val="008B5076"/>
    <w:rsid w:val="008B5102"/>
    <w:rsid w:val="008B51FA"/>
    <w:rsid w:val="008B5224"/>
    <w:rsid w:val="008B532D"/>
    <w:rsid w:val="008B5373"/>
    <w:rsid w:val="008B5480"/>
    <w:rsid w:val="008B5585"/>
    <w:rsid w:val="008B5754"/>
    <w:rsid w:val="008B5996"/>
    <w:rsid w:val="008B5A53"/>
    <w:rsid w:val="008B5AAC"/>
    <w:rsid w:val="008B5B35"/>
    <w:rsid w:val="008B5CAD"/>
    <w:rsid w:val="008B5F1D"/>
    <w:rsid w:val="008B6135"/>
    <w:rsid w:val="008B6137"/>
    <w:rsid w:val="008B6146"/>
    <w:rsid w:val="008B66BB"/>
    <w:rsid w:val="008B66D5"/>
    <w:rsid w:val="008B6872"/>
    <w:rsid w:val="008B6C64"/>
    <w:rsid w:val="008B6DCD"/>
    <w:rsid w:val="008B6F3B"/>
    <w:rsid w:val="008B6F72"/>
    <w:rsid w:val="008B6F92"/>
    <w:rsid w:val="008B7035"/>
    <w:rsid w:val="008B70D5"/>
    <w:rsid w:val="008B7201"/>
    <w:rsid w:val="008B758E"/>
    <w:rsid w:val="008B7770"/>
    <w:rsid w:val="008B77BD"/>
    <w:rsid w:val="008B7C1F"/>
    <w:rsid w:val="008B7C3B"/>
    <w:rsid w:val="008B7D07"/>
    <w:rsid w:val="008B7D2B"/>
    <w:rsid w:val="008B7FDE"/>
    <w:rsid w:val="008C0480"/>
    <w:rsid w:val="008C0511"/>
    <w:rsid w:val="008C07F8"/>
    <w:rsid w:val="008C0965"/>
    <w:rsid w:val="008C09A3"/>
    <w:rsid w:val="008C09DD"/>
    <w:rsid w:val="008C0A0E"/>
    <w:rsid w:val="008C0E33"/>
    <w:rsid w:val="008C0F24"/>
    <w:rsid w:val="008C1019"/>
    <w:rsid w:val="008C1220"/>
    <w:rsid w:val="008C1485"/>
    <w:rsid w:val="008C1543"/>
    <w:rsid w:val="008C159C"/>
    <w:rsid w:val="008C15F7"/>
    <w:rsid w:val="008C17D3"/>
    <w:rsid w:val="008C19F6"/>
    <w:rsid w:val="008C1B98"/>
    <w:rsid w:val="008C1E9C"/>
    <w:rsid w:val="008C208F"/>
    <w:rsid w:val="008C21BD"/>
    <w:rsid w:val="008C26BA"/>
    <w:rsid w:val="008C2740"/>
    <w:rsid w:val="008C2833"/>
    <w:rsid w:val="008C2A01"/>
    <w:rsid w:val="008C2CE8"/>
    <w:rsid w:val="008C2D18"/>
    <w:rsid w:val="008C2D26"/>
    <w:rsid w:val="008C2DD7"/>
    <w:rsid w:val="008C304A"/>
    <w:rsid w:val="008C31AD"/>
    <w:rsid w:val="008C3204"/>
    <w:rsid w:val="008C3312"/>
    <w:rsid w:val="008C33BA"/>
    <w:rsid w:val="008C343B"/>
    <w:rsid w:val="008C3762"/>
    <w:rsid w:val="008C37E6"/>
    <w:rsid w:val="008C3A77"/>
    <w:rsid w:val="008C3BE8"/>
    <w:rsid w:val="008C3C41"/>
    <w:rsid w:val="008C3CAD"/>
    <w:rsid w:val="008C3E3A"/>
    <w:rsid w:val="008C4053"/>
    <w:rsid w:val="008C41ED"/>
    <w:rsid w:val="008C44C4"/>
    <w:rsid w:val="008C4584"/>
    <w:rsid w:val="008C4721"/>
    <w:rsid w:val="008C473D"/>
    <w:rsid w:val="008C4778"/>
    <w:rsid w:val="008C47EB"/>
    <w:rsid w:val="008C48D1"/>
    <w:rsid w:val="008C48E1"/>
    <w:rsid w:val="008C490F"/>
    <w:rsid w:val="008C4AF7"/>
    <w:rsid w:val="008C4CA0"/>
    <w:rsid w:val="008C4CAA"/>
    <w:rsid w:val="008C4D15"/>
    <w:rsid w:val="008C4F05"/>
    <w:rsid w:val="008C566B"/>
    <w:rsid w:val="008C5842"/>
    <w:rsid w:val="008C58FE"/>
    <w:rsid w:val="008C58FF"/>
    <w:rsid w:val="008C5D2D"/>
    <w:rsid w:val="008C5E38"/>
    <w:rsid w:val="008C6016"/>
    <w:rsid w:val="008C6310"/>
    <w:rsid w:val="008C64DD"/>
    <w:rsid w:val="008C6546"/>
    <w:rsid w:val="008C67D0"/>
    <w:rsid w:val="008C68DC"/>
    <w:rsid w:val="008C698D"/>
    <w:rsid w:val="008C6A11"/>
    <w:rsid w:val="008C6C22"/>
    <w:rsid w:val="008C6CAF"/>
    <w:rsid w:val="008C6D0F"/>
    <w:rsid w:val="008C6FFA"/>
    <w:rsid w:val="008C70B9"/>
    <w:rsid w:val="008C7177"/>
    <w:rsid w:val="008C7326"/>
    <w:rsid w:val="008C7615"/>
    <w:rsid w:val="008C77E8"/>
    <w:rsid w:val="008C7891"/>
    <w:rsid w:val="008C7923"/>
    <w:rsid w:val="008C7993"/>
    <w:rsid w:val="008C7AFD"/>
    <w:rsid w:val="008C7B20"/>
    <w:rsid w:val="008C7CE2"/>
    <w:rsid w:val="008C7F00"/>
    <w:rsid w:val="008D010D"/>
    <w:rsid w:val="008D0253"/>
    <w:rsid w:val="008D036E"/>
    <w:rsid w:val="008D0473"/>
    <w:rsid w:val="008D07A7"/>
    <w:rsid w:val="008D08E8"/>
    <w:rsid w:val="008D0B08"/>
    <w:rsid w:val="008D0EDE"/>
    <w:rsid w:val="008D0FF4"/>
    <w:rsid w:val="008D1072"/>
    <w:rsid w:val="008D12F6"/>
    <w:rsid w:val="008D17CA"/>
    <w:rsid w:val="008D1E56"/>
    <w:rsid w:val="008D22D1"/>
    <w:rsid w:val="008D2410"/>
    <w:rsid w:val="008D2414"/>
    <w:rsid w:val="008D27A0"/>
    <w:rsid w:val="008D27EE"/>
    <w:rsid w:val="008D2933"/>
    <w:rsid w:val="008D2D56"/>
    <w:rsid w:val="008D2DE9"/>
    <w:rsid w:val="008D2E2A"/>
    <w:rsid w:val="008D2E40"/>
    <w:rsid w:val="008D2E47"/>
    <w:rsid w:val="008D3016"/>
    <w:rsid w:val="008D3141"/>
    <w:rsid w:val="008D3317"/>
    <w:rsid w:val="008D3C6C"/>
    <w:rsid w:val="008D3E60"/>
    <w:rsid w:val="008D4102"/>
    <w:rsid w:val="008D41AB"/>
    <w:rsid w:val="008D4318"/>
    <w:rsid w:val="008D4631"/>
    <w:rsid w:val="008D4A4D"/>
    <w:rsid w:val="008D4A5F"/>
    <w:rsid w:val="008D4BF5"/>
    <w:rsid w:val="008D4DDA"/>
    <w:rsid w:val="008D51A7"/>
    <w:rsid w:val="008D51BA"/>
    <w:rsid w:val="008D51CB"/>
    <w:rsid w:val="008D520E"/>
    <w:rsid w:val="008D533A"/>
    <w:rsid w:val="008D53C7"/>
    <w:rsid w:val="008D5725"/>
    <w:rsid w:val="008D575A"/>
    <w:rsid w:val="008D58AE"/>
    <w:rsid w:val="008D58EC"/>
    <w:rsid w:val="008D5DE7"/>
    <w:rsid w:val="008D5F58"/>
    <w:rsid w:val="008D5FC5"/>
    <w:rsid w:val="008D61A5"/>
    <w:rsid w:val="008D6670"/>
    <w:rsid w:val="008D6795"/>
    <w:rsid w:val="008D6797"/>
    <w:rsid w:val="008D68A1"/>
    <w:rsid w:val="008D68D7"/>
    <w:rsid w:val="008D6AA8"/>
    <w:rsid w:val="008D6AC6"/>
    <w:rsid w:val="008D6CCA"/>
    <w:rsid w:val="008D6D13"/>
    <w:rsid w:val="008D6DC9"/>
    <w:rsid w:val="008D6EA6"/>
    <w:rsid w:val="008D6EB2"/>
    <w:rsid w:val="008D6EC5"/>
    <w:rsid w:val="008D70B1"/>
    <w:rsid w:val="008D7389"/>
    <w:rsid w:val="008D7527"/>
    <w:rsid w:val="008D7574"/>
    <w:rsid w:val="008D7619"/>
    <w:rsid w:val="008D7679"/>
    <w:rsid w:val="008D773F"/>
    <w:rsid w:val="008D777D"/>
    <w:rsid w:val="008D7813"/>
    <w:rsid w:val="008D79D6"/>
    <w:rsid w:val="008D7BFE"/>
    <w:rsid w:val="008D7E54"/>
    <w:rsid w:val="008D7F70"/>
    <w:rsid w:val="008E0095"/>
    <w:rsid w:val="008E0218"/>
    <w:rsid w:val="008E0506"/>
    <w:rsid w:val="008E05BC"/>
    <w:rsid w:val="008E0B05"/>
    <w:rsid w:val="008E0EB8"/>
    <w:rsid w:val="008E0F21"/>
    <w:rsid w:val="008E0F34"/>
    <w:rsid w:val="008E15A3"/>
    <w:rsid w:val="008E182E"/>
    <w:rsid w:val="008E1C63"/>
    <w:rsid w:val="008E1ED3"/>
    <w:rsid w:val="008E1F1D"/>
    <w:rsid w:val="008E1FAD"/>
    <w:rsid w:val="008E210A"/>
    <w:rsid w:val="008E21BD"/>
    <w:rsid w:val="008E22CD"/>
    <w:rsid w:val="008E2429"/>
    <w:rsid w:val="008E247C"/>
    <w:rsid w:val="008E27F1"/>
    <w:rsid w:val="008E2C53"/>
    <w:rsid w:val="008E2DEB"/>
    <w:rsid w:val="008E33DC"/>
    <w:rsid w:val="008E344E"/>
    <w:rsid w:val="008E345C"/>
    <w:rsid w:val="008E3531"/>
    <w:rsid w:val="008E3AD5"/>
    <w:rsid w:val="008E3B5E"/>
    <w:rsid w:val="008E3DA9"/>
    <w:rsid w:val="008E4385"/>
    <w:rsid w:val="008E43DB"/>
    <w:rsid w:val="008E455A"/>
    <w:rsid w:val="008E45F8"/>
    <w:rsid w:val="008E466B"/>
    <w:rsid w:val="008E483A"/>
    <w:rsid w:val="008E4900"/>
    <w:rsid w:val="008E4921"/>
    <w:rsid w:val="008E4B3A"/>
    <w:rsid w:val="008E4C1D"/>
    <w:rsid w:val="008E4C80"/>
    <w:rsid w:val="008E4D47"/>
    <w:rsid w:val="008E4D51"/>
    <w:rsid w:val="008E4D8E"/>
    <w:rsid w:val="008E4E14"/>
    <w:rsid w:val="008E4FE2"/>
    <w:rsid w:val="008E53C3"/>
    <w:rsid w:val="008E556B"/>
    <w:rsid w:val="008E587B"/>
    <w:rsid w:val="008E58C1"/>
    <w:rsid w:val="008E59BA"/>
    <w:rsid w:val="008E5B4A"/>
    <w:rsid w:val="008E5C9F"/>
    <w:rsid w:val="008E5E6C"/>
    <w:rsid w:val="008E5E8E"/>
    <w:rsid w:val="008E6043"/>
    <w:rsid w:val="008E60F9"/>
    <w:rsid w:val="008E61E8"/>
    <w:rsid w:val="008E643A"/>
    <w:rsid w:val="008E64DA"/>
    <w:rsid w:val="008E6839"/>
    <w:rsid w:val="008E68D3"/>
    <w:rsid w:val="008E69FA"/>
    <w:rsid w:val="008E6C4B"/>
    <w:rsid w:val="008E6CEF"/>
    <w:rsid w:val="008E6EB8"/>
    <w:rsid w:val="008E70FA"/>
    <w:rsid w:val="008E710B"/>
    <w:rsid w:val="008E7156"/>
    <w:rsid w:val="008E7258"/>
    <w:rsid w:val="008E7396"/>
    <w:rsid w:val="008E73C3"/>
    <w:rsid w:val="008E73EA"/>
    <w:rsid w:val="008E76DD"/>
    <w:rsid w:val="008E7B93"/>
    <w:rsid w:val="008E7F06"/>
    <w:rsid w:val="008E7F5C"/>
    <w:rsid w:val="008F00D5"/>
    <w:rsid w:val="008F035C"/>
    <w:rsid w:val="008F03A2"/>
    <w:rsid w:val="008F03A5"/>
    <w:rsid w:val="008F0454"/>
    <w:rsid w:val="008F04AE"/>
    <w:rsid w:val="008F0589"/>
    <w:rsid w:val="008F066F"/>
    <w:rsid w:val="008F06AD"/>
    <w:rsid w:val="008F06B2"/>
    <w:rsid w:val="008F0978"/>
    <w:rsid w:val="008F0B2B"/>
    <w:rsid w:val="008F0CB4"/>
    <w:rsid w:val="008F0D30"/>
    <w:rsid w:val="008F0FB2"/>
    <w:rsid w:val="008F1146"/>
    <w:rsid w:val="008F144E"/>
    <w:rsid w:val="008F15A2"/>
    <w:rsid w:val="008F17C3"/>
    <w:rsid w:val="008F18FB"/>
    <w:rsid w:val="008F1A87"/>
    <w:rsid w:val="008F1ABA"/>
    <w:rsid w:val="008F1C89"/>
    <w:rsid w:val="008F1E37"/>
    <w:rsid w:val="008F1ED7"/>
    <w:rsid w:val="008F1F76"/>
    <w:rsid w:val="008F21B1"/>
    <w:rsid w:val="008F21E9"/>
    <w:rsid w:val="008F2226"/>
    <w:rsid w:val="008F23FD"/>
    <w:rsid w:val="008F244E"/>
    <w:rsid w:val="008F251B"/>
    <w:rsid w:val="008F2636"/>
    <w:rsid w:val="008F2729"/>
    <w:rsid w:val="008F2C3B"/>
    <w:rsid w:val="008F2CC0"/>
    <w:rsid w:val="008F2CF0"/>
    <w:rsid w:val="008F2E57"/>
    <w:rsid w:val="008F2F86"/>
    <w:rsid w:val="008F3193"/>
    <w:rsid w:val="008F34AD"/>
    <w:rsid w:val="008F3618"/>
    <w:rsid w:val="008F38B8"/>
    <w:rsid w:val="008F3924"/>
    <w:rsid w:val="008F3ABB"/>
    <w:rsid w:val="008F3B91"/>
    <w:rsid w:val="008F3E0C"/>
    <w:rsid w:val="008F3EE2"/>
    <w:rsid w:val="008F3FCA"/>
    <w:rsid w:val="008F4328"/>
    <w:rsid w:val="008F4367"/>
    <w:rsid w:val="008F4378"/>
    <w:rsid w:val="008F456F"/>
    <w:rsid w:val="008F483D"/>
    <w:rsid w:val="008F4971"/>
    <w:rsid w:val="008F4D0F"/>
    <w:rsid w:val="008F4D40"/>
    <w:rsid w:val="008F4DCC"/>
    <w:rsid w:val="008F4F44"/>
    <w:rsid w:val="008F4F81"/>
    <w:rsid w:val="008F506B"/>
    <w:rsid w:val="008F5159"/>
    <w:rsid w:val="008F5225"/>
    <w:rsid w:val="008F575F"/>
    <w:rsid w:val="008F58A9"/>
    <w:rsid w:val="008F5914"/>
    <w:rsid w:val="008F5975"/>
    <w:rsid w:val="008F5989"/>
    <w:rsid w:val="008F5A91"/>
    <w:rsid w:val="008F5B25"/>
    <w:rsid w:val="008F5CC1"/>
    <w:rsid w:val="008F5F8C"/>
    <w:rsid w:val="008F609C"/>
    <w:rsid w:val="008F60E5"/>
    <w:rsid w:val="008F614B"/>
    <w:rsid w:val="008F64A9"/>
    <w:rsid w:val="008F658D"/>
    <w:rsid w:val="008F6742"/>
    <w:rsid w:val="008F69D0"/>
    <w:rsid w:val="008F6A7F"/>
    <w:rsid w:val="008F6AE3"/>
    <w:rsid w:val="008F6B65"/>
    <w:rsid w:val="008F6DE8"/>
    <w:rsid w:val="008F6EB5"/>
    <w:rsid w:val="008F6F25"/>
    <w:rsid w:val="008F74E3"/>
    <w:rsid w:val="008F75F3"/>
    <w:rsid w:val="008F7662"/>
    <w:rsid w:val="008F7824"/>
    <w:rsid w:val="008F788D"/>
    <w:rsid w:val="008F79CD"/>
    <w:rsid w:val="008F7C91"/>
    <w:rsid w:val="008F7DDE"/>
    <w:rsid w:val="009000F1"/>
    <w:rsid w:val="009002A2"/>
    <w:rsid w:val="009002E0"/>
    <w:rsid w:val="0090039A"/>
    <w:rsid w:val="0090043C"/>
    <w:rsid w:val="009005C4"/>
    <w:rsid w:val="00900965"/>
    <w:rsid w:val="00900BB7"/>
    <w:rsid w:val="00900DEF"/>
    <w:rsid w:val="00901055"/>
    <w:rsid w:val="009011A7"/>
    <w:rsid w:val="009011A8"/>
    <w:rsid w:val="009014B4"/>
    <w:rsid w:val="0090184F"/>
    <w:rsid w:val="00901A01"/>
    <w:rsid w:val="00901E2C"/>
    <w:rsid w:val="00901F59"/>
    <w:rsid w:val="009021AE"/>
    <w:rsid w:val="009029A0"/>
    <w:rsid w:val="00902CB6"/>
    <w:rsid w:val="00902E9D"/>
    <w:rsid w:val="00902FF5"/>
    <w:rsid w:val="0090304F"/>
    <w:rsid w:val="0090340A"/>
    <w:rsid w:val="009034FE"/>
    <w:rsid w:val="00903B0A"/>
    <w:rsid w:val="00903BF1"/>
    <w:rsid w:val="00903EAE"/>
    <w:rsid w:val="00903EEC"/>
    <w:rsid w:val="00904125"/>
    <w:rsid w:val="009042A7"/>
    <w:rsid w:val="00904313"/>
    <w:rsid w:val="009043E2"/>
    <w:rsid w:val="009043F2"/>
    <w:rsid w:val="009045B9"/>
    <w:rsid w:val="0090468F"/>
    <w:rsid w:val="0090471B"/>
    <w:rsid w:val="009049C0"/>
    <w:rsid w:val="009049EB"/>
    <w:rsid w:val="00904AE5"/>
    <w:rsid w:val="00904CB1"/>
    <w:rsid w:val="00905068"/>
    <w:rsid w:val="00905097"/>
    <w:rsid w:val="009050D0"/>
    <w:rsid w:val="009051F8"/>
    <w:rsid w:val="009053E1"/>
    <w:rsid w:val="009053F9"/>
    <w:rsid w:val="0090543F"/>
    <w:rsid w:val="009054AA"/>
    <w:rsid w:val="009056C1"/>
    <w:rsid w:val="00905773"/>
    <w:rsid w:val="0090577B"/>
    <w:rsid w:val="0090581C"/>
    <w:rsid w:val="009058A4"/>
    <w:rsid w:val="00905AAC"/>
    <w:rsid w:val="00905D36"/>
    <w:rsid w:val="00906105"/>
    <w:rsid w:val="00906224"/>
    <w:rsid w:val="00906309"/>
    <w:rsid w:val="0090644D"/>
    <w:rsid w:val="0090644E"/>
    <w:rsid w:val="009064EA"/>
    <w:rsid w:val="0090682A"/>
    <w:rsid w:val="009069EF"/>
    <w:rsid w:val="00906B3B"/>
    <w:rsid w:val="00906B78"/>
    <w:rsid w:val="00906B7E"/>
    <w:rsid w:val="00906C3F"/>
    <w:rsid w:val="00906C83"/>
    <w:rsid w:val="00906E4D"/>
    <w:rsid w:val="00906EE2"/>
    <w:rsid w:val="00906F41"/>
    <w:rsid w:val="009071B0"/>
    <w:rsid w:val="009071B3"/>
    <w:rsid w:val="00907291"/>
    <w:rsid w:val="009072BF"/>
    <w:rsid w:val="00907315"/>
    <w:rsid w:val="00907595"/>
    <w:rsid w:val="009076ED"/>
    <w:rsid w:val="0090774F"/>
    <w:rsid w:val="009078D2"/>
    <w:rsid w:val="00907919"/>
    <w:rsid w:val="009079B7"/>
    <w:rsid w:val="00907A26"/>
    <w:rsid w:val="00910036"/>
    <w:rsid w:val="009100DC"/>
    <w:rsid w:val="00910172"/>
    <w:rsid w:val="00910176"/>
    <w:rsid w:val="00910208"/>
    <w:rsid w:val="00910419"/>
    <w:rsid w:val="00910702"/>
    <w:rsid w:val="00910A8F"/>
    <w:rsid w:val="00910B86"/>
    <w:rsid w:val="00910C5F"/>
    <w:rsid w:val="00910F3A"/>
    <w:rsid w:val="00911455"/>
    <w:rsid w:val="009114FA"/>
    <w:rsid w:val="0091159A"/>
    <w:rsid w:val="0091168E"/>
    <w:rsid w:val="00911A29"/>
    <w:rsid w:val="00911B30"/>
    <w:rsid w:val="00911BFA"/>
    <w:rsid w:val="009121BD"/>
    <w:rsid w:val="009122FC"/>
    <w:rsid w:val="0091232B"/>
    <w:rsid w:val="0091233C"/>
    <w:rsid w:val="00912345"/>
    <w:rsid w:val="009123A1"/>
    <w:rsid w:val="00912570"/>
    <w:rsid w:val="009125B0"/>
    <w:rsid w:val="00912693"/>
    <w:rsid w:val="0091298F"/>
    <w:rsid w:val="00912A0A"/>
    <w:rsid w:val="00912A26"/>
    <w:rsid w:val="00912A45"/>
    <w:rsid w:val="00912AD5"/>
    <w:rsid w:val="00912B0E"/>
    <w:rsid w:val="00912EA0"/>
    <w:rsid w:val="00912F85"/>
    <w:rsid w:val="009132EE"/>
    <w:rsid w:val="009133E9"/>
    <w:rsid w:val="009134A6"/>
    <w:rsid w:val="009138B1"/>
    <w:rsid w:val="009139A4"/>
    <w:rsid w:val="00913ABD"/>
    <w:rsid w:val="00913C4C"/>
    <w:rsid w:val="00914231"/>
    <w:rsid w:val="009144FB"/>
    <w:rsid w:val="0091496E"/>
    <w:rsid w:val="00914B27"/>
    <w:rsid w:val="00914D0A"/>
    <w:rsid w:val="00914DE2"/>
    <w:rsid w:val="00914E40"/>
    <w:rsid w:val="00914E7B"/>
    <w:rsid w:val="00914F4A"/>
    <w:rsid w:val="0091525F"/>
    <w:rsid w:val="00915283"/>
    <w:rsid w:val="009159F5"/>
    <w:rsid w:val="00915AD5"/>
    <w:rsid w:val="00915B62"/>
    <w:rsid w:val="00915E9B"/>
    <w:rsid w:val="00915ED7"/>
    <w:rsid w:val="00915F4F"/>
    <w:rsid w:val="00916426"/>
    <w:rsid w:val="009165A7"/>
    <w:rsid w:val="00916835"/>
    <w:rsid w:val="00916AD3"/>
    <w:rsid w:val="00916C10"/>
    <w:rsid w:val="009170FC"/>
    <w:rsid w:val="00917115"/>
    <w:rsid w:val="0091717D"/>
    <w:rsid w:val="00917230"/>
    <w:rsid w:val="0091723D"/>
    <w:rsid w:val="009177EC"/>
    <w:rsid w:val="00917817"/>
    <w:rsid w:val="00917CB1"/>
    <w:rsid w:val="00917D1C"/>
    <w:rsid w:val="00917E72"/>
    <w:rsid w:val="0092039E"/>
    <w:rsid w:val="0092061D"/>
    <w:rsid w:val="00920622"/>
    <w:rsid w:val="0092078F"/>
    <w:rsid w:val="009207B3"/>
    <w:rsid w:val="00920AF1"/>
    <w:rsid w:val="00920E0D"/>
    <w:rsid w:val="00920F45"/>
    <w:rsid w:val="00921080"/>
    <w:rsid w:val="009210BB"/>
    <w:rsid w:val="00921686"/>
    <w:rsid w:val="009216DB"/>
    <w:rsid w:val="009217B6"/>
    <w:rsid w:val="009219CE"/>
    <w:rsid w:val="00921BDF"/>
    <w:rsid w:val="00921D6F"/>
    <w:rsid w:val="00921DEF"/>
    <w:rsid w:val="00921E23"/>
    <w:rsid w:val="00921ECD"/>
    <w:rsid w:val="00921F2A"/>
    <w:rsid w:val="0092261B"/>
    <w:rsid w:val="0092276C"/>
    <w:rsid w:val="00922835"/>
    <w:rsid w:val="0092291F"/>
    <w:rsid w:val="00922D4F"/>
    <w:rsid w:val="00922D56"/>
    <w:rsid w:val="00922EDD"/>
    <w:rsid w:val="00922F4F"/>
    <w:rsid w:val="00923008"/>
    <w:rsid w:val="009233D3"/>
    <w:rsid w:val="009234AE"/>
    <w:rsid w:val="00923740"/>
    <w:rsid w:val="0092395E"/>
    <w:rsid w:val="009239AB"/>
    <w:rsid w:val="00923A52"/>
    <w:rsid w:val="00923A8D"/>
    <w:rsid w:val="00923D78"/>
    <w:rsid w:val="009241B0"/>
    <w:rsid w:val="009242B2"/>
    <w:rsid w:val="0092449B"/>
    <w:rsid w:val="00924571"/>
    <w:rsid w:val="009248AB"/>
    <w:rsid w:val="009248D6"/>
    <w:rsid w:val="009249CD"/>
    <w:rsid w:val="00924B2C"/>
    <w:rsid w:val="00924CDE"/>
    <w:rsid w:val="00924EDD"/>
    <w:rsid w:val="009251DA"/>
    <w:rsid w:val="009255A2"/>
    <w:rsid w:val="00925695"/>
    <w:rsid w:val="009256AC"/>
    <w:rsid w:val="0092586D"/>
    <w:rsid w:val="009259E3"/>
    <w:rsid w:val="00925AD3"/>
    <w:rsid w:val="00925B19"/>
    <w:rsid w:val="00925B26"/>
    <w:rsid w:val="00925F0C"/>
    <w:rsid w:val="0092607A"/>
    <w:rsid w:val="00926146"/>
    <w:rsid w:val="0092624F"/>
    <w:rsid w:val="00926276"/>
    <w:rsid w:val="00926443"/>
    <w:rsid w:val="009265E6"/>
    <w:rsid w:val="0092680D"/>
    <w:rsid w:val="00926CCF"/>
    <w:rsid w:val="00926F3E"/>
    <w:rsid w:val="009274A7"/>
    <w:rsid w:val="009276E6"/>
    <w:rsid w:val="00927821"/>
    <w:rsid w:val="009279EF"/>
    <w:rsid w:val="00927B27"/>
    <w:rsid w:val="00927E0F"/>
    <w:rsid w:val="00927FA4"/>
    <w:rsid w:val="00930005"/>
    <w:rsid w:val="00930161"/>
    <w:rsid w:val="00930239"/>
    <w:rsid w:val="0093025B"/>
    <w:rsid w:val="0093036B"/>
    <w:rsid w:val="009303EA"/>
    <w:rsid w:val="0093057D"/>
    <w:rsid w:val="00930868"/>
    <w:rsid w:val="00930881"/>
    <w:rsid w:val="009309CF"/>
    <w:rsid w:val="00931183"/>
    <w:rsid w:val="009311B4"/>
    <w:rsid w:val="009313A6"/>
    <w:rsid w:val="0093163E"/>
    <w:rsid w:val="00931679"/>
    <w:rsid w:val="00931772"/>
    <w:rsid w:val="00931787"/>
    <w:rsid w:val="009317F4"/>
    <w:rsid w:val="00931985"/>
    <w:rsid w:val="00931BD3"/>
    <w:rsid w:val="00931C1F"/>
    <w:rsid w:val="00931CA4"/>
    <w:rsid w:val="00931DB1"/>
    <w:rsid w:val="00931F35"/>
    <w:rsid w:val="00931F87"/>
    <w:rsid w:val="00931FE0"/>
    <w:rsid w:val="009320C5"/>
    <w:rsid w:val="009323F0"/>
    <w:rsid w:val="009324BD"/>
    <w:rsid w:val="00932594"/>
    <w:rsid w:val="009326A6"/>
    <w:rsid w:val="0093276F"/>
    <w:rsid w:val="00932780"/>
    <w:rsid w:val="009327B7"/>
    <w:rsid w:val="00932883"/>
    <w:rsid w:val="00932B0B"/>
    <w:rsid w:val="00932B22"/>
    <w:rsid w:val="00932B9B"/>
    <w:rsid w:val="00932BD6"/>
    <w:rsid w:val="00932D6C"/>
    <w:rsid w:val="00932D77"/>
    <w:rsid w:val="00932FB8"/>
    <w:rsid w:val="00933165"/>
    <w:rsid w:val="009332BD"/>
    <w:rsid w:val="009333EF"/>
    <w:rsid w:val="0093346A"/>
    <w:rsid w:val="0093351F"/>
    <w:rsid w:val="00933687"/>
    <w:rsid w:val="009336EB"/>
    <w:rsid w:val="009338ED"/>
    <w:rsid w:val="0093396C"/>
    <w:rsid w:val="00933C42"/>
    <w:rsid w:val="00933DED"/>
    <w:rsid w:val="00934371"/>
    <w:rsid w:val="00934427"/>
    <w:rsid w:val="009344F6"/>
    <w:rsid w:val="00934540"/>
    <w:rsid w:val="0093496F"/>
    <w:rsid w:val="009349CC"/>
    <w:rsid w:val="00934A00"/>
    <w:rsid w:val="00934A29"/>
    <w:rsid w:val="00934BFA"/>
    <w:rsid w:val="00934D45"/>
    <w:rsid w:val="00934E1D"/>
    <w:rsid w:val="00934E2B"/>
    <w:rsid w:val="009354D2"/>
    <w:rsid w:val="00935731"/>
    <w:rsid w:val="009357CE"/>
    <w:rsid w:val="0093589D"/>
    <w:rsid w:val="00935961"/>
    <w:rsid w:val="00935A49"/>
    <w:rsid w:val="00935B23"/>
    <w:rsid w:val="00935CCC"/>
    <w:rsid w:val="00935E21"/>
    <w:rsid w:val="00936228"/>
    <w:rsid w:val="00936477"/>
    <w:rsid w:val="0093656A"/>
    <w:rsid w:val="009366A9"/>
    <w:rsid w:val="00936713"/>
    <w:rsid w:val="00936962"/>
    <w:rsid w:val="009369A7"/>
    <w:rsid w:val="00936A4B"/>
    <w:rsid w:val="00936B01"/>
    <w:rsid w:val="00936B0E"/>
    <w:rsid w:val="00936B14"/>
    <w:rsid w:val="00936C46"/>
    <w:rsid w:val="00936E63"/>
    <w:rsid w:val="00936EE3"/>
    <w:rsid w:val="00937071"/>
    <w:rsid w:val="0093713A"/>
    <w:rsid w:val="0093736E"/>
    <w:rsid w:val="0093762B"/>
    <w:rsid w:val="0093765F"/>
    <w:rsid w:val="009379F6"/>
    <w:rsid w:val="00937B44"/>
    <w:rsid w:val="00937BA6"/>
    <w:rsid w:val="00937CE2"/>
    <w:rsid w:val="00937FF8"/>
    <w:rsid w:val="00940034"/>
    <w:rsid w:val="00940225"/>
    <w:rsid w:val="00940444"/>
    <w:rsid w:val="00940502"/>
    <w:rsid w:val="00940701"/>
    <w:rsid w:val="0094077B"/>
    <w:rsid w:val="00940A96"/>
    <w:rsid w:val="00940F78"/>
    <w:rsid w:val="00941048"/>
    <w:rsid w:val="009412A6"/>
    <w:rsid w:val="00941331"/>
    <w:rsid w:val="00941653"/>
    <w:rsid w:val="00941668"/>
    <w:rsid w:val="00941717"/>
    <w:rsid w:val="0094171D"/>
    <w:rsid w:val="00941804"/>
    <w:rsid w:val="009418BD"/>
    <w:rsid w:val="009418EF"/>
    <w:rsid w:val="00941985"/>
    <w:rsid w:val="00941A3E"/>
    <w:rsid w:val="00941B08"/>
    <w:rsid w:val="00941E39"/>
    <w:rsid w:val="00941F46"/>
    <w:rsid w:val="009421F7"/>
    <w:rsid w:val="00942259"/>
    <w:rsid w:val="009422CE"/>
    <w:rsid w:val="009425D4"/>
    <w:rsid w:val="009427FD"/>
    <w:rsid w:val="0094293F"/>
    <w:rsid w:val="00942AAD"/>
    <w:rsid w:val="00942B8A"/>
    <w:rsid w:val="00942C02"/>
    <w:rsid w:val="00942D20"/>
    <w:rsid w:val="00942E58"/>
    <w:rsid w:val="00943162"/>
    <w:rsid w:val="009434AA"/>
    <w:rsid w:val="00943568"/>
    <w:rsid w:val="00943743"/>
    <w:rsid w:val="00943899"/>
    <w:rsid w:val="009439B4"/>
    <w:rsid w:val="00943A02"/>
    <w:rsid w:val="00943DBA"/>
    <w:rsid w:val="00943F25"/>
    <w:rsid w:val="00944004"/>
    <w:rsid w:val="00944157"/>
    <w:rsid w:val="0094468A"/>
    <w:rsid w:val="00944733"/>
    <w:rsid w:val="0094480D"/>
    <w:rsid w:val="00944944"/>
    <w:rsid w:val="00944A42"/>
    <w:rsid w:val="00944B22"/>
    <w:rsid w:val="00944EAE"/>
    <w:rsid w:val="00945056"/>
    <w:rsid w:val="00945221"/>
    <w:rsid w:val="009452E8"/>
    <w:rsid w:val="00945401"/>
    <w:rsid w:val="009454C2"/>
    <w:rsid w:val="00945552"/>
    <w:rsid w:val="00945691"/>
    <w:rsid w:val="0094572B"/>
    <w:rsid w:val="00945800"/>
    <w:rsid w:val="00945DC8"/>
    <w:rsid w:val="00945ECF"/>
    <w:rsid w:val="00945EDA"/>
    <w:rsid w:val="00945EF8"/>
    <w:rsid w:val="00946030"/>
    <w:rsid w:val="0094616E"/>
    <w:rsid w:val="009461D3"/>
    <w:rsid w:val="009461ED"/>
    <w:rsid w:val="0094620A"/>
    <w:rsid w:val="0094627F"/>
    <w:rsid w:val="00946336"/>
    <w:rsid w:val="0094648D"/>
    <w:rsid w:val="0094675F"/>
    <w:rsid w:val="009469EF"/>
    <w:rsid w:val="00946ACA"/>
    <w:rsid w:val="00946BC5"/>
    <w:rsid w:val="00946DD8"/>
    <w:rsid w:val="00946ED4"/>
    <w:rsid w:val="009472C1"/>
    <w:rsid w:val="00947321"/>
    <w:rsid w:val="0094736B"/>
    <w:rsid w:val="00947494"/>
    <w:rsid w:val="009474B1"/>
    <w:rsid w:val="00947527"/>
    <w:rsid w:val="00947537"/>
    <w:rsid w:val="00947544"/>
    <w:rsid w:val="00947ACF"/>
    <w:rsid w:val="00947E6F"/>
    <w:rsid w:val="00947EB7"/>
    <w:rsid w:val="00947EE3"/>
    <w:rsid w:val="00947FC1"/>
    <w:rsid w:val="0095000B"/>
    <w:rsid w:val="009501C3"/>
    <w:rsid w:val="00950546"/>
    <w:rsid w:val="00950992"/>
    <w:rsid w:val="00950A12"/>
    <w:rsid w:val="00950A2C"/>
    <w:rsid w:val="0095108B"/>
    <w:rsid w:val="0095120D"/>
    <w:rsid w:val="009512F9"/>
    <w:rsid w:val="009515F1"/>
    <w:rsid w:val="009518BB"/>
    <w:rsid w:val="00951AEB"/>
    <w:rsid w:val="00951BA7"/>
    <w:rsid w:val="00951C2C"/>
    <w:rsid w:val="00951C63"/>
    <w:rsid w:val="00951FAA"/>
    <w:rsid w:val="0095253E"/>
    <w:rsid w:val="009525A0"/>
    <w:rsid w:val="00952684"/>
    <w:rsid w:val="009526EC"/>
    <w:rsid w:val="009527A7"/>
    <w:rsid w:val="00952892"/>
    <w:rsid w:val="00952925"/>
    <w:rsid w:val="0095293D"/>
    <w:rsid w:val="0095295C"/>
    <w:rsid w:val="00952A17"/>
    <w:rsid w:val="00952F97"/>
    <w:rsid w:val="00952FB1"/>
    <w:rsid w:val="00953012"/>
    <w:rsid w:val="0095342F"/>
    <w:rsid w:val="0095347D"/>
    <w:rsid w:val="009534FE"/>
    <w:rsid w:val="00953767"/>
    <w:rsid w:val="009537EA"/>
    <w:rsid w:val="0095397B"/>
    <w:rsid w:val="00953C92"/>
    <w:rsid w:val="00953DF1"/>
    <w:rsid w:val="00953F24"/>
    <w:rsid w:val="00954114"/>
    <w:rsid w:val="0095425C"/>
    <w:rsid w:val="00954263"/>
    <w:rsid w:val="00954267"/>
    <w:rsid w:val="0095469F"/>
    <w:rsid w:val="009546A5"/>
    <w:rsid w:val="00954A4D"/>
    <w:rsid w:val="00954AC7"/>
    <w:rsid w:val="00954D43"/>
    <w:rsid w:val="00955501"/>
    <w:rsid w:val="009555C4"/>
    <w:rsid w:val="009556F6"/>
    <w:rsid w:val="00955810"/>
    <w:rsid w:val="0095588B"/>
    <w:rsid w:val="00955A0D"/>
    <w:rsid w:val="00955A58"/>
    <w:rsid w:val="00955A68"/>
    <w:rsid w:val="00955A9A"/>
    <w:rsid w:val="00955AA7"/>
    <w:rsid w:val="00955B51"/>
    <w:rsid w:val="00955C8F"/>
    <w:rsid w:val="00955DB3"/>
    <w:rsid w:val="00955DEA"/>
    <w:rsid w:val="0095601E"/>
    <w:rsid w:val="0095615A"/>
    <w:rsid w:val="009562CD"/>
    <w:rsid w:val="0095676F"/>
    <w:rsid w:val="009567CE"/>
    <w:rsid w:val="00956BD1"/>
    <w:rsid w:val="00956C6B"/>
    <w:rsid w:val="00956CF1"/>
    <w:rsid w:val="00956FAA"/>
    <w:rsid w:val="009570E0"/>
    <w:rsid w:val="009571B4"/>
    <w:rsid w:val="009571B5"/>
    <w:rsid w:val="009572B4"/>
    <w:rsid w:val="00957324"/>
    <w:rsid w:val="009575AA"/>
    <w:rsid w:val="009577CE"/>
    <w:rsid w:val="009578C2"/>
    <w:rsid w:val="0095797F"/>
    <w:rsid w:val="00957D51"/>
    <w:rsid w:val="00957D81"/>
    <w:rsid w:val="00960200"/>
    <w:rsid w:val="00960365"/>
    <w:rsid w:val="009603B2"/>
    <w:rsid w:val="0096054A"/>
    <w:rsid w:val="009606DE"/>
    <w:rsid w:val="00960713"/>
    <w:rsid w:val="009607A5"/>
    <w:rsid w:val="00960976"/>
    <w:rsid w:val="00960994"/>
    <w:rsid w:val="00960F17"/>
    <w:rsid w:val="00960F75"/>
    <w:rsid w:val="00961016"/>
    <w:rsid w:val="00961045"/>
    <w:rsid w:val="0096141E"/>
    <w:rsid w:val="00961561"/>
    <w:rsid w:val="009617AC"/>
    <w:rsid w:val="00961802"/>
    <w:rsid w:val="0096181D"/>
    <w:rsid w:val="0096192E"/>
    <w:rsid w:val="00961A4F"/>
    <w:rsid w:val="0096211F"/>
    <w:rsid w:val="0096217A"/>
    <w:rsid w:val="009622B4"/>
    <w:rsid w:val="0096244A"/>
    <w:rsid w:val="009625A3"/>
    <w:rsid w:val="00962E65"/>
    <w:rsid w:val="00962EBB"/>
    <w:rsid w:val="00962F9F"/>
    <w:rsid w:val="0096319A"/>
    <w:rsid w:val="009632EE"/>
    <w:rsid w:val="00963495"/>
    <w:rsid w:val="00963661"/>
    <w:rsid w:val="0096366D"/>
    <w:rsid w:val="00963816"/>
    <w:rsid w:val="009638F5"/>
    <w:rsid w:val="00963B95"/>
    <w:rsid w:val="00963C0C"/>
    <w:rsid w:val="00963C53"/>
    <w:rsid w:val="00963CC0"/>
    <w:rsid w:val="00963E50"/>
    <w:rsid w:val="00964342"/>
    <w:rsid w:val="009643C2"/>
    <w:rsid w:val="009646C4"/>
    <w:rsid w:val="009646FC"/>
    <w:rsid w:val="009648AB"/>
    <w:rsid w:val="00964D9B"/>
    <w:rsid w:val="00965383"/>
    <w:rsid w:val="009655DA"/>
    <w:rsid w:val="00965660"/>
    <w:rsid w:val="009656AC"/>
    <w:rsid w:val="009656B7"/>
    <w:rsid w:val="00965AFD"/>
    <w:rsid w:val="00965D6F"/>
    <w:rsid w:val="00965E95"/>
    <w:rsid w:val="00965EB7"/>
    <w:rsid w:val="00966092"/>
    <w:rsid w:val="00966249"/>
    <w:rsid w:val="0096638D"/>
    <w:rsid w:val="009663DB"/>
    <w:rsid w:val="009664B7"/>
    <w:rsid w:val="009664D6"/>
    <w:rsid w:val="009664E9"/>
    <w:rsid w:val="009665E9"/>
    <w:rsid w:val="009665ED"/>
    <w:rsid w:val="009667D9"/>
    <w:rsid w:val="009669C9"/>
    <w:rsid w:val="00966ADB"/>
    <w:rsid w:val="00966BC5"/>
    <w:rsid w:val="00966C3D"/>
    <w:rsid w:val="00966E81"/>
    <w:rsid w:val="00966EC4"/>
    <w:rsid w:val="00966EE7"/>
    <w:rsid w:val="00966F1F"/>
    <w:rsid w:val="0096706F"/>
    <w:rsid w:val="0096727C"/>
    <w:rsid w:val="009672A0"/>
    <w:rsid w:val="00967501"/>
    <w:rsid w:val="0096779A"/>
    <w:rsid w:val="0096783A"/>
    <w:rsid w:val="00967A85"/>
    <w:rsid w:val="00967E23"/>
    <w:rsid w:val="00967E42"/>
    <w:rsid w:val="00967EBF"/>
    <w:rsid w:val="00967ED3"/>
    <w:rsid w:val="0097006D"/>
    <w:rsid w:val="00970433"/>
    <w:rsid w:val="00970514"/>
    <w:rsid w:val="00970544"/>
    <w:rsid w:val="00970694"/>
    <w:rsid w:val="009706D6"/>
    <w:rsid w:val="0097085D"/>
    <w:rsid w:val="0097089C"/>
    <w:rsid w:val="00970977"/>
    <w:rsid w:val="00970D1D"/>
    <w:rsid w:val="00970E43"/>
    <w:rsid w:val="00971061"/>
    <w:rsid w:val="009710AA"/>
    <w:rsid w:val="009713C1"/>
    <w:rsid w:val="0097153A"/>
    <w:rsid w:val="00971710"/>
    <w:rsid w:val="00971720"/>
    <w:rsid w:val="009718E2"/>
    <w:rsid w:val="00971AD9"/>
    <w:rsid w:val="00971EF0"/>
    <w:rsid w:val="00971F5C"/>
    <w:rsid w:val="00972046"/>
    <w:rsid w:val="00972178"/>
    <w:rsid w:val="0097243D"/>
    <w:rsid w:val="00972495"/>
    <w:rsid w:val="00972641"/>
    <w:rsid w:val="0097299E"/>
    <w:rsid w:val="00972A18"/>
    <w:rsid w:val="00972BD7"/>
    <w:rsid w:val="00972C25"/>
    <w:rsid w:val="00972C90"/>
    <w:rsid w:val="00972CA2"/>
    <w:rsid w:val="00972CC3"/>
    <w:rsid w:val="00972D27"/>
    <w:rsid w:val="00972E78"/>
    <w:rsid w:val="00972E98"/>
    <w:rsid w:val="00973088"/>
    <w:rsid w:val="009730D5"/>
    <w:rsid w:val="00973362"/>
    <w:rsid w:val="009734D3"/>
    <w:rsid w:val="009735CB"/>
    <w:rsid w:val="00973763"/>
    <w:rsid w:val="00973777"/>
    <w:rsid w:val="00973862"/>
    <w:rsid w:val="00973A14"/>
    <w:rsid w:val="00973A66"/>
    <w:rsid w:val="00973B0E"/>
    <w:rsid w:val="00973B37"/>
    <w:rsid w:val="00973CB8"/>
    <w:rsid w:val="00973D1F"/>
    <w:rsid w:val="00973DE9"/>
    <w:rsid w:val="00974176"/>
    <w:rsid w:val="009743FA"/>
    <w:rsid w:val="009743FE"/>
    <w:rsid w:val="0097452D"/>
    <w:rsid w:val="00974699"/>
    <w:rsid w:val="0097472F"/>
    <w:rsid w:val="009747BE"/>
    <w:rsid w:val="009747ED"/>
    <w:rsid w:val="00974818"/>
    <w:rsid w:val="009748CF"/>
    <w:rsid w:val="00974994"/>
    <w:rsid w:val="00974AB0"/>
    <w:rsid w:val="00974AE6"/>
    <w:rsid w:val="00974B0C"/>
    <w:rsid w:val="00974B73"/>
    <w:rsid w:val="00974C15"/>
    <w:rsid w:val="00974CBC"/>
    <w:rsid w:val="00975347"/>
    <w:rsid w:val="009753EC"/>
    <w:rsid w:val="009758BF"/>
    <w:rsid w:val="00975928"/>
    <w:rsid w:val="00975941"/>
    <w:rsid w:val="00975D07"/>
    <w:rsid w:val="00975F2C"/>
    <w:rsid w:val="00976217"/>
    <w:rsid w:val="00976772"/>
    <w:rsid w:val="0097688A"/>
    <w:rsid w:val="0097695E"/>
    <w:rsid w:val="009769F6"/>
    <w:rsid w:val="00976A01"/>
    <w:rsid w:val="00976AAB"/>
    <w:rsid w:val="00976B60"/>
    <w:rsid w:val="00976CF1"/>
    <w:rsid w:val="00976E2D"/>
    <w:rsid w:val="00976EE8"/>
    <w:rsid w:val="00976EEF"/>
    <w:rsid w:val="00977142"/>
    <w:rsid w:val="00977229"/>
    <w:rsid w:val="00977301"/>
    <w:rsid w:val="009773D6"/>
    <w:rsid w:val="00977789"/>
    <w:rsid w:val="009778C7"/>
    <w:rsid w:val="009778C8"/>
    <w:rsid w:val="009778D2"/>
    <w:rsid w:val="00977D85"/>
    <w:rsid w:val="00977DAA"/>
    <w:rsid w:val="00977E01"/>
    <w:rsid w:val="00977E23"/>
    <w:rsid w:val="00980176"/>
    <w:rsid w:val="009801C4"/>
    <w:rsid w:val="00980223"/>
    <w:rsid w:val="00980260"/>
    <w:rsid w:val="009802AD"/>
    <w:rsid w:val="009807BB"/>
    <w:rsid w:val="00980917"/>
    <w:rsid w:val="00980994"/>
    <w:rsid w:val="00980B11"/>
    <w:rsid w:val="00980B1F"/>
    <w:rsid w:val="00980D71"/>
    <w:rsid w:val="00980E86"/>
    <w:rsid w:val="00980FC1"/>
    <w:rsid w:val="00981292"/>
    <w:rsid w:val="00981395"/>
    <w:rsid w:val="00981404"/>
    <w:rsid w:val="00981495"/>
    <w:rsid w:val="00981589"/>
    <w:rsid w:val="009815AC"/>
    <w:rsid w:val="00981768"/>
    <w:rsid w:val="00981BB7"/>
    <w:rsid w:val="00981C89"/>
    <w:rsid w:val="00981D8D"/>
    <w:rsid w:val="00981DBB"/>
    <w:rsid w:val="00981E80"/>
    <w:rsid w:val="00982128"/>
    <w:rsid w:val="009822CC"/>
    <w:rsid w:val="0098278E"/>
    <w:rsid w:val="009829D0"/>
    <w:rsid w:val="00982B3D"/>
    <w:rsid w:val="00982B98"/>
    <w:rsid w:val="00982BB3"/>
    <w:rsid w:val="00982DAA"/>
    <w:rsid w:val="00982F0B"/>
    <w:rsid w:val="009831AF"/>
    <w:rsid w:val="009831BF"/>
    <w:rsid w:val="00983271"/>
    <w:rsid w:val="009834A7"/>
    <w:rsid w:val="009835F8"/>
    <w:rsid w:val="00983889"/>
    <w:rsid w:val="0098389E"/>
    <w:rsid w:val="00983949"/>
    <w:rsid w:val="00983A2E"/>
    <w:rsid w:val="00983A94"/>
    <w:rsid w:val="00983B2E"/>
    <w:rsid w:val="00983B8E"/>
    <w:rsid w:val="00983C57"/>
    <w:rsid w:val="00984611"/>
    <w:rsid w:val="00984634"/>
    <w:rsid w:val="009846EC"/>
    <w:rsid w:val="00984787"/>
    <w:rsid w:val="009848A9"/>
    <w:rsid w:val="00984BB4"/>
    <w:rsid w:val="00984FC1"/>
    <w:rsid w:val="00984FF7"/>
    <w:rsid w:val="0098503C"/>
    <w:rsid w:val="0098585F"/>
    <w:rsid w:val="009859CA"/>
    <w:rsid w:val="00985AED"/>
    <w:rsid w:val="00985DC9"/>
    <w:rsid w:val="00985F80"/>
    <w:rsid w:val="00986135"/>
    <w:rsid w:val="009861F7"/>
    <w:rsid w:val="0098620B"/>
    <w:rsid w:val="009867A3"/>
    <w:rsid w:val="009869D4"/>
    <w:rsid w:val="00986D14"/>
    <w:rsid w:val="00986D16"/>
    <w:rsid w:val="00986EC4"/>
    <w:rsid w:val="00986F29"/>
    <w:rsid w:val="009870A7"/>
    <w:rsid w:val="0098722E"/>
    <w:rsid w:val="009873B0"/>
    <w:rsid w:val="00987430"/>
    <w:rsid w:val="00987867"/>
    <w:rsid w:val="0098793A"/>
    <w:rsid w:val="00987E73"/>
    <w:rsid w:val="00987FCC"/>
    <w:rsid w:val="009900BA"/>
    <w:rsid w:val="00990259"/>
    <w:rsid w:val="0099029D"/>
    <w:rsid w:val="009903A6"/>
    <w:rsid w:val="009903A9"/>
    <w:rsid w:val="00990608"/>
    <w:rsid w:val="009906AB"/>
    <w:rsid w:val="009908B8"/>
    <w:rsid w:val="009908FA"/>
    <w:rsid w:val="00990A24"/>
    <w:rsid w:val="00990E2D"/>
    <w:rsid w:val="00991086"/>
    <w:rsid w:val="009910AA"/>
    <w:rsid w:val="00991283"/>
    <w:rsid w:val="00991457"/>
    <w:rsid w:val="00991667"/>
    <w:rsid w:val="00991715"/>
    <w:rsid w:val="00991843"/>
    <w:rsid w:val="00991A6B"/>
    <w:rsid w:val="00991C22"/>
    <w:rsid w:val="00991C71"/>
    <w:rsid w:val="009921A3"/>
    <w:rsid w:val="0099240E"/>
    <w:rsid w:val="00992544"/>
    <w:rsid w:val="00992552"/>
    <w:rsid w:val="00992694"/>
    <w:rsid w:val="009926EB"/>
    <w:rsid w:val="009926F5"/>
    <w:rsid w:val="009928C6"/>
    <w:rsid w:val="00992B96"/>
    <w:rsid w:val="00992CA5"/>
    <w:rsid w:val="00992D79"/>
    <w:rsid w:val="00992D86"/>
    <w:rsid w:val="00993195"/>
    <w:rsid w:val="0099324A"/>
    <w:rsid w:val="00993282"/>
    <w:rsid w:val="00993346"/>
    <w:rsid w:val="009935B4"/>
    <w:rsid w:val="009938D7"/>
    <w:rsid w:val="00993B5A"/>
    <w:rsid w:val="00993B65"/>
    <w:rsid w:val="00993DB0"/>
    <w:rsid w:val="00994154"/>
    <w:rsid w:val="009943D9"/>
    <w:rsid w:val="0099465A"/>
    <w:rsid w:val="00994772"/>
    <w:rsid w:val="00994969"/>
    <w:rsid w:val="009949E6"/>
    <w:rsid w:val="00994AF2"/>
    <w:rsid w:val="00994C71"/>
    <w:rsid w:val="00995125"/>
    <w:rsid w:val="009951C6"/>
    <w:rsid w:val="00995200"/>
    <w:rsid w:val="009953A5"/>
    <w:rsid w:val="009953F0"/>
    <w:rsid w:val="009954B2"/>
    <w:rsid w:val="009954CA"/>
    <w:rsid w:val="00995610"/>
    <w:rsid w:val="0099568D"/>
    <w:rsid w:val="009956FE"/>
    <w:rsid w:val="0099578F"/>
    <w:rsid w:val="009958BD"/>
    <w:rsid w:val="009958FE"/>
    <w:rsid w:val="00995C8E"/>
    <w:rsid w:val="00995F37"/>
    <w:rsid w:val="00995F7B"/>
    <w:rsid w:val="0099604A"/>
    <w:rsid w:val="0099623C"/>
    <w:rsid w:val="00996377"/>
    <w:rsid w:val="0099659B"/>
    <w:rsid w:val="00996794"/>
    <w:rsid w:val="00996A99"/>
    <w:rsid w:val="00996C8F"/>
    <w:rsid w:val="00996DA8"/>
    <w:rsid w:val="009970BA"/>
    <w:rsid w:val="00997263"/>
    <w:rsid w:val="009972DD"/>
    <w:rsid w:val="009975B6"/>
    <w:rsid w:val="00997697"/>
    <w:rsid w:val="00997727"/>
    <w:rsid w:val="009978AF"/>
    <w:rsid w:val="00997B89"/>
    <w:rsid w:val="00997D04"/>
    <w:rsid w:val="00997D32"/>
    <w:rsid w:val="00997F4A"/>
    <w:rsid w:val="009A0101"/>
    <w:rsid w:val="009A0370"/>
    <w:rsid w:val="009A03AF"/>
    <w:rsid w:val="009A04F9"/>
    <w:rsid w:val="009A0721"/>
    <w:rsid w:val="009A0728"/>
    <w:rsid w:val="009A0985"/>
    <w:rsid w:val="009A0BEB"/>
    <w:rsid w:val="009A0DF8"/>
    <w:rsid w:val="009A10FC"/>
    <w:rsid w:val="009A14E4"/>
    <w:rsid w:val="009A155B"/>
    <w:rsid w:val="009A191F"/>
    <w:rsid w:val="009A19AE"/>
    <w:rsid w:val="009A1B7F"/>
    <w:rsid w:val="009A1C13"/>
    <w:rsid w:val="009A1D56"/>
    <w:rsid w:val="009A1E59"/>
    <w:rsid w:val="009A1EF1"/>
    <w:rsid w:val="009A1EF5"/>
    <w:rsid w:val="009A1F01"/>
    <w:rsid w:val="009A2099"/>
    <w:rsid w:val="009A2408"/>
    <w:rsid w:val="009A242B"/>
    <w:rsid w:val="009A251C"/>
    <w:rsid w:val="009A252B"/>
    <w:rsid w:val="009A2AC1"/>
    <w:rsid w:val="009A2AE7"/>
    <w:rsid w:val="009A2B88"/>
    <w:rsid w:val="009A2B91"/>
    <w:rsid w:val="009A2F1F"/>
    <w:rsid w:val="009A3150"/>
    <w:rsid w:val="009A31AA"/>
    <w:rsid w:val="009A3659"/>
    <w:rsid w:val="009A369E"/>
    <w:rsid w:val="009A3A74"/>
    <w:rsid w:val="009A3B21"/>
    <w:rsid w:val="009A3E85"/>
    <w:rsid w:val="009A40EB"/>
    <w:rsid w:val="009A41BF"/>
    <w:rsid w:val="009A41C5"/>
    <w:rsid w:val="009A455F"/>
    <w:rsid w:val="009A456C"/>
    <w:rsid w:val="009A4571"/>
    <w:rsid w:val="009A4572"/>
    <w:rsid w:val="009A45D5"/>
    <w:rsid w:val="009A46AD"/>
    <w:rsid w:val="009A4717"/>
    <w:rsid w:val="009A4B80"/>
    <w:rsid w:val="009A4EB1"/>
    <w:rsid w:val="009A4ED2"/>
    <w:rsid w:val="009A5089"/>
    <w:rsid w:val="009A50E6"/>
    <w:rsid w:val="009A51F7"/>
    <w:rsid w:val="009A523B"/>
    <w:rsid w:val="009A5259"/>
    <w:rsid w:val="009A53A3"/>
    <w:rsid w:val="009A596A"/>
    <w:rsid w:val="009A5A75"/>
    <w:rsid w:val="009A5C5E"/>
    <w:rsid w:val="009A5DA4"/>
    <w:rsid w:val="009A5E2B"/>
    <w:rsid w:val="009A602C"/>
    <w:rsid w:val="009A60C4"/>
    <w:rsid w:val="009A6155"/>
    <w:rsid w:val="009A623B"/>
    <w:rsid w:val="009A62D8"/>
    <w:rsid w:val="009A633C"/>
    <w:rsid w:val="009A680E"/>
    <w:rsid w:val="009A6875"/>
    <w:rsid w:val="009A6B39"/>
    <w:rsid w:val="009A6C0F"/>
    <w:rsid w:val="009A6C5A"/>
    <w:rsid w:val="009A6C9A"/>
    <w:rsid w:val="009A709B"/>
    <w:rsid w:val="009A726C"/>
    <w:rsid w:val="009A736B"/>
    <w:rsid w:val="009A7A5A"/>
    <w:rsid w:val="009A7E0F"/>
    <w:rsid w:val="009B005A"/>
    <w:rsid w:val="009B02B1"/>
    <w:rsid w:val="009B0564"/>
    <w:rsid w:val="009B079E"/>
    <w:rsid w:val="009B0851"/>
    <w:rsid w:val="009B08F5"/>
    <w:rsid w:val="009B090B"/>
    <w:rsid w:val="009B09C7"/>
    <w:rsid w:val="009B0CD3"/>
    <w:rsid w:val="009B103E"/>
    <w:rsid w:val="009B109F"/>
    <w:rsid w:val="009B112D"/>
    <w:rsid w:val="009B1261"/>
    <w:rsid w:val="009B12B6"/>
    <w:rsid w:val="009B1569"/>
    <w:rsid w:val="009B169F"/>
    <w:rsid w:val="009B16FA"/>
    <w:rsid w:val="009B1797"/>
    <w:rsid w:val="009B17CF"/>
    <w:rsid w:val="009B196D"/>
    <w:rsid w:val="009B1A2B"/>
    <w:rsid w:val="009B1A35"/>
    <w:rsid w:val="009B1CA3"/>
    <w:rsid w:val="009B1D2C"/>
    <w:rsid w:val="009B2062"/>
    <w:rsid w:val="009B2342"/>
    <w:rsid w:val="009B2378"/>
    <w:rsid w:val="009B2558"/>
    <w:rsid w:val="009B2835"/>
    <w:rsid w:val="009B2924"/>
    <w:rsid w:val="009B2B85"/>
    <w:rsid w:val="009B2C62"/>
    <w:rsid w:val="009B2CF4"/>
    <w:rsid w:val="009B2DE8"/>
    <w:rsid w:val="009B2E5E"/>
    <w:rsid w:val="009B2FBF"/>
    <w:rsid w:val="009B30D9"/>
    <w:rsid w:val="009B31C7"/>
    <w:rsid w:val="009B31E9"/>
    <w:rsid w:val="009B31F0"/>
    <w:rsid w:val="009B327C"/>
    <w:rsid w:val="009B3435"/>
    <w:rsid w:val="009B37E0"/>
    <w:rsid w:val="009B38C8"/>
    <w:rsid w:val="009B3CEC"/>
    <w:rsid w:val="009B4220"/>
    <w:rsid w:val="009B42D0"/>
    <w:rsid w:val="009B43A3"/>
    <w:rsid w:val="009B43C7"/>
    <w:rsid w:val="009B44D2"/>
    <w:rsid w:val="009B45FE"/>
    <w:rsid w:val="009B460A"/>
    <w:rsid w:val="009B467C"/>
    <w:rsid w:val="009B4893"/>
    <w:rsid w:val="009B4F49"/>
    <w:rsid w:val="009B5387"/>
    <w:rsid w:val="009B5513"/>
    <w:rsid w:val="009B5528"/>
    <w:rsid w:val="009B592F"/>
    <w:rsid w:val="009B5D4B"/>
    <w:rsid w:val="009B61AD"/>
    <w:rsid w:val="009B6481"/>
    <w:rsid w:val="009B656A"/>
    <w:rsid w:val="009B65D3"/>
    <w:rsid w:val="009B6820"/>
    <w:rsid w:val="009B68C9"/>
    <w:rsid w:val="009B703C"/>
    <w:rsid w:val="009B7214"/>
    <w:rsid w:val="009B7246"/>
    <w:rsid w:val="009B73B8"/>
    <w:rsid w:val="009B74BF"/>
    <w:rsid w:val="009B7A4C"/>
    <w:rsid w:val="009B7C77"/>
    <w:rsid w:val="009B7CEE"/>
    <w:rsid w:val="009B7D50"/>
    <w:rsid w:val="009B7E11"/>
    <w:rsid w:val="009B7FA4"/>
    <w:rsid w:val="009C023F"/>
    <w:rsid w:val="009C043F"/>
    <w:rsid w:val="009C05E3"/>
    <w:rsid w:val="009C077F"/>
    <w:rsid w:val="009C07A2"/>
    <w:rsid w:val="009C0A46"/>
    <w:rsid w:val="009C0AAD"/>
    <w:rsid w:val="009C0B1E"/>
    <w:rsid w:val="009C0B27"/>
    <w:rsid w:val="009C1204"/>
    <w:rsid w:val="009C121E"/>
    <w:rsid w:val="009C16CD"/>
    <w:rsid w:val="009C1984"/>
    <w:rsid w:val="009C1B27"/>
    <w:rsid w:val="009C1B9D"/>
    <w:rsid w:val="009C1D76"/>
    <w:rsid w:val="009C1E8C"/>
    <w:rsid w:val="009C200D"/>
    <w:rsid w:val="009C20CA"/>
    <w:rsid w:val="009C2301"/>
    <w:rsid w:val="009C23E7"/>
    <w:rsid w:val="009C2498"/>
    <w:rsid w:val="009C2570"/>
    <w:rsid w:val="009C25C1"/>
    <w:rsid w:val="009C267D"/>
    <w:rsid w:val="009C27A7"/>
    <w:rsid w:val="009C2860"/>
    <w:rsid w:val="009C2A4D"/>
    <w:rsid w:val="009C2BA2"/>
    <w:rsid w:val="009C2E1E"/>
    <w:rsid w:val="009C2E29"/>
    <w:rsid w:val="009C2EB7"/>
    <w:rsid w:val="009C2EC3"/>
    <w:rsid w:val="009C31D7"/>
    <w:rsid w:val="009C31FC"/>
    <w:rsid w:val="009C3446"/>
    <w:rsid w:val="009C3451"/>
    <w:rsid w:val="009C34A6"/>
    <w:rsid w:val="009C374B"/>
    <w:rsid w:val="009C3B7E"/>
    <w:rsid w:val="009C3C38"/>
    <w:rsid w:val="009C3ECC"/>
    <w:rsid w:val="009C4449"/>
    <w:rsid w:val="009C4631"/>
    <w:rsid w:val="009C4737"/>
    <w:rsid w:val="009C473F"/>
    <w:rsid w:val="009C4953"/>
    <w:rsid w:val="009C4992"/>
    <w:rsid w:val="009C49DF"/>
    <w:rsid w:val="009C4E6A"/>
    <w:rsid w:val="009C51B9"/>
    <w:rsid w:val="009C52A1"/>
    <w:rsid w:val="009C52A7"/>
    <w:rsid w:val="009C5636"/>
    <w:rsid w:val="009C56FD"/>
    <w:rsid w:val="009C57FA"/>
    <w:rsid w:val="009C580D"/>
    <w:rsid w:val="009C58C1"/>
    <w:rsid w:val="009C59C7"/>
    <w:rsid w:val="009C5B57"/>
    <w:rsid w:val="009C5BF2"/>
    <w:rsid w:val="009C5CEA"/>
    <w:rsid w:val="009C5D13"/>
    <w:rsid w:val="009C5FAC"/>
    <w:rsid w:val="009C6084"/>
    <w:rsid w:val="009C61C8"/>
    <w:rsid w:val="009C6475"/>
    <w:rsid w:val="009C64F4"/>
    <w:rsid w:val="009C6AC8"/>
    <w:rsid w:val="009C6B95"/>
    <w:rsid w:val="009C6FD5"/>
    <w:rsid w:val="009C7321"/>
    <w:rsid w:val="009C74CB"/>
    <w:rsid w:val="009C75F3"/>
    <w:rsid w:val="009C77E7"/>
    <w:rsid w:val="009C7BED"/>
    <w:rsid w:val="009D0112"/>
    <w:rsid w:val="009D0175"/>
    <w:rsid w:val="009D01DF"/>
    <w:rsid w:val="009D022D"/>
    <w:rsid w:val="009D0239"/>
    <w:rsid w:val="009D0503"/>
    <w:rsid w:val="009D07CD"/>
    <w:rsid w:val="009D0A8E"/>
    <w:rsid w:val="009D0D02"/>
    <w:rsid w:val="009D0E1F"/>
    <w:rsid w:val="009D0E6D"/>
    <w:rsid w:val="009D0ECC"/>
    <w:rsid w:val="009D0EEA"/>
    <w:rsid w:val="009D1119"/>
    <w:rsid w:val="009D1198"/>
    <w:rsid w:val="009D11FA"/>
    <w:rsid w:val="009D12D5"/>
    <w:rsid w:val="009D138D"/>
    <w:rsid w:val="009D1463"/>
    <w:rsid w:val="009D152F"/>
    <w:rsid w:val="009D164F"/>
    <w:rsid w:val="009D188B"/>
    <w:rsid w:val="009D19EE"/>
    <w:rsid w:val="009D1EBB"/>
    <w:rsid w:val="009D267E"/>
    <w:rsid w:val="009D26F7"/>
    <w:rsid w:val="009D2BDE"/>
    <w:rsid w:val="009D2EC8"/>
    <w:rsid w:val="009D3060"/>
    <w:rsid w:val="009D3166"/>
    <w:rsid w:val="009D330E"/>
    <w:rsid w:val="009D331C"/>
    <w:rsid w:val="009D335D"/>
    <w:rsid w:val="009D33E9"/>
    <w:rsid w:val="009D343A"/>
    <w:rsid w:val="009D35C5"/>
    <w:rsid w:val="009D3667"/>
    <w:rsid w:val="009D3803"/>
    <w:rsid w:val="009D3A33"/>
    <w:rsid w:val="009D3BA8"/>
    <w:rsid w:val="009D3BD6"/>
    <w:rsid w:val="009D3D2A"/>
    <w:rsid w:val="009D3F55"/>
    <w:rsid w:val="009D3FE7"/>
    <w:rsid w:val="009D43A2"/>
    <w:rsid w:val="009D4447"/>
    <w:rsid w:val="009D4461"/>
    <w:rsid w:val="009D45E9"/>
    <w:rsid w:val="009D46E9"/>
    <w:rsid w:val="009D473A"/>
    <w:rsid w:val="009D48B1"/>
    <w:rsid w:val="009D4998"/>
    <w:rsid w:val="009D49A6"/>
    <w:rsid w:val="009D4BAB"/>
    <w:rsid w:val="009D4D3D"/>
    <w:rsid w:val="009D4EBE"/>
    <w:rsid w:val="009D5085"/>
    <w:rsid w:val="009D5089"/>
    <w:rsid w:val="009D50FC"/>
    <w:rsid w:val="009D5260"/>
    <w:rsid w:val="009D52C1"/>
    <w:rsid w:val="009D5364"/>
    <w:rsid w:val="009D5422"/>
    <w:rsid w:val="009D548F"/>
    <w:rsid w:val="009D5683"/>
    <w:rsid w:val="009D5732"/>
    <w:rsid w:val="009D5745"/>
    <w:rsid w:val="009D5A37"/>
    <w:rsid w:val="009D5C8D"/>
    <w:rsid w:val="009D6219"/>
    <w:rsid w:val="009D6267"/>
    <w:rsid w:val="009D6300"/>
    <w:rsid w:val="009D63F8"/>
    <w:rsid w:val="009D64F5"/>
    <w:rsid w:val="009D6510"/>
    <w:rsid w:val="009D65C3"/>
    <w:rsid w:val="009D685E"/>
    <w:rsid w:val="009D6899"/>
    <w:rsid w:val="009D6D70"/>
    <w:rsid w:val="009D72E1"/>
    <w:rsid w:val="009D7317"/>
    <w:rsid w:val="009D75CB"/>
    <w:rsid w:val="009D79AC"/>
    <w:rsid w:val="009D7A39"/>
    <w:rsid w:val="009D7A60"/>
    <w:rsid w:val="009D7B04"/>
    <w:rsid w:val="009D7D8D"/>
    <w:rsid w:val="009D7E24"/>
    <w:rsid w:val="009D7EB9"/>
    <w:rsid w:val="009E0217"/>
    <w:rsid w:val="009E02E0"/>
    <w:rsid w:val="009E030F"/>
    <w:rsid w:val="009E043B"/>
    <w:rsid w:val="009E052E"/>
    <w:rsid w:val="009E064D"/>
    <w:rsid w:val="009E06AE"/>
    <w:rsid w:val="009E0C3B"/>
    <w:rsid w:val="009E0D62"/>
    <w:rsid w:val="009E0EBE"/>
    <w:rsid w:val="009E0EC5"/>
    <w:rsid w:val="009E1002"/>
    <w:rsid w:val="009E1073"/>
    <w:rsid w:val="009E1132"/>
    <w:rsid w:val="009E120E"/>
    <w:rsid w:val="009E1287"/>
    <w:rsid w:val="009E12E1"/>
    <w:rsid w:val="009E130A"/>
    <w:rsid w:val="009E140C"/>
    <w:rsid w:val="009E1433"/>
    <w:rsid w:val="009E1EBE"/>
    <w:rsid w:val="009E1F0B"/>
    <w:rsid w:val="009E226B"/>
    <w:rsid w:val="009E22F9"/>
    <w:rsid w:val="009E244B"/>
    <w:rsid w:val="009E2490"/>
    <w:rsid w:val="009E26AC"/>
    <w:rsid w:val="009E27AF"/>
    <w:rsid w:val="009E2886"/>
    <w:rsid w:val="009E2E63"/>
    <w:rsid w:val="009E2F77"/>
    <w:rsid w:val="009E327E"/>
    <w:rsid w:val="009E32AF"/>
    <w:rsid w:val="009E33C7"/>
    <w:rsid w:val="009E3621"/>
    <w:rsid w:val="009E3746"/>
    <w:rsid w:val="009E3B68"/>
    <w:rsid w:val="009E3BFB"/>
    <w:rsid w:val="009E3CEB"/>
    <w:rsid w:val="009E3DEF"/>
    <w:rsid w:val="009E3FBB"/>
    <w:rsid w:val="009E4345"/>
    <w:rsid w:val="009E43F3"/>
    <w:rsid w:val="009E442C"/>
    <w:rsid w:val="009E45A9"/>
    <w:rsid w:val="009E45BC"/>
    <w:rsid w:val="009E489E"/>
    <w:rsid w:val="009E4B3A"/>
    <w:rsid w:val="009E4B7A"/>
    <w:rsid w:val="009E4C40"/>
    <w:rsid w:val="009E4E3E"/>
    <w:rsid w:val="009E5380"/>
    <w:rsid w:val="009E5581"/>
    <w:rsid w:val="009E559C"/>
    <w:rsid w:val="009E5706"/>
    <w:rsid w:val="009E5749"/>
    <w:rsid w:val="009E5769"/>
    <w:rsid w:val="009E57B6"/>
    <w:rsid w:val="009E586B"/>
    <w:rsid w:val="009E5939"/>
    <w:rsid w:val="009E5976"/>
    <w:rsid w:val="009E599E"/>
    <w:rsid w:val="009E6197"/>
    <w:rsid w:val="009E622E"/>
    <w:rsid w:val="009E6B76"/>
    <w:rsid w:val="009E6B92"/>
    <w:rsid w:val="009E6C85"/>
    <w:rsid w:val="009E6E2F"/>
    <w:rsid w:val="009E706D"/>
    <w:rsid w:val="009E7455"/>
    <w:rsid w:val="009E78CC"/>
    <w:rsid w:val="009E79C4"/>
    <w:rsid w:val="009E79DE"/>
    <w:rsid w:val="009E7B5B"/>
    <w:rsid w:val="009E7CD3"/>
    <w:rsid w:val="009E7D12"/>
    <w:rsid w:val="009E7D94"/>
    <w:rsid w:val="009E7EC0"/>
    <w:rsid w:val="009F00A7"/>
    <w:rsid w:val="009F00BC"/>
    <w:rsid w:val="009F0237"/>
    <w:rsid w:val="009F0336"/>
    <w:rsid w:val="009F0468"/>
    <w:rsid w:val="009F04C2"/>
    <w:rsid w:val="009F0548"/>
    <w:rsid w:val="009F05CD"/>
    <w:rsid w:val="009F092E"/>
    <w:rsid w:val="009F0C22"/>
    <w:rsid w:val="009F0C78"/>
    <w:rsid w:val="009F0D3A"/>
    <w:rsid w:val="009F0DA4"/>
    <w:rsid w:val="009F10E2"/>
    <w:rsid w:val="009F1243"/>
    <w:rsid w:val="009F1284"/>
    <w:rsid w:val="009F132B"/>
    <w:rsid w:val="009F136F"/>
    <w:rsid w:val="009F13F0"/>
    <w:rsid w:val="009F15B5"/>
    <w:rsid w:val="009F1A37"/>
    <w:rsid w:val="009F1BF5"/>
    <w:rsid w:val="009F1CD4"/>
    <w:rsid w:val="009F1DA4"/>
    <w:rsid w:val="009F2240"/>
    <w:rsid w:val="009F25BE"/>
    <w:rsid w:val="009F2631"/>
    <w:rsid w:val="009F2692"/>
    <w:rsid w:val="009F269A"/>
    <w:rsid w:val="009F277E"/>
    <w:rsid w:val="009F2A78"/>
    <w:rsid w:val="009F2A8E"/>
    <w:rsid w:val="009F2B0D"/>
    <w:rsid w:val="009F2BB8"/>
    <w:rsid w:val="009F2E61"/>
    <w:rsid w:val="009F2FF9"/>
    <w:rsid w:val="009F34D7"/>
    <w:rsid w:val="009F3572"/>
    <w:rsid w:val="009F35F8"/>
    <w:rsid w:val="009F3C22"/>
    <w:rsid w:val="009F3DD1"/>
    <w:rsid w:val="009F3DEB"/>
    <w:rsid w:val="009F441D"/>
    <w:rsid w:val="009F449C"/>
    <w:rsid w:val="009F44D3"/>
    <w:rsid w:val="009F4547"/>
    <w:rsid w:val="009F45E5"/>
    <w:rsid w:val="009F4B20"/>
    <w:rsid w:val="009F4CC6"/>
    <w:rsid w:val="009F4E2D"/>
    <w:rsid w:val="009F4F0B"/>
    <w:rsid w:val="009F51F3"/>
    <w:rsid w:val="009F52AE"/>
    <w:rsid w:val="009F5351"/>
    <w:rsid w:val="009F5354"/>
    <w:rsid w:val="009F53A5"/>
    <w:rsid w:val="009F53CF"/>
    <w:rsid w:val="009F5666"/>
    <w:rsid w:val="009F572F"/>
    <w:rsid w:val="009F5926"/>
    <w:rsid w:val="009F61D1"/>
    <w:rsid w:val="009F63DC"/>
    <w:rsid w:val="009F6438"/>
    <w:rsid w:val="009F6445"/>
    <w:rsid w:val="009F65F6"/>
    <w:rsid w:val="009F6799"/>
    <w:rsid w:val="009F6BBA"/>
    <w:rsid w:val="009F6CE0"/>
    <w:rsid w:val="009F6DA6"/>
    <w:rsid w:val="009F6DE1"/>
    <w:rsid w:val="009F6FCD"/>
    <w:rsid w:val="009F720F"/>
    <w:rsid w:val="009F7289"/>
    <w:rsid w:val="009F7673"/>
    <w:rsid w:val="009F7A8A"/>
    <w:rsid w:val="009F7D1D"/>
    <w:rsid w:val="009FA2A5"/>
    <w:rsid w:val="00A001D9"/>
    <w:rsid w:val="00A00363"/>
    <w:rsid w:val="00A005C2"/>
    <w:rsid w:val="00A0076E"/>
    <w:rsid w:val="00A007EE"/>
    <w:rsid w:val="00A0091E"/>
    <w:rsid w:val="00A00C23"/>
    <w:rsid w:val="00A00CD8"/>
    <w:rsid w:val="00A00FE4"/>
    <w:rsid w:val="00A010F3"/>
    <w:rsid w:val="00A0128F"/>
    <w:rsid w:val="00A01388"/>
    <w:rsid w:val="00A01667"/>
    <w:rsid w:val="00A0185F"/>
    <w:rsid w:val="00A0186B"/>
    <w:rsid w:val="00A018C8"/>
    <w:rsid w:val="00A018CA"/>
    <w:rsid w:val="00A018E5"/>
    <w:rsid w:val="00A01940"/>
    <w:rsid w:val="00A019A7"/>
    <w:rsid w:val="00A019F3"/>
    <w:rsid w:val="00A01C37"/>
    <w:rsid w:val="00A01D57"/>
    <w:rsid w:val="00A01F3D"/>
    <w:rsid w:val="00A0240F"/>
    <w:rsid w:val="00A024D0"/>
    <w:rsid w:val="00A0269B"/>
    <w:rsid w:val="00A0274B"/>
    <w:rsid w:val="00A027C1"/>
    <w:rsid w:val="00A02826"/>
    <w:rsid w:val="00A02933"/>
    <w:rsid w:val="00A029DA"/>
    <w:rsid w:val="00A02EF1"/>
    <w:rsid w:val="00A02F36"/>
    <w:rsid w:val="00A030B3"/>
    <w:rsid w:val="00A03106"/>
    <w:rsid w:val="00A03167"/>
    <w:rsid w:val="00A0317A"/>
    <w:rsid w:val="00A0356E"/>
    <w:rsid w:val="00A03724"/>
    <w:rsid w:val="00A03B1F"/>
    <w:rsid w:val="00A03B69"/>
    <w:rsid w:val="00A03C5E"/>
    <w:rsid w:val="00A03C81"/>
    <w:rsid w:val="00A03D4E"/>
    <w:rsid w:val="00A03D84"/>
    <w:rsid w:val="00A03E16"/>
    <w:rsid w:val="00A04310"/>
    <w:rsid w:val="00A0431F"/>
    <w:rsid w:val="00A04394"/>
    <w:rsid w:val="00A0477E"/>
    <w:rsid w:val="00A047EE"/>
    <w:rsid w:val="00A04928"/>
    <w:rsid w:val="00A04B0C"/>
    <w:rsid w:val="00A04B14"/>
    <w:rsid w:val="00A04C62"/>
    <w:rsid w:val="00A04F49"/>
    <w:rsid w:val="00A05032"/>
    <w:rsid w:val="00A05058"/>
    <w:rsid w:val="00A05171"/>
    <w:rsid w:val="00A05488"/>
    <w:rsid w:val="00A057AD"/>
    <w:rsid w:val="00A0580F"/>
    <w:rsid w:val="00A05A1B"/>
    <w:rsid w:val="00A05BEC"/>
    <w:rsid w:val="00A05C63"/>
    <w:rsid w:val="00A05E55"/>
    <w:rsid w:val="00A0628A"/>
    <w:rsid w:val="00A065B8"/>
    <w:rsid w:val="00A06765"/>
    <w:rsid w:val="00A067F2"/>
    <w:rsid w:val="00A0691B"/>
    <w:rsid w:val="00A0692F"/>
    <w:rsid w:val="00A06931"/>
    <w:rsid w:val="00A06975"/>
    <w:rsid w:val="00A069AD"/>
    <w:rsid w:val="00A070C3"/>
    <w:rsid w:val="00A071EC"/>
    <w:rsid w:val="00A0725E"/>
    <w:rsid w:val="00A07558"/>
    <w:rsid w:val="00A07591"/>
    <w:rsid w:val="00A075F3"/>
    <w:rsid w:val="00A078AF"/>
    <w:rsid w:val="00A078D0"/>
    <w:rsid w:val="00A079D0"/>
    <w:rsid w:val="00A07A53"/>
    <w:rsid w:val="00A07A7C"/>
    <w:rsid w:val="00A07B6C"/>
    <w:rsid w:val="00A07C14"/>
    <w:rsid w:val="00A07C4E"/>
    <w:rsid w:val="00A07F02"/>
    <w:rsid w:val="00A1010D"/>
    <w:rsid w:val="00A102E3"/>
    <w:rsid w:val="00A10315"/>
    <w:rsid w:val="00A103F4"/>
    <w:rsid w:val="00A10418"/>
    <w:rsid w:val="00A1090B"/>
    <w:rsid w:val="00A10C4D"/>
    <w:rsid w:val="00A10C69"/>
    <w:rsid w:val="00A10EC0"/>
    <w:rsid w:val="00A10FCC"/>
    <w:rsid w:val="00A11000"/>
    <w:rsid w:val="00A11043"/>
    <w:rsid w:val="00A110EC"/>
    <w:rsid w:val="00A113F6"/>
    <w:rsid w:val="00A11452"/>
    <w:rsid w:val="00A114E1"/>
    <w:rsid w:val="00A11871"/>
    <w:rsid w:val="00A11921"/>
    <w:rsid w:val="00A11966"/>
    <w:rsid w:val="00A1198A"/>
    <w:rsid w:val="00A11C9A"/>
    <w:rsid w:val="00A11C9B"/>
    <w:rsid w:val="00A11D58"/>
    <w:rsid w:val="00A1211D"/>
    <w:rsid w:val="00A12127"/>
    <w:rsid w:val="00A12192"/>
    <w:rsid w:val="00A12805"/>
    <w:rsid w:val="00A12B8E"/>
    <w:rsid w:val="00A12C4C"/>
    <w:rsid w:val="00A12C67"/>
    <w:rsid w:val="00A12ED5"/>
    <w:rsid w:val="00A12EE0"/>
    <w:rsid w:val="00A12F2B"/>
    <w:rsid w:val="00A132AC"/>
    <w:rsid w:val="00A137D9"/>
    <w:rsid w:val="00A13916"/>
    <w:rsid w:val="00A13C97"/>
    <w:rsid w:val="00A13D66"/>
    <w:rsid w:val="00A13EED"/>
    <w:rsid w:val="00A13F98"/>
    <w:rsid w:val="00A14122"/>
    <w:rsid w:val="00A14146"/>
    <w:rsid w:val="00A14334"/>
    <w:rsid w:val="00A1438A"/>
    <w:rsid w:val="00A144FC"/>
    <w:rsid w:val="00A1461C"/>
    <w:rsid w:val="00A14623"/>
    <w:rsid w:val="00A14636"/>
    <w:rsid w:val="00A1479E"/>
    <w:rsid w:val="00A147A6"/>
    <w:rsid w:val="00A147F1"/>
    <w:rsid w:val="00A14A10"/>
    <w:rsid w:val="00A14B2D"/>
    <w:rsid w:val="00A14BB6"/>
    <w:rsid w:val="00A14C21"/>
    <w:rsid w:val="00A14C53"/>
    <w:rsid w:val="00A150D1"/>
    <w:rsid w:val="00A153DC"/>
    <w:rsid w:val="00A153E5"/>
    <w:rsid w:val="00A154BF"/>
    <w:rsid w:val="00A156EA"/>
    <w:rsid w:val="00A158C8"/>
    <w:rsid w:val="00A15961"/>
    <w:rsid w:val="00A15AC3"/>
    <w:rsid w:val="00A15B3A"/>
    <w:rsid w:val="00A15B8B"/>
    <w:rsid w:val="00A15B9D"/>
    <w:rsid w:val="00A15D4C"/>
    <w:rsid w:val="00A1601A"/>
    <w:rsid w:val="00A161C2"/>
    <w:rsid w:val="00A164D3"/>
    <w:rsid w:val="00A16569"/>
    <w:rsid w:val="00A16A49"/>
    <w:rsid w:val="00A16C4A"/>
    <w:rsid w:val="00A16DE1"/>
    <w:rsid w:val="00A16E34"/>
    <w:rsid w:val="00A17057"/>
    <w:rsid w:val="00A170D9"/>
    <w:rsid w:val="00A1735D"/>
    <w:rsid w:val="00A173FA"/>
    <w:rsid w:val="00A1751C"/>
    <w:rsid w:val="00A179AF"/>
    <w:rsid w:val="00A17AEB"/>
    <w:rsid w:val="00A17B76"/>
    <w:rsid w:val="00A17C03"/>
    <w:rsid w:val="00A17E48"/>
    <w:rsid w:val="00A17E72"/>
    <w:rsid w:val="00A17EB2"/>
    <w:rsid w:val="00A17EE3"/>
    <w:rsid w:val="00A20079"/>
    <w:rsid w:val="00A200D7"/>
    <w:rsid w:val="00A2010A"/>
    <w:rsid w:val="00A20200"/>
    <w:rsid w:val="00A20297"/>
    <w:rsid w:val="00A203A7"/>
    <w:rsid w:val="00A204EE"/>
    <w:rsid w:val="00A20553"/>
    <w:rsid w:val="00A205E7"/>
    <w:rsid w:val="00A20690"/>
    <w:rsid w:val="00A20902"/>
    <w:rsid w:val="00A20966"/>
    <w:rsid w:val="00A209C7"/>
    <w:rsid w:val="00A20C58"/>
    <w:rsid w:val="00A20E5E"/>
    <w:rsid w:val="00A21095"/>
    <w:rsid w:val="00A2112D"/>
    <w:rsid w:val="00A21335"/>
    <w:rsid w:val="00A217CB"/>
    <w:rsid w:val="00A2188F"/>
    <w:rsid w:val="00A21AAC"/>
    <w:rsid w:val="00A21CB7"/>
    <w:rsid w:val="00A21DC8"/>
    <w:rsid w:val="00A21EA2"/>
    <w:rsid w:val="00A21F04"/>
    <w:rsid w:val="00A21F1D"/>
    <w:rsid w:val="00A2217B"/>
    <w:rsid w:val="00A223E1"/>
    <w:rsid w:val="00A2241B"/>
    <w:rsid w:val="00A22617"/>
    <w:rsid w:val="00A22927"/>
    <w:rsid w:val="00A229A1"/>
    <w:rsid w:val="00A22CC5"/>
    <w:rsid w:val="00A22E53"/>
    <w:rsid w:val="00A22F02"/>
    <w:rsid w:val="00A23179"/>
    <w:rsid w:val="00A231C7"/>
    <w:rsid w:val="00A232A7"/>
    <w:rsid w:val="00A2330A"/>
    <w:rsid w:val="00A2351C"/>
    <w:rsid w:val="00A2365D"/>
    <w:rsid w:val="00A238AA"/>
    <w:rsid w:val="00A23AE6"/>
    <w:rsid w:val="00A23B90"/>
    <w:rsid w:val="00A23DD1"/>
    <w:rsid w:val="00A23DD3"/>
    <w:rsid w:val="00A23FD9"/>
    <w:rsid w:val="00A24159"/>
    <w:rsid w:val="00A2449B"/>
    <w:rsid w:val="00A24621"/>
    <w:rsid w:val="00A24667"/>
    <w:rsid w:val="00A247FC"/>
    <w:rsid w:val="00A24A56"/>
    <w:rsid w:val="00A24F2F"/>
    <w:rsid w:val="00A24FBA"/>
    <w:rsid w:val="00A25319"/>
    <w:rsid w:val="00A2558C"/>
    <w:rsid w:val="00A257E4"/>
    <w:rsid w:val="00A25804"/>
    <w:rsid w:val="00A25875"/>
    <w:rsid w:val="00A25A0C"/>
    <w:rsid w:val="00A25AE8"/>
    <w:rsid w:val="00A25B01"/>
    <w:rsid w:val="00A25B5A"/>
    <w:rsid w:val="00A25F64"/>
    <w:rsid w:val="00A2627A"/>
    <w:rsid w:val="00A26359"/>
    <w:rsid w:val="00A26426"/>
    <w:rsid w:val="00A265D8"/>
    <w:rsid w:val="00A26643"/>
    <w:rsid w:val="00A26788"/>
    <w:rsid w:val="00A26846"/>
    <w:rsid w:val="00A26944"/>
    <w:rsid w:val="00A26B4F"/>
    <w:rsid w:val="00A26E1B"/>
    <w:rsid w:val="00A26E73"/>
    <w:rsid w:val="00A26F87"/>
    <w:rsid w:val="00A26FAE"/>
    <w:rsid w:val="00A270B8"/>
    <w:rsid w:val="00A270D3"/>
    <w:rsid w:val="00A272AC"/>
    <w:rsid w:val="00A273BA"/>
    <w:rsid w:val="00A274B2"/>
    <w:rsid w:val="00A27536"/>
    <w:rsid w:val="00A276CA"/>
    <w:rsid w:val="00A27753"/>
    <w:rsid w:val="00A27918"/>
    <w:rsid w:val="00A27A5E"/>
    <w:rsid w:val="00A27AD5"/>
    <w:rsid w:val="00A27AF6"/>
    <w:rsid w:val="00A27BBE"/>
    <w:rsid w:val="00A27C90"/>
    <w:rsid w:val="00A27CBF"/>
    <w:rsid w:val="00A27EFE"/>
    <w:rsid w:val="00A300E7"/>
    <w:rsid w:val="00A301B9"/>
    <w:rsid w:val="00A30502"/>
    <w:rsid w:val="00A306A5"/>
    <w:rsid w:val="00A30AA1"/>
    <w:rsid w:val="00A30AEE"/>
    <w:rsid w:val="00A310CB"/>
    <w:rsid w:val="00A310D8"/>
    <w:rsid w:val="00A31111"/>
    <w:rsid w:val="00A31195"/>
    <w:rsid w:val="00A3126E"/>
    <w:rsid w:val="00A31540"/>
    <w:rsid w:val="00A315E0"/>
    <w:rsid w:val="00A31792"/>
    <w:rsid w:val="00A318D3"/>
    <w:rsid w:val="00A31968"/>
    <w:rsid w:val="00A31BE2"/>
    <w:rsid w:val="00A31C92"/>
    <w:rsid w:val="00A31E99"/>
    <w:rsid w:val="00A31FEE"/>
    <w:rsid w:val="00A32163"/>
    <w:rsid w:val="00A321F8"/>
    <w:rsid w:val="00A32578"/>
    <w:rsid w:val="00A325DA"/>
    <w:rsid w:val="00A32837"/>
    <w:rsid w:val="00A3283C"/>
    <w:rsid w:val="00A3283E"/>
    <w:rsid w:val="00A32867"/>
    <w:rsid w:val="00A3295D"/>
    <w:rsid w:val="00A32A60"/>
    <w:rsid w:val="00A32B0C"/>
    <w:rsid w:val="00A32D16"/>
    <w:rsid w:val="00A32DF5"/>
    <w:rsid w:val="00A32E39"/>
    <w:rsid w:val="00A32F9D"/>
    <w:rsid w:val="00A331C4"/>
    <w:rsid w:val="00A33235"/>
    <w:rsid w:val="00A332AE"/>
    <w:rsid w:val="00A333AD"/>
    <w:rsid w:val="00A333B0"/>
    <w:rsid w:val="00A3360E"/>
    <w:rsid w:val="00A33663"/>
    <w:rsid w:val="00A33735"/>
    <w:rsid w:val="00A337AA"/>
    <w:rsid w:val="00A3381D"/>
    <w:rsid w:val="00A3399F"/>
    <w:rsid w:val="00A339AF"/>
    <w:rsid w:val="00A33BE2"/>
    <w:rsid w:val="00A33E65"/>
    <w:rsid w:val="00A33FE4"/>
    <w:rsid w:val="00A340BE"/>
    <w:rsid w:val="00A34114"/>
    <w:rsid w:val="00A342A4"/>
    <w:rsid w:val="00A3478D"/>
    <w:rsid w:val="00A34800"/>
    <w:rsid w:val="00A34884"/>
    <w:rsid w:val="00A34C32"/>
    <w:rsid w:val="00A34C61"/>
    <w:rsid w:val="00A34D13"/>
    <w:rsid w:val="00A34DE1"/>
    <w:rsid w:val="00A34F2B"/>
    <w:rsid w:val="00A34F5F"/>
    <w:rsid w:val="00A34F86"/>
    <w:rsid w:val="00A35312"/>
    <w:rsid w:val="00A35378"/>
    <w:rsid w:val="00A353E3"/>
    <w:rsid w:val="00A3545F"/>
    <w:rsid w:val="00A35498"/>
    <w:rsid w:val="00A35619"/>
    <w:rsid w:val="00A3572A"/>
    <w:rsid w:val="00A357F3"/>
    <w:rsid w:val="00A358EB"/>
    <w:rsid w:val="00A35914"/>
    <w:rsid w:val="00A359BB"/>
    <w:rsid w:val="00A35ACC"/>
    <w:rsid w:val="00A35D10"/>
    <w:rsid w:val="00A35D88"/>
    <w:rsid w:val="00A35E17"/>
    <w:rsid w:val="00A3629F"/>
    <w:rsid w:val="00A36614"/>
    <w:rsid w:val="00A36876"/>
    <w:rsid w:val="00A368E7"/>
    <w:rsid w:val="00A36C82"/>
    <w:rsid w:val="00A36CD7"/>
    <w:rsid w:val="00A36CE5"/>
    <w:rsid w:val="00A36EF4"/>
    <w:rsid w:val="00A37016"/>
    <w:rsid w:val="00A3710B"/>
    <w:rsid w:val="00A371A6"/>
    <w:rsid w:val="00A3727F"/>
    <w:rsid w:val="00A374A8"/>
    <w:rsid w:val="00A374BA"/>
    <w:rsid w:val="00A37747"/>
    <w:rsid w:val="00A3780B"/>
    <w:rsid w:val="00A379BE"/>
    <w:rsid w:val="00A379DD"/>
    <w:rsid w:val="00A37A6D"/>
    <w:rsid w:val="00A37A71"/>
    <w:rsid w:val="00A37A80"/>
    <w:rsid w:val="00A37B3F"/>
    <w:rsid w:val="00A37BF8"/>
    <w:rsid w:val="00A37C6D"/>
    <w:rsid w:val="00A37DC0"/>
    <w:rsid w:val="00A37EAF"/>
    <w:rsid w:val="00A37F4F"/>
    <w:rsid w:val="00A38B66"/>
    <w:rsid w:val="00A4011D"/>
    <w:rsid w:val="00A40427"/>
    <w:rsid w:val="00A405A7"/>
    <w:rsid w:val="00A40729"/>
    <w:rsid w:val="00A40778"/>
    <w:rsid w:val="00A407C9"/>
    <w:rsid w:val="00A408D3"/>
    <w:rsid w:val="00A40A70"/>
    <w:rsid w:val="00A40CAC"/>
    <w:rsid w:val="00A40DA5"/>
    <w:rsid w:val="00A40DC9"/>
    <w:rsid w:val="00A40E11"/>
    <w:rsid w:val="00A40E12"/>
    <w:rsid w:val="00A40E66"/>
    <w:rsid w:val="00A410CA"/>
    <w:rsid w:val="00A410E3"/>
    <w:rsid w:val="00A411C7"/>
    <w:rsid w:val="00A411F2"/>
    <w:rsid w:val="00A41265"/>
    <w:rsid w:val="00A41308"/>
    <w:rsid w:val="00A41B6A"/>
    <w:rsid w:val="00A41CB8"/>
    <w:rsid w:val="00A41CD8"/>
    <w:rsid w:val="00A41D63"/>
    <w:rsid w:val="00A41E4C"/>
    <w:rsid w:val="00A41EDC"/>
    <w:rsid w:val="00A423F2"/>
    <w:rsid w:val="00A4249C"/>
    <w:rsid w:val="00A428BE"/>
    <w:rsid w:val="00A429A0"/>
    <w:rsid w:val="00A42AE6"/>
    <w:rsid w:val="00A42B11"/>
    <w:rsid w:val="00A42D2B"/>
    <w:rsid w:val="00A42DE9"/>
    <w:rsid w:val="00A42F61"/>
    <w:rsid w:val="00A43054"/>
    <w:rsid w:val="00A431AA"/>
    <w:rsid w:val="00A4336E"/>
    <w:rsid w:val="00A434B6"/>
    <w:rsid w:val="00A43BE3"/>
    <w:rsid w:val="00A43D9F"/>
    <w:rsid w:val="00A43E5A"/>
    <w:rsid w:val="00A43EA8"/>
    <w:rsid w:val="00A43ED5"/>
    <w:rsid w:val="00A43F50"/>
    <w:rsid w:val="00A44141"/>
    <w:rsid w:val="00A4418D"/>
    <w:rsid w:val="00A442B2"/>
    <w:rsid w:val="00A44397"/>
    <w:rsid w:val="00A445AA"/>
    <w:rsid w:val="00A446B5"/>
    <w:rsid w:val="00A4484A"/>
    <w:rsid w:val="00A44893"/>
    <w:rsid w:val="00A44AD6"/>
    <w:rsid w:val="00A44BA3"/>
    <w:rsid w:val="00A44BED"/>
    <w:rsid w:val="00A44CD0"/>
    <w:rsid w:val="00A44D19"/>
    <w:rsid w:val="00A44D98"/>
    <w:rsid w:val="00A44DA1"/>
    <w:rsid w:val="00A44E93"/>
    <w:rsid w:val="00A44F70"/>
    <w:rsid w:val="00A4545B"/>
    <w:rsid w:val="00A45532"/>
    <w:rsid w:val="00A45594"/>
    <w:rsid w:val="00A4559D"/>
    <w:rsid w:val="00A455EB"/>
    <w:rsid w:val="00A45780"/>
    <w:rsid w:val="00A45BFA"/>
    <w:rsid w:val="00A45D41"/>
    <w:rsid w:val="00A45EED"/>
    <w:rsid w:val="00A45F22"/>
    <w:rsid w:val="00A45F6D"/>
    <w:rsid w:val="00A45F7B"/>
    <w:rsid w:val="00A45F9C"/>
    <w:rsid w:val="00A46304"/>
    <w:rsid w:val="00A4654B"/>
    <w:rsid w:val="00A465A3"/>
    <w:rsid w:val="00A46740"/>
    <w:rsid w:val="00A46B71"/>
    <w:rsid w:val="00A46C3F"/>
    <w:rsid w:val="00A46DDB"/>
    <w:rsid w:val="00A46EC1"/>
    <w:rsid w:val="00A46F58"/>
    <w:rsid w:val="00A46FDA"/>
    <w:rsid w:val="00A47558"/>
    <w:rsid w:val="00A477C6"/>
    <w:rsid w:val="00A47AB9"/>
    <w:rsid w:val="00A47B16"/>
    <w:rsid w:val="00A47C08"/>
    <w:rsid w:val="00A50572"/>
    <w:rsid w:val="00A5090D"/>
    <w:rsid w:val="00A50B1B"/>
    <w:rsid w:val="00A50B45"/>
    <w:rsid w:val="00A50C6A"/>
    <w:rsid w:val="00A50CA2"/>
    <w:rsid w:val="00A50DD4"/>
    <w:rsid w:val="00A510D8"/>
    <w:rsid w:val="00A51130"/>
    <w:rsid w:val="00A5148A"/>
    <w:rsid w:val="00A515C9"/>
    <w:rsid w:val="00A515FA"/>
    <w:rsid w:val="00A519A4"/>
    <w:rsid w:val="00A51A67"/>
    <w:rsid w:val="00A51CC6"/>
    <w:rsid w:val="00A51CD3"/>
    <w:rsid w:val="00A51D68"/>
    <w:rsid w:val="00A51D93"/>
    <w:rsid w:val="00A51E22"/>
    <w:rsid w:val="00A51E5D"/>
    <w:rsid w:val="00A520C2"/>
    <w:rsid w:val="00A521FB"/>
    <w:rsid w:val="00A52393"/>
    <w:rsid w:val="00A523CC"/>
    <w:rsid w:val="00A52463"/>
    <w:rsid w:val="00A52513"/>
    <w:rsid w:val="00A52680"/>
    <w:rsid w:val="00A5289D"/>
    <w:rsid w:val="00A52B0D"/>
    <w:rsid w:val="00A52B84"/>
    <w:rsid w:val="00A52EE6"/>
    <w:rsid w:val="00A52F59"/>
    <w:rsid w:val="00A5304E"/>
    <w:rsid w:val="00A531BD"/>
    <w:rsid w:val="00A532CC"/>
    <w:rsid w:val="00A532FF"/>
    <w:rsid w:val="00A533B2"/>
    <w:rsid w:val="00A53614"/>
    <w:rsid w:val="00A53789"/>
    <w:rsid w:val="00A53B38"/>
    <w:rsid w:val="00A53B4A"/>
    <w:rsid w:val="00A53D91"/>
    <w:rsid w:val="00A5439A"/>
    <w:rsid w:val="00A549EE"/>
    <w:rsid w:val="00A54ABE"/>
    <w:rsid w:val="00A54AE2"/>
    <w:rsid w:val="00A54D4D"/>
    <w:rsid w:val="00A54D6C"/>
    <w:rsid w:val="00A54DD3"/>
    <w:rsid w:val="00A54E6C"/>
    <w:rsid w:val="00A5509B"/>
    <w:rsid w:val="00A55288"/>
    <w:rsid w:val="00A5574F"/>
    <w:rsid w:val="00A557D7"/>
    <w:rsid w:val="00A558EE"/>
    <w:rsid w:val="00A559A2"/>
    <w:rsid w:val="00A55BE3"/>
    <w:rsid w:val="00A55D77"/>
    <w:rsid w:val="00A55E11"/>
    <w:rsid w:val="00A55E50"/>
    <w:rsid w:val="00A55EE3"/>
    <w:rsid w:val="00A55F8A"/>
    <w:rsid w:val="00A55F91"/>
    <w:rsid w:val="00A5629D"/>
    <w:rsid w:val="00A56358"/>
    <w:rsid w:val="00A5643D"/>
    <w:rsid w:val="00A564F5"/>
    <w:rsid w:val="00A565DF"/>
    <w:rsid w:val="00A5669C"/>
    <w:rsid w:val="00A5676F"/>
    <w:rsid w:val="00A56D49"/>
    <w:rsid w:val="00A56E7D"/>
    <w:rsid w:val="00A57015"/>
    <w:rsid w:val="00A570BC"/>
    <w:rsid w:val="00A5716E"/>
    <w:rsid w:val="00A57248"/>
    <w:rsid w:val="00A57304"/>
    <w:rsid w:val="00A5733F"/>
    <w:rsid w:val="00A57AC3"/>
    <w:rsid w:val="00A57EDB"/>
    <w:rsid w:val="00A57F38"/>
    <w:rsid w:val="00A60072"/>
    <w:rsid w:val="00A600A8"/>
    <w:rsid w:val="00A600DA"/>
    <w:rsid w:val="00A601D6"/>
    <w:rsid w:val="00A603B4"/>
    <w:rsid w:val="00A60773"/>
    <w:rsid w:val="00A608EE"/>
    <w:rsid w:val="00A6094D"/>
    <w:rsid w:val="00A60A86"/>
    <w:rsid w:val="00A60BE3"/>
    <w:rsid w:val="00A60D02"/>
    <w:rsid w:val="00A60D4A"/>
    <w:rsid w:val="00A60F73"/>
    <w:rsid w:val="00A612CF"/>
    <w:rsid w:val="00A612F2"/>
    <w:rsid w:val="00A61335"/>
    <w:rsid w:val="00A6135D"/>
    <w:rsid w:val="00A6137C"/>
    <w:rsid w:val="00A613AE"/>
    <w:rsid w:val="00A6159B"/>
    <w:rsid w:val="00A61632"/>
    <w:rsid w:val="00A61808"/>
    <w:rsid w:val="00A61A24"/>
    <w:rsid w:val="00A61A50"/>
    <w:rsid w:val="00A61B92"/>
    <w:rsid w:val="00A61BD8"/>
    <w:rsid w:val="00A61BDA"/>
    <w:rsid w:val="00A61D42"/>
    <w:rsid w:val="00A6213A"/>
    <w:rsid w:val="00A6220E"/>
    <w:rsid w:val="00A623D9"/>
    <w:rsid w:val="00A624D8"/>
    <w:rsid w:val="00A626A2"/>
    <w:rsid w:val="00A62A89"/>
    <w:rsid w:val="00A62C2E"/>
    <w:rsid w:val="00A62CAD"/>
    <w:rsid w:val="00A62DE5"/>
    <w:rsid w:val="00A63050"/>
    <w:rsid w:val="00A63145"/>
    <w:rsid w:val="00A6316F"/>
    <w:rsid w:val="00A631E7"/>
    <w:rsid w:val="00A632EC"/>
    <w:rsid w:val="00A635FA"/>
    <w:rsid w:val="00A63833"/>
    <w:rsid w:val="00A6384E"/>
    <w:rsid w:val="00A638B5"/>
    <w:rsid w:val="00A63B5E"/>
    <w:rsid w:val="00A63B94"/>
    <w:rsid w:val="00A63BBA"/>
    <w:rsid w:val="00A63C62"/>
    <w:rsid w:val="00A63C8F"/>
    <w:rsid w:val="00A63CB6"/>
    <w:rsid w:val="00A63D7B"/>
    <w:rsid w:val="00A64097"/>
    <w:rsid w:val="00A64196"/>
    <w:rsid w:val="00A6430E"/>
    <w:rsid w:val="00A64427"/>
    <w:rsid w:val="00A64706"/>
    <w:rsid w:val="00A648CB"/>
    <w:rsid w:val="00A64977"/>
    <w:rsid w:val="00A64A48"/>
    <w:rsid w:val="00A64B38"/>
    <w:rsid w:val="00A64B4D"/>
    <w:rsid w:val="00A64BCE"/>
    <w:rsid w:val="00A64BE5"/>
    <w:rsid w:val="00A64D43"/>
    <w:rsid w:val="00A64D6B"/>
    <w:rsid w:val="00A64F9F"/>
    <w:rsid w:val="00A650AA"/>
    <w:rsid w:val="00A65102"/>
    <w:rsid w:val="00A65170"/>
    <w:rsid w:val="00A652C7"/>
    <w:rsid w:val="00A65325"/>
    <w:rsid w:val="00A65434"/>
    <w:rsid w:val="00A65496"/>
    <w:rsid w:val="00A65614"/>
    <w:rsid w:val="00A65670"/>
    <w:rsid w:val="00A6587D"/>
    <w:rsid w:val="00A65952"/>
    <w:rsid w:val="00A659D0"/>
    <w:rsid w:val="00A659E6"/>
    <w:rsid w:val="00A65C95"/>
    <w:rsid w:val="00A6631B"/>
    <w:rsid w:val="00A6666F"/>
    <w:rsid w:val="00A666F5"/>
    <w:rsid w:val="00A66750"/>
    <w:rsid w:val="00A6696D"/>
    <w:rsid w:val="00A66AD1"/>
    <w:rsid w:val="00A66C41"/>
    <w:rsid w:val="00A66D04"/>
    <w:rsid w:val="00A66FB1"/>
    <w:rsid w:val="00A6703E"/>
    <w:rsid w:val="00A67242"/>
    <w:rsid w:val="00A6735B"/>
    <w:rsid w:val="00A673AC"/>
    <w:rsid w:val="00A6763A"/>
    <w:rsid w:val="00A678C4"/>
    <w:rsid w:val="00A679E0"/>
    <w:rsid w:val="00A67A46"/>
    <w:rsid w:val="00A67BA2"/>
    <w:rsid w:val="00A67C82"/>
    <w:rsid w:val="00A67F77"/>
    <w:rsid w:val="00A67FDE"/>
    <w:rsid w:val="00A70443"/>
    <w:rsid w:val="00A704B5"/>
    <w:rsid w:val="00A70833"/>
    <w:rsid w:val="00A70983"/>
    <w:rsid w:val="00A7099A"/>
    <w:rsid w:val="00A70E1A"/>
    <w:rsid w:val="00A70E95"/>
    <w:rsid w:val="00A70F79"/>
    <w:rsid w:val="00A7109F"/>
    <w:rsid w:val="00A71257"/>
    <w:rsid w:val="00A71AA7"/>
    <w:rsid w:val="00A71AEE"/>
    <w:rsid w:val="00A71D07"/>
    <w:rsid w:val="00A71D91"/>
    <w:rsid w:val="00A72241"/>
    <w:rsid w:val="00A72298"/>
    <w:rsid w:val="00A72314"/>
    <w:rsid w:val="00A723A0"/>
    <w:rsid w:val="00A723FF"/>
    <w:rsid w:val="00A727FE"/>
    <w:rsid w:val="00A728C4"/>
    <w:rsid w:val="00A728D5"/>
    <w:rsid w:val="00A7296C"/>
    <w:rsid w:val="00A7297C"/>
    <w:rsid w:val="00A72A17"/>
    <w:rsid w:val="00A7306B"/>
    <w:rsid w:val="00A736BE"/>
    <w:rsid w:val="00A73781"/>
    <w:rsid w:val="00A7387C"/>
    <w:rsid w:val="00A73910"/>
    <w:rsid w:val="00A73A7E"/>
    <w:rsid w:val="00A73BD7"/>
    <w:rsid w:val="00A7445B"/>
    <w:rsid w:val="00A745E7"/>
    <w:rsid w:val="00A74639"/>
    <w:rsid w:val="00A74736"/>
    <w:rsid w:val="00A74791"/>
    <w:rsid w:val="00A74985"/>
    <w:rsid w:val="00A749D8"/>
    <w:rsid w:val="00A74AFF"/>
    <w:rsid w:val="00A74B3F"/>
    <w:rsid w:val="00A74BC9"/>
    <w:rsid w:val="00A74F69"/>
    <w:rsid w:val="00A74F79"/>
    <w:rsid w:val="00A74FDB"/>
    <w:rsid w:val="00A75039"/>
    <w:rsid w:val="00A75750"/>
    <w:rsid w:val="00A7589E"/>
    <w:rsid w:val="00A75A3A"/>
    <w:rsid w:val="00A75AB3"/>
    <w:rsid w:val="00A75B2E"/>
    <w:rsid w:val="00A75D71"/>
    <w:rsid w:val="00A75F02"/>
    <w:rsid w:val="00A7610B"/>
    <w:rsid w:val="00A76117"/>
    <w:rsid w:val="00A761B0"/>
    <w:rsid w:val="00A7638B"/>
    <w:rsid w:val="00A7642D"/>
    <w:rsid w:val="00A76570"/>
    <w:rsid w:val="00A766B3"/>
    <w:rsid w:val="00A766D7"/>
    <w:rsid w:val="00A767FA"/>
    <w:rsid w:val="00A768D9"/>
    <w:rsid w:val="00A76ACD"/>
    <w:rsid w:val="00A76B53"/>
    <w:rsid w:val="00A76C2F"/>
    <w:rsid w:val="00A76CC4"/>
    <w:rsid w:val="00A76D3F"/>
    <w:rsid w:val="00A76D41"/>
    <w:rsid w:val="00A770D8"/>
    <w:rsid w:val="00A77106"/>
    <w:rsid w:val="00A77194"/>
    <w:rsid w:val="00A77471"/>
    <w:rsid w:val="00A77525"/>
    <w:rsid w:val="00A77528"/>
    <w:rsid w:val="00A77569"/>
    <w:rsid w:val="00A775FE"/>
    <w:rsid w:val="00A7760A"/>
    <w:rsid w:val="00A77637"/>
    <w:rsid w:val="00A777A2"/>
    <w:rsid w:val="00A777EE"/>
    <w:rsid w:val="00A77A2B"/>
    <w:rsid w:val="00A77B28"/>
    <w:rsid w:val="00A77C76"/>
    <w:rsid w:val="00A77DE7"/>
    <w:rsid w:val="00A77E6C"/>
    <w:rsid w:val="00A77F65"/>
    <w:rsid w:val="00A80296"/>
    <w:rsid w:val="00A80330"/>
    <w:rsid w:val="00A80469"/>
    <w:rsid w:val="00A8096B"/>
    <w:rsid w:val="00A80980"/>
    <w:rsid w:val="00A80A3B"/>
    <w:rsid w:val="00A80B02"/>
    <w:rsid w:val="00A80B88"/>
    <w:rsid w:val="00A80D28"/>
    <w:rsid w:val="00A80F9E"/>
    <w:rsid w:val="00A81073"/>
    <w:rsid w:val="00A81094"/>
    <w:rsid w:val="00A8135E"/>
    <w:rsid w:val="00A81838"/>
    <w:rsid w:val="00A8198A"/>
    <w:rsid w:val="00A8201D"/>
    <w:rsid w:val="00A82489"/>
    <w:rsid w:val="00A82686"/>
    <w:rsid w:val="00A8286B"/>
    <w:rsid w:val="00A82C11"/>
    <w:rsid w:val="00A82FFB"/>
    <w:rsid w:val="00A831BC"/>
    <w:rsid w:val="00A83350"/>
    <w:rsid w:val="00A8335C"/>
    <w:rsid w:val="00A83664"/>
    <w:rsid w:val="00A836B0"/>
    <w:rsid w:val="00A8382B"/>
    <w:rsid w:val="00A839CC"/>
    <w:rsid w:val="00A839F6"/>
    <w:rsid w:val="00A83AA0"/>
    <w:rsid w:val="00A83AD0"/>
    <w:rsid w:val="00A83B07"/>
    <w:rsid w:val="00A83B8C"/>
    <w:rsid w:val="00A83BBE"/>
    <w:rsid w:val="00A83C2A"/>
    <w:rsid w:val="00A83C6B"/>
    <w:rsid w:val="00A84226"/>
    <w:rsid w:val="00A843F6"/>
    <w:rsid w:val="00A8448F"/>
    <w:rsid w:val="00A8475E"/>
    <w:rsid w:val="00A84AA9"/>
    <w:rsid w:val="00A84B51"/>
    <w:rsid w:val="00A84CF9"/>
    <w:rsid w:val="00A84E2B"/>
    <w:rsid w:val="00A84EEE"/>
    <w:rsid w:val="00A84F85"/>
    <w:rsid w:val="00A851F1"/>
    <w:rsid w:val="00A85320"/>
    <w:rsid w:val="00A85393"/>
    <w:rsid w:val="00A85509"/>
    <w:rsid w:val="00A8550B"/>
    <w:rsid w:val="00A85655"/>
    <w:rsid w:val="00A8585C"/>
    <w:rsid w:val="00A858B7"/>
    <w:rsid w:val="00A859B4"/>
    <w:rsid w:val="00A85B33"/>
    <w:rsid w:val="00A85CCD"/>
    <w:rsid w:val="00A8617A"/>
    <w:rsid w:val="00A86261"/>
    <w:rsid w:val="00A863D6"/>
    <w:rsid w:val="00A863DD"/>
    <w:rsid w:val="00A86410"/>
    <w:rsid w:val="00A864CE"/>
    <w:rsid w:val="00A865F9"/>
    <w:rsid w:val="00A867D5"/>
    <w:rsid w:val="00A869F9"/>
    <w:rsid w:val="00A86DA4"/>
    <w:rsid w:val="00A8746D"/>
    <w:rsid w:val="00A8762F"/>
    <w:rsid w:val="00A87758"/>
    <w:rsid w:val="00A87867"/>
    <w:rsid w:val="00A8787F"/>
    <w:rsid w:val="00A87999"/>
    <w:rsid w:val="00A87A87"/>
    <w:rsid w:val="00A87EE6"/>
    <w:rsid w:val="00A90021"/>
    <w:rsid w:val="00A90096"/>
    <w:rsid w:val="00A9016C"/>
    <w:rsid w:val="00A901A7"/>
    <w:rsid w:val="00A90284"/>
    <w:rsid w:val="00A9062C"/>
    <w:rsid w:val="00A9075D"/>
    <w:rsid w:val="00A90778"/>
    <w:rsid w:val="00A907A1"/>
    <w:rsid w:val="00A90A4D"/>
    <w:rsid w:val="00A90BD1"/>
    <w:rsid w:val="00A90D70"/>
    <w:rsid w:val="00A90FB1"/>
    <w:rsid w:val="00A9100C"/>
    <w:rsid w:val="00A91046"/>
    <w:rsid w:val="00A91453"/>
    <w:rsid w:val="00A9148A"/>
    <w:rsid w:val="00A91691"/>
    <w:rsid w:val="00A9173C"/>
    <w:rsid w:val="00A91DCE"/>
    <w:rsid w:val="00A91ECB"/>
    <w:rsid w:val="00A92013"/>
    <w:rsid w:val="00A92035"/>
    <w:rsid w:val="00A921E8"/>
    <w:rsid w:val="00A923FA"/>
    <w:rsid w:val="00A9249F"/>
    <w:rsid w:val="00A928E9"/>
    <w:rsid w:val="00A92909"/>
    <w:rsid w:val="00A92B30"/>
    <w:rsid w:val="00A92DB0"/>
    <w:rsid w:val="00A92EC7"/>
    <w:rsid w:val="00A930AF"/>
    <w:rsid w:val="00A930B7"/>
    <w:rsid w:val="00A93363"/>
    <w:rsid w:val="00A934BA"/>
    <w:rsid w:val="00A93851"/>
    <w:rsid w:val="00A93B0E"/>
    <w:rsid w:val="00A93CF9"/>
    <w:rsid w:val="00A93E02"/>
    <w:rsid w:val="00A94078"/>
    <w:rsid w:val="00A94084"/>
    <w:rsid w:val="00A940C5"/>
    <w:rsid w:val="00A94112"/>
    <w:rsid w:val="00A94275"/>
    <w:rsid w:val="00A942E0"/>
    <w:rsid w:val="00A94316"/>
    <w:rsid w:val="00A94344"/>
    <w:rsid w:val="00A94406"/>
    <w:rsid w:val="00A944EE"/>
    <w:rsid w:val="00A94618"/>
    <w:rsid w:val="00A94693"/>
    <w:rsid w:val="00A947DE"/>
    <w:rsid w:val="00A94885"/>
    <w:rsid w:val="00A94981"/>
    <w:rsid w:val="00A94BBF"/>
    <w:rsid w:val="00A94C8D"/>
    <w:rsid w:val="00A94EC9"/>
    <w:rsid w:val="00A94ECD"/>
    <w:rsid w:val="00A94FCF"/>
    <w:rsid w:val="00A951A2"/>
    <w:rsid w:val="00A95497"/>
    <w:rsid w:val="00A956BC"/>
    <w:rsid w:val="00A956E9"/>
    <w:rsid w:val="00A95AD9"/>
    <w:rsid w:val="00A95C90"/>
    <w:rsid w:val="00A95D60"/>
    <w:rsid w:val="00A95DDA"/>
    <w:rsid w:val="00A95E26"/>
    <w:rsid w:val="00A9605A"/>
    <w:rsid w:val="00A96370"/>
    <w:rsid w:val="00A96414"/>
    <w:rsid w:val="00A96728"/>
    <w:rsid w:val="00A967EA"/>
    <w:rsid w:val="00A9698B"/>
    <w:rsid w:val="00A969BB"/>
    <w:rsid w:val="00A96A80"/>
    <w:rsid w:val="00A96A9F"/>
    <w:rsid w:val="00A97017"/>
    <w:rsid w:val="00A9703B"/>
    <w:rsid w:val="00A970D9"/>
    <w:rsid w:val="00A97227"/>
    <w:rsid w:val="00A973FF"/>
    <w:rsid w:val="00A97409"/>
    <w:rsid w:val="00A974B1"/>
    <w:rsid w:val="00A97737"/>
    <w:rsid w:val="00A97B04"/>
    <w:rsid w:val="00AA0119"/>
    <w:rsid w:val="00AA013B"/>
    <w:rsid w:val="00AA01AA"/>
    <w:rsid w:val="00AA01D0"/>
    <w:rsid w:val="00AA03EF"/>
    <w:rsid w:val="00AA06F2"/>
    <w:rsid w:val="00AA0A39"/>
    <w:rsid w:val="00AA0B1F"/>
    <w:rsid w:val="00AA0BFF"/>
    <w:rsid w:val="00AA10FE"/>
    <w:rsid w:val="00AA1191"/>
    <w:rsid w:val="00AA1227"/>
    <w:rsid w:val="00AA1250"/>
    <w:rsid w:val="00AA13B9"/>
    <w:rsid w:val="00AA15CA"/>
    <w:rsid w:val="00AA17C0"/>
    <w:rsid w:val="00AA1978"/>
    <w:rsid w:val="00AA1BC7"/>
    <w:rsid w:val="00AA1CB7"/>
    <w:rsid w:val="00AA1EDB"/>
    <w:rsid w:val="00AA2086"/>
    <w:rsid w:val="00AA2168"/>
    <w:rsid w:val="00AA223E"/>
    <w:rsid w:val="00AA2274"/>
    <w:rsid w:val="00AA232C"/>
    <w:rsid w:val="00AA2332"/>
    <w:rsid w:val="00AA2484"/>
    <w:rsid w:val="00AA24E0"/>
    <w:rsid w:val="00AA2629"/>
    <w:rsid w:val="00AA27DC"/>
    <w:rsid w:val="00AA2A63"/>
    <w:rsid w:val="00AA2C35"/>
    <w:rsid w:val="00AA2CC7"/>
    <w:rsid w:val="00AA2D5B"/>
    <w:rsid w:val="00AA2E7C"/>
    <w:rsid w:val="00AA2EF6"/>
    <w:rsid w:val="00AA2F0C"/>
    <w:rsid w:val="00AA3001"/>
    <w:rsid w:val="00AA30F5"/>
    <w:rsid w:val="00AA310F"/>
    <w:rsid w:val="00AA31BB"/>
    <w:rsid w:val="00AA33DD"/>
    <w:rsid w:val="00AA35A8"/>
    <w:rsid w:val="00AA37D1"/>
    <w:rsid w:val="00AA3946"/>
    <w:rsid w:val="00AA39C0"/>
    <w:rsid w:val="00AA3A72"/>
    <w:rsid w:val="00AA3AFA"/>
    <w:rsid w:val="00AA3C41"/>
    <w:rsid w:val="00AA3DAF"/>
    <w:rsid w:val="00AA3DCB"/>
    <w:rsid w:val="00AA3E90"/>
    <w:rsid w:val="00AA3F01"/>
    <w:rsid w:val="00AA3F6E"/>
    <w:rsid w:val="00AA3F89"/>
    <w:rsid w:val="00AA43A0"/>
    <w:rsid w:val="00AA43BD"/>
    <w:rsid w:val="00AA459E"/>
    <w:rsid w:val="00AA463A"/>
    <w:rsid w:val="00AA4731"/>
    <w:rsid w:val="00AA47D0"/>
    <w:rsid w:val="00AA4835"/>
    <w:rsid w:val="00AA4C7B"/>
    <w:rsid w:val="00AA5105"/>
    <w:rsid w:val="00AA5373"/>
    <w:rsid w:val="00AA5827"/>
    <w:rsid w:val="00AA5861"/>
    <w:rsid w:val="00AA590E"/>
    <w:rsid w:val="00AA5AA6"/>
    <w:rsid w:val="00AA5D22"/>
    <w:rsid w:val="00AA5D7D"/>
    <w:rsid w:val="00AA6192"/>
    <w:rsid w:val="00AA64ED"/>
    <w:rsid w:val="00AA64F2"/>
    <w:rsid w:val="00AA671C"/>
    <w:rsid w:val="00AA673D"/>
    <w:rsid w:val="00AA6867"/>
    <w:rsid w:val="00AA68C2"/>
    <w:rsid w:val="00AA692E"/>
    <w:rsid w:val="00AA7023"/>
    <w:rsid w:val="00AA758E"/>
    <w:rsid w:val="00AA7AFB"/>
    <w:rsid w:val="00AA7C05"/>
    <w:rsid w:val="00AA7C1B"/>
    <w:rsid w:val="00AA7D21"/>
    <w:rsid w:val="00AA7F37"/>
    <w:rsid w:val="00AB022D"/>
    <w:rsid w:val="00AB031F"/>
    <w:rsid w:val="00AB0331"/>
    <w:rsid w:val="00AB0453"/>
    <w:rsid w:val="00AB0724"/>
    <w:rsid w:val="00AB07A1"/>
    <w:rsid w:val="00AB0963"/>
    <w:rsid w:val="00AB09EE"/>
    <w:rsid w:val="00AB0BC6"/>
    <w:rsid w:val="00AB0CEF"/>
    <w:rsid w:val="00AB0E3D"/>
    <w:rsid w:val="00AB0EFA"/>
    <w:rsid w:val="00AB0F3F"/>
    <w:rsid w:val="00AB0F48"/>
    <w:rsid w:val="00AB100B"/>
    <w:rsid w:val="00AB11F1"/>
    <w:rsid w:val="00AB1456"/>
    <w:rsid w:val="00AB1794"/>
    <w:rsid w:val="00AB1A6B"/>
    <w:rsid w:val="00AB1D00"/>
    <w:rsid w:val="00AB1D74"/>
    <w:rsid w:val="00AB1FFE"/>
    <w:rsid w:val="00AB2214"/>
    <w:rsid w:val="00AB22AA"/>
    <w:rsid w:val="00AB23A9"/>
    <w:rsid w:val="00AB25C5"/>
    <w:rsid w:val="00AB27AC"/>
    <w:rsid w:val="00AB27E2"/>
    <w:rsid w:val="00AB28EA"/>
    <w:rsid w:val="00AB2A00"/>
    <w:rsid w:val="00AB2A7C"/>
    <w:rsid w:val="00AB2B3E"/>
    <w:rsid w:val="00AB2CA7"/>
    <w:rsid w:val="00AB2D59"/>
    <w:rsid w:val="00AB2E1C"/>
    <w:rsid w:val="00AB2F3A"/>
    <w:rsid w:val="00AB30F6"/>
    <w:rsid w:val="00AB3171"/>
    <w:rsid w:val="00AB31E7"/>
    <w:rsid w:val="00AB3392"/>
    <w:rsid w:val="00AB34C7"/>
    <w:rsid w:val="00AB34D9"/>
    <w:rsid w:val="00AB3753"/>
    <w:rsid w:val="00AB37F4"/>
    <w:rsid w:val="00AB38AA"/>
    <w:rsid w:val="00AB3A59"/>
    <w:rsid w:val="00AB3AA1"/>
    <w:rsid w:val="00AB3C45"/>
    <w:rsid w:val="00AB3D4F"/>
    <w:rsid w:val="00AB3E9C"/>
    <w:rsid w:val="00AB3F4E"/>
    <w:rsid w:val="00AB443F"/>
    <w:rsid w:val="00AB4547"/>
    <w:rsid w:val="00AB4560"/>
    <w:rsid w:val="00AB4774"/>
    <w:rsid w:val="00AB49A1"/>
    <w:rsid w:val="00AB4A4D"/>
    <w:rsid w:val="00AB4AA3"/>
    <w:rsid w:val="00AB4BA3"/>
    <w:rsid w:val="00AB4E13"/>
    <w:rsid w:val="00AB4F58"/>
    <w:rsid w:val="00AB4FDC"/>
    <w:rsid w:val="00AB5580"/>
    <w:rsid w:val="00AB55EA"/>
    <w:rsid w:val="00AB56E2"/>
    <w:rsid w:val="00AB5767"/>
    <w:rsid w:val="00AB577B"/>
    <w:rsid w:val="00AB57D9"/>
    <w:rsid w:val="00AB58C4"/>
    <w:rsid w:val="00AB6068"/>
    <w:rsid w:val="00AB6101"/>
    <w:rsid w:val="00AB6247"/>
    <w:rsid w:val="00AB6274"/>
    <w:rsid w:val="00AB6C66"/>
    <w:rsid w:val="00AB6EBF"/>
    <w:rsid w:val="00AB6F42"/>
    <w:rsid w:val="00AB7107"/>
    <w:rsid w:val="00AB712E"/>
    <w:rsid w:val="00AB71B4"/>
    <w:rsid w:val="00AB74F6"/>
    <w:rsid w:val="00AB783B"/>
    <w:rsid w:val="00AB7922"/>
    <w:rsid w:val="00AB7929"/>
    <w:rsid w:val="00AC0453"/>
    <w:rsid w:val="00AC046C"/>
    <w:rsid w:val="00AC0652"/>
    <w:rsid w:val="00AC07DF"/>
    <w:rsid w:val="00AC0DCE"/>
    <w:rsid w:val="00AC0E90"/>
    <w:rsid w:val="00AC0EAF"/>
    <w:rsid w:val="00AC0F4C"/>
    <w:rsid w:val="00AC124A"/>
    <w:rsid w:val="00AC1318"/>
    <w:rsid w:val="00AC132D"/>
    <w:rsid w:val="00AC13F3"/>
    <w:rsid w:val="00AC1674"/>
    <w:rsid w:val="00AC16E3"/>
    <w:rsid w:val="00AC171B"/>
    <w:rsid w:val="00AC1747"/>
    <w:rsid w:val="00AC17E5"/>
    <w:rsid w:val="00AC190F"/>
    <w:rsid w:val="00AC194E"/>
    <w:rsid w:val="00AC1E31"/>
    <w:rsid w:val="00AC1EE6"/>
    <w:rsid w:val="00AC2267"/>
    <w:rsid w:val="00AC25A1"/>
    <w:rsid w:val="00AC26C7"/>
    <w:rsid w:val="00AC280D"/>
    <w:rsid w:val="00AC29EE"/>
    <w:rsid w:val="00AC2B0D"/>
    <w:rsid w:val="00AC2F50"/>
    <w:rsid w:val="00AC2FF1"/>
    <w:rsid w:val="00AC3194"/>
    <w:rsid w:val="00AC31C8"/>
    <w:rsid w:val="00AC32CA"/>
    <w:rsid w:val="00AC33A0"/>
    <w:rsid w:val="00AC344C"/>
    <w:rsid w:val="00AC350E"/>
    <w:rsid w:val="00AC364C"/>
    <w:rsid w:val="00AC3654"/>
    <w:rsid w:val="00AC3718"/>
    <w:rsid w:val="00AC37C8"/>
    <w:rsid w:val="00AC380A"/>
    <w:rsid w:val="00AC397D"/>
    <w:rsid w:val="00AC3B7F"/>
    <w:rsid w:val="00AC3BA1"/>
    <w:rsid w:val="00AC3BDD"/>
    <w:rsid w:val="00AC3C6F"/>
    <w:rsid w:val="00AC3DAC"/>
    <w:rsid w:val="00AC3E89"/>
    <w:rsid w:val="00AC3EBD"/>
    <w:rsid w:val="00AC3EE8"/>
    <w:rsid w:val="00AC3F2F"/>
    <w:rsid w:val="00AC40CF"/>
    <w:rsid w:val="00AC4136"/>
    <w:rsid w:val="00AC43A7"/>
    <w:rsid w:val="00AC46D6"/>
    <w:rsid w:val="00AC493A"/>
    <w:rsid w:val="00AC4A38"/>
    <w:rsid w:val="00AC4ABF"/>
    <w:rsid w:val="00AC4BE0"/>
    <w:rsid w:val="00AC4DF0"/>
    <w:rsid w:val="00AC500D"/>
    <w:rsid w:val="00AC533C"/>
    <w:rsid w:val="00AC54A4"/>
    <w:rsid w:val="00AC56B9"/>
    <w:rsid w:val="00AC5966"/>
    <w:rsid w:val="00AC59E2"/>
    <w:rsid w:val="00AC5D04"/>
    <w:rsid w:val="00AC5D5F"/>
    <w:rsid w:val="00AC5FF5"/>
    <w:rsid w:val="00AC61B5"/>
    <w:rsid w:val="00AC620E"/>
    <w:rsid w:val="00AC6428"/>
    <w:rsid w:val="00AC6431"/>
    <w:rsid w:val="00AC70A7"/>
    <w:rsid w:val="00AC71BA"/>
    <w:rsid w:val="00AC7363"/>
    <w:rsid w:val="00AC74BA"/>
    <w:rsid w:val="00AC766C"/>
    <w:rsid w:val="00AC7810"/>
    <w:rsid w:val="00AC78E6"/>
    <w:rsid w:val="00AC7AD0"/>
    <w:rsid w:val="00AC7EB5"/>
    <w:rsid w:val="00AC7EC6"/>
    <w:rsid w:val="00AD0006"/>
    <w:rsid w:val="00AD00E3"/>
    <w:rsid w:val="00AD01B4"/>
    <w:rsid w:val="00AD01EA"/>
    <w:rsid w:val="00AD027B"/>
    <w:rsid w:val="00AD030D"/>
    <w:rsid w:val="00AD037B"/>
    <w:rsid w:val="00AD0501"/>
    <w:rsid w:val="00AD05F4"/>
    <w:rsid w:val="00AD0755"/>
    <w:rsid w:val="00AD0874"/>
    <w:rsid w:val="00AD09CB"/>
    <w:rsid w:val="00AD0C81"/>
    <w:rsid w:val="00AD0C99"/>
    <w:rsid w:val="00AD0EA4"/>
    <w:rsid w:val="00AD112A"/>
    <w:rsid w:val="00AD1268"/>
    <w:rsid w:val="00AD1541"/>
    <w:rsid w:val="00AD162E"/>
    <w:rsid w:val="00AD1726"/>
    <w:rsid w:val="00AD17C4"/>
    <w:rsid w:val="00AD1879"/>
    <w:rsid w:val="00AD1893"/>
    <w:rsid w:val="00AD18F2"/>
    <w:rsid w:val="00AD1963"/>
    <w:rsid w:val="00AD1AA2"/>
    <w:rsid w:val="00AD1BC4"/>
    <w:rsid w:val="00AD1BFC"/>
    <w:rsid w:val="00AD1CFB"/>
    <w:rsid w:val="00AD1D1E"/>
    <w:rsid w:val="00AD1D9C"/>
    <w:rsid w:val="00AD1FF1"/>
    <w:rsid w:val="00AD20D8"/>
    <w:rsid w:val="00AD21FF"/>
    <w:rsid w:val="00AD244F"/>
    <w:rsid w:val="00AD24F3"/>
    <w:rsid w:val="00AD25EA"/>
    <w:rsid w:val="00AD2701"/>
    <w:rsid w:val="00AD27B9"/>
    <w:rsid w:val="00AD27F7"/>
    <w:rsid w:val="00AD2A06"/>
    <w:rsid w:val="00AD2AF4"/>
    <w:rsid w:val="00AD2B0B"/>
    <w:rsid w:val="00AD2B6A"/>
    <w:rsid w:val="00AD2C0B"/>
    <w:rsid w:val="00AD2CBA"/>
    <w:rsid w:val="00AD2D40"/>
    <w:rsid w:val="00AD2EA0"/>
    <w:rsid w:val="00AD31DF"/>
    <w:rsid w:val="00AD31F4"/>
    <w:rsid w:val="00AD3288"/>
    <w:rsid w:val="00AD3462"/>
    <w:rsid w:val="00AD37E8"/>
    <w:rsid w:val="00AD3ECB"/>
    <w:rsid w:val="00AD3F6F"/>
    <w:rsid w:val="00AD4198"/>
    <w:rsid w:val="00AD41D4"/>
    <w:rsid w:val="00AD4274"/>
    <w:rsid w:val="00AD4424"/>
    <w:rsid w:val="00AD4443"/>
    <w:rsid w:val="00AD4508"/>
    <w:rsid w:val="00AD45A0"/>
    <w:rsid w:val="00AD4663"/>
    <w:rsid w:val="00AD49D4"/>
    <w:rsid w:val="00AD4AD5"/>
    <w:rsid w:val="00AD4CED"/>
    <w:rsid w:val="00AD4D51"/>
    <w:rsid w:val="00AD4E7F"/>
    <w:rsid w:val="00AD4FA7"/>
    <w:rsid w:val="00AD500C"/>
    <w:rsid w:val="00AD5049"/>
    <w:rsid w:val="00AD5106"/>
    <w:rsid w:val="00AD5153"/>
    <w:rsid w:val="00AD5204"/>
    <w:rsid w:val="00AD527C"/>
    <w:rsid w:val="00AD53F5"/>
    <w:rsid w:val="00AD560D"/>
    <w:rsid w:val="00AD56FA"/>
    <w:rsid w:val="00AD5854"/>
    <w:rsid w:val="00AD59AA"/>
    <w:rsid w:val="00AD5A44"/>
    <w:rsid w:val="00AD5A95"/>
    <w:rsid w:val="00AD5EB4"/>
    <w:rsid w:val="00AD5F70"/>
    <w:rsid w:val="00AD5F7F"/>
    <w:rsid w:val="00AD604F"/>
    <w:rsid w:val="00AD608F"/>
    <w:rsid w:val="00AD65D2"/>
    <w:rsid w:val="00AD6663"/>
    <w:rsid w:val="00AD6737"/>
    <w:rsid w:val="00AD67C2"/>
    <w:rsid w:val="00AD6B83"/>
    <w:rsid w:val="00AD6C59"/>
    <w:rsid w:val="00AD6D46"/>
    <w:rsid w:val="00AD6F9C"/>
    <w:rsid w:val="00AD6FF7"/>
    <w:rsid w:val="00AD7205"/>
    <w:rsid w:val="00AD7398"/>
    <w:rsid w:val="00AD73E1"/>
    <w:rsid w:val="00AD757C"/>
    <w:rsid w:val="00AD7610"/>
    <w:rsid w:val="00AD7679"/>
    <w:rsid w:val="00AD771C"/>
    <w:rsid w:val="00AD7740"/>
    <w:rsid w:val="00AD77E0"/>
    <w:rsid w:val="00AD783A"/>
    <w:rsid w:val="00AD7B42"/>
    <w:rsid w:val="00AD7BB7"/>
    <w:rsid w:val="00AD7CB8"/>
    <w:rsid w:val="00AD7EE3"/>
    <w:rsid w:val="00AD7FE9"/>
    <w:rsid w:val="00AE01CE"/>
    <w:rsid w:val="00AE0495"/>
    <w:rsid w:val="00AE06D3"/>
    <w:rsid w:val="00AE0729"/>
    <w:rsid w:val="00AE079E"/>
    <w:rsid w:val="00AE09E0"/>
    <w:rsid w:val="00AE0B40"/>
    <w:rsid w:val="00AE0C28"/>
    <w:rsid w:val="00AE0DF5"/>
    <w:rsid w:val="00AE0E48"/>
    <w:rsid w:val="00AE0F5A"/>
    <w:rsid w:val="00AE107D"/>
    <w:rsid w:val="00AE1145"/>
    <w:rsid w:val="00AE1298"/>
    <w:rsid w:val="00AE12A9"/>
    <w:rsid w:val="00AE14D2"/>
    <w:rsid w:val="00AE14DA"/>
    <w:rsid w:val="00AE1635"/>
    <w:rsid w:val="00AE19DE"/>
    <w:rsid w:val="00AE19FF"/>
    <w:rsid w:val="00AE1CA7"/>
    <w:rsid w:val="00AE1DB9"/>
    <w:rsid w:val="00AE1DC5"/>
    <w:rsid w:val="00AE1E30"/>
    <w:rsid w:val="00AE2283"/>
    <w:rsid w:val="00AE23A2"/>
    <w:rsid w:val="00AE2468"/>
    <w:rsid w:val="00AE250E"/>
    <w:rsid w:val="00AE2594"/>
    <w:rsid w:val="00AE2832"/>
    <w:rsid w:val="00AE2B9C"/>
    <w:rsid w:val="00AE2BB4"/>
    <w:rsid w:val="00AE2EA3"/>
    <w:rsid w:val="00AE2F19"/>
    <w:rsid w:val="00AE2F75"/>
    <w:rsid w:val="00AE32A8"/>
    <w:rsid w:val="00AE32AA"/>
    <w:rsid w:val="00AE32E4"/>
    <w:rsid w:val="00AE34C2"/>
    <w:rsid w:val="00AE363A"/>
    <w:rsid w:val="00AE3BD7"/>
    <w:rsid w:val="00AE3D05"/>
    <w:rsid w:val="00AE3D1D"/>
    <w:rsid w:val="00AE3D46"/>
    <w:rsid w:val="00AE3E16"/>
    <w:rsid w:val="00AE3E84"/>
    <w:rsid w:val="00AE4194"/>
    <w:rsid w:val="00AE4353"/>
    <w:rsid w:val="00AE44CF"/>
    <w:rsid w:val="00AE45BB"/>
    <w:rsid w:val="00AE45FD"/>
    <w:rsid w:val="00AE481B"/>
    <w:rsid w:val="00AE4CB8"/>
    <w:rsid w:val="00AE4CC4"/>
    <w:rsid w:val="00AE4CDC"/>
    <w:rsid w:val="00AE5040"/>
    <w:rsid w:val="00AE5109"/>
    <w:rsid w:val="00AE58A7"/>
    <w:rsid w:val="00AE5C6F"/>
    <w:rsid w:val="00AE5D0F"/>
    <w:rsid w:val="00AE5E67"/>
    <w:rsid w:val="00AE5F55"/>
    <w:rsid w:val="00AE60AF"/>
    <w:rsid w:val="00AE634F"/>
    <w:rsid w:val="00AE63ED"/>
    <w:rsid w:val="00AE6430"/>
    <w:rsid w:val="00AE6441"/>
    <w:rsid w:val="00AE6464"/>
    <w:rsid w:val="00AE65C2"/>
    <w:rsid w:val="00AE678E"/>
    <w:rsid w:val="00AE6888"/>
    <w:rsid w:val="00AE68ED"/>
    <w:rsid w:val="00AE6F7A"/>
    <w:rsid w:val="00AE73A5"/>
    <w:rsid w:val="00AE7523"/>
    <w:rsid w:val="00AE7789"/>
    <w:rsid w:val="00AE78C4"/>
    <w:rsid w:val="00AE792F"/>
    <w:rsid w:val="00AE7C8D"/>
    <w:rsid w:val="00AF00FA"/>
    <w:rsid w:val="00AF02EA"/>
    <w:rsid w:val="00AF02FC"/>
    <w:rsid w:val="00AF03EB"/>
    <w:rsid w:val="00AF0735"/>
    <w:rsid w:val="00AF0915"/>
    <w:rsid w:val="00AF0A42"/>
    <w:rsid w:val="00AF0C54"/>
    <w:rsid w:val="00AF0D12"/>
    <w:rsid w:val="00AF0D71"/>
    <w:rsid w:val="00AF0DA8"/>
    <w:rsid w:val="00AF1066"/>
    <w:rsid w:val="00AF11FC"/>
    <w:rsid w:val="00AF1526"/>
    <w:rsid w:val="00AF1535"/>
    <w:rsid w:val="00AF16B6"/>
    <w:rsid w:val="00AF1888"/>
    <w:rsid w:val="00AF20C6"/>
    <w:rsid w:val="00AF2139"/>
    <w:rsid w:val="00AF21EB"/>
    <w:rsid w:val="00AF2407"/>
    <w:rsid w:val="00AF26B9"/>
    <w:rsid w:val="00AF2796"/>
    <w:rsid w:val="00AF2A93"/>
    <w:rsid w:val="00AF2C23"/>
    <w:rsid w:val="00AF2C35"/>
    <w:rsid w:val="00AF2D40"/>
    <w:rsid w:val="00AF2D54"/>
    <w:rsid w:val="00AF2F05"/>
    <w:rsid w:val="00AF3321"/>
    <w:rsid w:val="00AF3AB5"/>
    <w:rsid w:val="00AF3F17"/>
    <w:rsid w:val="00AF413D"/>
    <w:rsid w:val="00AF41B5"/>
    <w:rsid w:val="00AF42A4"/>
    <w:rsid w:val="00AF430F"/>
    <w:rsid w:val="00AF4502"/>
    <w:rsid w:val="00AF4668"/>
    <w:rsid w:val="00AF499E"/>
    <w:rsid w:val="00AF4B62"/>
    <w:rsid w:val="00AF4B63"/>
    <w:rsid w:val="00AF4D56"/>
    <w:rsid w:val="00AF4E35"/>
    <w:rsid w:val="00AF4EEE"/>
    <w:rsid w:val="00AF5088"/>
    <w:rsid w:val="00AF519F"/>
    <w:rsid w:val="00AF52A4"/>
    <w:rsid w:val="00AF538E"/>
    <w:rsid w:val="00AF54EB"/>
    <w:rsid w:val="00AF553D"/>
    <w:rsid w:val="00AF55B7"/>
    <w:rsid w:val="00AF568D"/>
    <w:rsid w:val="00AF5A71"/>
    <w:rsid w:val="00AF5B1A"/>
    <w:rsid w:val="00AF5D2A"/>
    <w:rsid w:val="00AF5D5A"/>
    <w:rsid w:val="00AF5D6E"/>
    <w:rsid w:val="00AF5D92"/>
    <w:rsid w:val="00AF5ED8"/>
    <w:rsid w:val="00AF6053"/>
    <w:rsid w:val="00AF6553"/>
    <w:rsid w:val="00AF6AE8"/>
    <w:rsid w:val="00AF6B4F"/>
    <w:rsid w:val="00AF6B68"/>
    <w:rsid w:val="00AF6CCC"/>
    <w:rsid w:val="00AF70DF"/>
    <w:rsid w:val="00AF73BA"/>
    <w:rsid w:val="00AF74F3"/>
    <w:rsid w:val="00AF76B2"/>
    <w:rsid w:val="00AF76DE"/>
    <w:rsid w:val="00AF7A87"/>
    <w:rsid w:val="00AF7AAD"/>
    <w:rsid w:val="00AF7B1C"/>
    <w:rsid w:val="00AF7CE4"/>
    <w:rsid w:val="00AF7E84"/>
    <w:rsid w:val="00AF7F6E"/>
    <w:rsid w:val="00B000B2"/>
    <w:rsid w:val="00B0011A"/>
    <w:rsid w:val="00B0016F"/>
    <w:rsid w:val="00B001F2"/>
    <w:rsid w:val="00B001F5"/>
    <w:rsid w:val="00B002CC"/>
    <w:rsid w:val="00B00344"/>
    <w:rsid w:val="00B003C5"/>
    <w:rsid w:val="00B0044A"/>
    <w:rsid w:val="00B0049F"/>
    <w:rsid w:val="00B00508"/>
    <w:rsid w:val="00B00546"/>
    <w:rsid w:val="00B005FC"/>
    <w:rsid w:val="00B006F5"/>
    <w:rsid w:val="00B008F2"/>
    <w:rsid w:val="00B00935"/>
    <w:rsid w:val="00B00A18"/>
    <w:rsid w:val="00B00D9A"/>
    <w:rsid w:val="00B00DBA"/>
    <w:rsid w:val="00B00E3D"/>
    <w:rsid w:val="00B00E91"/>
    <w:rsid w:val="00B00F3C"/>
    <w:rsid w:val="00B011B5"/>
    <w:rsid w:val="00B01891"/>
    <w:rsid w:val="00B01B73"/>
    <w:rsid w:val="00B01BE7"/>
    <w:rsid w:val="00B01FB9"/>
    <w:rsid w:val="00B022BC"/>
    <w:rsid w:val="00B02398"/>
    <w:rsid w:val="00B023E3"/>
    <w:rsid w:val="00B02557"/>
    <w:rsid w:val="00B02740"/>
    <w:rsid w:val="00B027CC"/>
    <w:rsid w:val="00B0287D"/>
    <w:rsid w:val="00B029A7"/>
    <w:rsid w:val="00B029FC"/>
    <w:rsid w:val="00B02CC0"/>
    <w:rsid w:val="00B02F90"/>
    <w:rsid w:val="00B0320E"/>
    <w:rsid w:val="00B03244"/>
    <w:rsid w:val="00B032C8"/>
    <w:rsid w:val="00B033E8"/>
    <w:rsid w:val="00B0373C"/>
    <w:rsid w:val="00B03792"/>
    <w:rsid w:val="00B03843"/>
    <w:rsid w:val="00B0384B"/>
    <w:rsid w:val="00B03882"/>
    <w:rsid w:val="00B03A09"/>
    <w:rsid w:val="00B03A5D"/>
    <w:rsid w:val="00B03B22"/>
    <w:rsid w:val="00B03DBB"/>
    <w:rsid w:val="00B03F3E"/>
    <w:rsid w:val="00B041FF"/>
    <w:rsid w:val="00B0427C"/>
    <w:rsid w:val="00B042CA"/>
    <w:rsid w:val="00B0433C"/>
    <w:rsid w:val="00B04351"/>
    <w:rsid w:val="00B04390"/>
    <w:rsid w:val="00B0488E"/>
    <w:rsid w:val="00B04A32"/>
    <w:rsid w:val="00B04B22"/>
    <w:rsid w:val="00B04C1E"/>
    <w:rsid w:val="00B04E4F"/>
    <w:rsid w:val="00B04E8F"/>
    <w:rsid w:val="00B052CE"/>
    <w:rsid w:val="00B0551A"/>
    <w:rsid w:val="00B0564B"/>
    <w:rsid w:val="00B05746"/>
    <w:rsid w:val="00B0598D"/>
    <w:rsid w:val="00B0598F"/>
    <w:rsid w:val="00B059F0"/>
    <w:rsid w:val="00B05B73"/>
    <w:rsid w:val="00B05F71"/>
    <w:rsid w:val="00B0624E"/>
    <w:rsid w:val="00B063A8"/>
    <w:rsid w:val="00B065D6"/>
    <w:rsid w:val="00B0678F"/>
    <w:rsid w:val="00B0688F"/>
    <w:rsid w:val="00B06A44"/>
    <w:rsid w:val="00B06A67"/>
    <w:rsid w:val="00B06BC7"/>
    <w:rsid w:val="00B070B6"/>
    <w:rsid w:val="00B072A8"/>
    <w:rsid w:val="00B072DB"/>
    <w:rsid w:val="00B0738E"/>
    <w:rsid w:val="00B073A3"/>
    <w:rsid w:val="00B073AF"/>
    <w:rsid w:val="00B076D1"/>
    <w:rsid w:val="00B078DB"/>
    <w:rsid w:val="00B079D8"/>
    <w:rsid w:val="00B07CD6"/>
    <w:rsid w:val="00B07E79"/>
    <w:rsid w:val="00B07FAE"/>
    <w:rsid w:val="00B10194"/>
    <w:rsid w:val="00B104EF"/>
    <w:rsid w:val="00B10584"/>
    <w:rsid w:val="00B105F9"/>
    <w:rsid w:val="00B10839"/>
    <w:rsid w:val="00B10AB1"/>
    <w:rsid w:val="00B10AEC"/>
    <w:rsid w:val="00B10DC3"/>
    <w:rsid w:val="00B11004"/>
    <w:rsid w:val="00B1102B"/>
    <w:rsid w:val="00B110C3"/>
    <w:rsid w:val="00B110EF"/>
    <w:rsid w:val="00B1116E"/>
    <w:rsid w:val="00B1145B"/>
    <w:rsid w:val="00B1157F"/>
    <w:rsid w:val="00B115A5"/>
    <w:rsid w:val="00B11685"/>
    <w:rsid w:val="00B117A5"/>
    <w:rsid w:val="00B11818"/>
    <w:rsid w:val="00B118B3"/>
    <w:rsid w:val="00B11C25"/>
    <w:rsid w:val="00B11D9A"/>
    <w:rsid w:val="00B11E88"/>
    <w:rsid w:val="00B12570"/>
    <w:rsid w:val="00B1287F"/>
    <w:rsid w:val="00B12887"/>
    <w:rsid w:val="00B128C1"/>
    <w:rsid w:val="00B128DB"/>
    <w:rsid w:val="00B1296D"/>
    <w:rsid w:val="00B129D8"/>
    <w:rsid w:val="00B12A91"/>
    <w:rsid w:val="00B12BF1"/>
    <w:rsid w:val="00B12E6B"/>
    <w:rsid w:val="00B12ED1"/>
    <w:rsid w:val="00B12F2E"/>
    <w:rsid w:val="00B1309A"/>
    <w:rsid w:val="00B132D9"/>
    <w:rsid w:val="00B13372"/>
    <w:rsid w:val="00B1350F"/>
    <w:rsid w:val="00B13677"/>
    <w:rsid w:val="00B136E8"/>
    <w:rsid w:val="00B13A00"/>
    <w:rsid w:val="00B13B95"/>
    <w:rsid w:val="00B13B99"/>
    <w:rsid w:val="00B13E5C"/>
    <w:rsid w:val="00B13FFF"/>
    <w:rsid w:val="00B1428A"/>
    <w:rsid w:val="00B1457A"/>
    <w:rsid w:val="00B14913"/>
    <w:rsid w:val="00B14AC8"/>
    <w:rsid w:val="00B14C49"/>
    <w:rsid w:val="00B15181"/>
    <w:rsid w:val="00B15249"/>
    <w:rsid w:val="00B153B0"/>
    <w:rsid w:val="00B15906"/>
    <w:rsid w:val="00B159A1"/>
    <w:rsid w:val="00B159BC"/>
    <w:rsid w:val="00B15CEE"/>
    <w:rsid w:val="00B15CF0"/>
    <w:rsid w:val="00B15D5C"/>
    <w:rsid w:val="00B15DAD"/>
    <w:rsid w:val="00B160CF"/>
    <w:rsid w:val="00B160D1"/>
    <w:rsid w:val="00B16395"/>
    <w:rsid w:val="00B1690C"/>
    <w:rsid w:val="00B16A4F"/>
    <w:rsid w:val="00B16AED"/>
    <w:rsid w:val="00B16D34"/>
    <w:rsid w:val="00B171D3"/>
    <w:rsid w:val="00B172D1"/>
    <w:rsid w:val="00B17449"/>
    <w:rsid w:val="00B17473"/>
    <w:rsid w:val="00B17502"/>
    <w:rsid w:val="00B17592"/>
    <w:rsid w:val="00B1765F"/>
    <w:rsid w:val="00B176EA"/>
    <w:rsid w:val="00B1772C"/>
    <w:rsid w:val="00B17944"/>
    <w:rsid w:val="00B17A33"/>
    <w:rsid w:val="00B17A8B"/>
    <w:rsid w:val="00B17B19"/>
    <w:rsid w:val="00B17B32"/>
    <w:rsid w:val="00B17B56"/>
    <w:rsid w:val="00B17D2D"/>
    <w:rsid w:val="00B17D67"/>
    <w:rsid w:val="00B17D75"/>
    <w:rsid w:val="00B17E26"/>
    <w:rsid w:val="00B20045"/>
    <w:rsid w:val="00B201E8"/>
    <w:rsid w:val="00B206CD"/>
    <w:rsid w:val="00B20784"/>
    <w:rsid w:val="00B2084B"/>
    <w:rsid w:val="00B20854"/>
    <w:rsid w:val="00B209E4"/>
    <w:rsid w:val="00B20B24"/>
    <w:rsid w:val="00B20DA9"/>
    <w:rsid w:val="00B21088"/>
    <w:rsid w:val="00B211C4"/>
    <w:rsid w:val="00B213CF"/>
    <w:rsid w:val="00B214A8"/>
    <w:rsid w:val="00B2177B"/>
    <w:rsid w:val="00B21892"/>
    <w:rsid w:val="00B21917"/>
    <w:rsid w:val="00B21B4F"/>
    <w:rsid w:val="00B21B59"/>
    <w:rsid w:val="00B21B89"/>
    <w:rsid w:val="00B220BF"/>
    <w:rsid w:val="00B227A0"/>
    <w:rsid w:val="00B228A8"/>
    <w:rsid w:val="00B22B35"/>
    <w:rsid w:val="00B22CAD"/>
    <w:rsid w:val="00B22E9A"/>
    <w:rsid w:val="00B22F8C"/>
    <w:rsid w:val="00B22FD2"/>
    <w:rsid w:val="00B231E1"/>
    <w:rsid w:val="00B234AE"/>
    <w:rsid w:val="00B235C2"/>
    <w:rsid w:val="00B2367F"/>
    <w:rsid w:val="00B23782"/>
    <w:rsid w:val="00B2381C"/>
    <w:rsid w:val="00B2382E"/>
    <w:rsid w:val="00B239CA"/>
    <w:rsid w:val="00B23B10"/>
    <w:rsid w:val="00B23B97"/>
    <w:rsid w:val="00B23C1F"/>
    <w:rsid w:val="00B23C26"/>
    <w:rsid w:val="00B23DD0"/>
    <w:rsid w:val="00B23FC7"/>
    <w:rsid w:val="00B24036"/>
    <w:rsid w:val="00B2415A"/>
    <w:rsid w:val="00B241E2"/>
    <w:rsid w:val="00B242DB"/>
    <w:rsid w:val="00B24340"/>
    <w:rsid w:val="00B24447"/>
    <w:rsid w:val="00B245C9"/>
    <w:rsid w:val="00B2473B"/>
    <w:rsid w:val="00B24770"/>
    <w:rsid w:val="00B24843"/>
    <w:rsid w:val="00B24854"/>
    <w:rsid w:val="00B24994"/>
    <w:rsid w:val="00B24A36"/>
    <w:rsid w:val="00B24A42"/>
    <w:rsid w:val="00B24B8C"/>
    <w:rsid w:val="00B24F89"/>
    <w:rsid w:val="00B2503F"/>
    <w:rsid w:val="00B25282"/>
    <w:rsid w:val="00B2540C"/>
    <w:rsid w:val="00B254FB"/>
    <w:rsid w:val="00B2563C"/>
    <w:rsid w:val="00B2579A"/>
    <w:rsid w:val="00B257A7"/>
    <w:rsid w:val="00B25AAC"/>
    <w:rsid w:val="00B25AFA"/>
    <w:rsid w:val="00B25C6A"/>
    <w:rsid w:val="00B25C78"/>
    <w:rsid w:val="00B25D6D"/>
    <w:rsid w:val="00B25EB0"/>
    <w:rsid w:val="00B25F6F"/>
    <w:rsid w:val="00B26278"/>
    <w:rsid w:val="00B2630C"/>
    <w:rsid w:val="00B263F0"/>
    <w:rsid w:val="00B26ADC"/>
    <w:rsid w:val="00B26E38"/>
    <w:rsid w:val="00B26EF3"/>
    <w:rsid w:val="00B26F01"/>
    <w:rsid w:val="00B271C1"/>
    <w:rsid w:val="00B27402"/>
    <w:rsid w:val="00B275FF"/>
    <w:rsid w:val="00B2775F"/>
    <w:rsid w:val="00B278B2"/>
    <w:rsid w:val="00B27BA1"/>
    <w:rsid w:val="00B27BA9"/>
    <w:rsid w:val="00B27DD8"/>
    <w:rsid w:val="00B30333"/>
    <w:rsid w:val="00B30802"/>
    <w:rsid w:val="00B3088F"/>
    <w:rsid w:val="00B30C0B"/>
    <w:rsid w:val="00B30C6D"/>
    <w:rsid w:val="00B30F98"/>
    <w:rsid w:val="00B31081"/>
    <w:rsid w:val="00B310E6"/>
    <w:rsid w:val="00B31962"/>
    <w:rsid w:val="00B319DA"/>
    <w:rsid w:val="00B31AB1"/>
    <w:rsid w:val="00B31DC9"/>
    <w:rsid w:val="00B31EFD"/>
    <w:rsid w:val="00B32258"/>
    <w:rsid w:val="00B3237D"/>
    <w:rsid w:val="00B32A20"/>
    <w:rsid w:val="00B32A3D"/>
    <w:rsid w:val="00B32BC9"/>
    <w:rsid w:val="00B32CB6"/>
    <w:rsid w:val="00B32CE3"/>
    <w:rsid w:val="00B32D0D"/>
    <w:rsid w:val="00B32DC8"/>
    <w:rsid w:val="00B331E0"/>
    <w:rsid w:val="00B334B2"/>
    <w:rsid w:val="00B33BC3"/>
    <w:rsid w:val="00B33CBC"/>
    <w:rsid w:val="00B33D84"/>
    <w:rsid w:val="00B33DF9"/>
    <w:rsid w:val="00B33F16"/>
    <w:rsid w:val="00B33F2F"/>
    <w:rsid w:val="00B344D8"/>
    <w:rsid w:val="00B3468D"/>
    <w:rsid w:val="00B3483C"/>
    <w:rsid w:val="00B34BC9"/>
    <w:rsid w:val="00B34EDC"/>
    <w:rsid w:val="00B3524A"/>
    <w:rsid w:val="00B35356"/>
    <w:rsid w:val="00B3541A"/>
    <w:rsid w:val="00B35448"/>
    <w:rsid w:val="00B35506"/>
    <w:rsid w:val="00B35A55"/>
    <w:rsid w:val="00B35AC8"/>
    <w:rsid w:val="00B35AD4"/>
    <w:rsid w:val="00B35B69"/>
    <w:rsid w:val="00B35B7A"/>
    <w:rsid w:val="00B35EA4"/>
    <w:rsid w:val="00B361B5"/>
    <w:rsid w:val="00B361DF"/>
    <w:rsid w:val="00B3635F"/>
    <w:rsid w:val="00B366AA"/>
    <w:rsid w:val="00B367C5"/>
    <w:rsid w:val="00B36A68"/>
    <w:rsid w:val="00B36B3C"/>
    <w:rsid w:val="00B36C09"/>
    <w:rsid w:val="00B36CE4"/>
    <w:rsid w:val="00B3702E"/>
    <w:rsid w:val="00B37081"/>
    <w:rsid w:val="00B372E8"/>
    <w:rsid w:val="00B37424"/>
    <w:rsid w:val="00B37522"/>
    <w:rsid w:val="00B375E2"/>
    <w:rsid w:val="00B376CD"/>
    <w:rsid w:val="00B37788"/>
    <w:rsid w:val="00B377B0"/>
    <w:rsid w:val="00B37A87"/>
    <w:rsid w:val="00B37B58"/>
    <w:rsid w:val="00B37BF7"/>
    <w:rsid w:val="00B37DD8"/>
    <w:rsid w:val="00B400BB"/>
    <w:rsid w:val="00B402E1"/>
    <w:rsid w:val="00B403C8"/>
    <w:rsid w:val="00B404B9"/>
    <w:rsid w:val="00B4056D"/>
    <w:rsid w:val="00B406FA"/>
    <w:rsid w:val="00B40C71"/>
    <w:rsid w:val="00B40C77"/>
    <w:rsid w:val="00B40F51"/>
    <w:rsid w:val="00B40F52"/>
    <w:rsid w:val="00B4104D"/>
    <w:rsid w:val="00B41106"/>
    <w:rsid w:val="00B4136A"/>
    <w:rsid w:val="00B4136E"/>
    <w:rsid w:val="00B41960"/>
    <w:rsid w:val="00B41968"/>
    <w:rsid w:val="00B419BD"/>
    <w:rsid w:val="00B41A59"/>
    <w:rsid w:val="00B41BDE"/>
    <w:rsid w:val="00B41C0D"/>
    <w:rsid w:val="00B41D94"/>
    <w:rsid w:val="00B41EBA"/>
    <w:rsid w:val="00B41FBB"/>
    <w:rsid w:val="00B41FE3"/>
    <w:rsid w:val="00B4208F"/>
    <w:rsid w:val="00B42479"/>
    <w:rsid w:val="00B424ED"/>
    <w:rsid w:val="00B42503"/>
    <w:rsid w:val="00B4274F"/>
    <w:rsid w:val="00B427D5"/>
    <w:rsid w:val="00B42996"/>
    <w:rsid w:val="00B42BAD"/>
    <w:rsid w:val="00B42C3B"/>
    <w:rsid w:val="00B42FD7"/>
    <w:rsid w:val="00B4314E"/>
    <w:rsid w:val="00B43217"/>
    <w:rsid w:val="00B4343F"/>
    <w:rsid w:val="00B4357E"/>
    <w:rsid w:val="00B436F4"/>
    <w:rsid w:val="00B437EA"/>
    <w:rsid w:val="00B43C99"/>
    <w:rsid w:val="00B43CDE"/>
    <w:rsid w:val="00B43D18"/>
    <w:rsid w:val="00B43F75"/>
    <w:rsid w:val="00B44509"/>
    <w:rsid w:val="00B445CA"/>
    <w:rsid w:val="00B4465B"/>
    <w:rsid w:val="00B44AFB"/>
    <w:rsid w:val="00B44B9E"/>
    <w:rsid w:val="00B44BA4"/>
    <w:rsid w:val="00B44BFB"/>
    <w:rsid w:val="00B44D74"/>
    <w:rsid w:val="00B4508C"/>
    <w:rsid w:val="00B45129"/>
    <w:rsid w:val="00B4524D"/>
    <w:rsid w:val="00B452EA"/>
    <w:rsid w:val="00B4535A"/>
    <w:rsid w:val="00B453AE"/>
    <w:rsid w:val="00B454D1"/>
    <w:rsid w:val="00B454D2"/>
    <w:rsid w:val="00B4572A"/>
    <w:rsid w:val="00B45B2D"/>
    <w:rsid w:val="00B45B68"/>
    <w:rsid w:val="00B45B95"/>
    <w:rsid w:val="00B45BF3"/>
    <w:rsid w:val="00B45DEA"/>
    <w:rsid w:val="00B45E34"/>
    <w:rsid w:val="00B45EDD"/>
    <w:rsid w:val="00B45EEA"/>
    <w:rsid w:val="00B45F09"/>
    <w:rsid w:val="00B46010"/>
    <w:rsid w:val="00B4645D"/>
    <w:rsid w:val="00B4662F"/>
    <w:rsid w:val="00B46679"/>
    <w:rsid w:val="00B4676E"/>
    <w:rsid w:val="00B467DD"/>
    <w:rsid w:val="00B467E9"/>
    <w:rsid w:val="00B46A03"/>
    <w:rsid w:val="00B46CBA"/>
    <w:rsid w:val="00B46DF4"/>
    <w:rsid w:val="00B46F42"/>
    <w:rsid w:val="00B46FCB"/>
    <w:rsid w:val="00B4720A"/>
    <w:rsid w:val="00B47468"/>
    <w:rsid w:val="00B474F3"/>
    <w:rsid w:val="00B4759D"/>
    <w:rsid w:val="00B4790C"/>
    <w:rsid w:val="00B47A6C"/>
    <w:rsid w:val="00B47BE3"/>
    <w:rsid w:val="00B50108"/>
    <w:rsid w:val="00B5045F"/>
    <w:rsid w:val="00B506CF"/>
    <w:rsid w:val="00B50A34"/>
    <w:rsid w:val="00B50AAD"/>
    <w:rsid w:val="00B50AFD"/>
    <w:rsid w:val="00B50D58"/>
    <w:rsid w:val="00B50E3C"/>
    <w:rsid w:val="00B50F72"/>
    <w:rsid w:val="00B51004"/>
    <w:rsid w:val="00B51086"/>
    <w:rsid w:val="00B51179"/>
    <w:rsid w:val="00B5123A"/>
    <w:rsid w:val="00B512BC"/>
    <w:rsid w:val="00B51348"/>
    <w:rsid w:val="00B514D7"/>
    <w:rsid w:val="00B517BB"/>
    <w:rsid w:val="00B51A67"/>
    <w:rsid w:val="00B51B60"/>
    <w:rsid w:val="00B51BD8"/>
    <w:rsid w:val="00B51BE4"/>
    <w:rsid w:val="00B51C17"/>
    <w:rsid w:val="00B51EEA"/>
    <w:rsid w:val="00B522FA"/>
    <w:rsid w:val="00B524B9"/>
    <w:rsid w:val="00B5278E"/>
    <w:rsid w:val="00B527F3"/>
    <w:rsid w:val="00B529FC"/>
    <w:rsid w:val="00B52A56"/>
    <w:rsid w:val="00B52AF7"/>
    <w:rsid w:val="00B52B15"/>
    <w:rsid w:val="00B52C6E"/>
    <w:rsid w:val="00B52F58"/>
    <w:rsid w:val="00B53050"/>
    <w:rsid w:val="00B5326C"/>
    <w:rsid w:val="00B53312"/>
    <w:rsid w:val="00B53326"/>
    <w:rsid w:val="00B53629"/>
    <w:rsid w:val="00B5376A"/>
    <w:rsid w:val="00B5377E"/>
    <w:rsid w:val="00B537D0"/>
    <w:rsid w:val="00B53952"/>
    <w:rsid w:val="00B539BF"/>
    <w:rsid w:val="00B539F9"/>
    <w:rsid w:val="00B53C87"/>
    <w:rsid w:val="00B53DD1"/>
    <w:rsid w:val="00B53E12"/>
    <w:rsid w:val="00B53FD7"/>
    <w:rsid w:val="00B54011"/>
    <w:rsid w:val="00B5431C"/>
    <w:rsid w:val="00B543A7"/>
    <w:rsid w:val="00B544A5"/>
    <w:rsid w:val="00B54534"/>
    <w:rsid w:val="00B5460C"/>
    <w:rsid w:val="00B54617"/>
    <w:rsid w:val="00B5468E"/>
    <w:rsid w:val="00B5476B"/>
    <w:rsid w:val="00B54895"/>
    <w:rsid w:val="00B5493C"/>
    <w:rsid w:val="00B5493D"/>
    <w:rsid w:val="00B54A5A"/>
    <w:rsid w:val="00B54B7D"/>
    <w:rsid w:val="00B54C47"/>
    <w:rsid w:val="00B54E48"/>
    <w:rsid w:val="00B54EF7"/>
    <w:rsid w:val="00B55053"/>
    <w:rsid w:val="00B550D8"/>
    <w:rsid w:val="00B552D6"/>
    <w:rsid w:val="00B5540A"/>
    <w:rsid w:val="00B55490"/>
    <w:rsid w:val="00B555B2"/>
    <w:rsid w:val="00B5574D"/>
    <w:rsid w:val="00B55A8A"/>
    <w:rsid w:val="00B55D32"/>
    <w:rsid w:val="00B55FAE"/>
    <w:rsid w:val="00B56103"/>
    <w:rsid w:val="00B562C9"/>
    <w:rsid w:val="00B562F2"/>
    <w:rsid w:val="00B56325"/>
    <w:rsid w:val="00B56356"/>
    <w:rsid w:val="00B564F8"/>
    <w:rsid w:val="00B565A6"/>
    <w:rsid w:val="00B5672B"/>
    <w:rsid w:val="00B5696F"/>
    <w:rsid w:val="00B56AD3"/>
    <w:rsid w:val="00B56B02"/>
    <w:rsid w:val="00B56D18"/>
    <w:rsid w:val="00B56D93"/>
    <w:rsid w:val="00B56E52"/>
    <w:rsid w:val="00B56FF9"/>
    <w:rsid w:val="00B57046"/>
    <w:rsid w:val="00B57278"/>
    <w:rsid w:val="00B572AC"/>
    <w:rsid w:val="00B578F3"/>
    <w:rsid w:val="00B57CD5"/>
    <w:rsid w:val="00B60189"/>
    <w:rsid w:val="00B6030A"/>
    <w:rsid w:val="00B603F7"/>
    <w:rsid w:val="00B60418"/>
    <w:rsid w:val="00B60504"/>
    <w:rsid w:val="00B607AC"/>
    <w:rsid w:val="00B60863"/>
    <w:rsid w:val="00B60880"/>
    <w:rsid w:val="00B608E1"/>
    <w:rsid w:val="00B608F3"/>
    <w:rsid w:val="00B6093E"/>
    <w:rsid w:val="00B60946"/>
    <w:rsid w:val="00B60ED3"/>
    <w:rsid w:val="00B60FB0"/>
    <w:rsid w:val="00B60FB8"/>
    <w:rsid w:val="00B60FDA"/>
    <w:rsid w:val="00B61098"/>
    <w:rsid w:val="00B61590"/>
    <w:rsid w:val="00B61BFD"/>
    <w:rsid w:val="00B61C9A"/>
    <w:rsid w:val="00B61D3A"/>
    <w:rsid w:val="00B62144"/>
    <w:rsid w:val="00B62174"/>
    <w:rsid w:val="00B62362"/>
    <w:rsid w:val="00B62393"/>
    <w:rsid w:val="00B626EB"/>
    <w:rsid w:val="00B627E0"/>
    <w:rsid w:val="00B62929"/>
    <w:rsid w:val="00B62A95"/>
    <w:rsid w:val="00B62CDB"/>
    <w:rsid w:val="00B62CFE"/>
    <w:rsid w:val="00B62EB0"/>
    <w:rsid w:val="00B63053"/>
    <w:rsid w:val="00B6329C"/>
    <w:rsid w:val="00B63314"/>
    <w:rsid w:val="00B633B7"/>
    <w:rsid w:val="00B63711"/>
    <w:rsid w:val="00B6378C"/>
    <w:rsid w:val="00B639C1"/>
    <w:rsid w:val="00B63B4C"/>
    <w:rsid w:val="00B63ED1"/>
    <w:rsid w:val="00B641B6"/>
    <w:rsid w:val="00B643A5"/>
    <w:rsid w:val="00B648F6"/>
    <w:rsid w:val="00B64966"/>
    <w:rsid w:val="00B64ACB"/>
    <w:rsid w:val="00B64B97"/>
    <w:rsid w:val="00B64C4C"/>
    <w:rsid w:val="00B64CCE"/>
    <w:rsid w:val="00B650B6"/>
    <w:rsid w:val="00B6512E"/>
    <w:rsid w:val="00B653B8"/>
    <w:rsid w:val="00B6540A"/>
    <w:rsid w:val="00B65437"/>
    <w:rsid w:val="00B654E1"/>
    <w:rsid w:val="00B6555E"/>
    <w:rsid w:val="00B65563"/>
    <w:rsid w:val="00B6557F"/>
    <w:rsid w:val="00B656DD"/>
    <w:rsid w:val="00B65A1F"/>
    <w:rsid w:val="00B65A92"/>
    <w:rsid w:val="00B65C3D"/>
    <w:rsid w:val="00B65C7A"/>
    <w:rsid w:val="00B65D27"/>
    <w:rsid w:val="00B65E8B"/>
    <w:rsid w:val="00B66000"/>
    <w:rsid w:val="00B6609A"/>
    <w:rsid w:val="00B661D4"/>
    <w:rsid w:val="00B661F5"/>
    <w:rsid w:val="00B6623F"/>
    <w:rsid w:val="00B662F8"/>
    <w:rsid w:val="00B663B9"/>
    <w:rsid w:val="00B66583"/>
    <w:rsid w:val="00B6668F"/>
    <w:rsid w:val="00B669D4"/>
    <w:rsid w:val="00B66D5E"/>
    <w:rsid w:val="00B66E1E"/>
    <w:rsid w:val="00B66FC6"/>
    <w:rsid w:val="00B672A5"/>
    <w:rsid w:val="00B6757C"/>
    <w:rsid w:val="00B676C3"/>
    <w:rsid w:val="00B6775F"/>
    <w:rsid w:val="00B677D5"/>
    <w:rsid w:val="00B67876"/>
    <w:rsid w:val="00B67A7D"/>
    <w:rsid w:val="00B67BC8"/>
    <w:rsid w:val="00B67EB8"/>
    <w:rsid w:val="00B70507"/>
    <w:rsid w:val="00B706A3"/>
    <w:rsid w:val="00B706B4"/>
    <w:rsid w:val="00B706BC"/>
    <w:rsid w:val="00B706FA"/>
    <w:rsid w:val="00B70C9D"/>
    <w:rsid w:val="00B70FB3"/>
    <w:rsid w:val="00B713D1"/>
    <w:rsid w:val="00B71765"/>
    <w:rsid w:val="00B71773"/>
    <w:rsid w:val="00B71875"/>
    <w:rsid w:val="00B71C01"/>
    <w:rsid w:val="00B71EC6"/>
    <w:rsid w:val="00B722FE"/>
    <w:rsid w:val="00B724F5"/>
    <w:rsid w:val="00B7265F"/>
    <w:rsid w:val="00B7270E"/>
    <w:rsid w:val="00B727DC"/>
    <w:rsid w:val="00B728C5"/>
    <w:rsid w:val="00B72901"/>
    <w:rsid w:val="00B72B9D"/>
    <w:rsid w:val="00B72F6C"/>
    <w:rsid w:val="00B72FD2"/>
    <w:rsid w:val="00B733DA"/>
    <w:rsid w:val="00B734BB"/>
    <w:rsid w:val="00B73731"/>
    <w:rsid w:val="00B7391D"/>
    <w:rsid w:val="00B73A35"/>
    <w:rsid w:val="00B73ABF"/>
    <w:rsid w:val="00B73B99"/>
    <w:rsid w:val="00B73E1B"/>
    <w:rsid w:val="00B73E6E"/>
    <w:rsid w:val="00B73F05"/>
    <w:rsid w:val="00B73F35"/>
    <w:rsid w:val="00B7403F"/>
    <w:rsid w:val="00B740FF"/>
    <w:rsid w:val="00B74447"/>
    <w:rsid w:val="00B748E4"/>
    <w:rsid w:val="00B74A26"/>
    <w:rsid w:val="00B74A4F"/>
    <w:rsid w:val="00B74C32"/>
    <w:rsid w:val="00B74D1F"/>
    <w:rsid w:val="00B74DC4"/>
    <w:rsid w:val="00B74EB7"/>
    <w:rsid w:val="00B75127"/>
    <w:rsid w:val="00B7513E"/>
    <w:rsid w:val="00B751BA"/>
    <w:rsid w:val="00B751F0"/>
    <w:rsid w:val="00B7548E"/>
    <w:rsid w:val="00B754C6"/>
    <w:rsid w:val="00B754D0"/>
    <w:rsid w:val="00B75842"/>
    <w:rsid w:val="00B75987"/>
    <w:rsid w:val="00B75A75"/>
    <w:rsid w:val="00B75D58"/>
    <w:rsid w:val="00B75F36"/>
    <w:rsid w:val="00B75FE9"/>
    <w:rsid w:val="00B76059"/>
    <w:rsid w:val="00B76318"/>
    <w:rsid w:val="00B76387"/>
    <w:rsid w:val="00B76596"/>
    <w:rsid w:val="00B76599"/>
    <w:rsid w:val="00B766CA"/>
    <w:rsid w:val="00B76729"/>
    <w:rsid w:val="00B7681F"/>
    <w:rsid w:val="00B76A94"/>
    <w:rsid w:val="00B76D5B"/>
    <w:rsid w:val="00B76D5D"/>
    <w:rsid w:val="00B76E0D"/>
    <w:rsid w:val="00B76E76"/>
    <w:rsid w:val="00B76E97"/>
    <w:rsid w:val="00B76F0F"/>
    <w:rsid w:val="00B76FDA"/>
    <w:rsid w:val="00B77040"/>
    <w:rsid w:val="00B77110"/>
    <w:rsid w:val="00B77157"/>
    <w:rsid w:val="00B7715C"/>
    <w:rsid w:val="00B7715E"/>
    <w:rsid w:val="00B772F6"/>
    <w:rsid w:val="00B773E6"/>
    <w:rsid w:val="00B774BB"/>
    <w:rsid w:val="00B7763C"/>
    <w:rsid w:val="00B77A08"/>
    <w:rsid w:val="00B77A34"/>
    <w:rsid w:val="00B77C3A"/>
    <w:rsid w:val="00B77CCE"/>
    <w:rsid w:val="00B77E26"/>
    <w:rsid w:val="00B8035B"/>
    <w:rsid w:val="00B80501"/>
    <w:rsid w:val="00B8053A"/>
    <w:rsid w:val="00B80580"/>
    <w:rsid w:val="00B80AE1"/>
    <w:rsid w:val="00B80AFD"/>
    <w:rsid w:val="00B80B7F"/>
    <w:rsid w:val="00B80C00"/>
    <w:rsid w:val="00B80DFD"/>
    <w:rsid w:val="00B80E14"/>
    <w:rsid w:val="00B80E4A"/>
    <w:rsid w:val="00B80F1C"/>
    <w:rsid w:val="00B80FFA"/>
    <w:rsid w:val="00B81007"/>
    <w:rsid w:val="00B81016"/>
    <w:rsid w:val="00B81132"/>
    <w:rsid w:val="00B811AA"/>
    <w:rsid w:val="00B81208"/>
    <w:rsid w:val="00B81236"/>
    <w:rsid w:val="00B8130C"/>
    <w:rsid w:val="00B8166B"/>
    <w:rsid w:val="00B816ED"/>
    <w:rsid w:val="00B817FE"/>
    <w:rsid w:val="00B81E84"/>
    <w:rsid w:val="00B825C6"/>
    <w:rsid w:val="00B82642"/>
    <w:rsid w:val="00B828DC"/>
    <w:rsid w:val="00B829AB"/>
    <w:rsid w:val="00B82AB4"/>
    <w:rsid w:val="00B82D22"/>
    <w:rsid w:val="00B82F58"/>
    <w:rsid w:val="00B82F9E"/>
    <w:rsid w:val="00B83136"/>
    <w:rsid w:val="00B83409"/>
    <w:rsid w:val="00B83490"/>
    <w:rsid w:val="00B83530"/>
    <w:rsid w:val="00B8370D"/>
    <w:rsid w:val="00B8389D"/>
    <w:rsid w:val="00B83B1D"/>
    <w:rsid w:val="00B83D2C"/>
    <w:rsid w:val="00B83DCA"/>
    <w:rsid w:val="00B83DE4"/>
    <w:rsid w:val="00B83FCD"/>
    <w:rsid w:val="00B84270"/>
    <w:rsid w:val="00B844A5"/>
    <w:rsid w:val="00B84646"/>
    <w:rsid w:val="00B846F1"/>
    <w:rsid w:val="00B84987"/>
    <w:rsid w:val="00B84A53"/>
    <w:rsid w:val="00B84E8D"/>
    <w:rsid w:val="00B84EC7"/>
    <w:rsid w:val="00B84F46"/>
    <w:rsid w:val="00B85316"/>
    <w:rsid w:val="00B85404"/>
    <w:rsid w:val="00B855B2"/>
    <w:rsid w:val="00B8573E"/>
    <w:rsid w:val="00B857C9"/>
    <w:rsid w:val="00B857DB"/>
    <w:rsid w:val="00B85845"/>
    <w:rsid w:val="00B8598C"/>
    <w:rsid w:val="00B859AA"/>
    <w:rsid w:val="00B85A60"/>
    <w:rsid w:val="00B85A89"/>
    <w:rsid w:val="00B85C59"/>
    <w:rsid w:val="00B85C6A"/>
    <w:rsid w:val="00B85EFE"/>
    <w:rsid w:val="00B85FD8"/>
    <w:rsid w:val="00B8600F"/>
    <w:rsid w:val="00B860FB"/>
    <w:rsid w:val="00B86114"/>
    <w:rsid w:val="00B8612E"/>
    <w:rsid w:val="00B86220"/>
    <w:rsid w:val="00B86221"/>
    <w:rsid w:val="00B86263"/>
    <w:rsid w:val="00B86360"/>
    <w:rsid w:val="00B86497"/>
    <w:rsid w:val="00B86548"/>
    <w:rsid w:val="00B867CE"/>
    <w:rsid w:val="00B86996"/>
    <w:rsid w:val="00B86AE2"/>
    <w:rsid w:val="00B86E85"/>
    <w:rsid w:val="00B86F9E"/>
    <w:rsid w:val="00B86FDF"/>
    <w:rsid w:val="00B874AC"/>
    <w:rsid w:val="00B8771A"/>
    <w:rsid w:val="00B877DC"/>
    <w:rsid w:val="00B878D9"/>
    <w:rsid w:val="00B8792C"/>
    <w:rsid w:val="00B87999"/>
    <w:rsid w:val="00B87A37"/>
    <w:rsid w:val="00B87AE6"/>
    <w:rsid w:val="00B87AF2"/>
    <w:rsid w:val="00B87B05"/>
    <w:rsid w:val="00B87C31"/>
    <w:rsid w:val="00B87DDC"/>
    <w:rsid w:val="00B87F51"/>
    <w:rsid w:val="00B90022"/>
    <w:rsid w:val="00B9012E"/>
    <w:rsid w:val="00B90199"/>
    <w:rsid w:val="00B902AF"/>
    <w:rsid w:val="00B9033A"/>
    <w:rsid w:val="00B90349"/>
    <w:rsid w:val="00B9050E"/>
    <w:rsid w:val="00B906BF"/>
    <w:rsid w:val="00B90828"/>
    <w:rsid w:val="00B908A7"/>
    <w:rsid w:val="00B90F64"/>
    <w:rsid w:val="00B911AC"/>
    <w:rsid w:val="00B9133F"/>
    <w:rsid w:val="00B913C7"/>
    <w:rsid w:val="00B917E9"/>
    <w:rsid w:val="00B917EC"/>
    <w:rsid w:val="00B9183E"/>
    <w:rsid w:val="00B918C9"/>
    <w:rsid w:val="00B918E1"/>
    <w:rsid w:val="00B91F3E"/>
    <w:rsid w:val="00B92058"/>
    <w:rsid w:val="00B92070"/>
    <w:rsid w:val="00B921BA"/>
    <w:rsid w:val="00B9230C"/>
    <w:rsid w:val="00B92409"/>
    <w:rsid w:val="00B925D5"/>
    <w:rsid w:val="00B92664"/>
    <w:rsid w:val="00B92674"/>
    <w:rsid w:val="00B928F2"/>
    <w:rsid w:val="00B929A7"/>
    <w:rsid w:val="00B92A29"/>
    <w:rsid w:val="00B92C54"/>
    <w:rsid w:val="00B92FB6"/>
    <w:rsid w:val="00B93174"/>
    <w:rsid w:val="00B9320B"/>
    <w:rsid w:val="00B93509"/>
    <w:rsid w:val="00B93779"/>
    <w:rsid w:val="00B939B2"/>
    <w:rsid w:val="00B93A5A"/>
    <w:rsid w:val="00B93C1E"/>
    <w:rsid w:val="00B93EC5"/>
    <w:rsid w:val="00B941E5"/>
    <w:rsid w:val="00B943AA"/>
    <w:rsid w:val="00B943CF"/>
    <w:rsid w:val="00B9450E"/>
    <w:rsid w:val="00B947B0"/>
    <w:rsid w:val="00B947B5"/>
    <w:rsid w:val="00B9481C"/>
    <w:rsid w:val="00B94B87"/>
    <w:rsid w:val="00B94D86"/>
    <w:rsid w:val="00B94F47"/>
    <w:rsid w:val="00B94F9E"/>
    <w:rsid w:val="00B9504A"/>
    <w:rsid w:val="00B952BB"/>
    <w:rsid w:val="00B95476"/>
    <w:rsid w:val="00B956BD"/>
    <w:rsid w:val="00B95733"/>
    <w:rsid w:val="00B95964"/>
    <w:rsid w:val="00B95B6B"/>
    <w:rsid w:val="00B95C7D"/>
    <w:rsid w:val="00B96157"/>
    <w:rsid w:val="00B961DD"/>
    <w:rsid w:val="00B96225"/>
    <w:rsid w:val="00B96798"/>
    <w:rsid w:val="00B967C0"/>
    <w:rsid w:val="00B96822"/>
    <w:rsid w:val="00B968C4"/>
    <w:rsid w:val="00B96E80"/>
    <w:rsid w:val="00B9710A"/>
    <w:rsid w:val="00B97158"/>
    <w:rsid w:val="00B9729D"/>
    <w:rsid w:val="00B97304"/>
    <w:rsid w:val="00B975B9"/>
    <w:rsid w:val="00B97603"/>
    <w:rsid w:val="00B976CE"/>
    <w:rsid w:val="00B9793C"/>
    <w:rsid w:val="00B97AE1"/>
    <w:rsid w:val="00B97C4D"/>
    <w:rsid w:val="00BA008B"/>
    <w:rsid w:val="00BA04D9"/>
    <w:rsid w:val="00BA0504"/>
    <w:rsid w:val="00BA073F"/>
    <w:rsid w:val="00BA0753"/>
    <w:rsid w:val="00BA076F"/>
    <w:rsid w:val="00BA0991"/>
    <w:rsid w:val="00BA09AC"/>
    <w:rsid w:val="00BA0B39"/>
    <w:rsid w:val="00BA0B51"/>
    <w:rsid w:val="00BA1186"/>
    <w:rsid w:val="00BA11AC"/>
    <w:rsid w:val="00BA1275"/>
    <w:rsid w:val="00BA12EB"/>
    <w:rsid w:val="00BA185F"/>
    <w:rsid w:val="00BA192F"/>
    <w:rsid w:val="00BA1A49"/>
    <w:rsid w:val="00BA1DEF"/>
    <w:rsid w:val="00BA1E96"/>
    <w:rsid w:val="00BA1FA0"/>
    <w:rsid w:val="00BA2008"/>
    <w:rsid w:val="00BA2700"/>
    <w:rsid w:val="00BA283A"/>
    <w:rsid w:val="00BA2848"/>
    <w:rsid w:val="00BA2872"/>
    <w:rsid w:val="00BA2B89"/>
    <w:rsid w:val="00BA2C49"/>
    <w:rsid w:val="00BA3168"/>
    <w:rsid w:val="00BA31FA"/>
    <w:rsid w:val="00BA32B4"/>
    <w:rsid w:val="00BA339E"/>
    <w:rsid w:val="00BA3417"/>
    <w:rsid w:val="00BA3832"/>
    <w:rsid w:val="00BA3AE5"/>
    <w:rsid w:val="00BA3AF0"/>
    <w:rsid w:val="00BA3B08"/>
    <w:rsid w:val="00BA3B0F"/>
    <w:rsid w:val="00BA3B21"/>
    <w:rsid w:val="00BA3DD2"/>
    <w:rsid w:val="00BA3DF7"/>
    <w:rsid w:val="00BA3DF8"/>
    <w:rsid w:val="00BA3E53"/>
    <w:rsid w:val="00BA3E80"/>
    <w:rsid w:val="00BA3EAB"/>
    <w:rsid w:val="00BA41EC"/>
    <w:rsid w:val="00BA4205"/>
    <w:rsid w:val="00BA42EF"/>
    <w:rsid w:val="00BA46BE"/>
    <w:rsid w:val="00BA491D"/>
    <w:rsid w:val="00BA4B4A"/>
    <w:rsid w:val="00BA4BFB"/>
    <w:rsid w:val="00BA4D10"/>
    <w:rsid w:val="00BA4EFC"/>
    <w:rsid w:val="00BA519E"/>
    <w:rsid w:val="00BA52B4"/>
    <w:rsid w:val="00BA537A"/>
    <w:rsid w:val="00BA54EE"/>
    <w:rsid w:val="00BA553E"/>
    <w:rsid w:val="00BA5607"/>
    <w:rsid w:val="00BA5649"/>
    <w:rsid w:val="00BA574F"/>
    <w:rsid w:val="00BA5760"/>
    <w:rsid w:val="00BA5850"/>
    <w:rsid w:val="00BA5D68"/>
    <w:rsid w:val="00BA5F1E"/>
    <w:rsid w:val="00BA5F24"/>
    <w:rsid w:val="00BA5F5D"/>
    <w:rsid w:val="00BA5FA4"/>
    <w:rsid w:val="00BA61C8"/>
    <w:rsid w:val="00BA631B"/>
    <w:rsid w:val="00BA65D4"/>
    <w:rsid w:val="00BA6620"/>
    <w:rsid w:val="00BA6964"/>
    <w:rsid w:val="00BA69F2"/>
    <w:rsid w:val="00BA6A81"/>
    <w:rsid w:val="00BA6C14"/>
    <w:rsid w:val="00BA716A"/>
    <w:rsid w:val="00BA727B"/>
    <w:rsid w:val="00BA72A3"/>
    <w:rsid w:val="00BA7372"/>
    <w:rsid w:val="00BA74D8"/>
    <w:rsid w:val="00BA7641"/>
    <w:rsid w:val="00BA7780"/>
    <w:rsid w:val="00BA79B2"/>
    <w:rsid w:val="00BA7A5D"/>
    <w:rsid w:val="00BA7AF7"/>
    <w:rsid w:val="00BA7BB0"/>
    <w:rsid w:val="00BA7D39"/>
    <w:rsid w:val="00BA7DC6"/>
    <w:rsid w:val="00BA7E8D"/>
    <w:rsid w:val="00BA7F25"/>
    <w:rsid w:val="00BB0031"/>
    <w:rsid w:val="00BB0149"/>
    <w:rsid w:val="00BB025F"/>
    <w:rsid w:val="00BB0296"/>
    <w:rsid w:val="00BB0689"/>
    <w:rsid w:val="00BB07E5"/>
    <w:rsid w:val="00BB148E"/>
    <w:rsid w:val="00BB1834"/>
    <w:rsid w:val="00BB1961"/>
    <w:rsid w:val="00BB1996"/>
    <w:rsid w:val="00BB1A98"/>
    <w:rsid w:val="00BB1D21"/>
    <w:rsid w:val="00BB2070"/>
    <w:rsid w:val="00BB2135"/>
    <w:rsid w:val="00BB226C"/>
    <w:rsid w:val="00BB2276"/>
    <w:rsid w:val="00BB23E8"/>
    <w:rsid w:val="00BB2410"/>
    <w:rsid w:val="00BB285B"/>
    <w:rsid w:val="00BB2ACF"/>
    <w:rsid w:val="00BB2C96"/>
    <w:rsid w:val="00BB310B"/>
    <w:rsid w:val="00BB3218"/>
    <w:rsid w:val="00BB3736"/>
    <w:rsid w:val="00BB3796"/>
    <w:rsid w:val="00BB37B2"/>
    <w:rsid w:val="00BB3A61"/>
    <w:rsid w:val="00BB3B2B"/>
    <w:rsid w:val="00BB3B5A"/>
    <w:rsid w:val="00BB3CB8"/>
    <w:rsid w:val="00BB3D89"/>
    <w:rsid w:val="00BB3E03"/>
    <w:rsid w:val="00BB41D3"/>
    <w:rsid w:val="00BB4492"/>
    <w:rsid w:val="00BB44A8"/>
    <w:rsid w:val="00BB4541"/>
    <w:rsid w:val="00BB4647"/>
    <w:rsid w:val="00BB4654"/>
    <w:rsid w:val="00BB479E"/>
    <w:rsid w:val="00BB48B5"/>
    <w:rsid w:val="00BB4A74"/>
    <w:rsid w:val="00BB4A88"/>
    <w:rsid w:val="00BB4D2A"/>
    <w:rsid w:val="00BB4DF3"/>
    <w:rsid w:val="00BB4F29"/>
    <w:rsid w:val="00BB5649"/>
    <w:rsid w:val="00BB5673"/>
    <w:rsid w:val="00BB5704"/>
    <w:rsid w:val="00BB5849"/>
    <w:rsid w:val="00BB58C1"/>
    <w:rsid w:val="00BB5950"/>
    <w:rsid w:val="00BB59E6"/>
    <w:rsid w:val="00BB5B50"/>
    <w:rsid w:val="00BB5D3B"/>
    <w:rsid w:val="00BB6281"/>
    <w:rsid w:val="00BB6577"/>
    <w:rsid w:val="00BB6631"/>
    <w:rsid w:val="00BB6735"/>
    <w:rsid w:val="00BB68FB"/>
    <w:rsid w:val="00BB6A98"/>
    <w:rsid w:val="00BB6AA8"/>
    <w:rsid w:val="00BB6ADF"/>
    <w:rsid w:val="00BB6DFF"/>
    <w:rsid w:val="00BB6E60"/>
    <w:rsid w:val="00BB6E86"/>
    <w:rsid w:val="00BB6FB1"/>
    <w:rsid w:val="00BB7001"/>
    <w:rsid w:val="00BB70C3"/>
    <w:rsid w:val="00BB73EF"/>
    <w:rsid w:val="00BB73F8"/>
    <w:rsid w:val="00BB7415"/>
    <w:rsid w:val="00BB7465"/>
    <w:rsid w:val="00BB751B"/>
    <w:rsid w:val="00BB7723"/>
    <w:rsid w:val="00BB7A6A"/>
    <w:rsid w:val="00BB7B3E"/>
    <w:rsid w:val="00BB7C44"/>
    <w:rsid w:val="00BB7D71"/>
    <w:rsid w:val="00BB7F54"/>
    <w:rsid w:val="00BC0244"/>
    <w:rsid w:val="00BC05F9"/>
    <w:rsid w:val="00BC06E4"/>
    <w:rsid w:val="00BC074F"/>
    <w:rsid w:val="00BC075D"/>
    <w:rsid w:val="00BC08DC"/>
    <w:rsid w:val="00BC0ADC"/>
    <w:rsid w:val="00BC0ADF"/>
    <w:rsid w:val="00BC0B4C"/>
    <w:rsid w:val="00BC0BCD"/>
    <w:rsid w:val="00BC0DB4"/>
    <w:rsid w:val="00BC1268"/>
    <w:rsid w:val="00BC1842"/>
    <w:rsid w:val="00BC1A1E"/>
    <w:rsid w:val="00BC1A63"/>
    <w:rsid w:val="00BC1B01"/>
    <w:rsid w:val="00BC1D30"/>
    <w:rsid w:val="00BC1E32"/>
    <w:rsid w:val="00BC1F9E"/>
    <w:rsid w:val="00BC2219"/>
    <w:rsid w:val="00BC2490"/>
    <w:rsid w:val="00BC281E"/>
    <w:rsid w:val="00BC2A0C"/>
    <w:rsid w:val="00BC2AA3"/>
    <w:rsid w:val="00BC2E45"/>
    <w:rsid w:val="00BC2F9D"/>
    <w:rsid w:val="00BC3026"/>
    <w:rsid w:val="00BC3148"/>
    <w:rsid w:val="00BC33A4"/>
    <w:rsid w:val="00BC3472"/>
    <w:rsid w:val="00BC34E6"/>
    <w:rsid w:val="00BC35A4"/>
    <w:rsid w:val="00BC37E4"/>
    <w:rsid w:val="00BC380F"/>
    <w:rsid w:val="00BC385A"/>
    <w:rsid w:val="00BC38EB"/>
    <w:rsid w:val="00BC3992"/>
    <w:rsid w:val="00BC3B7D"/>
    <w:rsid w:val="00BC3B81"/>
    <w:rsid w:val="00BC3C64"/>
    <w:rsid w:val="00BC3D6B"/>
    <w:rsid w:val="00BC3E46"/>
    <w:rsid w:val="00BC419D"/>
    <w:rsid w:val="00BC41C1"/>
    <w:rsid w:val="00BC42C5"/>
    <w:rsid w:val="00BC4300"/>
    <w:rsid w:val="00BC4487"/>
    <w:rsid w:val="00BC4499"/>
    <w:rsid w:val="00BC46FE"/>
    <w:rsid w:val="00BC4A27"/>
    <w:rsid w:val="00BC4C6A"/>
    <w:rsid w:val="00BC4CD8"/>
    <w:rsid w:val="00BC4CFD"/>
    <w:rsid w:val="00BC502F"/>
    <w:rsid w:val="00BC5071"/>
    <w:rsid w:val="00BC5171"/>
    <w:rsid w:val="00BC5172"/>
    <w:rsid w:val="00BC525D"/>
    <w:rsid w:val="00BC54A2"/>
    <w:rsid w:val="00BC569A"/>
    <w:rsid w:val="00BC56D1"/>
    <w:rsid w:val="00BC56FC"/>
    <w:rsid w:val="00BC5819"/>
    <w:rsid w:val="00BC58DD"/>
    <w:rsid w:val="00BC59DD"/>
    <w:rsid w:val="00BC5B68"/>
    <w:rsid w:val="00BC5BFA"/>
    <w:rsid w:val="00BC5DAE"/>
    <w:rsid w:val="00BC5FBC"/>
    <w:rsid w:val="00BC610A"/>
    <w:rsid w:val="00BC6252"/>
    <w:rsid w:val="00BC67EB"/>
    <w:rsid w:val="00BC6866"/>
    <w:rsid w:val="00BC6CFD"/>
    <w:rsid w:val="00BC6D4D"/>
    <w:rsid w:val="00BC6DA6"/>
    <w:rsid w:val="00BC6EB9"/>
    <w:rsid w:val="00BC7065"/>
    <w:rsid w:val="00BC72F8"/>
    <w:rsid w:val="00BC7498"/>
    <w:rsid w:val="00BC74AB"/>
    <w:rsid w:val="00BC75F0"/>
    <w:rsid w:val="00BC763A"/>
    <w:rsid w:val="00BC770B"/>
    <w:rsid w:val="00BC77EF"/>
    <w:rsid w:val="00BC7A53"/>
    <w:rsid w:val="00BC7ECF"/>
    <w:rsid w:val="00BD0094"/>
    <w:rsid w:val="00BD0120"/>
    <w:rsid w:val="00BD01E0"/>
    <w:rsid w:val="00BD0232"/>
    <w:rsid w:val="00BD025F"/>
    <w:rsid w:val="00BD0488"/>
    <w:rsid w:val="00BD04C3"/>
    <w:rsid w:val="00BD0617"/>
    <w:rsid w:val="00BD06E4"/>
    <w:rsid w:val="00BD09C6"/>
    <w:rsid w:val="00BD0A33"/>
    <w:rsid w:val="00BD0B52"/>
    <w:rsid w:val="00BD0BE2"/>
    <w:rsid w:val="00BD0E5B"/>
    <w:rsid w:val="00BD1103"/>
    <w:rsid w:val="00BD11CD"/>
    <w:rsid w:val="00BD1311"/>
    <w:rsid w:val="00BD1478"/>
    <w:rsid w:val="00BD1AA3"/>
    <w:rsid w:val="00BD1B2A"/>
    <w:rsid w:val="00BD1E2F"/>
    <w:rsid w:val="00BD1EBF"/>
    <w:rsid w:val="00BD2088"/>
    <w:rsid w:val="00BD2094"/>
    <w:rsid w:val="00BD22D7"/>
    <w:rsid w:val="00BD2347"/>
    <w:rsid w:val="00BD267D"/>
    <w:rsid w:val="00BD26CC"/>
    <w:rsid w:val="00BD27FE"/>
    <w:rsid w:val="00BD290C"/>
    <w:rsid w:val="00BD2987"/>
    <w:rsid w:val="00BD2DC8"/>
    <w:rsid w:val="00BD3457"/>
    <w:rsid w:val="00BD3598"/>
    <w:rsid w:val="00BD36F4"/>
    <w:rsid w:val="00BD381F"/>
    <w:rsid w:val="00BD38B7"/>
    <w:rsid w:val="00BD3BEC"/>
    <w:rsid w:val="00BD3E1E"/>
    <w:rsid w:val="00BD45E5"/>
    <w:rsid w:val="00BD4638"/>
    <w:rsid w:val="00BD4893"/>
    <w:rsid w:val="00BD48D1"/>
    <w:rsid w:val="00BD4C30"/>
    <w:rsid w:val="00BD4DCA"/>
    <w:rsid w:val="00BD4F4A"/>
    <w:rsid w:val="00BD4FAB"/>
    <w:rsid w:val="00BD5131"/>
    <w:rsid w:val="00BD56AA"/>
    <w:rsid w:val="00BD58AD"/>
    <w:rsid w:val="00BD5B40"/>
    <w:rsid w:val="00BD5B89"/>
    <w:rsid w:val="00BD5BCA"/>
    <w:rsid w:val="00BD5D75"/>
    <w:rsid w:val="00BD5DF9"/>
    <w:rsid w:val="00BD5F53"/>
    <w:rsid w:val="00BD6224"/>
    <w:rsid w:val="00BD62A4"/>
    <w:rsid w:val="00BD62BD"/>
    <w:rsid w:val="00BD67B7"/>
    <w:rsid w:val="00BD6810"/>
    <w:rsid w:val="00BD692B"/>
    <w:rsid w:val="00BD6A8C"/>
    <w:rsid w:val="00BD6C56"/>
    <w:rsid w:val="00BD6D26"/>
    <w:rsid w:val="00BD6DCE"/>
    <w:rsid w:val="00BD6F10"/>
    <w:rsid w:val="00BD6F92"/>
    <w:rsid w:val="00BD7520"/>
    <w:rsid w:val="00BD759B"/>
    <w:rsid w:val="00BD75A5"/>
    <w:rsid w:val="00BD76B6"/>
    <w:rsid w:val="00BD792A"/>
    <w:rsid w:val="00BD7A06"/>
    <w:rsid w:val="00BD7B2E"/>
    <w:rsid w:val="00BD7B34"/>
    <w:rsid w:val="00BD7E74"/>
    <w:rsid w:val="00BD7F7F"/>
    <w:rsid w:val="00BE009D"/>
    <w:rsid w:val="00BE0185"/>
    <w:rsid w:val="00BE01C1"/>
    <w:rsid w:val="00BE01CE"/>
    <w:rsid w:val="00BE026C"/>
    <w:rsid w:val="00BE0403"/>
    <w:rsid w:val="00BE0647"/>
    <w:rsid w:val="00BE0670"/>
    <w:rsid w:val="00BE0840"/>
    <w:rsid w:val="00BE08D4"/>
    <w:rsid w:val="00BE0967"/>
    <w:rsid w:val="00BE09D7"/>
    <w:rsid w:val="00BE0BDF"/>
    <w:rsid w:val="00BE0C8B"/>
    <w:rsid w:val="00BE0EBA"/>
    <w:rsid w:val="00BE0FAF"/>
    <w:rsid w:val="00BE11BF"/>
    <w:rsid w:val="00BE1280"/>
    <w:rsid w:val="00BE16E5"/>
    <w:rsid w:val="00BE1966"/>
    <w:rsid w:val="00BE19A2"/>
    <w:rsid w:val="00BE19B9"/>
    <w:rsid w:val="00BE1A26"/>
    <w:rsid w:val="00BE1A5C"/>
    <w:rsid w:val="00BE1AFA"/>
    <w:rsid w:val="00BE1B00"/>
    <w:rsid w:val="00BE1BEB"/>
    <w:rsid w:val="00BE1DBF"/>
    <w:rsid w:val="00BE1E53"/>
    <w:rsid w:val="00BE1F12"/>
    <w:rsid w:val="00BE2260"/>
    <w:rsid w:val="00BE247F"/>
    <w:rsid w:val="00BE24CD"/>
    <w:rsid w:val="00BE25B7"/>
    <w:rsid w:val="00BE2867"/>
    <w:rsid w:val="00BE2B02"/>
    <w:rsid w:val="00BE2B9E"/>
    <w:rsid w:val="00BE2EC2"/>
    <w:rsid w:val="00BE2F91"/>
    <w:rsid w:val="00BE31E5"/>
    <w:rsid w:val="00BE31ED"/>
    <w:rsid w:val="00BE3316"/>
    <w:rsid w:val="00BE336F"/>
    <w:rsid w:val="00BE33E2"/>
    <w:rsid w:val="00BE3438"/>
    <w:rsid w:val="00BE37BE"/>
    <w:rsid w:val="00BE3815"/>
    <w:rsid w:val="00BE38B6"/>
    <w:rsid w:val="00BE38F3"/>
    <w:rsid w:val="00BE3B1D"/>
    <w:rsid w:val="00BE3E75"/>
    <w:rsid w:val="00BE3E95"/>
    <w:rsid w:val="00BE3F06"/>
    <w:rsid w:val="00BE4722"/>
    <w:rsid w:val="00BE4824"/>
    <w:rsid w:val="00BE4DCA"/>
    <w:rsid w:val="00BE4E2E"/>
    <w:rsid w:val="00BE5165"/>
    <w:rsid w:val="00BE52C5"/>
    <w:rsid w:val="00BE537A"/>
    <w:rsid w:val="00BE54BB"/>
    <w:rsid w:val="00BE5553"/>
    <w:rsid w:val="00BE56FB"/>
    <w:rsid w:val="00BE571F"/>
    <w:rsid w:val="00BE591E"/>
    <w:rsid w:val="00BE5938"/>
    <w:rsid w:val="00BE59CB"/>
    <w:rsid w:val="00BE5E92"/>
    <w:rsid w:val="00BE6064"/>
    <w:rsid w:val="00BE6135"/>
    <w:rsid w:val="00BE6409"/>
    <w:rsid w:val="00BE641F"/>
    <w:rsid w:val="00BE6587"/>
    <w:rsid w:val="00BE677B"/>
    <w:rsid w:val="00BE6787"/>
    <w:rsid w:val="00BE6C35"/>
    <w:rsid w:val="00BE6CAD"/>
    <w:rsid w:val="00BE6E8B"/>
    <w:rsid w:val="00BE7018"/>
    <w:rsid w:val="00BE7130"/>
    <w:rsid w:val="00BE7274"/>
    <w:rsid w:val="00BE72A2"/>
    <w:rsid w:val="00BE7574"/>
    <w:rsid w:val="00BE75D4"/>
    <w:rsid w:val="00BE7635"/>
    <w:rsid w:val="00BE76DD"/>
    <w:rsid w:val="00BE777C"/>
    <w:rsid w:val="00BE77B1"/>
    <w:rsid w:val="00BE77B9"/>
    <w:rsid w:val="00BE7813"/>
    <w:rsid w:val="00BE7AA7"/>
    <w:rsid w:val="00BE7AF4"/>
    <w:rsid w:val="00BE7B01"/>
    <w:rsid w:val="00BE7C42"/>
    <w:rsid w:val="00BE8226"/>
    <w:rsid w:val="00BF030B"/>
    <w:rsid w:val="00BF040D"/>
    <w:rsid w:val="00BF0460"/>
    <w:rsid w:val="00BF0744"/>
    <w:rsid w:val="00BF0782"/>
    <w:rsid w:val="00BF0789"/>
    <w:rsid w:val="00BF0A30"/>
    <w:rsid w:val="00BF0A8A"/>
    <w:rsid w:val="00BF0C8B"/>
    <w:rsid w:val="00BF0CB4"/>
    <w:rsid w:val="00BF0CC5"/>
    <w:rsid w:val="00BF0E6B"/>
    <w:rsid w:val="00BF0EFA"/>
    <w:rsid w:val="00BF104A"/>
    <w:rsid w:val="00BF1207"/>
    <w:rsid w:val="00BF168B"/>
    <w:rsid w:val="00BF1936"/>
    <w:rsid w:val="00BF1969"/>
    <w:rsid w:val="00BF1AE2"/>
    <w:rsid w:val="00BF1DB3"/>
    <w:rsid w:val="00BF2151"/>
    <w:rsid w:val="00BF2337"/>
    <w:rsid w:val="00BF23C7"/>
    <w:rsid w:val="00BF2443"/>
    <w:rsid w:val="00BF2457"/>
    <w:rsid w:val="00BF26F2"/>
    <w:rsid w:val="00BF29B8"/>
    <w:rsid w:val="00BF2A61"/>
    <w:rsid w:val="00BF2C13"/>
    <w:rsid w:val="00BF2CD6"/>
    <w:rsid w:val="00BF323C"/>
    <w:rsid w:val="00BF332B"/>
    <w:rsid w:val="00BF336E"/>
    <w:rsid w:val="00BF36C1"/>
    <w:rsid w:val="00BF3A71"/>
    <w:rsid w:val="00BF3A9F"/>
    <w:rsid w:val="00BF3D02"/>
    <w:rsid w:val="00BF3D2B"/>
    <w:rsid w:val="00BF3D83"/>
    <w:rsid w:val="00BF3DCF"/>
    <w:rsid w:val="00BF3F2F"/>
    <w:rsid w:val="00BF3F70"/>
    <w:rsid w:val="00BF4039"/>
    <w:rsid w:val="00BF40C4"/>
    <w:rsid w:val="00BF427C"/>
    <w:rsid w:val="00BF42FF"/>
    <w:rsid w:val="00BF4305"/>
    <w:rsid w:val="00BF4318"/>
    <w:rsid w:val="00BF4349"/>
    <w:rsid w:val="00BF45F3"/>
    <w:rsid w:val="00BF4915"/>
    <w:rsid w:val="00BF498B"/>
    <w:rsid w:val="00BF4B5B"/>
    <w:rsid w:val="00BF4BF3"/>
    <w:rsid w:val="00BF4F85"/>
    <w:rsid w:val="00BF5352"/>
    <w:rsid w:val="00BF557F"/>
    <w:rsid w:val="00BF55B2"/>
    <w:rsid w:val="00BF5630"/>
    <w:rsid w:val="00BF58E4"/>
    <w:rsid w:val="00BF5A33"/>
    <w:rsid w:val="00BF5B99"/>
    <w:rsid w:val="00BF5C2D"/>
    <w:rsid w:val="00BF5ED1"/>
    <w:rsid w:val="00BF5F80"/>
    <w:rsid w:val="00BF5FD9"/>
    <w:rsid w:val="00BF6075"/>
    <w:rsid w:val="00BF6295"/>
    <w:rsid w:val="00BF62C1"/>
    <w:rsid w:val="00BF63C3"/>
    <w:rsid w:val="00BF66E4"/>
    <w:rsid w:val="00BF676D"/>
    <w:rsid w:val="00BF6777"/>
    <w:rsid w:val="00BF6C30"/>
    <w:rsid w:val="00BF6EBC"/>
    <w:rsid w:val="00BF6F4D"/>
    <w:rsid w:val="00BF6FC3"/>
    <w:rsid w:val="00BF7025"/>
    <w:rsid w:val="00BF75CB"/>
    <w:rsid w:val="00BF7A5D"/>
    <w:rsid w:val="00BF7ED6"/>
    <w:rsid w:val="00C002DE"/>
    <w:rsid w:val="00C00626"/>
    <w:rsid w:val="00C007D4"/>
    <w:rsid w:val="00C00850"/>
    <w:rsid w:val="00C0099A"/>
    <w:rsid w:val="00C00A2D"/>
    <w:rsid w:val="00C00B20"/>
    <w:rsid w:val="00C00C37"/>
    <w:rsid w:val="00C00CA5"/>
    <w:rsid w:val="00C011D9"/>
    <w:rsid w:val="00C01204"/>
    <w:rsid w:val="00C01290"/>
    <w:rsid w:val="00C012ED"/>
    <w:rsid w:val="00C016DB"/>
    <w:rsid w:val="00C01703"/>
    <w:rsid w:val="00C01742"/>
    <w:rsid w:val="00C01939"/>
    <w:rsid w:val="00C01944"/>
    <w:rsid w:val="00C01984"/>
    <w:rsid w:val="00C019CC"/>
    <w:rsid w:val="00C01A73"/>
    <w:rsid w:val="00C01B6B"/>
    <w:rsid w:val="00C01BA0"/>
    <w:rsid w:val="00C01D31"/>
    <w:rsid w:val="00C01F4F"/>
    <w:rsid w:val="00C024E9"/>
    <w:rsid w:val="00C02B3B"/>
    <w:rsid w:val="00C02CC7"/>
    <w:rsid w:val="00C030CC"/>
    <w:rsid w:val="00C035E7"/>
    <w:rsid w:val="00C036D3"/>
    <w:rsid w:val="00C036F1"/>
    <w:rsid w:val="00C0371A"/>
    <w:rsid w:val="00C03767"/>
    <w:rsid w:val="00C038E9"/>
    <w:rsid w:val="00C03991"/>
    <w:rsid w:val="00C039FB"/>
    <w:rsid w:val="00C03A90"/>
    <w:rsid w:val="00C03CD6"/>
    <w:rsid w:val="00C03FD0"/>
    <w:rsid w:val="00C03FD9"/>
    <w:rsid w:val="00C04305"/>
    <w:rsid w:val="00C043DF"/>
    <w:rsid w:val="00C04860"/>
    <w:rsid w:val="00C0493C"/>
    <w:rsid w:val="00C04A52"/>
    <w:rsid w:val="00C04BCB"/>
    <w:rsid w:val="00C04BE1"/>
    <w:rsid w:val="00C04CCA"/>
    <w:rsid w:val="00C04D14"/>
    <w:rsid w:val="00C04D24"/>
    <w:rsid w:val="00C04F59"/>
    <w:rsid w:val="00C05311"/>
    <w:rsid w:val="00C05337"/>
    <w:rsid w:val="00C053D2"/>
    <w:rsid w:val="00C05574"/>
    <w:rsid w:val="00C056E0"/>
    <w:rsid w:val="00C059C2"/>
    <w:rsid w:val="00C05AB8"/>
    <w:rsid w:val="00C05BB3"/>
    <w:rsid w:val="00C05D61"/>
    <w:rsid w:val="00C060B5"/>
    <w:rsid w:val="00C064A3"/>
    <w:rsid w:val="00C064F9"/>
    <w:rsid w:val="00C0654C"/>
    <w:rsid w:val="00C06B30"/>
    <w:rsid w:val="00C06D69"/>
    <w:rsid w:val="00C0700D"/>
    <w:rsid w:val="00C070EB"/>
    <w:rsid w:val="00C07247"/>
    <w:rsid w:val="00C07308"/>
    <w:rsid w:val="00C074BB"/>
    <w:rsid w:val="00C07752"/>
    <w:rsid w:val="00C07827"/>
    <w:rsid w:val="00C07A9A"/>
    <w:rsid w:val="00C07B07"/>
    <w:rsid w:val="00C07D1F"/>
    <w:rsid w:val="00C07D53"/>
    <w:rsid w:val="00C07EC2"/>
    <w:rsid w:val="00C07EE7"/>
    <w:rsid w:val="00C1005C"/>
    <w:rsid w:val="00C10155"/>
    <w:rsid w:val="00C103CE"/>
    <w:rsid w:val="00C10402"/>
    <w:rsid w:val="00C1053F"/>
    <w:rsid w:val="00C1055E"/>
    <w:rsid w:val="00C10888"/>
    <w:rsid w:val="00C109EB"/>
    <w:rsid w:val="00C10B0F"/>
    <w:rsid w:val="00C10B1F"/>
    <w:rsid w:val="00C10C64"/>
    <w:rsid w:val="00C10C8A"/>
    <w:rsid w:val="00C10CB3"/>
    <w:rsid w:val="00C10CD7"/>
    <w:rsid w:val="00C10D4C"/>
    <w:rsid w:val="00C11047"/>
    <w:rsid w:val="00C1131A"/>
    <w:rsid w:val="00C11397"/>
    <w:rsid w:val="00C1156D"/>
    <w:rsid w:val="00C11685"/>
    <w:rsid w:val="00C11785"/>
    <w:rsid w:val="00C11817"/>
    <w:rsid w:val="00C11938"/>
    <w:rsid w:val="00C11AF8"/>
    <w:rsid w:val="00C11BDA"/>
    <w:rsid w:val="00C11D06"/>
    <w:rsid w:val="00C11D8A"/>
    <w:rsid w:val="00C11E26"/>
    <w:rsid w:val="00C12301"/>
    <w:rsid w:val="00C12645"/>
    <w:rsid w:val="00C126FA"/>
    <w:rsid w:val="00C12785"/>
    <w:rsid w:val="00C1279E"/>
    <w:rsid w:val="00C1289B"/>
    <w:rsid w:val="00C12A1B"/>
    <w:rsid w:val="00C12A53"/>
    <w:rsid w:val="00C12B6B"/>
    <w:rsid w:val="00C12B91"/>
    <w:rsid w:val="00C12C03"/>
    <w:rsid w:val="00C12DB7"/>
    <w:rsid w:val="00C12E02"/>
    <w:rsid w:val="00C12EB0"/>
    <w:rsid w:val="00C12F28"/>
    <w:rsid w:val="00C1307E"/>
    <w:rsid w:val="00C13157"/>
    <w:rsid w:val="00C1317D"/>
    <w:rsid w:val="00C1324F"/>
    <w:rsid w:val="00C135BC"/>
    <w:rsid w:val="00C13659"/>
    <w:rsid w:val="00C1366C"/>
    <w:rsid w:val="00C13797"/>
    <w:rsid w:val="00C13AEF"/>
    <w:rsid w:val="00C13C9F"/>
    <w:rsid w:val="00C13DC8"/>
    <w:rsid w:val="00C13DE2"/>
    <w:rsid w:val="00C14531"/>
    <w:rsid w:val="00C14575"/>
    <w:rsid w:val="00C1465C"/>
    <w:rsid w:val="00C1466E"/>
    <w:rsid w:val="00C14A8C"/>
    <w:rsid w:val="00C14BB7"/>
    <w:rsid w:val="00C14C32"/>
    <w:rsid w:val="00C14E8A"/>
    <w:rsid w:val="00C14EBF"/>
    <w:rsid w:val="00C14FA3"/>
    <w:rsid w:val="00C15315"/>
    <w:rsid w:val="00C1577A"/>
    <w:rsid w:val="00C157FF"/>
    <w:rsid w:val="00C159DE"/>
    <w:rsid w:val="00C15AC8"/>
    <w:rsid w:val="00C15ACE"/>
    <w:rsid w:val="00C15C0C"/>
    <w:rsid w:val="00C15FB1"/>
    <w:rsid w:val="00C16116"/>
    <w:rsid w:val="00C16134"/>
    <w:rsid w:val="00C161CE"/>
    <w:rsid w:val="00C1638C"/>
    <w:rsid w:val="00C163CE"/>
    <w:rsid w:val="00C16429"/>
    <w:rsid w:val="00C16494"/>
    <w:rsid w:val="00C164BB"/>
    <w:rsid w:val="00C16506"/>
    <w:rsid w:val="00C165F1"/>
    <w:rsid w:val="00C165FB"/>
    <w:rsid w:val="00C1662B"/>
    <w:rsid w:val="00C16888"/>
    <w:rsid w:val="00C16B51"/>
    <w:rsid w:val="00C16C8F"/>
    <w:rsid w:val="00C16FB5"/>
    <w:rsid w:val="00C17009"/>
    <w:rsid w:val="00C172F1"/>
    <w:rsid w:val="00C173C3"/>
    <w:rsid w:val="00C177DC"/>
    <w:rsid w:val="00C17B2F"/>
    <w:rsid w:val="00C17C13"/>
    <w:rsid w:val="00C17E63"/>
    <w:rsid w:val="00C17EF4"/>
    <w:rsid w:val="00C2024D"/>
    <w:rsid w:val="00C2042D"/>
    <w:rsid w:val="00C2066B"/>
    <w:rsid w:val="00C20695"/>
    <w:rsid w:val="00C206D5"/>
    <w:rsid w:val="00C20CF8"/>
    <w:rsid w:val="00C20D07"/>
    <w:rsid w:val="00C20D94"/>
    <w:rsid w:val="00C20D9C"/>
    <w:rsid w:val="00C20EF9"/>
    <w:rsid w:val="00C214F6"/>
    <w:rsid w:val="00C215F4"/>
    <w:rsid w:val="00C217CC"/>
    <w:rsid w:val="00C2184D"/>
    <w:rsid w:val="00C2193C"/>
    <w:rsid w:val="00C21A7F"/>
    <w:rsid w:val="00C21D80"/>
    <w:rsid w:val="00C21E6B"/>
    <w:rsid w:val="00C220F4"/>
    <w:rsid w:val="00C22493"/>
    <w:rsid w:val="00C22617"/>
    <w:rsid w:val="00C22746"/>
    <w:rsid w:val="00C22748"/>
    <w:rsid w:val="00C227F7"/>
    <w:rsid w:val="00C228C4"/>
    <w:rsid w:val="00C22A1F"/>
    <w:rsid w:val="00C22BE1"/>
    <w:rsid w:val="00C22E21"/>
    <w:rsid w:val="00C22F39"/>
    <w:rsid w:val="00C23085"/>
    <w:rsid w:val="00C2329B"/>
    <w:rsid w:val="00C236D4"/>
    <w:rsid w:val="00C23828"/>
    <w:rsid w:val="00C23878"/>
    <w:rsid w:val="00C23893"/>
    <w:rsid w:val="00C23AB2"/>
    <w:rsid w:val="00C23B92"/>
    <w:rsid w:val="00C23DA1"/>
    <w:rsid w:val="00C24259"/>
    <w:rsid w:val="00C243DB"/>
    <w:rsid w:val="00C2454D"/>
    <w:rsid w:val="00C2460B"/>
    <w:rsid w:val="00C248D0"/>
    <w:rsid w:val="00C24959"/>
    <w:rsid w:val="00C24BEB"/>
    <w:rsid w:val="00C24C17"/>
    <w:rsid w:val="00C255A1"/>
    <w:rsid w:val="00C2564D"/>
    <w:rsid w:val="00C25787"/>
    <w:rsid w:val="00C25891"/>
    <w:rsid w:val="00C25950"/>
    <w:rsid w:val="00C25C16"/>
    <w:rsid w:val="00C25C83"/>
    <w:rsid w:val="00C25F18"/>
    <w:rsid w:val="00C25FD5"/>
    <w:rsid w:val="00C2609B"/>
    <w:rsid w:val="00C26114"/>
    <w:rsid w:val="00C26116"/>
    <w:rsid w:val="00C26184"/>
    <w:rsid w:val="00C26236"/>
    <w:rsid w:val="00C2633B"/>
    <w:rsid w:val="00C2642F"/>
    <w:rsid w:val="00C2651A"/>
    <w:rsid w:val="00C269FC"/>
    <w:rsid w:val="00C26A4A"/>
    <w:rsid w:val="00C26A5A"/>
    <w:rsid w:val="00C26AC1"/>
    <w:rsid w:val="00C26B14"/>
    <w:rsid w:val="00C2701E"/>
    <w:rsid w:val="00C2706B"/>
    <w:rsid w:val="00C2730F"/>
    <w:rsid w:val="00C27633"/>
    <w:rsid w:val="00C2776C"/>
    <w:rsid w:val="00C277B9"/>
    <w:rsid w:val="00C277CB"/>
    <w:rsid w:val="00C2795E"/>
    <w:rsid w:val="00C27B7F"/>
    <w:rsid w:val="00C27BCD"/>
    <w:rsid w:val="00C27BD3"/>
    <w:rsid w:val="00C27CC9"/>
    <w:rsid w:val="00C27D16"/>
    <w:rsid w:val="00C27DF6"/>
    <w:rsid w:val="00C30001"/>
    <w:rsid w:val="00C30212"/>
    <w:rsid w:val="00C305A7"/>
    <w:rsid w:val="00C30632"/>
    <w:rsid w:val="00C307C1"/>
    <w:rsid w:val="00C3081B"/>
    <w:rsid w:val="00C30905"/>
    <w:rsid w:val="00C30A84"/>
    <w:rsid w:val="00C30BAE"/>
    <w:rsid w:val="00C30FA3"/>
    <w:rsid w:val="00C31356"/>
    <w:rsid w:val="00C316C4"/>
    <w:rsid w:val="00C31A58"/>
    <w:rsid w:val="00C31B42"/>
    <w:rsid w:val="00C31C31"/>
    <w:rsid w:val="00C31D0B"/>
    <w:rsid w:val="00C31D30"/>
    <w:rsid w:val="00C31EA0"/>
    <w:rsid w:val="00C31EED"/>
    <w:rsid w:val="00C320AB"/>
    <w:rsid w:val="00C32188"/>
    <w:rsid w:val="00C32195"/>
    <w:rsid w:val="00C32258"/>
    <w:rsid w:val="00C32340"/>
    <w:rsid w:val="00C32351"/>
    <w:rsid w:val="00C32565"/>
    <w:rsid w:val="00C32575"/>
    <w:rsid w:val="00C32597"/>
    <w:rsid w:val="00C325CE"/>
    <w:rsid w:val="00C32897"/>
    <w:rsid w:val="00C328FE"/>
    <w:rsid w:val="00C32C40"/>
    <w:rsid w:val="00C32D7A"/>
    <w:rsid w:val="00C32DFF"/>
    <w:rsid w:val="00C32FC4"/>
    <w:rsid w:val="00C33155"/>
    <w:rsid w:val="00C331BB"/>
    <w:rsid w:val="00C3324D"/>
    <w:rsid w:val="00C333B7"/>
    <w:rsid w:val="00C335A8"/>
    <w:rsid w:val="00C33630"/>
    <w:rsid w:val="00C3376A"/>
    <w:rsid w:val="00C33BED"/>
    <w:rsid w:val="00C33EA3"/>
    <w:rsid w:val="00C33EB7"/>
    <w:rsid w:val="00C34008"/>
    <w:rsid w:val="00C3407F"/>
    <w:rsid w:val="00C3412A"/>
    <w:rsid w:val="00C3415D"/>
    <w:rsid w:val="00C3431E"/>
    <w:rsid w:val="00C34367"/>
    <w:rsid w:val="00C3447E"/>
    <w:rsid w:val="00C34562"/>
    <w:rsid w:val="00C34594"/>
    <w:rsid w:val="00C345C2"/>
    <w:rsid w:val="00C34668"/>
    <w:rsid w:val="00C3484A"/>
    <w:rsid w:val="00C34A7E"/>
    <w:rsid w:val="00C34BFC"/>
    <w:rsid w:val="00C35205"/>
    <w:rsid w:val="00C35535"/>
    <w:rsid w:val="00C35572"/>
    <w:rsid w:val="00C355BF"/>
    <w:rsid w:val="00C356CB"/>
    <w:rsid w:val="00C356CF"/>
    <w:rsid w:val="00C356D6"/>
    <w:rsid w:val="00C356D8"/>
    <w:rsid w:val="00C35F96"/>
    <w:rsid w:val="00C36101"/>
    <w:rsid w:val="00C3617D"/>
    <w:rsid w:val="00C36203"/>
    <w:rsid w:val="00C36861"/>
    <w:rsid w:val="00C36AF0"/>
    <w:rsid w:val="00C36B55"/>
    <w:rsid w:val="00C36F4D"/>
    <w:rsid w:val="00C37028"/>
    <w:rsid w:val="00C37063"/>
    <w:rsid w:val="00C3709F"/>
    <w:rsid w:val="00C37296"/>
    <w:rsid w:val="00C3753E"/>
    <w:rsid w:val="00C37560"/>
    <w:rsid w:val="00C37645"/>
    <w:rsid w:val="00C376C9"/>
    <w:rsid w:val="00C378A5"/>
    <w:rsid w:val="00C3791D"/>
    <w:rsid w:val="00C37B33"/>
    <w:rsid w:val="00C37EAA"/>
    <w:rsid w:val="00C4000F"/>
    <w:rsid w:val="00C4035F"/>
    <w:rsid w:val="00C40440"/>
    <w:rsid w:val="00C40643"/>
    <w:rsid w:val="00C407AB"/>
    <w:rsid w:val="00C4092E"/>
    <w:rsid w:val="00C40A1F"/>
    <w:rsid w:val="00C40B42"/>
    <w:rsid w:val="00C40B9F"/>
    <w:rsid w:val="00C40FB3"/>
    <w:rsid w:val="00C40FF2"/>
    <w:rsid w:val="00C4101F"/>
    <w:rsid w:val="00C41311"/>
    <w:rsid w:val="00C4157F"/>
    <w:rsid w:val="00C41766"/>
    <w:rsid w:val="00C417A1"/>
    <w:rsid w:val="00C417F1"/>
    <w:rsid w:val="00C41D57"/>
    <w:rsid w:val="00C41FDE"/>
    <w:rsid w:val="00C41FE1"/>
    <w:rsid w:val="00C4203E"/>
    <w:rsid w:val="00C425F0"/>
    <w:rsid w:val="00C42685"/>
    <w:rsid w:val="00C42C1F"/>
    <w:rsid w:val="00C430FF"/>
    <w:rsid w:val="00C43195"/>
    <w:rsid w:val="00C432CB"/>
    <w:rsid w:val="00C43361"/>
    <w:rsid w:val="00C433B9"/>
    <w:rsid w:val="00C433D8"/>
    <w:rsid w:val="00C43463"/>
    <w:rsid w:val="00C4361A"/>
    <w:rsid w:val="00C4395C"/>
    <w:rsid w:val="00C43E4B"/>
    <w:rsid w:val="00C441E5"/>
    <w:rsid w:val="00C44299"/>
    <w:rsid w:val="00C445B3"/>
    <w:rsid w:val="00C4463E"/>
    <w:rsid w:val="00C449C1"/>
    <w:rsid w:val="00C449EF"/>
    <w:rsid w:val="00C44A68"/>
    <w:rsid w:val="00C44BF9"/>
    <w:rsid w:val="00C44DB6"/>
    <w:rsid w:val="00C45123"/>
    <w:rsid w:val="00C453F4"/>
    <w:rsid w:val="00C453FD"/>
    <w:rsid w:val="00C45419"/>
    <w:rsid w:val="00C45433"/>
    <w:rsid w:val="00C4550F"/>
    <w:rsid w:val="00C455F1"/>
    <w:rsid w:val="00C456ED"/>
    <w:rsid w:val="00C4571B"/>
    <w:rsid w:val="00C45BD2"/>
    <w:rsid w:val="00C45CEE"/>
    <w:rsid w:val="00C45D01"/>
    <w:rsid w:val="00C460AA"/>
    <w:rsid w:val="00C46291"/>
    <w:rsid w:val="00C463F3"/>
    <w:rsid w:val="00C464AE"/>
    <w:rsid w:val="00C464EF"/>
    <w:rsid w:val="00C466C8"/>
    <w:rsid w:val="00C46787"/>
    <w:rsid w:val="00C46858"/>
    <w:rsid w:val="00C46971"/>
    <w:rsid w:val="00C46B29"/>
    <w:rsid w:val="00C46B9F"/>
    <w:rsid w:val="00C46C9A"/>
    <w:rsid w:val="00C46DE4"/>
    <w:rsid w:val="00C46F66"/>
    <w:rsid w:val="00C4704C"/>
    <w:rsid w:val="00C472A2"/>
    <w:rsid w:val="00C472A9"/>
    <w:rsid w:val="00C472CC"/>
    <w:rsid w:val="00C47366"/>
    <w:rsid w:val="00C473A9"/>
    <w:rsid w:val="00C47451"/>
    <w:rsid w:val="00C474E8"/>
    <w:rsid w:val="00C47565"/>
    <w:rsid w:val="00C4758D"/>
    <w:rsid w:val="00C4759B"/>
    <w:rsid w:val="00C4794A"/>
    <w:rsid w:val="00C47986"/>
    <w:rsid w:val="00C47BDF"/>
    <w:rsid w:val="00C47DA4"/>
    <w:rsid w:val="00C47E45"/>
    <w:rsid w:val="00C47E9F"/>
    <w:rsid w:val="00C47EDA"/>
    <w:rsid w:val="00C500FA"/>
    <w:rsid w:val="00C500FB"/>
    <w:rsid w:val="00C502EA"/>
    <w:rsid w:val="00C504B5"/>
    <w:rsid w:val="00C5055F"/>
    <w:rsid w:val="00C506AD"/>
    <w:rsid w:val="00C5082F"/>
    <w:rsid w:val="00C50913"/>
    <w:rsid w:val="00C50A6F"/>
    <w:rsid w:val="00C50CA0"/>
    <w:rsid w:val="00C50F52"/>
    <w:rsid w:val="00C510CA"/>
    <w:rsid w:val="00C511F6"/>
    <w:rsid w:val="00C51436"/>
    <w:rsid w:val="00C51654"/>
    <w:rsid w:val="00C51AAF"/>
    <w:rsid w:val="00C51DD2"/>
    <w:rsid w:val="00C51E65"/>
    <w:rsid w:val="00C51F88"/>
    <w:rsid w:val="00C51FA8"/>
    <w:rsid w:val="00C51FE1"/>
    <w:rsid w:val="00C5214E"/>
    <w:rsid w:val="00C5236B"/>
    <w:rsid w:val="00C523B0"/>
    <w:rsid w:val="00C5265D"/>
    <w:rsid w:val="00C526CF"/>
    <w:rsid w:val="00C527A8"/>
    <w:rsid w:val="00C52826"/>
    <w:rsid w:val="00C52ABB"/>
    <w:rsid w:val="00C52C87"/>
    <w:rsid w:val="00C52FDE"/>
    <w:rsid w:val="00C531EC"/>
    <w:rsid w:val="00C53239"/>
    <w:rsid w:val="00C53269"/>
    <w:rsid w:val="00C5333F"/>
    <w:rsid w:val="00C53362"/>
    <w:rsid w:val="00C535F8"/>
    <w:rsid w:val="00C53626"/>
    <w:rsid w:val="00C53970"/>
    <w:rsid w:val="00C53CD7"/>
    <w:rsid w:val="00C53CDE"/>
    <w:rsid w:val="00C53E02"/>
    <w:rsid w:val="00C53E48"/>
    <w:rsid w:val="00C5415A"/>
    <w:rsid w:val="00C54266"/>
    <w:rsid w:val="00C543BC"/>
    <w:rsid w:val="00C54467"/>
    <w:rsid w:val="00C546D2"/>
    <w:rsid w:val="00C5482E"/>
    <w:rsid w:val="00C5483F"/>
    <w:rsid w:val="00C5491B"/>
    <w:rsid w:val="00C54CA5"/>
    <w:rsid w:val="00C54EFF"/>
    <w:rsid w:val="00C54F08"/>
    <w:rsid w:val="00C55803"/>
    <w:rsid w:val="00C5595C"/>
    <w:rsid w:val="00C559F5"/>
    <w:rsid w:val="00C55A29"/>
    <w:rsid w:val="00C55A79"/>
    <w:rsid w:val="00C55B12"/>
    <w:rsid w:val="00C55D50"/>
    <w:rsid w:val="00C55E17"/>
    <w:rsid w:val="00C55EDD"/>
    <w:rsid w:val="00C5619C"/>
    <w:rsid w:val="00C568B9"/>
    <w:rsid w:val="00C568F5"/>
    <w:rsid w:val="00C56949"/>
    <w:rsid w:val="00C56A28"/>
    <w:rsid w:val="00C56B5D"/>
    <w:rsid w:val="00C56C41"/>
    <w:rsid w:val="00C56C9F"/>
    <w:rsid w:val="00C56D3C"/>
    <w:rsid w:val="00C56D90"/>
    <w:rsid w:val="00C56EF2"/>
    <w:rsid w:val="00C57085"/>
    <w:rsid w:val="00C57203"/>
    <w:rsid w:val="00C57744"/>
    <w:rsid w:val="00C5789B"/>
    <w:rsid w:val="00C579A1"/>
    <w:rsid w:val="00C57A84"/>
    <w:rsid w:val="00C57FAB"/>
    <w:rsid w:val="00C60135"/>
    <w:rsid w:val="00C60370"/>
    <w:rsid w:val="00C6049A"/>
    <w:rsid w:val="00C6049C"/>
    <w:rsid w:val="00C605B4"/>
    <w:rsid w:val="00C605EE"/>
    <w:rsid w:val="00C60703"/>
    <w:rsid w:val="00C6079B"/>
    <w:rsid w:val="00C60B9B"/>
    <w:rsid w:val="00C60D13"/>
    <w:rsid w:val="00C60DE8"/>
    <w:rsid w:val="00C60DFC"/>
    <w:rsid w:val="00C60F78"/>
    <w:rsid w:val="00C60FF9"/>
    <w:rsid w:val="00C610F1"/>
    <w:rsid w:val="00C61741"/>
    <w:rsid w:val="00C6183D"/>
    <w:rsid w:val="00C61ABA"/>
    <w:rsid w:val="00C61B4E"/>
    <w:rsid w:val="00C61D05"/>
    <w:rsid w:val="00C61DBA"/>
    <w:rsid w:val="00C61F17"/>
    <w:rsid w:val="00C61FD1"/>
    <w:rsid w:val="00C61FEB"/>
    <w:rsid w:val="00C62047"/>
    <w:rsid w:val="00C621AB"/>
    <w:rsid w:val="00C621DD"/>
    <w:rsid w:val="00C6229D"/>
    <w:rsid w:val="00C62423"/>
    <w:rsid w:val="00C62461"/>
    <w:rsid w:val="00C62683"/>
    <w:rsid w:val="00C6269E"/>
    <w:rsid w:val="00C628EA"/>
    <w:rsid w:val="00C62BF9"/>
    <w:rsid w:val="00C62BFD"/>
    <w:rsid w:val="00C62C2F"/>
    <w:rsid w:val="00C631D6"/>
    <w:rsid w:val="00C63306"/>
    <w:rsid w:val="00C6344F"/>
    <w:rsid w:val="00C634F9"/>
    <w:rsid w:val="00C638C6"/>
    <w:rsid w:val="00C63983"/>
    <w:rsid w:val="00C639AB"/>
    <w:rsid w:val="00C63D76"/>
    <w:rsid w:val="00C63E83"/>
    <w:rsid w:val="00C63F3C"/>
    <w:rsid w:val="00C63FE3"/>
    <w:rsid w:val="00C64016"/>
    <w:rsid w:val="00C642E7"/>
    <w:rsid w:val="00C64486"/>
    <w:rsid w:val="00C644AF"/>
    <w:rsid w:val="00C645D0"/>
    <w:rsid w:val="00C647F0"/>
    <w:rsid w:val="00C648CF"/>
    <w:rsid w:val="00C649AE"/>
    <w:rsid w:val="00C64AAF"/>
    <w:rsid w:val="00C64F8C"/>
    <w:rsid w:val="00C65060"/>
    <w:rsid w:val="00C651BE"/>
    <w:rsid w:val="00C65258"/>
    <w:rsid w:val="00C6544D"/>
    <w:rsid w:val="00C65530"/>
    <w:rsid w:val="00C6585A"/>
    <w:rsid w:val="00C659DE"/>
    <w:rsid w:val="00C65A68"/>
    <w:rsid w:val="00C65BB2"/>
    <w:rsid w:val="00C65F65"/>
    <w:rsid w:val="00C65FE0"/>
    <w:rsid w:val="00C65FEF"/>
    <w:rsid w:val="00C66367"/>
    <w:rsid w:val="00C664DC"/>
    <w:rsid w:val="00C665B5"/>
    <w:rsid w:val="00C666EC"/>
    <w:rsid w:val="00C66795"/>
    <w:rsid w:val="00C66B09"/>
    <w:rsid w:val="00C66DD5"/>
    <w:rsid w:val="00C66DE1"/>
    <w:rsid w:val="00C66E2A"/>
    <w:rsid w:val="00C66FA4"/>
    <w:rsid w:val="00C66FBF"/>
    <w:rsid w:val="00C67051"/>
    <w:rsid w:val="00C672BE"/>
    <w:rsid w:val="00C67447"/>
    <w:rsid w:val="00C67530"/>
    <w:rsid w:val="00C675D2"/>
    <w:rsid w:val="00C67663"/>
    <w:rsid w:val="00C676CB"/>
    <w:rsid w:val="00C6772C"/>
    <w:rsid w:val="00C678AB"/>
    <w:rsid w:val="00C67AF1"/>
    <w:rsid w:val="00C67D4C"/>
    <w:rsid w:val="00C70199"/>
    <w:rsid w:val="00C7095F"/>
    <w:rsid w:val="00C70AFC"/>
    <w:rsid w:val="00C70B11"/>
    <w:rsid w:val="00C70B16"/>
    <w:rsid w:val="00C70C77"/>
    <w:rsid w:val="00C70DA1"/>
    <w:rsid w:val="00C71052"/>
    <w:rsid w:val="00C71103"/>
    <w:rsid w:val="00C713AF"/>
    <w:rsid w:val="00C71776"/>
    <w:rsid w:val="00C717D3"/>
    <w:rsid w:val="00C71883"/>
    <w:rsid w:val="00C71AC7"/>
    <w:rsid w:val="00C71E2D"/>
    <w:rsid w:val="00C71F11"/>
    <w:rsid w:val="00C72111"/>
    <w:rsid w:val="00C7214B"/>
    <w:rsid w:val="00C721B5"/>
    <w:rsid w:val="00C721EC"/>
    <w:rsid w:val="00C72400"/>
    <w:rsid w:val="00C72451"/>
    <w:rsid w:val="00C726B6"/>
    <w:rsid w:val="00C727D7"/>
    <w:rsid w:val="00C72803"/>
    <w:rsid w:val="00C72996"/>
    <w:rsid w:val="00C72B44"/>
    <w:rsid w:val="00C72CC9"/>
    <w:rsid w:val="00C72DD1"/>
    <w:rsid w:val="00C72E0F"/>
    <w:rsid w:val="00C72E5C"/>
    <w:rsid w:val="00C730FC"/>
    <w:rsid w:val="00C7336D"/>
    <w:rsid w:val="00C733EE"/>
    <w:rsid w:val="00C73579"/>
    <w:rsid w:val="00C735A2"/>
    <w:rsid w:val="00C737B8"/>
    <w:rsid w:val="00C738BE"/>
    <w:rsid w:val="00C739C1"/>
    <w:rsid w:val="00C73E8B"/>
    <w:rsid w:val="00C744D5"/>
    <w:rsid w:val="00C7461F"/>
    <w:rsid w:val="00C746BB"/>
    <w:rsid w:val="00C746CA"/>
    <w:rsid w:val="00C74784"/>
    <w:rsid w:val="00C747C3"/>
    <w:rsid w:val="00C748AC"/>
    <w:rsid w:val="00C74AB3"/>
    <w:rsid w:val="00C74AD9"/>
    <w:rsid w:val="00C74BAD"/>
    <w:rsid w:val="00C74CFF"/>
    <w:rsid w:val="00C74F56"/>
    <w:rsid w:val="00C74FE4"/>
    <w:rsid w:val="00C75005"/>
    <w:rsid w:val="00C75375"/>
    <w:rsid w:val="00C7545E"/>
    <w:rsid w:val="00C755F2"/>
    <w:rsid w:val="00C75664"/>
    <w:rsid w:val="00C7577F"/>
    <w:rsid w:val="00C759B5"/>
    <w:rsid w:val="00C75A69"/>
    <w:rsid w:val="00C75C00"/>
    <w:rsid w:val="00C75CC1"/>
    <w:rsid w:val="00C75D94"/>
    <w:rsid w:val="00C75E0B"/>
    <w:rsid w:val="00C761A1"/>
    <w:rsid w:val="00C7638A"/>
    <w:rsid w:val="00C76722"/>
    <w:rsid w:val="00C76B8F"/>
    <w:rsid w:val="00C76BE7"/>
    <w:rsid w:val="00C76D00"/>
    <w:rsid w:val="00C76F59"/>
    <w:rsid w:val="00C7719A"/>
    <w:rsid w:val="00C77270"/>
    <w:rsid w:val="00C774D8"/>
    <w:rsid w:val="00C774F8"/>
    <w:rsid w:val="00C77769"/>
    <w:rsid w:val="00C777A1"/>
    <w:rsid w:val="00C7780B"/>
    <w:rsid w:val="00C77E6E"/>
    <w:rsid w:val="00C77ED6"/>
    <w:rsid w:val="00C77F22"/>
    <w:rsid w:val="00C77FAE"/>
    <w:rsid w:val="00C8007D"/>
    <w:rsid w:val="00C802DE"/>
    <w:rsid w:val="00C80565"/>
    <w:rsid w:val="00C805A0"/>
    <w:rsid w:val="00C805DA"/>
    <w:rsid w:val="00C805EE"/>
    <w:rsid w:val="00C80665"/>
    <w:rsid w:val="00C80781"/>
    <w:rsid w:val="00C80AAA"/>
    <w:rsid w:val="00C80BBE"/>
    <w:rsid w:val="00C80FE0"/>
    <w:rsid w:val="00C8134A"/>
    <w:rsid w:val="00C81534"/>
    <w:rsid w:val="00C818A7"/>
    <w:rsid w:val="00C81A4A"/>
    <w:rsid w:val="00C81D23"/>
    <w:rsid w:val="00C81FE4"/>
    <w:rsid w:val="00C82184"/>
    <w:rsid w:val="00C822C6"/>
    <w:rsid w:val="00C82349"/>
    <w:rsid w:val="00C82363"/>
    <w:rsid w:val="00C82394"/>
    <w:rsid w:val="00C823AE"/>
    <w:rsid w:val="00C824B0"/>
    <w:rsid w:val="00C8250E"/>
    <w:rsid w:val="00C8251D"/>
    <w:rsid w:val="00C82602"/>
    <w:rsid w:val="00C826EE"/>
    <w:rsid w:val="00C829ED"/>
    <w:rsid w:val="00C829FA"/>
    <w:rsid w:val="00C82A34"/>
    <w:rsid w:val="00C82AC7"/>
    <w:rsid w:val="00C82B4B"/>
    <w:rsid w:val="00C82EEC"/>
    <w:rsid w:val="00C82F38"/>
    <w:rsid w:val="00C83087"/>
    <w:rsid w:val="00C83150"/>
    <w:rsid w:val="00C83360"/>
    <w:rsid w:val="00C8365D"/>
    <w:rsid w:val="00C8366A"/>
    <w:rsid w:val="00C836A5"/>
    <w:rsid w:val="00C838F5"/>
    <w:rsid w:val="00C83E2E"/>
    <w:rsid w:val="00C8416F"/>
    <w:rsid w:val="00C843A8"/>
    <w:rsid w:val="00C84478"/>
    <w:rsid w:val="00C84697"/>
    <w:rsid w:val="00C846BD"/>
    <w:rsid w:val="00C84712"/>
    <w:rsid w:val="00C8482D"/>
    <w:rsid w:val="00C84895"/>
    <w:rsid w:val="00C84D02"/>
    <w:rsid w:val="00C84ECF"/>
    <w:rsid w:val="00C84EE7"/>
    <w:rsid w:val="00C8513A"/>
    <w:rsid w:val="00C853E7"/>
    <w:rsid w:val="00C855C0"/>
    <w:rsid w:val="00C85690"/>
    <w:rsid w:val="00C85BCF"/>
    <w:rsid w:val="00C85CA6"/>
    <w:rsid w:val="00C85EAE"/>
    <w:rsid w:val="00C85EB4"/>
    <w:rsid w:val="00C860B7"/>
    <w:rsid w:val="00C8617B"/>
    <w:rsid w:val="00C8636A"/>
    <w:rsid w:val="00C865EC"/>
    <w:rsid w:val="00C8671C"/>
    <w:rsid w:val="00C8672F"/>
    <w:rsid w:val="00C86B9D"/>
    <w:rsid w:val="00C86D86"/>
    <w:rsid w:val="00C86DD4"/>
    <w:rsid w:val="00C86DFA"/>
    <w:rsid w:val="00C871CA"/>
    <w:rsid w:val="00C872C3"/>
    <w:rsid w:val="00C8731D"/>
    <w:rsid w:val="00C873ED"/>
    <w:rsid w:val="00C8759B"/>
    <w:rsid w:val="00C875DF"/>
    <w:rsid w:val="00C876E6"/>
    <w:rsid w:val="00C87784"/>
    <w:rsid w:val="00C87832"/>
    <w:rsid w:val="00C87A4F"/>
    <w:rsid w:val="00C87BD6"/>
    <w:rsid w:val="00C87DF6"/>
    <w:rsid w:val="00C87F99"/>
    <w:rsid w:val="00C87FE4"/>
    <w:rsid w:val="00C902D7"/>
    <w:rsid w:val="00C903FF"/>
    <w:rsid w:val="00C9067D"/>
    <w:rsid w:val="00C90A84"/>
    <w:rsid w:val="00C90C1A"/>
    <w:rsid w:val="00C90E29"/>
    <w:rsid w:val="00C912B9"/>
    <w:rsid w:val="00C91465"/>
    <w:rsid w:val="00C91574"/>
    <w:rsid w:val="00C916AF"/>
    <w:rsid w:val="00C916DB"/>
    <w:rsid w:val="00C91875"/>
    <w:rsid w:val="00C91AEA"/>
    <w:rsid w:val="00C91BFB"/>
    <w:rsid w:val="00C91D9A"/>
    <w:rsid w:val="00C91D9D"/>
    <w:rsid w:val="00C91DEA"/>
    <w:rsid w:val="00C91DF5"/>
    <w:rsid w:val="00C91DF8"/>
    <w:rsid w:val="00C91E4B"/>
    <w:rsid w:val="00C9218F"/>
    <w:rsid w:val="00C9222C"/>
    <w:rsid w:val="00C92687"/>
    <w:rsid w:val="00C9292E"/>
    <w:rsid w:val="00C929C1"/>
    <w:rsid w:val="00C92A3B"/>
    <w:rsid w:val="00C92AB7"/>
    <w:rsid w:val="00C92B78"/>
    <w:rsid w:val="00C92C86"/>
    <w:rsid w:val="00C92C9B"/>
    <w:rsid w:val="00C92D51"/>
    <w:rsid w:val="00C92E42"/>
    <w:rsid w:val="00C92E5F"/>
    <w:rsid w:val="00C92FBF"/>
    <w:rsid w:val="00C93006"/>
    <w:rsid w:val="00C9316C"/>
    <w:rsid w:val="00C93230"/>
    <w:rsid w:val="00C932AA"/>
    <w:rsid w:val="00C93362"/>
    <w:rsid w:val="00C934FF"/>
    <w:rsid w:val="00C93551"/>
    <w:rsid w:val="00C936AE"/>
    <w:rsid w:val="00C9393C"/>
    <w:rsid w:val="00C93997"/>
    <w:rsid w:val="00C939C9"/>
    <w:rsid w:val="00C93AA0"/>
    <w:rsid w:val="00C93B0C"/>
    <w:rsid w:val="00C93BB1"/>
    <w:rsid w:val="00C93C1F"/>
    <w:rsid w:val="00C93F02"/>
    <w:rsid w:val="00C94176"/>
    <w:rsid w:val="00C9418D"/>
    <w:rsid w:val="00C944A5"/>
    <w:rsid w:val="00C946D7"/>
    <w:rsid w:val="00C94A80"/>
    <w:rsid w:val="00C94A9E"/>
    <w:rsid w:val="00C94AE9"/>
    <w:rsid w:val="00C94C6B"/>
    <w:rsid w:val="00C94E0D"/>
    <w:rsid w:val="00C94ED5"/>
    <w:rsid w:val="00C9536C"/>
    <w:rsid w:val="00C95458"/>
    <w:rsid w:val="00C955A0"/>
    <w:rsid w:val="00C95923"/>
    <w:rsid w:val="00C959E5"/>
    <w:rsid w:val="00C959F2"/>
    <w:rsid w:val="00C95A02"/>
    <w:rsid w:val="00C95A96"/>
    <w:rsid w:val="00C95CDD"/>
    <w:rsid w:val="00C95EEE"/>
    <w:rsid w:val="00C96669"/>
    <w:rsid w:val="00C96705"/>
    <w:rsid w:val="00C96B62"/>
    <w:rsid w:val="00C96CA0"/>
    <w:rsid w:val="00C96CBF"/>
    <w:rsid w:val="00C96D82"/>
    <w:rsid w:val="00C96DAE"/>
    <w:rsid w:val="00C9719F"/>
    <w:rsid w:val="00C971EB"/>
    <w:rsid w:val="00C9726C"/>
    <w:rsid w:val="00C972FA"/>
    <w:rsid w:val="00C97322"/>
    <w:rsid w:val="00C974CD"/>
    <w:rsid w:val="00C9759B"/>
    <w:rsid w:val="00C97610"/>
    <w:rsid w:val="00C97750"/>
    <w:rsid w:val="00C979AE"/>
    <w:rsid w:val="00C97AEF"/>
    <w:rsid w:val="00C97DB8"/>
    <w:rsid w:val="00C97EF6"/>
    <w:rsid w:val="00C97F22"/>
    <w:rsid w:val="00C97F4A"/>
    <w:rsid w:val="00CA0052"/>
    <w:rsid w:val="00CA050D"/>
    <w:rsid w:val="00CA0C20"/>
    <w:rsid w:val="00CA0E3E"/>
    <w:rsid w:val="00CA0E43"/>
    <w:rsid w:val="00CA0FA8"/>
    <w:rsid w:val="00CA107C"/>
    <w:rsid w:val="00CA1204"/>
    <w:rsid w:val="00CA1245"/>
    <w:rsid w:val="00CA146D"/>
    <w:rsid w:val="00CA1569"/>
    <w:rsid w:val="00CA15AC"/>
    <w:rsid w:val="00CA1C9F"/>
    <w:rsid w:val="00CA1CF9"/>
    <w:rsid w:val="00CA1D78"/>
    <w:rsid w:val="00CA1F2C"/>
    <w:rsid w:val="00CA202C"/>
    <w:rsid w:val="00CA2158"/>
    <w:rsid w:val="00CA22C2"/>
    <w:rsid w:val="00CA239C"/>
    <w:rsid w:val="00CA23E8"/>
    <w:rsid w:val="00CA2444"/>
    <w:rsid w:val="00CA2463"/>
    <w:rsid w:val="00CA26DF"/>
    <w:rsid w:val="00CA2A80"/>
    <w:rsid w:val="00CA2D08"/>
    <w:rsid w:val="00CA2D0E"/>
    <w:rsid w:val="00CA3157"/>
    <w:rsid w:val="00CA325F"/>
    <w:rsid w:val="00CA33D1"/>
    <w:rsid w:val="00CA342F"/>
    <w:rsid w:val="00CA3449"/>
    <w:rsid w:val="00CA35EF"/>
    <w:rsid w:val="00CA36EC"/>
    <w:rsid w:val="00CA3858"/>
    <w:rsid w:val="00CA3BD5"/>
    <w:rsid w:val="00CA3EE1"/>
    <w:rsid w:val="00CA3EE9"/>
    <w:rsid w:val="00CA4172"/>
    <w:rsid w:val="00CA422F"/>
    <w:rsid w:val="00CA44B6"/>
    <w:rsid w:val="00CA49CE"/>
    <w:rsid w:val="00CA4B4B"/>
    <w:rsid w:val="00CA4B58"/>
    <w:rsid w:val="00CA4C84"/>
    <w:rsid w:val="00CA4E83"/>
    <w:rsid w:val="00CA5099"/>
    <w:rsid w:val="00CA53F0"/>
    <w:rsid w:val="00CA55AF"/>
    <w:rsid w:val="00CA55DB"/>
    <w:rsid w:val="00CA593A"/>
    <w:rsid w:val="00CA5D50"/>
    <w:rsid w:val="00CA5EFA"/>
    <w:rsid w:val="00CA60E3"/>
    <w:rsid w:val="00CA6300"/>
    <w:rsid w:val="00CA64E6"/>
    <w:rsid w:val="00CA66EA"/>
    <w:rsid w:val="00CA6707"/>
    <w:rsid w:val="00CA6774"/>
    <w:rsid w:val="00CA67CF"/>
    <w:rsid w:val="00CA68F0"/>
    <w:rsid w:val="00CA69FF"/>
    <w:rsid w:val="00CA6CD9"/>
    <w:rsid w:val="00CA6D4C"/>
    <w:rsid w:val="00CA6D76"/>
    <w:rsid w:val="00CA6D8A"/>
    <w:rsid w:val="00CA6DA2"/>
    <w:rsid w:val="00CA6FB9"/>
    <w:rsid w:val="00CA6FEC"/>
    <w:rsid w:val="00CA7685"/>
    <w:rsid w:val="00CA76BA"/>
    <w:rsid w:val="00CA791C"/>
    <w:rsid w:val="00CA7C1C"/>
    <w:rsid w:val="00CA7C31"/>
    <w:rsid w:val="00CA7EBE"/>
    <w:rsid w:val="00CA7F88"/>
    <w:rsid w:val="00CB00A3"/>
    <w:rsid w:val="00CB021C"/>
    <w:rsid w:val="00CB051E"/>
    <w:rsid w:val="00CB063C"/>
    <w:rsid w:val="00CB0793"/>
    <w:rsid w:val="00CB083F"/>
    <w:rsid w:val="00CB08FB"/>
    <w:rsid w:val="00CB092B"/>
    <w:rsid w:val="00CB0BBE"/>
    <w:rsid w:val="00CB0C6F"/>
    <w:rsid w:val="00CB0E45"/>
    <w:rsid w:val="00CB1287"/>
    <w:rsid w:val="00CB129C"/>
    <w:rsid w:val="00CB150F"/>
    <w:rsid w:val="00CB18E6"/>
    <w:rsid w:val="00CB1903"/>
    <w:rsid w:val="00CB1935"/>
    <w:rsid w:val="00CB1B85"/>
    <w:rsid w:val="00CB1BBE"/>
    <w:rsid w:val="00CB1BCB"/>
    <w:rsid w:val="00CB1BFB"/>
    <w:rsid w:val="00CB20C0"/>
    <w:rsid w:val="00CB24B5"/>
    <w:rsid w:val="00CB2544"/>
    <w:rsid w:val="00CB2798"/>
    <w:rsid w:val="00CB27A5"/>
    <w:rsid w:val="00CB2877"/>
    <w:rsid w:val="00CB2903"/>
    <w:rsid w:val="00CB2A40"/>
    <w:rsid w:val="00CB2DE7"/>
    <w:rsid w:val="00CB333A"/>
    <w:rsid w:val="00CB352C"/>
    <w:rsid w:val="00CB3595"/>
    <w:rsid w:val="00CB36A2"/>
    <w:rsid w:val="00CB3767"/>
    <w:rsid w:val="00CB3825"/>
    <w:rsid w:val="00CB3859"/>
    <w:rsid w:val="00CB3927"/>
    <w:rsid w:val="00CB3BA1"/>
    <w:rsid w:val="00CB3BF4"/>
    <w:rsid w:val="00CB3D20"/>
    <w:rsid w:val="00CB3E43"/>
    <w:rsid w:val="00CB3F88"/>
    <w:rsid w:val="00CB4320"/>
    <w:rsid w:val="00CB436F"/>
    <w:rsid w:val="00CB439B"/>
    <w:rsid w:val="00CB43BE"/>
    <w:rsid w:val="00CB4475"/>
    <w:rsid w:val="00CB460C"/>
    <w:rsid w:val="00CB4C70"/>
    <w:rsid w:val="00CB4CC5"/>
    <w:rsid w:val="00CB4D03"/>
    <w:rsid w:val="00CB4D84"/>
    <w:rsid w:val="00CB4F07"/>
    <w:rsid w:val="00CB4F8E"/>
    <w:rsid w:val="00CB5036"/>
    <w:rsid w:val="00CB514E"/>
    <w:rsid w:val="00CB5423"/>
    <w:rsid w:val="00CB556C"/>
    <w:rsid w:val="00CB5957"/>
    <w:rsid w:val="00CB59AA"/>
    <w:rsid w:val="00CB5AAC"/>
    <w:rsid w:val="00CB5CCC"/>
    <w:rsid w:val="00CB5E2B"/>
    <w:rsid w:val="00CB60EA"/>
    <w:rsid w:val="00CB616D"/>
    <w:rsid w:val="00CB633F"/>
    <w:rsid w:val="00CB638A"/>
    <w:rsid w:val="00CB639F"/>
    <w:rsid w:val="00CB65CD"/>
    <w:rsid w:val="00CB6639"/>
    <w:rsid w:val="00CB67EF"/>
    <w:rsid w:val="00CB686F"/>
    <w:rsid w:val="00CB6B1C"/>
    <w:rsid w:val="00CB6C45"/>
    <w:rsid w:val="00CB6D05"/>
    <w:rsid w:val="00CB6F48"/>
    <w:rsid w:val="00CB712B"/>
    <w:rsid w:val="00CB73E9"/>
    <w:rsid w:val="00CB75F6"/>
    <w:rsid w:val="00CB7784"/>
    <w:rsid w:val="00CB7869"/>
    <w:rsid w:val="00CB78E9"/>
    <w:rsid w:val="00CB7921"/>
    <w:rsid w:val="00CB7933"/>
    <w:rsid w:val="00CB793B"/>
    <w:rsid w:val="00CB7957"/>
    <w:rsid w:val="00CB796E"/>
    <w:rsid w:val="00CB7B46"/>
    <w:rsid w:val="00CB7BA1"/>
    <w:rsid w:val="00CB7C67"/>
    <w:rsid w:val="00CB7E7C"/>
    <w:rsid w:val="00CC0069"/>
    <w:rsid w:val="00CC0196"/>
    <w:rsid w:val="00CC02BC"/>
    <w:rsid w:val="00CC0751"/>
    <w:rsid w:val="00CC085B"/>
    <w:rsid w:val="00CC0924"/>
    <w:rsid w:val="00CC0926"/>
    <w:rsid w:val="00CC0FD6"/>
    <w:rsid w:val="00CC104D"/>
    <w:rsid w:val="00CC1580"/>
    <w:rsid w:val="00CC1603"/>
    <w:rsid w:val="00CC1764"/>
    <w:rsid w:val="00CC17E1"/>
    <w:rsid w:val="00CC199D"/>
    <w:rsid w:val="00CC1A2C"/>
    <w:rsid w:val="00CC1B87"/>
    <w:rsid w:val="00CC1B97"/>
    <w:rsid w:val="00CC1D52"/>
    <w:rsid w:val="00CC1F5E"/>
    <w:rsid w:val="00CC2000"/>
    <w:rsid w:val="00CC21EC"/>
    <w:rsid w:val="00CC2201"/>
    <w:rsid w:val="00CC220F"/>
    <w:rsid w:val="00CC2259"/>
    <w:rsid w:val="00CC25F4"/>
    <w:rsid w:val="00CC2B94"/>
    <w:rsid w:val="00CC2DEF"/>
    <w:rsid w:val="00CC2F65"/>
    <w:rsid w:val="00CC2F71"/>
    <w:rsid w:val="00CC2F72"/>
    <w:rsid w:val="00CC3348"/>
    <w:rsid w:val="00CC33A8"/>
    <w:rsid w:val="00CC34ED"/>
    <w:rsid w:val="00CC38CB"/>
    <w:rsid w:val="00CC3B83"/>
    <w:rsid w:val="00CC3C37"/>
    <w:rsid w:val="00CC3DBD"/>
    <w:rsid w:val="00CC3EE8"/>
    <w:rsid w:val="00CC40F3"/>
    <w:rsid w:val="00CC4461"/>
    <w:rsid w:val="00CC453A"/>
    <w:rsid w:val="00CC4A2D"/>
    <w:rsid w:val="00CC4A94"/>
    <w:rsid w:val="00CC4C21"/>
    <w:rsid w:val="00CC4DAA"/>
    <w:rsid w:val="00CC4DEB"/>
    <w:rsid w:val="00CC4FEE"/>
    <w:rsid w:val="00CC504A"/>
    <w:rsid w:val="00CC5075"/>
    <w:rsid w:val="00CC5174"/>
    <w:rsid w:val="00CC5373"/>
    <w:rsid w:val="00CC543E"/>
    <w:rsid w:val="00CC547C"/>
    <w:rsid w:val="00CC5480"/>
    <w:rsid w:val="00CC562F"/>
    <w:rsid w:val="00CC56CD"/>
    <w:rsid w:val="00CC575F"/>
    <w:rsid w:val="00CC59AF"/>
    <w:rsid w:val="00CC5D41"/>
    <w:rsid w:val="00CC5EE0"/>
    <w:rsid w:val="00CC604E"/>
    <w:rsid w:val="00CC6448"/>
    <w:rsid w:val="00CC64E0"/>
    <w:rsid w:val="00CC683F"/>
    <w:rsid w:val="00CC69DD"/>
    <w:rsid w:val="00CC6C28"/>
    <w:rsid w:val="00CC6F0F"/>
    <w:rsid w:val="00CC7102"/>
    <w:rsid w:val="00CC71A7"/>
    <w:rsid w:val="00CC7512"/>
    <w:rsid w:val="00CC75E0"/>
    <w:rsid w:val="00CC76C4"/>
    <w:rsid w:val="00CC7957"/>
    <w:rsid w:val="00CC7B63"/>
    <w:rsid w:val="00CC7F2D"/>
    <w:rsid w:val="00CD029D"/>
    <w:rsid w:val="00CD0477"/>
    <w:rsid w:val="00CD05B4"/>
    <w:rsid w:val="00CD05E3"/>
    <w:rsid w:val="00CD0948"/>
    <w:rsid w:val="00CD09C7"/>
    <w:rsid w:val="00CD0C0B"/>
    <w:rsid w:val="00CD0F0F"/>
    <w:rsid w:val="00CD0F9B"/>
    <w:rsid w:val="00CD104A"/>
    <w:rsid w:val="00CD11EE"/>
    <w:rsid w:val="00CD13FE"/>
    <w:rsid w:val="00CD1722"/>
    <w:rsid w:val="00CD1784"/>
    <w:rsid w:val="00CD1CC6"/>
    <w:rsid w:val="00CD1D37"/>
    <w:rsid w:val="00CD21BD"/>
    <w:rsid w:val="00CD2284"/>
    <w:rsid w:val="00CD247F"/>
    <w:rsid w:val="00CD24C1"/>
    <w:rsid w:val="00CD2664"/>
    <w:rsid w:val="00CD267F"/>
    <w:rsid w:val="00CD27F6"/>
    <w:rsid w:val="00CD299A"/>
    <w:rsid w:val="00CD29C8"/>
    <w:rsid w:val="00CD2BDE"/>
    <w:rsid w:val="00CD2C1E"/>
    <w:rsid w:val="00CD2E42"/>
    <w:rsid w:val="00CD2E8A"/>
    <w:rsid w:val="00CD2F11"/>
    <w:rsid w:val="00CD3537"/>
    <w:rsid w:val="00CD3852"/>
    <w:rsid w:val="00CD390C"/>
    <w:rsid w:val="00CD3ABF"/>
    <w:rsid w:val="00CD3C73"/>
    <w:rsid w:val="00CD3D83"/>
    <w:rsid w:val="00CD3F66"/>
    <w:rsid w:val="00CD3FC2"/>
    <w:rsid w:val="00CD3FE1"/>
    <w:rsid w:val="00CD4365"/>
    <w:rsid w:val="00CD459F"/>
    <w:rsid w:val="00CD45BA"/>
    <w:rsid w:val="00CD47E5"/>
    <w:rsid w:val="00CD4B67"/>
    <w:rsid w:val="00CD4B95"/>
    <w:rsid w:val="00CD4CB3"/>
    <w:rsid w:val="00CD4CD3"/>
    <w:rsid w:val="00CD4CF4"/>
    <w:rsid w:val="00CD4D17"/>
    <w:rsid w:val="00CD4D46"/>
    <w:rsid w:val="00CD5009"/>
    <w:rsid w:val="00CD51FD"/>
    <w:rsid w:val="00CD556C"/>
    <w:rsid w:val="00CD55CC"/>
    <w:rsid w:val="00CD56AA"/>
    <w:rsid w:val="00CD5731"/>
    <w:rsid w:val="00CD57C2"/>
    <w:rsid w:val="00CD58A3"/>
    <w:rsid w:val="00CD59DD"/>
    <w:rsid w:val="00CD5A7C"/>
    <w:rsid w:val="00CD5A93"/>
    <w:rsid w:val="00CD5AE4"/>
    <w:rsid w:val="00CD5C91"/>
    <w:rsid w:val="00CD5D53"/>
    <w:rsid w:val="00CD5EB0"/>
    <w:rsid w:val="00CD6352"/>
    <w:rsid w:val="00CD6732"/>
    <w:rsid w:val="00CD6741"/>
    <w:rsid w:val="00CD683B"/>
    <w:rsid w:val="00CD6C40"/>
    <w:rsid w:val="00CD6CA2"/>
    <w:rsid w:val="00CD6DD5"/>
    <w:rsid w:val="00CD6E19"/>
    <w:rsid w:val="00CD6FB5"/>
    <w:rsid w:val="00CD6FC5"/>
    <w:rsid w:val="00CD7029"/>
    <w:rsid w:val="00CD714D"/>
    <w:rsid w:val="00CD7465"/>
    <w:rsid w:val="00CD7512"/>
    <w:rsid w:val="00CD779F"/>
    <w:rsid w:val="00CD781A"/>
    <w:rsid w:val="00CD79B2"/>
    <w:rsid w:val="00CD7B93"/>
    <w:rsid w:val="00CD7E3E"/>
    <w:rsid w:val="00CD7F1B"/>
    <w:rsid w:val="00CD7F9C"/>
    <w:rsid w:val="00CE00A8"/>
    <w:rsid w:val="00CE015E"/>
    <w:rsid w:val="00CE037A"/>
    <w:rsid w:val="00CE046B"/>
    <w:rsid w:val="00CE0488"/>
    <w:rsid w:val="00CE0506"/>
    <w:rsid w:val="00CE0746"/>
    <w:rsid w:val="00CE074D"/>
    <w:rsid w:val="00CE080E"/>
    <w:rsid w:val="00CE0A26"/>
    <w:rsid w:val="00CE0AFC"/>
    <w:rsid w:val="00CE0C39"/>
    <w:rsid w:val="00CE0D0A"/>
    <w:rsid w:val="00CE0E5D"/>
    <w:rsid w:val="00CE0E94"/>
    <w:rsid w:val="00CE0FC5"/>
    <w:rsid w:val="00CE1252"/>
    <w:rsid w:val="00CE13BF"/>
    <w:rsid w:val="00CE13DA"/>
    <w:rsid w:val="00CE1486"/>
    <w:rsid w:val="00CE14A8"/>
    <w:rsid w:val="00CE1525"/>
    <w:rsid w:val="00CE1588"/>
    <w:rsid w:val="00CE16DC"/>
    <w:rsid w:val="00CE1706"/>
    <w:rsid w:val="00CE19FF"/>
    <w:rsid w:val="00CE1A07"/>
    <w:rsid w:val="00CE1A25"/>
    <w:rsid w:val="00CE1A72"/>
    <w:rsid w:val="00CE1A9F"/>
    <w:rsid w:val="00CE1B05"/>
    <w:rsid w:val="00CE1C1B"/>
    <w:rsid w:val="00CE1FEE"/>
    <w:rsid w:val="00CE210B"/>
    <w:rsid w:val="00CE247D"/>
    <w:rsid w:val="00CE2659"/>
    <w:rsid w:val="00CE26EB"/>
    <w:rsid w:val="00CE2743"/>
    <w:rsid w:val="00CE29BB"/>
    <w:rsid w:val="00CE2A1C"/>
    <w:rsid w:val="00CE2A3C"/>
    <w:rsid w:val="00CE2CBD"/>
    <w:rsid w:val="00CE304E"/>
    <w:rsid w:val="00CE30CA"/>
    <w:rsid w:val="00CE30F0"/>
    <w:rsid w:val="00CE31CF"/>
    <w:rsid w:val="00CE32BD"/>
    <w:rsid w:val="00CE33D5"/>
    <w:rsid w:val="00CE3543"/>
    <w:rsid w:val="00CE36F8"/>
    <w:rsid w:val="00CE37F4"/>
    <w:rsid w:val="00CE38A8"/>
    <w:rsid w:val="00CE3925"/>
    <w:rsid w:val="00CE3B5C"/>
    <w:rsid w:val="00CE3E3C"/>
    <w:rsid w:val="00CE41C5"/>
    <w:rsid w:val="00CE447E"/>
    <w:rsid w:val="00CE4825"/>
    <w:rsid w:val="00CE48C7"/>
    <w:rsid w:val="00CE4B8C"/>
    <w:rsid w:val="00CE4CDA"/>
    <w:rsid w:val="00CE4DCA"/>
    <w:rsid w:val="00CE4EDD"/>
    <w:rsid w:val="00CE4F88"/>
    <w:rsid w:val="00CE51D6"/>
    <w:rsid w:val="00CE51EF"/>
    <w:rsid w:val="00CE5218"/>
    <w:rsid w:val="00CE5572"/>
    <w:rsid w:val="00CE563D"/>
    <w:rsid w:val="00CE5712"/>
    <w:rsid w:val="00CE5BD8"/>
    <w:rsid w:val="00CE5C4C"/>
    <w:rsid w:val="00CE5E3B"/>
    <w:rsid w:val="00CE5F0C"/>
    <w:rsid w:val="00CE5FC4"/>
    <w:rsid w:val="00CE61F7"/>
    <w:rsid w:val="00CE635F"/>
    <w:rsid w:val="00CE6420"/>
    <w:rsid w:val="00CE64F6"/>
    <w:rsid w:val="00CE6817"/>
    <w:rsid w:val="00CE68CF"/>
    <w:rsid w:val="00CE68EC"/>
    <w:rsid w:val="00CE6A9C"/>
    <w:rsid w:val="00CE6B0C"/>
    <w:rsid w:val="00CE6B39"/>
    <w:rsid w:val="00CE6CBB"/>
    <w:rsid w:val="00CE6D37"/>
    <w:rsid w:val="00CE6D8B"/>
    <w:rsid w:val="00CE6DDE"/>
    <w:rsid w:val="00CE6FB7"/>
    <w:rsid w:val="00CE7029"/>
    <w:rsid w:val="00CE70D2"/>
    <w:rsid w:val="00CE71EB"/>
    <w:rsid w:val="00CE73BA"/>
    <w:rsid w:val="00CE73F3"/>
    <w:rsid w:val="00CE7498"/>
    <w:rsid w:val="00CE75C1"/>
    <w:rsid w:val="00CE76C1"/>
    <w:rsid w:val="00CE77F4"/>
    <w:rsid w:val="00CE7901"/>
    <w:rsid w:val="00CE797C"/>
    <w:rsid w:val="00CE7AA8"/>
    <w:rsid w:val="00CE7AC7"/>
    <w:rsid w:val="00CE7D0B"/>
    <w:rsid w:val="00CE7D83"/>
    <w:rsid w:val="00CE7F5A"/>
    <w:rsid w:val="00CF01E8"/>
    <w:rsid w:val="00CF0253"/>
    <w:rsid w:val="00CF05D9"/>
    <w:rsid w:val="00CF069E"/>
    <w:rsid w:val="00CF0743"/>
    <w:rsid w:val="00CF0AE4"/>
    <w:rsid w:val="00CF0DFE"/>
    <w:rsid w:val="00CF0EDB"/>
    <w:rsid w:val="00CF0F2C"/>
    <w:rsid w:val="00CF12A3"/>
    <w:rsid w:val="00CF12E2"/>
    <w:rsid w:val="00CF14B9"/>
    <w:rsid w:val="00CF17CE"/>
    <w:rsid w:val="00CF181B"/>
    <w:rsid w:val="00CF1B61"/>
    <w:rsid w:val="00CF1BFA"/>
    <w:rsid w:val="00CF1C5C"/>
    <w:rsid w:val="00CF1D7B"/>
    <w:rsid w:val="00CF2148"/>
    <w:rsid w:val="00CF2314"/>
    <w:rsid w:val="00CF23F7"/>
    <w:rsid w:val="00CF2481"/>
    <w:rsid w:val="00CF2675"/>
    <w:rsid w:val="00CF2A42"/>
    <w:rsid w:val="00CF2B94"/>
    <w:rsid w:val="00CF2C4C"/>
    <w:rsid w:val="00CF2DDE"/>
    <w:rsid w:val="00CF2E32"/>
    <w:rsid w:val="00CF2FFE"/>
    <w:rsid w:val="00CF30BC"/>
    <w:rsid w:val="00CF3245"/>
    <w:rsid w:val="00CF324F"/>
    <w:rsid w:val="00CF3407"/>
    <w:rsid w:val="00CF3A0F"/>
    <w:rsid w:val="00CF3A4F"/>
    <w:rsid w:val="00CF3B6F"/>
    <w:rsid w:val="00CF3C95"/>
    <w:rsid w:val="00CF3E39"/>
    <w:rsid w:val="00CF3E9F"/>
    <w:rsid w:val="00CF410E"/>
    <w:rsid w:val="00CF4134"/>
    <w:rsid w:val="00CF41B1"/>
    <w:rsid w:val="00CF4200"/>
    <w:rsid w:val="00CF43CE"/>
    <w:rsid w:val="00CF444B"/>
    <w:rsid w:val="00CF4891"/>
    <w:rsid w:val="00CF4A99"/>
    <w:rsid w:val="00CF4AF9"/>
    <w:rsid w:val="00CF4B01"/>
    <w:rsid w:val="00CF4B38"/>
    <w:rsid w:val="00CF4CBE"/>
    <w:rsid w:val="00CF4CDF"/>
    <w:rsid w:val="00CF4DC6"/>
    <w:rsid w:val="00CF4E69"/>
    <w:rsid w:val="00CF510C"/>
    <w:rsid w:val="00CF51F9"/>
    <w:rsid w:val="00CF5355"/>
    <w:rsid w:val="00CF5420"/>
    <w:rsid w:val="00CF5542"/>
    <w:rsid w:val="00CF5593"/>
    <w:rsid w:val="00CF56E3"/>
    <w:rsid w:val="00CF570E"/>
    <w:rsid w:val="00CF5797"/>
    <w:rsid w:val="00CF590C"/>
    <w:rsid w:val="00CF5B24"/>
    <w:rsid w:val="00CF5B63"/>
    <w:rsid w:val="00CF5BF1"/>
    <w:rsid w:val="00CF5F95"/>
    <w:rsid w:val="00CF623E"/>
    <w:rsid w:val="00CF62B5"/>
    <w:rsid w:val="00CF62E8"/>
    <w:rsid w:val="00CF63FD"/>
    <w:rsid w:val="00CF660D"/>
    <w:rsid w:val="00CF664D"/>
    <w:rsid w:val="00CF6665"/>
    <w:rsid w:val="00CF6841"/>
    <w:rsid w:val="00CF69C0"/>
    <w:rsid w:val="00CF6D51"/>
    <w:rsid w:val="00CF6EDA"/>
    <w:rsid w:val="00CF6F11"/>
    <w:rsid w:val="00CF7084"/>
    <w:rsid w:val="00CF722E"/>
    <w:rsid w:val="00CF7C88"/>
    <w:rsid w:val="00CF7CE1"/>
    <w:rsid w:val="00CF7EE9"/>
    <w:rsid w:val="00CF7FA0"/>
    <w:rsid w:val="00D001F5"/>
    <w:rsid w:val="00D00261"/>
    <w:rsid w:val="00D004D6"/>
    <w:rsid w:val="00D00697"/>
    <w:rsid w:val="00D006EA"/>
    <w:rsid w:val="00D00803"/>
    <w:rsid w:val="00D009AB"/>
    <w:rsid w:val="00D009FC"/>
    <w:rsid w:val="00D00B37"/>
    <w:rsid w:val="00D00BDC"/>
    <w:rsid w:val="00D00CA5"/>
    <w:rsid w:val="00D00CD0"/>
    <w:rsid w:val="00D00CFC"/>
    <w:rsid w:val="00D00E2F"/>
    <w:rsid w:val="00D010B1"/>
    <w:rsid w:val="00D0120D"/>
    <w:rsid w:val="00D01255"/>
    <w:rsid w:val="00D01287"/>
    <w:rsid w:val="00D014FF"/>
    <w:rsid w:val="00D0150A"/>
    <w:rsid w:val="00D01708"/>
    <w:rsid w:val="00D01717"/>
    <w:rsid w:val="00D01788"/>
    <w:rsid w:val="00D01876"/>
    <w:rsid w:val="00D018E0"/>
    <w:rsid w:val="00D01981"/>
    <w:rsid w:val="00D01AE6"/>
    <w:rsid w:val="00D01BFB"/>
    <w:rsid w:val="00D01D3F"/>
    <w:rsid w:val="00D01FCD"/>
    <w:rsid w:val="00D02187"/>
    <w:rsid w:val="00D02368"/>
    <w:rsid w:val="00D023C5"/>
    <w:rsid w:val="00D0251F"/>
    <w:rsid w:val="00D026AA"/>
    <w:rsid w:val="00D02759"/>
    <w:rsid w:val="00D02895"/>
    <w:rsid w:val="00D02A6C"/>
    <w:rsid w:val="00D02AE2"/>
    <w:rsid w:val="00D02CAB"/>
    <w:rsid w:val="00D02CCA"/>
    <w:rsid w:val="00D02E2D"/>
    <w:rsid w:val="00D02EA7"/>
    <w:rsid w:val="00D0305F"/>
    <w:rsid w:val="00D033D9"/>
    <w:rsid w:val="00D0344C"/>
    <w:rsid w:val="00D03491"/>
    <w:rsid w:val="00D0349B"/>
    <w:rsid w:val="00D0377D"/>
    <w:rsid w:val="00D03818"/>
    <w:rsid w:val="00D0397C"/>
    <w:rsid w:val="00D0399A"/>
    <w:rsid w:val="00D039A2"/>
    <w:rsid w:val="00D039B0"/>
    <w:rsid w:val="00D03A19"/>
    <w:rsid w:val="00D03A66"/>
    <w:rsid w:val="00D03C07"/>
    <w:rsid w:val="00D03C14"/>
    <w:rsid w:val="00D03D59"/>
    <w:rsid w:val="00D03FCC"/>
    <w:rsid w:val="00D04062"/>
    <w:rsid w:val="00D04637"/>
    <w:rsid w:val="00D04708"/>
    <w:rsid w:val="00D0498F"/>
    <w:rsid w:val="00D049AF"/>
    <w:rsid w:val="00D04B90"/>
    <w:rsid w:val="00D04BE4"/>
    <w:rsid w:val="00D04C10"/>
    <w:rsid w:val="00D04CC7"/>
    <w:rsid w:val="00D04E1E"/>
    <w:rsid w:val="00D0529D"/>
    <w:rsid w:val="00D0536F"/>
    <w:rsid w:val="00D0541D"/>
    <w:rsid w:val="00D0569A"/>
    <w:rsid w:val="00D056A0"/>
    <w:rsid w:val="00D0572A"/>
    <w:rsid w:val="00D05919"/>
    <w:rsid w:val="00D05A69"/>
    <w:rsid w:val="00D05AE9"/>
    <w:rsid w:val="00D05B63"/>
    <w:rsid w:val="00D05BA2"/>
    <w:rsid w:val="00D05BBE"/>
    <w:rsid w:val="00D05D76"/>
    <w:rsid w:val="00D05E31"/>
    <w:rsid w:val="00D06047"/>
    <w:rsid w:val="00D060AC"/>
    <w:rsid w:val="00D0631C"/>
    <w:rsid w:val="00D06529"/>
    <w:rsid w:val="00D065C4"/>
    <w:rsid w:val="00D06788"/>
    <w:rsid w:val="00D06B13"/>
    <w:rsid w:val="00D06CF9"/>
    <w:rsid w:val="00D06DD6"/>
    <w:rsid w:val="00D070E8"/>
    <w:rsid w:val="00D07294"/>
    <w:rsid w:val="00D074B8"/>
    <w:rsid w:val="00D07601"/>
    <w:rsid w:val="00D07692"/>
    <w:rsid w:val="00D07730"/>
    <w:rsid w:val="00D07935"/>
    <w:rsid w:val="00D07B37"/>
    <w:rsid w:val="00D07B76"/>
    <w:rsid w:val="00D07ECC"/>
    <w:rsid w:val="00D101EB"/>
    <w:rsid w:val="00D10336"/>
    <w:rsid w:val="00D104BD"/>
    <w:rsid w:val="00D10609"/>
    <w:rsid w:val="00D1083E"/>
    <w:rsid w:val="00D108E8"/>
    <w:rsid w:val="00D10A9D"/>
    <w:rsid w:val="00D10AF6"/>
    <w:rsid w:val="00D10C33"/>
    <w:rsid w:val="00D10DF0"/>
    <w:rsid w:val="00D10F7B"/>
    <w:rsid w:val="00D10F8A"/>
    <w:rsid w:val="00D10FC8"/>
    <w:rsid w:val="00D11126"/>
    <w:rsid w:val="00D111C5"/>
    <w:rsid w:val="00D111E2"/>
    <w:rsid w:val="00D112C2"/>
    <w:rsid w:val="00D11657"/>
    <w:rsid w:val="00D11756"/>
    <w:rsid w:val="00D118F9"/>
    <w:rsid w:val="00D1192C"/>
    <w:rsid w:val="00D1195C"/>
    <w:rsid w:val="00D11AC5"/>
    <w:rsid w:val="00D11BAB"/>
    <w:rsid w:val="00D11BD4"/>
    <w:rsid w:val="00D11BEC"/>
    <w:rsid w:val="00D11FB8"/>
    <w:rsid w:val="00D124ED"/>
    <w:rsid w:val="00D124F8"/>
    <w:rsid w:val="00D126AE"/>
    <w:rsid w:val="00D128F7"/>
    <w:rsid w:val="00D12F72"/>
    <w:rsid w:val="00D13052"/>
    <w:rsid w:val="00D13358"/>
    <w:rsid w:val="00D134E2"/>
    <w:rsid w:val="00D13661"/>
    <w:rsid w:val="00D13761"/>
    <w:rsid w:val="00D13779"/>
    <w:rsid w:val="00D13887"/>
    <w:rsid w:val="00D139F4"/>
    <w:rsid w:val="00D13AE0"/>
    <w:rsid w:val="00D13DE9"/>
    <w:rsid w:val="00D13ECD"/>
    <w:rsid w:val="00D1418F"/>
    <w:rsid w:val="00D14194"/>
    <w:rsid w:val="00D1444C"/>
    <w:rsid w:val="00D145DC"/>
    <w:rsid w:val="00D14949"/>
    <w:rsid w:val="00D14954"/>
    <w:rsid w:val="00D14ABA"/>
    <w:rsid w:val="00D14DC1"/>
    <w:rsid w:val="00D14F85"/>
    <w:rsid w:val="00D15188"/>
    <w:rsid w:val="00D152FC"/>
    <w:rsid w:val="00D1531B"/>
    <w:rsid w:val="00D153FA"/>
    <w:rsid w:val="00D1591B"/>
    <w:rsid w:val="00D15972"/>
    <w:rsid w:val="00D15A27"/>
    <w:rsid w:val="00D15B61"/>
    <w:rsid w:val="00D15F19"/>
    <w:rsid w:val="00D15F3B"/>
    <w:rsid w:val="00D16245"/>
    <w:rsid w:val="00D162E9"/>
    <w:rsid w:val="00D1644B"/>
    <w:rsid w:val="00D165A1"/>
    <w:rsid w:val="00D1668B"/>
    <w:rsid w:val="00D16734"/>
    <w:rsid w:val="00D16AF7"/>
    <w:rsid w:val="00D16C6E"/>
    <w:rsid w:val="00D16F44"/>
    <w:rsid w:val="00D1715A"/>
    <w:rsid w:val="00D173B2"/>
    <w:rsid w:val="00D1762A"/>
    <w:rsid w:val="00D1766A"/>
    <w:rsid w:val="00D17A9D"/>
    <w:rsid w:val="00D17B86"/>
    <w:rsid w:val="00D17B98"/>
    <w:rsid w:val="00D2003E"/>
    <w:rsid w:val="00D200C7"/>
    <w:rsid w:val="00D200DA"/>
    <w:rsid w:val="00D20169"/>
    <w:rsid w:val="00D20381"/>
    <w:rsid w:val="00D203B5"/>
    <w:rsid w:val="00D208F0"/>
    <w:rsid w:val="00D20C89"/>
    <w:rsid w:val="00D20CB0"/>
    <w:rsid w:val="00D21008"/>
    <w:rsid w:val="00D2124B"/>
    <w:rsid w:val="00D212BE"/>
    <w:rsid w:val="00D21388"/>
    <w:rsid w:val="00D213F6"/>
    <w:rsid w:val="00D2170B"/>
    <w:rsid w:val="00D21762"/>
    <w:rsid w:val="00D21870"/>
    <w:rsid w:val="00D21B13"/>
    <w:rsid w:val="00D21BAB"/>
    <w:rsid w:val="00D21C91"/>
    <w:rsid w:val="00D21C95"/>
    <w:rsid w:val="00D21CD8"/>
    <w:rsid w:val="00D21D40"/>
    <w:rsid w:val="00D21D77"/>
    <w:rsid w:val="00D21E0C"/>
    <w:rsid w:val="00D22103"/>
    <w:rsid w:val="00D222A2"/>
    <w:rsid w:val="00D2230C"/>
    <w:rsid w:val="00D223A0"/>
    <w:rsid w:val="00D224AB"/>
    <w:rsid w:val="00D2264C"/>
    <w:rsid w:val="00D22A98"/>
    <w:rsid w:val="00D22ABB"/>
    <w:rsid w:val="00D22B76"/>
    <w:rsid w:val="00D22BE6"/>
    <w:rsid w:val="00D22E03"/>
    <w:rsid w:val="00D2303D"/>
    <w:rsid w:val="00D231BB"/>
    <w:rsid w:val="00D231DA"/>
    <w:rsid w:val="00D2348F"/>
    <w:rsid w:val="00D23516"/>
    <w:rsid w:val="00D23882"/>
    <w:rsid w:val="00D238D7"/>
    <w:rsid w:val="00D238F3"/>
    <w:rsid w:val="00D2396D"/>
    <w:rsid w:val="00D23A85"/>
    <w:rsid w:val="00D23B15"/>
    <w:rsid w:val="00D23F6A"/>
    <w:rsid w:val="00D2402E"/>
    <w:rsid w:val="00D24121"/>
    <w:rsid w:val="00D242F9"/>
    <w:rsid w:val="00D245AF"/>
    <w:rsid w:val="00D245B9"/>
    <w:rsid w:val="00D2473C"/>
    <w:rsid w:val="00D24913"/>
    <w:rsid w:val="00D249C3"/>
    <w:rsid w:val="00D24AFA"/>
    <w:rsid w:val="00D24AFB"/>
    <w:rsid w:val="00D24AFD"/>
    <w:rsid w:val="00D24D32"/>
    <w:rsid w:val="00D25172"/>
    <w:rsid w:val="00D252E6"/>
    <w:rsid w:val="00D2537E"/>
    <w:rsid w:val="00D25383"/>
    <w:rsid w:val="00D25426"/>
    <w:rsid w:val="00D25C8F"/>
    <w:rsid w:val="00D25E6C"/>
    <w:rsid w:val="00D2602E"/>
    <w:rsid w:val="00D2629C"/>
    <w:rsid w:val="00D262AA"/>
    <w:rsid w:val="00D262AC"/>
    <w:rsid w:val="00D26372"/>
    <w:rsid w:val="00D2680B"/>
    <w:rsid w:val="00D2683B"/>
    <w:rsid w:val="00D26884"/>
    <w:rsid w:val="00D26934"/>
    <w:rsid w:val="00D26B14"/>
    <w:rsid w:val="00D26B71"/>
    <w:rsid w:val="00D26E01"/>
    <w:rsid w:val="00D26E29"/>
    <w:rsid w:val="00D26EC9"/>
    <w:rsid w:val="00D26ECA"/>
    <w:rsid w:val="00D26FD3"/>
    <w:rsid w:val="00D272BE"/>
    <w:rsid w:val="00D272E6"/>
    <w:rsid w:val="00D27596"/>
    <w:rsid w:val="00D27600"/>
    <w:rsid w:val="00D2765A"/>
    <w:rsid w:val="00D27695"/>
    <w:rsid w:val="00D27941"/>
    <w:rsid w:val="00D279D8"/>
    <w:rsid w:val="00D27AA3"/>
    <w:rsid w:val="00D27BA1"/>
    <w:rsid w:val="00D27BAA"/>
    <w:rsid w:val="00D27D8F"/>
    <w:rsid w:val="00D27E32"/>
    <w:rsid w:val="00D27E8B"/>
    <w:rsid w:val="00D27FD6"/>
    <w:rsid w:val="00D3015E"/>
    <w:rsid w:val="00D302BF"/>
    <w:rsid w:val="00D30441"/>
    <w:rsid w:val="00D30568"/>
    <w:rsid w:val="00D309A3"/>
    <w:rsid w:val="00D30DA8"/>
    <w:rsid w:val="00D30EA8"/>
    <w:rsid w:val="00D30FC4"/>
    <w:rsid w:val="00D311AA"/>
    <w:rsid w:val="00D3130F"/>
    <w:rsid w:val="00D31487"/>
    <w:rsid w:val="00D317BE"/>
    <w:rsid w:val="00D31A6B"/>
    <w:rsid w:val="00D31AE4"/>
    <w:rsid w:val="00D31AE9"/>
    <w:rsid w:val="00D31B39"/>
    <w:rsid w:val="00D31D5A"/>
    <w:rsid w:val="00D31F50"/>
    <w:rsid w:val="00D31F5F"/>
    <w:rsid w:val="00D3226A"/>
    <w:rsid w:val="00D32418"/>
    <w:rsid w:val="00D326B8"/>
    <w:rsid w:val="00D32861"/>
    <w:rsid w:val="00D328D6"/>
    <w:rsid w:val="00D32B5E"/>
    <w:rsid w:val="00D32B98"/>
    <w:rsid w:val="00D32F57"/>
    <w:rsid w:val="00D32FFE"/>
    <w:rsid w:val="00D3304D"/>
    <w:rsid w:val="00D33461"/>
    <w:rsid w:val="00D334EE"/>
    <w:rsid w:val="00D334F1"/>
    <w:rsid w:val="00D3353B"/>
    <w:rsid w:val="00D3357C"/>
    <w:rsid w:val="00D33588"/>
    <w:rsid w:val="00D33612"/>
    <w:rsid w:val="00D33B95"/>
    <w:rsid w:val="00D33BBC"/>
    <w:rsid w:val="00D33CC8"/>
    <w:rsid w:val="00D33EBF"/>
    <w:rsid w:val="00D33FED"/>
    <w:rsid w:val="00D34190"/>
    <w:rsid w:val="00D341CA"/>
    <w:rsid w:val="00D341D5"/>
    <w:rsid w:val="00D34265"/>
    <w:rsid w:val="00D34276"/>
    <w:rsid w:val="00D342B5"/>
    <w:rsid w:val="00D3431E"/>
    <w:rsid w:val="00D34A66"/>
    <w:rsid w:val="00D34B91"/>
    <w:rsid w:val="00D34C87"/>
    <w:rsid w:val="00D34FD6"/>
    <w:rsid w:val="00D352A3"/>
    <w:rsid w:val="00D3535B"/>
    <w:rsid w:val="00D3550B"/>
    <w:rsid w:val="00D35556"/>
    <w:rsid w:val="00D355F0"/>
    <w:rsid w:val="00D356D3"/>
    <w:rsid w:val="00D35757"/>
    <w:rsid w:val="00D357F3"/>
    <w:rsid w:val="00D35A67"/>
    <w:rsid w:val="00D3629D"/>
    <w:rsid w:val="00D36368"/>
    <w:rsid w:val="00D366DB"/>
    <w:rsid w:val="00D369BB"/>
    <w:rsid w:val="00D36AC9"/>
    <w:rsid w:val="00D36B32"/>
    <w:rsid w:val="00D36BC2"/>
    <w:rsid w:val="00D36CCB"/>
    <w:rsid w:val="00D36D55"/>
    <w:rsid w:val="00D36D59"/>
    <w:rsid w:val="00D3715B"/>
    <w:rsid w:val="00D37273"/>
    <w:rsid w:val="00D37322"/>
    <w:rsid w:val="00D375E9"/>
    <w:rsid w:val="00D37965"/>
    <w:rsid w:val="00D37D9F"/>
    <w:rsid w:val="00D37E88"/>
    <w:rsid w:val="00D37EAF"/>
    <w:rsid w:val="00D37F00"/>
    <w:rsid w:val="00D40000"/>
    <w:rsid w:val="00D40020"/>
    <w:rsid w:val="00D4013D"/>
    <w:rsid w:val="00D401E8"/>
    <w:rsid w:val="00D4022E"/>
    <w:rsid w:val="00D402BF"/>
    <w:rsid w:val="00D40446"/>
    <w:rsid w:val="00D40497"/>
    <w:rsid w:val="00D40692"/>
    <w:rsid w:val="00D407F8"/>
    <w:rsid w:val="00D40813"/>
    <w:rsid w:val="00D409FE"/>
    <w:rsid w:val="00D40AA7"/>
    <w:rsid w:val="00D40B77"/>
    <w:rsid w:val="00D40CBE"/>
    <w:rsid w:val="00D40E05"/>
    <w:rsid w:val="00D40ED4"/>
    <w:rsid w:val="00D40F27"/>
    <w:rsid w:val="00D40F9F"/>
    <w:rsid w:val="00D41066"/>
    <w:rsid w:val="00D410DF"/>
    <w:rsid w:val="00D4134F"/>
    <w:rsid w:val="00D41948"/>
    <w:rsid w:val="00D41CB7"/>
    <w:rsid w:val="00D41F73"/>
    <w:rsid w:val="00D42314"/>
    <w:rsid w:val="00D42373"/>
    <w:rsid w:val="00D425BC"/>
    <w:rsid w:val="00D42600"/>
    <w:rsid w:val="00D4271B"/>
    <w:rsid w:val="00D427AB"/>
    <w:rsid w:val="00D4286A"/>
    <w:rsid w:val="00D42954"/>
    <w:rsid w:val="00D42AA7"/>
    <w:rsid w:val="00D42DDB"/>
    <w:rsid w:val="00D42E12"/>
    <w:rsid w:val="00D43131"/>
    <w:rsid w:val="00D432DC"/>
    <w:rsid w:val="00D433EA"/>
    <w:rsid w:val="00D43771"/>
    <w:rsid w:val="00D4377A"/>
    <w:rsid w:val="00D43884"/>
    <w:rsid w:val="00D43887"/>
    <w:rsid w:val="00D43A4E"/>
    <w:rsid w:val="00D43B52"/>
    <w:rsid w:val="00D43C1A"/>
    <w:rsid w:val="00D43C2A"/>
    <w:rsid w:val="00D43DCD"/>
    <w:rsid w:val="00D43F16"/>
    <w:rsid w:val="00D4418E"/>
    <w:rsid w:val="00D442C1"/>
    <w:rsid w:val="00D44517"/>
    <w:rsid w:val="00D446B7"/>
    <w:rsid w:val="00D449D3"/>
    <w:rsid w:val="00D4510C"/>
    <w:rsid w:val="00D45184"/>
    <w:rsid w:val="00D45282"/>
    <w:rsid w:val="00D452E0"/>
    <w:rsid w:val="00D453A7"/>
    <w:rsid w:val="00D455C3"/>
    <w:rsid w:val="00D45743"/>
    <w:rsid w:val="00D4578C"/>
    <w:rsid w:val="00D4580B"/>
    <w:rsid w:val="00D45898"/>
    <w:rsid w:val="00D45A8C"/>
    <w:rsid w:val="00D45C99"/>
    <w:rsid w:val="00D45CC2"/>
    <w:rsid w:val="00D4603C"/>
    <w:rsid w:val="00D4626A"/>
    <w:rsid w:val="00D4652D"/>
    <w:rsid w:val="00D4654B"/>
    <w:rsid w:val="00D466C2"/>
    <w:rsid w:val="00D466DC"/>
    <w:rsid w:val="00D46708"/>
    <w:rsid w:val="00D467C6"/>
    <w:rsid w:val="00D46DB2"/>
    <w:rsid w:val="00D46E73"/>
    <w:rsid w:val="00D47111"/>
    <w:rsid w:val="00D471F3"/>
    <w:rsid w:val="00D47260"/>
    <w:rsid w:val="00D473EA"/>
    <w:rsid w:val="00D4767B"/>
    <w:rsid w:val="00D47987"/>
    <w:rsid w:val="00D47AAD"/>
    <w:rsid w:val="00D47AD7"/>
    <w:rsid w:val="00D47CA9"/>
    <w:rsid w:val="00D47D50"/>
    <w:rsid w:val="00D47DDB"/>
    <w:rsid w:val="00D47DE3"/>
    <w:rsid w:val="00D47ECA"/>
    <w:rsid w:val="00D47F72"/>
    <w:rsid w:val="00D500AF"/>
    <w:rsid w:val="00D5018A"/>
    <w:rsid w:val="00D5018D"/>
    <w:rsid w:val="00D5020A"/>
    <w:rsid w:val="00D50399"/>
    <w:rsid w:val="00D503CE"/>
    <w:rsid w:val="00D50956"/>
    <w:rsid w:val="00D509B3"/>
    <w:rsid w:val="00D50A25"/>
    <w:rsid w:val="00D50C2E"/>
    <w:rsid w:val="00D50CA3"/>
    <w:rsid w:val="00D50CE8"/>
    <w:rsid w:val="00D50D01"/>
    <w:rsid w:val="00D51021"/>
    <w:rsid w:val="00D510E3"/>
    <w:rsid w:val="00D51162"/>
    <w:rsid w:val="00D5139D"/>
    <w:rsid w:val="00D51719"/>
    <w:rsid w:val="00D51983"/>
    <w:rsid w:val="00D51B7F"/>
    <w:rsid w:val="00D52057"/>
    <w:rsid w:val="00D52095"/>
    <w:rsid w:val="00D5266E"/>
    <w:rsid w:val="00D526D7"/>
    <w:rsid w:val="00D5271D"/>
    <w:rsid w:val="00D52B4A"/>
    <w:rsid w:val="00D52C27"/>
    <w:rsid w:val="00D52E32"/>
    <w:rsid w:val="00D53157"/>
    <w:rsid w:val="00D53270"/>
    <w:rsid w:val="00D535A6"/>
    <w:rsid w:val="00D5360F"/>
    <w:rsid w:val="00D5371D"/>
    <w:rsid w:val="00D53895"/>
    <w:rsid w:val="00D539D8"/>
    <w:rsid w:val="00D539E0"/>
    <w:rsid w:val="00D539F9"/>
    <w:rsid w:val="00D53B3A"/>
    <w:rsid w:val="00D53B44"/>
    <w:rsid w:val="00D53D1F"/>
    <w:rsid w:val="00D53DF4"/>
    <w:rsid w:val="00D53EB8"/>
    <w:rsid w:val="00D53F26"/>
    <w:rsid w:val="00D53FBF"/>
    <w:rsid w:val="00D54024"/>
    <w:rsid w:val="00D54497"/>
    <w:rsid w:val="00D54805"/>
    <w:rsid w:val="00D54BB2"/>
    <w:rsid w:val="00D550DF"/>
    <w:rsid w:val="00D554E7"/>
    <w:rsid w:val="00D555AE"/>
    <w:rsid w:val="00D5566C"/>
    <w:rsid w:val="00D556A2"/>
    <w:rsid w:val="00D557E4"/>
    <w:rsid w:val="00D55991"/>
    <w:rsid w:val="00D55A5D"/>
    <w:rsid w:val="00D55A8C"/>
    <w:rsid w:val="00D55ABE"/>
    <w:rsid w:val="00D55B0D"/>
    <w:rsid w:val="00D55C2B"/>
    <w:rsid w:val="00D55EBF"/>
    <w:rsid w:val="00D56012"/>
    <w:rsid w:val="00D560A8"/>
    <w:rsid w:val="00D56193"/>
    <w:rsid w:val="00D56320"/>
    <w:rsid w:val="00D56473"/>
    <w:rsid w:val="00D564E4"/>
    <w:rsid w:val="00D564F9"/>
    <w:rsid w:val="00D56701"/>
    <w:rsid w:val="00D567EA"/>
    <w:rsid w:val="00D56B54"/>
    <w:rsid w:val="00D56B95"/>
    <w:rsid w:val="00D56CE7"/>
    <w:rsid w:val="00D571EB"/>
    <w:rsid w:val="00D572B0"/>
    <w:rsid w:val="00D5756F"/>
    <w:rsid w:val="00D57687"/>
    <w:rsid w:val="00D57A30"/>
    <w:rsid w:val="00D57AFD"/>
    <w:rsid w:val="00D57C71"/>
    <w:rsid w:val="00D57D41"/>
    <w:rsid w:val="00D6012D"/>
    <w:rsid w:val="00D60277"/>
    <w:rsid w:val="00D60329"/>
    <w:rsid w:val="00D60343"/>
    <w:rsid w:val="00D6038E"/>
    <w:rsid w:val="00D60557"/>
    <w:rsid w:val="00D608E6"/>
    <w:rsid w:val="00D608FB"/>
    <w:rsid w:val="00D60940"/>
    <w:rsid w:val="00D60965"/>
    <w:rsid w:val="00D60A19"/>
    <w:rsid w:val="00D60B3B"/>
    <w:rsid w:val="00D60C8B"/>
    <w:rsid w:val="00D61019"/>
    <w:rsid w:val="00D6101E"/>
    <w:rsid w:val="00D612A8"/>
    <w:rsid w:val="00D61373"/>
    <w:rsid w:val="00D6158B"/>
    <w:rsid w:val="00D615FF"/>
    <w:rsid w:val="00D61693"/>
    <w:rsid w:val="00D618F7"/>
    <w:rsid w:val="00D619C5"/>
    <w:rsid w:val="00D61A7F"/>
    <w:rsid w:val="00D61CC7"/>
    <w:rsid w:val="00D62036"/>
    <w:rsid w:val="00D620BD"/>
    <w:rsid w:val="00D620CA"/>
    <w:rsid w:val="00D622C7"/>
    <w:rsid w:val="00D6233C"/>
    <w:rsid w:val="00D628B2"/>
    <w:rsid w:val="00D628CE"/>
    <w:rsid w:val="00D629F9"/>
    <w:rsid w:val="00D62BAD"/>
    <w:rsid w:val="00D62E73"/>
    <w:rsid w:val="00D62F4B"/>
    <w:rsid w:val="00D63013"/>
    <w:rsid w:val="00D63088"/>
    <w:rsid w:val="00D630EC"/>
    <w:rsid w:val="00D63852"/>
    <w:rsid w:val="00D638FC"/>
    <w:rsid w:val="00D63B4B"/>
    <w:rsid w:val="00D63D8B"/>
    <w:rsid w:val="00D63E4C"/>
    <w:rsid w:val="00D63FB1"/>
    <w:rsid w:val="00D640FF"/>
    <w:rsid w:val="00D64150"/>
    <w:rsid w:val="00D64185"/>
    <w:rsid w:val="00D64468"/>
    <w:rsid w:val="00D647A8"/>
    <w:rsid w:val="00D64834"/>
    <w:rsid w:val="00D64BB9"/>
    <w:rsid w:val="00D64C9A"/>
    <w:rsid w:val="00D64CB0"/>
    <w:rsid w:val="00D64E7C"/>
    <w:rsid w:val="00D65323"/>
    <w:rsid w:val="00D65409"/>
    <w:rsid w:val="00D657A2"/>
    <w:rsid w:val="00D658D6"/>
    <w:rsid w:val="00D658E0"/>
    <w:rsid w:val="00D65B6B"/>
    <w:rsid w:val="00D65C14"/>
    <w:rsid w:val="00D65D7D"/>
    <w:rsid w:val="00D65DD3"/>
    <w:rsid w:val="00D660FF"/>
    <w:rsid w:val="00D66236"/>
    <w:rsid w:val="00D66277"/>
    <w:rsid w:val="00D6636E"/>
    <w:rsid w:val="00D6643D"/>
    <w:rsid w:val="00D66514"/>
    <w:rsid w:val="00D6668A"/>
    <w:rsid w:val="00D66991"/>
    <w:rsid w:val="00D66D9E"/>
    <w:rsid w:val="00D66E39"/>
    <w:rsid w:val="00D66E40"/>
    <w:rsid w:val="00D671B3"/>
    <w:rsid w:val="00D67240"/>
    <w:rsid w:val="00D67489"/>
    <w:rsid w:val="00D674F7"/>
    <w:rsid w:val="00D67661"/>
    <w:rsid w:val="00D6770F"/>
    <w:rsid w:val="00D67783"/>
    <w:rsid w:val="00D6789A"/>
    <w:rsid w:val="00D678DE"/>
    <w:rsid w:val="00D6797D"/>
    <w:rsid w:val="00D67E17"/>
    <w:rsid w:val="00D67E2D"/>
    <w:rsid w:val="00D67E86"/>
    <w:rsid w:val="00D700C5"/>
    <w:rsid w:val="00D7023C"/>
    <w:rsid w:val="00D704B1"/>
    <w:rsid w:val="00D7062F"/>
    <w:rsid w:val="00D707B0"/>
    <w:rsid w:val="00D709F3"/>
    <w:rsid w:val="00D70AF7"/>
    <w:rsid w:val="00D70B91"/>
    <w:rsid w:val="00D70BA0"/>
    <w:rsid w:val="00D70D68"/>
    <w:rsid w:val="00D70EA2"/>
    <w:rsid w:val="00D71004"/>
    <w:rsid w:val="00D7127A"/>
    <w:rsid w:val="00D714F7"/>
    <w:rsid w:val="00D71B94"/>
    <w:rsid w:val="00D71BCC"/>
    <w:rsid w:val="00D72431"/>
    <w:rsid w:val="00D724EF"/>
    <w:rsid w:val="00D72B51"/>
    <w:rsid w:val="00D72CC4"/>
    <w:rsid w:val="00D72F8A"/>
    <w:rsid w:val="00D72FE3"/>
    <w:rsid w:val="00D7303E"/>
    <w:rsid w:val="00D730E0"/>
    <w:rsid w:val="00D731BC"/>
    <w:rsid w:val="00D7326A"/>
    <w:rsid w:val="00D733E2"/>
    <w:rsid w:val="00D73465"/>
    <w:rsid w:val="00D73729"/>
    <w:rsid w:val="00D739BD"/>
    <w:rsid w:val="00D73A00"/>
    <w:rsid w:val="00D73CC5"/>
    <w:rsid w:val="00D73CE0"/>
    <w:rsid w:val="00D73EB2"/>
    <w:rsid w:val="00D73FCD"/>
    <w:rsid w:val="00D74327"/>
    <w:rsid w:val="00D7459D"/>
    <w:rsid w:val="00D74723"/>
    <w:rsid w:val="00D74894"/>
    <w:rsid w:val="00D748D7"/>
    <w:rsid w:val="00D7491A"/>
    <w:rsid w:val="00D74C89"/>
    <w:rsid w:val="00D74D3E"/>
    <w:rsid w:val="00D74E03"/>
    <w:rsid w:val="00D74F09"/>
    <w:rsid w:val="00D753CE"/>
    <w:rsid w:val="00D754AD"/>
    <w:rsid w:val="00D754EE"/>
    <w:rsid w:val="00D754FE"/>
    <w:rsid w:val="00D7564F"/>
    <w:rsid w:val="00D756AB"/>
    <w:rsid w:val="00D75920"/>
    <w:rsid w:val="00D75CD4"/>
    <w:rsid w:val="00D75CF9"/>
    <w:rsid w:val="00D75DD7"/>
    <w:rsid w:val="00D75F87"/>
    <w:rsid w:val="00D76136"/>
    <w:rsid w:val="00D763F4"/>
    <w:rsid w:val="00D7661D"/>
    <w:rsid w:val="00D76768"/>
    <w:rsid w:val="00D768B6"/>
    <w:rsid w:val="00D7699A"/>
    <w:rsid w:val="00D76D88"/>
    <w:rsid w:val="00D76DF6"/>
    <w:rsid w:val="00D7703A"/>
    <w:rsid w:val="00D7703D"/>
    <w:rsid w:val="00D7724C"/>
    <w:rsid w:val="00D772FD"/>
    <w:rsid w:val="00D77329"/>
    <w:rsid w:val="00D77407"/>
    <w:rsid w:val="00D77874"/>
    <w:rsid w:val="00D77908"/>
    <w:rsid w:val="00D77917"/>
    <w:rsid w:val="00D77CDE"/>
    <w:rsid w:val="00D800E6"/>
    <w:rsid w:val="00D80267"/>
    <w:rsid w:val="00D807BA"/>
    <w:rsid w:val="00D80904"/>
    <w:rsid w:val="00D80B37"/>
    <w:rsid w:val="00D80C8C"/>
    <w:rsid w:val="00D80D2A"/>
    <w:rsid w:val="00D80DF7"/>
    <w:rsid w:val="00D80E8E"/>
    <w:rsid w:val="00D80ECB"/>
    <w:rsid w:val="00D80FD4"/>
    <w:rsid w:val="00D81004"/>
    <w:rsid w:val="00D8117A"/>
    <w:rsid w:val="00D812EE"/>
    <w:rsid w:val="00D8158C"/>
    <w:rsid w:val="00D81597"/>
    <w:rsid w:val="00D816F0"/>
    <w:rsid w:val="00D81B06"/>
    <w:rsid w:val="00D82744"/>
    <w:rsid w:val="00D8294E"/>
    <w:rsid w:val="00D829FA"/>
    <w:rsid w:val="00D82A17"/>
    <w:rsid w:val="00D82E53"/>
    <w:rsid w:val="00D83090"/>
    <w:rsid w:val="00D836DA"/>
    <w:rsid w:val="00D838B5"/>
    <w:rsid w:val="00D839A0"/>
    <w:rsid w:val="00D83CF1"/>
    <w:rsid w:val="00D842D0"/>
    <w:rsid w:val="00D84422"/>
    <w:rsid w:val="00D84455"/>
    <w:rsid w:val="00D84648"/>
    <w:rsid w:val="00D8494F"/>
    <w:rsid w:val="00D849DF"/>
    <w:rsid w:val="00D84ADA"/>
    <w:rsid w:val="00D84B2B"/>
    <w:rsid w:val="00D84EAB"/>
    <w:rsid w:val="00D84F20"/>
    <w:rsid w:val="00D84F9A"/>
    <w:rsid w:val="00D852D9"/>
    <w:rsid w:val="00D85436"/>
    <w:rsid w:val="00D854B0"/>
    <w:rsid w:val="00D855FD"/>
    <w:rsid w:val="00D8568E"/>
    <w:rsid w:val="00D8570D"/>
    <w:rsid w:val="00D85B81"/>
    <w:rsid w:val="00D85B99"/>
    <w:rsid w:val="00D85BB6"/>
    <w:rsid w:val="00D85C6F"/>
    <w:rsid w:val="00D85EB2"/>
    <w:rsid w:val="00D85F05"/>
    <w:rsid w:val="00D85F61"/>
    <w:rsid w:val="00D86035"/>
    <w:rsid w:val="00D861FA"/>
    <w:rsid w:val="00D86379"/>
    <w:rsid w:val="00D86450"/>
    <w:rsid w:val="00D86503"/>
    <w:rsid w:val="00D86692"/>
    <w:rsid w:val="00D868D2"/>
    <w:rsid w:val="00D86A1D"/>
    <w:rsid w:val="00D86AAD"/>
    <w:rsid w:val="00D86C91"/>
    <w:rsid w:val="00D86CB0"/>
    <w:rsid w:val="00D86EF0"/>
    <w:rsid w:val="00D87207"/>
    <w:rsid w:val="00D872D8"/>
    <w:rsid w:val="00D87407"/>
    <w:rsid w:val="00D876BA"/>
    <w:rsid w:val="00D87815"/>
    <w:rsid w:val="00D87967"/>
    <w:rsid w:val="00D8797B"/>
    <w:rsid w:val="00D879F5"/>
    <w:rsid w:val="00D87B2E"/>
    <w:rsid w:val="00D87DCB"/>
    <w:rsid w:val="00D87F00"/>
    <w:rsid w:val="00D87F51"/>
    <w:rsid w:val="00D87FD1"/>
    <w:rsid w:val="00D905ED"/>
    <w:rsid w:val="00D9071D"/>
    <w:rsid w:val="00D9078C"/>
    <w:rsid w:val="00D90942"/>
    <w:rsid w:val="00D90A62"/>
    <w:rsid w:val="00D90F56"/>
    <w:rsid w:val="00D91004"/>
    <w:rsid w:val="00D911B3"/>
    <w:rsid w:val="00D91225"/>
    <w:rsid w:val="00D9162B"/>
    <w:rsid w:val="00D91782"/>
    <w:rsid w:val="00D9178D"/>
    <w:rsid w:val="00D918C7"/>
    <w:rsid w:val="00D918DC"/>
    <w:rsid w:val="00D919CA"/>
    <w:rsid w:val="00D91B35"/>
    <w:rsid w:val="00D91C35"/>
    <w:rsid w:val="00D922D9"/>
    <w:rsid w:val="00D92468"/>
    <w:rsid w:val="00D924DB"/>
    <w:rsid w:val="00D92787"/>
    <w:rsid w:val="00D92805"/>
    <w:rsid w:val="00D92F27"/>
    <w:rsid w:val="00D930F7"/>
    <w:rsid w:val="00D93511"/>
    <w:rsid w:val="00D93553"/>
    <w:rsid w:val="00D9355B"/>
    <w:rsid w:val="00D93575"/>
    <w:rsid w:val="00D938E3"/>
    <w:rsid w:val="00D93A6C"/>
    <w:rsid w:val="00D93D7B"/>
    <w:rsid w:val="00D94474"/>
    <w:rsid w:val="00D9448A"/>
    <w:rsid w:val="00D9481B"/>
    <w:rsid w:val="00D94828"/>
    <w:rsid w:val="00D94943"/>
    <w:rsid w:val="00D94948"/>
    <w:rsid w:val="00D949D4"/>
    <w:rsid w:val="00D94C64"/>
    <w:rsid w:val="00D94CA1"/>
    <w:rsid w:val="00D94CCC"/>
    <w:rsid w:val="00D94E9C"/>
    <w:rsid w:val="00D94EC9"/>
    <w:rsid w:val="00D95190"/>
    <w:rsid w:val="00D95215"/>
    <w:rsid w:val="00D95235"/>
    <w:rsid w:val="00D95B34"/>
    <w:rsid w:val="00D95C82"/>
    <w:rsid w:val="00D95C87"/>
    <w:rsid w:val="00D95CA8"/>
    <w:rsid w:val="00D95F66"/>
    <w:rsid w:val="00D96550"/>
    <w:rsid w:val="00D965A0"/>
    <w:rsid w:val="00D9660D"/>
    <w:rsid w:val="00D96650"/>
    <w:rsid w:val="00D96850"/>
    <w:rsid w:val="00D96B74"/>
    <w:rsid w:val="00D96C6E"/>
    <w:rsid w:val="00D96C94"/>
    <w:rsid w:val="00D96D5B"/>
    <w:rsid w:val="00D970BF"/>
    <w:rsid w:val="00D97163"/>
    <w:rsid w:val="00D971F1"/>
    <w:rsid w:val="00D973F1"/>
    <w:rsid w:val="00D97442"/>
    <w:rsid w:val="00D976AC"/>
    <w:rsid w:val="00D9774A"/>
    <w:rsid w:val="00D979AC"/>
    <w:rsid w:val="00D97AD6"/>
    <w:rsid w:val="00D97BD6"/>
    <w:rsid w:val="00D97F0F"/>
    <w:rsid w:val="00D97FC0"/>
    <w:rsid w:val="00DA009F"/>
    <w:rsid w:val="00DA0185"/>
    <w:rsid w:val="00DA0204"/>
    <w:rsid w:val="00DA023E"/>
    <w:rsid w:val="00DA025A"/>
    <w:rsid w:val="00DA038C"/>
    <w:rsid w:val="00DA0476"/>
    <w:rsid w:val="00DA0496"/>
    <w:rsid w:val="00DA0557"/>
    <w:rsid w:val="00DA059F"/>
    <w:rsid w:val="00DA06CF"/>
    <w:rsid w:val="00DA089C"/>
    <w:rsid w:val="00DA0945"/>
    <w:rsid w:val="00DA0AF5"/>
    <w:rsid w:val="00DA0B0A"/>
    <w:rsid w:val="00DA0B25"/>
    <w:rsid w:val="00DA0C04"/>
    <w:rsid w:val="00DA0C42"/>
    <w:rsid w:val="00DA0C9F"/>
    <w:rsid w:val="00DA0CAE"/>
    <w:rsid w:val="00DA11F4"/>
    <w:rsid w:val="00DA12D5"/>
    <w:rsid w:val="00DA13AD"/>
    <w:rsid w:val="00DA1887"/>
    <w:rsid w:val="00DA1893"/>
    <w:rsid w:val="00DA1EDF"/>
    <w:rsid w:val="00DA1FCA"/>
    <w:rsid w:val="00DA2336"/>
    <w:rsid w:val="00DA234B"/>
    <w:rsid w:val="00DA240C"/>
    <w:rsid w:val="00DA243B"/>
    <w:rsid w:val="00DA2712"/>
    <w:rsid w:val="00DA276B"/>
    <w:rsid w:val="00DA27BB"/>
    <w:rsid w:val="00DA294B"/>
    <w:rsid w:val="00DA2B35"/>
    <w:rsid w:val="00DA2CD1"/>
    <w:rsid w:val="00DA2E53"/>
    <w:rsid w:val="00DA2E5A"/>
    <w:rsid w:val="00DA2F29"/>
    <w:rsid w:val="00DA367A"/>
    <w:rsid w:val="00DA3B11"/>
    <w:rsid w:val="00DA3D63"/>
    <w:rsid w:val="00DA405B"/>
    <w:rsid w:val="00DA4523"/>
    <w:rsid w:val="00DA4761"/>
    <w:rsid w:val="00DA47C2"/>
    <w:rsid w:val="00DA4A04"/>
    <w:rsid w:val="00DA4BA9"/>
    <w:rsid w:val="00DA4CF3"/>
    <w:rsid w:val="00DA4D2F"/>
    <w:rsid w:val="00DA4DBF"/>
    <w:rsid w:val="00DA51A1"/>
    <w:rsid w:val="00DA5689"/>
    <w:rsid w:val="00DA5B58"/>
    <w:rsid w:val="00DA5E7A"/>
    <w:rsid w:val="00DA5F41"/>
    <w:rsid w:val="00DA6094"/>
    <w:rsid w:val="00DA62F7"/>
    <w:rsid w:val="00DA63FD"/>
    <w:rsid w:val="00DA64CC"/>
    <w:rsid w:val="00DA671D"/>
    <w:rsid w:val="00DA678C"/>
    <w:rsid w:val="00DA6949"/>
    <w:rsid w:val="00DA6AD5"/>
    <w:rsid w:val="00DA6C11"/>
    <w:rsid w:val="00DA6C88"/>
    <w:rsid w:val="00DA6CC1"/>
    <w:rsid w:val="00DA70B3"/>
    <w:rsid w:val="00DA7411"/>
    <w:rsid w:val="00DA74D2"/>
    <w:rsid w:val="00DA7538"/>
    <w:rsid w:val="00DA7847"/>
    <w:rsid w:val="00DA78BE"/>
    <w:rsid w:val="00DA79E6"/>
    <w:rsid w:val="00DA7BBE"/>
    <w:rsid w:val="00DA7C34"/>
    <w:rsid w:val="00DA7D7C"/>
    <w:rsid w:val="00DA7F69"/>
    <w:rsid w:val="00DA7F73"/>
    <w:rsid w:val="00DB002D"/>
    <w:rsid w:val="00DB0221"/>
    <w:rsid w:val="00DB0490"/>
    <w:rsid w:val="00DB04AB"/>
    <w:rsid w:val="00DB061C"/>
    <w:rsid w:val="00DB080E"/>
    <w:rsid w:val="00DB085D"/>
    <w:rsid w:val="00DB0870"/>
    <w:rsid w:val="00DB094E"/>
    <w:rsid w:val="00DB0A19"/>
    <w:rsid w:val="00DB0AEA"/>
    <w:rsid w:val="00DB0B7D"/>
    <w:rsid w:val="00DB0B80"/>
    <w:rsid w:val="00DB0E4F"/>
    <w:rsid w:val="00DB0F60"/>
    <w:rsid w:val="00DB0FDA"/>
    <w:rsid w:val="00DB1345"/>
    <w:rsid w:val="00DB1581"/>
    <w:rsid w:val="00DB15B3"/>
    <w:rsid w:val="00DB1633"/>
    <w:rsid w:val="00DB17B0"/>
    <w:rsid w:val="00DB1B9C"/>
    <w:rsid w:val="00DB1CC8"/>
    <w:rsid w:val="00DB1D43"/>
    <w:rsid w:val="00DB1E81"/>
    <w:rsid w:val="00DB1E8D"/>
    <w:rsid w:val="00DB2087"/>
    <w:rsid w:val="00DB2164"/>
    <w:rsid w:val="00DB2313"/>
    <w:rsid w:val="00DB246C"/>
    <w:rsid w:val="00DB2651"/>
    <w:rsid w:val="00DB275D"/>
    <w:rsid w:val="00DB2905"/>
    <w:rsid w:val="00DB2B11"/>
    <w:rsid w:val="00DB2BA1"/>
    <w:rsid w:val="00DB2BCE"/>
    <w:rsid w:val="00DB2C26"/>
    <w:rsid w:val="00DB2DB3"/>
    <w:rsid w:val="00DB308C"/>
    <w:rsid w:val="00DB3148"/>
    <w:rsid w:val="00DB33FF"/>
    <w:rsid w:val="00DB343C"/>
    <w:rsid w:val="00DB34D4"/>
    <w:rsid w:val="00DB3645"/>
    <w:rsid w:val="00DB388F"/>
    <w:rsid w:val="00DB3A72"/>
    <w:rsid w:val="00DB3CBD"/>
    <w:rsid w:val="00DB3DD9"/>
    <w:rsid w:val="00DB3E3B"/>
    <w:rsid w:val="00DB3EAE"/>
    <w:rsid w:val="00DB41A5"/>
    <w:rsid w:val="00DB42CA"/>
    <w:rsid w:val="00DB4320"/>
    <w:rsid w:val="00DB4391"/>
    <w:rsid w:val="00DB49C3"/>
    <w:rsid w:val="00DB4D33"/>
    <w:rsid w:val="00DB4D85"/>
    <w:rsid w:val="00DB4F9B"/>
    <w:rsid w:val="00DB4FF4"/>
    <w:rsid w:val="00DB527E"/>
    <w:rsid w:val="00DB5357"/>
    <w:rsid w:val="00DB5384"/>
    <w:rsid w:val="00DB53AF"/>
    <w:rsid w:val="00DB53C4"/>
    <w:rsid w:val="00DB542E"/>
    <w:rsid w:val="00DB5457"/>
    <w:rsid w:val="00DB54F5"/>
    <w:rsid w:val="00DB5688"/>
    <w:rsid w:val="00DB59CC"/>
    <w:rsid w:val="00DB5AA0"/>
    <w:rsid w:val="00DB5CDA"/>
    <w:rsid w:val="00DB5D05"/>
    <w:rsid w:val="00DB5F91"/>
    <w:rsid w:val="00DB5FD5"/>
    <w:rsid w:val="00DB60D6"/>
    <w:rsid w:val="00DB61B9"/>
    <w:rsid w:val="00DB625A"/>
    <w:rsid w:val="00DB631D"/>
    <w:rsid w:val="00DB63CE"/>
    <w:rsid w:val="00DB64FE"/>
    <w:rsid w:val="00DB6832"/>
    <w:rsid w:val="00DB6981"/>
    <w:rsid w:val="00DB6A1C"/>
    <w:rsid w:val="00DB6A4D"/>
    <w:rsid w:val="00DB6F88"/>
    <w:rsid w:val="00DB76B0"/>
    <w:rsid w:val="00DB786A"/>
    <w:rsid w:val="00DB7ADD"/>
    <w:rsid w:val="00DB7DA5"/>
    <w:rsid w:val="00DB7DB1"/>
    <w:rsid w:val="00DB7FAC"/>
    <w:rsid w:val="00DC0359"/>
    <w:rsid w:val="00DC03FF"/>
    <w:rsid w:val="00DC06D4"/>
    <w:rsid w:val="00DC080D"/>
    <w:rsid w:val="00DC0953"/>
    <w:rsid w:val="00DC09F3"/>
    <w:rsid w:val="00DC0B09"/>
    <w:rsid w:val="00DC0D70"/>
    <w:rsid w:val="00DC0E29"/>
    <w:rsid w:val="00DC0F36"/>
    <w:rsid w:val="00DC0FA6"/>
    <w:rsid w:val="00DC0FCA"/>
    <w:rsid w:val="00DC116F"/>
    <w:rsid w:val="00DC134E"/>
    <w:rsid w:val="00DC13AE"/>
    <w:rsid w:val="00DC14E2"/>
    <w:rsid w:val="00DC1503"/>
    <w:rsid w:val="00DC1569"/>
    <w:rsid w:val="00DC175D"/>
    <w:rsid w:val="00DC1763"/>
    <w:rsid w:val="00DC19EB"/>
    <w:rsid w:val="00DC1AB1"/>
    <w:rsid w:val="00DC1AF5"/>
    <w:rsid w:val="00DC1DFA"/>
    <w:rsid w:val="00DC1F86"/>
    <w:rsid w:val="00DC203D"/>
    <w:rsid w:val="00DC209D"/>
    <w:rsid w:val="00DC213D"/>
    <w:rsid w:val="00DC2150"/>
    <w:rsid w:val="00DC2188"/>
    <w:rsid w:val="00DC24DC"/>
    <w:rsid w:val="00DC2601"/>
    <w:rsid w:val="00DC27E5"/>
    <w:rsid w:val="00DC282D"/>
    <w:rsid w:val="00DC2A92"/>
    <w:rsid w:val="00DC2D40"/>
    <w:rsid w:val="00DC2FF4"/>
    <w:rsid w:val="00DC3031"/>
    <w:rsid w:val="00DC308D"/>
    <w:rsid w:val="00DC311C"/>
    <w:rsid w:val="00DC3176"/>
    <w:rsid w:val="00DC3323"/>
    <w:rsid w:val="00DC3448"/>
    <w:rsid w:val="00DC355D"/>
    <w:rsid w:val="00DC3710"/>
    <w:rsid w:val="00DC39C0"/>
    <w:rsid w:val="00DC3ABF"/>
    <w:rsid w:val="00DC3BF6"/>
    <w:rsid w:val="00DC3FD5"/>
    <w:rsid w:val="00DC4196"/>
    <w:rsid w:val="00DC427B"/>
    <w:rsid w:val="00DC467D"/>
    <w:rsid w:val="00DC47B0"/>
    <w:rsid w:val="00DC48B5"/>
    <w:rsid w:val="00DC4909"/>
    <w:rsid w:val="00DC4A0D"/>
    <w:rsid w:val="00DC4B98"/>
    <w:rsid w:val="00DC4BEE"/>
    <w:rsid w:val="00DC50B8"/>
    <w:rsid w:val="00DC5284"/>
    <w:rsid w:val="00DC54F7"/>
    <w:rsid w:val="00DC56A0"/>
    <w:rsid w:val="00DC5809"/>
    <w:rsid w:val="00DC58F1"/>
    <w:rsid w:val="00DC5A6C"/>
    <w:rsid w:val="00DC5D21"/>
    <w:rsid w:val="00DC5DA3"/>
    <w:rsid w:val="00DC5E36"/>
    <w:rsid w:val="00DC5E4A"/>
    <w:rsid w:val="00DC6013"/>
    <w:rsid w:val="00DC61F4"/>
    <w:rsid w:val="00DC63C7"/>
    <w:rsid w:val="00DC66A0"/>
    <w:rsid w:val="00DC6701"/>
    <w:rsid w:val="00DC6974"/>
    <w:rsid w:val="00DC6EB0"/>
    <w:rsid w:val="00DC6FCD"/>
    <w:rsid w:val="00DC71CF"/>
    <w:rsid w:val="00DC7203"/>
    <w:rsid w:val="00DC75CB"/>
    <w:rsid w:val="00DC7ADB"/>
    <w:rsid w:val="00DC7BBF"/>
    <w:rsid w:val="00DD0388"/>
    <w:rsid w:val="00DD0620"/>
    <w:rsid w:val="00DD093A"/>
    <w:rsid w:val="00DD09B2"/>
    <w:rsid w:val="00DD0A38"/>
    <w:rsid w:val="00DD0ABB"/>
    <w:rsid w:val="00DD0B28"/>
    <w:rsid w:val="00DD0B8D"/>
    <w:rsid w:val="00DD0C68"/>
    <w:rsid w:val="00DD0F5B"/>
    <w:rsid w:val="00DD1164"/>
    <w:rsid w:val="00DD160B"/>
    <w:rsid w:val="00DD1676"/>
    <w:rsid w:val="00DD16AC"/>
    <w:rsid w:val="00DD1910"/>
    <w:rsid w:val="00DD214D"/>
    <w:rsid w:val="00DD215A"/>
    <w:rsid w:val="00DD2279"/>
    <w:rsid w:val="00DD22AC"/>
    <w:rsid w:val="00DD23C6"/>
    <w:rsid w:val="00DD2427"/>
    <w:rsid w:val="00DD2711"/>
    <w:rsid w:val="00DD281F"/>
    <w:rsid w:val="00DD2950"/>
    <w:rsid w:val="00DD29CC"/>
    <w:rsid w:val="00DD2A54"/>
    <w:rsid w:val="00DD2DD6"/>
    <w:rsid w:val="00DD30C9"/>
    <w:rsid w:val="00DD3152"/>
    <w:rsid w:val="00DD3540"/>
    <w:rsid w:val="00DD36C8"/>
    <w:rsid w:val="00DD37BD"/>
    <w:rsid w:val="00DD38AE"/>
    <w:rsid w:val="00DD39CF"/>
    <w:rsid w:val="00DD39DA"/>
    <w:rsid w:val="00DD3A90"/>
    <w:rsid w:val="00DD3D8D"/>
    <w:rsid w:val="00DD3E53"/>
    <w:rsid w:val="00DD3E65"/>
    <w:rsid w:val="00DD3EB3"/>
    <w:rsid w:val="00DD3F9C"/>
    <w:rsid w:val="00DD4040"/>
    <w:rsid w:val="00DD4376"/>
    <w:rsid w:val="00DD4460"/>
    <w:rsid w:val="00DD46A5"/>
    <w:rsid w:val="00DD4745"/>
    <w:rsid w:val="00DD477C"/>
    <w:rsid w:val="00DD4A8D"/>
    <w:rsid w:val="00DD4B8B"/>
    <w:rsid w:val="00DD4CFE"/>
    <w:rsid w:val="00DD4D1F"/>
    <w:rsid w:val="00DD4DF3"/>
    <w:rsid w:val="00DD5085"/>
    <w:rsid w:val="00DD535A"/>
    <w:rsid w:val="00DD551A"/>
    <w:rsid w:val="00DD553F"/>
    <w:rsid w:val="00DD5588"/>
    <w:rsid w:val="00DD5764"/>
    <w:rsid w:val="00DD57F5"/>
    <w:rsid w:val="00DD580A"/>
    <w:rsid w:val="00DD5867"/>
    <w:rsid w:val="00DD5904"/>
    <w:rsid w:val="00DD5ABE"/>
    <w:rsid w:val="00DD630F"/>
    <w:rsid w:val="00DD648B"/>
    <w:rsid w:val="00DD67F5"/>
    <w:rsid w:val="00DD6A12"/>
    <w:rsid w:val="00DD6ACB"/>
    <w:rsid w:val="00DD6BDE"/>
    <w:rsid w:val="00DD6E37"/>
    <w:rsid w:val="00DD6EF0"/>
    <w:rsid w:val="00DD6F60"/>
    <w:rsid w:val="00DD707B"/>
    <w:rsid w:val="00DD7160"/>
    <w:rsid w:val="00DD7517"/>
    <w:rsid w:val="00DD75B1"/>
    <w:rsid w:val="00DD7A25"/>
    <w:rsid w:val="00DD7BE7"/>
    <w:rsid w:val="00DD7D2E"/>
    <w:rsid w:val="00DD7D94"/>
    <w:rsid w:val="00DD7DCB"/>
    <w:rsid w:val="00DD7EBD"/>
    <w:rsid w:val="00DE0035"/>
    <w:rsid w:val="00DE0197"/>
    <w:rsid w:val="00DE042F"/>
    <w:rsid w:val="00DE054C"/>
    <w:rsid w:val="00DE0655"/>
    <w:rsid w:val="00DE076D"/>
    <w:rsid w:val="00DE0E9D"/>
    <w:rsid w:val="00DE0EC9"/>
    <w:rsid w:val="00DE1264"/>
    <w:rsid w:val="00DE1291"/>
    <w:rsid w:val="00DE1447"/>
    <w:rsid w:val="00DE1605"/>
    <w:rsid w:val="00DE196E"/>
    <w:rsid w:val="00DE19BE"/>
    <w:rsid w:val="00DE1C0F"/>
    <w:rsid w:val="00DE1D71"/>
    <w:rsid w:val="00DE20A1"/>
    <w:rsid w:val="00DE2274"/>
    <w:rsid w:val="00DE22C6"/>
    <w:rsid w:val="00DE235F"/>
    <w:rsid w:val="00DE25F7"/>
    <w:rsid w:val="00DE2650"/>
    <w:rsid w:val="00DE2710"/>
    <w:rsid w:val="00DE2730"/>
    <w:rsid w:val="00DE28C0"/>
    <w:rsid w:val="00DE2AE1"/>
    <w:rsid w:val="00DE2D42"/>
    <w:rsid w:val="00DE3089"/>
    <w:rsid w:val="00DE3143"/>
    <w:rsid w:val="00DE3414"/>
    <w:rsid w:val="00DE350C"/>
    <w:rsid w:val="00DE36BA"/>
    <w:rsid w:val="00DE387A"/>
    <w:rsid w:val="00DE3A18"/>
    <w:rsid w:val="00DE3A19"/>
    <w:rsid w:val="00DE3A82"/>
    <w:rsid w:val="00DE3A83"/>
    <w:rsid w:val="00DE3B89"/>
    <w:rsid w:val="00DE3E30"/>
    <w:rsid w:val="00DE3E39"/>
    <w:rsid w:val="00DE4033"/>
    <w:rsid w:val="00DE4157"/>
    <w:rsid w:val="00DE4398"/>
    <w:rsid w:val="00DE43B4"/>
    <w:rsid w:val="00DE448F"/>
    <w:rsid w:val="00DE4518"/>
    <w:rsid w:val="00DE467C"/>
    <w:rsid w:val="00DE4A07"/>
    <w:rsid w:val="00DE5037"/>
    <w:rsid w:val="00DE528C"/>
    <w:rsid w:val="00DE5341"/>
    <w:rsid w:val="00DE5390"/>
    <w:rsid w:val="00DE539C"/>
    <w:rsid w:val="00DE5709"/>
    <w:rsid w:val="00DE5A35"/>
    <w:rsid w:val="00DE5CD4"/>
    <w:rsid w:val="00DE5D83"/>
    <w:rsid w:val="00DE5DE8"/>
    <w:rsid w:val="00DE5E17"/>
    <w:rsid w:val="00DE5F5C"/>
    <w:rsid w:val="00DE6020"/>
    <w:rsid w:val="00DE60D9"/>
    <w:rsid w:val="00DE611A"/>
    <w:rsid w:val="00DE6361"/>
    <w:rsid w:val="00DE6422"/>
    <w:rsid w:val="00DE65E7"/>
    <w:rsid w:val="00DE6702"/>
    <w:rsid w:val="00DE6A3F"/>
    <w:rsid w:val="00DE6A94"/>
    <w:rsid w:val="00DE6E1C"/>
    <w:rsid w:val="00DE6E84"/>
    <w:rsid w:val="00DE6ED9"/>
    <w:rsid w:val="00DE6EFF"/>
    <w:rsid w:val="00DE718D"/>
    <w:rsid w:val="00DE71B6"/>
    <w:rsid w:val="00DE745D"/>
    <w:rsid w:val="00DE761E"/>
    <w:rsid w:val="00DE7708"/>
    <w:rsid w:val="00DE774D"/>
    <w:rsid w:val="00DE7957"/>
    <w:rsid w:val="00DE7CC1"/>
    <w:rsid w:val="00DE7DD3"/>
    <w:rsid w:val="00DF024A"/>
    <w:rsid w:val="00DF0504"/>
    <w:rsid w:val="00DF0848"/>
    <w:rsid w:val="00DF0880"/>
    <w:rsid w:val="00DF0906"/>
    <w:rsid w:val="00DF0922"/>
    <w:rsid w:val="00DF093A"/>
    <w:rsid w:val="00DF0AA0"/>
    <w:rsid w:val="00DF0CB7"/>
    <w:rsid w:val="00DF0D80"/>
    <w:rsid w:val="00DF0F97"/>
    <w:rsid w:val="00DF0FA6"/>
    <w:rsid w:val="00DF1091"/>
    <w:rsid w:val="00DF10FE"/>
    <w:rsid w:val="00DF1105"/>
    <w:rsid w:val="00DF1AA8"/>
    <w:rsid w:val="00DF1AC5"/>
    <w:rsid w:val="00DF1C90"/>
    <w:rsid w:val="00DF1CC8"/>
    <w:rsid w:val="00DF1E22"/>
    <w:rsid w:val="00DF2142"/>
    <w:rsid w:val="00DF259D"/>
    <w:rsid w:val="00DF2654"/>
    <w:rsid w:val="00DF2703"/>
    <w:rsid w:val="00DF27FE"/>
    <w:rsid w:val="00DF2A5E"/>
    <w:rsid w:val="00DF2CF5"/>
    <w:rsid w:val="00DF2D9B"/>
    <w:rsid w:val="00DF2EB1"/>
    <w:rsid w:val="00DF307B"/>
    <w:rsid w:val="00DF310D"/>
    <w:rsid w:val="00DF322D"/>
    <w:rsid w:val="00DF32F3"/>
    <w:rsid w:val="00DF3527"/>
    <w:rsid w:val="00DF35E6"/>
    <w:rsid w:val="00DF37FB"/>
    <w:rsid w:val="00DF3813"/>
    <w:rsid w:val="00DF393D"/>
    <w:rsid w:val="00DF3998"/>
    <w:rsid w:val="00DF3B30"/>
    <w:rsid w:val="00DF3CBA"/>
    <w:rsid w:val="00DF3D34"/>
    <w:rsid w:val="00DF3D50"/>
    <w:rsid w:val="00DF3E4B"/>
    <w:rsid w:val="00DF3F7B"/>
    <w:rsid w:val="00DF40A9"/>
    <w:rsid w:val="00DF42BD"/>
    <w:rsid w:val="00DF45E9"/>
    <w:rsid w:val="00DF4601"/>
    <w:rsid w:val="00DF465F"/>
    <w:rsid w:val="00DF47F9"/>
    <w:rsid w:val="00DF4A2D"/>
    <w:rsid w:val="00DF4A71"/>
    <w:rsid w:val="00DF4B15"/>
    <w:rsid w:val="00DF4CFE"/>
    <w:rsid w:val="00DF4D16"/>
    <w:rsid w:val="00DF4EC0"/>
    <w:rsid w:val="00DF4F10"/>
    <w:rsid w:val="00DF5007"/>
    <w:rsid w:val="00DF50BB"/>
    <w:rsid w:val="00DF51A2"/>
    <w:rsid w:val="00DF53C7"/>
    <w:rsid w:val="00DF547A"/>
    <w:rsid w:val="00DF58D5"/>
    <w:rsid w:val="00DF5D0F"/>
    <w:rsid w:val="00DF5D54"/>
    <w:rsid w:val="00DF6138"/>
    <w:rsid w:val="00DF6757"/>
    <w:rsid w:val="00DF67B0"/>
    <w:rsid w:val="00DF6952"/>
    <w:rsid w:val="00DF6BE4"/>
    <w:rsid w:val="00DF6C1D"/>
    <w:rsid w:val="00DF6CF0"/>
    <w:rsid w:val="00DF6EBB"/>
    <w:rsid w:val="00DF6EDA"/>
    <w:rsid w:val="00DF6F5F"/>
    <w:rsid w:val="00DF717C"/>
    <w:rsid w:val="00DF7A6A"/>
    <w:rsid w:val="00DF7AFF"/>
    <w:rsid w:val="00DF7B0B"/>
    <w:rsid w:val="00DF7B19"/>
    <w:rsid w:val="00DF7BB8"/>
    <w:rsid w:val="00DF7E25"/>
    <w:rsid w:val="00DF7FCA"/>
    <w:rsid w:val="00E0009A"/>
    <w:rsid w:val="00E00290"/>
    <w:rsid w:val="00E0088F"/>
    <w:rsid w:val="00E0098A"/>
    <w:rsid w:val="00E009F4"/>
    <w:rsid w:val="00E00A7C"/>
    <w:rsid w:val="00E00E66"/>
    <w:rsid w:val="00E01003"/>
    <w:rsid w:val="00E01108"/>
    <w:rsid w:val="00E01133"/>
    <w:rsid w:val="00E0128E"/>
    <w:rsid w:val="00E01361"/>
    <w:rsid w:val="00E01431"/>
    <w:rsid w:val="00E0151C"/>
    <w:rsid w:val="00E01523"/>
    <w:rsid w:val="00E01627"/>
    <w:rsid w:val="00E016BB"/>
    <w:rsid w:val="00E01946"/>
    <w:rsid w:val="00E0197E"/>
    <w:rsid w:val="00E01A7F"/>
    <w:rsid w:val="00E01AB6"/>
    <w:rsid w:val="00E01D67"/>
    <w:rsid w:val="00E02053"/>
    <w:rsid w:val="00E020B9"/>
    <w:rsid w:val="00E0217D"/>
    <w:rsid w:val="00E022F0"/>
    <w:rsid w:val="00E022F2"/>
    <w:rsid w:val="00E0236E"/>
    <w:rsid w:val="00E0253A"/>
    <w:rsid w:val="00E0269C"/>
    <w:rsid w:val="00E027B8"/>
    <w:rsid w:val="00E027F4"/>
    <w:rsid w:val="00E0283E"/>
    <w:rsid w:val="00E02940"/>
    <w:rsid w:val="00E02966"/>
    <w:rsid w:val="00E02E26"/>
    <w:rsid w:val="00E02F14"/>
    <w:rsid w:val="00E02F34"/>
    <w:rsid w:val="00E02F81"/>
    <w:rsid w:val="00E033B0"/>
    <w:rsid w:val="00E03550"/>
    <w:rsid w:val="00E036BD"/>
    <w:rsid w:val="00E037CC"/>
    <w:rsid w:val="00E03A50"/>
    <w:rsid w:val="00E03E1D"/>
    <w:rsid w:val="00E03E84"/>
    <w:rsid w:val="00E03F40"/>
    <w:rsid w:val="00E04046"/>
    <w:rsid w:val="00E044D9"/>
    <w:rsid w:val="00E04574"/>
    <w:rsid w:val="00E04824"/>
    <w:rsid w:val="00E04952"/>
    <w:rsid w:val="00E0496E"/>
    <w:rsid w:val="00E04BD3"/>
    <w:rsid w:val="00E04D2F"/>
    <w:rsid w:val="00E04F5E"/>
    <w:rsid w:val="00E05104"/>
    <w:rsid w:val="00E0517D"/>
    <w:rsid w:val="00E051B5"/>
    <w:rsid w:val="00E054F0"/>
    <w:rsid w:val="00E055C0"/>
    <w:rsid w:val="00E0589E"/>
    <w:rsid w:val="00E0589F"/>
    <w:rsid w:val="00E05C7C"/>
    <w:rsid w:val="00E05CBA"/>
    <w:rsid w:val="00E05CF4"/>
    <w:rsid w:val="00E05DE6"/>
    <w:rsid w:val="00E05E3F"/>
    <w:rsid w:val="00E0641F"/>
    <w:rsid w:val="00E0643C"/>
    <w:rsid w:val="00E064D0"/>
    <w:rsid w:val="00E06588"/>
    <w:rsid w:val="00E06643"/>
    <w:rsid w:val="00E0682C"/>
    <w:rsid w:val="00E06A0A"/>
    <w:rsid w:val="00E06C3F"/>
    <w:rsid w:val="00E06D5F"/>
    <w:rsid w:val="00E06E79"/>
    <w:rsid w:val="00E06E9D"/>
    <w:rsid w:val="00E06F0C"/>
    <w:rsid w:val="00E06F53"/>
    <w:rsid w:val="00E0742D"/>
    <w:rsid w:val="00E07494"/>
    <w:rsid w:val="00E076F3"/>
    <w:rsid w:val="00E078E4"/>
    <w:rsid w:val="00E07A02"/>
    <w:rsid w:val="00E07B00"/>
    <w:rsid w:val="00E07D10"/>
    <w:rsid w:val="00E07D43"/>
    <w:rsid w:val="00E07DBD"/>
    <w:rsid w:val="00E07E58"/>
    <w:rsid w:val="00E10104"/>
    <w:rsid w:val="00E1055F"/>
    <w:rsid w:val="00E10693"/>
    <w:rsid w:val="00E10E19"/>
    <w:rsid w:val="00E10E5B"/>
    <w:rsid w:val="00E10FA5"/>
    <w:rsid w:val="00E1107F"/>
    <w:rsid w:val="00E11522"/>
    <w:rsid w:val="00E1161E"/>
    <w:rsid w:val="00E1196C"/>
    <w:rsid w:val="00E1197E"/>
    <w:rsid w:val="00E11BE2"/>
    <w:rsid w:val="00E11CB0"/>
    <w:rsid w:val="00E11F86"/>
    <w:rsid w:val="00E11FB0"/>
    <w:rsid w:val="00E1201A"/>
    <w:rsid w:val="00E12112"/>
    <w:rsid w:val="00E12172"/>
    <w:rsid w:val="00E122D6"/>
    <w:rsid w:val="00E12304"/>
    <w:rsid w:val="00E125B3"/>
    <w:rsid w:val="00E12661"/>
    <w:rsid w:val="00E1266D"/>
    <w:rsid w:val="00E128DE"/>
    <w:rsid w:val="00E12A23"/>
    <w:rsid w:val="00E12B17"/>
    <w:rsid w:val="00E12CDE"/>
    <w:rsid w:val="00E12DC6"/>
    <w:rsid w:val="00E12E09"/>
    <w:rsid w:val="00E12E9D"/>
    <w:rsid w:val="00E12EEF"/>
    <w:rsid w:val="00E12F19"/>
    <w:rsid w:val="00E132D2"/>
    <w:rsid w:val="00E13495"/>
    <w:rsid w:val="00E135BF"/>
    <w:rsid w:val="00E13673"/>
    <w:rsid w:val="00E136B6"/>
    <w:rsid w:val="00E13810"/>
    <w:rsid w:val="00E13851"/>
    <w:rsid w:val="00E1389B"/>
    <w:rsid w:val="00E13A2E"/>
    <w:rsid w:val="00E13B66"/>
    <w:rsid w:val="00E13FD3"/>
    <w:rsid w:val="00E144A5"/>
    <w:rsid w:val="00E144F4"/>
    <w:rsid w:val="00E14528"/>
    <w:rsid w:val="00E1455D"/>
    <w:rsid w:val="00E14939"/>
    <w:rsid w:val="00E14A42"/>
    <w:rsid w:val="00E14B31"/>
    <w:rsid w:val="00E14E07"/>
    <w:rsid w:val="00E14E6B"/>
    <w:rsid w:val="00E14FE1"/>
    <w:rsid w:val="00E152F0"/>
    <w:rsid w:val="00E15616"/>
    <w:rsid w:val="00E157AC"/>
    <w:rsid w:val="00E159E7"/>
    <w:rsid w:val="00E15A7B"/>
    <w:rsid w:val="00E15BCC"/>
    <w:rsid w:val="00E15C31"/>
    <w:rsid w:val="00E15D29"/>
    <w:rsid w:val="00E16005"/>
    <w:rsid w:val="00E16104"/>
    <w:rsid w:val="00E162A2"/>
    <w:rsid w:val="00E162C3"/>
    <w:rsid w:val="00E16603"/>
    <w:rsid w:val="00E168E8"/>
    <w:rsid w:val="00E16A44"/>
    <w:rsid w:val="00E16A85"/>
    <w:rsid w:val="00E16FB9"/>
    <w:rsid w:val="00E1702B"/>
    <w:rsid w:val="00E17337"/>
    <w:rsid w:val="00E173C8"/>
    <w:rsid w:val="00E175BD"/>
    <w:rsid w:val="00E1770F"/>
    <w:rsid w:val="00E177DC"/>
    <w:rsid w:val="00E178BD"/>
    <w:rsid w:val="00E178F6"/>
    <w:rsid w:val="00E17919"/>
    <w:rsid w:val="00E17A36"/>
    <w:rsid w:val="00E17AAC"/>
    <w:rsid w:val="00E17D21"/>
    <w:rsid w:val="00E17DD5"/>
    <w:rsid w:val="00E17F9C"/>
    <w:rsid w:val="00E20013"/>
    <w:rsid w:val="00E2038A"/>
    <w:rsid w:val="00E2039D"/>
    <w:rsid w:val="00E203B3"/>
    <w:rsid w:val="00E20459"/>
    <w:rsid w:val="00E205B6"/>
    <w:rsid w:val="00E20607"/>
    <w:rsid w:val="00E2087C"/>
    <w:rsid w:val="00E20A7A"/>
    <w:rsid w:val="00E20AB7"/>
    <w:rsid w:val="00E20BF7"/>
    <w:rsid w:val="00E20C98"/>
    <w:rsid w:val="00E20ED6"/>
    <w:rsid w:val="00E2101A"/>
    <w:rsid w:val="00E2121B"/>
    <w:rsid w:val="00E217A6"/>
    <w:rsid w:val="00E2196F"/>
    <w:rsid w:val="00E21A30"/>
    <w:rsid w:val="00E21EE6"/>
    <w:rsid w:val="00E220EB"/>
    <w:rsid w:val="00E223E2"/>
    <w:rsid w:val="00E2256B"/>
    <w:rsid w:val="00E226E9"/>
    <w:rsid w:val="00E2284B"/>
    <w:rsid w:val="00E22AE3"/>
    <w:rsid w:val="00E22E27"/>
    <w:rsid w:val="00E22E67"/>
    <w:rsid w:val="00E2320B"/>
    <w:rsid w:val="00E2326A"/>
    <w:rsid w:val="00E23686"/>
    <w:rsid w:val="00E236A9"/>
    <w:rsid w:val="00E2394A"/>
    <w:rsid w:val="00E23A26"/>
    <w:rsid w:val="00E23BFB"/>
    <w:rsid w:val="00E23C50"/>
    <w:rsid w:val="00E23D43"/>
    <w:rsid w:val="00E23D9E"/>
    <w:rsid w:val="00E243FF"/>
    <w:rsid w:val="00E24570"/>
    <w:rsid w:val="00E24587"/>
    <w:rsid w:val="00E24601"/>
    <w:rsid w:val="00E24788"/>
    <w:rsid w:val="00E24BF0"/>
    <w:rsid w:val="00E24C99"/>
    <w:rsid w:val="00E24EE1"/>
    <w:rsid w:val="00E24EE8"/>
    <w:rsid w:val="00E25113"/>
    <w:rsid w:val="00E252AD"/>
    <w:rsid w:val="00E253B9"/>
    <w:rsid w:val="00E25451"/>
    <w:rsid w:val="00E25459"/>
    <w:rsid w:val="00E256A9"/>
    <w:rsid w:val="00E25944"/>
    <w:rsid w:val="00E25A3E"/>
    <w:rsid w:val="00E25B44"/>
    <w:rsid w:val="00E25B50"/>
    <w:rsid w:val="00E25EB5"/>
    <w:rsid w:val="00E2603A"/>
    <w:rsid w:val="00E261F2"/>
    <w:rsid w:val="00E26212"/>
    <w:rsid w:val="00E2639C"/>
    <w:rsid w:val="00E264FE"/>
    <w:rsid w:val="00E26579"/>
    <w:rsid w:val="00E26719"/>
    <w:rsid w:val="00E2686E"/>
    <w:rsid w:val="00E26AD9"/>
    <w:rsid w:val="00E26B8C"/>
    <w:rsid w:val="00E26BFA"/>
    <w:rsid w:val="00E26C74"/>
    <w:rsid w:val="00E26D0A"/>
    <w:rsid w:val="00E26D5E"/>
    <w:rsid w:val="00E27079"/>
    <w:rsid w:val="00E27586"/>
    <w:rsid w:val="00E276FC"/>
    <w:rsid w:val="00E27753"/>
    <w:rsid w:val="00E27845"/>
    <w:rsid w:val="00E27A4E"/>
    <w:rsid w:val="00E27C70"/>
    <w:rsid w:val="00E27D28"/>
    <w:rsid w:val="00E27EA8"/>
    <w:rsid w:val="00E27F20"/>
    <w:rsid w:val="00E3014F"/>
    <w:rsid w:val="00E302E2"/>
    <w:rsid w:val="00E30490"/>
    <w:rsid w:val="00E304A3"/>
    <w:rsid w:val="00E305A5"/>
    <w:rsid w:val="00E3095C"/>
    <w:rsid w:val="00E3097B"/>
    <w:rsid w:val="00E30BC4"/>
    <w:rsid w:val="00E30C1E"/>
    <w:rsid w:val="00E31052"/>
    <w:rsid w:val="00E31255"/>
    <w:rsid w:val="00E3127E"/>
    <w:rsid w:val="00E31401"/>
    <w:rsid w:val="00E31578"/>
    <w:rsid w:val="00E31641"/>
    <w:rsid w:val="00E319AA"/>
    <w:rsid w:val="00E31A5C"/>
    <w:rsid w:val="00E31BB4"/>
    <w:rsid w:val="00E31D6E"/>
    <w:rsid w:val="00E31DDF"/>
    <w:rsid w:val="00E31DE4"/>
    <w:rsid w:val="00E31E96"/>
    <w:rsid w:val="00E31F70"/>
    <w:rsid w:val="00E31F87"/>
    <w:rsid w:val="00E31FD0"/>
    <w:rsid w:val="00E3208F"/>
    <w:rsid w:val="00E32218"/>
    <w:rsid w:val="00E32622"/>
    <w:rsid w:val="00E328FD"/>
    <w:rsid w:val="00E32996"/>
    <w:rsid w:val="00E32A9E"/>
    <w:rsid w:val="00E3311F"/>
    <w:rsid w:val="00E331D3"/>
    <w:rsid w:val="00E3325F"/>
    <w:rsid w:val="00E333EE"/>
    <w:rsid w:val="00E3378D"/>
    <w:rsid w:val="00E33A75"/>
    <w:rsid w:val="00E33BBA"/>
    <w:rsid w:val="00E33C3A"/>
    <w:rsid w:val="00E33E9C"/>
    <w:rsid w:val="00E33ED7"/>
    <w:rsid w:val="00E34158"/>
    <w:rsid w:val="00E346BD"/>
    <w:rsid w:val="00E34762"/>
    <w:rsid w:val="00E34856"/>
    <w:rsid w:val="00E348BE"/>
    <w:rsid w:val="00E34C41"/>
    <w:rsid w:val="00E34E18"/>
    <w:rsid w:val="00E34EDD"/>
    <w:rsid w:val="00E34F89"/>
    <w:rsid w:val="00E350E0"/>
    <w:rsid w:val="00E352AE"/>
    <w:rsid w:val="00E352FA"/>
    <w:rsid w:val="00E3530C"/>
    <w:rsid w:val="00E35333"/>
    <w:rsid w:val="00E353BB"/>
    <w:rsid w:val="00E35618"/>
    <w:rsid w:val="00E35718"/>
    <w:rsid w:val="00E3578D"/>
    <w:rsid w:val="00E35A17"/>
    <w:rsid w:val="00E35AAC"/>
    <w:rsid w:val="00E35B15"/>
    <w:rsid w:val="00E35BBF"/>
    <w:rsid w:val="00E35C20"/>
    <w:rsid w:val="00E35CDE"/>
    <w:rsid w:val="00E35D53"/>
    <w:rsid w:val="00E35F88"/>
    <w:rsid w:val="00E36154"/>
    <w:rsid w:val="00E362D0"/>
    <w:rsid w:val="00E36425"/>
    <w:rsid w:val="00E3642A"/>
    <w:rsid w:val="00E36473"/>
    <w:rsid w:val="00E36629"/>
    <w:rsid w:val="00E36959"/>
    <w:rsid w:val="00E369A7"/>
    <w:rsid w:val="00E369C1"/>
    <w:rsid w:val="00E36A62"/>
    <w:rsid w:val="00E36B5F"/>
    <w:rsid w:val="00E3726C"/>
    <w:rsid w:val="00E37317"/>
    <w:rsid w:val="00E37352"/>
    <w:rsid w:val="00E3748E"/>
    <w:rsid w:val="00E374F7"/>
    <w:rsid w:val="00E3783B"/>
    <w:rsid w:val="00E37E8F"/>
    <w:rsid w:val="00E40050"/>
    <w:rsid w:val="00E40076"/>
    <w:rsid w:val="00E40302"/>
    <w:rsid w:val="00E40458"/>
    <w:rsid w:val="00E404D9"/>
    <w:rsid w:val="00E40506"/>
    <w:rsid w:val="00E40562"/>
    <w:rsid w:val="00E40920"/>
    <w:rsid w:val="00E40F32"/>
    <w:rsid w:val="00E40F4B"/>
    <w:rsid w:val="00E41519"/>
    <w:rsid w:val="00E4161C"/>
    <w:rsid w:val="00E4164D"/>
    <w:rsid w:val="00E41663"/>
    <w:rsid w:val="00E4177B"/>
    <w:rsid w:val="00E418E6"/>
    <w:rsid w:val="00E42169"/>
    <w:rsid w:val="00E42208"/>
    <w:rsid w:val="00E42697"/>
    <w:rsid w:val="00E428FC"/>
    <w:rsid w:val="00E42BB8"/>
    <w:rsid w:val="00E42BF6"/>
    <w:rsid w:val="00E42C8B"/>
    <w:rsid w:val="00E42E05"/>
    <w:rsid w:val="00E42E74"/>
    <w:rsid w:val="00E42F9F"/>
    <w:rsid w:val="00E4305F"/>
    <w:rsid w:val="00E43067"/>
    <w:rsid w:val="00E43087"/>
    <w:rsid w:val="00E430D2"/>
    <w:rsid w:val="00E4321A"/>
    <w:rsid w:val="00E4323C"/>
    <w:rsid w:val="00E432AB"/>
    <w:rsid w:val="00E43573"/>
    <w:rsid w:val="00E4364D"/>
    <w:rsid w:val="00E43788"/>
    <w:rsid w:val="00E439AA"/>
    <w:rsid w:val="00E43B46"/>
    <w:rsid w:val="00E43C37"/>
    <w:rsid w:val="00E43D4D"/>
    <w:rsid w:val="00E43DE9"/>
    <w:rsid w:val="00E43EA8"/>
    <w:rsid w:val="00E44124"/>
    <w:rsid w:val="00E444B3"/>
    <w:rsid w:val="00E4450A"/>
    <w:rsid w:val="00E44534"/>
    <w:rsid w:val="00E445D5"/>
    <w:rsid w:val="00E447B2"/>
    <w:rsid w:val="00E4480F"/>
    <w:rsid w:val="00E44836"/>
    <w:rsid w:val="00E44C43"/>
    <w:rsid w:val="00E44C47"/>
    <w:rsid w:val="00E44C66"/>
    <w:rsid w:val="00E44FC1"/>
    <w:rsid w:val="00E4518C"/>
    <w:rsid w:val="00E4542A"/>
    <w:rsid w:val="00E45605"/>
    <w:rsid w:val="00E4563F"/>
    <w:rsid w:val="00E4570C"/>
    <w:rsid w:val="00E457C4"/>
    <w:rsid w:val="00E457FE"/>
    <w:rsid w:val="00E45A8C"/>
    <w:rsid w:val="00E45ABD"/>
    <w:rsid w:val="00E45DB6"/>
    <w:rsid w:val="00E45DD6"/>
    <w:rsid w:val="00E46AFE"/>
    <w:rsid w:val="00E4717A"/>
    <w:rsid w:val="00E473C7"/>
    <w:rsid w:val="00E47675"/>
    <w:rsid w:val="00E47922"/>
    <w:rsid w:val="00E47B85"/>
    <w:rsid w:val="00E47D47"/>
    <w:rsid w:val="00E47ECC"/>
    <w:rsid w:val="00E50005"/>
    <w:rsid w:val="00E500D8"/>
    <w:rsid w:val="00E500DA"/>
    <w:rsid w:val="00E5025B"/>
    <w:rsid w:val="00E506A5"/>
    <w:rsid w:val="00E50705"/>
    <w:rsid w:val="00E5076E"/>
    <w:rsid w:val="00E5085F"/>
    <w:rsid w:val="00E50906"/>
    <w:rsid w:val="00E50985"/>
    <w:rsid w:val="00E509BB"/>
    <w:rsid w:val="00E50AD5"/>
    <w:rsid w:val="00E50C0F"/>
    <w:rsid w:val="00E50D8A"/>
    <w:rsid w:val="00E50E4D"/>
    <w:rsid w:val="00E515F2"/>
    <w:rsid w:val="00E51835"/>
    <w:rsid w:val="00E51838"/>
    <w:rsid w:val="00E51930"/>
    <w:rsid w:val="00E51AC8"/>
    <w:rsid w:val="00E51AED"/>
    <w:rsid w:val="00E51ED5"/>
    <w:rsid w:val="00E51FA0"/>
    <w:rsid w:val="00E520F1"/>
    <w:rsid w:val="00E52535"/>
    <w:rsid w:val="00E5262A"/>
    <w:rsid w:val="00E52638"/>
    <w:rsid w:val="00E52823"/>
    <w:rsid w:val="00E52A96"/>
    <w:rsid w:val="00E52BB1"/>
    <w:rsid w:val="00E52C15"/>
    <w:rsid w:val="00E52D73"/>
    <w:rsid w:val="00E52DFD"/>
    <w:rsid w:val="00E52F55"/>
    <w:rsid w:val="00E52F95"/>
    <w:rsid w:val="00E53046"/>
    <w:rsid w:val="00E531FD"/>
    <w:rsid w:val="00E53582"/>
    <w:rsid w:val="00E53718"/>
    <w:rsid w:val="00E539FE"/>
    <w:rsid w:val="00E53B08"/>
    <w:rsid w:val="00E53D5B"/>
    <w:rsid w:val="00E53E5C"/>
    <w:rsid w:val="00E53ED1"/>
    <w:rsid w:val="00E53F91"/>
    <w:rsid w:val="00E5406E"/>
    <w:rsid w:val="00E540C0"/>
    <w:rsid w:val="00E5413A"/>
    <w:rsid w:val="00E542C0"/>
    <w:rsid w:val="00E54425"/>
    <w:rsid w:val="00E544F1"/>
    <w:rsid w:val="00E54587"/>
    <w:rsid w:val="00E5458C"/>
    <w:rsid w:val="00E54B5D"/>
    <w:rsid w:val="00E54D1B"/>
    <w:rsid w:val="00E54D78"/>
    <w:rsid w:val="00E54FD0"/>
    <w:rsid w:val="00E550D1"/>
    <w:rsid w:val="00E55204"/>
    <w:rsid w:val="00E553F7"/>
    <w:rsid w:val="00E5540D"/>
    <w:rsid w:val="00E5545A"/>
    <w:rsid w:val="00E55468"/>
    <w:rsid w:val="00E55538"/>
    <w:rsid w:val="00E557E7"/>
    <w:rsid w:val="00E55AF3"/>
    <w:rsid w:val="00E55B1A"/>
    <w:rsid w:val="00E55C93"/>
    <w:rsid w:val="00E55DD3"/>
    <w:rsid w:val="00E55F54"/>
    <w:rsid w:val="00E5655F"/>
    <w:rsid w:val="00E566BB"/>
    <w:rsid w:val="00E56746"/>
    <w:rsid w:val="00E567ED"/>
    <w:rsid w:val="00E56892"/>
    <w:rsid w:val="00E56949"/>
    <w:rsid w:val="00E5698A"/>
    <w:rsid w:val="00E569B1"/>
    <w:rsid w:val="00E56A29"/>
    <w:rsid w:val="00E56A58"/>
    <w:rsid w:val="00E56AFE"/>
    <w:rsid w:val="00E56B9C"/>
    <w:rsid w:val="00E56FF5"/>
    <w:rsid w:val="00E5704D"/>
    <w:rsid w:val="00E5706F"/>
    <w:rsid w:val="00E57238"/>
    <w:rsid w:val="00E573A9"/>
    <w:rsid w:val="00E574B3"/>
    <w:rsid w:val="00E57588"/>
    <w:rsid w:val="00E57939"/>
    <w:rsid w:val="00E57CA0"/>
    <w:rsid w:val="00E57E33"/>
    <w:rsid w:val="00E57E51"/>
    <w:rsid w:val="00E57F6E"/>
    <w:rsid w:val="00E57F86"/>
    <w:rsid w:val="00E601C4"/>
    <w:rsid w:val="00E60249"/>
    <w:rsid w:val="00E603F5"/>
    <w:rsid w:val="00E6072C"/>
    <w:rsid w:val="00E6074E"/>
    <w:rsid w:val="00E6079B"/>
    <w:rsid w:val="00E608FD"/>
    <w:rsid w:val="00E60941"/>
    <w:rsid w:val="00E60ED8"/>
    <w:rsid w:val="00E6107B"/>
    <w:rsid w:val="00E61101"/>
    <w:rsid w:val="00E61669"/>
    <w:rsid w:val="00E617B5"/>
    <w:rsid w:val="00E61A28"/>
    <w:rsid w:val="00E61CFD"/>
    <w:rsid w:val="00E62135"/>
    <w:rsid w:val="00E62385"/>
    <w:rsid w:val="00E6245C"/>
    <w:rsid w:val="00E62521"/>
    <w:rsid w:val="00E62594"/>
    <w:rsid w:val="00E625B4"/>
    <w:rsid w:val="00E6266F"/>
    <w:rsid w:val="00E6280A"/>
    <w:rsid w:val="00E62DAE"/>
    <w:rsid w:val="00E62E02"/>
    <w:rsid w:val="00E62E3A"/>
    <w:rsid w:val="00E63020"/>
    <w:rsid w:val="00E633E2"/>
    <w:rsid w:val="00E63A36"/>
    <w:rsid w:val="00E6406C"/>
    <w:rsid w:val="00E641B1"/>
    <w:rsid w:val="00E6434E"/>
    <w:rsid w:val="00E64E13"/>
    <w:rsid w:val="00E65175"/>
    <w:rsid w:val="00E651CD"/>
    <w:rsid w:val="00E653F0"/>
    <w:rsid w:val="00E65421"/>
    <w:rsid w:val="00E65459"/>
    <w:rsid w:val="00E6546D"/>
    <w:rsid w:val="00E654AE"/>
    <w:rsid w:val="00E654D0"/>
    <w:rsid w:val="00E65602"/>
    <w:rsid w:val="00E6560F"/>
    <w:rsid w:val="00E6562E"/>
    <w:rsid w:val="00E6574A"/>
    <w:rsid w:val="00E65771"/>
    <w:rsid w:val="00E65885"/>
    <w:rsid w:val="00E65A92"/>
    <w:rsid w:val="00E65BD3"/>
    <w:rsid w:val="00E65F36"/>
    <w:rsid w:val="00E66083"/>
    <w:rsid w:val="00E662D6"/>
    <w:rsid w:val="00E66318"/>
    <w:rsid w:val="00E664ED"/>
    <w:rsid w:val="00E666F9"/>
    <w:rsid w:val="00E66734"/>
    <w:rsid w:val="00E66929"/>
    <w:rsid w:val="00E66BA6"/>
    <w:rsid w:val="00E66E26"/>
    <w:rsid w:val="00E66E2D"/>
    <w:rsid w:val="00E66FE1"/>
    <w:rsid w:val="00E67022"/>
    <w:rsid w:val="00E67106"/>
    <w:rsid w:val="00E6729C"/>
    <w:rsid w:val="00E6738E"/>
    <w:rsid w:val="00E67546"/>
    <w:rsid w:val="00E6755B"/>
    <w:rsid w:val="00E675EA"/>
    <w:rsid w:val="00E67693"/>
    <w:rsid w:val="00E67A97"/>
    <w:rsid w:val="00E67E0C"/>
    <w:rsid w:val="00E67EEE"/>
    <w:rsid w:val="00E67EFD"/>
    <w:rsid w:val="00E700AC"/>
    <w:rsid w:val="00E70113"/>
    <w:rsid w:val="00E70146"/>
    <w:rsid w:val="00E70447"/>
    <w:rsid w:val="00E70473"/>
    <w:rsid w:val="00E705DB"/>
    <w:rsid w:val="00E70AC8"/>
    <w:rsid w:val="00E70EED"/>
    <w:rsid w:val="00E70F3A"/>
    <w:rsid w:val="00E71123"/>
    <w:rsid w:val="00E71127"/>
    <w:rsid w:val="00E71194"/>
    <w:rsid w:val="00E71305"/>
    <w:rsid w:val="00E71346"/>
    <w:rsid w:val="00E71499"/>
    <w:rsid w:val="00E7179A"/>
    <w:rsid w:val="00E718BA"/>
    <w:rsid w:val="00E71948"/>
    <w:rsid w:val="00E71B19"/>
    <w:rsid w:val="00E71C5B"/>
    <w:rsid w:val="00E71E33"/>
    <w:rsid w:val="00E71F07"/>
    <w:rsid w:val="00E72013"/>
    <w:rsid w:val="00E72267"/>
    <w:rsid w:val="00E723BB"/>
    <w:rsid w:val="00E72636"/>
    <w:rsid w:val="00E72AC4"/>
    <w:rsid w:val="00E72B61"/>
    <w:rsid w:val="00E72E62"/>
    <w:rsid w:val="00E73146"/>
    <w:rsid w:val="00E7318E"/>
    <w:rsid w:val="00E733A1"/>
    <w:rsid w:val="00E73477"/>
    <w:rsid w:val="00E736AB"/>
    <w:rsid w:val="00E7393C"/>
    <w:rsid w:val="00E73985"/>
    <w:rsid w:val="00E73C94"/>
    <w:rsid w:val="00E73D20"/>
    <w:rsid w:val="00E73EB0"/>
    <w:rsid w:val="00E74020"/>
    <w:rsid w:val="00E742D4"/>
    <w:rsid w:val="00E742DE"/>
    <w:rsid w:val="00E745C0"/>
    <w:rsid w:val="00E74685"/>
    <w:rsid w:val="00E74695"/>
    <w:rsid w:val="00E74730"/>
    <w:rsid w:val="00E7475A"/>
    <w:rsid w:val="00E749F7"/>
    <w:rsid w:val="00E74A04"/>
    <w:rsid w:val="00E74AB2"/>
    <w:rsid w:val="00E74F36"/>
    <w:rsid w:val="00E75025"/>
    <w:rsid w:val="00E75057"/>
    <w:rsid w:val="00E750DA"/>
    <w:rsid w:val="00E75209"/>
    <w:rsid w:val="00E752A8"/>
    <w:rsid w:val="00E7551D"/>
    <w:rsid w:val="00E755F8"/>
    <w:rsid w:val="00E756EC"/>
    <w:rsid w:val="00E75709"/>
    <w:rsid w:val="00E75C72"/>
    <w:rsid w:val="00E75E42"/>
    <w:rsid w:val="00E75E53"/>
    <w:rsid w:val="00E760EF"/>
    <w:rsid w:val="00E7610D"/>
    <w:rsid w:val="00E76169"/>
    <w:rsid w:val="00E76360"/>
    <w:rsid w:val="00E7638B"/>
    <w:rsid w:val="00E763C2"/>
    <w:rsid w:val="00E76423"/>
    <w:rsid w:val="00E7647B"/>
    <w:rsid w:val="00E76524"/>
    <w:rsid w:val="00E76564"/>
    <w:rsid w:val="00E7665A"/>
    <w:rsid w:val="00E766E6"/>
    <w:rsid w:val="00E76716"/>
    <w:rsid w:val="00E76760"/>
    <w:rsid w:val="00E768C6"/>
    <w:rsid w:val="00E768D3"/>
    <w:rsid w:val="00E768D9"/>
    <w:rsid w:val="00E76B75"/>
    <w:rsid w:val="00E76C2D"/>
    <w:rsid w:val="00E76ECC"/>
    <w:rsid w:val="00E76F20"/>
    <w:rsid w:val="00E76F3F"/>
    <w:rsid w:val="00E77384"/>
    <w:rsid w:val="00E77475"/>
    <w:rsid w:val="00E77668"/>
    <w:rsid w:val="00E77CA9"/>
    <w:rsid w:val="00E77D19"/>
    <w:rsid w:val="00E77DB6"/>
    <w:rsid w:val="00E77E13"/>
    <w:rsid w:val="00E80175"/>
    <w:rsid w:val="00E80519"/>
    <w:rsid w:val="00E8052E"/>
    <w:rsid w:val="00E8058D"/>
    <w:rsid w:val="00E805E0"/>
    <w:rsid w:val="00E8073C"/>
    <w:rsid w:val="00E80816"/>
    <w:rsid w:val="00E80AED"/>
    <w:rsid w:val="00E81109"/>
    <w:rsid w:val="00E81424"/>
    <w:rsid w:val="00E81723"/>
    <w:rsid w:val="00E818E3"/>
    <w:rsid w:val="00E81909"/>
    <w:rsid w:val="00E81968"/>
    <w:rsid w:val="00E82324"/>
    <w:rsid w:val="00E823F7"/>
    <w:rsid w:val="00E82418"/>
    <w:rsid w:val="00E825B3"/>
    <w:rsid w:val="00E826E3"/>
    <w:rsid w:val="00E828AA"/>
    <w:rsid w:val="00E831B1"/>
    <w:rsid w:val="00E8320A"/>
    <w:rsid w:val="00E833F3"/>
    <w:rsid w:val="00E83606"/>
    <w:rsid w:val="00E8377F"/>
    <w:rsid w:val="00E838D8"/>
    <w:rsid w:val="00E838E0"/>
    <w:rsid w:val="00E83A72"/>
    <w:rsid w:val="00E83ADA"/>
    <w:rsid w:val="00E83C53"/>
    <w:rsid w:val="00E84445"/>
    <w:rsid w:val="00E84531"/>
    <w:rsid w:val="00E84727"/>
    <w:rsid w:val="00E84AB7"/>
    <w:rsid w:val="00E84B41"/>
    <w:rsid w:val="00E84B96"/>
    <w:rsid w:val="00E84E3C"/>
    <w:rsid w:val="00E84E68"/>
    <w:rsid w:val="00E84F44"/>
    <w:rsid w:val="00E84F5C"/>
    <w:rsid w:val="00E85114"/>
    <w:rsid w:val="00E85365"/>
    <w:rsid w:val="00E8544C"/>
    <w:rsid w:val="00E8562D"/>
    <w:rsid w:val="00E859A5"/>
    <w:rsid w:val="00E85B73"/>
    <w:rsid w:val="00E85F21"/>
    <w:rsid w:val="00E85F4D"/>
    <w:rsid w:val="00E86589"/>
    <w:rsid w:val="00E8667B"/>
    <w:rsid w:val="00E86833"/>
    <w:rsid w:val="00E868B5"/>
    <w:rsid w:val="00E869E6"/>
    <w:rsid w:val="00E86A92"/>
    <w:rsid w:val="00E86D30"/>
    <w:rsid w:val="00E86DF3"/>
    <w:rsid w:val="00E86F25"/>
    <w:rsid w:val="00E87047"/>
    <w:rsid w:val="00E872AD"/>
    <w:rsid w:val="00E87376"/>
    <w:rsid w:val="00E87475"/>
    <w:rsid w:val="00E87485"/>
    <w:rsid w:val="00E87676"/>
    <w:rsid w:val="00E8779D"/>
    <w:rsid w:val="00E87887"/>
    <w:rsid w:val="00E87B6E"/>
    <w:rsid w:val="00E87C76"/>
    <w:rsid w:val="00E87DCA"/>
    <w:rsid w:val="00E87DD8"/>
    <w:rsid w:val="00E87FC9"/>
    <w:rsid w:val="00E90259"/>
    <w:rsid w:val="00E90527"/>
    <w:rsid w:val="00E90612"/>
    <w:rsid w:val="00E9071A"/>
    <w:rsid w:val="00E908FD"/>
    <w:rsid w:val="00E9094D"/>
    <w:rsid w:val="00E90C16"/>
    <w:rsid w:val="00E90C5C"/>
    <w:rsid w:val="00E90E4F"/>
    <w:rsid w:val="00E91108"/>
    <w:rsid w:val="00E916A5"/>
    <w:rsid w:val="00E918F7"/>
    <w:rsid w:val="00E91A5D"/>
    <w:rsid w:val="00E91AC8"/>
    <w:rsid w:val="00E91ADF"/>
    <w:rsid w:val="00E91AEE"/>
    <w:rsid w:val="00E91D6A"/>
    <w:rsid w:val="00E91EDB"/>
    <w:rsid w:val="00E91F8F"/>
    <w:rsid w:val="00E91F9E"/>
    <w:rsid w:val="00E91FEF"/>
    <w:rsid w:val="00E922F2"/>
    <w:rsid w:val="00E92863"/>
    <w:rsid w:val="00E9293F"/>
    <w:rsid w:val="00E92961"/>
    <w:rsid w:val="00E9296C"/>
    <w:rsid w:val="00E929E2"/>
    <w:rsid w:val="00E92E20"/>
    <w:rsid w:val="00E92F3B"/>
    <w:rsid w:val="00E92FBA"/>
    <w:rsid w:val="00E93327"/>
    <w:rsid w:val="00E933A8"/>
    <w:rsid w:val="00E93429"/>
    <w:rsid w:val="00E9342A"/>
    <w:rsid w:val="00E934BF"/>
    <w:rsid w:val="00E93587"/>
    <w:rsid w:val="00E9385B"/>
    <w:rsid w:val="00E93905"/>
    <w:rsid w:val="00E93CA7"/>
    <w:rsid w:val="00E93D18"/>
    <w:rsid w:val="00E93D93"/>
    <w:rsid w:val="00E941E1"/>
    <w:rsid w:val="00E942B4"/>
    <w:rsid w:val="00E94307"/>
    <w:rsid w:val="00E943DC"/>
    <w:rsid w:val="00E94409"/>
    <w:rsid w:val="00E94449"/>
    <w:rsid w:val="00E944F6"/>
    <w:rsid w:val="00E94BD4"/>
    <w:rsid w:val="00E94D0B"/>
    <w:rsid w:val="00E94DEE"/>
    <w:rsid w:val="00E94DF4"/>
    <w:rsid w:val="00E9530D"/>
    <w:rsid w:val="00E95324"/>
    <w:rsid w:val="00E954C4"/>
    <w:rsid w:val="00E95C94"/>
    <w:rsid w:val="00E95C96"/>
    <w:rsid w:val="00E96014"/>
    <w:rsid w:val="00E9618D"/>
    <w:rsid w:val="00E96190"/>
    <w:rsid w:val="00E961E4"/>
    <w:rsid w:val="00E96275"/>
    <w:rsid w:val="00E965AA"/>
    <w:rsid w:val="00E9687C"/>
    <w:rsid w:val="00E969C3"/>
    <w:rsid w:val="00E969D2"/>
    <w:rsid w:val="00E96A55"/>
    <w:rsid w:val="00E96AE5"/>
    <w:rsid w:val="00E96B81"/>
    <w:rsid w:val="00E96D0F"/>
    <w:rsid w:val="00E96F5C"/>
    <w:rsid w:val="00E96F5D"/>
    <w:rsid w:val="00E96FCB"/>
    <w:rsid w:val="00E97312"/>
    <w:rsid w:val="00E9743A"/>
    <w:rsid w:val="00E9743E"/>
    <w:rsid w:val="00E976C8"/>
    <w:rsid w:val="00E97AA1"/>
    <w:rsid w:val="00E97BA9"/>
    <w:rsid w:val="00E97EEE"/>
    <w:rsid w:val="00E97F11"/>
    <w:rsid w:val="00EA0166"/>
    <w:rsid w:val="00EA0179"/>
    <w:rsid w:val="00EA040F"/>
    <w:rsid w:val="00EA045C"/>
    <w:rsid w:val="00EA067D"/>
    <w:rsid w:val="00EA0868"/>
    <w:rsid w:val="00EA0A49"/>
    <w:rsid w:val="00EA0CDF"/>
    <w:rsid w:val="00EA0D0A"/>
    <w:rsid w:val="00EA0D2D"/>
    <w:rsid w:val="00EA0E10"/>
    <w:rsid w:val="00EA1025"/>
    <w:rsid w:val="00EA112C"/>
    <w:rsid w:val="00EA12E1"/>
    <w:rsid w:val="00EA1447"/>
    <w:rsid w:val="00EA15C1"/>
    <w:rsid w:val="00EA1660"/>
    <w:rsid w:val="00EA16B1"/>
    <w:rsid w:val="00EA1B06"/>
    <w:rsid w:val="00EA1B52"/>
    <w:rsid w:val="00EA201A"/>
    <w:rsid w:val="00EA207B"/>
    <w:rsid w:val="00EA21A1"/>
    <w:rsid w:val="00EA21AB"/>
    <w:rsid w:val="00EA2422"/>
    <w:rsid w:val="00EA2794"/>
    <w:rsid w:val="00EA2AA6"/>
    <w:rsid w:val="00EA2AE8"/>
    <w:rsid w:val="00EA2E20"/>
    <w:rsid w:val="00EA2FCC"/>
    <w:rsid w:val="00EA301C"/>
    <w:rsid w:val="00EA3094"/>
    <w:rsid w:val="00EA316C"/>
    <w:rsid w:val="00EA31AF"/>
    <w:rsid w:val="00EA337C"/>
    <w:rsid w:val="00EA3491"/>
    <w:rsid w:val="00EA3584"/>
    <w:rsid w:val="00EA361E"/>
    <w:rsid w:val="00EA368B"/>
    <w:rsid w:val="00EA37B0"/>
    <w:rsid w:val="00EA3911"/>
    <w:rsid w:val="00EA394A"/>
    <w:rsid w:val="00EA394C"/>
    <w:rsid w:val="00EA3A43"/>
    <w:rsid w:val="00EA4237"/>
    <w:rsid w:val="00EA42E3"/>
    <w:rsid w:val="00EA4489"/>
    <w:rsid w:val="00EA45C2"/>
    <w:rsid w:val="00EA45E5"/>
    <w:rsid w:val="00EA46EB"/>
    <w:rsid w:val="00EA4721"/>
    <w:rsid w:val="00EA481B"/>
    <w:rsid w:val="00EA4952"/>
    <w:rsid w:val="00EA497A"/>
    <w:rsid w:val="00EA49A1"/>
    <w:rsid w:val="00EA4AE9"/>
    <w:rsid w:val="00EA4B2E"/>
    <w:rsid w:val="00EA4C7A"/>
    <w:rsid w:val="00EA4FB2"/>
    <w:rsid w:val="00EA5106"/>
    <w:rsid w:val="00EA5293"/>
    <w:rsid w:val="00EA5490"/>
    <w:rsid w:val="00EA56AB"/>
    <w:rsid w:val="00EA5939"/>
    <w:rsid w:val="00EA5C1C"/>
    <w:rsid w:val="00EA6035"/>
    <w:rsid w:val="00EA609D"/>
    <w:rsid w:val="00EA6B04"/>
    <w:rsid w:val="00EA6C7F"/>
    <w:rsid w:val="00EA6F6C"/>
    <w:rsid w:val="00EA71C5"/>
    <w:rsid w:val="00EA72FA"/>
    <w:rsid w:val="00EA73D8"/>
    <w:rsid w:val="00EA7421"/>
    <w:rsid w:val="00EA74A0"/>
    <w:rsid w:val="00EA767B"/>
    <w:rsid w:val="00EA767E"/>
    <w:rsid w:val="00EA799B"/>
    <w:rsid w:val="00EA79B1"/>
    <w:rsid w:val="00EA7A0C"/>
    <w:rsid w:val="00EA7A58"/>
    <w:rsid w:val="00EA7AE7"/>
    <w:rsid w:val="00EA7BD6"/>
    <w:rsid w:val="00EA7C81"/>
    <w:rsid w:val="00EA7EB6"/>
    <w:rsid w:val="00EB0190"/>
    <w:rsid w:val="00EB02A1"/>
    <w:rsid w:val="00EB053C"/>
    <w:rsid w:val="00EB06E7"/>
    <w:rsid w:val="00EB077E"/>
    <w:rsid w:val="00EB07F2"/>
    <w:rsid w:val="00EB0918"/>
    <w:rsid w:val="00EB098F"/>
    <w:rsid w:val="00EB0C82"/>
    <w:rsid w:val="00EB0F43"/>
    <w:rsid w:val="00EB1144"/>
    <w:rsid w:val="00EB11AD"/>
    <w:rsid w:val="00EB1817"/>
    <w:rsid w:val="00EB18F6"/>
    <w:rsid w:val="00EB1B52"/>
    <w:rsid w:val="00EB1BB0"/>
    <w:rsid w:val="00EB1C59"/>
    <w:rsid w:val="00EB20DD"/>
    <w:rsid w:val="00EB2128"/>
    <w:rsid w:val="00EB2278"/>
    <w:rsid w:val="00EB260B"/>
    <w:rsid w:val="00EB268E"/>
    <w:rsid w:val="00EB26A0"/>
    <w:rsid w:val="00EB27F6"/>
    <w:rsid w:val="00EB28F4"/>
    <w:rsid w:val="00EB2FFD"/>
    <w:rsid w:val="00EB3032"/>
    <w:rsid w:val="00EB32E4"/>
    <w:rsid w:val="00EB352C"/>
    <w:rsid w:val="00EB37DC"/>
    <w:rsid w:val="00EB38BC"/>
    <w:rsid w:val="00EB39C1"/>
    <w:rsid w:val="00EB3D26"/>
    <w:rsid w:val="00EB3D7E"/>
    <w:rsid w:val="00EB3EBF"/>
    <w:rsid w:val="00EB3FA3"/>
    <w:rsid w:val="00EB40F3"/>
    <w:rsid w:val="00EB412B"/>
    <w:rsid w:val="00EB4143"/>
    <w:rsid w:val="00EB4279"/>
    <w:rsid w:val="00EB42A9"/>
    <w:rsid w:val="00EB4792"/>
    <w:rsid w:val="00EB4D38"/>
    <w:rsid w:val="00EB4F3F"/>
    <w:rsid w:val="00EB5148"/>
    <w:rsid w:val="00EB51A5"/>
    <w:rsid w:val="00EB51D8"/>
    <w:rsid w:val="00EB5361"/>
    <w:rsid w:val="00EB55B6"/>
    <w:rsid w:val="00EB580B"/>
    <w:rsid w:val="00EB5940"/>
    <w:rsid w:val="00EB5957"/>
    <w:rsid w:val="00EB5B53"/>
    <w:rsid w:val="00EB5C11"/>
    <w:rsid w:val="00EB5C93"/>
    <w:rsid w:val="00EB5D01"/>
    <w:rsid w:val="00EB616E"/>
    <w:rsid w:val="00EB64D0"/>
    <w:rsid w:val="00EB65B2"/>
    <w:rsid w:val="00EB6611"/>
    <w:rsid w:val="00EB6798"/>
    <w:rsid w:val="00EB6987"/>
    <w:rsid w:val="00EB6C72"/>
    <w:rsid w:val="00EB6CA8"/>
    <w:rsid w:val="00EB6E60"/>
    <w:rsid w:val="00EB6FD3"/>
    <w:rsid w:val="00EB70DA"/>
    <w:rsid w:val="00EB711B"/>
    <w:rsid w:val="00EB7147"/>
    <w:rsid w:val="00EB71ED"/>
    <w:rsid w:val="00EB72EB"/>
    <w:rsid w:val="00EB73AE"/>
    <w:rsid w:val="00EB75B2"/>
    <w:rsid w:val="00EB761A"/>
    <w:rsid w:val="00EB780C"/>
    <w:rsid w:val="00EB79E9"/>
    <w:rsid w:val="00EC015B"/>
    <w:rsid w:val="00EC036F"/>
    <w:rsid w:val="00EC039B"/>
    <w:rsid w:val="00EC0430"/>
    <w:rsid w:val="00EC06C2"/>
    <w:rsid w:val="00EC08C0"/>
    <w:rsid w:val="00EC0A41"/>
    <w:rsid w:val="00EC0B6A"/>
    <w:rsid w:val="00EC1132"/>
    <w:rsid w:val="00EC116B"/>
    <w:rsid w:val="00EC11D8"/>
    <w:rsid w:val="00EC1249"/>
    <w:rsid w:val="00EC14FE"/>
    <w:rsid w:val="00EC1545"/>
    <w:rsid w:val="00EC15DB"/>
    <w:rsid w:val="00EC15F5"/>
    <w:rsid w:val="00EC18BD"/>
    <w:rsid w:val="00EC199D"/>
    <w:rsid w:val="00EC1BF7"/>
    <w:rsid w:val="00EC1EB6"/>
    <w:rsid w:val="00EC1ED3"/>
    <w:rsid w:val="00EC1FA4"/>
    <w:rsid w:val="00EC1FBF"/>
    <w:rsid w:val="00EC1FD6"/>
    <w:rsid w:val="00EC2012"/>
    <w:rsid w:val="00EC2091"/>
    <w:rsid w:val="00EC20B0"/>
    <w:rsid w:val="00EC260A"/>
    <w:rsid w:val="00EC26E9"/>
    <w:rsid w:val="00EC2B4A"/>
    <w:rsid w:val="00EC2DC9"/>
    <w:rsid w:val="00EC2E2A"/>
    <w:rsid w:val="00EC2F5F"/>
    <w:rsid w:val="00EC307C"/>
    <w:rsid w:val="00EC32F0"/>
    <w:rsid w:val="00EC3471"/>
    <w:rsid w:val="00EC36E9"/>
    <w:rsid w:val="00EC376B"/>
    <w:rsid w:val="00EC38C8"/>
    <w:rsid w:val="00EC3A5C"/>
    <w:rsid w:val="00EC3CF1"/>
    <w:rsid w:val="00EC3E1E"/>
    <w:rsid w:val="00EC3E4D"/>
    <w:rsid w:val="00EC3E84"/>
    <w:rsid w:val="00EC40CA"/>
    <w:rsid w:val="00EC41E6"/>
    <w:rsid w:val="00EC4208"/>
    <w:rsid w:val="00EC4604"/>
    <w:rsid w:val="00EC47E9"/>
    <w:rsid w:val="00EC480C"/>
    <w:rsid w:val="00EC4F2C"/>
    <w:rsid w:val="00EC4FE9"/>
    <w:rsid w:val="00EC51B6"/>
    <w:rsid w:val="00EC5225"/>
    <w:rsid w:val="00EC53F7"/>
    <w:rsid w:val="00EC54D3"/>
    <w:rsid w:val="00EC56CE"/>
    <w:rsid w:val="00EC57EC"/>
    <w:rsid w:val="00EC5A16"/>
    <w:rsid w:val="00EC5AD8"/>
    <w:rsid w:val="00EC62E4"/>
    <w:rsid w:val="00EC6799"/>
    <w:rsid w:val="00EC682C"/>
    <w:rsid w:val="00EC69AF"/>
    <w:rsid w:val="00EC69CF"/>
    <w:rsid w:val="00EC6C1C"/>
    <w:rsid w:val="00EC6DB6"/>
    <w:rsid w:val="00EC6E8A"/>
    <w:rsid w:val="00EC71C2"/>
    <w:rsid w:val="00EC74EA"/>
    <w:rsid w:val="00EC7783"/>
    <w:rsid w:val="00EC7CF9"/>
    <w:rsid w:val="00EC7D1A"/>
    <w:rsid w:val="00ED0027"/>
    <w:rsid w:val="00ED0193"/>
    <w:rsid w:val="00ED02E2"/>
    <w:rsid w:val="00ED0563"/>
    <w:rsid w:val="00ED0595"/>
    <w:rsid w:val="00ED0660"/>
    <w:rsid w:val="00ED0763"/>
    <w:rsid w:val="00ED0BCD"/>
    <w:rsid w:val="00ED0C31"/>
    <w:rsid w:val="00ED0C6F"/>
    <w:rsid w:val="00ED0E11"/>
    <w:rsid w:val="00ED0E8A"/>
    <w:rsid w:val="00ED1083"/>
    <w:rsid w:val="00ED1104"/>
    <w:rsid w:val="00ED1113"/>
    <w:rsid w:val="00ED11D4"/>
    <w:rsid w:val="00ED123B"/>
    <w:rsid w:val="00ED1339"/>
    <w:rsid w:val="00ED139C"/>
    <w:rsid w:val="00ED1526"/>
    <w:rsid w:val="00ED1726"/>
    <w:rsid w:val="00ED1A81"/>
    <w:rsid w:val="00ED1BB9"/>
    <w:rsid w:val="00ED1CF4"/>
    <w:rsid w:val="00ED1DA3"/>
    <w:rsid w:val="00ED1FE6"/>
    <w:rsid w:val="00ED2007"/>
    <w:rsid w:val="00ED204E"/>
    <w:rsid w:val="00ED217F"/>
    <w:rsid w:val="00ED27B0"/>
    <w:rsid w:val="00ED2896"/>
    <w:rsid w:val="00ED2B0C"/>
    <w:rsid w:val="00ED2C09"/>
    <w:rsid w:val="00ED2C74"/>
    <w:rsid w:val="00ED2CB6"/>
    <w:rsid w:val="00ED3038"/>
    <w:rsid w:val="00ED3087"/>
    <w:rsid w:val="00ED33AB"/>
    <w:rsid w:val="00ED3622"/>
    <w:rsid w:val="00ED3631"/>
    <w:rsid w:val="00ED398B"/>
    <w:rsid w:val="00ED3993"/>
    <w:rsid w:val="00ED3A62"/>
    <w:rsid w:val="00ED3CA5"/>
    <w:rsid w:val="00ED4038"/>
    <w:rsid w:val="00ED41C0"/>
    <w:rsid w:val="00ED4385"/>
    <w:rsid w:val="00ED4495"/>
    <w:rsid w:val="00ED458A"/>
    <w:rsid w:val="00ED4D5B"/>
    <w:rsid w:val="00ED5040"/>
    <w:rsid w:val="00ED5069"/>
    <w:rsid w:val="00ED521E"/>
    <w:rsid w:val="00ED5268"/>
    <w:rsid w:val="00ED548E"/>
    <w:rsid w:val="00ED54E9"/>
    <w:rsid w:val="00ED588E"/>
    <w:rsid w:val="00ED58F9"/>
    <w:rsid w:val="00ED5AE2"/>
    <w:rsid w:val="00ED5B2B"/>
    <w:rsid w:val="00ED5C12"/>
    <w:rsid w:val="00ED5FD5"/>
    <w:rsid w:val="00ED63D2"/>
    <w:rsid w:val="00ED644B"/>
    <w:rsid w:val="00ED65CE"/>
    <w:rsid w:val="00ED69BC"/>
    <w:rsid w:val="00ED6A9A"/>
    <w:rsid w:val="00ED6B30"/>
    <w:rsid w:val="00ED6B9D"/>
    <w:rsid w:val="00ED6FFF"/>
    <w:rsid w:val="00ED71A6"/>
    <w:rsid w:val="00ED726B"/>
    <w:rsid w:val="00ED72B2"/>
    <w:rsid w:val="00ED7304"/>
    <w:rsid w:val="00ED7361"/>
    <w:rsid w:val="00ED7704"/>
    <w:rsid w:val="00ED7735"/>
    <w:rsid w:val="00ED77A8"/>
    <w:rsid w:val="00ED7811"/>
    <w:rsid w:val="00ED7828"/>
    <w:rsid w:val="00ED7ACF"/>
    <w:rsid w:val="00ED7B21"/>
    <w:rsid w:val="00ED7BAC"/>
    <w:rsid w:val="00ED7C25"/>
    <w:rsid w:val="00ED7F5F"/>
    <w:rsid w:val="00EE0174"/>
    <w:rsid w:val="00EE059F"/>
    <w:rsid w:val="00EE0AC4"/>
    <w:rsid w:val="00EE0BBB"/>
    <w:rsid w:val="00EE0BCC"/>
    <w:rsid w:val="00EE0C93"/>
    <w:rsid w:val="00EE0DDD"/>
    <w:rsid w:val="00EE0DDE"/>
    <w:rsid w:val="00EE0E76"/>
    <w:rsid w:val="00EE0F58"/>
    <w:rsid w:val="00EE104E"/>
    <w:rsid w:val="00EE1109"/>
    <w:rsid w:val="00EE119B"/>
    <w:rsid w:val="00EE14B0"/>
    <w:rsid w:val="00EE14C4"/>
    <w:rsid w:val="00EE163B"/>
    <w:rsid w:val="00EE1C44"/>
    <w:rsid w:val="00EE1D25"/>
    <w:rsid w:val="00EE1FEE"/>
    <w:rsid w:val="00EE202D"/>
    <w:rsid w:val="00EE21C5"/>
    <w:rsid w:val="00EE2580"/>
    <w:rsid w:val="00EE2812"/>
    <w:rsid w:val="00EE28BF"/>
    <w:rsid w:val="00EE2940"/>
    <w:rsid w:val="00EE29B2"/>
    <w:rsid w:val="00EE2A05"/>
    <w:rsid w:val="00EE2B24"/>
    <w:rsid w:val="00EE2C31"/>
    <w:rsid w:val="00EE2D09"/>
    <w:rsid w:val="00EE2EA2"/>
    <w:rsid w:val="00EE2F1D"/>
    <w:rsid w:val="00EE2F1F"/>
    <w:rsid w:val="00EE2F53"/>
    <w:rsid w:val="00EE306A"/>
    <w:rsid w:val="00EE353D"/>
    <w:rsid w:val="00EE380A"/>
    <w:rsid w:val="00EE3942"/>
    <w:rsid w:val="00EE3996"/>
    <w:rsid w:val="00EE3A27"/>
    <w:rsid w:val="00EE3B2E"/>
    <w:rsid w:val="00EE3C03"/>
    <w:rsid w:val="00EE3D21"/>
    <w:rsid w:val="00EE3F6E"/>
    <w:rsid w:val="00EE3FC2"/>
    <w:rsid w:val="00EE4157"/>
    <w:rsid w:val="00EE4289"/>
    <w:rsid w:val="00EE42A1"/>
    <w:rsid w:val="00EE464C"/>
    <w:rsid w:val="00EE4715"/>
    <w:rsid w:val="00EE48FF"/>
    <w:rsid w:val="00EE49FC"/>
    <w:rsid w:val="00EE4AE7"/>
    <w:rsid w:val="00EE4E2B"/>
    <w:rsid w:val="00EE4E70"/>
    <w:rsid w:val="00EE5204"/>
    <w:rsid w:val="00EE537D"/>
    <w:rsid w:val="00EE546D"/>
    <w:rsid w:val="00EE54C7"/>
    <w:rsid w:val="00EE55C2"/>
    <w:rsid w:val="00EE57A3"/>
    <w:rsid w:val="00EE58CD"/>
    <w:rsid w:val="00EE59BE"/>
    <w:rsid w:val="00EE5A73"/>
    <w:rsid w:val="00EE5A9A"/>
    <w:rsid w:val="00EE5AC1"/>
    <w:rsid w:val="00EE5BFB"/>
    <w:rsid w:val="00EE5D26"/>
    <w:rsid w:val="00EE5E0C"/>
    <w:rsid w:val="00EE5F3A"/>
    <w:rsid w:val="00EE60E6"/>
    <w:rsid w:val="00EE612F"/>
    <w:rsid w:val="00EE6281"/>
    <w:rsid w:val="00EE6304"/>
    <w:rsid w:val="00EE6516"/>
    <w:rsid w:val="00EE6631"/>
    <w:rsid w:val="00EE67B8"/>
    <w:rsid w:val="00EE6870"/>
    <w:rsid w:val="00EE696B"/>
    <w:rsid w:val="00EE6C95"/>
    <w:rsid w:val="00EE6E88"/>
    <w:rsid w:val="00EE6FE7"/>
    <w:rsid w:val="00EE709A"/>
    <w:rsid w:val="00EE70A8"/>
    <w:rsid w:val="00EE71BB"/>
    <w:rsid w:val="00EE72BF"/>
    <w:rsid w:val="00EE737E"/>
    <w:rsid w:val="00EE74BD"/>
    <w:rsid w:val="00EE75A5"/>
    <w:rsid w:val="00EE75FD"/>
    <w:rsid w:val="00EE7A20"/>
    <w:rsid w:val="00EE7BAE"/>
    <w:rsid w:val="00EE7F86"/>
    <w:rsid w:val="00EF0045"/>
    <w:rsid w:val="00EF0200"/>
    <w:rsid w:val="00EF0491"/>
    <w:rsid w:val="00EF058D"/>
    <w:rsid w:val="00EF0591"/>
    <w:rsid w:val="00EF07B3"/>
    <w:rsid w:val="00EF07EF"/>
    <w:rsid w:val="00EF08B9"/>
    <w:rsid w:val="00EF0BEE"/>
    <w:rsid w:val="00EF0F24"/>
    <w:rsid w:val="00EF110F"/>
    <w:rsid w:val="00EF12FA"/>
    <w:rsid w:val="00EF1545"/>
    <w:rsid w:val="00EF1686"/>
    <w:rsid w:val="00EF1941"/>
    <w:rsid w:val="00EF19E3"/>
    <w:rsid w:val="00EF1CD5"/>
    <w:rsid w:val="00EF1E78"/>
    <w:rsid w:val="00EF1EB7"/>
    <w:rsid w:val="00EF2204"/>
    <w:rsid w:val="00EF22CA"/>
    <w:rsid w:val="00EF240C"/>
    <w:rsid w:val="00EF2491"/>
    <w:rsid w:val="00EF24A0"/>
    <w:rsid w:val="00EF2858"/>
    <w:rsid w:val="00EF29F9"/>
    <w:rsid w:val="00EF2E37"/>
    <w:rsid w:val="00EF2E60"/>
    <w:rsid w:val="00EF2E6F"/>
    <w:rsid w:val="00EF2F00"/>
    <w:rsid w:val="00EF3147"/>
    <w:rsid w:val="00EF363D"/>
    <w:rsid w:val="00EF3674"/>
    <w:rsid w:val="00EF37EA"/>
    <w:rsid w:val="00EF3B47"/>
    <w:rsid w:val="00EF3DAD"/>
    <w:rsid w:val="00EF3E0F"/>
    <w:rsid w:val="00EF3E6B"/>
    <w:rsid w:val="00EF403D"/>
    <w:rsid w:val="00EF4089"/>
    <w:rsid w:val="00EF452A"/>
    <w:rsid w:val="00EF47BD"/>
    <w:rsid w:val="00EF4D89"/>
    <w:rsid w:val="00EF4E5A"/>
    <w:rsid w:val="00EF4E8C"/>
    <w:rsid w:val="00EF4FA2"/>
    <w:rsid w:val="00EF546D"/>
    <w:rsid w:val="00EF5535"/>
    <w:rsid w:val="00EF5CD5"/>
    <w:rsid w:val="00EF5D29"/>
    <w:rsid w:val="00EF5FB3"/>
    <w:rsid w:val="00EF6119"/>
    <w:rsid w:val="00EF624C"/>
    <w:rsid w:val="00EF6336"/>
    <w:rsid w:val="00EF65CA"/>
    <w:rsid w:val="00EF6614"/>
    <w:rsid w:val="00EF66A5"/>
    <w:rsid w:val="00EF678A"/>
    <w:rsid w:val="00EF67FD"/>
    <w:rsid w:val="00EF68EF"/>
    <w:rsid w:val="00EF697B"/>
    <w:rsid w:val="00EF69F3"/>
    <w:rsid w:val="00EF6D5E"/>
    <w:rsid w:val="00EF6F92"/>
    <w:rsid w:val="00EF70E8"/>
    <w:rsid w:val="00EF7125"/>
    <w:rsid w:val="00EF718D"/>
    <w:rsid w:val="00EF7348"/>
    <w:rsid w:val="00EF7435"/>
    <w:rsid w:val="00EF7658"/>
    <w:rsid w:val="00EF76BB"/>
    <w:rsid w:val="00EF7786"/>
    <w:rsid w:val="00EF79B3"/>
    <w:rsid w:val="00EF79FE"/>
    <w:rsid w:val="00EF7D93"/>
    <w:rsid w:val="00EF7F11"/>
    <w:rsid w:val="00F00442"/>
    <w:rsid w:val="00F0048C"/>
    <w:rsid w:val="00F00690"/>
    <w:rsid w:val="00F00866"/>
    <w:rsid w:val="00F00900"/>
    <w:rsid w:val="00F00964"/>
    <w:rsid w:val="00F009C1"/>
    <w:rsid w:val="00F00C81"/>
    <w:rsid w:val="00F00E1B"/>
    <w:rsid w:val="00F00FF6"/>
    <w:rsid w:val="00F01073"/>
    <w:rsid w:val="00F01076"/>
    <w:rsid w:val="00F0118D"/>
    <w:rsid w:val="00F01275"/>
    <w:rsid w:val="00F01630"/>
    <w:rsid w:val="00F016BD"/>
    <w:rsid w:val="00F019F2"/>
    <w:rsid w:val="00F01DC7"/>
    <w:rsid w:val="00F01E94"/>
    <w:rsid w:val="00F0283D"/>
    <w:rsid w:val="00F029DC"/>
    <w:rsid w:val="00F02AAC"/>
    <w:rsid w:val="00F02CCA"/>
    <w:rsid w:val="00F02DAD"/>
    <w:rsid w:val="00F02F97"/>
    <w:rsid w:val="00F031B7"/>
    <w:rsid w:val="00F033D7"/>
    <w:rsid w:val="00F03464"/>
    <w:rsid w:val="00F03469"/>
    <w:rsid w:val="00F0373D"/>
    <w:rsid w:val="00F0384C"/>
    <w:rsid w:val="00F039AB"/>
    <w:rsid w:val="00F03DD3"/>
    <w:rsid w:val="00F03DEA"/>
    <w:rsid w:val="00F03EB1"/>
    <w:rsid w:val="00F03FAF"/>
    <w:rsid w:val="00F0420C"/>
    <w:rsid w:val="00F044CD"/>
    <w:rsid w:val="00F0452F"/>
    <w:rsid w:val="00F045F9"/>
    <w:rsid w:val="00F04E3A"/>
    <w:rsid w:val="00F04F90"/>
    <w:rsid w:val="00F053E8"/>
    <w:rsid w:val="00F056D3"/>
    <w:rsid w:val="00F05AA6"/>
    <w:rsid w:val="00F05C8A"/>
    <w:rsid w:val="00F0637B"/>
    <w:rsid w:val="00F06442"/>
    <w:rsid w:val="00F06534"/>
    <w:rsid w:val="00F06592"/>
    <w:rsid w:val="00F069FC"/>
    <w:rsid w:val="00F06A05"/>
    <w:rsid w:val="00F06A47"/>
    <w:rsid w:val="00F06ADB"/>
    <w:rsid w:val="00F06D1F"/>
    <w:rsid w:val="00F06EB7"/>
    <w:rsid w:val="00F06EEA"/>
    <w:rsid w:val="00F07123"/>
    <w:rsid w:val="00F07282"/>
    <w:rsid w:val="00F0729F"/>
    <w:rsid w:val="00F07525"/>
    <w:rsid w:val="00F07937"/>
    <w:rsid w:val="00F079A4"/>
    <w:rsid w:val="00F07ACF"/>
    <w:rsid w:val="00F07DE0"/>
    <w:rsid w:val="00F07F43"/>
    <w:rsid w:val="00F07FEF"/>
    <w:rsid w:val="00F102F7"/>
    <w:rsid w:val="00F10300"/>
    <w:rsid w:val="00F103A0"/>
    <w:rsid w:val="00F1040F"/>
    <w:rsid w:val="00F10556"/>
    <w:rsid w:val="00F108C6"/>
    <w:rsid w:val="00F109E8"/>
    <w:rsid w:val="00F10B61"/>
    <w:rsid w:val="00F10C50"/>
    <w:rsid w:val="00F10DC3"/>
    <w:rsid w:val="00F111F8"/>
    <w:rsid w:val="00F11298"/>
    <w:rsid w:val="00F1161E"/>
    <w:rsid w:val="00F119EF"/>
    <w:rsid w:val="00F11AEE"/>
    <w:rsid w:val="00F11BD9"/>
    <w:rsid w:val="00F11C86"/>
    <w:rsid w:val="00F11CD3"/>
    <w:rsid w:val="00F11CDD"/>
    <w:rsid w:val="00F11FF2"/>
    <w:rsid w:val="00F12265"/>
    <w:rsid w:val="00F12423"/>
    <w:rsid w:val="00F12434"/>
    <w:rsid w:val="00F124F8"/>
    <w:rsid w:val="00F1262F"/>
    <w:rsid w:val="00F126A9"/>
    <w:rsid w:val="00F12754"/>
    <w:rsid w:val="00F12968"/>
    <w:rsid w:val="00F12A08"/>
    <w:rsid w:val="00F12C51"/>
    <w:rsid w:val="00F12F0B"/>
    <w:rsid w:val="00F12F76"/>
    <w:rsid w:val="00F12FD1"/>
    <w:rsid w:val="00F12FD5"/>
    <w:rsid w:val="00F130A3"/>
    <w:rsid w:val="00F130B6"/>
    <w:rsid w:val="00F1323B"/>
    <w:rsid w:val="00F13287"/>
    <w:rsid w:val="00F132FA"/>
    <w:rsid w:val="00F133C9"/>
    <w:rsid w:val="00F1352B"/>
    <w:rsid w:val="00F13536"/>
    <w:rsid w:val="00F13566"/>
    <w:rsid w:val="00F135A1"/>
    <w:rsid w:val="00F13788"/>
    <w:rsid w:val="00F138DB"/>
    <w:rsid w:val="00F138F4"/>
    <w:rsid w:val="00F13A62"/>
    <w:rsid w:val="00F13AB6"/>
    <w:rsid w:val="00F13ABA"/>
    <w:rsid w:val="00F13C80"/>
    <w:rsid w:val="00F13D5B"/>
    <w:rsid w:val="00F13F05"/>
    <w:rsid w:val="00F14015"/>
    <w:rsid w:val="00F14311"/>
    <w:rsid w:val="00F1443D"/>
    <w:rsid w:val="00F14568"/>
    <w:rsid w:val="00F145D2"/>
    <w:rsid w:val="00F14605"/>
    <w:rsid w:val="00F147D7"/>
    <w:rsid w:val="00F14840"/>
    <w:rsid w:val="00F1489C"/>
    <w:rsid w:val="00F148E9"/>
    <w:rsid w:val="00F149DB"/>
    <w:rsid w:val="00F14BCA"/>
    <w:rsid w:val="00F14F2E"/>
    <w:rsid w:val="00F151F4"/>
    <w:rsid w:val="00F15447"/>
    <w:rsid w:val="00F1545F"/>
    <w:rsid w:val="00F15475"/>
    <w:rsid w:val="00F154C8"/>
    <w:rsid w:val="00F158D9"/>
    <w:rsid w:val="00F15928"/>
    <w:rsid w:val="00F15A2B"/>
    <w:rsid w:val="00F15A67"/>
    <w:rsid w:val="00F15E96"/>
    <w:rsid w:val="00F15F8E"/>
    <w:rsid w:val="00F160DE"/>
    <w:rsid w:val="00F16353"/>
    <w:rsid w:val="00F1652E"/>
    <w:rsid w:val="00F1661A"/>
    <w:rsid w:val="00F1674D"/>
    <w:rsid w:val="00F167E0"/>
    <w:rsid w:val="00F16A3E"/>
    <w:rsid w:val="00F16BE1"/>
    <w:rsid w:val="00F16E35"/>
    <w:rsid w:val="00F16EA8"/>
    <w:rsid w:val="00F1707B"/>
    <w:rsid w:val="00F171E3"/>
    <w:rsid w:val="00F1738E"/>
    <w:rsid w:val="00F1747F"/>
    <w:rsid w:val="00F177FC"/>
    <w:rsid w:val="00F17919"/>
    <w:rsid w:val="00F17998"/>
    <w:rsid w:val="00F17A3C"/>
    <w:rsid w:val="00F17B6B"/>
    <w:rsid w:val="00F17CF4"/>
    <w:rsid w:val="00F17DCD"/>
    <w:rsid w:val="00F17ECD"/>
    <w:rsid w:val="00F17EF7"/>
    <w:rsid w:val="00F19800"/>
    <w:rsid w:val="00F200EF"/>
    <w:rsid w:val="00F201FB"/>
    <w:rsid w:val="00F202D6"/>
    <w:rsid w:val="00F20566"/>
    <w:rsid w:val="00F206E7"/>
    <w:rsid w:val="00F207E4"/>
    <w:rsid w:val="00F20833"/>
    <w:rsid w:val="00F20A56"/>
    <w:rsid w:val="00F20D95"/>
    <w:rsid w:val="00F20E15"/>
    <w:rsid w:val="00F20E40"/>
    <w:rsid w:val="00F20F46"/>
    <w:rsid w:val="00F2103C"/>
    <w:rsid w:val="00F213BE"/>
    <w:rsid w:val="00F21698"/>
    <w:rsid w:val="00F217F6"/>
    <w:rsid w:val="00F21939"/>
    <w:rsid w:val="00F21C63"/>
    <w:rsid w:val="00F21DCE"/>
    <w:rsid w:val="00F22085"/>
    <w:rsid w:val="00F2212E"/>
    <w:rsid w:val="00F222E6"/>
    <w:rsid w:val="00F223E0"/>
    <w:rsid w:val="00F2285B"/>
    <w:rsid w:val="00F22AD9"/>
    <w:rsid w:val="00F22BBF"/>
    <w:rsid w:val="00F22C58"/>
    <w:rsid w:val="00F22D78"/>
    <w:rsid w:val="00F22D7E"/>
    <w:rsid w:val="00F22DF5"/>
    <w:rsid w:val="00F2310C"/>
    <w:rsid w:val="00F23486"/>
    <w:rsid w:val="00F2349C"/>
    <w:rsid w:val="00F236CD"/>
    <w:rsid w:val="00F2392B"/>
    <w:rsid w:val="00F2394F"/>
    <w:rsid w:val="00F239EF"/>
    <w:rsid w:val="00F23AFD"/>
    <w:rsid w:val="00F23B46"/>
    <w:rsid w:val="00F240A5"/>
    <w:rsid w:val="00F2411E"/>
    <w:rsid w:val="00F2464E"/>
    <w:rsid w:val="00F246A1"/>
    <w:rsid w:val="00F24B00"/>
    <w:rsid w:val="00F24B1D"/>
    <w:rsid w:val="00F24B2A"/>
    <w:rsid w:val="00F24BFC"/>
    <w:rsid w:val="00F24C02"/>
    <w:rsid w:val="00F24C67"/>
    <w:rsid w:val="00F24D71"/>
    <w:rsid w:val="00F24DD1"/>
    <w:rsid w:val="00F24FA4"/>
    <w:rsid w:val="00F253B8"/>
    <w:rsid w:val="00F254C6"/>
    <w:rsid w:val="00F256C9"/>
    <w:rsid w:val="00F257CD"/>
    <w:rsid w:val="00F25A60"/>
    <w:rsid w:val="00F25B06"/>
    <w:rsid w:val="00F25B7E"/>
    <w:rsid w:val="00F260E2"/>
    <w:rsid w:val="00F26166"/>
    <w:rsid w:val="00F2619B"/>
    <w:rsid w:val="00F26293"/>
    <w:rsid w:val="00F264C6"/>
    <w:rsid w:val="00F264ED"/>
    <w:rsid w:val="00F26630"/>
    <w:rsid w:val="00F267BD"/>
    <w:rsid w:val="00F268F3"/>
    <w:rsid w:val="00F26931"/>
    <w:rsid w:val="00F26BD2"/>
    <w:rsid w:val="00F26C8B"/>
    <w:rsid w:val="00F26D97"/>
    <w:rsid w:val="00F26F55"/>
    <w:rsid w:val="00F27180"/>
    <w:rsid w:val="00F271E6"/>
    <w:rsid w:val="00F2767E"/>
    <w:rsid w:val="00F278EA"/>
    <w:rsid w:val="00F279EA"/>
    <w:rsid w:val="00F27ADE"/>
    <w:rsid w:val="00F27AEB"/>
    <w:rsid w:val="00F27DE3"/>
    <w:rsid w:val="00F27E35"/>
    <w:rsid w:val="00F27EB1"/>
    <w:rsid w:val="00F300E4"/>
    <w:rsid w:val="00F30213"/>
    <w:rsid w:val="00F3036B"/>
    <w:rsid w:val="00F3062B"/>
    <w:rsid w:val="00F30672"/>
    <w:rsid w:val="00F306A5"/>
    <w:rsid w:val="00F307B2"/>
    <w:rsid w:val="00F30804"/>
    <w:rsid w:val="00F30ADA"/>
    <w:rsid w:val="00F30BEC"/>
    <w:rsid w:val="00F30D03"/>
    <w:rsid w:val="00F30D13"/>
    <w:rsid w:val="00F31048"/>
    <w:rsid w:val="00F311AB"/>
    <w:rsid w:val="00F311D3"/>
    <w:rsid w:val="00F313A2"/>
    <w:rsid w:val="00F314C8"/>
    <w:rsid w:val="00F315F5"/>
    <w:rsid w:val="00F3182C"/>
    <w:rsid w:val="00F31863"/>
    <w:rsid w:val="00F31ACA"/>
    <w:rsid w:val="00F31DFF"/>
    <w:rsid w:val="00F31F1F"/>
    <w:rsid w:val="00F320C8"/>
    <w:rsid w:val="00F322B0"/>
    <w:rsid w:val="00F324A8"/>
    <w:rsid w:val="00F32638"/>
    <w:rsid w:val="00F32799"/>
    <w:rsid w:val="00F327A3"/>
    <w:rsid w:val="00F327E6"/>
    <w:rsid w:val="00F328AD"/>
    <w:rsid w:val="00F329A6"/>
    <w:rsid w:val="00F32AFC"/>
    <w:rsid w:val="00F32BBE"/>
    <w:rsid w:val="00F32D4C"/>
    <w:rsid w:val="00F32E97"/>
    <w:rsid w:val="00F32FEB"/>
    <w:rsid w:val="00F32FED"/>
    <w:rsid w:val="00F33237"/>
    <w:rsid w:val="00F339BB"/>
    <w:rsid w:val="00F33AE0"/>
    <w:rsid w:val="00F33CF7"/>
    <w:rsid w:val="00F33F1E"/>
    <w:rsid w:val="00F33FF2"/>
    <w:rsid w:val="00F3423B"/>
    <w:rsid w:val="00F34391"/>
    <w:rsid w:val="00F343FD"/>
    <w:rsid w:val="00F3447B"/>
    <w:rsid w:val="00F3452E"/>
    <w:rsid w:val="00F34938"/>
    <w:rsid w:val="00F34987"/>
    <w:rsid w:val="00F34BA0"/>
    <w:rsid w:val="00F34BCF"/>
    <w:rsid w:val="00F34BDA"/>
    <w:rsid w:val="00F34CCC"/>
    <w:rsid w:val="00F34ECA"/>
    <w:rsid w:val="00F350C8"/>
    <w:rsid w:val="00F3528B"/>
    <w:rsid w:val="00F3538D"/>
    <w:rsid w:val="00F354DD"/>
    <w:rsid w:val="00F355AA"/>
    <w:rsid w:val="00F35617"/>
    <w:rsid w:val="00F35738"/>
    <w:rsid w:val="00F35928"/>
    <w:rsid w:val="00F35AF6"/>
    <w:rsid w:val="00F3623F"/>
    <w:rsid w:val="00F36824"/>
    <w:rsid w:val="00F36952"/>
    <w:rsid w:val="00F36B38"/>
    <w:rsid w:val="00F36C59"/>
    <w:rsid w:val="00F36EAA"/>
    <w:rsid w:val="00F3702B"/>
    <w:rsid w:val="00F370B4"/>
    <w:rsid w:val="00F3744D"/>
    <w:rsid w:val="00F374AA"/>
    <w:rsid w:val="00F374F8"/>
    <w:rsid w:val="00F378DB"/>
    <w:rsid w:val="00F37CD5"/>
    <w:rsid w:val="00F37D2E"/>
    <w:rsid w:val="00F37E91"/>
    <w:rsid w:val="00F37F02"/>
    <w:rsid w:val="00F37FED"/>
    <w:rsid w:val="00F401FD"/>
    <w:rsid w:val="00F4025A"/>
    <w:rsid w:val="00F406BF"/>
    <w:rsid w:val="00F4075A"/>
    <w:rsid w:val="00F40851"/>
    <w:rsid w:val="00F40888"/>
    <w:rsid w:val="00F40A27"/>
    <w:rsid w:val="00F40B78"/>
    <w:rsid w:val="00F40FFF"/>
    <w:rsid w:val="00F4115B"/>
    <w:rsid w:val="00F41302"/>
    <w:rsid w:val="00F41749"/>
    <w:rsid w:val="00F419A5"/>
    <w:rsid w:val="00F41A6D"/>
    <w:rsid w:val="00F41B53"/>
    <w:rsid w:val="00F41E5C"/>
    <w:rsid w:val="00F4211D"/>
    <w:rsid w:val="00F42141"/>
    <w:rsid w:val="00F423FA"/>
    <w:rsid w:val="00F4245D"/>
    <w:rsid w:val="00F42618"/>
    <w:rsid w:val="00F4281C"/>
    <w:rsid w:val="00F428BF"/>
    <w:rsid w:val="00F429F9"/>
    <w:rsid w:val="00F42A63"/>
    <w:rsid w:val="00F42ACD"/>
    <w:rsid w:val="00F42C05"/>
    <w:rsid w:val="00F42D85"/>
    <w:rsid w:val="00F42DCC"/>
    <w:rsid w:val="00F42E23"/>
    <w:rsid w:val="00F42E57"/>
    <w:rsid w:val="00F42FB2"/>
    <w:rsid w:val="00F4306E"/>
    <w:rsid w:val="00F43628"/>
    <w:rsid w:val="00F43807"/>
    <w:rsid w:val="00F43870"/>
    <w:rsid w:val="00F438FC"/>
    <w:rsid w:val="00F43956"/>
    <w:rsid w:val="00F43A42"/>
    <w:rsid w:val="00F43BDC"/>
    <w:rsid w:val="00F43C24"/>
    <w:rsid w:val="00F43F5D"/>
    <w:rsid w:val="00F4408A"/>
    <w:rsid w:val="00F440A7"/>
    <w:rsid w:val="00F441FC"/>
    <w:rsid w:val="00F44384"/>
    <w:rsid w:val="00F443F9"/>
    <w:rsid w:val="00F44418"/>
    <w:rsid w:val="00F44B22"/>
    <w:rsid w:val="00F44EF0"/>
    <w:rsid w:val="00F44F04"/>
    <w:rsid w:val="00F450C0"/>
    <w:rsid w:val="00F45261"/>
    <w:rsid w:val="00F453C3"/>
    <w:rsid w:val="00F45447"/>
    <w:rsid w:val="00F4551D"/>
    <w:rsid w:val="00F45659"/>
    <w:rsid w:val="00F457EF"/>
    <w:rsid w:val="00F45962"/>
    <w:rsid w:val="00F45BB7"/>
    <w:rsid w:val="00F45BCD"/>
    <w:rsid w:val="00F45CB4"/>
    <w:rsid w:val="00F45DD1"/>
    <w:rsid w:val="00F45DEA"/>
    <w:rsid w:val="00F45F8D"/>
    <w:rsid w:val="00F469D4"/>
    <w:rsid w:val="00F46B69"/>
    <w:rsid w:val="00F46C49"/>
    <w:rsid w:val="00F46CF7"/>
    <w:rsid w:val="00F46D49"/>
    <w:rsid w:val="00F46E06"/>
    <w:rsid w:val="00F47017"/>
    <w:rsid w:val="00F47079"/>
    <w:rsid w:val="00F471D1"/>
    <w:rsid w:val="00F4725C"/>
    <w:rsid w:val="00F472DA"/>
    <w:rsid w:val="00F4750C"/>
    <w:rsid w:val="00F478D7"/>
    <w:rsid w:val="00F47911"/>
    <w:rsid w:val="00F47CE1"/>
    <w:rsid w:val="00F47D4B"/>
    <w:rsid w:val="00F47EEB"/>
    <w:rsid w:val="00F47FDA"/>
    <w:rsid w:val="00F501D3"/>
    <w:rsid w:val="00F50205"/>
    <w:rsid w:val="00F50475"/>
    <w:rsid w:val="00F504B9"/>
    <w:rsid w:val="00F5068E"/>
    <w:rsid w:val="00F508D8"/>
    <w:rsid w:val="00F509EC"/>
    <w:rsid w:val="00F50A81"/>
    <w:rsid w:val="00F50E6D"/>
    <w:rsid w:val="00F5122A"/>
    <w:rsid w:val="00F512F9"/>
    <w:rsid w:val="00F51369"/>
    <w:rsid w:val="00F5146D"/>
    <w:rsid w:val="00F515B2"/>
    <w:rsid w:val="00F5193A"/>
    <w:rsid w:val="00F51996"/>
    <w:rsid w:val="00F51AA6"/>
    <w:rsid w:val="00F52063"/>
    <w:rsid w:val="00F5206A"/>
    <w:rsid w:val="00F52312"/>
    <w:rsid w:val="00F52487"/>
    <w:rsid w:val="00F524B1"/>
    <w:rsid w:val="00F52565"/>
    <w:rsid w:val="00F525F7"/>
    <w:rsid w:val="00F52698"/>
    <w:rsid w:val="00F52E31"/>
    <w:rsid w:val="00F53027"/>
    <w:rsid w:val="00F53054"/>
    <w:rsid w:val="00F531BE"/>
    <w:rsid w:val="00F5343A"/>
    <w:rsid w:val="00F53540"/>
    <w:rsid w:val="00F535D2"/>
    <w:rsid w:val="00F53638"/>
    <w:rsid w:val="00F5368E"/>
    <w:rsid w:val="00F53B23"/>
    <w:rsid w:val="00F53B80"/>
    <w:rsid w:val="00F53D37"/>
    <w:rsid w:val="00F53F46"/>
    <w:rsid w:val="00F541F6"/>
    <w:rsid w:val="00F5430B"/>
    <w:rsid w:val="00F5466E"/>
    <w:rsid w:val="00F54685"/>
    <w:rsid w:val="00F549E7"/>
    <w:rsid w:val="00F54C45"/>
    <w:rsid w:val="00F54E2E"/>
    <w:rsid w:val="00F5529F"/>
    <w:rsid w:val="00F553C1"/>
    <w:rsid w:val="00F55539"/>
    <w:rsid w:val="00F5567D"/>
    <w:rsid w:val="00F55692"/>
    <w:rsid w:val="00F55729"/>
    <w:rsid w:val="00F55AB2"/>
    <w:rsid w:val="00F55B7C"/>
    <w:rsid w:val="00F55C3C"/>
    <w:rsid w:val="00F55CEA"/>
    <w:rsid w:val="00F55D6C"/>
    <w:rsid w:val="00F55DB3"/>
    <w:rsid w:val="00F55E56"/>
    <w:rsid w:val="00F55EE0"/>
    <w:rsid w:val="00F55F8C"/>
    <w:rsid w:val="00F55FCD"/>
    <w:rsid w:val="00F560C3"/>
    <w:rsid w:val="00F56247"/>
    <w:rsid w:val="00F566C9"/>
    <w:rsid w:val="00F56CBD"/>
    <w:rsid w:val="00F56DD4"/>
    <w:rsid w:val="00F56E8B"/>
    <w:rsid w:val="00F56ECE"/>
    <w:rsid w:val="00F56EF0"/>
    <w:rsid w:val="00F57113"/>
    <w:rsid w:val="00F571D0"/>
    <w:rsid w:val="00F572BF"/>
    <w:rsid w:val="00F574BC"/>
    <w:rsid w:val="00F575DF"/>
    <w:rsid w:val="00F575F6"/>
    <w:rsid w:val="00F5768B"/>
    <w:rsid w:val="00F576D5"/>
    <w:rsid w:val="00F57716"/>
    <w:rsid w:val="00F57C80"/>
    <w:rsid w:val="00F6000E"/>
    <w:rsid w:val="00F60014"/>
    <w:rsid w:val="00F60062"/>
    <w:rsid w:val="00F600B1"/>
    <w:rsid w:val="00F60298"/>
    <w:rsid w:val="00F60435"/>
    <w:rsid w:val="00F6069E"/>
    <w:rsid w:val="00F606C9"/>
    <w:rsid w:val="00F606FD"/>
    <w:rsid w:val="00F607DE"/>
    <w:rsid w:val="00F6091D"/>
    <w:rsid w:val="00F60953"/>
    <w:rsid w:val="00F60A05"/>
    <w:rsid w:val="00F60A58"/>
    <w:rsid w:val="00F60ADA"/>
    <w:rsid w:val="00F60C15"/>
    <w:rsid w:val="00F60D39"/>
    <w:rsid w:val="00F60D67"/>
    <w:rsid w:val="00F614FA"/>
    <w:rsid w:val="00F615F4"/>
    <w:rsid w:val="00F61773"/>
    <w:rsid w:val="00F617B0"/>
    <w:rsid w:val="00F6184A"/>
    <w:rsid w:val="00F61A38"/>
    <w:rsid w:val="00F61EAF"/>
    <w:rsid w:val="00F61ECF"/>
    <w:rsid w:val="00F61FED"/>
    <w:rsid w:val="00F6205C"/>
    <w:rsid w:val="00F62245"/>
    <w:rsid w:val="00F62321"/>
    <w:rsid w:val="00F625E1"/>
    <w:rsid w:val="00F625EC"/>
    <w:rsid w:val="00F62AAA"/>
    <w:rsid w:val="00F62AE7"/>
    <w:rsid w:val="00F62EE5"/>
    <w:rsid w:val="00F62F9C"/>
    <w:rsid w:val="00F6339B"/>
    <w:rsid w:val="00F635FF"/>
    <w:rsid w:val="00F6364D"/>
    <w:rsid w:val="00F636FF"/>
    <w:rsid w:val="00F6370D"/>
    <w:rsid w:val="00F63790"/>
    <w:rsid w:val="00F639B8"/>
    <w:rsid w:val="00F63CD4"/>
    <w:rsid w:val="00F63D3A"/>
    <w:rsid w:val="00F63DB1"/>
    <w:rsid w:val="00F63F01"/>
    <w:rsid w:val="00F63F2A"/>
    <w:rsid w:val="00F640FA"/>
    <w:rsid w:val="00F64136"/>
    <w:rsid w:val="00F64194"/>
    <w:rsid w:val="00F6437D"/>
    <w:rsid w:val="00F6438A"/>
    <w:rsid w:val="00F64429"/>
    <w:rsid w:val="00F645B9"/>
    <w:rsid w:val="00F64603"/>
    <w:rsid w:val="00F646FB"/>
    <w:rsid w:val="00F64894"/>
    <w:rsid w:val="00F64899"/>
    <w:rsid w:val="00F649CF"/>
    <w:rsid w:val="00F64B40"/>
    <w:rsid w:val="00F64EA0"/>
    <w:rsid w:val="00F64F54"/>
    <w:rsid w:val="00F650E9"/>
    <w:rsid w:val="00F65193"/>
    <w:rsid w:val="00F652B8"/>
    <w:rsid w:val="00F6557C"/>
    <w:rsid w:val="00F656CA"/>
    <w:rsid w:val="00F656ED"/>
    <w:rsid w:val="00F659C2"/>
    <w:rsid w:val="00F65A7D"/>
    <w:rsid w:val="00F65B15"/>
    <w:rsid w:val="00F65BF9"/>
    <w:rsid w:val="00F65EA3"/>
    <w:rsid w:val="00F65EBA"/>
    <w:rsid w:val="00F66061"/>
    <w:rsid w:val="00F6613D"/>
    <w:rsid w:val="00F664FC"/>
    <w:rsid w:val="00F666B5"/>
    <w:rsid w:val="00F6677C"/>
    <w:rsid w:val="00F6687A"/>
    <w:rsid w:val="00F6695F"/>
    <w:rsid w:val="00F66A0C"/>
    <w:rsid w:val="00F66A56"/>
    <w:rsid w:val="00F66AF9"/>
    <w:rsid w:val="00F66CE8"/>
    <w:rsid w:val="00F66CF5"/>
    <w:rsid w:val="00F66D48"/>
    <w:rsid w:val="00F66D51"/>
    <w:rsid w:val="00F66E21"/>
    <w:rsid w:val="00F66F3A"/>
    <w:rsid w:val="00F67060"/>
    <w:rsid w:val="00F67087"/>
    <w:rsid w:val="00F67173"/>
    <w:rsid w:val="00F67487"/>
    <w:rsid w:val="00F67545"/>
    <w:rsid w:val="00F676D3"/>
    <w:rsid w:val="00F677CC"/>
    <w:rsid w:val="00F67AC0"/>
    <w:rsid w:val="00F67B2F"/>
    <w:rsid w:val="00F67BF7"/>
    <w:rsid w:val="00F67F7C"/>
    <w:rsid w:val="00F70152"/>
    <w:rsid w:val="00F702D7"/>
    <w:rsid w:val="00F70B79"/>
    <w:rsid w:val="00F70C35"/>
    <w:rsid w:val="00F70C51"/>
    <w:rsid w:val="00F70CC2"/>
    <w:rsid w:val="00F70DB3"/>
    <w:rsid w:val="00F70E8F"/>
    <w:rsid w:val="00F70F6C"/>
    <w:rsid w:val="00F70FC5"/>
    <w:rsid w:val="00F710CC"/>
    <w:rsid w:val="00F7112F"/>
    <w:rsid w:val="00F714DB"/>
    <w:rsid w:val="00F717EF"/>
    <w:rsid w:val="00F71975"/>
    <w:rsid w:val="00F71A2C"/>
    <w:rsid w:val="00F71A5E"/>
    <w:rsid w:val="00F71E07"/>
    <w:rsid w:val="00F71E59"/>
    <w:rsid w:val="00F72002"/>
    <w:rsid w:val="00F720AF"/>
    <w:rsid w:val="00F721D9"/>
    <w:rsid w:val="00F72403"/>
    <w:rsid w:val="00F725C1"/>
    <w:rsid w:val="00F725FD"/>
    <w:rsid w:val="00F725FF"/>
    <w:rsid w:val="00F72C6D"/>
    <w:rsid w:val="00F72F6D"/>
    <w:rsid w:val="00F73002"/>
    <w:rsid w:val="00F73031"/>
    <w:rsid w:val="00F730D9"/>
    <w:rsid w:val="00F7311B"/>
    <w:rsid w:val="00F73145"/>
    <w:rsid w:val="00F731D7"/>
    <w:rsid w:val="00F733BF"/>
    <w:rsid w:val="00F733FB"/>
    <w:rsid w:val="00F73401"/>
    <w:rsid w:val="00F7362A"/>
    <w:rsid w:val="00F736EE"/>
    <w:rsid w:val="00F73989"/>
    <w:rsid w:val="00F73B4D"/>
    <w:rsid w:val="00F73E9C"/>
    <w:rsid w:val="00F73EFA"/>
    <w:rsid w:val="00F73F8F"/>
    <w:rsid w:val="00F74301"/>
    <w:rsid w:val="00F744DC"/>
    <w:rsid w:val="00F745E3"/>
    <w:rsid w:val="00F74778"/>
    <w:rsid w:val="00F74844"/>
    <w:rsid w:val="00F74B0C"/>
    <w:rsid w:val="00F74FF1"/>
    <w:rsid w:val="00F74FFC"/>
    <w:rsid w:val="00F752B1"/>
    <w:rsid w:val="00F7556F"/>
    <w:rsid w:val="00F7586E"/>
    <w:rsid w:val="00F75CCF"/>
    <w:rsid w:val="00F75DEF"/>
    <w:rsid w:val="00F75F1A"/>
    <w:rsid w:val="00F75F33"/>
    <w:rsid w:val="00F76200"/>
    <w:rsid w:val="00F7637B"/>
    <w:rsid w:val="00F76936"/>
    <w:rsid w:val="00F76AE2"/>
    <w:rsid w:val="00F76EDD"/>
    <w:rsid w:val="00F770DB"/>
    <w:rsid w:val="00F772F0"/>
    <w:rsid w:val="00F7731D"/>
    <w:rsid w:val="00F77394"/>
    <w:rsid w:val="00F77429"/>
    <w:rsid w:val="00F7751F"/>
    <w:rsid w:val="00F77FFE"/>
    <w:rsid w:val="00F80186"/>
    <w:rsid w:val="00F801AD"/>
    <w:rsid w:val="00F8027F"/>
    <w:rsid w:val="00F803B0"/>
    <w:rsid w:val="00F8043F"/>
    <w:rsid w:val="00F804D2"/>
    <w:rsid w:val="00F807E7"/>
    <w:rsid w:val="00F8090B"/>
    <w:rsid w:val="00F809EB"/>
    <w:rsid w:val="00F80ABA"/>
    <w:rsid w:val="00F80AE5"/>
    <w:rsid w:val="00F80C9B"/>
    <w:rsid w:val="00F80D3B"/>
    <w:rsid w:val="00F80DBD"/>
    <w:rsid w:val="00F80DCD"/>
    <w:rsid w:val="00F80DFD"/>
    <w:rsid w:val="00F80E62"/>
    <w:rsid w:val="00F80FEF"/>
    <w:rsid w:val="00F81487"/>
    <w:rsid w:val="00F81650"/>
    <w:rsid w:val="00F818C0"/>
    <w:rsid w:val="00F818FB"/>
    <w:rsid w:val="00F81C00"/>
    <w:rsid w:val="00F81D61"/>
    <w:rsid w:val="00F81D73"/>
    <w:rsid w:val="00F81E0A"/>
    <w:rsid w:val="00F82155"/>
    <w:rsid w:val="00F82256"/>
    <w:rsid w:val="00F82554"/>
    <w:rsid w:val="00F82586"/>
    <w:rsid w:val="00F825E8"/>
    <w:rsid w:val="00F82657"/>
    <w:rsid w:val="00F82774"/>
    <w:rsid w:val="00F828EC"/>
    <w:rsid w:val="00F82B06"/>
    <w:rsid w:val="00F82D8B"/>
    <w:rsid w:val="00F82F5D"/>
    <w:rsid w:val="00F830A5"/>
    <w:rsid w:val="00F831EF"/>
    <w:rsid w:val="00F834A2"/>
    <w:rsid w:val="00F834CB"/>
    <w:rsid w:val="00F834E7"/>
    <w:rsid w:val="00F8385A"/>
    <w:rsid w:val="00F83887"/>
    <w:rsid w:val="00F83B5E"/>
    <w:rsid w:val="00F83C27"/>
    <w:rsid w:val="00F83EE6"/>
    <w:rsid w:val="00F84825"/>
    <w:rsid w:val="00F84896"/>
    <w:rsid w:val="00F84D87"/>
    <w:rsid w:val="00F85020"/>
    <w:rsid w:val="00F8506B"/>
    <w:rsid w:val="00F8510E"/>
    <w:rsid w:val="00F85431"/>
    <w:rsid w:val="00F8553F"/>
    <w:rsid w:val="00F85846"/>
    <w:rsid w:val="00F85B2B"/>
    <w:rsid w:val="00F85D42"/>
    <w:rsid w:val="00F85D45"/>
    <w:rsid w:val="00F85DDD"/>
    <w:rsid w:val="00F85EA2"/>
    <w:rsid w:val="00F85EB6"/>
    <w:rsid w:val="00F85EE8"/>
    <w:rsid w:val="00F8615C"/>
    <w:rsid w:val="00F86435"/>
    <w:rsid w:val="00F86481"/>
    <w:rsid w:val="00F86493"/>
    <w:rsid w:val="00F8692E"/>
    <w:rsid w:val="00F86BB2"/>
    <w:rsid w:val="00F86D3C"/>
    <w:rsid w:val="00F86E2C"/>
    <w:rsid w:val="00F86F12"/>
    <w:rsid w:val="00F8719C"/>
    <w:rsid w:val="00F8723C"/>
    <w:rsid w:val="00F87812"/>
    <w:rsid w:val="00F87AC0"/>
    <w:rsid w:val="00F87AF9"/>
    <w:rsid w:val="00F87CEE"/>
    <w:rsid w:val="00F87D54"/>
    <w:rsid w:val="00F87F4A"/>
    <w:rsid w:val="00F87FA0"/>
    <w:rsid w:val="00F9035D"/>
    <w:rsid w:val="00F9043C"/>
    <w:rsid w:val="00F904C4"/>
    <w:rsid w:val="00F905D8"/>
    <w:rsid w:val="00F9063F"/>
    <w:rsid w:val="00F9072B"/>
    <w:rsid w:val="00F90828"/>
    <w:rsid w:val="00F90895"/>
    <w:rsid w:val="00F908AB"/>
    <w:rsid w:val="00F909F2"/>
    <w:rsid w:val="00F90BEC"/>
    <w:rsid w:val="00F90CE6"/>
    <w:rsid w:val="00F90D71"/>
    <w:rsid w:val="00F90DFD"/>
    <w:rsid w:val="00F911D0"/>
    <w:rsid w:val="00F91399"/>
    <w:rsid w:val="00F913CF"/>
    <w:rsid w:val="00F915E8"/>
    <w:rsid w:val="00F91681"/>
    <w:rsid w:val="00F916E2"/>
    <w:rsid w:val="00F91733"/>
    <w:rsid w:val="00F91A3E"/>
    <w:rsid w:val="00F91AA1"/>
    <w:rsid w:val="00F91D9C"/>
    <w:rsid w:val="00F9245C"/>
    <w:rsid w:val="00F9249C"/>
    <w:rsid w:val="00F9258B"/>
    <w:rsid w:val="00F9262D"/>
    <w:rsid w:val="00F92634"/>
    <w:rsid w:val="00F9270F"/>
    <w:rsid w:val="00F92A6E"/>
    <w:rsid w:val="00F92ACA"/>
    <w:rsid w:val="00F92B43"/>
    <w:rsid w:val="00F92EC8"/>
    <w:rsid w:val="00F93066"/>
    <w:rsid w:val="00F93140"/>
    <w:rsid w:val="00F9327E"/>
    <w:rsid w:val="00F932D9"/>
    <w:rsid w:val="00F93309"/>
    <w:rsid w:val="00F935C3"/>
    <w:rsid w:val="00F93720"/>
    <w:rsid w:val="00F93E16"/>
    <w:rsid w:val="00F93EAF"/>
    <w:rsid w:val="00F93FEC"/>
    <w:rsid w:val="00F94041"/>
    <w:rsid w:val="00F940FB"/>
    <w:rsid w:val="00F94183"/>
    <w:rsid w:val="00F94256"/>
    <w:rsid w:val="00F94270"/>
    <w:rsid w:val="00F9438B"/>
    <w:rsid w:val="00F943B7"/>
    <w:rsid w:val="00F94653"/>
    <w:rsid w:val="00F9480D"/>
    <w:rsid w:val="00F94895"/>
    <w:rsid w:val="00F94A1A"/>
    <w:rsid w:val="00F94DDA"/>
    <w:rsid w:val="00F94DE5"/>
    <w:rsid w:val="00F94F6E"/>
    <w:rsid w:val="00F94FD2"/>
    <w:rsid w:val="00F95319"/>
    <w:rsid w:val="00F95346"/>
    <w:rsid w:val="00F9542D"/>
    <w:rsid w:val="00F9559F"/>
    <w:rsid w:val="00F9563D"/>
    <w:rsid w:val="00F95A48"/>
    <w:rsid w:val="00F95AE6"/>
    <w:rsid w:val="00F95C28"/>
    <w:rsid w:val="00F9604C"/>
    <w:rsid w:val="00F96103"/>
    <w:rsid w:val="00F9623C"/>
    <w:rsid w:val="00F9637C"/>
    <w:rsid w:val="00F966E9"/>
    <w:rsid w:val="00F9671C"/>
    <w:rsid w:val="00F967BD"/>
    <w:rsid w:val="00F96844"/>
    <w:rsid w:val="00F96A1F"/>
    <w:rsid w:val="00F96A33"/>
    <w:rsid w:val="00F96C26"/>
    <w:rsid w:val="00F96F37"/>
    <w:rsid w:val="00F96F79"/>
    <w:rsid w:val="00F97131"/>
    <w:rsid w:val="00F9770A"/>
    <w:rsid w:val="00F9772B"/>
    <w:rsid w:val="00F97A98"/>
    <w:rsid w:val="00F97BE8"/>
    <w:rsid w:val="00FA0336"/>
    <w:rsid w:val="00FA04C6"/>
    <w:rsid w:val="00FA0544"/>
    <w:rsid w:val="00FA0571"/>
    <w:rsid w:val="00FA0674"/>
    <w:rsid w:val="00FA07CC"/>
    <w:rsid w:val="00FA0B06"/>
    <w:rsid w:val="00FA0E08"/>
    <w:rsid w:val="00FA0F92"/>
    <w:rsid w:val="00FA1429"/>
    <w:rsid w:val="00FA17C9"/>
    <w:rsid w:val="00FA1C5E"/>
    <w:rsid w:val="00FA1C70"/>
    <w:rsid w:val="00FA1EE1"/>
    <w:rsid w:val="00FA2088"/>
    <w:rsid w:val="00FA2417"/>
    <w:rsid w:val="00FA25BD"/>
    <w:rsid w:val="00FA28B7"/>
    <w:rsid w:val="00FA2A40"/>
    <w:rsid w:val="00FA2AE4"/>
    <w:rsid w:val="00FA2BA8"/>
    <w:rsid w:val="00FA33ED"/>
    <w:rsid w:val="00FA3456"/>
    <w:rsid w:val="00FA3F54"/>
    <w:rsid w:val="00FA41B8"/>
    <w:rsid w:val="00FA4205"/>
    <w:rsid w:val="00FA443B"/>
    <w:rsid w:val="00FA44F8"/>
    <w:rsid w:val="00FA467D"/>
    <w:rsid w:val="00FA47A6"/>
    <w:rsid w:val="00FA4868"/>
    <w:rsid w:val="00FA4C24"/>
    <w:rsid w:val="00FA4C4A"/>
    <w:rsid w:val="00FA4C5E"/>
    <w:rsid w:val="00FA4D29"/>
    <w:rsid w:val="00FA4D51"/>
    <w:rsid w:val="00FA4EDA"/>
    <w:rsid w:val="00FA4F17"/>
    <w:rsid w:val="00FA4F93"/>
    <w:rsid w:val="00FA50F4"/>
    <w:rsid w:val="00FA5199"/>
    <w:rsid w:val="00FA51C5"/>
    <w:rsid w:val="00FA532C"/>
    <w:rsid w:val="00FA542E"/>
    <w:rsid w:val="00FA5625"/>
    <w:rsid w:val="00FA566B"/>
    <w:rsid w:val="00FA5872"/>
    <w:rsid w:val="00FA5933"/>
    <w:rsid w:val="00FA5A66"/>
    <w:rsid w:val="00FA5B18"/>
    <w:rsid w:val="00FA5BC8"/>
    <w:rsid w:val="00FA5BEF"/>
    <w:rsid w:val="00FA5C3E"/>
    <w:rsid w:val="00FA5C6D"/>
    <w:rsid w:val="00FA5CA4"/>
    <w:rsid w:val="00FA5DAC"/>
    <w:rsid w:val="00FA5DD4"/>
    <w:rsid w:val="00FA5E05"/>
    <w:rsid w:val="00FA5FC1"/>
    <w:rsid w:val="00FA602B"/>
    <w:rsid w:val="00FA63F9"/>
    <w:rsid w:val="00FA645D"/>
    <w:rsid w:val="00FA64E5"/>
    <w:rsid w:val="00FA6666"/>
    <w:rsid w:val="00FA687B"/>
    <w:rsid w:val="00FA688A"/>
    <w:rsid w:val="00FA6A55"/>
    <w:rsid w:val="00FA6AA9"/>
    <w:rsid w:val="00FA6DA0"/>
    <w:rsid w:val="00FA6F54"/>
    <w:rsid w:val="00FA70AE"/>
    <w:rsid w:val="00FA70C4"/>
    <w:rsid w:val="00FA7639"/>
    <w:rsid w:val="00FA76A9"/>
    <w:rsid w:val="00FA76C0"/>
    <w:rsid w:val="00FA7901"/>
    <w:rsid w:val="00FA7BF1"/>
    <w:rsid w:val="00FA7C2C"/>
    <w:rsid w:val="00FA7CB3"/>
    <w:rsid w:val="00FA7D73"/>
    <w:rsid w:val="00FA7FFC"/>
    <w:rsid w:val="00FAFDDA"/>
    <w:rsid w:val="00FB0058"/>
    <w:rsid w:val="00FB006A"/>
    <w:rsid w:val="00FB0207"/>
    <w:rsid w:val="00FB0346"/>
    <w:rsid w:val="00FB0383"/>
    <w:rsid w:val="00FB05C2"/>
    <w:rsid w:val="00FB0628"/>
    <w:rsid w:val="00FB0AC3"/>
    <w:rsid w:val="00FB0CB0"/>
    <w:rsid w:val="00FB0D08"/>
    <w:rsid w:val="00FB0E3F"/>
    <w:rsid w:val="00FB0ED4"/>
    <w:rsid w:val="00FB0EEC"/>
    <w:rsid w:val="00FB1016"/>
    <w:rsid w:val="00FB1058"/>
    <w:rsid w:val="00FB1114"/>
    <w:rsid w:val="00FB115D"/>
    <w:rsid w:val="00FB11D7"/>
    <w:rsid w:val="00FB1687"/>
    <w:rsid w:val="00FB17DA"/>
    <w:rsid w:val="00FB1822"/>
    <w:rsid w:val="00FB1864"/>
    <w:rsid w:val="00FB1965"/>
    <w:rsid w:val="00FB1A65"/>
    <w:rsid w:val="00FB1A9E"/>
    <w:rsid w:val="00FB1AFC"/>
    <w:rsid w:val="00FB1B51"/>
    <w:rsid w:val="00FB1D74"/>
    <w:rsid w:val="00FB1DCB"/>
    <w:rsid w:val="00FB1F01"/>
    <w:rsid w:val="00FB1F71"/>
    <w:rsid w:val="00FB2030"/>
    <w:rsid w:val="00FB20E5"/>
    <w:rsid w:val="00FB2202"/>
    <w:rsid w:val="00FB2372"/>
    <w:rsid w:val="00FB2376"/>
    <w:rsid w:val="00FB237D"/>
    <w:rsid w:val="00FB2385"/>
    <w:rsid w:val="00FB23AE"/>
    <w:rsid w:val="00FB2470"/>
    <w:rsid w:val="00FB28A3"/>
    <w:rsid w:val="00FB2A7F"/>
    <w:rsid w:val="00FB2AC4"/>
    <w:rsid w:val="00FB2AE4"/>
    <w:rsid w:val="00FB2B70"/>
    <w:rsid w:val="00FB2D45"/>
    <w:rsid w:val="00FB2EE9"/>
    <w:rsid w:val="00FB3040"/>
    <w:rsid w:val="00FB31F1"/>
    <w:rsid w:val="00FB358C"/>
    <w:rsid w:val="00FB35B9"/>
    <w:rsid w:val="00FB3ABF"/>
    <w:rsid w:val="00FB3BA7"/>
    <w:rsid w:val="00FB3CEC"/>
    <w:rsid w:val="00FB3E6A"/>
    <w:rsid w:val="00FB4078"/>
    <w:rsid w:val="00FB410A"/>
    <w:rsid w:val="00FB4248"/>
    <w:rsid w:val="00FB4362"/>
    <w:rsid w:val="00FB44BA"/>
    <w:rsid w:val="00FB4605"/>
    <w:rsid w:val="00FB46CF"/>
    <w:rsid w:val="00FB477C"/>
    <w:rsid w:val="00FB479D"/>
    <w:rsid w:val="00FB48CA"/>
    <w:rsid w:val="00FB4DAA"/>
    <w:rsid w:val="00FB4E21"/>
    <w:rsid w:val="00FB4FFF"/>
    <w:rsid w:val="00FB5024"/>
    <w:rsid w:val="00FB5168"/>
    <w:rsid w:val="00FB5285"/>
    <w:rsid w:val="00FB53BD"/>
    <w:rsid w:val="00FB53CB"/>
    <w:rsid w:val="00FB56A9"/>
    <w:rsid w:val="00FB5727"/>
    <w:rsid w:val="00FB5746"/>
    <w:rsid w:val="00FB5792"/>
    <w:rsid w:val="00FB57E6"/>
    <w:rsid w:val="00FB583B"/>
    <w:rsid w:val="00FB58B7"/>
    <w:rsid w:val="00FB5912"/>
    <w:rsid w:val="00FB59F4"/>
    <w:rsid w:val="00FB59F8"/>
    <w:rsid w:val="00FB5C5B"/>
    <w:rsid w:val="00FB5DAB"/>
    <w:rsid w:val="00FB5EA2"/>
    <w:rsid w:val="00FB5F06"/>
    <w:rsid w:val="00FB6069"/>
    <w:rsid w:val="00FB60F5"/>
    <w:rsid w:val="00FB6115"/>
    <w:rsid w:val="00FB66FC"/>
    <w:rsid w:val="00FB67F5"/>
    <w:rsid w:val="00FB684A"/>
    <w:rsid w:val="00FB6919"/>
    <w:rsid w:val="00FB693E"/>
    <w:rsid w:val="00FB6B4F"/>
    <w:rsid w:val="00FB6BCA"/>
    <w:rsid w:val="00FB7189"/>
    <w:rsid w:val="00FB75FB"/>
    <w:rsid w:val="00FB77C4"/>
    <w:rsid w:val="00FB7855"/>
    <w:rsid w:val="00FB78E8"/>
    <w:rsid w:val="00FB790B"/>
    <w:rsid w:val="00FB7B8A"/>
    <w:rsid w:val="00FB7C6F"/>
    <w:rsid w:val="00FB7D9A"/>
    <w:rsid w:val="00FB7EE2"/>
    <w:rsid w:val="00FC007C"/>
    <w:rsid w:val="00FC036B"/>
    <w:rsid w:val="00FC05B4"/>
    <w:rsid w:val="00FC0AC2"/>
    <w:rsid w:val="00FC0AD9"/>
    <w:rsid w:val="00FC0F67"/>
    <w:rsid w:val="00FC1054"/>
    <w:rsid w:val="00FC1251"/>
    <w:rsid w:val="00FC12A6"/>
    <w:rsid w:val="00FC12DE"/>
    <w:rsid w:val="00FC17B6"/>
    <w:rsid w:val="00FC1A22"/>
    <w:rsid w:val="00FC1C2E"/>
    <w:rsid w:val="00FC1ED4"/>
    <w:rsid w:val="00FC1FBD"/>
    <w:rsid w:val="00FC21BD"/>
    <w:rsid w:val="00FC23A7"/>
    <w:rsid w:val="00FC25E8"/>
    <w:rsid w:val="00FC260F"/>
    <w:rsid w:val="00FC28BB"/>
    <w:rsid w:val="00FC28C7"/>
    <w:rsid w:val="00FC2907"/>
    <w:rsid w:val="00FC2999"/>
    <w:rsid w:val="00FC2E4B"/>
    <w:rsid w:val="00FC303B"/>
    <w:rsid w:val="00FC30A3"/>
    <w:rsid w:val="00FC311B"/>
    <w:rsid w:val="00FC320F"/>
    <w:rsid w:val="00FC32D5"/>
    <w:rsid w:val="00FC3334"/>
    <w:rsid w:val="00FC3369"/>
    <w:rsid w:val="00FC38F8"/>
    <w:rsid w:val="00FC3901"/>
    <w:rsid w:val="00FC3A8D"/>
    <w:rsid w:val="00FC3B0C"/>
    <w:rsid w:val="00FC3B6A"/>
    <w:rsid w:val="00FC3C01"/>
    <w:rsid w:val="00FC3E54"/>
    <w:rsid w:val="00FC3E6E"/>
    <w:rsid w:val="00FC3F62"/>
    <w:rsid w:val="00FC4007"/>
    <w:rsid w:val="00FC405F"/>
    <w:rsid w:val="00FC40AC"/>
    <w:rsid w:val="00FC420B"/>
    <w:rsid w:val="00FC427A"/>
    <w:rsid w:val="00FC42A2"/>
    <w:rsid w:val="00FC43FD"/>
    <w:rsid w:val="00FC48C7"/>
    <w:rsid w:val="00FC4BBA"/>
    <w:rsid w:val="00FC5487"/>
    <w:rsid w:val="00FC572E"/>
    <w:rsid w:val="00FC5754"/>
    <w:rsid w:val="00FC589B"/>
    <w:rsid w:val="00FC58FC"/>
    <w:rsid w:val="00FC598C"/>
    <w:rsid w:val="00FC5BDE"/>
    <w:rsid w:val="00FC5DFE"/>
    <w:rsid w:val="00FC5F37"/>
    <w:rsid w:val="00FC5F48"/>
    <w:rsid w:val="00FC5FCC"/>
    <w:rsid w:val="00FC6062"/>
    <w:rsid w:val="00FC6183"/>
    <w:rsid w:val="00FC6452"/>
    <w:rsid w:val="00FC6578"/>
    <w:rsid w:val="00FC671C"/>
    <w:rsid w:val="00FC6779"/>
    <w:rsid w:val="00FC67C0"/>
    <w:rsid w:val="00FC6851"/>
    <w:rsid w:val="00FC6B63"/>
    <w:rsid w:val="00FC6E48"/>
    <w:rsid w:val="00FC7261"/>
    <w:rsid w:val="00FC7344"/>
    <w:rsid w:val="00FC7354"/>
    <w:rsid w:val="00FC737A"/>
    <w:rsid w:val="00FC73D2"/>
    <w:rsid w:val="00FC7637"/>
    <w:rsid w:val="00FC76C8"/>
    <w:rsid w:val="00FC77C5"/>
    <w:rsid w:val="00FC7926"/>
    <w:rsid w:val="00FC7AF1"/>
    <w:rsid w:val="00FD009D"/>
    <w:rsid w:val="00FD05C2"/>
    <w:rsid w:val="00FD05EA"/>
    <w:rsid w:val="00FD0768"/>
    <w:rsid w:val="00FD07D2"/>
    <w:rsid w:val="00FD0A22"/>
    <w:rsid w:val="00FD0C6D"/>
    <w:rsid w:val="00FD0CEB"/>
    <w:rsid w:val="00FD0DDD"/>
    <w:rsid w:val="00FD0E7E"/>
    <w:rsid w:val="00FD1222"/>
    <w:rsid w:val="00FD1288"/>
    <w:rsid w:val="00FD13B3"/>
    <w:rsid w:val="00FD13D8"/>
    <w:rsid w:val="00FD1434"/>
    <w:rsid w:val="00FD1465"/>
    <w:rsid w:val="00FD162F"/>
    <w:rsid w:val="00FD19B5"/>
    <w:rsid w:val="00FD1C0F"/>
    <w:rsid w:val="00FD1CC4"/>
    <w:rsid w:val="00FD1EF0"/>
    <w:rsid w:val="00FD204A"/>
    <w:rsid w:val="00FD20DE"/>
    <w:rsid w:val="00FD23AA"/>
    <w:rsid w:val="00FD2441"/>
    <w:rsid w:val="00FD27D5"/>
    <w:rsid w:val="00FD293B"/>
    <w:rsid w:val="00FD2BB4"/>
    <w:rsid w:val="00FD2D82"/>
    <w:rsid w:val="00FD308B"/>
    <w:rsid w:val="00FD336E"/>
    <w:rsid w:val="00FD347C"/>
    <w:rsid w:val="00FD3608"/>
    <w:rsid w:val="00FD3705"/>
    <w:rsid w:val="00FD37C2"/>
    <w:rsid w:val="00FD398F"/>
    <w:rsid w:val="00FD3BEC"/>
    <w:rsid w:val="00FD3CB4"/>
    <w:rsid w:val="00FD3CCC"/>
    <w:rsid w:val="00FD3D0A"/>
    <w:rsid w:val="00FD3DA8"/>
    <w:rsid w:val="00FD4189"/>
    <w:rsid w:val="00FD4208"/>
    <w:rsid w:val="00FD442D"/>
    <w:rsid w:val="00FD4546"/>
    <w:rsid w:val="00FD4745"/>
    <w:rsid w:val="00FD479E"/>
    <w:rsid w:val="00FD487F"/>
    <w:rsid w:val="00FD48C2"/>
    <w:rsid w:val="00FD4C71"/>
    <w:rsid w:val="00FD4FD0"/>
    <w:rsid w:val="00FD52C3"/>
    <w:rsid w:val="00FD56E2"/>
    <w:rsid w:val="00FD5742"/>
    <w:rsid w:val="00FD5972"/>
    <w:rsid w:val="00FD5AB6"/>
    <w:rsid w:val="00FD5B94"/>
    <w:rsid w:val="00FD5C03"/>
    <w:rsid w:val="00FD5ECE"/>
    <w:rsid w:val="00FD604E"/>
    <w:rsid w:val="00FD61AC"/>
    <w:rsid w:val="00FD62CB"/>
    <w:rsid w:val="00FD632A"/>
    <w:rsid w:val="00FD633B"/>
    <w:rsid w:val="00FD63E6"/>
    <w:rsid w:val="00FD672E"/>
    <w:rsid w:val="00FD6731"/>
    <w:rsid w:val="00FD6897"/>
    <w:rsid w:val="00FD6979"/>
    <w:rsid w:val="00FD6B08"/>
    <w:rsid w:val="00FD6D5D"/>
    <w:rsid w:val="00FD6E77"/>
    <w:rsid w:val="00FD6F6B"/>
    <w:rsid w:val="00FD6FE3"/>
    <w:rsid w:val="00FD70E7"/>
    <w:rsid w:val="00FD7103"/>
    <w:rsid w:val="00FD72D2"/>
    <w:rsid w:val="00FD74CC"/>
    <w:rsid w:val="00FD76FC"/>
    <w:rsid w:val="00FD78B7"/>
    <w:rsid w:val="00FD7D0F"/>
    <w:rsid w:val="00FD7D2E"/>
    <w:rsid w:val="00FD7E5C"/>
    <w:rsid w:val="00FD7F55"/>
    <w:rsid w:val="00FE010A"/>
    <w:rsid w:val="00FE020D"/>
    <w:rsid w:val="00FE0283"/>
    <w:rsid w:val="00FE0307"/>
    <w:rsid w:val="00FE030E"/>
    <w:rsid w:val="00FE05AE"/>
    <w:rsid w:val="00FE069F"/>
    <w:rsid w:val="00FE0798"/>
    <w:rsid w:val="00FE0A5B"/>
    <w:rsid w:val="00FE0D60"/>
    <w:rsid w:val="00FE0EEB"/>
    <w:rsid w:val="00FE0F71"/>
    <w:rsid w:val="00FE10B1"/>
    <w:rsid w:val="00FE12C3"/>
    <w:rsid w:val="00FE13C0"/>
    <w:rsid w:val="00FE144E"/>
    <w:rsid w:val="00FE1531"/>
    <w:rsid w:val="00FE155D"/>
    <w:rsid w:val="00FE157E"/>
    <w:rsid w:val="00FE1687"/>
    <w:rsid w:val="00FE16EF"/>
    <w:rsid w:val="00FE17D2"/>
    <w:rsid w:val="00FE1871"/>
    <w:rsid w:val="00FE1C99"/>
    <w:rsid w:val="00FE1CB4"/>
    <w:rsid w:val="00FE2100"/>
    <w:rsid w:val="00FE2122"/>
    <w:rsid w:val="00FE21E0"/>
    <w:rsid w:val="00FE2233"/>
    <w:rsid w:val="00FE24F0"/>
    <w:rsid w:val="00FE2573"/>
    <w:rsid w:val="00FE2752"/>
    <w:rsid w:val="00FE2A91"/>
    <w:rsid w:val="00FE2B9B"/>
    <w:rsid w:val="00FE2C43"/>
    <w:rsid w:val="00FE2CBE"/>
    <w:rsid w:val="00FE2CDB"/>
    <w:rsid w:val="00FE2E2C"/>
    <w:rsid w:val="00FE2ED1"/>
    <w:rsid w:val="00FE31DB"/>
    <w:rsid w:val="00FE349F"/>
    <w:rsid w:val="00FE375E"/>
    <w:rsid w:val="00FE3786"/>
    <w:rsid w:val="00FE37D8"/>
    <w:rsid w:val="00FE38CB"/>
    <w:rsid w:val="00FE38F0"/>
    <w:rsid w:val="00FE3905"/>
    <w:rsid w:val="00FE3A0E"/>
    <w:rsid w:val="00FE3B66"/>
    <w:rsid w:val="00FE3CE5"/>
    <w:rsid w:val="00FE3D20"/>
    <w:rsid w:val="00FE3D97"/>
    <w:rsid w:val="00FE3ECF"/>
    <w:rsid w:val="00FE3F2B"/>
    <w:rsid w:val="00FE4240"/>
    <w:rsid w:val="00FE429F"/>
    <w:rsid w:val="00FE486D"/>
    <w:rsid w:val="00FE4A15"/>
    <w:rsid w:val="00FE4AE3"/>
    <w:rsid w:val="00FE4B26"/>
    <w:rsid w:val="00FE4B93"/>
    <w:rsid w:val="00FE4E4A"/>
    <w:rsid w:val="00FE4F2D"/>
    <w:rsid w:val="00FE4F6A"/>
    <w:rsid w:val="00FE503B"/>
    <w:rsid w:val="00FE5075"/>
    <w:rsid w:val="00FE50AD"/>
    <w:rsid w:val="00FE52FE"/>
    <w:rsid w:val="00FE5396"/>
    <w:rsid w:val="00FE542F"/>
    <w:rsid w:val="00FE57E8"/>
    <w:rsid w:val="00FE5A1E"/>
    <w:rsid w:val="00FE5AEB"/>
    <w:rsid w:val="00FE5DD0"/>
    <w:rsid w:val="00FE5DD6"/>
    <w:rsid w:val="00FE5DDF"/>
    <w:rsid w:val="00FE5EF3"/>
    <w:rsid w:val="00FE60CA"/>
    <w:rsid w:val="00FE6258"/>
    <w:rsid w:val="00FE657D"/>
    <w:rsid w:val="00FE6815"/>
    <w:rsid w:val="00FE6884"/>
    <w:rsid w:val="00FE68EB"/>
    <w:rsid w:val="00FE69F9"/>
    <w:rsid w:val="00FE6D48"/>
    <w:rsid w:val="00FE6D5A"/>
    <w:rsid w:val="00FE6DD7"/>
    <w:rsid w:val="00FE6EED"/>
    <w:rsid w:val="00FE6F49"/>
    <w:rsid w:val="00FE7004"/>
    <w:rsid w:val="00FE71E1"/>
    <w:rsid w:val="00FE7251"/>
    <w:rsid w:val="00FE7341"/>
    <w:rsid w:val="00FE7452"/>
    <w:rsid w:val="00FE7488"/>
    <w:rsid w:val="00FE74F3"/>
    <w:rsid w:val="00FE75C7"/>
    <w:rsid w:val="00FE76BD"/>
    <w:rsid w:val="00FE76CA"/>
    <w:rsid w:val="00FE77C2"/>
    <w:rsid w:val="00FE7837"/>
    <w:rsid w:val="00FE78C1"/>
    <w:rsid w:val="00FE794D"/>
    <w:rsid w:val="00FE7970"/>
    <w:rsid w:val="00FE7A09"/>
    <w:rsid w:val="00FE7B5B"/>
    <w:rsid w:val="00FE7ED3"/>
    <w:rsid w:val="00FE7FB4"/>
    <w:rsid w:val="00FF0204"/>
    <w:rsid w:val="00FF02A7"/>
    <w:rsid w:val="00FF030D"/>
    <w:rsid w:val="00FF042B"/>
    <w:rsid w:val="00FF047C"/>
    <w:rsid w:val="00FF0562"/>
    <w:rsid w:val="00FF07C8"/>
    <w:rsid w:val="00FF0BAD"/>
    <w:rsid w:val="00FF0C11"/>
    <w:rsid w:val="00FF0DFD"/>
    <w:rsid w:val="00FF0E60"/>
    <w:rsid w:val="00FF0F24"/>
    <w:rsid w:val="00FF1082"/>
    <w:rsid w:val="00FF1185"/>
    <w:rsid w:val="00FF11AE"/>
    <w:rsid w:val="00FF1225"/>
    <w:rsid w:val="00FF1270"/>
    <w:rsid w:val="00FF137E"/>
    <w:rsid w:val="00FF142C"/>
    <w:rsid w:val="00FF14CF"/>
    <w:rsid w:val="00FF156D"/>
    <w:rsid w:val="00FF1651"/>
    <w:rsid w:val="00FF16EF"/>
    <w:rsid w:val="00FF1A00"/>
    <w:rsid w:val="00FF1D92"/>
    <w:rsid w:val="00FF1DCE"/>
    <w:rsid w:val="00FF223E"/>
    <w:rsid w:val="00FF22E5"/>
    <w:rsid w:val="00FF2968"/>
    <w:rsid w:val="00FF2D09"/>
    <w:rsid w:val="00FF2E6F"/>
    <w:rsid w:val="00FF36D4"/>
    <w:rsid w:val="00FF372D"/>
    <w:rsid w:val="00FF38B3"/>
    <w:rsid w:val="00FF3B15"/>
    <w:rsid w:val="00FF3BED"/>
    <w:rsid w:val="00FF3C80"/>
    <w:rsid w:val="00FF3EE2"/>
    <w:rsid w:val="00FF3F51"/>
    <w:rsid w:val="00FF41AE"/>
    <w:rsid w:val="00FF43D7"/>
    <w:rsid w:val="00FF46F3"/>
    <w:rsid w:val="00FF4748"/>
    <w:rsid w:val="00FF4A92"/>
    <w:rsid w:val="00FF4DF3"/>
    <w:rsid w:val="00FF4E0A"/>
    <w:rsid w:val="00FF4FF9"/>
    <w:rsid w:val="00FF511F"/>
    <w:rsid w:val="00FF5211"/>
    <w:rsid w:val="00FF52B7"/>
    <w:rsid w:val="00FF5414"/>
    <w:rsid w:val="00FF5700"/>
    <w:rsid w:val="00FF58B5"/>
    <w:rsid w:val="00FF59F1"/>
    <w:rsid w:val="00FF5A8A"/>
    <w:rsid w:val="00FF5ACE"/>
    <w:rsid w:val="00FF5BFE"/>
    <w:rsid w:val="00FF5CEF"/>
    <w:rsid w:val="00FF5D65"/>
    <w:rsid w:val="00FF5FF1"/>
    <w:rsid w:val="00FF6027"/>
    <w:rsid w:val="00FF6038"/>
    <w:rsid w:val="00FF616D"/>
    <w:rsid w:val="00FF62A2"/>
    <w:rsid w:val="00FF62AE"/>
    <w:rsid w:val="00FF6519"/>
    <w:rsid w:val="00FF65D7"/>
    <w:rsid w:val="00FF66D9"/>
    <w:rsid w:val="00FF6AD4"/>
    <w:rsid w:val="00FF6B7C"/>
    <w:rsid w:val="00FF6DF2"/>
    <w:rsid w:val="00FF71CD"/>
    <w:rsid w:val="00FF7288"/>
    <w:rsid w:val="00FF72B1"/>
    <w:rsid w:val="00FF739A"/>
    <w:rsid w:val="00FF7425"/>
    <w:rsid w:val="00FF758E"/>
    <w:rsid w:val="00FF770B"/>
    <w:rsid w:val="00FF7750"/>
    <w:rsid w:val="00FF77D5"/>
    <w:rsid w:val="00FF78A9"/>
    <w:rsid w:val="00FF7BB9"/>
    <w:rsid w:val="00FF7BF3"/>
    <w:rsid w:val="00FF7BFA"/>
    <w:rsid w:val="00FF7C67"/>
    <w:rsid w:val="00FF7C90"/>
    <w:rsid w:val="00FF7D5D"/>
    <w:rsid w:val="00FF7DC3"/>
    <w:rsid w:val="00FF7E99"/>
    <w:rsid w:val="0115A813"/>
    <w:rsid w:val="015767E5"/>
    <w:rsid w:val="019554A9"/>
    <w:rsid w:val="01C1970A"/>
    <w:rsid w:val="01D09661"/>
    <w:rsid w:val="01E6C396"/>
    <w:rsid w:val="0246207F"/>
    <w:rsid w:val="02518036"/>
    <w:rsid w:val="02673924"/>
    <w:rsid w:val="02831E22"/>
    <w:rsid w:val="0288081C"/>
    <w:rsid w:val="02A7A7BD"/>
    <w:rsid w:val="03059FE2"/>
    <w:rsid w:val="03AB2B78"/>
    <w:rsid w:val="04316194"/>
    <w:rsid w:val="04430B38"/>
    <w:rsid w:val="04664BCE"/>
    <w:rsid w:val="04AD2821"/>
    <w:rsid w:val="04C8EC43"/>
    <w:rsid w:val="05193E58"/>
    <w:rsid w:val="05ADD954"/>
    <w:rsid w:val="05AE48BC"/>
    <w:rsid w:val="05E92CD3"/>
    <w:rsid w:val="06E5DEED"/>
    <w:rsid w:val="070A0723"/>
    <w:rsid w:val="07149C33"/>
    <w:rsid w:val="0730A2A2"/>
    <w:rsid w:val="07AFE4D0"/>
    <w:rsid w:val="07CA8889"/>
    <w:rsid w:val="07DC616E"/>
    <w:rsid w:val="081F0B3B"/>
    <w:rsid w:val="08F64DA5"/>
    <w:rsid w:val="0913D534"/>
    <w:rsid w:val="0929CB1F"/>
    <w:rsid w:val="0948AFFF"/>
    <w:rsid w:val="0A00588A"/>
    <w:rsid w:val="0A284634"/>
    <w:rsid w:val="0A2D383C"/>
    <w:rsid w:val="0A3CB142"/>
    <w:rsid w:val="0A3CC9C7"/>
    <w:rsid w:val="0A5DC370"/>
    <w:rsid w:val="0A6F2DF1"/>
    <w:rsid w:val="0A98C2D0"/>
    <w:rsid w:val="0AC65C08"/>
    <w:rsid w:val="0B25B8BA"/>
    <w:rsid w:val="0B6D68C2"/>
    <w:rsid w:val="0BC2E428"/>
    <w:rsid w:val="0BDCA4AF"/>
    <w:rsid w:val="0C639D16"/>
    <w:rsid w:val="0C90F350"/>
    <w:rsid w:val="0CB01FEA"/>
    <w:rsid w:val="0CB083C6"/>
    <w:rsid w:val="0D2024F9"/>
    <w:rsid w:val="0D268071"/>
    <w:rsid w:val="0D2C683C"/>
    <w:rsid w:val="0D3F85E3"/>
    <w:rsid w:val="0D543809"/>
    <w:rsid w:val="0D97E9C2"/>
    <w:rsid w:val="0DBC3A14"/>
    <w:rsid w:val="0E17CA11"/>
    <w:rsid w:val="0E2753F0"/>
    <w:rsid w:val="0E49655C"/>
    <w:rsid w:val="0E518772"/>
    <w:rsid w:val="0E686F78"/>
    <w:rsid w:val="0EFBB32B"/>
    <w:rsid w:val="0F35DA87"/>
    <w:rsid w:val="0F38B398"/>
    <w:rsid w:val="0FA144AA"/>
    <w:rsid w:val="0FBA20AB"/>
    <w:rsid w:val="0FEDD22D"/>
    <w:rsid w:val="10452624"/>
    <w:rsid w:val="105A4098"/>
    <w:rsid w:val="10D712BC"/>
    <w:rsid w:val="10E5BF4F"/>
    <w:rsid w:val="1111981F"/>
    <w:rsid w:val="112AE589"/>
    <w:rsid w:val="1155CDA3"/>
    <w:rsid w:val="1245DA54"/>
    <w:rsid w:val="129BA365"/>
    <w:rsid w:val="129D7B33"/>
    <w:rsid w:val="12A1D17C"/>
    <w:rsid w:val="12B842FE"/>
    <w:rsid w:val="12D4874D"/>
    <w:rsid w:val="12D7FE73"/>
    <w:rsid w:val="12DDA88A"/>
    <w:rsid w:val="1320D298"/>
    <w:rsid w:val="139287E3"/>
    <w:rsid w:val="13DFDADE"/>
    <w:rsid w:val="13EEF7AF"/>
    <w:rsid w:val="146BFF62"/>
    <w:rsid w:val="146E8F56"/>
    <w:rsid w:val="14CD4B5D"/>
    <w:rsid w:val="14CFB18F"/>
    <w:rsid w:val="14E5327C"/>
    <w:rsid w:val="15701B5C"/>
    <w:rsid w:val="15C6D363"/>
    <w:rsid w:val="15D3AB40"/>
    <w:rsid w:val="15D5C6F5"/>
    <w:rsid w:val="15D9E33C"/>
    <w:rsid w:val="15EB75F5"/>
    <w:rsid w:val="16146D21"/>
    <w:rsid w:val="16193F6F"/>
    <w:rsid w:val="168A28D0"/>
    <w:rsid w:val="16908047"/>
    <w:rsid w:val="16DEED87"/>
    <w:rsid w:val="16F5EAF8"/>
    <w:rsid w:val="170FC14F"/>
    <w:rsid w:val="173B3D55"/>
    <w:rsid w:val="173BFCF8"/>
    <w:rsid w:val="175EB82B"/>
    <w:rsid w:val="17743065"/>
    <w:rsid w:val="17878F8D"/>
    <w:rsid w:val="17A5AC17"/>
    <w:rsid w:val="17A5BEC9"/>
    <w:rsid w:val="17A7BFED"/>
    <w:rsid w:val="18410FF8"/>
    <w:rsid w:val="18502EC4"/>
    <w:rsid w:val="186DE35E"/>
    <w:rsid w:val="1923C8F1"/>
    <w:rsid w:val="1947F345"/>
    <w:rsid w:val="19AAA0FD"/>
    <w:rsid w:val="19BF995F"/>
    <w:rsid w:val="1A0FF5DC"/>
    <w:rsid w:val="1A1CC425"/>
    <w:rsid w:val="1A229729"/>
    <w:rsid w:val="1A3F3223"/>
    <w:rsid w:val="1A6A9B04"/>
    <w:rsid w:val="1A6ED744"/>
    <w:rsid w:val="1A767004"/>
    <w:rsid w:val="1ABDC6A6"/>
    <w:rsid w:val="1ABF25C9"/>
    <w:rsid w:val="1B34EFDD"/>
    <w:rsid w:val="1B3FA5FA"/>
    <w:rsid w:val="1B598EAA"/>
    <w:rsid w:val="1B60E2D4"/>
    <w:rsid w:val="1BEADAEB"/>
    <w:rsid w:val="1BFE08DC"/>
    <w:rsid w:val="1C0B263A"/>
    <w:rsid w:val="1C339F22"/>
    <w:rsid w:val="1D155EE5"/>
    <w:rsid w:val="1D1DA704"/>
    <w:rsid w:val="1D3CF3E9"/>
    <w:rsid w:val="1D4B04AD"/>
    <w:rsid w:val="1D673C87"/>
    <w:rsid w:val="1DA2A4B0"/>
    <w:rsid w:val="1DB1C68E"/>
    <w:rsid w:val="1E02F60E"/>
    <w:rsid w:val="1E1EDB63"/>
    <w:rsid w:val="1E2EE286"/>
    <w:rsid w:val="1E4BB543"/>
    <w:rsid w:val="1E4F4359"/>
    <w:rsid w:val="1ECCBB48"/>
    <w:rsid w:val="1EEF5ACF"/>
    <w:rsid w:val="1F3B7453"/>
    <w:rsid w:val="1F47F0DA"/>
    <w:rsid w:val="1F61B8F2"/>
    <w:rsid w:val="1F81CD41"/>
    <w:rsid w:val="1F8FD4CF"/>
    <w:rsid w:val="1FA832C5"/>
    <w:rsid w:val="1FC10950"/>
    <w:rsid w:val="202630E4"/>
    <w:rsid w:val="203B574B"/>
    <w:rsid w:val="203B75C9"/>
    <w:rsid w:val="2043391D"/>
    <w:rsid w:val="204D246B"/>
    <w:rsid w:val="20539A7B"/>
    <w:rsid w:val="2106DEB5"/>
    <w:rsid w:val="210BE2A0"/>
    <w:rsid w:val="210C2619"/>
    <w:rsid w:val="22193FBA"/>
    <w:rsid w:val="221BB2E5"/>
    <w:rsid w:val="22E27294"/>
    <w:rsid w:val="230B0548"/>
    <w:rsid w:val="2327DD09"/>
    <w:rsid w:val="23562F1D"/>
    <w:rsid w:val="23BA5032"/>
    <w:rsid w:val="23BCC5A0"/>
    <w:rsid w:val="23D633FD"/>
    <w:rsid w:val="23FB040F"/>
    <w:rsid w:val="24360585"/>
    <w:rsid w:val="2437DA21"/>
    <w:rsid w:val="246E284A"/>
    <w:rsid w:val="2490B8F9"/>
    <w:rsid w:val="24E1EE36"/>
    <w:rsid w:val="24F85371"/>
    <w:rsid w:val="24F8ACDA"/>
    <w:rsid w:val="2543A089"/>
    <w:rsid w:val="25B3B993"/>
    <w:rsid w:val="25CCD2E6"/>
    <w:rsid w:val="25D85D03"/>
    <w:rsid w:val="25F510A7"/>
    <w:rsid w:val="26106999"/>
    <w:rsid w:val="2624CAF9"/>
    <w:rsid w:val="269C20C9"/>
    <w:rsid w:val="26A3177D"/>
    <w:rsid w:val="275ED846"/>
    <w:rsid w:val="2774B537"/>
    <w:rsid w:val="27B7EE8A"/>
    <w:rsid w:val="27DEA67C"/>
    <w:rsid w:val="280B4A96"/>
    <w:rsid w:val="280EDC63"/>
    <w:rsid w:val="28379A3F"/>
    <w:rsid w:val="286E10E0"/>
    <w:rsid w:val="28D4B9C3"/>
    <w:rsid w:val="28D5F259"/>
    <w:rsid w:val="28DBB617"/>
    <w:rsid w:val="292457B8"/>
    <w:rsid w:val="296CBE09"/>
    <w:rsid w:val="2972E4AD"/>
    <w:rsid w:val="298F672C"/>
    <w:rsid w:val="29A3FF0C"/>
    <w:rsid w:val="2A16668E"/>
    <w:rsid w:val="2A373F09"/>
    <w:rsid w:val="2A3DF03E"/>
    <w:rsid w:val="2A7A4121"/>
    <w:rsid w:val="2A946FF6"/>
    <w:rsid w:val="2AB0FC17"/>
    <w:rsid w:val="2AE05705"/>
    <w:rsid w:val="2AED3154"/>
    <w:rsid w:val="2AF79B78"/>
    <w:rsid w:val="2B95B9B7"/>
    <w:rsid w:val="2BFC854D"/>
    <w:rsid w:val="2C6E4BDF"/>
    <w:rsid w:val="2C777DCC"/>
    <w:rsid w:val="2C843A3C"/>
    <w:rsid w:val="2C9E6380"/>
    <w:rsid w:val="2CEA9830"/>
    <w:rsid w:val="2CF401B3"/>
    <w:rsid w:val="2D0684FA"/>
    <w:rsid w:val="2D2B6CE9"/>
    <w:rsid w:val="2DC50A07"/>
    <w:rsid w:val="2E5A035C"/>
    <w:rsid w:val="2E777C02"/>
    <w:rsid w:val="2EC8E889"/>
    <w:rsid w:val="2EF18951"/>
    <w:rsid w:val="2F81DC45"/>
    <w:rsid w:val="2FB9B1F6"/>
    <w:rsid w:val="2FDE7052"/>
    <w:rsid w:val="2FE808BB"/>
    <w:rsid w:val="30453E9A"/>
    <w:rsid w:val="306DB17C"/>
    <w:rsid w:val="30E047E9"/>
    <w:rsid w:val="311F3909"/>
    <w:rsid w:val="328CE321"/>
    <w:rsid w:val="32A851CC"/>
    <w:rsid w:val="32C25856"/>
    <w:rsid w:val="331EBD90"/>
    <w:rsid w:val="333674D4"/>
    <w:rsid w:val="334FA5FB"/>
    <w:rsid w:val="337E8674"/>
    <w:rsid w:val="339719C9"/>
    <w:rsid w:val="33A86543"/>
    <w:rsid w:val="33F80ABA"/>
    <w:rsid w:val="34006CFF"/>
    <w:rsid w:val="342C1142"/>
    <w:rsid w:val="344DCA97"/>
    <w:rsid w:val="345744AF"/>
    <w:rsid w:val="34808B55"/>
    <w:rsid w:val="348C659C"/>
    <w:rsid w:val="34926E2C"/>
    <w:rsid w:val="34CE4572"/>
    <w:rsid w:val="34E4F38B"/>
    <w:rsid w:val="353B9418"/>
    <w:rsid w:val="353E7C68"/>
    <w:rsid w:val="3553DC8D"/>
    <w:rsid w:val="3554CA28"/>
    <w:rsid w:val="3578EB58"/>
    <w:rsid w:val="357F3FA7"/>
    <w:rsid w:val="35ECFAAA"/>
    <w:rsid w:val="366C99AD"/>
    <w:rsid w:val="36A68D1C"/>
    <w:rsid w:val="36AF0C56"/>
    <w:rsid w:val="36F5A0A9"/>
    <w:rsid w:val="37000B82"/>
    <w:rsid w:val="373067F9"/>
    <w:rsid w:val="37BD4A40"/>
    <w:rsid w:val="3821DDD7"/>
    <w:rsid w:val="3850274C"/>
    <w:rsid w:val="389CC17E"/>
    <w:rsid w:val="38A8E2BF"/>
    <w:rsid w:val="39587582"/>
    <w:rsid w:val="39967D23"/>
    <w:rsid w:val="39AC14FE"/>
    <w:rsid w:val="3A3F4C06"/>
    <w:rsid w:val="3A61BB18"/>
    <w:rsid w:val="3A756CDF"/>
    <w:rsid w:val="3AC40E5D"/>
    <w:rsid w:val="3B133351"/>
    <w:rsid w:val="3B18BC6B"/>
    <w:rsid w:val="3B45FC2E"/>
    <w:rsid w:val="3B4DBBB3"/>
    <w:rsid w:val="3BB4BF97"/>
    <w:rsid w:val="3BF015F2"/>
    <w:rsid w:val="3C1C49F0"/>
    <w:rsid w:val="3C31C03F"/>
    <w:rsid w:val="3C59A3E9"/>
    <w:rsid w:val="3CAD167A"/>
    <w:rsid w:val="3D96B966"/>
    <w:rsid w:val="3D983A5D"/>
    <w:rsid w:val="3D99AE05"/>
    <w:rsid w:val="3DCE18B8"/>
    <w:rsid w:val="3DDC2B36"/>
    <w:rsid w:val="3DF011F0"/>
    <w:rsid w:val="3E0E5935"/>
    <w:rsid w:val="3E82DE28"/>
    <w:rsid w:val="3E9E7604"/>
    <w:rsid w:val="3EA1DC61"/>
    <w:rsid w:val="3EA6CAA5"/>
    <w:rsid w:val="3F3918CE"/>
    <w:rsid w:val="3F755A0A"/>
    <w:rsid w:val="3FB739EB"/>
    <w:rsid w:val="3FED4053"/>
    <w:rsid w:val="4053C8A9"/>
    <w:rsid w:val="405F95CD"/>
    <w:rsid w:val="406DE4A6"/>
    <w:rsid w:val="40716992"/>
    <w:rsid w:val="40749274"/>
    <w:rsid w:val="408F79E0"/>
    <w:rsid w:val="40AB8E09"/>
    <w:rsid w:val="40AC984E"/>
    <w:rsid w:val="412DCBA6"/>
    <w:rsid w:val="41525A13"/>
    <w:rsid w:val="42042679"/>
    <w:rsid w:val="420E2F72"/>
    <w:rsid w:val="42ECAC12"/>
    <w:rsid w:val="4329697D"/>
    <w:rsid w:val="43991734"/>
    <w:rsid w:val="43A1AEAE"/>
    <w:rsid w:val="43D03AC5"/>
    <w:rsid w:val="43D76AE7"/>
    <w:rsid w:val="43DA89FD"/>
    <w:rsid w:val="43EC3086"/>
    <w:rsid w:val="43ED0153"/>
    <w:rsid w:val="44206A0A"/>
    <w:rsid w:val="442326BE"/>
    <w:rsid w:val="450C7A97"/>
    <w:rsid w:val="4511D039"/>
    <w:rsid w:val="4525B5C0"/>
    <w:rsid w:val="459627E5"/>
    <w:rsid w:val="45A8EA8B"/>
    <w:rsid w:val="462CCA3E"/>
    <w:rsid w:val="46692F64"/>
    <w:rsid w:val="46B4FE14"/>
    <w:rsid w:val="46BECC50"/>
    <w:rsid w:val="46E17AE7"/>
    <w:rsid w:val="470E65CB"/>
    <w:rsid w:val="472E1D7E"/>
    <w:rsid w:val="476E6070"/>
    <w:rsid w:val="47ED4EFD"/>
    <w:rsid w:val="4821F20F"/>
    <w:rsid w:val="485DEAF7"/>
    <w:rsid w:val="48BFC377"/>
    <w:rsid w:val="48FF21DD"/>
    <w:rsid w:val="49744A0A"/>
    <w:rsid w:val="4A00D96D"/>
    <w:rsid w:val="4A0F1691"/>
    <w:rsid w:val="4A1B716A"/>
    <w:rsid w:val="4AAC4CF6"/>
    <w:rsid w:val="4B09535A"/>
    <w:rsid w:val="4B3BBE5E"/>
    <w:rsid w:val="4B73842D"/>
    <w:rsid w:val="4B86C587"/>
    <w:rsid w:val="4BD7C160"/>
    <w:rsid w:val="4C21CF97"/>
    <w:rsid w:val="4C7A478E"/>
    <w:rsid w:val="4C9A1D43"/>
    <w:rsid w:val="4C9B82EC"/>
    <w:rsid w:val="4D4F3D78"/>
    <w:rsid w:val="4D576AF5"/>
    <w:rsid w:val="4D676AF7"/>
    <w:rsid w:val="4D7DD71D"/>
    <w:rsid w:val="4D83F689"/>
    <w:rsid w:val="4DA744C4"/>
    <w:rsid w:val="4E39F175"/>
    <w:rsid w:val="4E587CEB"/>
    <w:rsid w:val="4EA728B5"/>
    <w:rsid w:val="4EC8ED3D"/>
    <w:rsid w:val="4F606064"/>
    <w:rsid w:val="4FF4D4FB"/>
    <w:rsid w:val="50481EF7"/>
    <w:rsid w:val="509EB7CB"/>
    <w:rsid w:val="50B3CC82"/>
    <w:rsid w:val="50BA1170"/>
    <w:rsid w:val="50F3A86A"/>
    <w:rsid w:val="511385F8"/>
    <w:rsid w:val="5136FEC7"/>
    <w:rsid w:val="513F7425"/>
    <w:rsid w:val="515DBDA9"/>
    <w:rsid w:val="517CAFCD"/>
    <w:rsid w:val="517F8FB1"/>
    <w:rsid w:val="5193028C"/>
    <w:rsid w:val="51C10B0F"/>
    <w:rsid w:val="521C6CFB"/>
    <w:rsid w:val="525231AC"/>
    <w:rsid w:val="52E6312D"/>
    <w:rsid w:val="532468F8"/>
    <w:rsid w:val="537F8EAC"/>
    <w:rsid w:val="5384D4AE"/>
    <w:rsid w:val="53B9557D"/>
    <w:rsid w:val="54487596"/>
    <w:rsid w:val="54529738"/>
    <w:rsid w:val="54C322E1"/>
    <w:rsid w:val="55031BD6"/>
    <w:rsid w:val="55A76B68"/>
    <w:rsid w:val="55A942F6"/>
    <w:rsid w:val="55DFF352"/>
    <w:rsid w:val="562C2994"/>
    <w:rsid w:val="566EB138"/>
    <w:rsid w:val="568431D7"/>
    <w:rsid w:val="56999933"/>
    <w:rsid w:val="56E77E5A"/>
    <w:rsid w:val="5709FBD6"/>
    <w:rsid w:val="57731330"/>
    <w:rsid w:val="577D37B7"/>
    <w:rsid w:val="5794994C"/>
    <w:rsid w:val="57B2C4B4"/>
    <w:rsid w:val="57B967D0"/>
    <w:rsid w:val="57BE51E4"/>
    <w:rsid w:val="57C6BC7E"/>
    <w:rsid w:val="57D3C7A0"/>
    <w:rsid w:val="58FA5BFF"/>
    <w:rsid w:val="59074C47"/>
    <w:rsid w:val="5926954F"/>
    <w:rsid w:val="5984EA23"/>
    <w:rsid w:val="59A4903A"/>
    <w:rsid w:val="59CDFEEC"/>
    <w:rsid w:val="59D112C4"/>
    <w:rsid w:val="59F565DC"/>
    <w:rsid w:val="5A419902"/>
    <w:rsid w:val="5AA6C4C6"/>
    <w:rsid w:val="5B0CE308"/>
    <w:rsid w:val="5B2A18BE"/>
    <w:rsid w:val="5B2CC808"/>
    <w:rsid w:val="5B5653F0"/>
    <w:rsid w:val="5B80B45C"/>
    <w:rsid w:val="5B84DC9F"/>
    <w:rsid w:val="5B9A7FF7"/>
    <w:rsid w:val="5BDFCF4E"/>
    <w:rsid w:val="5C6EA439"/>
    <w:rsid w:val="5C93ED6A"/>
    <w:rsid w:val="5CE672B7"/>
    <w:rsid w:val="5CFAD4EE"/>
    <w:rsid w:val="5D31A782"/>
    <w:rsid w:val="5D3EFA92"/>
    <w:rsid w:val="5E4A3E59"/>
    <w:rsid w:val="5E4F86D3"/>
    <w:rsid w:val="5EBA8F9B"/>
    <w:rsid w:val="5F08ACA4"/>
    <w:rsid w:val="5F705349"/>
    <w:rsid w:val="5F8B0900"/>
    <w:rsid w:val="5F92C0C3"/>
    <w:rsid w:val="601F64F5"/>
    <w:rsid w:val="603C07C9"/>
    <w:rsid w:val="606382F3"/>
    <w:rsid w:val="606E7030"/>
    <w:rsid w:val="6126495F"/>
    <w:rsid w:val="6126F4B7"/>
    <w:rsid w:val="615773E0"/>
    <w:rsid w:val="61D486BC"/>
    <w:rsid w:val="6234C4F4"/>
    <w:rsid w:val="62A612E9"/>
    <w:rsid w:val="62B952B5"/>
    <w:rsid w:val="630157E8"/>
    <w:rsid w:val="6311D093"/>
    <w:rsid w:val="63439170"/>
    <w:rsid w:val="6357E8BE"/>
    <w:rsid w:val="63D16A82"/>
    <w:rsid w:val="6429A6D2"/>
    <w:rsid w:val="6455C1FC"/>
    <w:rsid w:val="645768D9"/>
    <w:rsid w:val="64B75934"/>
    <w:rsid w:val="6523633A"/>
    <w:rsid w:val="65456896"/>
    <w:rsid w:val="65BC80F2"/>
    <w:rsid w:val="65F4C822"/>
    <w:rsid w:val="66251B50"/>
    <w:rsid w:val="663FDFA9"/>
    <w:rsid w:val="665FD501"/>
    <w:rsid w:val="668B2633"/>
    <w:rsid w:val="669DCCD0"/>
    <w:rsid w:val="6709C709"/>
    <w:rsid w:val="670FE9F0"/>
    <w:rsid w:val="67738CB0"/>
    <w:rsid w:val="6782FAF7"/>
    <w:rsid w:val="6790DB52"/>
    <w:rsid w:val="67F1A69A"/>
    <w:rsid w:val="683DFD6F"/>
    <w:rsid w:val="686C505D"/>
    <w:rsid w:val="68CCFBCA"/>
    <w:rsid w:val="68E8C22E"/>
    <w:rsid w:val="68ED2180"/>
    <w:rsid w:val="68F5B8B7"/>
    <w:rsid w:val="691FAB81"/>
    <w:rsid w:val="692396A1"/>
    <w:rsid w:val="695A3374"/>
    <w:rsid w:val="696E35F7"/>
    <w:rsid w:val="69A8DFB4"/>
    <w:rsid w:val="6A367A77"/>
    <w:rsid w:val="6A551278"/>
    <w:rsid w:val="6AB1669B"/>
    <w:rsid w:val="6AE4ACD6"/>
    <w:rsid w:val="6B025EE0"/>
    <w:rsid w:val="6BFA0114"/>
    <w:rsid w:val="6C02F755"/>
    <w:rsid w:val="6C196B33"/>
    <w:rsid w:val="6CD37A99"/>
    <w:rsid w:val="6D20A93D"/>
    <w:rsid w:val="6D3A939F"/>
    <w:rsid w:val="6D3C208D"/>
    <w:rsid w:val="6DE0D675"/>
    <w:rsid w:val="6DE63FBB"/>
    <w:rsid w:val="6DEA3AAB"/>
    <w:rsid w:val="6E95FA7A"/>
    <w:rsid w:val="6EF179F2"/>
    <w:rsid w:val="6F01DF18"/>
    <w:rsid w:val="6F197385"/>
    <w:rsid w:val="6F75B5DA"/>
    <w:rsid w:val="6FEB46DB"/>
    <w:rsid w:val="702D5322"/>
    <w:rsid w:val="705387FB"/>
    <w:rsid w:val="711536C3"/>
    <w:rsid w:val="71D989AF"/>
    <w:rsid w:val="720088C8"/>
    <w:rsid w:val="72189E6F"/>
    <w:rsid w:val="722DDE01"/>
    <w:rsid w:val="7233CAE1"/>
    <w:rsid w:val="7261428A"/>
    <w:rsid w:val="729EC686"/>
    <w:rsid w:val="72CF90DE"/>
    <w:rsid w:val="72FF93C0"/>
    <w:rsid w:val="730127D5"/>
    <w:rsid w:val="730E5477"/>
    <w:rsid w:val="734AA97A"/>
    <w:rsid w:val="7353660F"/>
    <w:rsid w:val="73607605"/>
    <w:rsid w:val="7378129B"/>
    <w:rsid w:val="737E2396"/>
    <w:rsid w:val="738FF5D1"/>
    <w:rsid w:val="7396521E"/>
    <w:rsid w:val="73D7DAB7"/>
    <w:rsid w:val="73EDECF8"/>
    <w:rsid w:val="74494E0F"/>
    <w:rsid w:val="747AB068"/>
    <w:rsid w:val="74BDCB5E"/>
    <w:rsid w:val="74D4746A"/>
    <w:rsid w:val="74EE9D2A"/>
    <w:rsid w:val="751EE93A"/>
    <w:rsid w:val="754D54CF"/>
    <w:rsid w:val="7590F088"/>
    <w:rsid w:val="7595D2B1"/>
    <w:rsid w:val="75A57D7B"/>
    <w:rsid w:val="75C9D5BF"/>
    <w:rsid w:val="75DB7D97"/>
    <w:rsid w:val="75FAD651"/>
    <w:rsid w:val="7642DAEB"/>
    <w:rsid w:val="7675CE10"/>
    <w:rsid w:val="77042815"/>
    <w:rsid w:val="7788C19F"/>
    <w:rsid w:val="77C8EED3"/>
    <w:rsid w:val="77CE222C"/>
    <w:rsid w:val="77D40CF3"/>
    <w:rsid w:val="7831F9FA"/>
    <w:rsid w:val="7870F129"/>
    <w:rsid w:val="790C3FF9"/>
    <w:rsid w:val="790E216A"/>
    <w:rsid w:val="792933CA"/>
    <w:rsid w:val="794E4CF0"/>
    <w:rsid w:val="798A3EDD"/>
    <w:rsid w:val="79C61E96"/>
    <w:rsid w:val="79FECEBE"/>
    <w:rsid w:val="7A027DBB"/>
    <w:rsid w:val="7A033C24"/>
    <w:rsid w:val="7A3793A1"/>
    <w:rsid w:val="7A3C77F0"/>
    <w:rsid w:val="7A65397B"/>
    <w:rsid w:val="7AE7EA9D"/>
    <w:rsid w:val="7AF8DFA0"/>
    <w:rsid w:val="7B014F2E"/>
    <w:rsid w:val="7B52B893"/>
    <w:rsid w:val="7B882CD7"/>
    <w:rsid w:val="7BD839C2"/>
    <w:rsid w:val="7C823267"/>
    <w:rsid w:val="7CBA3796"/>
    <w:rsid w:val="7CF2C7BE"/>
    <w:rsid w:val="7D168DED"/>
    <w:rsid w:val="7D302E0E"/>
    <w:rsid w:val="7D32E53A"/>
    <w:rsid w:val="7D589628"/>
    <w:rsid w:val="7D7299AE"/>
    <w:rsid w:val="7DBB4FDC"/>
    <w:rsid w:val="7DCC7A2D"/>
    <w:rsid w:val="7E241415"/>
    <w:rsid w:val="7E53E604"/>
    <w:rsid w:val="7E8394D0"/>
    <w:rsid w:val="7EA68C81"/>
    <w:rsid w:val="7EDF8802"/>
    <w:rsid w:val="7F39C04F"/>
    <w:rsid w:val="7F85AF6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5DC7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paragraph" w:styleId="Heading8">
    <w:name w:val="heading 8"/>
    <w:basedOn w:val="Normal"/>
    <w:next w:val="Normal"/>
    <w:link w:val="Heading8Char"/>
    <w:uiPriority w:val="9"/>
    <w:semiHidden/>
    <w:unhideWhenUsed/>
    <w:qFormat/>
    <w:rsid w:val="00CA7C31"/>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szCs w:val="24"/>
      <w:lang w:val="en-IE"/>
      <w14:ligatures w14:val="standardContextual"/>
    </w:rPr>
  </w:style>
  <w:style w:type="paragraph" w:styleId="Heading9">
    <w:name w:val="heading 9"/>
    <w:basedOn w:val="Normal"/>
    <w:next w:val="Normal"/>
    <w:link w:val="Heading9Char"/>
    <w:uiPriority w:val="9"/>
    <w:semiHidden/>
    <w:unhideWhenUsed/>
    <w:qFormat/>
    <w:rsid w:val="00CA7C31"/>
    <w:pPr>
      <w:keepNext/>
      <w:keepLines/>
      <w:spacing w:before="0" w:after="0" w:line="278" w:lineRule="auto"/>
      <w:jc w:val="left"/>
      <w:outlineLvl w:val="8"/>
    </w:pPr>
    <w:rPr>
      <w:rFonts w:asciiTheme="minorHAnsi" w:eastAsiaTheme="majorEastAsia" w:hAnsiTheme="minorHAnsi" w:cstheme="majorBidi"/>
      <w:color w:val="272727" w:themeColor="text1" w:themeTint="D8"/>
      <w:kern w:val="2"/>
      <w:szCs w:val="24"/>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40ED7"/>
    <w:pPr>
      <w:numPr>
        <w:numId w:val="1"/>
      </w:numPr>
      <w:tabs>
        <w:tab w:val="num" w:pos="360"/>
      </w:tabs>
      <w:ind w:left="0" w:firstLine="0"/>
    </w:pPr>
    <w:rPr>
      <w:rFonts w:eastAsia="Times New Roman"/>
      <w:lang w:eastAsia="de-DE"/>
    </w:rPr>
  </w:style>
  <w:style w:type="paragraph" w:styleId="ListNumber">
    <w:name w:val="List Number"/>
    <w:basedOn w:val="Normal"/>
    <w:rsid w:val="00440ED7"/>
    <w:pPr>
      <w:numPr>
        <w:numId w:val="5"/>
      </w:numPr>
      <w:ind w:left="0" w:firstLine="0"/>
    </w:pPr>
    <w:rPr>
      <w:rFonts w:eastAsia="Times New Roman"/>
      <w:lang w:eastAsia="de-DE"/>
    </w:rPr>
  </w:style>
  <w:style w:type="paragraph" w:customStyle="1" w:styleId="ListBullet1">
    <w:name w:val="List Bullet 1"/>
    <w:basedOn w:val="Normal"/>
    <w:rsid w:val="00440ED7"/>
    <w:pPr>
      <w:tabs>
        <w:tab w:val="num" w:pos="360"/>
        <w:tab w:val="num" w:pos="1134"/>
        <w:tab w:val="num" w:pos="1492"/>
      </w:tabs>
      <w:ind w:left="1492" w:hanging="360"/>
    </w:pPr>
    <w:rPr>
      <w:rFonts w:eastAsia="Times New Roman"/>
      <w:lang w:eastAsia="de-DE"/>
    </w:rPr>
  </w:style>
  <w:style w:type="paragraph" w:customStyle="1" w:styleId="ListDash">
    <w:name w:val="List Dash"/>
    <w:basedOn w:val="Normal"/>
    <w:rsid w:val="00440ED7"/>
    <w:pPr>
      <w:numPr>
        <w:numId w:val="2"/>
      </w:numPr>
      <w:ind w:left="0" w:firstLine="0"/>
    </w:pPr>
    <w:rPr>
      <w:rFonts w:eastAsia="Times New Roman"/>
      <w:lang w:eastAsia="de-DE"/>
    </w:rPr>
  </w:style>
  <w:style w:type="paragraph" w:customStyle="1" w:styleId="ListDash1">
    <w:name w:val="List Dash 1"/>
    <w:basedOn w:val="Normal"/>
    <w:rsid w:val="00440ED7"/>
    <w:pPr>
      <w:numPr>
        <w:numId w:val="3"/>
      </w:numPr>
      <w:ind w:left="0" w:firstLine="0"/>
    </w:pPr>
    <w:rPr>
      <w:rFonts w:eastAsia="Times New Roman"/>
      <w:lang w:eastAsia="de-DE"/>
    </w:rPr>
  </w:style>
  <w:style w:type="paragraph" w:customStyle="1" w:styleId="ListDash2">
    <w:name w:val="List Dash 2"/>
    <w:basedOn w:val="Normal"/>
    <w:rsid w:val="00440ED7"/>
    <w:pPr>
      <w:numPr>
        <w:numId w:val="4"/>
      </w:numPr>
      <w:ind w:left="0" w:firstLine="0"/>
    </w:pPr>
    <w:rPr>
      <w:rFonts w:eastAsia="Times New Roman"/>
      <w:lang w:eastAsia="de-DE"/>
    </w:rPr>
  </w:style>
  <w:style w:type="paragraph" w:customStyle="1" w:styleId="ListNumberLevel2">
    <w:name w:val="List Number (Level 2)"/>
    <w:basedOn w:val="Normal"/>
    <w:rsid w:val="00440ED7"/>
    <w:pPr>
      <w:numPr>
        <w:ilvl w:val="1"/>
        <w:numId w:val="5"/>
      </w:numPr>
      <w:tabs>
        <w:tab w:val="clear" w:pos="1417"/>
      </w:tabs>
      <w:ind w:left="0" w:firstLine="0"/>
    </w:pPr>
    <w:rPr>
      <w:rFonts w:eastAsia="Times New Roman"/>
      <w:lang w:eastAsia="de-DE"/>
    </w:rPr>
  </w:style>
  <w:style w:type="paragraph" w:customStyle="1" w:styleId="ListNumberLevel3">
    <w:name w:val="List Number (Level 3)"/>
    <w:basedOn w:val="Normal"/>
    <w:rsid w:val="00440ED7"/>
    <w:pPr>
      <w:numPr>
        <w:ilvl w:val="2"/>
        <w:numId w:val="5"/>
      </w:numPr>
      <w:tabs>
        <w:tab w:val="clear" w:pos="2126"/>
      </w:tabs>
      <w:ind w:left="0" w:firstLine="0"/>
    </w:pPr>
    <w:rPr>
      <w:rFonts w:eastAsia="Times New Roman"/>
      <w:lang w:eastAsia="de-DE"/>
    </w:rPr>
  </w:style>
  <w:style w:type="paragraph" w:customStyle="1" w:styleId="ListNumberLevel4">
    <w:name w:val="List Number (Level 4)"/>
    <w:basedOn w:val="Normal"/>
    <w:rsid w:val="00440ED7"/>
    <w:pPr>
      <w:numPr>
        <w:ilvl w:val="3"/>
        <w:numId w:val="5"/>
      </w:numPr>
      <w:tabs>
        <w:tab w:val="clear" w:pos="2835"/>
      </w:tabs>
      <w:ind w:left="0" w:firstLine="0"/>
    </w:pPr>
    <w:rPr>
      <w:rFonts w:eastAsia="Times New Roman"/>
      <w:lang w:eastAsia="de-DE"/>
    </w:rPr>
  </w:style>
  <w:style w:type="table" w:styleId="TableGrid">
    <w:name w:val="Table Grid"/>
    <w:basedOn w:val="TableNormal"/>
    <w:uiPriority w:val="39"/>
    <w:rsid w:val="00440E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40ED7"/>
    <w:rPr>
      <w:color w:val="0000FF"/>
      <w:u w:val="single"/>
    </w:rPr>
  </w:style>
  <w:style w:type="paragraph" w:styleId="ListBullet">
    <w:name w:val="List Bullet"/>
    <w:basedOn w:val="Normal"/>
    <w:rsid w:val="00440ED7"/>
    <w:pPr>
      <w:numPr>
        <w:numId w:val="6"/>
      </w:numPr>
      <w:ind w:left="0" w:firstLine="0"/>
    </w:pPr>
    <w:rPr>
      <w:rFonts w:eastAsia="Times New Roman"/>
      <w:lang w:val="fr-FR" w:eastAsia="en-GB"/>
    </w:rPr>
  </w:style>
  <w:style w:type="paragraph" w:styleId="ListBullet2">
    <w:name w:val="List Bullet 2"/>
    <w:basedOn w:val="Normal"/>
    <w:rsid w:val="00440ED7"/>
    <w:pPr>
      <w:numPr>
        <w:numId w:val="7"/>
      </w:numPr>
      <w:ind w:left="0" w:firstLine="0"/>
    </w:pPr>
    <w:rPr>
      <w:rFonts w:eastAsia="Times New Roman"/>
      <w:lang w:val="fr-FR" w:eastAsia="en-GB"/>
    </w:rPr>
  </w:style>
  <w:style w:type="paragraph" w:styleId="ListBullet3">
    <w:name w:val="List Bullet 3"/>
    <w:basedOn w:val="Normal"/>
    <w:rsid w:val="00440ED7"/>
    <w:pPr>
      <w:numPr>
        <w:numId w:val="8"/>
      </w:numPr>
      <w:tabs>
        <w:tab w:val="clear" w:pos="1134"/>
      </w:tabs>
      <w:ind w:left="0" w:firstLine="0"/>
    </w:pPr>
    <w:rPr>
      <w:rFonts w:eastAsia="Times New Roman"/>
      <w:lang w:val="fr-FR" w:eastAsia="en-GB"/>
    </w:rPr>
  </w:style>
  <w:style w:type="paragraph" w:styleId="ListNumber2">
    <w:name w:val="List Number 2"/>
    <w:basedOn w:val="Normal"/>
    <w:rsid w:val="00440ED7"/>
    <w:pPr>
      <w:numPr>
        <w:numId w:val="10"/>
      </w:numPr>
    </w:pPr>
    <w:rPr>
      <w:rFonts w:eastAsia="Times New Roman"/>
      <w:lang w:val="fr-FR" w:eastAsia="en-GB"/>
    </w:rPr>
  </w:style>
  <w:style w:type="paragraph" w:styleId="ListNumber3">
    <w:name w:val="List Number 3"/>
    <w:basedOn w:val="Normal"/>
    <w:rsid w:val="00440ED7"/>
    <w:pPr>
      <w:numPr>
        <w:numId w:val="11"/>
      </w:numPr>
      <w:ind w:left="0" w:firstLine="0"/>
    </w:pPr>
    <w:rPr>
      <w:rFonts w:eastAsia="Times New Roman"/>
      <w:lang w:val="fr-FR" w:eastAsia="en-GB"/>
    </w:rPr>
  </w:style>
  <w:style w:type="paragraph" w:styleId="ListNumber4">
    <w:name w:val="List Number 4"/>
    <w:basedOn w:val="Normal"/>
    <w:rsid w:val="00440ED7"/>
    <w:pPr>
      <w:numPr>
        <w:numId w:val="12"/>
      </w:numPr>
      <w:ind w:left="0" w:firstLine="0"/>
    </w:pPr>
    <w:rPr>
      <w:rFonts w:eastAsia="Times New Roman"/>
      <w:lang w:val="fr-FR" w:eastAsia="en-GB"/>
    </w:rPr>
  </w:style>
  <w:style w:type="paragraph" w:customStyle="1" w:styleId="ListDash3">
    <w:name w:val="List Dash 3"/>
    <w:basedOn w:val="Normal"/>
    <w:rsid w:val="00440ED7"/>
    <w:pPr>
      <w:tabs>
        <w:tab w:val="num" w:pos="-2546"/>
        <w:tab w:val="num" w:pos="850"/>
      </w:tabs>
      <w:ind w:left="-2546" w:hanging="850"/>
    </w:pPr>
    <w:rPr>
      <w:rFonts w:eastAsia="Times New Roman"/>
      <w:lang w:val="fr-FR" w:eastAsia="en-GB"/>
    </w:rPr>
  </w:style>
  <w:style w:type="paragraph" w:customStyle="1" w:styleId="ListDash4">
    <w:name w:val="List Dash 4"/>
    <w:basedOn w:val="Normal"/>
    <w:rsid w:val="00440ED7"/>
    <w:pPr>
      <w:numPr>
        <w:numId w:val="9"/>
      </w:numPr>
      <w:ind w:left="0" w:firstLine="0"/>
    </w:pPr>
    <w:rPr>
      <w:rFonts w:eastAsia="Times New Roman"/>
      <w:lang w:val="fr-FR" w:eastAsia="en-GB"/>
    </w:rPr>
  </w:style>
  <w:style w:type="paragraph" w:customStyle="1" w:styleId="ListNumber1">
    <w:name w:val="List Number 1"/>
    <w:basedOn w:val="Text1"/>
    <w:uiPriority w:val="1"/>
    <w:rsid w:val="00440ED7"/>
    <w:pPr>
      <w:tabs>
        <w:tab w:val="num" w:pos="850"/>
      </w:tabs>
      <w:ind w:left="1560" w:hanging="709"/>
    </w:pPr>
    <w:rPr>
      <w:rFonts w:eastAsia="Times New Roman"/>
      <w:lang w:val="fr-FR" w:eastAsia="en-GB"/>
    </w:rPr>
  </w:style>
  <w:style w:type="paragraph" w:customStyle="1" w:styleId="ListNumber1Level2">
    <w:name w:val="List Number 1 (Level 2)"/>
    <w:basedOn w:val="Text1"/>
    <w:uiPriority w:val="1"/>
    <w:rsid w:val="00440ED7"/>
    <w:pPr>
      <w:tabs>
        <w:tab w:val="num" w:pos="850"/>
      </w:tabs>
      <w:ind w:left="2268" w:hanging="708"/>
    </w:pPr>
    <w:rPr>
      <w:rFonts w:eastAsia="Times New Roman"/>
      <w:lang w:val="fr-FR" w:eastAsia="en-GB"/>
    </w:rPr>
  </w:style>
  <w:style w:type="paragraph" w:customStyle="1" w:styleId="ListNumber2Level2">
    <w:name w:val="List Number 2 (Level 2)"/>
    <w:basedOn w:val="Text2"/>
    <w:rsid w:val="00440ED7"/>
    <w:pPr>
      <w:numPr>
        <w:ilvl w:val="1"/>
        <w:numId w:val="10"/>
      </w:numPr>
      <w:tabs>
        <w:tab w:val="clear" w:pos="2268"/>
      </w:tabs>
      <w:ind w:left="0" w:firstLine="0"/>
    </w:pPr>
    <w:rPr>
      <w:rFonts w:eastAsia="Times New Roman"/>
      <w:lang w:val="fr-FR" w:eastAsia="en-GB"/>
    </w:rPr>
  </w:style>
  <w:style w:type="paragraph" w:customStyle="1" w:styleId="ListNumber3Level2">
    <w:name w:val="List Number 3 (Level 2)"/>
    <w:basedOn w:val="Text3"/>
    <w:rsid w:val="00440ED7"/>
    <w:pPr>
      <w:numPr>
        <w:ilvl w:val="1"/>
        <w:numId w:val="11"/>
      </w:numPr>
      <w:tabs>
        <w:tab w:val="clear" w:pos="2268"/>
      </w:tabs>
      <w:ind w:left="0" w:firstLine="0"/>
    </w:pPr>
    <w:rPr>
      <w:rFonts w:eastAsia="Times New Roman"/>
      <w:lang w:val="fr-FR" w:eastAsia="en-GB"/>
    </w:rPr>
  </w:style>
  <w:style w:type="paragraph" w:customStyle="1" w:styleId="ListNumber4Level2">
    <w:name w:val="List Number 4 (Level 2)"/>
    <w:basedOn w:val="Text4"/>
    <w:rsid w:val="00440ED7"/>
    <w:pPr>
      <w:numPr>
        <w:ilvl w:val="1"/>
        <w:numId w:val="12"/>
      </w:numPr>
      <w:tabs>
        <w:tab w:val="clear" w:pos="2268"/>
      </w:tabs>
      <w:ind w:left="0" w:firstLine="0"/>
    </w:pPr>
    <w:rPr>
      <w:rFonts w:eastAsia="Times New Roman"/>
      <w:lang w:val="fr-FR" w:eastAsia="en-GB"/>
    </w:rPr>
  </w:style>
  <w:style w:type="paragraph" w:customStyle="1" w:styleId="ListNumber1Level3">
    <w:name w:val="List Number 1 (Level 3)"/>
    <w:basedOn w:val="Text1"/>
    <w:uiPriority w:val="1"/>
    <w:rsid w:val="00440ED7"/>
    <w:pPr>
      <w:tabs>
        <w:tab w:val="num" w:pos="850"/>
      </w:tabs>
      <w:ind w:left="2977" w:hanging="709"/>
    </w:pPr>
    <w:rPr>
      <w:rFonts w:eastAsia="Times New Roman"/>
      <w:lang w:val="fr-FR" w:eastAsia="en-GB"/>
    </w:rPr>
  </w:style>
  <w:style w:type="paragraph" w:customStyle="1" w:styleId="ListNumber2Level3">
    <w:name w:val="List Number 2 (Level 3)"/>
    <w:basedOn w:val="Text2"/>
    <w:rsid w:val="00440ED7"/>
    <w:pPr>
      <w:numPr>
        <w:ilvl w:val="2"/>
        <w:numId w:val="10"/>
      </w:numPr>
      <w:tabs>
        <w:tab w:val="clear" w:pos="2977"/>
      </w:tabs>
      <w:ind w:left="0" w:firstLine="0"/>
    </w:pPr>
    <w:rPr>
      <w:rFonts w:eastAsia="Times New Roman"/>
      <w:lang w:val="fr-FR" w:eastAsia="en-GB"/>
    </w:rPr>
  </w:style>
  <w:style w:type="paragraph" w:customStyle="1" w:styleId="ListNumber3Level3">
    <w:name w:val="List Number 3 (Level 3)"/>
    <w:basedOn w:val="Text3"/>
    <w:rsid w:val="00440ED7"/>
    <w:pPr>
      <w:numPr>
        <w:ilvl w:val="2"/>
        <w:numId w:val="11"/>
      </w:numPr>
      <w:tabs>
        <w:tab w:val="clear" w:pos="2977"/>
      </w:tabs>
      <w:ind w:left="0" w:firstLine="0"/>
    </w:pPr>
    <w:rPr>
      <w:rFonts w:eastAsia="Times New Roman"/>
      <w:lang w:val="fr-FR" w:eastAsia="en-GB"/>
    </w:rPr>
  </w:style>
  <w:style w:type="paragraph" w:customStyle="1" w:styleId="ListNumber4Level3">
    <w:name w:val="List Number 4 (Level 3)"/>
    <w:basedOn w:val="Text4"/>
    <w:rsid w:val="00440ED7"/>
    <w:pPr>
      <w:numPr>
        <w:ilvl w:val="2"/>
        <w:numId w:val="12"/>
      </w:numPr>
      <w:tabs>
        <w:tab w:val="clear" w:pos="2977"/>
      </w:tabs>
      <w:ind w:left="0" w:firstLine="0"/>
    </w:pPr>
    <w:rPr>
      <w:rFonts w:eastAsia="Times New Roman"/>
      <w:lang w:val="fr-FR" w:eastAsia="en-GB"/>
    </w:rPr>
  </w:style>
  <w:style w:type="paragraph" w:customStyle="1" w:styleId="ListNumber1Level4">
    <w:name w:val="List Number 1 (Level 4)"/>
    <w:basedOn w:val="Text1"/>
    <w:uiPriority w:val="1"/>
    <w:rsid w:val="00440ED7"/>
    <w:pPr>
      <w:tabs>
        <w:tab w:val="num" w:pos="850"/>
      </w:tabs>
      <w:ind w:left="3686" w:hanging="709"/>
    </w:pPr>
    <w:rPr>
      <w:rFonts w:eastAsia="Times New Roman"/>
      <w:lang w:val="fr-FR" w:eastAsia="en-GB"/>
    </w:rPr>
  </w:style>
  <w:style w:type="paragraph" w:customStyle="1" w:styleId="ListNumber2Level4">
    <w:name w:val="List Number 2 (Level 4)"/>
    <w:basedOn w:val="Text2"/>
    <w:rsid w:val="00440ED7"/>
    <w:pPr>
      <w:numPr>
        <w:ilvl w:val="3"/>
        <w:numId w:val="10"/>
      </w:numPr>
      <w:tabs>
        <w:tab w:val="clear" w:pos="3686"/>
      </w:tabs>
      <w:ind w:left="0" w:firstLine="0"/>
    </w:pPr>
    <w:rPr>
      <w:rFonts w:eastAsia="Times New Roman"/>
      <w:lang w:val="fr-FR" w:eastAsia="en-GB"/>
    </w:rPr>
  </w:style>
  <w:style w:type="paragraph" w:customStyle="1" w:styleId="ListNumber3Level4">
    <w:name w:val="List Number 3 (Level 4)"/>
    <w:basedOn w:val="Text3"/>
    <w:rsid w:val="00440ED7"/>
    <w:pPr>
      <w:numPr>
        <w:ilvl w:val="3"/>
        <w:numId w:val="11"/>
      </w:numPr>
      <w:tabs>
        <w:tab w:val="clear" w:pos="3686"/>
      </w:tabs>
      <w:ind w:left="0" w:firstLine="0"/>
    </w:pPr>
    <w:rPr>
      <w:rFonts w:eastAsia="Times New Roman"/>
      <w:lang w:val="fr-FR" w:eastAsia="en-GB"/>
    </w:rPr>
  </w:style>
  <w:style w:type="paragraph" w:customStyle="1" w:styleId="ListNumber4Level4">
    <w:name w:val="List Number 4 (Level 4)"/>
    <w:basedOn w:val="Text4"/>
    <w:rsid w:val="00440ED7"/>
    <w:pPr>
      <w:numPr>
        <w:ilvl w:val="3"/>
        <w:numId w:val="12"/>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440ED7"/>
    <w:pPr>
      <w:jc w:val="center"/>
    </w:pPr>
    <w:rPr>
      <w:rFonts w:eastAsia="Times New Roman"/>
      <w:b/>
      <w:u w:val="single"/>
      <w:lang w:val="fr-FR" w:eastAsia="en-GB"/>
    </w:rPr>
  </w:style>
  <w:style w:type="paragraph" w:customStyle="1" w:styleId="Annexetitreexposglobal">
    <w:name w:val="Annexe titre (exposé global)"/>
    <w:basedOn w:val="Normal"/>
    <w:next w:val="Normal"/>
    <w:rsid w:val="00440ED7"/>
    <w:pPr>
      <w:jc w:val="center"/>
    </w:pPr>
    <w:rPr>
      <w:rFonts w:eastAsia="Times New Roman"/>
      <w:b/>
      <w:u w:val="single"/>
      <w:lang w:val="fr-FR" w:eastAsia="en-GB"/>
    </w:rPr>
  </w:style>
  <w:style w:type="paragraph" w:customStyle="1" w:styleId="Annexetitrefichefinacte">
    <w:name w:val="Annexe titre (fiche fin. acte)"/>
    <w:basedOn w:val="Normal"/>
    <w:next w:val="Normal"/>
    <w:rsid w:val="00440E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440ED7"/>
    <w:pPr>
      <w:jc w:val="center"/>
    </w:pPr>
    <w:rPr>
      <w:rFonts w:eastAsia="Times New Roman"/>
      <w:b/>
      <w:u w:val="single"/>
      <w:lang w:val="fr-FR" w:eastAsia="en-GB"/>
    </w:rPr>
  </w:style>
  <w:style w:type="paragraph" w:customStyle="1" w:styleId="Annexetitreglobale">
    <w:name w:val="Annexe titre (globale)"/>
    <w:basedOn w:val="Normal"/>
    <w:next w:val="Normal"/>
    <w:rsid w:val="00440E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440ED7"/>
    <w:pPr>
      <w:jc w:val="center"/>
    </w:pPr>
    <w:rPr>
      <w:rFonts w:eastAsia="Times New Roman"/>
      <w:b/>
      <w:u w:val="single"/>
      <w:lang w:val="fr-FR" w:eastAsia="en-GB"/>
    </w:rPr>
  </w:style>
  <w:style w:type="paragraph" w:customStyle="1" w:styleId="Langueoriginale">
    <w:name w:val="Langue originale"/>
    <w:basedOn w:val="Normal"/>
    <w:rsid w:val="00440ED7"/>
    <w:pPr>
      <w:spacing w:before="360"/>
      <w:jc w:val="center"/>
    </w:pPr>
    <w:rPr>
      <w:rFonts w:eastAsia="Times New Roman"/>
      <w:caps/>
      <w:lang w:val="fr-FR" w:eastAsia="en-GB"/>
    </w:rPr>
  </w:style>
  <w:style w:type="paragraph" w:customStyle="1" w:styleId="Phrasefinale">
    <w:name w:val="Phrase finale"/>
    <w:basedOn w:val="Normal"/>
    <w:next w:val="Normal"/>
    <w:rsid w:val="00440ED7"/>
    <w:pPr>
      <w:spacing w:before="360" w:after="0"/>
      <w:jc w:val="center"/>
    </w:pPr>
    <w:rPr>
      <w:rFonts w:eastAsia="Times New Roman"/>
      <w:lang w:val="fr-FR" w:eastAsia="en-GB"/>
    </w:rPr>
  </w:style>
  <w:style w:type="paragraph" w:customStyle="1" w:styleId="Prliminairetitre">
    <w:name w:val="Préliminaire titre"/>
    <w:basedOn w:val="Normal"/>
    <w:next w:val="Normal"/>
    <w:rsid w:val="00440ED7"/>
    <w:pPr>
      <w:spacing w:before="360" w:after="360"/>
      <w:jc w:val="center"/>
    </w:pPr>
    <w:rPr>
      <w:rFonts w:eastAsia="Times New Roman"/>
      <w:b/>
      <w:lang w:val="fr-FR" w:eastAsia="en-GB"/>
    </w:rPr>
  </w:style>
  <w:style w:type="paragraph" w:customStyle="1" w:styleId="Prliminairetype">
    <w:name w:val="Préliminaire type"/>
    <w:basedOn w:val="Normal"/>
    <w:next w:val="Normal"/>
    <w:rsid w:val="00440E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440E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440E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440E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440ED7"/>
    <w:pPr>
      <w:spacing w:before="0" w:after="0"/>
      <w:jc w:val="center"/>
    </w:pPr>
    <w:rPr>
      <w:rFonts w:eastAsia="Times New Roman"/>
      <w:b/>
      <w:lang w:val="fr-FR" w:eastAsia="en-GB"/>
    </w:rPr>
  </w:style>
  <w:style w:type="paragraph" w:customStyle="1" w:styleId="Statutprliminaire">
    <w:name w:val="Statut (préliminaire)"/>
    <w:basedOn w:val="Normal"/>
    <w:next w:val="Normal"/>
    <w:rsid w:val="00440E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440E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440E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440E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440E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440E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440E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440E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440ED7"/>
    <w:pPr>
      <w:jc w:val="center"/>
    </w:pPr>
    <w:rPr>
      <w:rFonts w:eastAsia="Times New Roman"/>
      <w:b/>
      <w:u w:val="single"/>
      <w:lang w:val="fr-FR" w:eastAsia="en-GB"/>
    </w:rPr>
  </w:style>
  <w:style w:type="character" w:styleId="CommentReference">
    <w:name w:val="annotation reference"/>
    <w:uiPriority w:val="99"/>
    <w:rsid w:val="00440ED7"/>
    <w:rPr>
      <w:rFonts w:cs="Times New Roman"/>
      <w:sz w:val="16"/>
      <w:szCs w:val="16"/>
    </w:rPr>
  </w:style>
  <w:style w:type="paragraph" w:styleId="CommentText">
    <w:name w:val="annotation text"/>
    <w:basedOn w:val="Normal"/>
    <w:link w:val="CommentTextChar"/>
    <w:uiPriority w:val="99"/>
    <w:rsid w:val="00440E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440E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440ED7"/>
    <w:rPr>
      <w:b/>
      <w:bCs/>
    </w:rPr>
  </w:style>
  <w:style w:type="character" w:customStyle="1" w:styleId="CommentSubjectChar">
    <w:name w:val="Comment Subject Char"/>
    <w:basedOn w:val="CommentTextChar"/>
    <w:link w:val="CommentSubject"/>
    <w:uiPriority w:val="99"/>
    <w:rsid w:val="00440E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40E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440ED7"/>
    <w:rPr>
      <w:rFonts w:ascii="Tahoma" w:eastAsia="Times New Roman" w:hAnsi="Tahoma" w:cs="Tahoma"/>
      <w:sz w:val="16"/>
      <w:szCs w:val="16"/>
      <w:lang w:val="fr-FR" w:eastAsia="en-GB"/>
    </w:rPr>
  </w:style>
  <w:style w:type="paragraph" w:styleId="Caption">
    <w:name w:val="caption"/>
    <w:basedOn w:val="Normal"/>
    <w:next w:val="Normal"/>
    <w:qFormat/>
    <w:rsid w:val="00440ED7"/>
    <w:rPr>
      <w:rFonts w:eastAsia="Times New Roman"/>
      <w:b/>
      <w:bCs/>
      <w:sz w:val="20"/>
      <w:szCs w:val="20"/>
      <w:lang w:val="fr-FR" w:eastAsia="en-GB"/>
    </w:rPr>
  </w:style>
  <w:style w:type="paragraph" w:styleId="TableofFigures">
    <w:name w:val="table of figures"/>
    <w:basedOn w:val="Normal"/>
    <w:next w:val="Normal"/>
    <w:rsid w:val="00440ED7"/>
    <w:rPr>
      <w:rFonts w:eastAsia="Times New Roman"/>
      <w:lang w:val="fr-FR" w:eastAsia="en-GB"/>
    </w:rPr>
  </w:style>
  <w:style w:type="character" w:styleId="PageNumber">
    <w:name w:val="page number"/>
    <w:rsid w:val="00440ED7"/>
  </w:style>
  <w:style w:type="character" w:customStyle="1" w:styleId="tw4winMark">
    <w:name w:val="tw4winMark"/>
    <w:rsid w:val="00440ED7"/>
    <w:rPr>
      <w:vanish/>
      <w:color w:val="800080"/>
      <w:vertAlign w:val="subscript"/>
    </w:rPr>
  </w:style>
  <w:style w:type="character" w:styleId="FollowedHyperlink">
    <w:name w:val="FollowedHyperlink"/>
    <w:uiPriority w:val="99"/>
    <w:rsid w:val="00440ED7"/>
    <w:rPr>
      <w:color w:val="800080"/>
      <w:u w:val="single"/>
    </w:rPr>
  </w:style>
  <w:style w:type="paragraph" w:customStyle="1" w:styleId="Sous-titreobjet">
    <w:name w:val="Sous-titre objet"/>
    <w:basedOn w:val="Normal"/>
    <w:rsid w:val="00440E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40ED7"/>
  </w:style>
  <w:style w:type="paragraph" w:styleId="Revision">
    <w:name w:val="Revision"/>
    <w:hidden/>
    <w:uiPriority w:val="99"/>
    <w:semiHidden/>
    <w:rsid w:val="00440E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440E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40ED7"/>
    <w:rPr>
      <w:rFonts w:ascii="Times New Roman" w:hAnsi="Times New Roman" w:cs="Times New Roman"/>
      <w:b/>
      <w:sz w:val="28"/>
      <w:lang w:val="en-GB"/>
    </w:rPr>
  </w:style>
  <w:style w:type="character" w:customStyle="1" w:styleId="FooterCoverPageChar">
    <w:name w:val="Footer Cover Page Char"/>
    <w:link w:val="FooterCoverPage"/>
    <w:rsid w:val="00440E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440E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40ED7"/>
    <w:rPr>
      <w:rFonts w:ascii="Times New Roman" w:eastAsia="Calibri" w:hAnsi="Times New Roman" w:cs="Times New Roman"/>
      <w:sz w:val="24"/>
      <w:lang w:val="en-GB" w:eastAsia="en-GB"/>
    </w:rPr>
  </w:style>
  <w:style w:type="character" w:customStyle="1" w:styleId="FooterSensitivityChar">
    <w:name w:val="Footer Sensitivity Char"/>
    <w:rsid w:val="00440ED7"/>
    <w:rPr>
      <w:rFonts w:ascii="Times New Roman" w:hAnsi="Times New Roman" w:cs="Times New Roman"/>
      <w:b/>
      <w:sz w:val="32"/>
      <w:lang w:val="en-GB"/>
    </w:rPr>
  </w:style>
  <w:style w:type="character" w:customStyle="1" w:styleId="HeaderSensitivityChar">
    <w:name w:val="Header Sensitivity Char"/>
    <w:rsid w:val="00440ED7"/>
    <w:rPr>
      <w:rFonts w:ascii="Times New Roman" w:hAnsi="Times New Roman" w:cs="Times New Roman"/>
      <w:b/>
      <w:sz w:val="32"/>
      <w:lang w:val="en-GB"/>
    </w:rPr>
  </w:style>
  <w:style w:type="character" w:customStyle="1" w:styleId="HeaderSensitivityRightChar">
    <w:name w:val="Header Sensitivity Right Char"/>
    <w:rsid w:val="00440ED7"/>
    <w:rPr>
      <w:rFonts w:ascii="Times New Roman" w:hAnsi="Times New Roman" w:cs="Times New Roman"/>
      <w:sz w:val="28"/>
      <w:lang w:val="en-GB"/>
    </w:rPr>
  </w:style>
  <w:style w:type="paragraph" w:customStyle="1" w:styleId="LegalNumPar">
    <w:name w:val="LegalNumPar"/>
    <w:basedOn w:val="Normal"/>
    <w:rsid w:val="00440ED7"/>
    <w:pPr>
      <w:numPr>
        <w:numId w:val="13"/>
      </w:numPr>
      <w:spacing w:line="360" w:lineRule="auto"/>
      <w:ind w:left="0" w:firstLine="0"/>
    </w:pPr>
    <w:rPr>
      <w:rFonts w:eastAsia="Times New Roman"/>
      <w:lang w:eastAsia="en-GB"/>
    </w:rPr>
  </w:style>
  <w:style w:type="paragraph" w:customStyle="1" w:styleId="LegalNumPar2">
    <w:name w:val="LegalNumPar2"/>
    <w:basedOn w:val="Normal"/>
    <w:rsid w:val="00440ED7"/>
    <w:pPr>
      <w:numPr>
        <w:ilvl w:val="1"/>
        <w:numId w:val="13"/>
      </w:numPr>
      <w:spacing w:line="360" w:lineRule="auto"/>
      <w:ind w:left="0" w:firstLine="0"/>
    </w:pPr>
    <w:rPr>
      <w:rFonts w:eastAsia="Times New Roman"/>
      <w:lang w:eastAsia="en-GB"/>
    </w:rPr>
  </w:style>
  <w:style w:type="paragraph" w:customStyle="1" w:styleId="LegalNumPar3">
    <w:name w:val="LegalNumPar3"/>
    <w:basedOn w:val="Normal"/>
    <w:rsid w:val="00440ED7"/>
    <w:pPr>
      <w:numPr>
        <w:ilvl w:val="2"/>
        <w:numId w:val="13"/>
      </w:numPr>
      <w:spacing w:line="360" w:lineRule="auto"/>
      <w:ind w:left="0" w:firstLine="0"/>
    </w:pPr>
    <w:rPr>
      <w:rFonts w:eastAsia="Times New Roman"/>
      <w:lang w:eastAsia="en-GB"/>
    </w:rPr>
  </w:style>
  <w:style w:type="paragraph" w:styleId="ListParagraph">
    <w:name w:val="List Paragraph"/>
    <w:aliases w:val="EC,Paragraphe de liste11,Paragraphe de liste1,Puce,Colorful List Accent 1,List Paragraph (numbered (a)),List_Paragraph,Multilevel para_II,List Paragraph1,Rec para,Dot pt,F5 List Paragraph,No Spacing1,List Paragraph Char Char Char,L,3"/>
    <w:basedOn w:val="Normal"/>
    <w:link w:val="ListParagraphChar"/>
    <w:uiPriority w:val="34"/>
    <w:qFormat/>
    <w:rsid w:val="00440ED7"/>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440ED7"/>
    <w:rPr>
      <w:color w:val="605E5C"/>
      <w:shd w:val="clear" w:color="auto" w:fill="E1DFDD"/>
    </w:rPr>
  </w:style>
  <w:style w:type="character" w:styleId="Strong">
    <w:name w:val="Strong"/>
    <w:basedOn w:val="DefaultParagraphFont"/>
    <w:uiPriority w:val="22"/>
    <w:qFormat/>
    <w:rsid w:val="00440ED7"/>
    <w:rPr>
      <w:b/>
      <w:bCs/>
    </w:rPr>
  </w:style>
  <w:style w:type="character" w:styleId="Emphasis">
    <w:name w:val="Emphasis"/>
    <w:basedOn w:val="DefaultParagraphFont"/>
    <w:uiPriority w:val="20"/>
    <w:qFormat/>
    <w:rsid w:val="00440ED7"/>
    <w:rPr>
      <w:i/>
      <w:iCs/>
    </w:rPr>
  </w:style>
  <w:style w:type="character" w:customStyle="1" w:styleId="Mention1">
    <w:name w:val="Mention1"/>
    <w:basedOn w:val="DefaultParagraphFont"/>
    <w:uiPriority w:val="99"/>
    <w:unhideWhenUsed/>
    <w:rsid w:val="00440ED7"/>
    <w:rPr>
      <w:color w:val="2B579A"/>
      <w:shd w:val="clear" w:color="auto" w:fill="E1DFDD"/>
    </w:rPr>
  </w:style>
  <w:style w:type="character" w:customStyle="1" w:styleId="normaltextrun">
    <w:name w:val="normaltextrun"/>
    <w:basedOn w:val="DefaultParagraphFont"/>
    <w:rsid w:val="00440ED7"/>
  </w:style>
  <w:style w:type="character" w:customStyle="1" w:styleId="eop">
    <w:name w:val="eop"/>
    <w:basedOn w:val="DefaultParagraphFont"/>
    <w:rsid w:val="00440ED7"/>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FE7970"/>
    <w:pPr>
      <w:spacing w:before="0" w:after="160" w:line="240" w:lineRule="exact"/>
    </w:pPr>
    <w:rPr>
      <w:rFonts w:asciiTheme="minorHAnsi" w:hAnsiTheme="minorHAnsi" w:cstheme="minorBidi"/>
      <w:sz w:val="22"/>
      <w:vertAlign w:val="superscript"/>
      <w:lang w:val="en-US"/>
    </w:rPr>
  </w:style>
  <w:style w:type="paragraph" w:customStyle="1" w:styleId="Norml">
    <w:name w:val="Norml"/>
    <w:basedOn w:val="Text1"/>
    <w:rsid w:val="00F201FB"/>
  </w:style>
  <w:style w:type="character" w:customStyle="1" w:styleId="Heading8Char">
    <w:name w:val="Heading 8 Char"/>
    <w:basedOn w:val="DefaultParagraphFont"/>
    <w:link w:val="Heading8"/>
    <w:uiPriority w:val="9"/>
    <w:semiHidden/>
    <w:rsid w:val="00CA7C31"/>
    <w:rPr>
      <w:rFonts w:eastAsiaTheme="majorEastAsia" w:cstheme="majorBidi"/>
      <w:i/>
      <w:iCs/>
      <w:color w:val="272727" w:themeColor="text1" w:themeTint="D8"/>
      <w:kern w:val="2"/>
      <w:sz w:val="24"/>
      <w:szCs w:val="24"/>
      <w:lang w:val="en-IE"/>
      <w14:ligatures w14:val="standardContextual"/>
    </w:rPr>
  </w:style>
  <w:style w:type="character" w:customStyle="1" w:styleId="Heading9Char">
    <w:name w:val="Heading 9 Char"/>
    <w:basedOn w:val="DefaultParagraphFont"/>
    <w:link w:val="Heading9"/>
    <w:uiPriority w:val="9"/>
    <w:semiHidden/>
    <w:rsid w:val="00CA7C31"/>
    <w:rPr>
      <w:rFonts w:eastAsiaTheme="majorEastAsia" w:cstheme="majorBidi"/>
      <w:color w:val="272727" w:themeColor="text1" w:themeTint="D8"/>
      <w:kern w:val="2"/>
      <w:sz w:val="24"/>
      <w:szCs w:val="24"/>
      <w:lang w:val="en-IE"/>
      <w14:ligatures w14:val="standardContextual"/>
    </w:rPr>
  </w:style>
  <w:style w:type="character" w:customStyle="1" w:styleId="ListParagraphChar">
    <w:name w:val="List Paragraph Char"/>
    <w:aliases w:val="EC Char,Paragraphe de liste11 Char,Paragraphe de liste1 Char,Puce Char,Colorful List Accent 1 Char,List Paragraph (numbered (a)) Char,List_Paragraph Char,Multilevel para_II Char,List Paragraph1 Char,Rec para Char,Dot pt Char,L Char"/>
    <w:link w:val="ListParagraph"/>
    <w:uiPriority w:val="34"/>
    <w:qFormat/>
    <w:locked/>
    <w:rsid w:val="00CA7C31"/>
    <w:rPr>
      <w:rFonts w:ascii="Times New Roman" w:eastAsia="Times New Roman" w:hAnsi="Times New Roman" w:cs="Times New Roman"/>
      <w:sz w:val="24"/>
      <w:lang w:val="en-GB" w:eastAsia="en-GB"/>
    </w:rPr>
  </w:style>
  <w:style w:type="paragraph" w:customStyle="1" w:styleId="NumPar0">
    <w:name w:val="NumPar 0"/>
    <w:basedOn w:val="NumPar1"/>
    <w:rsid w:val="00CA7C31"/>
    <w:pPr>
      <w:numPr>
        <w:numId w:val="0"/>
      </w:numPr>
    </w:pPr>
  </w:style>
  <w:style w:type="paragraph" w:customStyle="1" w:styleId="Nu">
    <w:name w:val="Nu"/>
    <w:basedOn w:val="Normal"/>
    <w:rsid w:val="00CA7C31"/>
  </w:style>
  <w:style w:type="paragraph" w:styleId="NormalWeb">
    <w:name w:val="Normal (Web)"/>
    <w:basedOn w:val="Normal"/>
    <w:uiPriority w:val="99"/>
    <w:unhideWhenUsed/>
    <w:rsid w:val="00CA7C31"/>
    <w:pPr>
      <w:spacing w:before="100" w:beforeAutospacing="1" w:after="100" w:afterAutospacing="1"/>
      <w:jc w:val="left"/>
    </w:pPr>
    <w:rPr>
      <w:rFonts w:eastAsia="Times New Roman"/>
      <w:szCs w:val="24"/>
      <w:lang w:val="en-IE" w:eastAsia="en-IE"/>
    </w:rPr>
  </w:style>
  <w:style w:type="paragraph" w:styleId="Title">
    <w:name w:val="Title"/>
    <w:basedOn w:val="Normal"/>
    <w:next w:val="Normal"/>
    <w:link w:val="TitleChar"/>
    <w:uiPriority w:val="10"/>
    <w:qFormat/>
    <w:rsid w:val="00CA7C31"/>
    <w:pPr>
      <w:spacing w:before="0" w:after="80"/>
      <w:contextualSpacing/>
      <w:jc w:val="left"/>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CA7C31"/>
    <w:rPr>
      <w:rFonts w:asciiTheme="majorHAnsi" w:eastAsiaTheme="majorEastAsia" w:hAnsiTheme="majorHAnsi" w:cstheme="majorBidi"/>
      <w:spacing w:val="-10"/>
      <w:kern w:val="28"/>
      <w:sz w:val="56"/>
      <w:szCs w:val="56"/>
      <w:lang w:val="en-IE"/>
      <w14:ligatures w14:val="standardContextual"/>
    </w:rPr>
  </w:style>
  <w:style w:type="paragraph" w:styleId="Subtitle">
    <w:name w:val="Subtitle"/>
    <w:basedOn w:val="Normal"/>
    <w:next w:val="Normal"/>
    <w:link w:val="SubtitleChar"/>
    <w:uiPriority w:val="11"/>
    <w:qFormat/>
    <w:rsid w:val="00CA7C31"/>
    <w:pPr>
      <w:numPr>
        <w:ilvl w:val="1"/>
      </w:numPr>
      <w:spacing w:before="0" w:after="160" w:line="278" w:lineRule="auto"/>
      <w:jc w:val="left"/>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CA7C31"/>
    <w:rPr>
      <w:rFonts w:eastAsiaTheme="majorEastAsia" w:cstheme="majorBidi"/>
      <w:color w:val="595959" w:themeColor="text1" w:themeTint="A6"/>
      <w:spacing w:val="15"/>
      <w:kern w:val="2"/>
      <w:sz w:val="28"/>
      <w:szCs w:val="28"/>
      <w:lang w:val="en-IE"/>
      <w14:ligatures w14:val="standardContextual"/>
    </w:rPr>
  </w:style>
  <w:style w:type="paragraph" w:styleId="Quote">
    <w:name w:val="Quote"/>
    <w:basedOn w:val="Normal"/>
    <w:next w:val="Normal"/>
    <w:link w:val="QuoteChar"/>
    <w:uiPriority w:val="29"/>
    <w:qFormat/>
    <w:rsid w:val="00CA7C31"/>
    <w:pPr>
      <w:spacing w:before="160" w:after="160" w:line="278" w:lineRule="auto"/>
      <w:jc w:val="center"/>
    </w:pPr>
    <w:rPr>
      <w:rFonts w:asciiTheme="minorHAnsi" w:hAnsiTheme="minorHAnsi" w:cstheme="minorBidi"/>
      <w:i/>
      <w:iCs/>
      <w:color w:val="404040" w:themeColor="text1" w:themeTint="BF"/>
      <w:kern w:val="2"/>
      <w:szCs w:val="24"/>
      <w:lang w:val="en-IE"/>
      <w14:ligatures w14:val="standardContextual"/>
    </w:rPr>
  </w:style>
  <w:style w:type="character" w:customStyle="1" w:styleId="QuoteChar">
    <w:name w:val="Quote Char"/>
    <w:basedOn w:val="DefaultParagraphFont"/>
    <w:link w:val="Quote"/>
    <w:uiPriority w:val="29"/>
    <w:rsid w:val="00CA7C31"/>
    <w:rPr>
      <w:i/>
      <w:iCs/>
      <w:color w:val="404040" w:themeColor="text1" w:themeTint="BF"/>
      <w:kern w:val="2"/>
      <w:sz w:val="24"/>
      <w:szCs w:val="24"/>
      <w:lang w:val="en-IE"/>
      <w14:ligatures w14:val="standardContextual"/>
    </w:rPr>
  </w:style>
  <w:style w:type="character" w:styleId="IntenseEmphasis">
    <w:name w:val="Intense Emphasis"/>
    <w:basedOn w:val="DefaultParagraphFont"/>
    <w:uiPriority w:val="21"/>
    <w:qFormat/>
    <w:rsid w:val="00CA7C31"/>
    <w:rPr>
      <w:i/>
      <w:iCs/>
      <w:color w:val="365F91" w:themeColor="accent1" w:themeShade="BF"/>
    </w:rPr>
  </w:style>
  <w:style w:type="paragraph" w:styleId="IntenseQuote">
    <w:name w:val="Intense Quote"/>
    <w:basedOn w:val="Normal"/>
    <w:next w:val="Normal"/>
    <w:link w:val="IntenseQuoteChar"/>
    <w:uiPriority w:val="30"/>
    <w:qFormat/>
    <w:rsid w:val="00CA7C31"/>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Cs w:val="24"/>
      <w:lang w:val="en-IE"/>
      <w14:ligatures w14:val="standardContextual"/>
    </w:rPr>
  </w:style>
  <w:style w:type="character" w:customStyle="1" w:styleId="IntenseQuoteChar">
    <w:name w:val="Intense Quote Char"/>
    <w:basedOn w:val="DefaultParagraphFont"/>
    <w:link w:val="IntenseQuote"/>
    <w:uiPriority w:val="30"/>
    <w:rsid w:val="00CA7C31"/>
    <w:rPr>
      <w:i/>
      <w:iCs/>
      <w:color w:val="365F91" w:themeColor="accent1" w:themeShade="BF"/>
      <w:kern w:val="2"/>
      <w:sz w:val="24"/>
      <w:szCs w:val="24"/>
      <w:lang w:val="en-IE"/>
      <w14:ligatures w14:val="standardContextual"/>
    </w:rPr>
  </w:style>
  <w:style w:type="character" w:styleId="IntenseReference">
    <w:name w:val="Intense Reference"/>
    <w:basedOn w:val="DefaultParagraphFont"/>
    <w:uiPriority w:val="32"/>
    <w:qFormat/>
    <w:rsid w:val="00CA7C31"/>
    <w:rPr>
      <w:b/>
      <w:bCs/>
      <w:smallCaps/>
      <w:color w:val="365F91" w:themeColor="accent1" w:themeShade="BF"/>
      <w:spacing w:val="5"/>
    </w:rPr>
  </w:style>
  <w:style w:type="paragraph" w:customStyle="1" w:styleId="oj-normal">
    <w:name w:val="oj-normal"/>
    <w:basedOn w:val="Normal"/>
    <w:rsid w:val="00CA7C31"/>
    <w:pPr>
      <w:spacing w:before="100" w:beforeAutospacing="1" w:after="100" w:afterAutospacing="1"/>
      <w:jc w:val="left"/>
    </w:pPr>
    <w:rPr>
      <w:rFonts w:eastAsia="Times New Roman"/>
      <w:szCs w:val="24"/>
      <w:lang w:val="en-IE" w:eastAsia="en-IE"/>
    </w:rPr>
  </w:style>
  <w:style w:type="paragraph" w:customStyle="1" w:styleId="pf0">
    <w:name w:val="pf0"/>
    <w:basedOn w:val="Normal"/>
    <w:rsid w:val="00CA7C31"/>
    <w:pPr>
      <w:spacing w:before="100" w:beforeAutospacing="1" w:after="100" w:afterAutospacing="1"/>
      <w:jc w:val="left"/>
    </w:pPr>
    <w:rPr>
      <w:rFonts w:eastAsia="Times New Roman"/>
      <w:szCs w:val="24"/>
      <w:lang w:val="en-IE" w:eastAsia="en-IE"/>
    </w:rPr>
  </w:style>
  <w:style w:type="character" w:customStyle="1" w:styleId="cf01">
    <w:name w:val="cf01"/>
    <w:basedOn w:val="DefaultParagraphFont"/>
    <w:rsid w:val="00CA7C31"/>
    <w:rPr>
      <w:rFonts w:ascii="Segoe UI" w:hAnsi="Segoe UI" w:cs="Segoe UI" w:hint="default"/>
      <w:sz w:val="18"/>
      <w:szCs w:val="18"/>
    </w:rPr>
  </w:style>
  <w:style w:type="paragraph" w:customStyle="1" w:styleId="title-bold">
    <w:name w:val="title-bold"/>
    <w:basedOn w:val="Normal"/>
    <w:rsid w:val="00CA7C31"/>
    <w:pPr>
      <w:spacing w:before="100" w:beforeAutospacing="1" w:after="100" w:afterAutospacing="1"/>
      <w:jc w:val="left"/>
    </w:pPr>
    <w:rPr>
      <w:rFonts w:eastAsia="Times New Roman"/>
      <w:szCs w:val="24"/>
      <w:lang w:val="en-IE" w:eastAsia="en-IE"/>
    </w:rPr>
  </w:style>
  <w:style w:type="paragraph" w:customStyle="1" w:styleId="Titrrearticle">
    <w:name w:val="Titrre article"/>
    <w:basedOn w:val="Normal"/>
    <w:rsid w:val="00CA7C31"/>
  </w:style>
  <w:style w:type="paragraph" w:customStyle="1" w:styleId="Article">
    <w:name w:val="Article"/>
    <w:basedOn w:val="Normal"/>
    <w:link w:val="ArticleChar"/>
    <w:qFormat/>
    <w:rsid w:val="00CA7C31"/>
    <w:pPr>
      <w:numPr>
        <w:numId w:val="15"/>
      </w:numPr>
      <w:spacing w:before="240" w:after="0"/>
      <w:ind w:left="0" w:firstLine="0"/>
      <w:jc w:val="center"/>
    </w:pPr>
    <w:rPr>
      <w:rFonts w:ascii="Times" w:hAnsi="Times" w:cs="Times"/>
      <w:i/>
    </w:rPr>
  </w:style>
  <w:style w:type="character" w:customStyle="1" w:styleId="ArticleChar">
    <w:name w:val="Article Char"/>
    <w:basedOn w:val="DefaultParagraphFont"/>
    <w:link w:val="Article"/>
    <w:rsid w:val="00CA7C31"/>
    <w:rPr>
      <w:rFonts w:ascii="Times" w:hAnsi="Times" w:cs="Times"/>
      <w:i/>
      <w:sz w:val="24"/>
      <w:lang w:val="en-GB"/>
    </w:rPr>
  </w:style>
  <w:style w:type="paragraph" w:customStyle="1" w:styleId="NumPar">
    <w:name w:val="NumPar"/>
    <w:basedOn w:val="ManualNumPar1"/>
    <w:rsid w:val="00CA7C31"/>
    <w:pPr>
      <w:ind w:left="0" w:firstLine="0"/>
    </w:pPr>
  </w:style>
  <w:style w:type="numbering" w:customStyle="1" w:styleId="NoList1">
    <w:name w:val="No List1"/>
    <w:next w:val="NoList"/>
    <w:uiPriority w:val="99"/>
    <w:semiHidden/>
    <w:unhideWhenUsed/>
    <w:rsid w:val="00CA7C31"/>
  </w:style>
  <w:style w:type="paragraph" w:customStyle="1" w:styleId="paragraph">
    <w:name w:val="paragraph"/>
    <w:basedOn w:val="Normal"/>
    <w:rsid w:val="00CA7C31"/>
    <w:pPr>
      <w:spacing w:before="100" w:beforeAutospacing="1" w:after="100" w:afterAutospacing="1"/>
      <w:jc w:val="left"/>
    </w:pPr>
    <w:rPr>
      <w:rFonts w:eastAsia="Times New Roman"/>
      <w:szCs w:val="24"/>
      <w:lang w:val="en-IE" w:eastAsia="en-IE"/>
    </w:rPr>
  </w:style>
  <w:style w:type="numbering" w:customStyle="1" w:styleId="CurrentList1">
    <w:name w:val="Current List1"/>
    <w:uiPriority w:val="99"/>
    <w:rsid w:val="00CA7C31"/>
  </w:style>
  <w:style w:type="paragraph" w:customStyle="1" w:styleId="Point">
    <w:name w:val="Point"/>
    <w:basedOn w:val="Bullet0"/>
    <w:rsid w:val="00CA7C31"/>
    <w:pPr>
      <w:numPr>
        <w:numId w:val="16"/>
      </w:numPr>
      <w:spacing w:before="0"/>
      <w:ind w:left="0" w:firstLine="0"/>
    </w:pPr>
  </w:style>
  <w:style w:type="paragraph" w:customStyle="1" w:styleId="Nurmpar1">
    <w:name w:val="Nurm par1"/>
    <w:basedOn w:val="Normal"/>
    <w:rsid w:val="00CA7C31"/>
    <w:pPr>
      <w:spacing w:before="0" w:after="0"/>
      <w:ind w:left="360"/>
      <w:contextualSpacing/>
    </w:pPr>
    <w:rPr>
      <w:rFonts w:ascii="Times" w:hAnsi="Times" w:cs="Times"/>
    </w:rPr>
  </w:style>
  <w:style w:type="paragraph" w:customStyle="1" w:styleId="NumPar20">
    <w:name w:val="Num Par 2"/>
    <w:basedOn w:val="NumPar2"/>
    <w:rsid w:val="00CA7C31"/>
    <w:pPr>
      <w:numPr>
        <w:ilvl w:val="0"/>
        <w:numId w:val="0"/>
      </w:numPr>
      <w:tabs>
        <w:tab w:val="num" w:pos="1492"/>
      </w:tabs>
      <w:ind w:left="1492" w:hanging="360"/>
    </w:pPr>
  </w:style>
  <w:style w:type="paragraph" w:styleId="NoSpacing">
    <w:name w:val="No Spacing"/>
    <w:uiPriority w:val="1"/>
    <w:qFormat/>
    <w:rsid w:val="00CA7C31"/>
    <w:pPr>
      <w:spacing w:after="0" w:line="240" w:lineRule="auto"/>
      <w:jc w:val="both"/>
    </w:pPr>
    <w:rPr>
      <w:rFonts w:ascii="Times New Roman" w:hAnsi="Times New Roman" w:cs="Times New Roman"/>
      <w:sz w:val="24"/>
      <w:lang w:val="en-GB"/>
    </w:rPr>
  </w:style>
  <w:style w:type="paragraph" w:customStyle="1" w:styleId="NumPar10">
    <w:name w:val="NumPar1"/>
    <w:basedOn w:val="Normal"/>
    <w:rsid w:val="00CA7C31"/>
  </w:style>
  <w:style w:type="paragraph" w:customStyle="1" w:styleId="NumPar11">
    <w:name w:val="Num Par 1"/>
    <w:basedOn w:val="Normal"/>
    <w:rsid w:val="00CA7C31"/>
  </w:style>
  <w:style w:type="paragraph" w:customStyle="1" w:styleId="NumPar00">
    <w:name w:val="Num Par 0"/>
    <w:basedOn w:val="Normal"/>
    <w:rsid w:val="002D7B2F"/>
  </w:style>
  <w:style w:type="paragraph" w:customStyle="1" w:styleId="NumPa">
    <w:name w:val="NumPa"/>
    <w:basedOn w:val="Normal"/>
    <w:rsid w:val="00185603"/>
  </w:style>
  <w:style w:type="paragraph" w:customStyle="1" w:styleId="Text0">
    <w:name w:val="Text 0"/>
    <w:basedOn w:val="Normal"/>
    <w:rsid w:val="00BE1F12"/>
  </w:style>
  <w:style w:type="paragraph" w:customStyle="1" w:styleId="Point0numer">
    <w:name w:val="Point 0 (numer)"/>
    <w:basedOn w:val="Point0number"/>
    <w:rsid w:val="00425E8E"/>
    <w:pPr>
      <w:numPr>
        <w:numId w:val="18"/>
      </w:numPr>
      <w:tabs>
        <w:tab w:val="num" w:pos="850"/>
      </w:tabs>
      <w:ind w:left="850" w:hanging="850"/>
    </w:pPr>
  </w:style>
  <w:style w:type="paragraph" w:customStyle="1" w:styleId="NumPara1">
    <w:name w:val="NumPara 1"/>
    <w:basedOn w:val="Normal"/>
    <w:rsid w:val="002E467C"/>
    <w:pPr>
      <w:numPr>
        <w:numId w:val="19"/>
      </w:numPr>
    </w:pPr>
    <w:rPr>
      <w:lang w:val="en-IE"/>
    </w:rPr>
  </w:style>
  <w:style w:type="paragraph" w:customStyle="1" w:styleId="Num">
    <w:name w:val="Num"/>
    <w:basedOn w:val="Point0letter"/>
    <w:rsid w:val="00230E22"/>
    <w:pPr>
      <w:numPr>
        <w:ilvl w:val="0"/>
        <w:numId w:val="0"/>
      </w:numPr>
      <w:ind w:left="850"/>
    </w:pPr>
    <w:rPr>
      <w:lang w:val="en-IE"/>
    </w:rPr>
  </w:style>
  <w:style w:type="paragraph" w:customStyle="1" w:styleId="RTitre">
    <w:name w:val="RTitre"/>
    <w:basedOn w:val="Normal"/>
    <w:rsid w:val="00066CDB"/>
  </w:style>
  <w:style w:type="paragraph" w:customStyle="1" w:styleId="Point4number">
    <w:name w:val="Point 4 (number)"/>
    <w:basedOn w:val="Point4letter"/>
    <w:rsid w:val="00463B19"/>
    <w:pPr>
      <w:numPr>
        <w:numId w:val="20"/>
      </w:numPr>
      <w:ind w:left="3118"/>
    </w:pPr>
  </w:style>
  <w:style w:type="paragraph" w:customStyle="1" w:styleId="NumPara10">
    <w:name w:val="Num Para 1"/>
    <w:basedOn w:val="ManualNumPar1"/>
    <w:rsid w:val="000D0C3E"/>
    <w:rPr>
      <w:noProof/>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SUPERS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tabs>
        <w:tab w:val="num" w:pos="1417"/>
      </w:tabs>
      <w:ind w:left="1417" w:hanging="567"/>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098">
      <w:bodyDiv w:val="1"/>
      <w:marLeft w:val="0"/>
      <w:marRight w:val="0"/>
      <w:marTop w:val="0"/>
      <w:marBottom w:val="0"/>
      <w:divBdr>
        <w:top w:val="none" w:sz="0" w:space="0" w:color="auto"/>
        <w:left w:val="none" w:sz="0" w:space="0" w:color="auto"/>
        <w:bottom w:val="none" w:sz="0" w:space="0" w:color="auto"/>
        <w:right w:val="none" w:sz="0" w:space="0" w:color="auto"/>
      </w:divBdr>
    </w:div>
    <w:div w:id="88932680">
      <w:bodyDiv w:val="1"/>
      <w:marLeft w:val="0"/>
      <w:marRight w:val="0"/>
      <w:marTop w:val="0"/>
      <w:marBottom w:val="0"/>
      <w:divBdr>
        <w:top w:val="none" w:sz="0" w:space="0" w:color="auto"/>
        <w:left w:val="none" w:sz="0" w:space="0" w:color="auto"/>
        <w:bottom w:val="none" w:sz="0" w:space="0" w:color="auto"/>
        <w:right w:val="none" w:sz="0" w:space="0" w:color="auto"/>
      </w:divBdr>
    </w:div>
    <w:div w:id="147523364">
      <w:bodyDiv w:val="1"/>
      <w:marLeft w:val="0"/>
      <w:marRight w:val="0"/>
      <w:marTop w:val="0"/>
      <w:marBottom w:val="0"/>
      <w:divBdr>
        <w:top w:val="none" w:sz="0" w:space="0" w:color="auto"/>
        <w:left w:val="none" w:sz="0" w:space="0" w:color="auto"/>
        <w:bottom w:val="none" w:sz="0" w:space="0" w:color="auto"/>
        <w:right w:val="none" w:sz="0" w:space="0" w:color="auto"/>
      </w:divBdr>
    </w:div>
    <w:div w:id="165286107">
      <w:bodyDiv w:val="1"/>
      <w:marLeft w:val="0"/>
      <w:marRight w:val="0"/>
      <w:marTop w:val="0"/>
      <w:marBottom w:val="0"/>
      <w:divBdr>
        <w:top w:val="none" w:sz="0" w:space="0" w:color="auto"/>
        <w:left w:val="none" w:sz="0" w:space="0" w:color="auto"/>
        <w:bottom w:val="none" w:sz="0" w:space="0" w:color="auto"/>
        <w:right w:val="none" w:sz="0" w:space="0" w:color="auto"/>
      </w:divBdr>
    </w:div>
    <w:div w:id="186799027">
      <w:bodyDiv w:val="1"/>
      <w:marLeft w:val="0"/>
      <w:marRight w:val="0"/>
      <w:marTop w:val="0"/>
      <w:marBottom w:val="0"/>
      <w:divBdr>
        <w:top w:val="none" w:sz="0" w:space="0" w:color="auto"/>
        <w:left w:val="none" w:sz="0" w:space="0" w:color="auto"/>
        <w:bottom w:val="none" w:sz="0" w:space="0" w:color="auto"/>
        <w:right w:val="none" w:sz="0" w:space="0" w:color="auto"/>
      </w:divBdr>
      <w:divsChild>
        <w:div w:id="80034429">
          <w:marLeft w:val="0"/>
          <w:marRight w:val="0"/>
          <w:marTop w:val="0"/>
          <w:marBottom w:val="0"/>
          <w:divBdr>
            <w:top w:val="none" w:sz="0" w:space="0" w:color="auto"/>
            <w:left w:val="none" w:sz="0" w:space="0" w:color="auto"/>
            <w:bottom w:val="none" w:sz="0" w:space="0" w:color="auto"/>
            <w:right w:val="none" w:sz="0" w:space="0" w:color="auto"/>
          </w:divBdr>
          <w:divsChild>
            <w:div w:id="16970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02597">
      <w:bodyDiv w:val="1"/>
      <w:marLeft w:val="0"/>
      <w:marRight w:val="0"/>
      <w:marTop w:val="0"/>
      <w:marBottom w:val="0"/>
      <w:divBdr>
        <w:top w:val="none" w:sz="0" w:space="0" w:color="auto"/>
        <w:left w:val="none" w:sz="0" w:space="0" w:color="auto"/>
        <w:bottom w:val="none" w:sz="0" w:space="0" w:color="auto"/>
        <w:right w:val="none" w:sz="0" w:space="0" w:color="auto"/>
      </w:divBdr>
    </w:div>
    <w:div w:id="273682927">
      <w:bodyDiv w:val="1"/>
      <w:marLeft w:val="0"/>
      <w:marRight w:val="0"/>
      <w:marTop w:val="0"/>
      <w:marBottom w:val="0"/>
      <w:divBdr>
        <w:top w:val="none" w:sz="0" w:space="0" w:color="auto"/>
        <w:left w:val="none" w:sz="0" w:space="0" w:color="auto"/>
        <w:bottom w:val="none" w:sz="0" w:space="0" w:color="auto"/>
        <w:right w:val="none" w:sz="0" w:space="0" w:color="auto"/>
      </w:divBdr>
    </w:div>
    <w:div w:id="289021511">
      <w:bodyDiv w:val="1"/>
      <w:marLeft w:val="0"/>
      <w:marRight w:val="0"/>
      <w:marTop w:val="0"/>
      <w:marBottom w:val="0"/>
      <w:divBdr>
        <w:top w:val="none" w:sz="0" w:space="0" w:color="auto"/>
        <w:left w:val="none" w:sz="0" w:space="0" w:color="auto"/>
        <w:bottom w:val="none" w:sz="0" w:space="0" w:color="auto"/>
        <w:right w:val="none" w:sz="0" w:space="0" w:color="auto"/>
      </w:divBdr>
    </w:div>
    <w:div w:id="290668911">
      <w:bodyDiv w:val="1"/>
      <w:marLeft w:val="0"/>
      <w:marRight w:val="0"/>
      <w:marTop w:val="0"/>
      <w:marBottom w:val="0"/>
      <w:divBdr>
        <w:top w:val="none" w:sz="0" w:space="0" w:color="auto"/>
        <w:left w:val="none" w:sz="0" w:space="0" w:color="auto"/>
        <w:bottom w:val="none" w:sz="0" w:space="0" w:color="auto"/>
        <w:right w:val="none" w:sz="0" w:space="0" w:color="auto"/>
      </w:divBdr>
    </w:div>
    <w:div w:id="318651196">
      <w:bodyDiv w:val="1"/>
      <w:marLeft w:val="0"/>
      <w:marRight w:val="0"/>
      <w:marTop w:val="0"/>
      <w:marBottom w:val="0"/>
      <w:divBdr>
        <w:top w:val="none" w:sz="0" w:space="0" w:color="auto"/>
        <w:left w:val="none" w:sz="0" w:space="0" w:color="auto"/>
        <w:bottom w:val="none" w:sz="0" w:space="0" w:color="auto"/>
        <w:right w:val="none" w:sz="0" w:space="0" w:color="auto"/>
      </w:divBdr>
    </w:div>
    <w:div w:id="471286543">
      <w:bodyDiv w:val="1"/>
      <w:marLeft w:val="0"/>
      <w:marRight w:val="0"/>
      <w:marTop w:val="0"/>
      <w:marBottom w:val="0"/>
      <w:divBdr>
        <w:top w:val="none" w:sz="0" w:space="0" w:color="auto"/>
        <w:left w:val="none" w:sz="0" w:space="0" w:color="auto"/>
        <w:bottom w:val="none" w:sz="0" w:space="0" w:color="auto"/>
        <w:right w:val="none" w:sz="0" w:space="0" w:color="auto"/>
      </w:divBdr>
    </w:div>
    <w:div w:id="476726544">
      <w:bodyDiv w:val="1"/>
      <w:marLeft w:val="0"/>
      <w:marRight w:val="0"/>
      <w:marTop w:val="0"/>
      <w:marBottom w:val="0"/>
      <w:divBdr>
        <w:top w:val="none" w:sz="0" w:space="0" w:color="auto"/>
        <w:left w:val="none" w:sz="0" w:space="0" w:color="auto"/>
        <w:bottom w:val="none" w:sz="0" w:space="0" w:color="auto"/>
        <w:right w:val="none" w:sz="0" w:space="0" w:color="auto"/>
      </w:divBdr>
      <w:divsChild>
        <w:div w:id="1262952509">
          <w:marLeft w:val="0"/>
          <w:marRight w:val="0"/>
          <w:marTop w:val="0"/>
          <w:marBottom w:val="0"/>
          <w:divBdr>
            <w:top w:val="none" w:sz="0" w:space="0" w:color="auto"/>
            <w:left w:val="none" w:sz="0" w:space="0" w:color="auto"/>
            <w:bottom w:val="none" w:sz="0" w:space="0" w:color="auto"/>
            <w:right w:val="none" w:sz="0" w:space="0" w:color="auto"/>
          </w:divBdr>
          <w:divsChild>
            <w:div w:id="81010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23616">
      <w:bodyDiv w:val="1"/>
      <w:marLeft w:val="0"/>
      <w:marRight w:val="0"/>
      <w:marTop w:val="0"/>
      <w:marBottom w:val="0"/>
      <w:divBdr>
        <w:top w:val="none" w:sz="0" w:space="0" w:color="auto"/>
        <w:left w:val="none" w:sz="0" w:space="0" w:color="auto"/>
        <w:bottom w:val="none" w:sz="0" w:space="0" w:color="auto"/>
        <w:right w:val="none" w:sz="0" w:space="0" w:color="auto"/>
      </w:divBdr>
    </w:div>
    <w:div w:id="497811940">
      <w:bodyDiv w:val="1"/>
      <w:marLeft w:val="0"/>
      <w:marRight w:val="0"/>
      <w:marTop w:val="0"/>
      <w:marBottom w:val="0"/>
      <w:divBdr>
        <w:top w:val="none" w:sz="0" w:space="0" w:color="auto"/>
        <w:left w:val="none" w:sz="0" w:space="0" w:color="auto"/>
        <w:bottom w:val="none" w:sz="0" w:space="0" w:color="auto"/>
        <w:right w:val="none" w:sz="0" w:space="0" w:color="auto"/>
      </w:divBdr>
    </w:div>
    <w:div w:id="525749218">
      <w:bodyDiv w:val="1"/>
      <w:marLeft w:val="0"/>
      <w:marRight w:val="0"/>
      <w:marTop w:val="0"/>
      <w:marBottom w:val="0"/>
      <w:divBdr>
        <w:top w:val="none" w:sz="0" w:space="0" w:color="auto"/>
        <w:left w:val="none" w:sz="0" w:space="0" w:color="auto"/>
        <w:bottom w:val="none" w:sz="0" w:space="0" w:color="auto"/>
        <w:right w:val="none" w:sz="0" w:space="0" w:color="auto"/>
      </w:divBdr>
      <w:divsChild>
        <w:div w:id="526522266">
          <w:marLeft w:val="0"/>
          <w:marRight w:val="0"/>
          <w:marTop w:val="0"/>
          <w:marBottom w:val="0"/>
          <w:divBdr>
            <w:top w:val="none" w:sz="0" w:space="0" w:color="auto"/>
            <w:left w:val="none" w:sz="0" w:space="0" w:color="auto"/>
            <w:bottom w:val="none" w:sz="0" w:space="0" w:color="auto"/>
            <w:right w:val="none" w:sz="0" w:space="0" w:color="auto"/>
          </w:divBdr>
          <w:divsChild>
            <w:div w:id="154169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7051">
      <w:bodyDiv w:val="1"/>
      <w:marLeft w:val="0"/>
      <w:marRight w:val="0"/>
      <w:marTop w:val="0"/>
      <w:marBottom w:val="0"/>
      <w:divBdr>
        <w:top w:val="none" w:sz="0" w:space="0" w:color="auto"/>
        <w:left w:val="none" w:sz="0" w:space="0" w:color="auto"/>
        <w:bottom w:val="none" w:sz="0" w:space="0" w:color="auto"/>
        <w:right w:val="none" w:sz="0" w:space="0" w:color="auto"/>
      </w:divBdr>
      <w:divsChild>
        <w:div w:id="1492915880">
          <w:marLeft w:val="0"/>
          <w:marRight w:val="0"/>
          <w:marTop w:val="0"/>
          <w:marBottom w:val="0"/>
          <w:divBdr>
            <w:top w:val="none" w:sz="0" w:space="0" w:color="auto"/>
            <w:left w:val="none" w:sz="0" w:space="0" w:color="auto"/>
            <w:bottom w:val="none" w:sz="0" w:space="0" w:color="auto"/>
            <w:right w:val="none" w:sz="0" w:space="0" w:color="auto"/>
          </w:divBdr>
          <w:divsChild>
            <w:div w:id="20657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072469">
      <w:bodyDiv w:val="1"/>
      <w:marLeft w:val="0"/>
      <w:marRight w:val="0"/>
      <w:marTop w:val="0"/>
      <w:marBottom w:val="0"/>
      <w:divBdr>
        <w:top w:val="none" w:sz="0" w:space="0" w:color="auto"/>
        <w:left w:val="none" w:sz="0" w:space="0" w:color="auto"/>
        <w:bottom w:val="none" w:sz="0" w:space="0" w:color="auto"/>
        <w:right w:val="none" w:sz="0" w:space="0" w:color="auto"/>
      </w:divBdr>
    </w:div>
    <w:div w:id="788474285">
      <w:bodyDiv w:val="1"/>
      <w:marLeft w:val="0"/>
      <w:marRight w:val="0"/>
      <w:marTop w:val="0"/>
      <w:marBottom w:val="0"/>
      <w:divBdr>
        <w:top w:val="none" w:sz="0" w:space="0" w:color="auto"/>
        <w:left w:val="none" w:sz="0" w:space="0" w:color="auto"/>
        <w:bottom w:val="none" w:sz="0" w:space="0" w:color="auto"/>
        <w:right w:val="none" w:sz="0" w:space="0" w:color="auto"/>
      </w:divBdr>
    </w:div>
    <w:div w:id="803893551">
      <w:bodyDiv w:val="1"/>
      <w:marLeft w:val="0"/>
      <w:marRight w:val="0"/>
      <w:marTop w:val="0"/>
      <w:marBottom w:val="0"/>
      <w:divBdr>
        <w:top w:val="none" w:sz="0" w:space="0" w:color="auto"/>
        <w:left w:val="none" w:sz="0" w:space="0" w:color="auto"/>
        <w:bottom w:val="none" w:sz="0" w:space="0" w:color="auto"/>
        <w:right w:val="none" w:sz="0" w:space="0" w:color="auto"/>
      </w:divBdr>
      <w:divsChild>
        <w:div w:id="1391611245">
          <w:marLeft w:val="0"/>
          <w:marRight w:val="0"/>
          <w:marTop w:val="0"/>
          <w:marBottom w:val="0"/>
          <w:divBdr>
            <w:top w:val="none" w:sz="0" w:space="0" w:color="auto"/>
            <w:left w:val="none" w:sz="0" w:space="0" w:color="auto"/>
            <w:bottom w:val="none" w:sz="0" w:space="0" w:color="auto"/>
            <w:right w:val="none" w:sz="0" w:space="0" w:color="auto"/>
          </w:divBdr>
          <w:divsChild>
            <w:div w:id="4996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950799">
      <w:bodyDiv w:val="1"/>
      <w:marLeft w:val="0"/>
      <w:marRight w:val="0"/>
      <w:marTop w:val="0"/>
      <w:marBottom w:val="0"/>
      <w:divBdr>
        <w:top w:val="none" w:sz="0" w:space="0" w:color="auto"/>
        <w:left w:val="none" w:sz="0" w:space="0" w:color="auto"/>
        <w:bottom w:val="none" w:sz="0" w:space="0" w:color="auto"/>
        <w:right w:val="none" w:sz="0" w:space="0" w:color="auto"/>
      </w:divBdr>
    </w:div>
    <w:div w:id="861161570">
      <w:bodyDiv w:val="1"/>
      <w:marLeft w:val="0"/>
      <w:marRight w:val="0"/>
      <w:marTop w:val="0"/>
      <w:marBottom w:val="0"/>
      <w:divBdr>
        <w:top w:val="none" w:sz="0" w:space="0" w:color="auto"/>
        <w:left w:val="none" w:sz="0" w:space="0" w:color="auto"/>
        <w:bottom w:val="none" w:sz="0" w:space="0" w:color="auto"/>
        <w:right w:val="none" w:sz="0" w:space="0" w:color="auto"/>
      </w:divBdr>
      <w:divsChild>
        <w:div w:id="1050615016">
          <w:marLeft w:val="0"/>
          <w:marRight w:val="0"/>
          <w:marTop w:val="0"/>
          <w:marBottom w:val="0"/>
          <w:divBdr>
            <w:top w:val="none" w:sz="0" w:space="0" w:color="auto"/>
            <w:left w:val="none" w:sz="0" w:space="0" w:color="auto"/>
            <w:bottom w:val="none" w:sz="0" w:space="0" w:color="auto"/>
            <w:right w:val="none" w:sz="0" w:space="0" w:color="auto"/>
          </w:divBdr>
          <w:divsChild>
            <w:div w:id="134663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94064">
      <w:bodyDiv w:val="1"/>
      <w:marLeft w:val="0"/>
      <w:marRight w:val="0"/>
      <w:marTop w:val="0"/>
      <w:marBottom w:val="0"/>
      <w:divBdr>
        <w:top w:val="none" w:sz="0" w:space="0" w:color="auto"/>
        <w:left w:val="none" w:sz="0" w:space="0" w:color="auto"/>
        <w:bottom w:val="none" w:sz="0" w:space="0" w:color="auto"/>
        <w:right w:val="none" w:sz="0" w:space="0" w:color="auto"/>
      </w:divBdr>
    </w:div>
    <w:div w:id="921334901">
      <w:bodyDiv w:val="1"/>
      <w:marLeft w:val="0"/>
      <w:marRight w:val="0"/>
      <w:marTop w:val="0"/>
      <w:marBottom w:val="0"/>
      <w:divBdr>
        <w:top w:val="none" w:sz="0" w:space="0" w:color="auto"/>
        <w:left w:val="none" w:sz="0" w:space="0" w:color="auto"/>
        <w:bottom w:val="none" w:sz="0" w:space="0" w:color="auto"/>
        <w:right w:val="none" w:sz="0" w:space="0" w:color="auto"/>
      </w:divBdr>
    </w:div>
    <w:div w:id="1046295285">
      <w:bodyDiv w:val="1"/>
      <w:marLeft w:val="0"/>
      <w:marRight w:val="0"/>
      <w:marTop w:val="0"/>
      <w:marBottom w:val="0"/>
      <w:divBdr>
        <w:top w:val="none" w:sz="0" w:space="0" w:color="auto"/>
        <w:left w:val="none" w:sz="0" w:space="0" w:color="auto"/>
        <w:bottom w:val="none" w:sz="0" w:space="0" w:color="auto"/>
        <w:right w:val="none" w:sz="0" w:space="0" w:color="auto"/>
      </w:divBdr>
    </w:div>
    <w:div w:id="1063482237">
      <w:bodyDiv w:val="1"/>
      <w:marLeft w:val="0"/>
      <w:marRight w:val="0"/>
      <w:marTop w:val="0"/>
      <w:marBottom w:val="0"/>
      <w:divBdr>
        <w:top w:val="none" w:sz="0" w:space="0" w:color="auto"/>
        <w:left w:val="none" w:sz="0" w:space="0" w:color="auto"/>
        <w:bottom w:val="none" w:sz="0" w:space="0" w:color="auto"/>
        <w:right w:val="none" w:sz="0" w:space="0" w:color="auto"/>
      </w:divBdr>
    </w:div>
    <w:div w:id="1087923710">
      <w:bodyDiv w:val="1"/>
      <w:marLeft w:val="0"/>
      <w:marRight w:val="0"/>
      <w:marTop w:val="0"/>
      <w:marBottom w:val="0"/>
      <w:divBdr>
        <w:top w:val="none" w:sz="0" w:space="0" w:color="auto"/>
        <w:left w:val="none" w:sz="0" w:space="0" w:color="auto"/>
        <w:bottom w:val="none" w:sz="0" w:space="0" w:color="auto"/>
        <w:right w:val="none" w:sz="0" w:space="0" w:color="auto"/>
      </w:divBdr>
    </w:div>
    <w:div w:id="1110317445">
      <w:bodyDiv w:val="1"/>
      <w:marLeft w:val="0"/>
      <w:marRight w:val="0"/>
      <w:marTop w:val="0"/>
      <w:marBottom w:val="0"/>
      <w:divBdr>
        <w:top w:val="none" w:sz="0" w:space="0" w:color="auto"/>
        <w:left w:val="none" w:sz="0" w:space="0" w:color="auto"/>
        <w:bottom w:val="none" w:sz="0" w:space="0" w:color="auto"/>
        <w:right w:val="none" w:sz="0" w:space="0" w:color="auto"/>
      </w:divBdr>
    </w:div>
    <w:div w:id="1140002142">
      <w:bodyDiv w:val="1"/>
      <w:marLeft w:val="0"/>
      <w:marRight w:val="0"/>
      <w:marTop w:val="0"/>
      <w:marBottom w:val="0"/>
      <w:divBdr>
        <w:top w:val="none" w:sz="0" w:space="0" w:color="auto"/>
        <w:left w:val="none" w:sz="0" w:space="0" w:color="auto"/>
        <w:bottom w:val="none" w:sz="0" w:space="0" w:color="auto"/>
        <w:right w:val="none" w:sz="0" w:space="0" w:color="auto"/>
      </w:divBdr>
    </w:div>
    <w:div w:id="1151598672">
      <w:bodyDiv w:val="1"/>
      <w:marLeft w:val="0"/>
      <w:marRight w:val="0"/>
      <w:marTop w:val="0"/>
      <w:marBottom w:val="0"/>
      <w:divBdr>
        <w:top w:val="none" w:sz="0" w:space="0" w:color="auto"/>
        <w:left w:val="none" w:sz="0" w:space="0" w:color="auto"/>
        <w:bottom w:val="none" w:sz="0" w:space="0" w:color="auto"/>
        <w:right w:val="none" w:sz="0" w:space="0" w:color="auto"/>
      </w:divBdr>
    </w:div>
    <w:div w:id="1256087802">
      <w:bodyDiv w:val="1"/>
      <w:marLeft w:val="0"/>
      <w:marRight w:val="0"/>
      <w:marTop w:val="0"/>
      <w:marBottom w:val="0"/>
      <w:divBdr>
        <w:top w:val="none" w:sz="0" w:space="0" w:color="auto"/>
        <w:left w:val="none" w:sz="0" w:space="0" w:color="auto"/>
        <w:bottom w:val="none" w:sz="0" w:space="0" w:color="auto"/>
        <w:right w:val="none" w:sz="0" w:space="0" w:color="auto"/>
      </w:divBdr>
    </w:div>
    <w:div w:id="1257859029">
      <w:bodyDiv w:val="1"/>
      <w:marLeft w:val="0"/>
      <w:marRight w:val="0"/>
      <w:marTop w:val="0"/>
      <w:marBottom w:val="0"/>
      <w:divBdr>
        <w:top w:val="none" w:sz="0" w:space="0" w:color="auto"/>
        <w:left w:val="none" w:sz="0" w:space="0" w:color="auto"/>
        <w:bottom w:val="none" w:sz="0" w:space="0" w:color="auto"/>
        <w:right w:val="none" w:sz="0" w:space="0" w:color="auto"/>
      </w:divBdr>
    </w:div>
    <w:div w:id="1302878756">
      <w:bodyDiv w:val="1"/>
      <w:marLeft w:val="0"/>
      <w:marRight w:val="0"/>
      <w:marTop w:val="0"/>
      <w:marBottom w:val="0"/>
      <w:divBdr>
        <w:top w:val="none" w:sz="0" w:space="0" w:color="auto"/>
        <w:left w:val="none" w:sz="0" w:space="0" w:color="auto"/>
        <w:bottom w:val="none" w:sz="0" w:space="0" w:color="auto"/>
        <w:right w:val="none" w:sz="0" w:space="0" w:color="auto"/>
      </w:divBdr>
    </w:div>
    <w:div w:id="1424186086">
      <w:bodyDiv w:val="1"/>
      <w:marLeft w:val="0"/>
      <w:marRight w:val="0"/>
      <w:marTop w:val="0"/>
      <w:marBottom w:val="0"/>
      <w:divBdr>
        <w:top w:val="none" w:sz="0" w:space="0" w:color="auto"/>
        <w:left w:val="none" w:sz="0" w:space="0" w:color="auto"/>
        <w:bottom w:val="none" w:sz="0" w:space="0" w:color="auto"/>
        <w:right w:val="none" w:sz="0" w:space="0" w:color="auto"/>
      </w:divBdr>
    </w:div>
    <w:div w:id="1437947740">
      <w:bodyDiv w:val="1"/>
      <w:marLeft w:val="0"/>
      <w:marRight w:val="0"/>
      <w:marTop w:val="0"/>
      <w:marBottom w:val="0"/>
      <w:divBdr>
        <w:top w:val="none" w:sz="0" w:space="0" w:color="auto"/>
        <w:left w:val="none" w:sz="0" w:space="0" w:color="auto"/>
        <w:bottom w:val="none" w:sz="0" w:space="0" w:color="auto"/>
        <w:right w:val="none" w:sz="0" w:space="0" w:color="auto"/>
      </w:divBdr>
    </w:div>
    <w:div w:id="1475024811">
      <w:bodyDiv w:val="1"/>
      <w:marLeft w:val="0"/>
      <w:marRight w:val="0"/>
      <w:marTop w:val="0"/>
      <w:marBottom w:val="0"/>
      <w:divBdr>
        <w:top w:val="none" w:sz="0" w:space="0" w:color="auto"/>
        <w:left w:val="none" w:sz="0" w:space="0" w:color="auto"/>
        <w:bottom w:val="none" w:sz="0" w:space="0" w:color="auto"/>
        <w:right w:val="none" w:sz="0" w:space="0" w:color="auto"/>
      </w:divBdr>
    </w:div>
    <w:div w:id="1475371559">
      <w:bodyDiv w:val="1"/>
      <w:marLeft w:val="0"/>
      <w:marRight w:val="0"/>
      <w:marTop w:val="0"/>
      <w:marBottom w:val="0"/>
      <w:divBdr>
        <w:top w:val="none" w:sz="0" w:space="0" w:color="auto"/>
        <w:left w:val="none" w:sz="0" w:space="0" w:color="auto"/>
        <w:bottom w:val="none" w:sz="0" w:space="0" w:color="auto"/>
        <w:right w:val="none" w:sz="0" w:space="0" w:color="auto"/>
      </w:divBdr>
    </w:div>
    <w:div w:id="1572737147">
      <w:bodyDiv w:val="1"/>
      <w:marLeft w:val="0"/>
      <w:marRight w:val="0"/>
      <w:marTop w:val="0"/>
      <w:marBottom w:val="0"/>
      <w:divBdr>
        <w:top w:val="none" w:sz="0" w:space="0" w:color="auto"/>
        <w:left w:val="none" w:sz="0" w:space="0" w:color="auto"/>
        <w:bottom w:val="none" w:sz="0" w:space="0" w:color="auto"/>
        <w:right w:val="none" w:sz="0" w:space="0" w:color="auto"/>
      </w:divBdr>
    </w:div>
    <w:div w:id="1589461057">
      <w:bodyDiv w:val="1"/>
      <w:marLeft w:val="0"/>
      <w:marRight w:val="0"/>
      <w:marTop w:val="0"/>
      <w:marBottom w:val="0"/>
      <w:divBdr>
        <w:top w:val="none" w:sz="0" w:space="0" w:color="auto"/>
        <w:left w:val="none" w:sz="0" w:space="0" w:color="auto"/>
        <w:bottom w:val="none" w:sz="0" w:space="0" w:color="auto"/>
        <w:right w:val="none" w:sz="0" w:space="0" w:color="auto"/>
      </w:divBdr>
    </w:div>
    <w:div w:id="1605966229">
      <w:bodyDiv w:val="1"/>
      <w:marLeft w:val="0"/>
      <w:marRight w:val="0"/>
      <w:marTop w:val="0"/>
      <w:marBottom w:val="0"/>
      <w:divBdr>
        <w:top w:val="none" w:sz="0" w:space="0" w:color="auto"/>
        <w:left w:val="none" w:sz="0" w:space="0" w:color="auto"/>
        <w:bottom w:val="none" w:sz="0" w:space="0" w:color="auto"/>
        <w:right w:val="none" w:sz="0" w:space="0" w:color="auto"/>
      </w:divBdr>
    </w:div>
    <w:div w:id="1652833516">
      <w:bodyDiv w:val="1"/>
      <w:marLeft w:val="0"/>
      <w:marRight w:val="0"/>
      <w:marTop w:val="0"/>
      <w:marBottom w:val="0"/>
      <w:divBdr>
        <w:top w:val="none" w:sz="0" w:space="0" w:color="auto"/>
        <w:left w:val="none" w:sz="0" w:space="0" w:color="auto"/>
        <w:bottom w:val="none" w:sz="0" w:space="0" w:color="auto"/>
        <w:right w:val="none" w:sz="0" w:space="0" w:color="auto"/>
      </w:divBdr>
    </w:div>
    <w:div w:id="1678536174">
      <w:bodyDiv w:val="1"/>
      <w:marLeft w:val="0"/>
      <w:marRight w:val="0"/>
      <w:marTop w:val="0"/>
      <w:marBottom w:val="0"/>
      <w:divBdr>
        <w:top w:val="none" w:sz="0" w:space="0" w:color="auto"/>
        <w:left w:val="none" w:sz="0" w:space="0" w:color="auto"/>
        <w:bottom w:val="none" w:sz="0" w:space="0" w:color="auto"/>
        <w:right w:val="none" w:sz="0" w:space="0" w:color="auto"/>
      </w:divBdr>
    </w:div>
    <w:div w:id="1682931284">
      <w:bodyDiv w:val="1"/>
      <w:marLeft w:val="0"/>
      <w:marRight w:val="0"/>
      <w:marTop w:val="0"/>
      <w:marBottom w:val="0"/>
      <w:divBdr>
        <w:top w:val="none" w:sz="0" w:space="0" w:color="auto"/>
        <w:left w:val="none" w:sz="0" w:space="0" w:color="auto"/>
        <w:bottom w:val="none" w:sz="0" w:space="0" w:color="auto"/>
        <w:right w:val="none" w:sz="0" w:space="0" w:color="auto"/>
      </w:divBdr>
    </w:div>
    <w:div w:id="1726639406">
      <w:bodyDiv w:val="1"/>
      <w:marLeft w:val="0"/>
      <w:marRight w:val="0"/>
      <w:marTop w:val="0"/>
      <w:marBottom w:val="0"/>
      <w:divBdr>
        <w:top w:val="none" w:sz="0" w:space="0" w:color="auto"/>
        <w:left w:val="none" w:sz="0" w:space="0" w:color="auto"/>
        <w:bottom w:val="none" w:sz="0" w:space="0" w:color="auto"/>
        <w:right w:val="none" w:sz="0" w:space="0" w:color="auto"/>
      </w:divBdr>
    </w:div>
    <w:div w:id="1751737170">
      <w:bodyDiv w:val="1"/>
      <w:marLeft w:val="0"/>
      <w:marRight w:val="0"/>
      <w:marTop w:val="0"/>
      <w:marBottom w:val="0"/>
      <w:divBdr>
        <w:top w:val="none" w:sz="0" w:space="0" w:color="auto"/>
        <w:left w:val="none" w:sz="0" w:space="0" w:color="auto"/>
        <w:bottom w:val="none" w:sz="0" w:space="0" w:color="auto"/>
        <w:right w:val="none" w:sz="0" w:space="0" w:color="auto"/>
      </w:divBdr>
    </w:div>
    <w:div w:id="1813863204">
      <w:bodyDiv w:val="1"/>
      <w:marLeft w:val="0"/>
      <w:marRight w:val="0"/>
      <w:marTop w:val="0"/>
      <w:marBottom w:val="0"/>
      <w:divBdr>
        <w:top w:val="none" w:sz="0" w:space="0" w:color="auto"/>
        <w:left w:val="none" w:sz="0" w:space="0" w:color="auto"/>
        <w:bottom w:val="none" w:sz="0" w:space="0" w:color="auto"/>
        <w:right w:val="none" w:sz="0" w:space="0" w:color="auto"/>
      </w:divBdr>
    </w:div>
    <w:div w:id="1916743601">
      <w:bodyDiv w:val="1"/>
      <w:marLeft w:val="0"/>
      <w:marRight w:val="0"/>
      <w:marTop w:val="0"/>
      <w:marBottom w:val="0"/>
      <w:divBdr>
        <w:top w:val="none" w:sz="0" w:space="0" w:color="auto"/>
        <w:left w:val="none" w:sz="0" w:space="0" w:color="auto"/>
        <w:bottom w:val="none" w:sz="0" w:space="0" w:color="auto"/>
        <w:right w:val="none" w:sz="0" w:space="0" w:color="auto"/>
      </w:divBdr>
    </w:div>
    <w:div w:id="1934779968">
      <w:bodyDiv w:val="1"/>
      <w:marLeft w:val="0"/>
      <w:marRight w:val="0"/>
      <w:marTop w:val="0"/>
      <w:marBottom w:val="0"/>
      <w:divBdr>
        <w:top w:val="none" w:sz="0" w:space="0" w:color="auto"/>
        <w:left w:val="none" w:sz="0" w:space="0" w:color="auto"/>
        <w:bottom w:val="none" w:sz="0" w:space="0" w:color="auto"/>
        <w:right w:val="none" w:sz="0" w:space="0" w:color="auto"/>
      </w:divBdr>
    </w:div>
    <w:div w:id="1953170691">
      <w:bodyDiv w:val="1"/>
      <w:marLeft w:val="0"/>
      <w:marRight w:val="0"/>
      <w:marTop w:val="0"/>
      <w:marBottom w:val="0"/>
      <w:divBdr>
        <w:top w:val="none" w:sz="0" w:space="0" w:color="auto"/>
        <w:left w:val="none" w:sz="0" w:space="0" w:color="auto"/>
        <w:bottom w:val="none" w:sz="0" w:space="0" w:color="auto"/>
        <w:right w:val="none" w:sz="0" w:space="0" w:color="auto"/>
      </w:divBdr>
    </w:div>
    <w:div w:id="1956134331">
      <w:bodyDiv w:val="1"/>
      <w:marLeft w:val="0"/>
      <w:marRight w:val="0"/>
      <w:marTop w:val="0"/>
      <w:marBottom w:val="0"/>
      <w:divBdr>
        <w:top w:val="none" w:sz="0" w:space="0" w:color="auto"/>
        <w:left w:val="none" w:sz="0" w:space="0" w:color="auto"/>
        <w:bottom w:val="none" w:sz="0" w:space="0" w:color="auto"/>
        <w:right w:val="none" w:sz="0" w:space="0" w:color="auto"/>
      </w:divBdr>
    </w:div>
    <w:div w:id="1983578510">
      <w:bodyDiv w:val="1"/>
      <w:marLeft w:val="0"/>
      <w:marRight w:val="0"/>
      <w:marTop w:val="0"/>
      <w:marBottom w:val="0"/>
      <w:divBdr>
        <w:top w:val="none" w:sz="0" w:space="0" w:color="auto"/>
        <w:left w:val="none" w:sz="0" w:space="0" w:color="auto"/>
        <w:bottom w:val="none" w:sz="0" w:space="0" w:color="auto"/>
        <w:right w:val="none" w:sz="0" w:space="0" w:color="auto"/>
      </w:divBdr>
    </w:div>
    <w:div w:id="2061633072">
      <w:bodyDiv w:val="1"/>
      <w:marLeft w:val="0"/>
      <w:marRight w:val="0"/>
      <w:marTop w:val="0"/>
      <w:marBottom w:val="0"/>
      <w:divBdr>
        <w:top w:val="none" w:sz="0" w:space="0" w:color="auto"/>
        <w:left w:val="none" w:sz="0" w:space="0" w:color="auto"/>
        <w:bottom w:val="none" w:sz="0" w:space="0" w:color="auto"/>
        <w:right w:val="none" w:sz="0" w:space="0" w:color="auto"/>
      </w:divBdr>
    </w:div>
    <w:div w:id="2068605114">
      <w:bodyDiv w:val="1"/>
      <w:marLeft w:val="0"/>
      <w:marRight w:val="0"/>
      <w:marTop w:val="0"/>
      <w:marBottom w:val="0"/>
      <w:divBdr>
        <w:top w:val="none" w:sz="0" w:space="0" w:color="auto"/>
        <w:left w:val="none" w:sz="0" w:space="0" w:color="auto"/>
        <w:bottom w:val="none" w:sz="0" w:space="0" w:color="auto"/>
        <w:right w:val="none" w:sz="0" w:space="0" w:color="auto"/>
      </w:divBdr>
    </w:div>
    <w:div w:id="2106218861">
      <w:bodyDiv w:val="1"/>
      <w:marLeft w:val="0"/>
      <w:marRight w:val="0"/>
      <w:marTop w:val="0"/>
      <w:marBottom w:val="0"/>
      <w:divBdr>
        <w:top w:val="none" w:sz="0" w:space="0" w:color="auto"/>
        <w:left w:val="none" w:sz="0" w:space="0" w:color="auto"/>
        <w:bottom w:val="none" w:sz="0" w:space="0" w:color="auto"/>
        <w:right w:val="none" w:sz="0" w:space="0" w:color="auto"/>
      </w:divBdr>
    </w:div>
    <w:div w:id="214153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op.europa.eu/en/web/eu-vocabularies/concept-scheme/-/resource?uri=http://data.europa.eu/7yx/cofog"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lex.europa.eu/eli/reg/2024/1735/oj/eng" TargetMode="Externa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3" Type="http://schemas.openxmlformats.org/officeDocument/2006/relationships/hyperlink" Target="https://www.wto.org/english/docs_e/legal_e/rev-gpr-94_01_e.pdf" TargetMode="External"/><Relationship Id="rId18" Type="http://schemas.openxmlformats.org/officeDocument/2006/relationships/hyperlink" Target="http://data.europa.eu/eli/reg/2023/956/oj" TargetMode="External"/><Relationship Id="rId26" Type="http://schemas.openxmlformats.org/officeDocument/2006/relationships/hyperlink" Target="http://data.europa.eu/eli/dir/2014/24/oj" TargetMode="External"/><Relationship Id="rId3" Type="http://schemas.openxmlformats.org/officeDocument/2006/relationships/hyperlink" Target="https://ec.europa.eu/eurostat/databrowser/bookmark/b792f798-6b97-46f9-be49-5ae815f955a5?lang=en&amp;createdAt=2026-02-25T10:45:00Z" TargetMode="External"/><Relationship Id="rId21" Type="http://schemas.openxmlformats.org/officeDocument/2006/relationships/hyperlink" Target="http://data.europa.eu/eli/dir/2014/24/oj" TargetMode="External"/><Relationship Id="rId7" Type="http://schemas.openxmlformats.org/officeDocument/2006/relationships/hyperlink" Target="https://www.oecd.org/content/dam/oecd/en/publications/reports/2025/06/a-comprehensive-overview-of-the-energy-intensive-industries-ecosystem_ceb6bd58/bbf7d4c2-en.pdf" TargetMode="External"/><Relationship Id="rId12" Type="http://schemas.openxmlformats.org/officeDocument/2006/relationships/hyperlink" Target="https://webgate.ec.europa.eu/procurementbuyers/en/" TargetMode="External"/><Relationship Id="rId17" Type="http://schemas.openxmlformats.org/officeDocument/2006/relationships/hyperlink" Target="http://data.europa.eu/eli/reg_impl/2018/2066/oj" TargetMode="External"/><Relationship Id="rId25" Type="http://schemas.openxmlformats.org/officeDocument/2006/relationships/hyperlink" Target="http://data.europa.eu/eli/dir/2003/96/oj" TargetMode="External"/><Relationship Id="rId2" Type="http://schemas.openxmlformats.org/officeDocument/2006/relationships/hyperlink" Target="https://ec.europa.eu/eurostat/databrowser/bookmark/dfae4e97-c268-47b6-8e6d-49849ca8199d?lang=en&amp;createdAt=2026-02-25T10:37:17Z" TargetMode="External"/><Relationship Id="rId16" Type="http://schemas.openxmlformats.org/officeDocument/2006/relationships/hyperlink" Target="http://data.europa.eu/eli/reg_del/2019/331/oj" TargetMode="External"/><Relationship Id="rId20" Type="http://schemas.openxmlformats.org/officeDocument/2006/relationships/hyperlink" Target="http://data.europa.eu/eli/dir/2014/23/oj" TargetMode="External"/><Relationship Id="rId29" Type="http://schemas.openxmlformats.org/officeDocument/2006/relationships/hyperlink" Target="http://data.europa.eu/eli/reg_impl/2018/2067/oj" TargetMode="External"/><Relationship Id="rId1" Type="http://schemas.openxmlformats.org/officeDocument/2006/relationships/hyperlink" Target="https://eur-lex.europa.eu/legal-content/EN/TXT/?uri=CELEX%3A52025JC0977&amp;qid=1765098839644" TargetMode="External"/><Relationship Id="rId6"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1" Type="http://schemas.openxmlformats.org/officeDocument/2006/relationships/hyperlink" Target="https://www.mckinsey.com/industries/automotive-and-assembly/our-insights/european-automotive-industry-what-it-takes-to-regain-competitiveness" TargetMode="External"/><Relationship Id="rId24" Type="http://schemas.openxmlformats.org/officeDocument/2006/relationships/hyperlink" Target="http://data.europa.eu/eli/reg/2018/1724/oj" TargetMode="External"/><Relationship Id="rId5" Type="http://schemas.openxmlformats.org/officeDocument/2006/relationships/hyperlink" Target="https://ec.europa.eu/eurostat/databrowser/bookmark/b792f798-6b97-46f9-be49-5ae815f955a5?lang=en&amp;createdAt=2026-02-25T10:45:00Z" TargetMode="External"/><Relationship Id="rId15" Type="http://schemas.openxmlformats.org/officeDocument/2006/relationships/hyperlink" Target="http://data.europa.eu/eli/reg/2024/1781/oj" TargetMode="External"/><Relationship Id="rId23" Type="http://schemas.openxmlformats.org/officeDocument/2006/relationships/hyperlink" Target="http://data.europa.eu/eli/reg/2011/182/oj" TargetMode="External"/><Relationship Id="rId28" Type="http://schemas.openxmlformats.org/officeDocument/2006/relationships/hyperlink" Target="https://eur-lex.europa.eu/legal-content/EN/AUTO/?uri=OJ:L:2004:024:TOC" TargetMode="External"/><Relationship Id="rId10" Type="http://schemas.openxmlformats.org/officeDocument/2006/relationships/hyperlink" Target="https://eur-lex.europa.eu/legal-content/EN/TXT/?uri=celex:52025DC0074" TargetMode="External"/><Relationship Id="rId19" Type="http://schemas.openxmlformats.org/officeDocument/2006/relationships/hyperlink" Target="http://data.europa.eu/eli/dir/2003/87/oj" TargetMode="External"/><Relationship Id="rId4" Type="http://schemas.openxmlformats.org/officeDocument/2006/relationships/hyperlink" Target="https://ec.europa.eu/eurostat/databrowser/bookmark/b20c5e66-e1cd-4c34-b032-97ecb8d6db1c?lang=en&amp;createdAt=2026-02-25T10:47:24Z" TargetMode="External"/><Relationship Id="rId9" Type="http://schemas.openxmlformats.org/officeDocument/2006/relationships/hyperlink" Target="https://eur-lex.europa.eu/resource.html?uri=cellar:6c154426-c5a6-11ee-95d9-01aa75ed71a1.0001.02/DOC_3&amp;format=PDF" TargetMode="External"/><Relationship Id="rId14" Type="http://schemas.openxmlformats.org/officeDocument/2006/relationships/hyperlink" Target="http://data.europa.eu/eli/reg/2024/3110/oj" TargetMode="External"/><Relationship Id="rId22" Type="http://schemas.openxmlformats.org/officeDocument/2006/relationships/hyperlink" Target="http://data.europa.eu/eli/reg/2019/452/oj" TargetMode="External"/><Relationship Id="rId27" Type="http://schemas.openxmlformats.org/officeDocument/2006/relationships/hyperlink" Target="http://data.europa.eu/eli/dir/2014/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872ABD-4D13-4817-96FA-2079CFFE9A7B}">
  <ds:schemaRefs>
    <ds:schemaRef ds:uri="http://schemas.microsoft.com/sharepoint/v3/contenttype/forms"/>
  </ds:schemaRefs>
</ds:datastoreItem>
</file>

<file path=customXml/itemProps2.xml><?xml version="1.0" encoding="utf-8"?>
<ds:datastoreItem xmlns:ds="http://schemas.openxmlformats.org/officeDocument/2006/customXml" ds:itemID="{5FD3C5F1-0F80-4316-9946-606C757C7A01}">
  <ds:schemaRefs>
    <ds:schemaRef ds:uri="7c2df423-21e3-4881-a08a-095b88bfd823"/>
    <ds:schemaRef ds:uri="http://schemas.microsoft.com/office/2006/documentManagement/types"/>
    <ds:schemaRef ds:uri="http://purl.org/dc/terms/"/>
    <ds:schemaRef ds:uri="http://schemas.microsoft.com/office/infopath/2007/PartnerControls"/>
    <ds:schemaRef ds:uri="http://purl.org/dc/elements/1.1/"/>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ECBEA222-D605-48D4-9C28-B2CD909E8D05}">
  <ds:schemaRefs>
    <ds:schemaRef ds:uri="http://schemas.openxmlformats.org/officeDocument/2006/bibliography"/>
  </ds:schemaRefs>
</ds:datastoreItem>
</file>

<file path=customXml/itemProps4.xml><?xml version="1.0" encoding="utf-8"?>
<ds:datastoreItem xmlns:ds="http://schemas.openxmlformats.org/officeDocument/2006/customXml" ds:itemID="{6B3FCE78-8BBA-4EC0-A255-0D9D85387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Pages>
  <Words>37599</Words>
  <Characters>219208</Characters>
  <Application>Microsoft Office Word</Application>
  <DocSecurity>0</DocSecurity>
  <Lines>5620</Lines>
  <Paragraphs>2731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254076</CharactersWithSpaces>
  <SharedDoc>false</SharedDoc>
  <HLinks>
    <vt:vector size="186" baseType="variant">
      <vt:variant>
        <vt:i4>65559</vt:i4>
      </vt:variant>
      <vt:variant>
        <vt:i4>3</vt:i4>
      </vt:variant>
      <vt:variant>
        <vt:i4>0</vt:i4>
      </vt:variant>
      <vt:variant>
        <vt:i4>5</vt:i4>
      </vt:variant>
      <vt:variant>
        <vt:lpwstr>https://op.europa.eu/en/web/eu-vocabularies/concept-scheme/-/resource?uri=http://data.europa.eu/7yx/cofog</vt:lpwstr>
      </vt:variant>
      <vt:variant>
        <vt:lpwstr/>
      </vt:variant>
      <vt:variant>
        <vt:i4>5701734</vt:i4>
      </vt:variant>
      <vt:variant>
        <vt:i4>0</vt:i4>
      </vt:variant>
      <vt:variant>
        <vt:i4>0</vt:i4>
      </vt:variant>
      <vt:variant>
        <vt:i4>5</vt:i4>
      </vt:variant>
      <vt:variant>
        <vt:lpwstr>https://eur-lex.europa.eu/eli/reg/2024/1735/oj/eng</vt:lpwstr>
      </vt:variant>
      <vt:variant>
        <vt:lpwstr>ntr57-L_202401735EN.000101-E0057</vt:lpwstr>
      </vt:variant>
      <vt:variant>
        <vt:i4>1572921</vt:i4>
      </vt:variant>
      <vt:variant>
        <vt:i4>84</vt:i4>
      </vt:variant>
      <vt:variant>
        <vt:i4>0</vt:i4>
      </vt:variant>
      <vt:variant>
        <vt:i4>5</vt:i4>
      </vt:variant>
      <vt:variant>
        <vt:lpwstr>http://data.europa.eu/eli/reg_impl/2018/2067/oj</vt:lpwstr>
      </vt:variant>
      <vt:variant>
        <vt:lpwstr/>
      </vt:variant>
      <vt:variant>
        <vt:i4>7340157</vt:i4>
      </vt:variant>
      <vt:variant>
        <vt:i4>81</vt:i4>
      </vt:variant>
      <vt:variant>
        <vt:i4>0</vt:i4>
      </vt:variant>
      <vt:variant>
        <vt:i4>5</vt:i4>
      </vt:variant>
      <vt:variant>
        <vt:lpwstr>https://eur-lex.europa.eu/legal-content/EN/AUTO/?uri=OJ:L:2004:024:TOC</vt:lpwstr>
      </vt:variant>
      <vt:variant>
        <vt:lpwstr/>
      </vt:variant>
      <vt:variant>
        <vt:i4>5374041</vt:i4>
      </vt:variant>
      <vt:variant>
        <vt:i4>78</vt:i4>
      </vt:variant>
      <vt:variant>
        <vt:i4>0</vt:i4>
      </vt:variant>
      <vt:variant>
        <vt:i4>5</vt:i4>
      </vt:variant>
      <vt:variant>
        <vt:lpwstr>http://data.europa.eu/eli/dir/2014/25/oj</vt:lpwstr>
      </vt:variant>
      <vt:variant>
        <vt:lpwstr/>
      </vt:variant>
      <vt:variant>
        <vt:i4>5374040</vt:i4>
      </vt:variant>
      <vt:variant>
        <vt:i4>75</vt:i4>
      </vt:variant>
      <vt:variant>
        <vt:i4>0</vt:i4>
      </vt:variant>
      <vt:variant>
        <vt:i4>5</vt:i4>
      </vt:variant>
      <vt:variant>
        <vt:lpwstr>http://data.europa.eu/eli/dir/2014/24/oj</vt:lpwstr>
      </vt:variant>
      <vt:variant>
        <vt:lpwstr/>
      </vt:variant>
      <vt:variant>
        <vt:i4>6160475</vt:i4>
      </vt:variant>
      <vt:variant>
        <vt:i4>72</vt:i4>
      </vt:variant>
      <vt:variant>
        <vt:i4>0</vt:i4>
      </vt:variant>
      <vt:variant>
        <vt:i4>5</vt:i4>
      </vt:variant>
      <vt:variant>
        <vt:lpwstr>http://data.europa.eu/eli/dir/2003/96/oj</vt:lpwstr>
      </vt:variant>
      <vt:variant>
        <vt:lpwstr/>
      </vt:variant>
      <vt:variant>
        <vt:i4>6488172</vt:i4>
      </vt:variant>
      <vt:variant>
        <vt:i4>69</vt:i4>
      </vt:variant>
      <vt:variant>
        <vt:i4>0</vt:i4>
      </vt:variant>
      <vt:variant>
        <vt:i4>5</vt:i4>
      </vt:variant>
      <vt:variant>
        <vt:lpwstr>http://data.europa.eu/eli/reg/2018/1724/oj</vt:lpwstr>
      </vt:variant>
      <vt:variant>
        <vt:lpwstr/>
      </vt:variant>
      <vt:variant>
        <vt:i4>4194327</vt:i4>
      </vt:variant>
      <vt:variant>
        <vt:i4>66</vt:i4>
      </vt:variant>
      <vt:variant>
        <vt:i4>0</vt:i4>
      </vt:variant>
      <vt:variant>
        <vt:i4>5</vt:i4>
      </vt:variant>
      <vt:variant>
        <vt:lpwstr>http://data.europa.eu/eli/reg/2011/182/oj</vt:lpwstr>
      </vt:variant>
      <vt:variant>
        <vt:lpwstr/>
      </vt:variant>
      <vt:variant>
        <vt:i4>5046298</vt:i4>
      </vt:variant>
      <vt:variant>
        <vt:i4>63</vt:i4>
      </vt:variant>
      <vt:variant>
        <vt:i4>0</vt:i4>
      </vt:variant>
      <vt:variant>
        <vt:i4>5</vt:i4>
      </vt:variant>
      <vt:variant>
        <vt:lpwstr>http://data.europa.eu/eli/reg/2019/452/oj</vt:lpwstr>
      </vt:variant>
      <vt:variant>
        <vt:lpwstr/>
      </vt:variant>
      <vt:variant>
        <vt:i4>5374040</vt:i4>
      </vt:variant>
      <vt:variant>
        <vt:i4>60</vt:i4>
      </vt:variant>
      <vt:variant>
        <vt:i4>0</vt:i4>
      </vt:variant>
      <vt:variant>
        <vt:i4>5</vt:i4>
      </vt:variant>
      <vt:variant>
        <vt:lpwstr>http://data.europa.eu/eli/dir/2014/24/oj</vt:lpwstr>
      </vt:variant>
      <vt:variant>
        <vt:lpwstr/>
      </vt:variant>
      <vt:variant>
        <vt:i4>5374047</vt:i4>
      </vt:variant>
      <vt:variant>
        <vt:i4>57</vt:i4>
      </vt:variant>
      <vt:variant>
        <vt:i4>0</vt:i4>
      </vt:variant>
      <vt:variant>
        <vt:i4>5</vt:i4>
      </vt:variant>
      <vt:variant>
        <vt:lpwstr>http://data.europa.eu/eli/dir/2014/23/oj</vt:lpwstr>
      </vt:variant>
      <vt:variant>
        <vt:lpwstr/>
      </vt:variant>
      <vt:variant>
        <vt:i4>6226010</vt:i4>
      </vt:variant>
      <vt:variant>
        <vt:i4>54</vt:i4>
      </vt:variant>
      <vt:variant>
        <vt:i4>0</vt:i4>
      </vt:variant>
      <vt:variant>
        <vt:i4>5</vt:i4>
      </vt:variant>
      <vt:variant>
        <vt:lpwstr>http://data.europa.eu/eli/dir/2003/87/oj</vt:lpwstr>
      </vt:variant>
      <vt:variant>
        <vt:lpwstr/>
      </vt:variant>
      <vt:variant>
        <vt:i4>5111833</vt:i4>
      </vt:variant>
      <vt:variant>
        <vt:i4>51</vt:i4>
      </vt:variant>
      <vt:variant>
        <vt:i4>0</vt:i4>
      </vt:variant>
      <vt:variant>
        <vt:i4>5</vt:i4>
      </vt:variant>
      <vt:variant>
        <vt:lpwstr>http://data.europa.eu/eli/reg/2023/956/oj</vt:lpwstr>
      </vt:variant>
      <vt:variant>
        <vt:lpwstr/>
      </vt:variant>
      <vt:variant>
        <vt:i4>1638457</vt:i4>
      </vt:variant>
      <vt:variant>
        <vt:i4>48</vt:i4>
      </vt:variant>
      <vt:variant>
        <vt:i4>0</vt:i4>
      </vt:variant>
      <vt:variant>
        <vt:i4>5</vt:i4>
      </vt:variant>
      <vt:variant>
        <vt:lpwstr>http://data.europa.eu/eli/reg_impl/2018/2066/oj</vt:lpwstr>
      </vt:variant>
      <vt:variant>
        <vt:lpwstr/>
      </vt:variant>
      <vt:variant>
        <vt:i4>7536660</vt:i4>
      </vt:variant>
      <vt:variant>
        <vt:i4>45</vt:i4>
      </vt:variant>
      <vt:variant>
        <vt:i4>0</vt:i4>
      </vt:variant>
      <vt:variant>
        <vt:i4>5</vt:i4>
      </vt:variant>
      <vt:variant>
        <vt:lpwstr>http://data.europa.eu/eli/reg_del/2019/331/oj</vt:lpwstr>
      </vt:variant>
      <vt:variant>
        <vt:lpwstr/>
      </vt:variant>
      <vt:variant>
        <vt:i4>6619242</vt:i4>
      </vt:variant>
      <vt:variant>
        <vt:i4>42</vt:i4>
      </vt:variant>
      <vt:variant>
        <vt:i4>0</vt:i4>
      </vt:variant>
      <vt:variant>
        <vt:i4>5</vt:i4>
      </vt:variant>
      <vt:variant>
        <vt:lpwstr>http://data.europa.eu/eli/reg/2024/1781/oj</vt:lpwstr>
      </vt:variant>
      <vt:variant>
        <vt:lpwstr/>
      </vt:variant>
      <vt:variant>
        <vt:i4>7209069</vt:i4>
      </vt:variant>
      <vt:variant>
        <vt:i4>39</vt:i4>
      </vt:variant>
      <vt:variant>
        <vt:i4>0</vt:i4>
      </vt:variant>
      <vt:variant>
        <vt:i4>5</vt:i4>
      </vt:variant>
      <vt:variant>
        <vt:lpwstr>http://data.europa.eu/eli/reg/2024/3110/oj</vt:lpwstr>
      </vt:variant>
      <vt:variant>
        <vt:lpwstr/>
      </vt:variant>
      <vt:variant>
        <vt:i4>6226004</vt:i4>
      </vt:variant>
      <vt:variant>
        <vt:i4>36</vt:i4>
      </vt:variant>
      <vt:variant>
        <vt:i4>0</vt:i4>
      </vt:variant>
      <vt:variant>
        <vt:i4>5</vt:i4>
      </vt:variant>
      <vt:variant>
        <vt:lpwstr>https://www.wto.org/english/docs_e/legal_e/rev-gpr-94_01_e.pdf</vt:lpwstr>
      </vt:variant>
      <vt:variant>
        <vt:lpwstr/>
      </vt:variant>
      <vt:variant>
        <vt:i4>3538983</vt:i4>
      </vt:variant>
      <vt:variant>
        <vt:i4>33</vt:i4>
      </vt:variant>
      <vt:variant>
        <vt:i4>0</vt:i4>
      </vt:variant>
      <vt:variant>
        <vt:i4>5</vt:i4>
      </vt:variant>
      <vt:variant>
        <vt:lpwstr>https://webgate.ec.europa.eu/procurementbuyers/en/</vt:lpwstr>
      </vt:variant>
      <vt:variant>
        <vt:lpwstr>/procumementlocation</vt:lpwstr>
      </vt:variant>
      <vt:variant>
        <vt:i4>4980831</vt:i4>
      </vt:variant>
      <vt:variant>
        <vt:i4>30</vt:i4>
      </vt:variant>
      <vt:variant>
        <vt:i4>0</vt:i4>
      </vt:variant>
      <vt:variant>
        <vt:i4>5</vt:i4>
      </vt:variant>
      <vt:variant>
        <vt:lpwstr>https://www.mckinsey.com/industries/automotive-and-assembly/our-insights/european-automotive-industry-what-it-takes-to-regain-competitiveness</vt:lpwstr>
      </vt:variant>
      <vt:variant>
        <vt:lpwstr/>
      </vt:variant>
      <vt:variant>
        <vt:i4>458769</vt:i4>
      </vt:variant>
      <vt:variant>
        <vt:i4>27</vt:i4>
      </vt:variant>
      <vt:variant>
        <vt:i4>0</vt:i4>
      </vt:variant>
      <vt:variant>
        <vt:i4>5</vt:i4>
      </vt:variant>
      <vt:variant>
        <vt:lpwstr>https://eur-lex.europa.eu/legal-content/EN/TXT/?uri=celex:52025DC0074</vt:lpwstr>
      </vt:variant>
      <vt:variant>
        <vt:lpwstr/>
      </vt:variant>
      <vt:variant>
        <vt:i4>6881356</vt:i4>
      </vt:variant>
      <vt:variant>
        <vt:i4>24</vt:i4>
      </vt:variant>
      <vt:variant>
        <vt:i4>0</vt:i4>
      </vt:variant>
      <vt:variant>
        <vt:i4>5</vt:i4>
      </vt:variant>
      <vt:variant>
        <vt:lpwstr>https://eur-lex.europa.eu/resource.html?uri=cellar:6c154426-c5a6-11ee-95d9-01aa75ed71a1.0001.02/DOC_3&amp;format=PDF</vt:lpwstr>
      </vt:variant>
      <vt:variant>
        <vt:lpwstr/>
      </vt:variant>
      <vt:variant>
        <vt:i4>2162783</vt:i4>
      </vt:variant>
      <vt:variant>
        <vt:i4>21</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3735631</vt:i4>
      </vt:variant>
      <vt:variant>
        <vt:i4>18</vt:i4>
      </vt:variant>
      <vt:variant>
        <vt:i4>0</vt:i4>
      </vt:variant>
      <vt:variant>
        <vt:i4>5</vt:i4>
      </vt:variant>
      <vt:variant>
        <vt:lpwstr>https://www.oecd.org/content/dam/oecd/en/publications/reports/2025/06/a-comprehensive-overview-of-the-energy-intensive-industries-ecosystem_ceb6bd58/bbf7d4c2-en.pdf</vt:lpwstr>
      </vt:variant>
      <vt:variant>
        <vt:lpwstr/>
      </vt:variant>
      <vt:variant>
        <vt:i4>2162783</vt:i4>
      </vt:variant>
      <vt:variant>
        <vt:i4>15</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2293868</vt:i4>
      </vt:variant>
      <vt:variant>
        <vt:i4>12</vt:i4>
      </vt:variant>
      <vt:variant>
        <vt:i4>0</vt:i4>
      </vt:variant>
      <vt:variant>
        <vt:i4>5</vt:i4>
      </vt:variant>
      <vt:variant>
        <vt:lpwstr>https://ec.europa.eu/eurostat/databrowser/bookmark/b792f798-6b97-46f9-be49-5ae815f955a5?lang=en&amp;createdAt=2026-02-25T10:45:00Z</vt:lpwstr>
      </vt:variant>
      <vt:variant>
        <vt:lpwstr/>
      </vt:variant>
      <vt:variant>
        <vt:i4>2162744</vt:i4>
      </vt:variant>
      <vt:variant>
        <vt:i4>9</vt:i4>
      </vt:variant>
      <vt:variant>
        <vt:i4>0</vt:i4>
      </vt:variant>
      <vt:variant>
        <vt:i4>5</vt:i4>
      </vt:variant>
      <vt:variant>
        <vt:lpwstr>https://ec.europa.eu/eurostat/databrowser/bookmark/b20c5e66-e1cd-4c34-b032-97ecb8d6db1c?lang=en&amp;createdAt=2026-02-25T10:47:24Z</vt:lpwstr>
      </vt:variant>
      <vt:variant>
        <vt:lpwstr/>
      </vt:variant>
      <vt:variant>
        <vt:i4>2293868</vt:i4>
      </vt:variant>
      <vt:variant>
        <vt:i4>6</vt:i4>
      </vt:variant>
      <vt:variant>
        <vt:i4>0</vt:i4>
      </vt:variant>
      <vt:variant>
        <vt:i4>5</vt:i4>
      </vt:variant>
      <vt:variant>
        <vt:lpwstr>https://ec.europa.eu/eurostat/databrowser/bookmark/b792f798-6b97-46f9-be49-5ae815f955a5?lang=en&amp;createdAt=2026-02-25T10:45:00Z</vt:lpwstr>
      </vt:variant>
      <vt:variant>
        <vt:lpwstr/>
      </vt:variant>
      <vt:variant>
        <vt:i4>2424933</vt:i4>
      </vt:variant>
      <vt:variant>
        <vt:i4>3</vt:i4>
      </vt:variant>
      <vt:variant>
        <vt:i4>0</vt:i4>
      </vt:variant>
      <vt:variant>
        <vt:i4>5</vt:i4>
      </vt:variant>
      <vt:variant>
        <vt:lpwstr>https://ec.europa.eu/eurostat/databrowser/bookmark/dfae4e97-c268-47b6-8e6d-49849ca8199d?lang=en&amp;createdAt=2026-02-25T10:37:17Z</vt:lpwstr>
      </vt:variant>
      <vt:variant>
        <vt:lpwstr/>
      </vt:variant>
      <vt:variant>
        <vt:i4>720899</vt:i4>
      </vt:variant>
      <vt:variant>
        <vt:i4>0</vt:i4>
      </vt:variant>
      <vt:variant>
        <vt:i4>0</vt:i4>
      </vt:variant>
      <vt:variant>
        <vt:i4>5</vt:i4>
      </vt:variant>
      <vt:variant>
        <vt:lpwstr>https://eur-lex.europa.eu/legal-content/EN/TXT/?uri=CELEX%3A52025JC0977&amp;qid=1765098839644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2026-03-04T07:37:00Z</dcterms:created>
  <dcterms:modified xsi:type="dcterms:W3CDTF">2026-03-04T07:39:00Z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2026-03-01T19:28:42Z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8f36be6d-1e22-4ba9-93a9-b6f4d8a66591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0x01010082EF9373D7657549B6CD127E08569206</vt:lpwstr>
  </property>
  <property fmtid="{D5CDD505-2E9C-101B-9397-08002B2CF9AE}" pid="12" name="Category">
    <vt:lpwstr>COM/PL/ORG</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y fmtid="{D5CDD505-2E9C-101B-9397-08002B2CF9AE}" pid="17" name="DQCStatus">
    <vt:lpwstr>Green (DQC version 03)</vt:lpwstr>
  </property>
</Properties>
</file>