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D867F" w14:textId="2D2899DC" w:rsidR="00440ED7" w:rsidRPr="00732D9A" w:rsidRDefault="0017255A" w:rsidP="0017255A">
      <w:pPr>
        <w:pStyle w:val="Pagedecouverture"/>
        <w:rPr>
          <w:noProof/>
        </w:rPr>
      </w:pPr>
      <w:r>
        <w:rPr>
          <w:noProof/>
        </w:rPr>
        <w:pict w14:anchorId="53611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09088CA-B209-45EC-8929-3AD7045EF9C5" style="width:455.25pt;height:416.25pt">
            <v:imagedata r:id="rId11" o:title=""/>
          </v:shape>
        </w:pict>
      </w:r>
    </w:p>
    <w:p w14:paraId="6ADDB67D" w14:textId="77777777" w:rsidR="005C559A" w:rsidRPr="00732D9A" w:rsidRDefault="005C559A" w:rsidP="005C559A">
      <w:pPr>
        <w:pStyle w:val="Pagedecouverture"/>
        <w:rPr>
          <w:noProof/>
        </w:rPr>
        <w:sectPr w:rsidR="005C559A" w:rsidRPr="00732D9A" w:rsidSect="0017255A">
          <w:footerReference w:type="even" r:id="rId12"/>
          <w:footerReference w:type="default" r:id="rId13"/>
          <w:pgSz w:w="11907" w:h="16839"/>
          <w:pgMar w:top="1134" w:right="1417" w:bottom="1134" w:left="1417" w:header="709" w:footer="709" w:gutter="0"/>
          <w:pgNumType w:start="0"/>
          <w:cols w:space="720"/>
          <w:docGrid w:linePitch="360"/>
        </w:sectPr>
      </w:pPr>
    </w:p>
    <w:p w14:paraId="56AEB918" w14:textId="77777777" w:rsidR="00440ED7" w:rsidRPr="00732D9A" w:rsidRDefault="00440ED7">
      <w:pPr>
        <w:pStyle w:val="Exposdesmotifstitre"/>
        <w:rPr>
          <w:noProof/>
        </w:rPr>
      </w:pPr>
      <w:bookmarkStart w:id="0" w:name="_GoBack"/>
      <w:bookmarkEnd w:id="0"/>
      <w:r w:rsidRPr="00732D9A">
        <w:rPr>
          <w:noProof/>
        </w:rPr>
        <w:lastRenderedPageBreak/>
        <w:t>EXPOSÉ DES MOTIFS</w:t>
      </w:r>
    </w:p>
    <w:p w14:paraId="07FFA5EA" w14:textId="77777777" w:rsidR="00FE7970" w:rsidRPr="00732D9A" w:rsidRDefault="00FF5211" w:rsidP="00FF5211">
      <w:pPr>
        <w:pStyle w:val="ManualHeading1"/>
        <w:rPr>
          <w:bCs/>
          <w:noProof/>
        </w:rPr>
      </w:pPr>
      <w:r w:rsidRPr="00732D9A">
        <w:rPr>
          <w:smallCaps w:val="0"/>
          <w:noProof/>
        </w:rPr>
        <w:t>1.</w:t>
      </w:r>
      <w:r w:rsidRPr="00732D9A">
        <w:rPr>
          <w:noProof/>
        </w:rPr>
        <w:tab/>
        <w:t>CONTEXTE DE LA PROPOSITION</w:t>
      </w:r>
    </w:p>
    <w:p w14:paraId="758CAD77" w14:textId="77777777" w:rsidR="00440ED7" w:rsidRPr="00732D9A" w:rsidRDefault="00440ED7">
      <w:pPr>
        <w:pStyle w:val="ManualHeading2"/>
        <w:rPr>
          <w:rFonts w:eastAsia="Arial Unicode MS"/>
          <w:noProof/>
        </w:rPr>
      </w:pPr>
      <w:r w:rsidRPr="00732D9A">
        <w:rPr>
          <w:noProof/>
          <w:color w:val="000000"/>
          <w:u w:color="000000"/>
          <w:bdr w:val="nil"/>
        </w:rPr>
        <w:t>•</w:t>
      </w:r>
      <w:r w:rsidRPr="00732D9A">
        <w:rPr>
          <w:noProof/>
        </w:rPr>
        <w:tab/>
        <w:t>Justification et objectifs de la proposition</w:t>
      </w:r>
    </w:p>
    <w:p w14:paraId="30E7958F" w14:textId="77777777" w:rsidR="00FE7970" w:rsidRPr="00732D9A" w:rsidRDefault="00FE7970" w:rsidP="00717932">
      <w:pPr>
        <w:rPr>
          <w:rFonts w:eastAsia="Arial Unicode MS"/>
          <w:noProof/>
        </w:rPr>
      </w:pPr>
      <w:r w:rsidRPr="00732D9A">
        <w:rPr>
          <w:noProof/>
        </w:rPr>
        <w:t>Le présent exposé des motifs accompagne la proposition de règlement établissant un cadre de mesures d’accélération du développement des capacités industrielles et de la décarbonation dans des secteurs stratégiques: le «règlement relatif à l’accélération des capacités industrielles».</w:t>
      </w:r>
    </w:p>
    <w:p w14:paraId="3F615502" w14:textId="00CC8DF8" w:rsidR="00FE7970" w:rsidRPr="00732D9A" w:rsidRDefault="00FE7970" w:rsidP="00717932">
      <w:pPr>
        <w:rPr>
          <w:rFonts w:eastAsia="Times New Roman"/>
          <w:noProof/>
        </w:rPr>
      </w:pPr>
      <w:r w:rsidRPr="00732D9A">
        <w:rPr>
          <w:noProof/>
        </w:rPr>
        <w:t>Dans le paysage géopolitique actuel, l’usage fréquent et ciblé d’outils économiques pour atteindre des objectifs stratégiques constitue une grave menace pour la résilience, la compétitivité, la sécurité économique et l’autonomie stratégique de l’Union. Comme le souligne le rapport Draghi sur la compétitivité européenne, l’instrumentalisation des dépendances de l’UE à l’égard de partenaires commerciaux dans des secteurs stratégiques met en péril la sécurité, la compétitivité et l’économie de l’UE</w:t>
      </w:r>
      <w:r w:rsidRPr="00732D9A">
        <w:rPr>
          <w:rStyle w:val="FootnoteReference"/>
          <w:rFonts w:eastAsia="Times New Roman"/>
          <w:noProof/>
        </w:rPr>
        <w:footnoteReference w:id="1"/>
      </w:r>
      <w:r w:rsidRPr="00732D9A">
        <w:rPr>
          <w:noProof/>
        </w:rPr>
        <w:t>. La capacité de l’Union à réduire les dépendances à l’égard des pays tiers et à y réagir réside dans la solidité de sa base industrielle, sa capacité d’innovation et l’intégrité du marché unique.</w:t>
      </w:r>
    </w:p>
    <w:p w14:paraId="14070133" w14:textId="77777777" w:rsidR="00FE7970" w:rsidRPr="00732D9A" w:rsidRDefault="00FE7970" w:rsidP="00717932">
      <w:pPr>
        <w:rPr>
          <w:rFonts w:eastAsia="Arial Unicode MS"/>
          <w:noProof/>
        </w:rPr>
      </w:pPr>
      <w:r w:rsidRPr="00732D9A">
        <w:rPr>
          <w:noProof/>
        </w:rPr>
        <w:t>La transition vers une économie propre et numérique offre une occasion majeure de renforcer la base industrielle de l’UE, comme indiqué, entre autres, dans la communication de la Commission sur le pacte pour une industrie propre</w:t>
      </w:r>
      <w:r w:rsidRPr="00732D9A">
        <w:rPr>
          <w:rStyle w:val="FootnoteReference"/>
          <w:rFonts w:eastAsia="Arial Unicode MS"/>
          <w:noProof/>
        </w:rPr>
        <w:footnoteReference w:id="2"/>
      </w:r>
      <w:r w:rsidRPr="00732D9A">
        <w:rPr>
          <w:noProof/>
        </w:rPr>
        <w:t>. La concurrence mondiale, l’évolution technologique rapide, les désavantages structurels en matière de coûts, les distorsions déloyales du marché mondial telles que l’utilisation croissante de subventions étrangères pour créer un avantage concurrentiel et l’instrumentalisation des dépendances économiques redessinent les chaînes de valeur mondiales. Dans le même temps, la montée des tensions géopolitiques exacerbe les vulnérabilités existantes et en crée de nouvelles. Dans ce contexte, l’UE doit agir de manière stratégique pour garantir et renforcer encore sa résilience et sa base industrielle, ainsi que sa compétitivité à long terme, et faire en sorte que la transition climatique devienne un moteur de la croissance industrielle.</w:t>
      </w:r>
    </w:p>
    <w:p w14:paraId="6BC5C257" w14:textId="77777777" w:rsidR="00FE7970" w:rsidRPr="00732D9A" w:rsidRDefault="00FE7970" w:rsidP="007437B2">
      <w:pPr>
        <w:rPr>
          <w:rFonts w:eastAsia="Arial Unicode MS"/>
          <w:i/>
          <w:iCs/>
          <w:noProof/>
        </w:rPr>
      </w:pPr>
      <w:r w:rsidRPr="00732D9A">
        <w:rPr>
          <w:noProof/>
        </w:rPr>
        <w:t>Le secteur manufacturier est essentiel pour préserver et renforcer la résilience économique à long terme de l’UE et pour atteindre son objectif de neutralité climatique. En 2024, il représentait 18,3 % de l’emploi dans l’économie marchande de l’UE</w:t>
      </w:r>
      <w:r w:rsidRPr="00732D9A">
        <w:rPr>
          <w:rStyle w:val="FootnoteReference"/>
          <w:rFonts w:eastAsia="Arial Unicode MS"/>
          <w:noProof/>
        </w:rPr>
        <w:footnoteReference w:id="3"/>
      </w:r>
      <w:r w:rsidRPr="00732D9A">
        <w:rPr>
          <w:noProof/>
        </w:rPr>
        <w:t xml:space="preserve"> et 14,3 % du PIB total de l’UE</w:t>
      </w:r>
      <w:r w:rsidRPr="00732D9A">
        <w:rPr>
          <w:rStyle w:val="FootnoteReference"/>
          <w:rFonts w:eastAsia="Arial Unicode MS"/>
          <w:noProof/>
        </w:rPr>
        <w:footnoteReference w:id="4"/>
      </w:r>
      <w:r w:rsidRPr="00732D9A">
        <w:rPr>
          <w:noProof/>
        </w:rPr>
        <w:t>, tout en générant 26,2 % des émissions de gaz à effet de serre (GES) de l’UE</w:t>
      </w:r>
      <w:r w:rsidRPr="00732D9A">
        <w:rPr>
          <w:rStyle w:val="FootnoteReference"/>
          <w:rFonts w:eastAsia="Arial Unicode MS"/>
          <w:noProof/>
        </w:rPr>
        <w:footnoteReference w:id="5"/>
      </w:r>
      <w:bookmarkStart w:id="1" w:name="_Hlk221696192"/>
      <w:r w:rsidRPr="00732D9A">
        <w:rPr>
          <w:noProof/>
        </w:rPr>
        <w:t xml:space="preserve">. Malgré le poids économique important que ce secteur continue de peser, sa part dans le PIB a diminué au cours des dernières décennies, passant de 17,4 % en 2000 à son niveau actuel de </w:t>
      </w:r>
      <w:r w:rsidRPr="00732D9A">
        <w:rPr>
          <w:noProof/>
        </w:rPr>
        <w:lastRenderedPageBreak/>
        <w:t>14,3 %</w:t>
      </w:r>
      <w:r w:rsidRPr="00732D9A">
        <w:rPr>
          <w:rStyle w:val="FootnoteReference"/>
          <w:rFonts w:eastAsia="Arial Unicode MS"/>
          <w:noProof/>
        </w:rPr>
        <w:footnoteReference w:id="6"/>
      </w:r>
      <w:r w:rsidRPr="00732D9A">
        <w:rPr>
          <w:noProof/>
        </w:rPr>
        <w:t>.</w:t>
      </w:r>
      <w:bookmarkEnd w:id="1"/>
      <w:r w:rsidRPr="00732D9A">
        <w:rPr>
          <w:noProof/>
        </w:rPr>
        <w:t xml:space="preserve"> Cette régression est non seulement une réalité économique, mais aussi un signal d’avertissement stratégique susceptible d’avoir des incidences structurelles sur la prospérité et la cohésion sociale de l’UE. Dans le même temps, le secteur manufacturier est de plus en plus confronté à des défis, tels que les prix élevés de l’énergie, les surcapacités mondiales, les coûts d’investissement et d’exploitation élevés pour la décarbonation et le déploiement des nouvelles technologies, le faible niveau d’investissement par rapport à d’autres régions, ainsi que les obstacles réglementaires</w:t>
      </w:r>
      <w:r w:rsidRPr="00732D9A">
        <w:rPr>
          <w:rStyle w:val="FootnoteReference"/>
          <w:rFonts w:eastAsia="Arial Unicode MS"/>
          <w:noProof/>
        </w:rPr>
        <w:footnoteReference w:id="7"/>
      </w:r>
      <w:r w:rsidRPr="00732D9A">
        <w:rPr>
          <w:noProof/>
        </w:rPr>
        <w:t>.</w:t>
      </w:r>
    </w:p>
    <w:p w14:paraId="1CBD6205" w14:textId="77777777" w:rsidR="00FE7970" w:rsidRPr="00732D9A" w:rsidRDefault="00FE7970" w:rsidP="00717932">
      <w:pPr>
        <w:rPr>
          <w:rFonts w:eastAsia="Arial Unicode MS"/>
          <w:noProof/>
        </w:rPr>
      </w:pPr>
      <w:r w:rsidRPr="00732D9A">
        <w:rPr>
          <w:noProof/>
          <w:color w:val="000000" w:themeColor="text1"/>
        </w:rPr>
        <w:t>C’est pourquoi le règlement relatif à l’accélération des capacités industrielles</w:t>
      </w:r>
      <w:r w:rsidRPr="00732D9A">
        <w:rPr>
          <w:noProof/>
        </w:rPr>
        <w:t xml:space="preserve"> </w:t>
      </w:r>
      <w:r w:rsidRPr="00732D9A">
        <w:rPr>
          <w:noProof/>
          <w:color w:val="000000" w:themeColor="text1"/>
        </w:rPr>
        <w:t xml:space="preserve">vise à faire en sorte que, </w:t>
      </w:r>
      <w:r w:rsidRPr="00732D9A">
        <w:rPr>
          <w:b/>
          <w:noProof/>
          <w:color w:val="000000" w:themeColor="text1"/>
        </w:rPr>
        <w:t>d’ici à 2035, cette tendance s’inverse et que l’industrie manufacturière représente 20 % du PIB de l’UE</w:t>
      </w:r>
      <w:r w:rsidRPr="00732D9A">
        <w:rPr>
          <w:noProof/>
          <w:color w:val="000000" w:themeColor="text1"/>
        </w:rPr>
        <w:t>.</w:t>
      </w:r>
      <w:r w:rsidRPr="00732D9A">
        <w:rPr>
          <w:b/>
          <w:noProof/>
          <w:color w:val="000000" w:themeColor="text1"/>
        </w:rPr>
        <w:t xml:space="preserve"> </w:t>
      </w:r>
      <w:r w:rsidRPr="00732D9A">
        <w:rPr>
          <w:noProof/>
          <w:color w:val="000000" w:themeColor="text1"/>
        </w:rPr>
        <w:t>Pour ce faire, il accélérera l’octroi de permis pour tous les projets manufacturiers et fournira une boîte à outils pour donner accès au marché unique européen de manière à prévenir les dépendances stratégiques, à créer des emplois dans le secteur manufacturier, à stimuler la décarbonation et les performances climatiques et à garantir aux entreprises et aux citoyens européens un accès sûr et permanent aux produits de base.</w:t>
      </w:r>
    </w:p>
    <w:p w14:paraId="28660833" w14:textId="77777777" w:rsidR="00FE7970" w:rsidRPr="00732D9A" w:rsidRDefault="00FE7970" w:rsidP="00717932">
      <w:pPr>
        <w:rPr>
          <w:rFonts w:eastAsia="Arial Unicode MS"/>
          <w:noProof/>
        </w:rPr>
      </w:pPr>
      <w:r w:rsidRPr="00732D9A">
        <w:rPr>
          <w:noProof/>
        </w:rPr>
        <w:t xml:space="preserve">La réalisation de l’autonomie stratégique de l’UE tout en maintenant la compétitivité industrielle et, dans le même temps, la décarbonation nécessite un argumentaire économique solide. Dans ce contexte, le renforcement de la compétitivité de certains secteurs et technologies stratégiques, notamment les technologies «zéro net» ainsi que les industries grandes consommatrices d’énergie et la chaîne d’approvisionnement automobile, est essentiel pour la résilience, l’autonomie stratégique et les objectifs climatiques de l’UE. L’incapacité à sécuriser et à diversifier des chaînes d’approvisionnement essentielles créerait des risques économiques et sociétaux importants, entraînant une perturbation potentielle de l’ordre public dans l’Union. La réduction des vulnérabilités externes pourrait contribuer à renforcer notre économie, à stimuler les investissements et à soutenir l’argumentaire économique en faveur du processus de transformation industrielle profonde en cours. </w:t>
      </w:r>
    </w:p>
    <w:p w14:paraId="6D5550B6" w14:textId="77777777" w:rsidR="00FE7970" w:rsidRPr="00732D9A" w:rsidRDefault="00FE7970" w:rsidP="00717932">
      <w:pPr>
        <w:rPr>
          <w:rFonts w:eastAsia="Times New Roman"/>
          <w:noProof/>
        </w:rPr>
      </w:pPr>
      <w:r w:rsidRPr="00732D9A">
        <w:rPr>
          <w:noProof/>
        </w:rPr>
        <w:t xml:space="preserve">Les secteurs couverts par le règlement relatif à l’accélération des capacités industrielles, en particulier </w:t>
      </w:r>
      <w:r w:rsidRPr="00732D9A">
        <w:rPr>
          <w:noProof/>
          <w:color w:val="000000" w:themeColor="text1"/>
        </w:rPr>
        <w:t>les industries grandes consommatrices d’énergie, la production de technologies «zéro net» et l’industrie automobile</w:t>
      </w:r>
      <w:r w:rsidRPr="00732D9A">
        <w:rPr>
          <w:noProof/>
        </w:rPr>
        <w:t xml:space="preserve">, représentent une part limitée de la production manufacturière de l’UE, mais jouent un rôle stratégique disproportionné. </w:t>
      </w:r>
      <w:r w:rsidRPr="00732D9A">
        <w:rPr>
          <w:b/>
          <w:noProof/>
        </w:rPr>
        <w:t>Ensemble, les secteurs stratégiques ciblés par le règlement relatif à l’accélération des capacités industrielles représentent environ 15 % de la production manufacturière de l’UE</w:t>
      </w:r>
      <w:r w:rsidRPr="00732D9A">
        <w:rPr>
          <w:noProof/>
        </w:rPr>
        <w:t xml:space="preserve">. Leur importance réside donc moins dans leur taille agrégée que dans leur rôle central en tant que fournisseurs en amont et catalyseurs des écosystèmes industriels en aval, y compris la construction, la mobilité, l’énergie ainsi que l’espace et la défense. </w:t>
      </w:r>
    </w:p>
    <w:p w14:paraId="7D063B31" w14:textId="77777777" w:rsidR="00FE7970" w:rsidRPr="00732D9A" w:rsidRDefault="00FE7970" w:rsidP="00717932">
      <w:pPr>
        <w:rPr>
          <w:rFonts w:eastAsia="Arial Unicode MS"/>
          <w:noProof/>
        </w:rPr>
      </w:pPr>
      <w:r w:rsidRPr="00732D9A">
        <w:rPr>
          <w:noProof/>
        </w:rPr>
        <w:t>Des progrès tardifs ou insuffisants en matière d’action pour le climat pourraient aggraver les conséquences économiques et sociales du changement climatique, ce qui aurait des répercussions sur la stabilité sociale. Des mesures sont particulièrement nécessaires dans les secteurs suivants:</w:t>
      </w:r>
    </w:p>
    <w:p w14:paraId="7319C859" w14:textId="77777777" w:rsidR="00150EA5" w:rsidRPr="00732D9A" w:rsidRDefault="00FE7970" w:rsidP="00717932">
      <w:pPr>
        <w:rPr>
          <w:rFonts w:eastAsia="Arial Unicode MS"/>
          <w:noProof/>
        </w:rPr>
      </w:pPr>
      <w:r w:rsidRPr="00732D9A">
        <w:rPr>
          <w:noProof/>
        </w:rPr>
        <w:t xml:space="preserve">Les </w:t>
      </w:r>
      <w:r w:rsidRPr="00732D9A">
        <w:rPr>
          <w:b/>
          <w:noProof/>
        </w:rPr>
        <w:t>industries grandes consommatrices d’énergie</w:t>
      </w:r>
      <w:r w:rsidRPr="00732D9A">
        <w:rPr>
          <w:noProof/>
        </w:rPr>
        <w:t xml:space="preserve"> (IGCE) sont un pilier essentiel de la prospérité européenne et une pierre angulaire de la base industrielle du continent, qui sous-tend la plupart des écosystèmes industriels. Pourtant, les volumes de production dans les IGCE ont considérablement diminué depuis 2021 par rapport à d’autres secteurs </w:t>
      </w:r>
      <w:r w:rsidRPr="00732D9A">
        <w:rPr>
          <w:noProof/>
        </w:rPr>
        <w:lastRenderedPageBreak/>
        <w:t>manufacturiers</w:t>
      </w:r>
      <w:r w:rsidRPr="00732D9A">
        <w:rPr>
          <w:rStyle w:val="FootnoteReference"/>
          <w:rFonts w:eastAsia="Arial Unicode MS"/>
          <w:noProof/>
        </w:rPr>
        <w:footnoteReference w:id="8"/>
      </w:r>
      <w:r w:rsidRPr="00732D9A">
        <w:rPr>
          <w:noProof/>
        </w:rPr>
        <w:t>. Les écarts de coûts avec d’autres régions du monde se sont creusés et la part des importations a augmenté, en particulier pour les métaux de base et les produits chimiques</w:t>
      </w:r>
      <w:r w:rsidRPr="00732D9A">
        <w:rPr>
          <w:rStyle w:val="FootnoteReference"/>
          <w:rFonts w:eastAsia="Arial Unicode MS"/>
          <w:noProof/>
        </w:rPr>
        <w:footnoteReference w:id="9"/>
      </w:r>
      <w:r w:rsidRPr="00732D9A">
        <w:rPr>
          <w:noProof/>
        </w:rPr>
        <w:t>. Les taux d’utilisation des capacités restent à des niveaux excessivement bas</w:t>
      </w:r>
      <w:r w:rsidRPr="00732D9A">
        <w:rPr>
          <w:rStyle w:val="FootnoteReference"/>
          <w:rFonts w:eastAsia="Arial Unicode MS"/>
          <w:noProof/>
        </w:rPr>
        <w:footnoteReference w:id="10"/>
      </w:r>
      <w:r w:rsidRPr="00732D9A">
        <w:rPr>
          <w:noProof/>
        </w:rPr>
        <w:t>. La décarbonation de ces industries nécessite des investissements considérables</w:t>
      </w:r>
      <w:r w:rsidRPr="00732D9A">
        <w:rPr>
          <w:rStyle w:val="FootnoteReference"/>
          <w:rFonts w:eastAsia="Arial Unicode MS"/>
          <w:noProof/>
        </w:rPr>
        <w:footnoteReference w:id="11"/>
      </w:r>
      <w:r w:rsidRPr="00732D9A">
        <w:rPr>
          <w:noProof/>
        </w:rPr>
        <w:t>, mais le rythme de la décarbonation n’est pas assez rapide pour atteindre les objectifs climatiques de l’UE. Bien que de nombreux projets de décarbonation aient été annoncés et que certains soient en cours, plus de la moitié des projets n’ont toujours pas été mis en œuvre depuis 2023</w:t>
      </w:r>
      <w:r w:rsidRPr="00732D9A">
        <w:rPr>
          <w:rStyle w:val="FootnoteReference"/>
          <w:rFonts w:eastAsia="Arial Unicode MS"/>
          <w:noProof/>
        </w:rPr>
        <w:footnoteReference w:id="12"/>
      </w:r>
      <w:r w:rsidRPr="00732D9A">
        <w:rPr>
          <w:noProof/>
        </w:rPr>
        <w:t>. La modernisation de ces secteurs est fondamentale non seulement pour atteindre nos objectifs climatiques, mais aussi pour la capacité de l’Europe à ancrer les chaînes de valeur industrielles et à fournir des emplois de qualité. Parmi les IGCE, l’acier et le ciment sont les principaux émetteurs, tandis que l’industrie chimique est le troisième contributeur aux émissions de GES de l’UE. L’aluminium est également particulièrement gourmand en électricité et est reconnu comme une matière première stratégique, la demande devant augmenter de 33 % d’ici à 2050. Dans le même temps, ces industries ont perdu une part de marché considérable dans l’UE au cours de la dernière décennie. Compte tenu de leur forte intensité d’émissions et de leur rôle stratégique dans la transition propre et numérique, ces secteurs sont considérés comme prioritaires pour mettre en place des mesures axées sur la demande. Ils se caractérisent également par une incidence limitée sur les coûts des industries en aval.</w:t>
      </w:r>
    </w:p>
    <w:p w14:paraId="3F2800C8" w14:textId="77777777" w:rsidR="00FE7970" w:rsidRPr="00732D9A" w:rsidRDefault="00FE7970" w:rsidP="00717932">
      <w:pPr>
        <w:rPr>
          <w:rFonts w:eastAsia="Arial Unicode MS"/>
          <w:noProof/>
        </w:rPr>
      </w:pPr>
      <w:r w:rsidRPr="00732D9A">
        <w:rPr>
          <w:noProof/>
        </w:rPr>
        <w:t xml:space="preserve">Les </w:t>
      </w:r>
      <w:r w:rsidRPr="00732D9A">
        <w:rPr>
          <w:b/>
          <w:noProof/>
        </w:rPr>
        <w:t>technologies «zéro net»</w:t>
      </w:r>
      <w:r w:rsidRPr="00732D9A">
        <w:rPr>
          <w:noProof/>
        </w:rPr>
        <w:t xml:space="preserve"> sont confrontées à des défis en matière de compétitivité et à d’importantes vulnérabilités de la chaîne d’approvisionnement</w:t>
      </w:r>
      <w:r w:rsidRPr="00732D9A">
        <w:rPr>
          <w:rStyle w:val="FootnoteReference"/>
          <w:rFonts w:eastAsia="Arial Unicode MS"/>
          <w:noProof/>
        </w:rPr>
        <w:footnoteReference w:id="13"/>
      </w:r>
      <w:r w:rsidRPr="00732D9A">
        <w:rPr>
          <w:noProof/>
        </w:rPr>
        <w:t>. Alors que le déploiement dans l’UE – et dans le monde – progresse, la part de marché mondiale de l’UE dans la fabrication de ces technologies diminue. La production est fortement concentrée en Chine, qui représente plus de 80 % de la capacité de production de batteries et de l’énergie solaire photovoltaïque, y compris les onduleurs solaires qui remplissent une fonction essentielle dans les infrastructures critiques de l’Union. Dans d’autres technologies «zéro net», telles que les pompes à chaleur et la géothermie, la production de l’UE dépend fortement de composants provenant de fournisseurs de pays tiers. Les technologies éoliennes subissent des pressions sur les coûts en raison des importations chinoises à bas prix, tandis que les technologies de captage du carbone accusent un retard dans le transport et le stockage du CO</w:t>
      </w:r>
      <w:r w:rsidRPr="00732D9A">
        <w:rPr>
          <w:noProof/>
          <w:vertAlign w:val="subscript"/>
        </w:rPr>
        <w:t>2</w:t>
      </w:r>
      <w:r w:rsidRPr="00732D9A">
        <w:rPr>
          <w:noProof/>
        </w:rPr>
        <w:t>. En l’absence de mesures décisives, l’UE risque de devenir encore plus dépendante des technologies propres importées, précisément au moment où les partenaires mondiaux accélèrent leurs stratégies industrielles</w:t>
      </w:r>
      <w:r w:rsidRPr="00732D9A">
        <w:rPr>
          <w:rStyle w:val="FootnoteReference"/>
          <w:rFonts w:eastAsia="Arial Unicode MS"/>
          <w:noProof/>
        </w:rPr>
        <w:footnoteReference w:id="14"/>
      </w:r>
      <w:r w:rsidRPr="00732D9A">
        <w:rPr>
          <w:noProof/>
        </w:rPr>
        <w:t xml:space="preserve"> et instrumentalisent leurs atouts industriels. Dans le même temps, les technologies «zéro net» sont une source de puissance industrielle de l’UE et devraient bénéficier de conditions de concurrence équitables au niveau mondial compte tenu des surcapacités faisant l’objet de subventions déloyales en provenance de pays tiers. </w:t>
      </w:r>
    </w:p>
    <w:p w14:paraId="7CB2DBA2" w14:textId="77777777" w:rsidR="00FE7970" w:rsidRPr="00732D9A" w:rsidRDefault="00FE7970" w:rsidP="00717932">
      <w:pPr>
        <w:rPr>
          <w:rFonts w:eastAsia="Arial Unicode MS"/>
          <w:noProof/>
        </w:rPr>
      </w:pPr>
      <w:r w:rsidRPr="00732D9A">
        <w:rPr>
          <w:noProof/>
        </w:rPr>
        <w:lastRenderedPageBreak/>
        <w:t>Les industries en aval sont également sous pression. La compétitivité de l’</w:t>
      </w:r>
      <w:r w:rsidRPr="00732D9A">
        <w:rPr>
          <w:b/>
          <w:noProof/>
        </w:rPr>
        <w:t>industrie automobile européenne</w:t>
      </w:r>
      <w:r w:rsidRPr="00732D9A">
        <w:rPr>
          <w:noProof/>
        </w:rPr>
        <w:t>, symbole de la primauté industrielle de l’Union, a considérablement diminué, la rentabilité moyenne des fournisseurs automobiles européens passant de 7,4 % en 2017 à 5 % en 2023 et plus de 100 000 suppressions d’emplois ayant été annoncées en 2024-2025</w:t>
      </w:r>
      <w:r w:rsidRPr="00732D9A">
        <w:rPr>
          <w:rStyle w:val="FootnoteReference"/>
          <w:rFonts w:eastAsia="Arial Unicode MS"/>
          <w:noProof/>
        </w:rPr>
        <w:footnoteReference w:id="15"/>
      </w:r>
      <w:r w:rsidRPr="00732D9A">
        <w:rPr>
          <w:noProof/>
        </w:rPr>
        <w:t>. Des enquêtes récentes montrent que la moitié des équipementiers automobiles européens prévoient de réduire leurs capacités de production dans l’UE au cours des prochaines années. Ce déclin menace des centaines de milliers d’emplois et l’intégrité de l’avenir industriel de l’Europe.</w:t>
      </w:r>
    </w:p>
    <w:p w14:paraId="74A0D407" w14:textId="77777777" w:rsidR="00FE7970" w:rsidRPr="00732D9A" w:rsidRDefault="00FE7970" w:rsidP="00FE7970">
      <w:pPr>
        <w:pBdr>
          <w:top w:val="nil"/>
          <w:left w:val="nil"/>
          <w:bottom w:val="nil"/>
          <w:right w:val="nil"/>
          <w:between w:val="nil"/>
          <w:bar w:val="nil"/>
        </w:pBdr>
        <w:spacing w:before="0" w:after="240"/>
        <w:rPr>
          <w:rFonts w:eastAsia="Arial Unicode MS"/>
          <w:noProof/>
        </w:rPr>
      </w:pPr>
      <w:r w:rsidRPr="00732D9A">
        <w:rPr>
          <w:noProof/>
        </w:rPr>
        <w:t xml:space="preserve">Dans ce contexte, la proposition aborde trois sous-problèmes principaux: </w:t>
      </w:r>
    </w:p>
    <w:p w14:paraId="58F30C40" w14:textId="77777777" w:rsidR="00FE7970" w:rsidRPr="00732D9A" w:rsidRDefault="00FE7970" w:rsidP="007234F4">
      <w:pPr>
        <w:pStyle w:val="Point0"/>
        <w:rPr>
          <w:noProof/>
        </w:rPr>
      </w:pPr>
      <w:r w:rsidRPr="00732D9A">
        <w:rPr>
          <w:noProof/>
        </w:rPr>
        <w:t>(1)</w:t>
      </w:r>
      <w:r w:rsidRPr="00732D9A">
        <w:rPr>
          <w:noProof/>
        </w:rPr>
        <w:tab/>
      </w:r>
      <w:r w:rsidRPr="00732D9A">
        <w:rPr>
          <w:noProof/>
          <w:u w:val="single"/>
        </w:rPr>
        <w:t>Vulnérabilités de la chaîne d’approvisionnement dans les secteurs et technologies stratégiques.</w:t>
      </w:r>
      <w:r w:rsidRPr="00732D9A">
        <w:rPr>
          <w:noProof/>
        </w:rPr>
        <w:t xml:space="preserve"> La concurrence mondiale, qui n’est pas toujours équitable, et les dépendances de la chaîne de valeur internationale compromettent la capacité de l’Europe à accroître ou à conserver sa production dans des secteurs et technologies stratégiques. Le manque de savoir-faire technologique et d’expertise en matière de fabrication dans l’UE pour certaines technologies numériques et «zéro net» essentielles est un sujet de préoccupation. Cette préoccupation est exacerbée par une approche fragmentée de l’UE à l’égard des investissements étrangers, qui </w:t>
      </w:r>
      <w:r w:rsidRPr="00732D9A">
        <w:rPr>
          <w:noProof/>
          <w:color w:val="000000" w:themeColor="text1"/>
        </w:rPr>
        <w:t>n’est souvent pas associée au transfert de technologies, à la création d’emplois et à l’intégration de la chaîne de valeur dans l’UE.</w:t>
      </w:r>
    </w:p>
    <w:p w14:paraId="7F29C8E4" w14:textId="426F0290" w:rsidR="00FE7970" w:rsidRPr="00732D9A" w:rsidRDefault="00FE7970" w:rsidP="00914DE2">
      <w:pPr>
        <w:pStyle w:val="Point0"/>
        <w:rPr>
          <w:noProof/>
        </w:rPr>
      </w:pPr>
      <w:r w:rsidRPr="00732D9A">
        <w:rPr>
          <w:noProof/>
        </w:rPr>
        <w:t>(2)</w:t>
      </w:r>
      <w:r w:rsidRPr="00732D9A">
        <w:rPr>
          <w:noProof/>
        </w:rPr>
        <w:tab/>
      </w:r>
      <w:r w:rsidRPr="00732D9A">
        <w:rPr>
          <w:noProof/>
          <w:u w:val="single"/>
        </w:rPr>
        <w:t>Demande limitée/absence de marchés pilotes pour les produits industriels bas carbone européens</w:t>
      </w:r>
      <w:r w:rsidRPr="00732D9A">
        <w:rPr>
          <w:noProof/>
        </w:rPr>
        <w:t>. Les coûts de production élevés, les différents niveaux de maturité technologique et l’absence d’effets d’échelle industriels limitent le développement et l’adoption par le marché de produits bas carbone dans les IGCE, compromettant ou retardant ainsi les investissements dans la décarbonation. Cette situation est encore accentuée par les difficultés à distinguer les produits industriels bas carbone des produits à forte intensité de carbone et par la volonté limitée des secteurs en aval de payer une prime à la faible intensité de carbone.</w:t>
      </w:r>
    </w:p>
    <w:p w14:paraId="010CC446" w14:textId="77777777" w:rsidR="00FE7970" w:rsidRPr="00732D9A" w:rsidRDefault="00FE7970" w:rsidP="00914DE2">
      <w:pPr>
        <w:pStyle w:val="Point0"/>
        <w:rPr>
          <w:noProof/>
        </w:rPr>
      </w:pPr>
      <w:r w:rsidRPr="00732D9A">
        <w:rPr>
          <w:noProof/>
        </w:rPr>
        <w:t>(3)</w:t>
      </w:r>
      <w:r w:rsidRPr="00732D9A">
        <w:rPr>
          <w:noProof/>
        </w:rPr>
        <w:tab/>
      </w:r>
      <w:r w:rsidRPr="00732D9A">
        <w:rPr>
          <w:noProof/>
          <w:u w:val="single"/>
        </w:rPr>
        <w:t>Les technologies industrielles ne sont pas déployées à grande échelle</w:t>
      </w:r>
      <w:r w:rsidRPr="00732D9A">
        <w:rPr>
          <w:noProof/>
        </w:rPr>
        <w:t xml:space="preserve">. La lenteur, la fragmentation et l’incertitude des procédures d’octroi de permis pour les projets de décarbonation industrielle, y compris le raccordement à une infrastructure, retardent le déploiement et l’expansion des nouvelles technologies. La décarbonation des processus industriels nécessite une transformation profonde et coûteuse des actifs et des opérations, donnant lieu à des investissements notables, qui peuvent être gelés pendant les longues procédures d’octroi de permis. Les difficultés à réduire les risques liés aux investissements et à accéder aux financements constituent un goulet d’étranglement majeur. </w:t>
      </w:r>
    </w:p>
    <w:p w14:paraId="61D26534" w14:textId="77777777" w:rsidR="00FE7970" w:rsidRPr="00732D9A" w:rsidRDefault="00FE7970" w:rsidP="00FE7970">
      <w:pPr>
        <w:rPr>
          <w:noProof/>
        </w:rPr>
      </w:pPr>
      <w:r w:rsidRPr="00732D9A">
        <w:rPr>
          <w:noProof/>
        </w:rPr>
        <w:t>Dans ce contexte, le pacte pour une industrie propre a annoncé une nouvelle initiative réglementaire visant à remédier aux goulets d’étranglement en matière d’octroi de permis, à introduire des critères de résilience et de durabilité et à créer des marchés pilotes pour les produits et technologies industriels européens propres et résilients.</w:t>
      </w:r>
    </w:p>
    <w:p w14:paraId="5F81696F" w14:textId="77777777" w:rsidR="00FE7970" w:rsidRPr="00732D9A" w:rsidRDefault="00FE7970" w:rsidP="00FE7970">
      <w:pPr>
        <w:rPr>
          <w:noProof/>
        </w:rPr>
      </w:pPr>
      <w:r w:rsidRPr="00732D9A">
        <w:rPr>
          <w:noProof/>
        </w:rPr>
        <w:t xml:space="preserve">La présente proposition répond à l’engagement politique pris par la présidente von der Leyen, qui a annoncé, dans son discours sur l’état de l’Union de 2025, l’objectif de créer un </w:t>
      </w:r>
      <w:r w:rsidRPr="00732D9A">
        <w:rPr>
          <w:b/>
          <w:noProof/>
        </w:rPr>
        <w:t>règlement relatif à l’accélération des capacités industrielles</w:t>
      </w:r>
      <w:r w:rsidRPr="00732D9A">
        <w:rPr>
          <w:noProof/>
        </w:rPr>
        <w:t xml:space="preserve"> afin de stimuler la demande de produits propres et fabriqués dans l’UE dans des secteurs et technologies stratégiques. Cet objectif a également été annoncé dans la communication sur la stratégie économique européenne du 3 décembre 2025. </w:t>
      </w:r>
    </w:p>
    <w:p w14:paraId="02B6C210" w14:textId="77777777" w:rsidR="00FE7970" w:rsidRPr="00732D9A" w:rsidRDefault="00FE7970" w:rsidP="00FE7970">
      <w:pPr>
        <w:rPr>
          <w:noProof/>
        </w:rPr>
      </w:pPr>
      <w:r w:rsidRPr="00732D9A">
        <w:rPr>
          <w:noProof/>
        </w:rPr>
        <w:lastRenderedPageBreak/>
        <w:t xml:space="preserve">La proposition législative vise à renforcer la résilience économique, la prospérité et l’autonomie stratégique à long terme de l’UE en soutenant la production industrielle et en accélérant la décarbonation. Ses objectifs sont les suivants: </w:t>
      </w:r>
    </w:p>
    <w:p w14:paraId="383F8128" w14:textId="77777777" w:rsidR="00FE7970" w:rsidRPr="00732D9A" w:rsidRDefault="00FE7970" w:rsidP="001B0BEE">
      <w:pPr>
        <w:pStyle w:val="Bullet0"/>
        <w:numPr>
          <w:ilvl w:val="0"/>
          <w:numId w:val="17"/>
        </w:numPr>
        <w:rPr>
          <w:b/>
          <w:noProof/>
        </w:rPr>
      </w:pPr>
      <w:r w:rsidRPr="00732D9A">
        <w:rPr>
          <w:noProof/>
        </w:rPr>
        <w:t>tirer parti de l’accès au marché unique et de son ampleur pour stimuler la demande de produits industriels bas carbone européens et de technologies «zéro net», notamment en facilitant la différenciation pour l’acier bas carbone afin d’accroître sa valeur et sa négociabilité;</w:t>
      </w:r>
    </w:p>
    <w:p w14:paraId="774AAEDA" w14:textId="77777777" w:rsidR="00FE7970" w:rsidRPr="00732D9A" w:rsidRDefault="00FE7970" w:rsidP="00FE7970">
      <w:pPr>
        <w:pStyle w:val="Bullet0"/>
        <w:rPr>
          <w:noProof/>
        </w:rPr>
      </w:pPr>
      <w:r w:rsidRPr="00732D9A">
        <w:rPr>
          <w:noProof/>
        </w:rPr>
        <w:t xml:space="preserve">maximiser la qualité et les avantages pour le marché unique des investissements étrangers dans l’UE dans les secteurs les plus stratégiques; </w:t>
      </w:r>
    </w:p>
    <w:p w14:paraId="0722D171" w14:textId="77777777" w:rsidR="00FE7970" w:rsidRPr="00732D9A" w:rsidRDefault="00FE7970" w:rsidP="00FE7970">
      <w:pPr>
        <w:pStyle w:val="Bullet0"/>
        <w:rPr>
          <w:b/>
          <w:noProof/>
        </w:rPr>
      </w:pPr>
      <w:r w:rsidRPr="00732D9A">
        <w:rPr>
          <w:noProof/>
        </w:rPr>
        <w:t>déployer des projets manufacturiers à grande échelle en accélérant et en simplifiant les permis pour ces projets, ainsi qu’en facilitant le développement de pôles industriels dans les zones d’industrialisation prioritaire.</w:t>
      </w:r>
    </w:p>
    <w:p w14:paraId="5DC9936C" w14:textId="77777777" w:rsidR="00FE7970" w:rsidRPr="00732D9A" w:rsidRDefault="00FE7970" w:rsidP="00FE7970">
      <w:pPr>
        <w:rPr>
          <w:noProof/>
        </w:rPr>
      </w:pPr>
      <w:r w:rsidRPr="00732D9A">
        <w:rPr>
          <w:noProof/>
        </w:rPr>
        <w:t xml:space="preserve">Pour atteindre ces objectifs, la proposition introduit une approche réglementaire équilibrée afin de renforcer la compétitivité de l’industrie et d’atténuer, ainsi que de prévenir, les dépendances stratégiques dans des secteurs clés. Elle se limite à l’ensemble des exigences minimales nécessaires pour résoudre les problèmes auxquels sont actuellement confrontés un certain nombre de secteurs stratégiques, sans restreindre indûment le marché et le développement technologique ni augmenter de manière disproportionnée le coût de matériaux et de produits spécifiques. En outre, la proposition établit un cadre visant à rationaliser les procédures d’octroi de permis et à promouvoir une approche coordonnée des projets d’investissement dans l’ensemble de l’Union. </w:t>
      </w:r>
    </w:p>
    <w:p w14:paraId="192978FE" w14:textId="77777777" w:rsidR="00440ED7" w:rsidRPr="00732D9A" w:rsidRDefault="00440ED7">
      <w:pPr>
        <w:pStyle w:val="ManualHeading2"/>
        <w:rPr>
          <w:rFonts w:eastAsia="Arial Unicode MS"/>
          <w:noProof/>
        </w:rPr>
      </w:pPr>
      <w:r w:rsidRPr="00732D9A">
        <w:rPr>
          <w:noProof/>
          <w:color w:val="000000"/>
          <w:u w:color="000000"/>
          <w:bdr w:val="nil"/>
        </w:rPr>
        <w:t>•</w:t>
      </w:r>
      <w:r w:rsidRPr="00732D9A">
        <w:rPr>
          <w:noProof/>
        </w:rPr>
        <w:tab/>
        <w:t>Cohérence avec les dispositions existantes dans le domaine d’action</w:t>
      </w:r>
    </w:p>
    <w:p w14:paraId="67136B2F" w14:textId="77777777" w:rsidR="006F68D9" w:rsidRPr="00732D9A" w:rsidRDefault="00FE7970" w:rsidP="00FE7970">
      <w:pPr>
        <w:rPr>
          <w:noProof/>
        </w:rPr>
      </w:pPr>
      <w:r w:rsidRPr="00732D9A">
        <w:rPr>
          <w:noProof/>
        </w:rPr>
        <w:t xml:space="preserve">La proposition répond au pacte pour une industrie propre, à la «boussole pour la compétitivité de l’UE» et à la communication conjointe sur le renforcement de la sécurité économique de l’UE, qui reconnaissent tous la nécessité d’une action urgente pour préserver l’avenir de l’UE en tant que puissance économique, destination d’investissement et centre de production. Elle met en œuvre le plan d’action en faveur du secteur automobile, qui dispose que le soutien public à l’industrie automobile sera subordonné à des critères de résilience et de durabilité, et appelle à ce que le règlement relatif à l’accélération des capacités industrielles promeuve les exigences de fabrication dans l’UE relatives aux cellules et composants de batteries dans les véhicules électriques vendus dans l’UE, conformément aux engagements internationaux de l’Union. </w:t>
      </w:r>
    </w:p>
    <w:p w14:paraId="6F03CBC7" w14:textId="77777777" w:rsidR="00C872C3" w:rsidRPr="00732D9A" w:rsidRDefault="00D47F72" w:rsidP="00C872C3">
      <w:pPr>
        <w:rPr>
          <w:noProof/>
        </w:rPr>
      </w:pPr>
      <w:r w:rsidRPr="00732D9A">
        <w:rPr>
          <w:noProof/>
        </w:rPr>
        <w:t>Elle met également en œuvre le train de mesures pour le secteur automobile, adopté le 16 décembre 2025, qui prévoit, entre autres, l’octroi de bonifications pour les petits véhicules électriques abordables fabriqués dans l’Union avant 2035 et modifie l’objectif de réduction des émissions pour 2035, les émissions restantes devant être compensées par l’utilisation d’acier bas carbone fabriqué dans l’Union ou de carburants renouvelables et bas carbone. Cette proposition</w:t>
      </w:r>
      <w:r w:rsidRPr="00732D9A">
        <w:rPr>
          <w:rStyle w:val="FootnoteReference"/>
          <w:noProof/>
        </w:rPr>
        <w:footnoteReference w:id="16"/>
      </w:r>
      <w:r w:rsidRPr="00732D9A">
        <w:rPr>
          <w:noProof/>
        </w:rPr>
        <w:t xml:space="preserve">, qui modifie le règlement (UE) 2019/631, habilite la Commission à adopter des actes délégués établissant les critères selon lesquels les produits relevant de son champ d’application peuvent être qualifiés de «petits véhicules à émission nulle fabriqués dans l’Union» ou d’«acier bas carbone fabriqué dans l’Union». Le train de mesures pour le secteur automobile comprend également une proposition de règlement sur les véhicules </w:t>
      </w:r>
      <w:r w:rsidRPr="00732D9A">
        <w:rPr>
          <w:noProof/>
        </w:rPr>
        <w:lastRenderedPageBreak/>
        <w:t>d’entreprise propres</w:t>
      </w:r>
      <w:r w:rsidRPr="00732D9A">
        <w:rPr>
          <w:rStyle w:val="FootnoteReference"/>
          <w:noProof/>
        </w:rPr>
        <w:footnoteReference w:id="17"/>
      </w:r>
      <w:r w:rsidRPr="00732D9A">
        <w:rPr>
          <w:noProof/>
        </w:rPr>
        <w:t>. Cette proposition limite le soutien financier en faveur des véhicules d’entreprise aux véhicules d’entreprise à émission nulle et à faibles émissions et habilite la Commission à adopter des actes délégués établissant la méthode pour déterminer les critères à satisfaire pour qu’un véhicule soit considéré comme «fabriqué dans l’Union européenne». Afin de garantir la cohérence entre les trois instruments et la sécurité juridique, ce règlement fournit des définitions harmonisées des termes «petits véhicules électriques abordables fabriqués dans l’Union», «acier bas carbone fabriqué dans l’Union» et «voitures et camionnettes d’entreprise fabriquées dans l’Union européenne». Dès lors, les propositions du 16 décembre 2025 devraient être adaptées pour faire référence à l’approche horizontale adoptée dans le présent règlement, plutôt qu’aux actes délégués, afin de garantir la cohérence du cadre juridique.</w:t>
      </w:r>
    </w:p>
    <w:p w14:paraId="7FAD8C19" w14:textId="37C2333E" w:rsidR="002F4157" w:rsidRPr="00732D9A" w:rsidRDefault="00387240" w:rsidP="00FE7970">
      <w:pPr>
        <w:rPr>
          <w:noProof/>
          <w:highlight w:val="yellow"/>
        </w:rPr>
      </w:pPr>
      <w:r w:rsidRPr="00732D9A">
        <w:rPr>
          <w:noProof/>
        </w:rPr>
        <w:t>Ce règlement est cohérent avec le code des douanes de l’Union, qui établit les règles d’origine non préférentielle de l’Union. Aux fins de la détermination de l’origine des produits couverts par ce règlement, les règles d’origine non préférentielle de l’Union, telles qu’établies par ledit code, s’appliquent.</w:t>
      </w:r>
    </w:p>
    <w:p w14:paraId="3FE49032" w14:textId="77777777" w:rsidR="00440ED7" w:rsidRPr="00732D9A" w:rsidRDefault="00440ED7">
      <w:pPr>
        <w:pStyle w:val="ManualHeading2"/>
        <w:rPr>
          <w:rFonts w:eastAsia="Arial Unicode MS"/>
          <w:noProof/>
        </w:rPr>
      </w:pPr>
      <w:r w:rsidRPr="00732D9A">
        <w:rPr>
          <w:noProof/>
          <w:color w:val="000000"/>
          <w:u w:color="000000"/>
          <w:bdr w:val="nil"/>
        </w:rPr>
        <w:t>•</w:t>
      </w:r>
      <w:r w:rsidRPr="00732D9A">
        <w:rPr>
          <w:noProof/>
        </w:rPr>
        <w:tab/>
        <w:t>Cohérence avec les autres politiques de l’Union</w:t>
      </w:r>
    </w:p>
    <w:p w14:paraId="3E7CA468" w14:textId="77777777" w:rsidR="00FE7970" w:rsidRPr="00732D9A" w:rsidRDefault="00FE7970" w:rsidP="00FE7970">
      <w:pPr>
        <w:rPr>
          <w:noProof/>
        </w:rPr>
      </w:pPr>
      <w:r w:rsidRPr="00732D9A">
        <w:rPr>
          <w:noProof/>
        </w:rPr>
        <w:t>Le règlement relatif à l’accélération des capacités industrielles contribue à la législation pertinente pour la sécurité économique, la compétitivité industrielle et la décarbonation de l’UE. Compte tenu du rôle des IGCE et des technologies «zéro net» dans de nombreux secteurs de l’économie et des chaînes de valeur industrielles, plusieurs ensembles de politiques et de législations européennes sont pertinents.</w:t>
      </w:r>
    </w:p>
    <w:p w14:paraId="4EBC063E" w14:textId="77777777" w:rsidR="00FE7970" w:rsidRPr="00732D9A" w:rsidRDefault="00FE7970" w:rsidP="00FE7970">
      <w:pPr>
        <w:rPr>
          <w:noProof/>
        </w:rPr>
      </w:pPr>
      <w:r w:rsidRPr="00732D9A">
        <w:rPr>
          <w:noProof/>
        </w:rPr>
        <w:t>Premièrement, le règlement relatif à l’accélération des capacités industrielles est cohérent avec le règlement pour une industrie «zéro net» et le complète en étendant les dispositions rationalisées en matière d’octroi de permis, telles que les points de contact uniques et les délais, à tous les projets de décarbonation de l’industrie grande consommatrice d’énergie, et en introduisant des exigences de fabrication dans l’UE pour certains composants spécifiques des technologies «zéro net», afin d’empêcher le contournement, de renforcer encore les capacités de production de l’UE ainsi que la résilience et la compétitivité des chaînes de valeur nationales.</w:t>
      </w:r>
    </w:p>
    <w:p w14:paraId="1E4857E9" w14:textId="77777777" w:rsidR="00FE7970" w:rsidRPr="00732D9A" w:rsidRDefault="00FE7970" w:rsidP="00FE7970">
      <w:pPr>
        <w:rPr>
          <w:noProof/>
        </w:rPr>
      </w:pPr>
      <w:r w:rsidRPr="00732D9A">
        <w:rPr>
          <w:noProof/>
        </w:rPr>
        <w:t>Deuxièmement, la proposition est cohérente avec la loi européenne sur le climat, car elle vise à contribuer à la réalisation de l’objectif de neutralité climatique en soutenant les investissements dans la décarbonation de l’industrie et dans les technologies «zéro net».</w:t>
      </w:r>
    </w:p>
    <w:p w14:paraId="586141E3" w14:textId="77777777" w:rsidR="00FE7970" w:rsidRPr="00732D9A" w:rsidRDefault="00FE7970" w:rsidP="00FE7970">
      <w:pPr>
        <w:rPr>
          <w:rFonts w:eastAsia="Times New Roman"/>
          <w:noProof/>
        </w:rPr>
      </w:pPr>
      <w:r w:rsidRPr="00732D9A">
        <w:rPr>
          <w:noProof/>
        </w:rPr>
        <w:t xml:space="preserve">Troisièmement, la proposition est cohérente avec les initiatives les plus récentes visant à rationaliser les procédures d’octroi de permis et à renforcer la compétitivité du secteur automobile. En particulier, le règlement relatif à l’accélération des capacités industrielles vise à rationaliser les principales procédures d’octroi de permis, notamment par la numérisation et la réutilisation des données. Il s’appuie sur le menu de mesures mis à disposition dans le cadre de la proposition relative à l’octroi des autorisations environnementales, en l’appliquant aux besoins spécifiques du secteur. </w:t>
      </w:r>
    </w:p>
    <w:p w14:paraId="26297CCE" w14:textId="77777777" w:rsidR="00BF3A9F" w:rsidRPr="00732D9A" w:rsidRDefault="00FE7970" w:rsidP="00FE7970">
      <w:pPr>
        <w:rPr>
          <w:noProof/>
        </w:rPr>
      </w:pPr>
      <w:r w:rsidRPr="00732D9A">
        <w:rPr>
          <w:noProof/>
        </w:rPr>
        <w:t xml:space="preserve">La proposition est également cohérente avec d’autres actes législatifs de l’UE visant à soutenir la transformation de l’industrie européenne en une économie propre, circulaire et neutre pour le climat. Par exemple, le règlement relatif à l’accélération des capacités industrielles est compatible avec la future législation environnementale spécifique aux produits et la complète. Dans le secteur de la construction, il complète le règlement sur les produits de construction (RPC), y compris la norme harmonisée pour les émissions de GES et </w:t>
      </w:r>
      <w:r w:rsidRPr="00732D9A">
        <w:rPr>
          <w:noProof/>
        </w:rPr>
        <w:lastRenderedPageBreak/>
        <w:t>le label prévu pour le béton bas carbone. Dans le secteur de l’acier, le futur acte délégué sur les produits sidérurgiques au titre du règlement sur l’écoconception pour des produits durables (REPD) fournira les éléments nécessaires à la mise en œuvre des dispositions relatives au marché pilote de l’acier, en tenant compte des différentes caractéristiques de décarbonation des producteurs d’acier primaire et secondaire et en récompensant la circularité. Lors de la conception des exigences en matière d’étiquetage et d’information fondées sur des seuils de performance pour différents produits, ces seuils devraient tenir compte du contenu recyclé du produit industriel, le seuil diminuant avec l’augmentation du contenu recyclé des produits, le cas échéant. De même, le règlement relatif à l’accélération des capacités industrielles complète le règlement sur les batteries, qui fixe le cadre de l’ambition environnementale pour la fabrication de batteries dans l’UE, permettant aux dispositions relatives au marché pilote prévues par le règlement relatif à l’accélération des capacités industrielles de se concentrer sur les exigences de fabrication dans l’UE. Il complète les futures règles de performances environnementales pour les modules photovoltaïques dans le cadre de l’écoconception et de l’étiquetage énergétique en promouvant la fabrication de produits conformes dans l’UE. En ce qui concerne la promotion de solutions à faible intensité de carbone et biosourcées, il s’aligne sur la nouvelle stratégie de l’UE pour la bioéconomie.</w:t>
      </w:r>
    </w:p>
    <w:p w14:paraId="20A5AE6C" w14:textId="77777777" w:rsidR="00FE7970" w:rsidRPr="00732D9A" w:rsidRDefault="00FE7970" w:rsidP="00FE7970">
      <w:pPr>
        <w:rPr>
          <w:noProof/>
        </w:rPr>
      </w:pPr>
      <w:r w:rsidRPr="00732D9A">
        <w:rPr>
          <w:noProof/>
        </w:rPr>
        <w:t xml:space="preserve">La proposition est également cohérente avec le reste de la législation de l’UE sur le climat. Le système d’échange de quotas d’émission de l’UE (SEQE de l’UE) est le principal instrument de la politique climatique visant à réduire les émissions de GES et joue un rôle central dans l’incitation à la réduction des émissions dans les IGCE ainsi que dans la production d’électricité. La présente proposition complète le signal de prix fourni par le SEQE de l’UE, en soutenant la création de marchés pilotes pour les produits industriels à faible intensité de carbone. Elle est également alignée sur le règlement relatif au mécanisme d’ajustement carbone aux frontières (MACF). </w:t>
      </w:r>
    </w:p>
    <w:p w14:paraId="0F2138EF" w14:textId="77777777" w:rsidR="00FE7970" w:rsidRPr="00732D9A" w:rsidRDefault="00FE7970" w:rsidP="00FE7970">
      <w:pPr>
        <w:rPr>
          <w:noProof/>
        </w:rPr>
      </w:pPr>
      <w:r w:rsidRPr="00732D9A">
        <w:rPr>
          <w:noProof/>
        </w:rPr>
        <w:t xml:space="preserve">En ce qui concerne les initiatives à venir, la proposition d’acte législatif sur l’économie circulaire complétera le règlement relatif à l’accélération des capacités industrielles en stimulant le recyclage et l’accès aux matières premières secondaires, en réduisant les dépendances et les vulnérabilités également pour les produits industriels à forte intensité énergétique. La cohérence entre les mesures sectorielles figurant dans le règlement relatif à l’accélération des capacités industrielles et le cadre général de la prochaine révision des marchés publics sera également assurée. </w:t>
      </w:r>
    </w:p>
    <w:p w14:paraId="0891D82F" w14:textId="77777777" w:rsidR="00771EF6" w:rsidRPr="00732D9A" w:rsidRDefault="003A5A30" w:rsidP="003A5A30">
      <w:pPr>
        <w:rPr>
          <w:noProof/>
        </w:rPr>
      </w:pPr>
      <w:r w:rsidRPr="00732D9A">
        <w:rPr>
          <w:noProof/>
        </w:rPr>
        <w:t xml:space="preserve">La proposition tient compte des engagements internationaux de l’Union en matière de marchés publics au titre de l’accord de l’Organisation mondiale du commerce (OMC) sur les marchés publics (AMP) et des accords commerciaux bilatéraux pertinents de l’UE. Les opérateurs établis dans des pays couverts par de tels engagements peuvent bénéficier d’un accès opposable à des procédures de passation de marchés spécifiques définies dans les listes correspondant au champ d’application pertinent. Ces engagements sont structurés selon les catégories de pouvoirs adjudicateurs, y compris l’administration centrale, les autorités sous-centrales, les organismes de droit public et les services d’utilité publique, et selon les types de marchés publics tels que les biens, les services et les travaux de construction. Leur applicabilité dépend donc du pouvoir adjudicateur qui procède à la passation de marchés et de l’objet du marché. En outre, l’Union conserve le droit d’appliquer des exceptions générales ou des exceptions en matière de sécurité. </w:t>
      </w:r>
    </w:p>
    <w:p w14:paraId="5E1F2EC2" w14:textId="77777777" w:rsidR="002E1D5D" w:rsidRPr="00732D9A" w:rsidRDefault="003A5A30" w:rsidP="003A5A30">
      <w:pPr>
        <w:rPr>
          <w:noProof/>
        </w:rPr>
      </w:pPr>
      <w:r w:rsidRPr="00732D9A">
        <w:rPr>
          <w:noProof/>
        </w:rPr>
        <w:t xml:space="preserve">Par conséquent, les engagements de l’Union en matière de marchés publics ne confèrent pas un accès uniforme ou complet à tous les partenaires, et il n’est pas possible d’établir une liste unique de pays tiers disposant d’un accès pleinement sécurisé à l’ensemble des marchés publics de l’UE. Les pouvoirs adjudicateurs disposent d’informations détaillées sur les </w:t>
      </w:r>
      <w:r w:rsidRPr="00732D9A">
        <w:rPr>
          <w:noProof/>
        </w:rPr>
        <w:lastRenderedPageBreak/>
        <w:t>engagements en matière de marchés publics et l’éligibilité des fournisseurs</w:t>
      </w:r>
      <w:r w:rsidRPr="00732D9A">
        <w:rPr>
          <w:rStyle w:val="FootnoteReference"/>
          <w:noProof/>
        </w:rPr>
        <w:footnoteReference w:id="18"/>
      </w:r>
      <w:r w:rsidRPr="00732D9A">
        <w:rPr>
          <w:noProof/>
        </w:rPr>
        <w:t>, ce qui favorise l’application cohérente des obligations internationales en matière de marchés publics tout en préservant la capacité de l’Union à poursuivre ses objectifs stratégiques énoncés dans la présente proposition.</w:t>
      </w:r>
    </w:p>
    <w:p w14:paraId="6D519E58" w14:textId="77777777" w:rsidR="003C43F8" w:rsidRPr="00732D9A" w:rsidRDefault="00AE481B" w:rsidP="00FE7970">
      <w:pPr>
        <w:rPr>
          <w:noProof/>
        </w:rPr>
      </w:pPr>
      <w:r w:rsidRPr="00732D9A">
        <w:rPr>
          <w:noProof/>
        </w:rPr>
        <w:t xml:space="preserve">Bien que le règlement relatif à l’accélération des capacités industrielles établisse le cadre des marchés publics «Fabriqué en Europe» («Made in Europe»), couvrant les produits industriels à forte intensité énergétique, les technologies «zéro net» et les composants automobiles, la prochaine révision du cadre juridique des marchés publics clarifiera la manière dont ces marchés doivent être passés. En particulier, elle intégrera et mettra en œuvre les exigences sectorielles énoncées dans les actes législatifs pertinents dans un cadre commun pour les marchés publics et, pour les secteurs clés, fournira aux pouvoirs adjudicateurs des outils clairs pour donner la préférence aux offres composées principalement de produits européens. Cette approche garantit la cohérence et la sécurité juridique tant pour les acheteurs publics que pour les opérateurs économiques. </w:t>
      </w:r>
    </w:p>
    <w:p w14:paraId="6F3475F3" w14:textId="77777777" w:rsidR="00FE7970" w:rsidRPr="00732D9A" w:rsidRDefault="00FE7970" w:rsidP="00FE7970">
      <w:pPr>
        <w:rPr>
          <w:noProof/>
        </w:rPr>
      </w:pPr>
      <w:r w:rsidRPr="00732D9A">
        <w:rPr>
          <w:noProof/>
        </w:rPr>
        <w:t>La proposition de règlement tient également compte des instruments de défense commerciale de l’Union, y compris la mesure récemment proposée pour remédier aux effets négatifs de la surcapacité mondiale sur le marché sidérurgique de l’UE. En outre, elle fonctionne en complémentarité avec le cadre existant pour les investissements directs étrangers (IDE), qui porte sur la sécurité et l’ordre public. Enfin, la proposition est sans préjudice de l’application des règles de concurrence de l’UE.</w:t>
      </w:r>
    </w:p>
    <w:p w14:paraId="4A9DDF57" w14:textId="77777777" w:rsidR="00440ED7" w:rsidRPr="00732D9A" w:rsidRDefault="00440ED7">
      <w:pPr>
        <w:pStyle w:val="ManualHeading1"/>
        <w:rPr>
          <w:noProof/>
        </w:rPr>
      </w:pPr>
      <w:r w:rsidRPr="00732D9A">
        <w:rPr>
          <w:noProof/>
        </w:rPr>
        <w:t>2.</w:t>
      </w:r>
      <w:r w:rsidRPr="00732D9A">
        <w:rPr>
          <w:noProof/>
        </w:rPr>
        <w:tab/>
        <w:t>BASE JURIDIQUE, SUBSIDIARITÉ ET PROPORTIONNALITÉ</w:t>
      </w:r>
    </w:p>
    <w:p w14:paraId="258DF462"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Base juridique</w:t>
      </w:r>
    </w:p>
    <w:p w14:paraId="51E51D08" w14:textId="77777777" w:rsidR="00FE7970" w:rsidRPr="00732D9A" w:rsidRDefault="00FE7970" w:rsidP="00FE7970">
      <w:pPr>
        <w:rPr>
          <w:noProof/>
        </w:rPr>
      </w:pPr>
      <w:r w:rsidRPr="00732D9A">
        <w:rPr>
          <w:noProof/>
        </w:rPr>
        <w:t xml:space="preserve">La base juridique appropriée est l’article 114 du traité sur le fonctionnement de l’Union européenne (ci-après le «TFUE»), qui permet à l’Union d’adopter des mesures d’harmonisation. Compte tenu de la complexité et du caractère transnational de la résilience et de la décarbonation industrielle, de telles mesures sont nécessaires pour garantir le bon fonctionnement du marché unique, en particulier pour les secteurs stratégiques. </w:t>
      </w:r>
    </w:p>
    <w:p w14:paraId="5D97960B" w14:textId="77777777" w:rsidR="00FE7970" w:rsidRPr="00732D9A" w:rsidRDefault="00FE7970" w:rsidP="00FE7970">
      <w:pPr>
        <w:rPr>
          <w:noProof/>
        </w:rPr>
      </w:pPr>
      <w:r w:rsidRPr="00732D9A">
        <w:rPr>
          <w:noProof/>
        </w:rPr>
        <w:t xml:space="preserve">En outre, il est également nécessaire de recourir à l’article 207 du traité relatif à la politique commerciale commune de l’UE comme base juridique supplémentaire pour certaines mesures introduites au titre du présent règlement. Les dispositions relatives aux investissements étrangers couvrent un ensemble spécifique de secteurs afin de garantir des conditions minimales d’investissement et une production à valeur ajoutée dans l’Union. Par conséquent, les dispositions visent principalement le bon fonctionnement du marché unique. Néanmoins, les investissements directs étrangers sont explicitement inclus dans le champ d’application de la politique commerciale commune de l’UE. </w:t>
      </w:r>
    </w:p>
    <w:p w14:paraId="1B64118B"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 xml:space="preserve">Subsidiarité (en cas de compétence non exclusive) </w:t>
      </w:r>
    </w:p>
    <w:p w14:paraId="6901CA66" w14:textId="77777777" w:rsidR="00FE7970" w:rsidRPr="00732D9A" w:rsidRDefault="00FE7970" w:rsidP="00FE7970">
      <w:pPr>
        <w:rPr>
          <w:noProof/>
        </w:rPr>
      </w:pPr>
      <w:r w:rsidRPr="00732D9A">
        <w:rPr>
          <w:noProof/>
        </w:rPr>
        <w:t xml:space="preserve">La compétitivité, la prospérité durable, la sécurité économique et la décarbonation sont des domaines qui revêtent une grande importance pour l’UE. Aucun État membre n’est en mesure, à lui seul, de traiter efficacement la décarbonation de l’industrie en raison de la nature intégrée du défi: les marchés de l’énergie, les efforts d’atténuation du changement climatique et la nécessité d’un bon fonctionnement du marché unique pour les produits industriels à forte </w:t>
      </w:r>
      <w:r w:rsidRPr="00732D9A">
        <w:rPr>
          <w:noProof/>
        </w:rPr>
        <w:lastRenderedPageBreak/>
        <w:t>intensité énergétique et les technologies «zéro net». Les défis en matière de compétitivité auxquels l’industrie est actuellement confrontée sont susceptibles d’inciter les États membres à mettre en œuvre des mesures unilatérales. Si de tels efforts peuvent être justifiés, les laisser sans coordination risque d’avoir une incidence négative sur le fonctionnement du marché unique et de le fragmenter, rendant l’UE plus vulnérable aux chocs extérieurs et incapable de tirer parti des atouts du marché unique pour apporter des avantages aux écosystèmes locaux et européens.</w:t>
      </w:r>
    </w:p>
    <w:p w14:paraId="04BEA125" w14:textId="77777777" w:rsidR="00FE7970" w:rsidRPr="00732D9A" w:rsidRDefault="00FE7970" w:rsidP="00FE7970">
      <w:pPr>
        <w:rPr>
          <w:noProof/>
        </w:rPr>
      </w:pPr>
      <w:r w:rsidRPr="00732D9A">
        <w:rPr>
          <w:noProof/>
        </w:rPr>
        <w:t>Une approche harmonisée au niveau de l’UE est donc nécessaire en vertu de l’article 114 du TFUE pour garantir le bon fonctionnement du marché unique et relever les défis de la résilience et de la décarbonation industrielle, tout en préservant la compétitivité de l’UE. Les mesures figurant dans la présente initiative ne seraient pas aussi efficaces si elles étaient mises en œuvre par les États membres agissant seuls, étant donné que les défis qu’elles ciblent concernent le marché unique. Elles ne se limitent pas à des États membres individuels ou à un sous-ensemble d’États membres, mais concernent la base industrielle de l’UE et les chaînes de valeur à l’échelle de l’UE. En outre, les mesures mises en œuvre uniquement au niveau des États membres ne permettraient probablement pas de répondre de manière adéquate aux besoins de chaînes d’approvisionnement étroitement interconnectées que renferme le marché unique et pourraient entraîner une fragmentation accrue du marché et des risques de perturbation de la chaîne d’approvisionnement.</w:t>
      </w:r>
    </w:p>
    <w:p w14:paraId="2038C61C" w14:textId="77777777" w:rsidR="00FE7970" w:rsidRPr="00732D9A" w:rsidRDefault="00FE7970" w:rsidP="00FE7970">
      <w:pPr>
        <w:rPr>
          <w:noProof/>
        </w:rPr>
      </w:pPr>
      <w:r w:rsidRPr="00732D9A">
        <w:rPr>
          <w:noProof/>
        </w:rPr>
        <w:t xml:space="preserve">Par ailleurs, le changement climatique est un défi transfrontière qui nécessite une action à la fois au niveau international et au niveau de l’UE pour compléter et renforcer efficacement les mesures prises aux niveaux régional, national et local. Le coût de l’inaction est paneuropéen. La transformation industrielle nécessaire aura une incidence sur de nombreux secteurs dans l’ensemble de l’économie de l’UE, ce qui rend indispensable une action coordonnée au niveau de l’UE pour favoriser une transition transformatrice, juste et rentable ainsi qu’une convergence vers le haut. Des mesures nationales non coordonnées risquent d’imposer des règles divergentes aux opérateurs du marché, des pratiques non harmonisées en matière de marchés publics, notamment dans le cadre de pratiques écologiques en matière de marchés publics, et de procédures d’octroi de permis et, en définitive, de compromettre le fonctionnement du marché unique. </w:t>
      </w:r>
    </w:p>
    <w:p w14:paraId="3D14E675" w14:textId="77777777" w:rsidR="00FE7970" w:rsidRPr="00732D9A" w:rsidRDefault="00FE7970" w:rsidP="00FE7970">
      <w:pPr>
        <w:rPr>
          <w:noProof/>
        </w:rPr>
      </w:pPr>
      <w:r w:rsidRPr="00732D9A">
        <w:rPr>
          <w:noProof/>
        </w:rPr>
        <w:t xml:space="preserve">En l’absence de nouvelles mesures de l’UE, le statu quo est susceptible de persister, augmentant le risque que l’UE perde des capacités industrielles stratégiques, que le marché unique soit encore plus fragmenté et que l’UE devienne fortement dépendante des pays tiers pour atteindre ses objectifs en matière d’écologie, de numérique, de défense et de sécurité économique. Cela pourrait, par voie de conséquence, avoir des répercussions négatives sur la sécurité économique et la cohésion sociale et territoriale de l’Union, principalement en raison d’incidences sur l’emploi, le développement régional et l’accès équitable aux possibilités industrielles. </w:t>
      </w:r>
    </w:p>
    <w:p w14:paraId="65D9D884" w14:textId="77777777" w:rsidR="00FE7970" w:rsidRPr="00732D9A" w:rsidRDefault="00FE7970" w:rsidP="00FE7970">
      <w:pPr>
        <w:rPr>
          <w:noProof/>
        </w:rPr>
      </w:pPr>
      <w:r w:rsidRPr="00732D9A">
        <w:rPr>
          <w:noProof/>
        </w:rPr>
        <w:t xml:space="preserve">Dans cette logique, les actions proposées sont axées sur les domaines dans lesquels une action au niveau de l’Union apporte une valeur ajoutée démontrable en raison de l’ampleur, du rythme et de la portée des efforts nécessaires – des actions visant à améliorer l’argumentaire économique pour que les IGCE investissent dans la décarbonation et pour que les secteurs et technologies stratégiques de l’UE renforcent leur compétitivité. </w:t>
      </w:r>
    </w:p>
    <w:p w14:paraId="71541AC3" w14:textId="36588342" w:rsidR="00FE7970" w:rsidRPr="00732D9A" w:rsidRDefault="00FE7970" w:rsidP="00FE7970">
      <w:pPr>
        <w:rPr>
          <w:rFonts w:eastAsia="Arial Unicode MS"/>
          <w:noProof/>
        </w:rPr>
      </w:pPr>
      <w:r w:rsidRPr="00732D9A">
        <w:rPr>
          <w:noProof/>
        </w:rPr>
        <w:t xml:space="preserve">L’article 5, paragraphe 3, du traité sur l’Union européenne (ci-après le «TUE») dispose que le principe de subsidiarité s’applique dans les domaines qui ne relèvent pas de la compétence exclusive de l’Union. L’article 3, paragraphe 1, point e), du TFUE prévoit que l’Union dispose d’une compétence exclusive dans le domaine de la politique commerciale commune. L’article 207, paragraphe 2, du TFUE relève de la catégorie des compétences exclusives. Par </w:t>
      </w:r>
      <w:r w:rsidRPr="00732D9A">
        <w:rPr>
          <w:noProof/>
        </w:rPr>
        <w:lastRenderedPageBreak/>
        <w:t>conséquent, la question de la subsidiarité ne se pose pas</w:t>
      </w:r>
      <w:r w:rsidR="00303320">
        <w:rPr>
          <w:noProof/>
        </w:rPr>
        <w:t>,</w:t>
      </w:r>
      <w:r w:rsidRPr="00732D9A">
        <w:rPr>
          <w:noProof/>
        </w:rPr>
        <w:t xml:space="preserve"> étant donné que l’article 207 du TFUE est utilisé comme base juridique supplémentaire pour les mesures mettant en œuvre la politique commerciale commune de l’Union.</w:t>
      </w:r>
    </w:p>
    <w:p w14:paraId="4293B0BD"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Proportionnalité</w:t>
      </w:r>
    </w:p>
    <w:p w14:paraId="36F00CEA" w14:textId="77777777" w:rsidR="00FE7970" w:rsidRPr="00732D9A" w:rsidRDefault="00FE7970" w:rsidP="00FE7970">
      <w:pPr>
        <w:rPr>
          <w:noProof/>
          <w:color w:val="FF0000"/>
        </w:rPr>
      </w:pPr>
      <w:r w:rsidRPr="00732D9A">
        <w:rPr>
          <w:noProof/>
        </w:rPr>
        <w:t xml:space="preserve">Les mesures proposées respectent le principe de proportionnalité, ce qui démontre la valeur ajoutée d’une action au niveau de l’UE en raison de l’ampleur, de l’urgence et de la portée des efforts nécessaires. </w:t>
      </w:r>
    </w:p>
    <w:p w14:paraId="322C4713" w14:textId="77777777" w:rsidR="00FE7970" w:rsidRPr="00732D9A" w:rsidRDefault="00FE7970" w:rsidP="00FE7970">
      <w:pPr>
        <w:rPr>
          <w:noProof/>
        </w:rPr>
      </w:pPr>
      <w:r w:rsidRPr="00732D9A">
        <w:rPr>
          <w:noProof/>
        </w:rPr>
        <w:t xml:space="preserve">Les mesures relatives à l’octroi de permis imposeront aux États membres l’obligation de rationaliser les processus. La numérisation des procédures d’octroi de permis entraînera à long terme des économies de temps et de coûts tant pour les autorités que pour les entreprises, ce qui permettra d’accélérer la fabrication propre et le déploiement industriel dans l’ensemble de l’UE. </w:t>
      </w:r>
    </w:p>
    <w:p w14:paraId="67AF641D" w14:textId="77777777" w:rsidR="00FE7970" w:rsidRPr="00732D9A" w:rsidRDefault="00FE7970" w:rsidP="00FE7970">
      <w:pPr>
        <w:rPr>
          <w:noProof/>
        </w:rPr>
      </w:pPr>
      <w:r w:rsidRPr="00732D9A">
        <w:rPr>
          <w:noProof/>
        </w:rPr>
        <w:t>Les exigences en matière de faibles émissions de carbone et de fabrication dans l’UE sont proportionnées aux capacités de production industrielle européennes et conçues de manière à ne pas imposer de charges financières importantes aux budgets administratifs des États membres. La mise en place de marchés pilotes est essentielle pour accroître la compétitivité des secteurs et technologies clés, renforçant ainsi la base industrielle de l’UE et garantissant l’autonomie dans ces secteurs stratégiques.</w:t>
      </w:r>
    </w:p>
    <w:p w14:paraId="4EA09FED" w14:textId="77777777" w:rsidR="00FE7970" w:rsidRPr="00732D9A" w:rsidRDefault="00FE7970" w:rsidP="00FE7970">
      <w:pPr>
        <w:rPr>
          <w:noProof/>
        </w:rPr>
      </w:pPr>
      <w:r w:rsidRPr="00732D9A">
        <w:rPr>
          <w:noProof/>
        </w:rPr>
        <w:t>Des conditions obligatoires sur les investissements directs étrangers sont nécessaires pour atteindre l’objectif consistant à maximiser les avantages de ces investissements dans l’ensemble des États membres, à renforcer les avantages du marché unique et à tirer parti de l’accès au marché unique. Elles garantiront que les investissements vont de pair avec le développement du savoir-faire, la création d’emplois et l’intégration de la chaîne de valeur.</w:t>
      </w:r>
    </w:p>
    <w:p w14:paraId="03241673" w14:textId="77777777" w:rsidR="00FE7970" w:rsidRPr="00732D9A" w:rsidRDefault="00FE7970" w:rsidP="00FE7970">
      <w:pPr>
        <w:rPr>
          <w:noProof/>
        </w:rPr>
      </w:pPr>
      <w:r w:rsidRPr="00732D9A">
        <w:rPr>
          <w:noProof/>
        </w:rPr>
        <w:t xml:space="preserve">Les mesures relatives aux zones d’industrialisation prioritaire laissent aux États membres la responsabilité de recenser et de désigner ces zones, tout en apportant des avantages visant à permettre de meilleures conditions, plus compétitives, pour l’industrie manufacturière. </w:t>
      </w:r>
    </w:p>
    <w:p w14:paraId="1A7DFAF8"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Choix de l’instrument</w:t>
      </w:r>
    </w:p>
    <w:p w14:paraId="6E11B09E" w14:textId="77777777" w:rsidR="00FE7970" w:rsidRPr="00732D9A" w:rsidRDefault="00FE7970" w:rsidP="00FE7970">
      <w:pPr>
        <w:rPr>
          <w:rFonts w:eastAsia="Times New Roman"/>
          <w:noProof/>
          <w:color w:val="000000" w:themeColor="text1"/>
        </w:rPr>
      </w:pPr>
      <w:r w:rsidRPr="00732D9A">
        <w:rPr>
          <w:noProof/>
          <w:color w:val="000000" w:themeColor="text1"/>
        </w:rPr>
        <w:t>Un règlement est jugé être l’instrument le plus approprié, car il permet de définir des exigences directement applicables aux autorités nationales et aux opérateurs économiques concernés, ce qui contribuera à garantir que les exigences sont mises en œuvre en temps utile et de manière harmonisée, améliorant ainsi la sécurité juridique.</w:t>
      </w:r>
    </w:p>
    <w:p w14:paraId="37B19AE7" w14:textId="77777777" w:rsidR="00440ED7" w:rsidRPr="00732D9A" w:rsidRDefault="00440ED7">
      <w:pPr>
        <w:pStyle w:val="ManualHeading1"/>
        <w:rPr>
          <w:noProof/>
        </w:rPr>
      </w:pPr>
      <w:r w:rsidRPr="00732D9A">
        <w:rPr>
          <w:noProof/>
        </w:rPr>
        <w:t>3.</w:t>
      </w:r>
      <w:r w:rsidRPr="00732D9A">
        <w:rPr>
          <w:noProof/>
        </w:rPr>
        <w:tab/>
        <w:t>RÉSULTATS DES ÉVALUATIONS EX POST, DES CONSULTATIONS DES PARTIES INTÉRESSÉES ET DES ANALYSES D’IMPACT</w:t>
      </w:r>
    </w:p>
    <w:p w14:paraId="33907359"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Évaluations ex post/bilans de qualité de la législation existante</w:t>
      </w:r>
    </w:p>
    <w:p w14:paraId="47A5F898" w14:textId="77777777" w:rsidR="00F201FB" w:rsidRPr="00732D9A" w:rsidRDefault="00F201FB" w:rsidP="00F201FB">
      <w:pPr>
        <w:rPr>
          <w:noProof/>
        </w:rPr>
      </w:pPr>
      <w:r w:rsidRPr="00732D9A">
        <w:rPr>
          <w:noProof/>
        </w:rPr>
        <w:t>Sans objet.</w:t>
      </w:r>
    </w:p>
    <w:p w14:paraId="453EC233"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Consultation des parties intéressées</w:t>
      </w:r>
    </w:p>
    <w:p w14:paraId="13ACF659" w14:textId="77777777" w:rsidR="00F201FB" w:rsidRPr="00732D9A" w:rsidRDefault="00F201FB" w:rsidP="00F201FB">
      <w:pPr>
        <w:rPr>
          <w:noProof/>
        </w:rPr>
      </w:pPr>
      <w:r w:rsidRPr="00732D9A">
        <w:rPr>
          <w:noProof/>
        </w:rPr>
        <w:t xml:space="preserve">Conformément aux lignes directrices pour une meilleure réglementation, la Commission a mené auprès de toutes les parties intéressées une vaste consultation destinée à collecter des informations fiables en ayant recours à une série de méthodes, de parties consultées et d’outils. La Commission a mené de multiples activités: une consultation ouverte en ligne entre le 15 avril et le 8 juillet 2025 (314 réponses et 133 documents de prise de position joints); un appel à contributions pour l’analyse d’impact (295 réponses); une consultation ciblée ouverte aux associations et aux entreprises du secteur des IGCE (62 réponses); un atelier de vérification sur le terrain ouvert aux entreprises du secteur des IGCE </w:t>
      </w:r>
      <w:r w:rsidRPr="00732D9A">
        <w:rPr>
          <w:noProof/>
        </w:rPr>
        <w:lastRenderedPageBreak/>
        <w:t>(40 participants); un atelier de vérification sur le terrain en ce qui concerne le label européen de l’acier bas carbone, ouvert uniquement aux entreprises sidérurgiques (34 participants); un atelier de vérification sur le terrain ouvert aux États membres (46 participants), avec les trois vérifications sur le terrain, y compris la possibilité de présenter des documents de prise de position; et une consultation ciblée ouverte à l’écosystème des batteries et à ses secteurs en aval (63 répondants). Les résultats de la consultation publique sont résumés dans le rapport de synthèse factuel publié avec les réponses de l’appel à contributions sur le portail «Donnez votre avis».</w:t>
      </w:r>
    </w:p>
    <w:p w14:paraId="6D73634F" w14:textId="77777777" w:rsidR="00F201FB" w:rsidRPr="00732D9A" w:rsidRDefault="00F201FB" w:rsidP="00F201FB">
      <w:pPr>
        <w:rPr>
          <w:noProof/>
        </w:rPr>
      </w:pPr>
      <w:r w:rsidRPr="00732D9A">
        <w:rPr>
          <w:noProof/>
        </w:rPr>
        <w:t>Dans l’ensemble, les parties prenantes ont fait valoir que les défis auxquels sont confrontées les IGCE de l’UE étaient le manque d’énergie renouvelable suffisamment abordable, la concurrence internationale déloyale, les coûts d’investissement et d’exploitation élevés attribués à la décarbonation, la faible volonté des secteurs en aval de payer la prime verte, la complexité et la longueur des procédures d’octroi de permis et la difficulté d’accéder au financement pour les projets de décarbonation.</w:t>
      </w:r>
    </w:p>
    <w:p w14:paraId="7EB5C9A1" w14:textId="77777777" w:rsidR="00F201FB" w:rsidRPr="00732D9A" w:rsidRDefault="00F201FB" w:rsidP="00F201FB">
      <w:pPr>
        <w:rPr>
          <w:noProof/>
        </w:rPr>
      </w:pPr>
      <w:r w:rsidRPr="00732D9A">
        <w:rPr>
          <w:noProof/>
        </w:rPr>
        <w:t>La Commission a reçu un large soutien en faveur de l’idée de créer et de protéger des marchés pilotes pour les produits industriels bas carbone fabriqués dans l’UE, en tant que mécanisme essentiel pour stimuler la demande et encourager les investissements dans la décarbonation. De même, les parties prenantes sont convenues que la création de marchés pilotes servira à protéger la compétitivité des industries européennes des technologies propres et de l’automobile. Elles ont en outre confirmé que les exigences de fabrication dans l’UE sont importantes pour faire en sorte que le marché des produits industriels bas carbone et des produits de technologies propres ne soit pas compromis par la concurrence de pays tiers. La majorité des parties prenantes du secteur des batteries ont également soutenu les exigences de fabrication dans l’UE dans le cadre de diverses mesures stratégiques, tant pour les marchés publics que pour les produits mis sur le marché. La rationalisation et l’accélération des procédures d’autorisation ont bénéficié d’un soutien important, en particulier de la part des petites et moyennes entreprises (PME), qui disposent de moins de ressources pour gérer la charge de travail administrative. Les parties prenantes ont accueilli favorablement les dispositions relatives aux investissements étrangers, faisant observer que de telles mesures pourraient attirer les capitaux dont elles ont tant besoin, tout en apportant des avantages supplémentaires.</w:t>
      </w:r>
    </w:p>
    <w:p w14:paraId="1F05101D"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Analyse d’impact</w:t>
      </w:r>
    </w:p>
    <w:p w14:paraId="2047EE4C" w14:textId="3034AA2A"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 xml:space="preserve">Conformément aux lignes directrices pour une meilleure réglementation, la présente proposition réglementaire repose sur une analyse d’impact examinant le problème et les sous-problèmes liés à la nécessité pour l’industrie de l’UE d’accélérer la décarbonation des processus et des produits, dans un contexte mondial de défis en matière de compétitivité. Cette analyse d’impact recense les options envisageables pour traiter les sources de problèmes et évalue leurs incidences probables. L’analyse d’impact a été structurée de manière à tenir compte de la consultation menée par le groupe de pilotage interservices de la Commission sur le règlement relatif à l’accélération des capacités industrielles. </w:t>
      </w:r>
    </w:p>
    <w:p w14:paraId="028D9136"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Le 26 septembre 2025, l’analyse d’impact a reçu un avis défavorable du comité d’examen de la réglementation (CER). Le comité a recommandé:</w:t>
      </w:r>
    </w:p>
    <w:p w14:paraId="0C086F8E" w14:textId="77777777" w:rsidR="00F201FB" w:rsidRPr="00732D9A" w:rsidRDefault="00F201FB" w:rsidP="005260AB">
      <w:pPr>
        <w:pStyle w:val="Bullet0"/>
        <w:numPr>
          <w:ilvl w:val="0"/>
          <w:numId w:val="14"/>
        </w:numPr>
        <w:rPr>
          <w:noProof/>
        </w:rPr>
      </w:pPr>
      <w:r w:rsidRPr="00732D9A">
        <w:rPr>
          <w:noProof/>
        </w:rPr>
        <w:t>d’élaborer la situation de référence dynamique, y compris une meilleure explication de l’ampleur du ralentissement des investissements dans la décarbonation et de l’écart en matière de rapidité de décarbonation;</w:t>
      </w:r>
    </w:p>
    <w:p w14:paraId="3AAC5123" w14:textId="77777777" w:rsidR="00F201FB" w:rsidRPr="00732D9A" w:rsidRDefault="00F201FB" w:rsidP="00F201FB">
      <w:pPr>
        <w:pStyle w:val="Bullet0"/>
        <w:rPr>
          <w:noProof/>
        </w:rPr>
      </w:pPr>
      <w:r w:rsidRPr="00732D9A">
        <w:rPr>
          <w:noProof/>
        </w:rPr>
        <w:lastRenderedPageBreak/>
        <w:t>d’améliorer l’analyse des sources de problèmes, y compris les facteurs liés à l’octroi de permis et aux IDE, et, sur cette base, de réviser les objectifs généraux et spécifiques afin qu’ils soient SMART (spécifiques, mesurables, réalisables, pertinents et datés) ainsi que d’améliorer les mesures;</w:t>
      </w:r>
    </w:p>
    <w:p w14:paraId="7FB17F2C" w14:textId="77777777" w:rsidR="00F201FB" w:rsidRPr="00732D9A" w:rsidRDefault="00F201FB" w:rsidP="00F201FB">
      <w:pPr>
        <w:pStyle w:val="Bullet0"/>
        <w:rPr>
          <w:noProof/>
        </w:rPr>
      </w:pPr>
      <w:r w:rsidRPr="00732D9A">
        <w:rPr>
          <w:noProof/>
        </w:rPr>
        <w:t xml:space="preserve">de procéder à une analyse plus approfondie de la disponibilité et de la viabilité économique des technologies de décarbonation industrielle, ainsi que de la demande de solutions de remplacement sobres en carbone, y compris l’élasticité des prix et la substituabilité; </w:t>
      </w:r>
    </w:p>
    <w:p w14:paraId="5768B93D" w14:textId="77777777" w:rsidR="00F201FB" w:rsidRPr="00732D9A" w:rsidRDefault="00F201FB" w:rsidP="00F201FB">
      <w:pPr>
        <w:pStyle w:val="Bullet0"/>
        <w:rPr>
          <w:noProof/>
        </w:rPr>
      </w:pPr>
      <w:r w:rsidRPr="00732D9A">
        <w:rPr>
          <w:noProof/>
        </w:rPr>
        <w:t>d’améliorer, en quantifiant mieux, l’analyse des coûts et des avantages, y compris l’amélioration de l’annexe 3;</w:t>
      </w:r>
    </w:p>
    <w:p w14:paraId="6797358B" w14:textId="77777777" w:rsidR="00F201FB" w:rsidRPr="00732D9A" w:rsidRDefault="00F201FB" w:rsidP="00F201FB">
      <w:pPr>
        <w:pStyle w:val="Bullet0"/>
        <w:rPr>
          <w:noProof/>
        </w:rPr>
      </w:pPr>
      <w:r w:rsidRPr="00732D9A">
        <w:rPr>
          <w:noProof/>
        </w:rPr>
        <w:t>de reconnaître la robustesse de la modélisation pour l’analyse des coûts et des avantages et communiquer de manière transparente les hypothèses utilisées pour le calcul.</w:t>
      </w:r>
    </w:p>
    <w:p w14:paraId="2EEE1447"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 xml:space="preserve">Tous les points susmentionnés ont été traités dans toute la mesure du possible. Le 20 novembre 2025, lorsque l’analyse d’impact révisée a été de nouveau soumise, le comité a rendu un avis favorable assorti de réserves. Les réserves soulignaient la nécessité d’améliorer l’analyse des incidences attendues de l’objectif général, ainsi que l’interaction avec les implications en matière de sécurité économique. Le comité a également relevé la nécessité d’expliquer plus en détail les limites liées à la modélisation, ainsi que les calculs coûts-avantages et les incidences sur les consommateurs et les secteurs en aval. Ces observations ont été prises en compte au moyen d’une analyse améliorée et dans la mesure du possible. Les avis du comité, l’analyse d’impact finale et la synthèse de celle-ci sont publiés avec la présente proposition. </w:t>
      </w:r>
    </w:p>
    <w:p w14:paraId="7E8CA827"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L’analyse d’impact s’articule autour d’une série de cinq objectifs spécifiques qui traitent les sources de problèmes recensées. Elle définit trois options pour chaque objectif spécifique, sur la base du niveau d’intervention, de la portée, de l’efficacité et de la cohérence, ainsi que des principes de proportionnalité et de subsidiarité.</w:t>
      </w:r>
    </w:p>
    <w:p w14:paraId="751BE17E" w14:textId="6F70E286"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L’</w:t>
      </w:r>
      <w:r w:rsidRPr="00732D9A">
        <w:rPr>
          <w:b/>
          <w:noProof/>
        </w:rPr>
        <w:t xml:space="preserve">option nº 1 </w:t>
      </w:r>
      <w:r w:rsidRPr="00732D9A">
        <w:rPr>
          <w:noProof/>
        </w:rPr>
        <w:t>propose un label indiquant l’intensité carbone pour tous les secteurs grands consommateurs d’énergie. Elle vise à créer des marchés pilotes en introduisant des exigences en matière de faibles émissions de carbone pour les matériaux énergivores (acier, ciment</w:t>
      </w:r>
      <w:r w:rsidRPr="00732D9A">
        <w:rPr>
          <w:rStyle w:val="FootnoteReference"/>
          <w:rFonts w:eastAsia="Arial Unicode MS"/>
          <w:noProof/>
        </w:rPr>
        <w:footnoteReference w:id="19"/>
      </w:r>
      <w:r w:rsidRPr="00732D9A">
        <w:rPr>
          <w:noProof/>
        </w:rPr>
        <w:t xml:space="preserve"> et aluminium) dans certains secteurs en aval (automobile et construction) dans le cadre des marchés publics et des régimes d’aide. Elle propose également d’introduire des exigences minimales de fabrication dans l’UE pour les batteries, les systèmes solaires photovoltaïques et les composants de véhicules dans les procédures de passation de marchés publics ou de concessions et pour les régimes d’aide publique. En ce qui concerne l’objectif consistant à maximiser les avantages pour les IDE, elle introduit des conditions facultatives pour les investissements dépassant un seuil spécifié pour la chaîne d’approvisionnement des batteries et potentiellement pour les IGCE pertinentes. Afin de rationaliser les procédures d’octroi de permis, l’option propose une procédure numérique unifiée pour toutes les autorisations, applicable à l’ensemble du secteur manufacturier. Enfin, elle recommande aux États membres de faciliter le financement public des projets dans les zones industrielles. </w:t>
      </w:r>
    </w:p>
    <w:p w14:paraId="49A68C65"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lastRenderedPageBreak/>
        <w:t>L’</w:t>
      </w:r>
      <w:r w:rsidRPr="00732D9A">
        <w:rPr>
          <w:b/>
          <w:noProof/>
        </w:rPr>
        <w:t>option nº 2</w:t>
      </w:r>
      <w:r w:rsidRPr="00732D9A">
        <w:rPr>
          <w:noProof/>
        </w:rPr>
        <w:t xml:space="preserve"> s’appuie sur la première option en élargissant le champ d’application et les exigences. En ce qui concerne les marchés pilotes, dans le cadre de l’option nº 2, des exigences en matière de faibles émissions de carbone et de fabrication dans l’UE sont introduites pour l’acier, le ciment et l’aluminium utilisés dans certains secteurs en aval (automobile et construction) dans le cadre des marchés publics et des régimes d’aide. Les conditions applicables aux investissements spécifiques sont obligatoires plutôt que facultatives. L’option nº 2 renforce le soutien au processus d’octroi de permis en introduisant des mesures supplémentaires consacrées aux IGCE. Enfin, elle exige, au lieu de recommander, que les États membres désignent des zones industrielles. Toutefois, le champ d’application du label est réduit par l’imposition d’un label spécifique relatif à l’intensité de carbone pour l’acier, avec des règles détaillées qui peuvent ensuite être étendues à d’autres matériaux énergivores.</w:t>
      </w:r>
    </w:p>
    <w:p w14:paraId="1564CEA5"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L’</w:t>
      </w:r>
      <w:r w:rsidRPr="00732D9A">
        <w:rPr>
          <w:b/>
          <w:noProof/>
        </w:rPr>
        <w:t>option nº 3</w:t>
      </w:r>
      <w:r w:rsidRPr="00732D9A">
        <w:rPr>
          <w:noProof/>
        </w:rPr>
        <w:t xml:space="preserve"> élargit encore les deux options précédentes. Sur les marchés pilotes, elle introduit des exigences en matière de faibles émissions de carbone et de fabrication dans l’UE pour l’ensemble de l’acier, du ciment et de l’aluminium mis sur le marché en vue d’une utilisation dans l’automobile et la construction. Elle étend également les exigences de fabrication dans l’UE relatives à l’ensemble des batteries, des panneaux solaires photovoltaïques et des composants essentiels des véhicules mis sur le marché. En ce qui concerne l’octroi de permis, elle introduit des mesures spécifiques pour les zones industrielles. </w:t>
      </w:r>
    </w:p>
    <w:p w14:paraId="57583C26" w14:textId="77777777" w:rsidR="00F201FB" w:rsidRPr="00732D9A" w:rsidRDefault="00F201FB" w:rsidP="00F201FB">
      <w:pPr>
        <w:pBdr>
          <w:top w:val="nil"/>
          <w:left w:val="nil"/>
          <w:bottom w:val="nil"/>
          <w:right w:val="nil"/>
          <w:between w:val="nil"/>
          <w:bar w:val="nil"/>
        </w:pBdr>
        <w:spacing w:before="0" w:after="240"/>
        <w:rPr>
          <w:rFonts w:eastAsia="Arial Unicode MS"/>
          <w:noProof/>
        </w:rPr>
      </w:pPr>
      <w:r w:rsidRPr="00732D9A">
        <w:rPr>
          <w:noProof/>
        </w:rPr>
        <w:t>Dans l’ensemble, l’option privilégiée est l’option nº 2, car elle permettrait d’atteindre les objectifs de la manière la plus efficace et efficiente possible. Elle a également des effets plus positifs en matière de proportionnalité que les deux autres options, étant donné qu’elle suggère d’introduire une réduction des émissions de carbone et une fabrication dans l’UE uniquement pour les marchés publics et l’aide publique, tout en faisant preuve de la plus grande cohérence. L’option nº 2 pourrait entraîner des réductions nettes ponctuelles d’environ 240 millions d’EUR sur le plan de la charge administrative pour les entreprises, principalement grâce aux dispositions en matière d’octroi de permis (voir l’annexe 4 de l’analyse d’impact). L’analyse des coûts et des avantages a conclu que l’option nº 2 se traduit par des avantages nets globaux d’environ 8 milliards d’EUR pour l’économie en 2030, bien qu’elle présente certains coûts d’ajustement pour les secteurs en aval touchés par les exigences en matière de faibles émissions de carbone et/ou de fabrication dans l’UE. Toutefois, ces pertes sont largement compensées par des avantages à long terme en matière de création de valeur ajoutée, de renforcement de la sécurité économique, de résilience et de création d’emplois des industries stratégiques européennes, qui, en définitive, assurent la stabilité et une prospérité économique durable. L’option nº 3 serait plus efficace pour atteindre certains objectifs, en particulier en ce qui concerne les dispositions relatives aux marchés pilotes, mais elle augmenterait de manière disproportionnée les coûts pour l’économie.</w:t>
      </w:r>
    </w:p>
    <w:p w14:paraId="6F085E16" w14:textId="77777777" w:rsidR="00F201FB" w:rsidRPr="00732D9A" w:rsidRDefault="00F201FB" w:rsidP="00F201FB">
      <w:pPr>
        <w:rPr>
          <w:b/>
          <w:bCs/>
          <w:noProof/>
        </w:rPr>
      </w:pPr>
      <w:r w:rsidRPr="00732D9A">
        <w:rPr>
          <w:b/>
          <w:noProof/>
        </w:rPr>
        <w:t xml:space="preserve">Différences avec l’option privilégiée dans l’analyse d’impact </w:t>
      </w:r>
    </w:p>
    <w:p w14:paraId="2F0E5B7E" w14:textId="77777777" w:rsidR="00F201FB" w:rsidRPr="00732D9A" w:rsidRDefault="00F201FB" w:rsidP="00F201FB">
      <w:pPr>
        <w:shd w:val="clear" w:color="auto" w:fill="FFFFFF" w:themeFill="background1"/>
        <w:rPr>
          <w:noProof/>
        </w:rPr>
      </w:pPr>
      <w:r w:rsidRPr="00732D9A">
        <w:rPr>
          <w:noProof/>
          <w:color w:val="000000" w:themeColor="text1"/>
        </w:rPr>
        <w:t xml:space="preserve">La proposition de règlement contient des mesures qui </w:t>
      </w:r>
      <w:r w:rsidRPr="00732D9A">
        <w:rPr>
          <w:noProof/>
        </w:rPr>
        <w:t>s’écartent de l’option privilégiée présentée dans l’analyse d’impact, à savoir:</w:t>
      </w:r>
    </w:p>
    <w:p w14:paraId="54D8C105" w14:textId="77777777" w:rsidR="00F201FB" w:rsidRPr="00732D9A" w:rsidRDefault="00F201FB" w:rsidP="00F201FB">
      <w:pPr>
        <w:pStyle w:val="Bullet0"/>
        <w:rPr>
          <w:noProof/>
        </w:rPr>
      </w:pPr>
      <w:bookmarkStart w:id="4" w:name="_Hlk214886765"/>
      <w:bookmarkStart w:id="5" w:name="_Hlk214886802"/>
      <w:r w:rsidRPr="00732D9A">
        <w:rPr>
          <w:noProof/>
          <w:color w:val="000000" w:themeColor="text1"/>
        </w:rPr>
        <w:t>en ce qui concerne les procédures d’octroi de permis,</w:t>
      </w:r>
      <w:r w:rsidRPr="00732D9A">
        <w:rPr>
          <w:noProof/>
        </w:rPr>
        <w:t xml:space="preserve"> des mesures spécifiques pour les pôles de fabrication industrielle (à savoir l’approbation tacite aux étapes intermédiaires et l’évaluation prioritaire des demandes de raccordement), qui ne figuraient pas dans l’option privilégiée, ont été introduites, compte tenu des </w:t>
      </w:r>
      <w:r w:rsidRPr="00732D9A">
        <w:rPr>
          <w:noProof/>
        </w:rPr>
        <w:lastRenderedPageBreak/>
        <w:t>avantages synergiques escomptés avec les autres dispositions relatives aux zones d’industrialisation prioritaire;</w:t>
      </w:r>
    </w:p>
    <w:bookmarkEnd w:id="4"/>
    <w:p w14:paraId="1A71CB43" w14:textId="77777777" w:rsidR="00F201FB" w:rsidRPr="00732D9A" w:rsidRDefault="00F201FB" w:rsidP="00F201FB">
      <w:pPr>
        <w:pStyle w:val="Bullet0"/>
        <w:rPr>
          <w:noProof/>
        </w:rPr>
      </w:pPr>
      <w:r w:rsidRPr="00732D9A">
        <w:rPr>
          <w:noProof/>
        </w:rPr>
        <w:t xml:space="preserve">eu égard au champ d’application, les dispositions relatives aux procédures de passation de marchés publics ou de concessions, aux enchères et aux régimes d’aide couvrent des technologies «zéro net» supplémentaires par rapport à celles analysées dans l’analyse d’impact. La proposition introduit également des exigences de fabrication dans l’UE relatives à l’énergie solaire thermique, aux pompes à chaleur, à l’énergie éolienne, à la fission nucléaire et à l’hydrogène, conformément à l’objectif consistant à accroître la sécurité économique, la résilience, la durabilité et la sécurité de l’approvisionnement de l’UE. Une annexe spécifique dans l’analyse d’impact a été ajoutée pour présenter les principales incidences de ces mesures. Alors que les batteries et l’énergie solaire photovoltaïque sont déjà confrontées aujourd’hui à une combinaison unique de fortes surcapacités mondiales et de fortes dépendances de l’UE à l’égard de sources d’approvisionnement uniques, les autres technologies «zéro net» concernées sont confrontées à une concurrence mondiale intense (pas toujours équitable) et pourraient connaître des évolutions similaires sur le marché. Par conséquent, la Commission a décidé d’introduire de telles dispositions afin d’anticiper et d’atténuer les risques futurs pour l’approvisionnement et le marché. </w:t>
      </w:r>
    </w:p>
    <w:p w14:paraId="1A8F9924" w14:textId="77777777" w:rsidR="00F201FB" w:rsidRPr="00732D9A" w:rsidRDefault="00F201FB" w:rsidP="00380972">
      <w:pPr>
        <w:ind w:left="850"/>
        <w:rPr>
          <w:noProof/>
        </w:rPr>
      </w:pPr>
      <w:r w:rsidRPr="00732D9A">
        <w:rPr>
          <w:noProof/>
        </w:rPr>
        <w:t>En ce qui concerne l’acier, la proposition limite les exigences applicables à l’acier utilisé dans les secteurs de l’automobile et de la construction à des critères de faibles émissions de carbone (plutôt que de combiner des exigences en matière de faibles émissions de carbone et d’origine UE) dans le cadre des marchés publics et des régimes d’aide. Compte tenu de la mesure commerciale récemment proposée pour remédier aux effets commerciaux négatifs de la surcapacité mondiale sur le marché de l’acier de l’Union, l’introduction d’une préférence européenne pour l’acier n’est pas jugée nécessaire;</w:t>
      </w:r>
    </w:p>
    <w:p w14:paraId="11F2BEB7" w14:textId="77777777" w:rsidR="00F201FB" w:rsidRPr="00732D9A" w:rsidRDefault="00F201FB" w:rsidP="00F201FB">
      <w:pPr>
        <w:pStyle w:val="Bullet0"/>
        <w:rPr>
          <w:noProof/>
        </w:rPr>
      </w:pPr>
      <w:r w:rsidRPr="00732D9A">
        <w:rPr>
          <w:noProof/>
        </w:rPr>
        <w:t xml:space="preserve">aux fins du respect des exigences en matière de faibles émissions de carbone, le béton sera considéré comme bas carbone lorsqu’il répond aux critères applicables au «béton bas carbone» énoncés dans les mesures d’exécution adoptées au titre du RPC. De même, les produits en acier bas carbone utilisés dans la construction et couverts par une spécification technique harmonisée doivent être conformes à la définition des produits à faible teneur en carbone établie dans le cadre du RPC. Les produits sidérurgiques ne relevant pas du champ d’application du RPC seront considérés comme bas carbone lorsqu’ils remplissent les conditions relatives à l’«acier bas carbone» qui doivent être énoncées dans les actes délégués au titre du REPD. Cette approche garantira la cohérence réglementaire avec la législation existante spécifique aux produits; </w:t>
      </w:r>
    </w:p>
    <w:p w14:paraId="288B34A5" w14:textId="77777777" w:rsidR="00F201FB" w:rsidRPr="00732D9A" w:rsidRDefault="00F201FB" w:rsidP="00F201FB">
      <w:pPr>
        <w:pStyle w:val="Bullet0"/>
        <w:rPr>
          <w:noProof/>
        </w:rPr>
      </w:pPr>
      <w:r w:rsidRPr="00732D9A">
        <w:rPr>
          <w:noProof/>
        </w:rPr>
        <w:t>en outre, la proposition comprend des modifications de l’article 25 du règlement pour une industrie «zéro net» sur les marchés publics afin de clarifier le champ d’application technologique en n’incluant que les technologies qui font couramment l’objet de marchés publics. Elle comprend également des modifications de l’article 26 du règlement pour une industrie «zéro net» en ce qui concerne les enchères. Il s’agit de tenir compte de l’importance croissante des enchères pour garantir l’approvisionnement énergétique de l’Union et préserver sa souveraineté technologique. Elle comprend également des modifications de l’article 1</w:t>
      </w:r>
      <w:r w:rsidRPr="00732D9A">
        <w:rPr>
          <w:noProof/>
          <w:vertAlign w:val="superscript"/>
        </w:rPr>
        <w:t>er</w:t>
      </w:r>
      <w:r w:rsidRPr="00732D9A">
        <w:rPr>
          <w:noProof/>
        </w:rPr>
        <w:t xml:space="preserve"> et de l’article 22 du RPC; </w:t>
      </w:r>
      <w:bookmarkEnd w:id="5"/>
    </w:p>
    <w:p w14:paraId="7F6F6053" w14:textId="77777777" w:rsidR="00480FDA" w:rsidRPr="00732D9A" w:rsidRDefault="00480FDA" w:rsidP="00480FDA">
      <w:pPr>
        <w:pStyle w:val="Bullet0"/>
        <w:rPr>
          <w:noProof/>
        </w:rPr>
      </w:pPr>
      <w:r w:rsidRPr="00732D9A">
        <w:rPr>
          <w:noProof/>
        </w:rPr>
        <w:t xml:space="preserve">la proposition ne suit pas l’option privilégiée consistant à adopter un label facultatif pour l’acier à l’appui des décisions d’investissement dans l’acier bas carbone. Au </w:t>
      </w:r>
      <w:r w:rsidRPr="00732D9A">
        <w:rPr>
          <w:noProof/>
        </w:rPr>
        <w:lastRenderedPageBreak/>
        <w:t xml:space="preserve">lieu de cela, l’accent est mis sur la mise en œuvre rapide des engagements existants, par exemple dans le cadre du REPD, et sur la conception d’une habilitation permettant de compléter les dispositions relatives aux marchés pilotes par l’élaboration de labels volontaires sur les classes de performance bas carbone des produits industriels à forte intensité énergétique. </w:t>
      </w:r>
    </w:p>
    <w:p w14:paraId="6ECF4DCE" w14:textId="77777777" w:rsidR="00F201FB" w:rsidRPr="00732D9A" w:rsidRDefault="00F201FB" w:rsidP="00EB053C">
      <w:pPr>
        <w:ind w:left="850"/>
        <w:rPr>
          <w:noProof/>
        </w:rPr>
      </w:pPr>
      <w:r w:rsidRPr="00732D9A">
        <w:rPr>
          <w:noProof/>
        </w:rPr>
        <w:t>Toutes ces mesures restent dans le cadre global examiné dans l’analyse d’impact et n’ont pas d’incidence significative sur la comparaison des options. Pour les technologies propres, l’extension du champ d’application implique que les incidences qui en résultent sur les marchés de l’électricité pourraient être plus importantes, y compris pour les utilisateurs en aval. Toutefois, les mêmes garanties que celles qui ont été analysées en détail pour les batteries et l’énergie solaire s’appliquent également à d’autres technologies «zéro net».</w:t>
      </w:r>
    </w:p>
    <w:p w14:paraId="21E8C934"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Réglementation affûtée et simplification</w:t>
      </w:r>
    </w:p>
    <w:p w14:paraId="7A7BA2FC" w14:textId="77777777" w:rsidR="00F201FB" w:rsidRPr="00732D9A" w:rsidRDefault="000862B2" w:rsidP="00F201FB">
      <w:pPr>
        <w:rPr>
          <w:noProof/>
        </w:rPr>
      </w:pPr>
      <w:r w:rsidRPr="00732D9A">
        <w:rPr>
          <w:noProof/>
        </w:rPr>
        <w:t>La présente proposition vise à atténuer les incidences des exigences en matière d’origine UE et de faibles émissions de carbone, ainsi que des conditions relatives aux investissements directs étrangers, sur la charge réglementaire. D’autres parties, par exemple sur l’octroi de permis, la réduisent directement pour les opérateurs économiques.</w:t>
      </w:r>
    </w:p>
    <w:p w14:paraId="7428883E" w14:textId="77777777" w:rsidR="00F201FB" w:rsidRPr="00732D9A" w:rsidRDefault="00F201FB" w:rsidP="00F201FB">
      <w:pPr>
        <w:rPr>
          <w:noProof/>
        </w:rPr>
      </w:pPr>
      <w:r w:rsidRPr="00732D9A">
        <w:rPr>
          <w:noProof/>
        </w:rPr>
        <w:t xml:space="preserve">Les coûts administratifs que le règlement imposera directement aux entreprises devraient être compensés par des gains d’efficacité découlant de la rationalisation des procédures d’octroi de permis et par des avantages à long terme en matière de résilience accrue des chaînes d’approvisionnement. Ils concernent les obligations de démontrer la conformité avec les dispositions relatives aux marchés pilotes pour les entreprises opérant dans les secteurs en aval concernés. En ce qui concerne les conditions applicables aux investissements, l’application uniforme des conditions dans l’ensemble de l’Union empêcherait largement la pratique consistant à rechercher la juridiction la plus favorable et le nivellement par le bas pour attirer les investissements étrangers, tout en harmonisant et en simplifiant les conditions commerciales. </w:t>
      </w:r>
    </w:p>
    <w:p w14:paraId="51FFA58A" w14:textId="77777777" w:rsidR="00F201FB" w:rsidRPr="00732D9A" w:rsidRDefault="00F201FB" w:rsidP="00F201FB">
      <w:pPr>
        <w:rPr>
          <w:noProof/>
        </w:rPr>
      </w:pPr>
      <w:r w:rsidRPr="00732D9A">
        <w:rPr>
          <w:noProof/>
        </w:rPr>
        <w:t>Pour les États membres, des coûts administratifs supplémentaires sont attendus, liés au suivi et à la mise en œuvre des dispositions relatives aux marchés pilotes dans le cadre des marchés publics et des régimes d’aide. De même, la mise en œuvre de conditions relatives aux investissements étrangers, y compris la prescription, le suivi et la sanction, augmentera les coûts administratifs. Les dispositions en matière d’octroi de permis devraient également accroître les coûts pour les pouvoirs publics à court terme, tandis que la numérisation et la simplification permettront de réaliser des économies de coûts et de temps substantielles à moyen et à long terme, tant pour l’industrie que pour les pouvoirs publics. Enfin, la désignation de zones d’industrialisation prioritaire ainsi que la mise en œuvre d’avantages pour les zones industrielles entraîneront un coût administratif supplémentaire pour les États membres, mis en balance avec les avantages pour les entreprises individuelles opérant dans ces zones.</w:t>
      </w:r>
    </w:p>
    <w:p w14:paraId="577E7214"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Droits fondamentaux</w:t>
      </w:r>
    </w:p>
    <w:p w14:paraId="28EB4607" w14:textId="77777777" w:rsidR="00F201FB" w:rsidRPr="00732D9A" w:rsidRDefault="00F201FB" w:rsidP="00F201FB">
      <w:pPr>
        <w:rPr>
          <w:noProof/>
        </w:rPr>
      </w:pPr>
      <w:r w:rsidRPr="00732D9A">
        <w:rPr>
          <w:noProof/>
        </w:rPr>
        <w:t>L’article 16 de la charte des droits fondamentaux de l’Union européenne (ci-après la «charte») établit la liberté d’entreprise. Les mesures envisagées dans le cadre de la présente proposition créent une capacité d’innovation et stimulent la demande de produits industriels à forte intensité énergétique dans l’Union, ce qui peut renforcer la liberté d’entreprise conformément au droit de l’Union et aux droits et pratiques nationaux.</w:t>
      </w:r>
    </w:p>
    <w:p w14:paraId="64EA4F6F" w14:textId="77777777" w:rsidR="00440ED7" w:rsidRPr="00732D9A" w:rsidRDefault="00440ED7">
      <w:pPr>
        <w:pStyle w:val="ManualHeading1"/>
        <w:rPr>
          <w:noProof/>
        </w:rPr>
      </w:pPr>
      <w:r w:rsidRPr="00732D9A">
        <w:rPr>
          <w:noProof/>
        </w:rPr>
        <w:lastRenderedPageBreak/>
        <w:t>4.</w:t>
      </w:r>
      <w:r w:rsidRPr="00732D9A">
        <w:rPr>
          <w:noProof/>
        </w:rPr>
        <w:tab/>
        <w:t>INCIDENCE BUDGÉTAIRE</w:t>
      </w:r>
    </w:p>
    <w:p w14:paraId="0BF64DD0" w14:textId="77777777" w:rsidR="00F201FB" w:rsidRPr="00732D9A" w:rsidRDefault="00F201FB" w:rsidP="00F201FB">
      <w:pPr>
        <w:rPr>
          <w:noProof/>
        </w:rPr>
      </w:pPr>
      <w:r w:rsidRPr="00732D9A">
        <w:rPr>
          <w:noProof/>
        </w:rPr>
        <w:t>La proposition a des incidences sur le budget de la Commission. Plus précisément, la mise en œuvre nécessitera environ six équivalents temps plein par an, un coût récurrent supplémentaire de 20 000 EUR par section pour l’extension de l’annexe 1 du règlement relatif au portail numérique unique avec les dispositions envisagées en matière d’octroi de permis et un coût unique de 20 000 EUR pour l’investissement dans l’arrière-plan du système de portail numérique unique. Comparativement au rapport d’analyse d’impact, les chiffres ont été ajustés pour tenir compte du champ d’application plus large des mesures proposées dans l’acte.</w:t>
      </w:r>
    </w:p>
    <w:p w14:paraId="0313DB0A" w14:textId="77777777" w:rsidR="00F201FB" w:rsidRPr="00732D9A" w:rsidRDefault="00F201FB" w:rsidP="00F201FB">
      <w:pPr>
        <w:rPr>
          <w:noProof/>
        </w:rPr>
      </w:pPr>
      <w:r w:rsidRPr="00732D9A">
        <w:rPr>
          <w:noProof/>
        </w:rPr>
        <w:t>Les incidences budgétaires découleront principalement des travaux prévus pour i) examiner les notifications d’investissements directs étrangers présentées par les autorités d’investissement au sein des États membres; ii) contrôler le respect par les États membres des obligations qui leur incombent quant aux dispositions relatives aux marchés pilotes; et iii) mettre en œuvre l’extension de l’annexe II du règlement relatif au portail numérique unique et l’arrière-plan du système de portail numérique unique afin de satisfaire aux dispositions en matière d’octroi de permis.</w:t>
      </w:r>
    </w:p>
    <w:p w14:paraId="2BC6C422" w14:textId="77777777" w:rsidR="00440ED7" w:rsidRPr="00732D9A" w:rsidRDefault="00440ED7">
      <w:pPr>
        <w:pStyle w:val="ManualHeading1"/>
        <w:rPr>
          <w:noProof/>
        </w:rPr>
      </w:pPr>
      <w:r w:rsidRPr="00732D9A">
        <w:rPr>
          <w:noProof/>
        </w:rPr>
        <w:t>5.</w:t>
      </w:r>
      <w:r w:rsidRPr="00732D9A">
        <w:rPr>
          <w:noProof/>
        </w:rPr>
        <w:tab/>
        <w:t>AUTRES ÉLÉMENTS</w:t>
      </w:r>
    </w:p>
    <w:p w14:paraId="035F1A5C"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Plans de mise en œuvre et modalités de suivi, d’évaluation et d’information</w:t>
      </w:r>
    </w:p>
    <w:p w14:paraId="7282E2E8" w14:textId="77777777" w:rsidR="00F201FB" w:rsidRPr="00732D9A" w:rsidRDefault="00F201FB" w:rsidP="00F201FB">
      <w:pPr>
        <w:rPr>
          <w:noProof/>
        </w:rPr>
      </w:pPr>
      <w:r w:rsidRPr="00732D9A">
        <w:rPr>
          <w:noProof/>
        </w:rPr>
        <w:t xml:space="preserve">La Commission évaluera la cohérence, les résultats, les incidences, la proportionnalité et la subsidiarité de la présente proposition trois ans après son entrée en application. Une clause de réexamen est proposée après cinq ans, afin d’évaluer si les dispositions relatives aux marchés pilotes restent nécessaires à la lumière de l’évolution du marché, ou si de telles mesures devraient être envisagées pour d’autres secteurs critiques pour la sécurité économique de l’UE. Les mesures proposées sont conçues comme des interventions ciblées et limitées dans le temps visant à accélérer la capacité industrielle de l’Union et à renforcer la sécurité économique des secteurs stratégiques uniquement. Cela garantit que l’approche sur mesure reste flexible, fondée sur des données probantes et peut être adaptée à l’évolution des besoins de la base industrielle de l’Europe. </w:t>
      </w:r>
    </w:p>
    <w:p w14:paraId="2247D3EC" w14:textId="77777777" w:rsidR="00F201FB" w:rsidRPr="00732D9A" w:rsidRDefault="00F201FB" w:rsidP="00F201FB">
      <w:pPr>
        <w:rPr>
          <w:noProof/>
        </w:rPr>
      </w:pPr>
      <w:r w:rsidRPr="00732D9A">
        <w:rPr>
          <w:noProof/>
        </w:rPr>
        <w:t>Aux fins de cette évaluation, les États membres et les autorités nationales compétentes fourniront les informations nécessaires et pertinentes à la Commission, le cas échéant, à la demande de cette dernière.</w:t>
      </w:r>
    </w:p>
    <w:p w14:paraId="3899BF1B" w14:textId="77777777" w:rsidR="00440ED7" w:rsidRPr="00732D9A" w:rsidRDefault="00440ED7">
      <w:pPr>
        <w:pStyle w:val="ManualHeading2"/>
        <w:rPr>
          <w:rFonts w:eastAsia="Arial Unicode MS"/>
          <w:noProof/>
          <w:u w:color="000000"/>
          <w:bdr w:val="nil"/>
        </w:rPr>
      </w:pPr>
      <w:r w:rsidRPr="00732D9A">
        <w:rPr>
          <w:noProof/>
          <w:u w:color="000000"/>
          <w:bdr w:val="nil"/>
        </w:rPr>
        <w:t>•</w:t>
      </w:r>
      <w:r w:rsidRPr="00732D9A">
        <w:rPr>
          <w:noProof/>
        </w:rPr>
        <w:tab/>
      </w:r>
      <w:r w:rsidRPr="00732D9A">
        <w:rPr>
          <w:noProof/>
          <w:u w:color="000000"/>
          <w:bdr w:val="nil"/>
        </w:rPr>
        <w:t>Explication détaillée de certaines dispositions de la proposition</w:t>
      </w:r>
    </w:p>
    <w:p w14:paraId="7D453563" w14:textId="77777777" w:rsidR="00F201FB" w:rsidRPr="00732D9A" w:rsidRDefault="00F201FB" w:rsidP="00F201FB">
      <w:pPr>
        <w:rPr>
          <w:noProof/>
        </w:rPr>
      </w:pPr>
      <w:r w:rsidRPr="00732D9A">
        <w:rPr>
          <w:noProof/>
        </w:rPr>
        <w:t xml:space="preserve">Le chapitre I du règlement expose les dispositions générales du règlement, y compris son objet, à savoir l’amélioration du fonctionnement du marché intérieur par l’établissement d’un cadre visant à garantir l’accès de l’Union à un approvisionnement sûr, durable et résilient en produits manufacturés pertinents et leurs chaînes d’approvisionnement, le champ d’application du règlement, l’objectif d’industrialisation et les définitions nécessaires aux fins du présent règlement. </w:t>
      </w:r>
    </w:p>
    <w:p w14:paraId="631E1B36" w14:textId="77777777" w:rsidR="00F201FB" w:rsidRPr="00732D9A" w:rsidRDefault="00F201FB" w:rsidP="00F201FB">
      <w:pPr>
        <w:rPr>
          <w:noProof/>
        </w:rPr>
      </w:pPr>
      <w:r w:rsidRPr="00732D9A">
        <w:rPr>
          <w:noProof/>
        </w:rPr>
        <w:t>Le chapitre II décrit les conditions propices à la production industrielle et à la décarbonation. Il établit des dispositions qui garantissent des procédures d’octroi de permis rationalisées, efficaces et numériques pour les projets de fabrication industrielle. Il introduit également des dispositions relatives aux procédures d’octroi de permis pour les projets de décarbonation de l’industrie grande consommatrice d’énergie et les projets industriels «zéro net».</w:t>
      </w:r>
    </w:p>
    <w:p w14:paraId="1506D763" w14:textId="77777777" w:rsidR="00F201FB" w:rsidRPr="00732D9A" w:rsidRDefault="00F201FB" w:rsidP="00F201FB">
      <w:pPr>
        <w:rPr>
          <w:noProof/>
        </w:rPr>
      </w:pPr>
      <w:r w:rsidRPr="00732D9A">
        <w:rPr>
          <w:noProof/>
        </w:rPr>
        <w:lastRenderedPageBreak/>
        <w:t>Le chapitre III établit un cadre pour l’application des exigences en matière d’origine UE et de faibles émissions de carbone à certains produits et services provenant de secteurs stratégiques dans le contexte des marchés publics et des régimes d’aide publique.</w:t>
      </w:r>
    </w:p>
    <w:p w14:paraId="4281B29A" w14:textId="77777777" w:rsidR="00F201FB" w:rsidRPr="00732D9A" w:rsidRDefault="00F201FB" w:rsidP="00F201FB">
      <w:pPr>
        <w:rPr>
          <w:noProof/>
        </w:rPr>
      </w:pPr>
      <w:r w:rsidRPr="00732D9A">
        <w:rPr>
          <w:noProof/>
        </w:rPr>
        <w:t>Il fixe des exigences en matière de faibles émissions de carbone pour l’acier, et des exigences en matière d’origine UE et de faibles émissions de carbone pour le béton, le mortier et l’aluminium utilisés dans des secteurs en aval spécifiques, à savoir les bâtiments, les infrastructures et les transports, ainsi que des exigences en matière d’origine UE pour les véhicules. En outre, il prévoit une habilitation pour l’établissement de mesures axées sur la demande concernant les produits de l’industrie chimique.</w:t>
      </w:r>
    </w:p>
    <w:p w14:paraId="04AD9C49" w14:textId="77777777" w:rsidR="00F201FB" w:rsidRPr="00732D9A" w:rsidRDefault="00F201FB" w:rsidP="00F201FB">
      <w:pPr>
        <w:rPr>
          <w:noProof/>
        </w:rPr>
      </w:pPr>
      <w:r w:rsidRPr="00732D9A">
        <w:rPr>
          <w:noProof/>
        </w:rPr>
        <w:t>Le chapitre IV établit le cadre pour l’imposition de conditions aux investissements directs étrangers dans les secteurs stratégiques émergents, lorsque la valeur des investissements dépasse 100 millions d’EUR. Ces investissements ne prendront effet qu’une fois que les conditions applicables auront été pleinement respectées. Les autorités d’investissement désignées par les États membres seront chargées d’examiner et de contrôler le respect de ces conditions, la Commission jouant un rôle de coordination.</w:t>
      </w:r>
    </w:p>
    <w:p w14:paraId="135143EF" w14:textId="77777777" w:rsidR="00F201FB" w:rsidRPr="00732D9A" w:rsidRDefault="00F201FB" w:rsidP="00F201FB">
      <w:pPr>
        <w:rPr>
          <w:noProof/>
        </w:rPr>
      </w:pPr>
      <w:r w:rsidRPr="00732D9A">
        <w:rPr>
          <w:noProof/>
        </w:rPr>
        <w:t>Le chapitre V établit un cadre pour la désignation des zones d’industrialisation prioritaire par les États membres sur la base d’un ensemble défini de critères. Ces zones sont destinées à faciliter le regroupement géographique des activités industrielles et à promouvoir des conditions favorables aux industries qui y sont établies. Les zones d’industrialisation prioritaire seront développées en synergie avec d’autres initiatives de l’Union.</w:t>
      </w:r>
    </w:p>
    <w:p w14:paraId="2FA7F022" w14:textId="77777777" w:rsidR="00F201FB" w:rsidRPr="00732D9A" w:rsidRDefault="00F201FB" w:rsidP="00F201FB">
      <w:pPr>
        <w:rPr>
          <w:noProof/>
        </w:rPr>
      </w:pPr>
      <w:r w:rsidRPr="00732D9A">
        <w:rPr>
          <w:noProof/>
        </w:rPr>
        <w:t>Le chapitre VI établit les dispositions communes et finales du règlement en fixant les règles de mise en œuvre, y compris l’évaluation, la surveillance, l’examen, l’exercice du pouvoir de délégation et les sanctions. Il comprend également des modifications du règlement (UE) 2018/1724 [règlement sur le portail numérique unique]; du règlement (UE) 2024/1735 [règlement pour une industrie «zéro net»], y compris les dispositions relatives aux exigences en matière d’origine pour les procédures de passation de marchés publics ou de concessions; des exigences en matière de cybersécurité pour les marchés publics et des dispositions renforcées en matière de cybersécurité pour les enchères; des exigences en matière d’origine pour les enchères et les autres types d’intervention publique. Enfin, il comprend des modifications du règlement (UE) 2024/3110 [règlement sur les produits de construction] afin d’assurer la cohérence et les synergies avec la présente proposition et de soutenir les objectifs de cette dernière.</w:t>
      </w:r>
    </w:p>
    <w:p w14:paraId="58B406B1" w14:textId="77777777" w:rsidR="00F201FB" w:rsidRPr="00732D9A" w:rsidRDefault="00F201FB" w:rsidP="00F201FB">
      <w:pPr>
        <w:rPr>
          <w:noProof/>
        </w:rPr>
      </w:pPr>
      <w:r w:rsidRPr="00732D9A">
        <w:rPr>
          <w:noProof/>
        </w:rPr>
        <w:t>L’annexe I établit la liste des secteurs pour les zones d’industrialisation prioritaire.</w:t>
      </w:r>
    </w:p>
    <w:p w14:paraId="0D7192F0" w14:textId="77777777" w:rsidR="00F201FB" w:rsidRPr="00732D9A" w:rsidRDefault="00F201FB" w:rsidP="00F201FB">
      <w:pPr>
        <w:rPr>
          <w:noProof/>
        </w:rPr>
      </w:pPr>
      <w:r w:rsidRPr="00732D9A">
        <w:rPr>
          <w:noProof/>
        </w:rPr>
        <w:t>L’annexe II définit les exigences en matière de faibles émissions de carbone, les exigences en matière d’origine UE, ou les deux, pour certains produits des IGCE dans le cadre des procédures de passation de marchés publics ou de concessions et des régimes d’aide publique.</w:t>
      </w:r>
    </w:p>
    <w:p w14:paraId="591EC479" w14:textId="77777777" w:rsidR="00F201FB" w:rsidRPr="00732D9A" w:rsidRDefault="00F201FB" w:rsidP="00F201FB">
      <w:pPr>
        <w:rPr>
          <w:noProof/>
        </w:rPr>
      </w:pPr>
      <w:r w:rsidRPr="00732D9A">
        <w:rPr>
          <w:noProof/>
        </w:rPr>
        <w:t>L’annexe III énonce les exigences en matière d’origine UE applicables aux véhicules pour les procédures de passation de marchés publics ou de concessions et les régimes d’aide publique. Elle fixe également les critères permettant de considérer qu’un petit véhicule à émission nulle est «fabriqué dans l’UE» aux fins de l’article 5 du règlement (UE) 2019/631.</w:t>
      </w:r>
    </w:p>
    <w:p w14:paraId="0C643425" w14:textId="77777777" w:rsidR="00440ED7" w:rsidRPr="00732D9A" w:rsidRDefault="00315A65" w:rsidP="00F201FB">
      <w:pPr>
        <w:rPr>
          <w:noProof/>
        </w:rPr>
        <w:sectPr w:rsidR="00440ED7" w:rsidRPr="00732D9A" w:rsidSect="0017255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sidRPr="00732D9A">
        <w:rPr>
          <w:noProof/>
        </w:rPr>
        <w:t>L’annexe IV contient la modification de l’annexe II du règlement (UE) 2018/1724.</w:t>
      </w:r>
    </w:p>
    <w:p w14:paraId="7B312F47" w14:textId="2C861FC8" w:rsidR="00525FC9" w:rsidRPr="00732D9A" w:rsidRDefault="00C27A0B" w:rsidP="00C27A0B">
      <w:pPr>
        <w:pStyle w:val="Rfrenceinterinstitutionnelle"/>
        <w:rPr>
          <w:noProof/>
        </w:rPr>
      </w:pPr>
      <w:r>
        <w:rPr>
          <w:noProof/>
        </w:rPr>
        <w:lastRenderedPageBreak/>
        <w:t>2026/0068 (COD)</w:t>
      </w:r>
    </w:p>
    <w:p w14:paraId="28EFADB5" w14:textId="7016FA4A" w:rsidR="00440ED7" w:rsidRPr="00732D9A" w:rsidRDefault="00C27A0B" w:rsidP="00C27A0B">
      <w:pPr>
        <w:pStyle w:val="Statut"/>
        <w:rPr>
          <w:noProof/>
        </w:rPr>
      </w:pPr>
      <w:r w:rsidRPr="00C27A0B">
        <w:rPr>
          <w:noProof/>
        </w:rPr>
        <w:t>Proposition de</w:t>
      </w:r>
    </w:p>
    <w:p w14:paraId="0DE7B66C" w14:textId="024D1FF8" w:rsidR="00440ED7" w:rsidRPr="00732D9A" w:rsidRDefault="00C27A0B" w:rsidP="00C27A0B">
      <w:pPr>
        <w:pStyle w:val="Typedudocument"/>
        <w:rPr>
          <w:noProof/>
        </w:rPr>
      </w:pPr>
      <w:r w:rsidRPr="00C27A0B">
        <w:rPr>
          <w:noProof/>
        </w:rPr>
        <w:t>RÈGLEMENT DU PARLEMENT EUROPÉEN ET DU CONSEIL</w:t>
      </w:r>
    </w:p>
    <w:p w14:paraId="0D4E1385" w14:textId="45109519" w:rsidR="00440ED7" w:rsidRPr="00732D9A" w:rsidRDefault="00C27A0B" w:rsidP="00C27A0B">
      <w:pPr>
        <w:pStyle w:val="Titreobjet"/>
        <w:rPr>
          <w:noProof/>
        </w:rPr>
      </w:pPr>
      <w:bookmarkStart w:id="6" w:name="_Hlk222937386"/>
      <w:r w:rsidRPr="00C27A0B">
        <w:rPr>
          <w:noProof/>
        </w:rPr>
        <w:t>établissant un cadre de mesures d’accélération du développement des capacités industrielles et de la décarbonation dans des secteurs stratégiques et modifiant les règlements (UE) 2018/1724, (UE) 2024/1735 et (UE) 2024/3110</w:t>
      </w:r>
    </w:p>
    <w:bookmarkEnd w:id="6"/>
    <w:p w14:paraId="074F9755" w14:textId="09BC2530" w:rsidR="002B14CF" w:rsidRPr="00732D9A" w:rsidRDefault="00C27A0B" w:rsidP="00C27A0B">
      <w:pPr>
        <w:pStyle w:val="IntrtEEE"/>
        <w:rPr>
          <w:noProof/>
        </w:rPr>
      </w:pPr>
      <w:r w:rsidRPr="00C27A0B">
        <w:rPr>
          <w:noProof/>
        </w:rPr>
        <w:t>(Texte présentant de l’intérêt pour l’EEE)</w:t>
      </w:r>
    </w:p>
    <w:p w14:paraId="136D4C55" w14:textId="67C1BCAD" w:rsidR="00440ED7" w:rsidRPr="00732D9A" w:rsidRDefault="00440ED7">
      <w:pPr>
        <w:pStyle w:val="Institutionquiagit"/>
        <w:rPr>
          <w:noProof/>
        </w:rPr>
      </w:pPr>
      <w:r w:rsidRPr="00732D9A">
        <w:rPr>
          <w:noProof/>
        </w:rPr>
        <w:t>LE PARLEMENT EUROPÉEN ET LE CONSEIL DE L</w:t>
      </w:r>
      <w:r w:rsidR="00980FE6">
        <w:rPr>
          <w:noProof/>
        </w:rPr>
        <w:t>’</w:t>
      </w:r>
      <w:r w:rsidRPr="00732D9A">
        <w:rPr>
          <w:noProof/>
        </w:rPr>
        <w:t>UNION EUROPÉENNE,</w:t>
      </w:r>
    </w:p>
    <w:p w14:paraId="6316120C" w14:textId="19735881" w:rsidR="004B6605" w:rsidRPr="00732D9A" w:rsidRDefault="004B6605" w:rsidP="004B6605">
      <w:pPr>
        <w:rPr>
          <w:noProof/>
        </w:rPr>
      </w:pPr>
      <w:r w:rsidRPr="00732D9A">
        <w:rPr>
          <w:noProof/>
        </w:rPr>
        <w:t>vu le traité sur le fonctionnement de l’Union européenne, et notamment son article 114 et son article 207, paragraphe</w:t>
      </w:r>
      <w:r w:rsidR="00980FE6">
        <w:rPr>
          <w:noProof/>
        </w:rPr>
        <w:t> </w:t>
      </w:r>
      <w:r w:rsidRPr="00732D9A">
        <w:rPr>
          <w:noProof/>
        </w:rPr>
        <w:t>2,</w:t>
      </w:r>
    </w:p>
    <w:p w14:paraId="60BF46E6" w14:textId="77777777" w:rsidR="00440ED7" w:rsidRPr="00732D9A" w:rsidRDefault="00440ED7">
      <w:pPr>
        <w:rPr>
          <w:noProof/>
        </w:rPr>
      </w:pPr>
      <w:r w:rsidRPr="00732D9A">
        <w:rPr>
          <w:noProof/>
        </w:rPr>
        <w:t>vu la proposition de la Commission européenne,</w:t>
      </w:r>
    </w:p>
    <w:p w14:paraId="250FDF04" w14:textId="26D8955B" w:rsidR="00440ED7" w:rsidRPr="00732D9A" w:rsidRDefault="00440ED7">
      <w:pPr>
        <w:rPr>
          <w:noProof/>
        </w:rPr>
      </w:pPr>
      <w:r w:rsidRPr="00732D9A">
        <w:rPr>
          <w:noProof/>
        </w:rPr>
        <w:t>après transmission du projet d</w:t>
      </w:r>
      <w:r w:rsidR="00980FE6">
        <w:rPr>
          <w:noProof/>
        </w:rPr>
        <w:t>’</w:t>
      </w:r>
      <w:r w:rsidRPr="00732D9A">
        <w:rPr>
          <w:noProof/>
        </w:rPr>
        <w:t>acte législatif aux parlements nationaux,</w:t>
      </w:r>
    </w:p>
    <w:p w14:paraId="6CEB60C9" w14:textId="77777777" w:rsidR="00440ED7" w:rsidRPr="00732D9A" w:rsidRDefault="00440ED7">
      <w:pPr>
        <w:rPr>
          <w:noProof/>
        </w:rPr>
      </w:pPr>
      <w:r w:rsidRPr="00732D9A">
        <w:rPr>
          <w:noProof/>
        </w:rPr>
        <w:t>vu l’avis du Comité économique et social européen</w:t>
      </w:r>
      <w:r w:rsidRPr="00732D9A">
        <w:rPr>
          <w:rStyle w:val="FootnoteReference"/>
          <w:noProof/>
        </w:rPr>
        <w:footnoteReference w:id="20"/>
      </w:r>
      <w:r w:rsidRPr="00732D9A">
        <w:rPr>
          <w:noProof/>
        </w:rPr>
        <w:t>,</w:t>
      </w:r>
    </w:p>
    <w:p w14:paraId="1CECF209" w14:textId="614BA3B6" w:rsidR="00440ED7" w:rsidRPr="00732D9A" w:rsidRDefault="00440ED7">
      <w:pPr>
        <w:rPr>
          <w:noProof/>
        </w:rPr>
      </w:pPr>
      <w:r w:rsidRPr="00732D9A">
        <w:rPr>
          <w:noProof/>
        </w:rPr>
        <w:t>vu l</w:t>
      </w:r>
      <w:r w:rsidR="00980FE6">
        <w:rPr>
          <w:noProof/>
        </w:rPr>
        <w:t>’</w:t>
      </w:r>
      <w:r w:rsidRPr="00732D9A">
        <w:rPr>
          <w:noProof/>
        </w:rPr>
        <w:t>avis du Comité des régions</w:t>
      </w:r>
      <w:r w:rsidRPr="00732D9A">
        <w:rPr>
          <w:rStyle w:val="FootnoteReference"/>
          <w:noProof/>
        </w:rPr>
        <w:footnoteReference w:id="21"/>
      </w:r>
      <w:r w:rsidRPr="00732D9A">
        <w:rPr>
          <w:noProof/>
        </w:rPr>
        <w:t>,</w:t>
      </w:r>
    </w:p>
    <w:p w14:paraId="490E1637" w14:textId="77777777" w:rsidR="00440ED7" w:rsidRPr="00732D9A" w:rsidRDefault="00440ED7">
      <w:pPr>
        <w:rPr>
          <w:noProof/>
        </w:rPr>
      </w:pPr>
      <w:r w:rsidRPr="00732D9A">
        <w:rPr>
          <w:noProof/>
        </w:rPr>
        <w:t>statuant conformément à la procédure législative ordinaire,</w:t>
      </w:r>
    </w:p>
    <w:p w14:paraId="3C7718BE" w14:textId="77777777" w:rsidR="00440ED7" w:rsidRPr="00732D9A" w:rsidRDefault="00440ED7">
      <w:pPr>
        <w:rPr>
          <w:noProof/>
        </w:rPr>
      </w:pPr>
      <w:r w:rsidRPr="00732D9A">
        <w:rPr>
          <w:noProof/>
        </w:rPr>
        <w:t>considérant ce qui suit:</w:t>
      </w:r>
    </w:p>
    <w:p w14:paraId="3FFD05EB" w14:textId="77777777" w:rsidR="002B14CF" w:rsidRPr="00732D9A" w:rsidRDefault="002B14CF" w:rsidP="007234F4">
      <w:pPr>
        <w:pStyle w:val="ManualConsidrant"/>
        <w:rPr>
          <w:noProof/>
        </w:rPr>
      </w:pPr>
      <w:r w:rsidRPr="00732D9A">
        <w:rPr>
          <w:noProof/>
        </w:rPr>
        <w:t>1)</w:t>
      </w:r>
      <w:r w:rsidRPr="00732D9A">
        <w:rPr>
          <w:noProof/>
        </w:rPr>
        <w:tab/>
        <w:t>La pandémie mondiale de COVID-19, la guerre d’agression illégale et non provoquée menée par la Russie contre l’Ukraine, les actions économiques hostiles, les cyberattaques, l’ingérence étrangère, l’instrumentalisation des dépendances économiques de l’Union, le déploiement arbitraire de mesures commerciales, les effets croissants du changement climatique et la montée des tensions géopolitiques ont mis en évidence les vulnérabilités de l’Union et constituent une grave menace pour sa société, son économie et ses entreprises. La sécurité économique de l’Union est donc indissociablement liée à sa capacité à accroître sa résilience et à atténuer les risques découlant d’interconnexions économiques défavorables. L’Union est déterminée à préserver sa sécurité économique et à faire face aux menaces qui pèsent sur ses chaînes d’approvisionnement, ses infrastructures, ses technologies clés ainsi qu’à celles provenant de l’instrumentalisation de ses dépendances économiques</w:t>
      </w:r>
      <w:r w:rsidRPr="00732D9A">
        <w:rPr>
          <w:rStyle w:val="FootnoteReference"/>
          <w:noProof/>
        </w:rPr>
        <w:footnoteReference w:id="22"/>
      </w:r>
      <w:r w:rsidRPr="00732D9A">
        <w:rPr>
          <w:noProof/>
        </w:rPr>
        <w:t xml:space="preserve">. La sécurité économique et la cohésion sociale de l’Union sont donc indissociablement liées à sa capacité à accroître sa résilience et à atténuer les risques découlant d’interconnexions économiques. Pour cela, l’Union doit améliorer la résilience de ses chaînes d’approvisionnement et préserver son marché intérieur et ses capacités industrielles, tout en maintenant la cohésion territoriale, sociale et économique, notamment en développant une base industrielle forte et compétitive dans certains secteurs stratégiques, tels que les technologies propres et numériques, les industries grandes consommatrices d’énergie et le secteur automobile, afin de garantir l’accès </w:t>
      </w:r>
      <w:r w:rsidRPr="00732D9A">
        <w:rPr>
          <w:noProof/>
        </w:rPr>
        <w:lastRenderedPageBreak/>
        <w:t>aux matériaux et technologies stratégiques et de maintenir des emplois de qualité dans l’Union.</w:t>
      </w:r>
    </w:p>
    <w:p w14:paraId="68D8DA7E" w14:textId="5B39CD59" w:rsidR="002B14CF" w:rsidRPr="00732D9A" w:rsidRDefault="002B14CF" w:rsidP="002B14CF">
      <w:pPr>
        <w:pStyle w:val="ManualConsidrant"/>
        <w:rPr>
          <w:rFonts w:eastAsia="Times New Roman"/>
          <w:noProof/>
        </w:rPr>
      </w:pPr>
      <w:r w:rsidRPr="00732D9A">
        <w:rPr>
          <w:noProof/>
        </w:rPr>
        <w:t>2)</w:t>
      </w:r>
      <w:r w:rsidRPr="00732D9A">
        <w:rPr>
          <w:noProof/>
        </w:rPr>
        <w:tab/>
        <w:t>La stratégie européenne en matière de sécurité économique</w:t>
      </w:r>
      <w:r w:rsidRPr="00732D9A">
        <w:rPr>
          <w:rStyle w:val="FootnoteReference"/>
          <w:rFonts w:eastAsia="Times New Roman"/>
          <w:noProof/>
          <w:lang w:eastAsia="en-GB"/>
        </w:rPr>
        <w:footnoteReference w:id="23"/>
      </w:r>
      <w:r w:rsidRPr="00732D9A">
        <w:rPr>
          <w:noProof/>
        </w:rPr>
        <w:t xml:space="preserve"> et la communication sur la sécurité économique du 3</w:t>
      </w:r>
      <w:r w:rsidR="00980FE6">
        <w:rPr>
          <w:noProof/>
        </w:rPr>
        <w:t> </w:t>
      </w:r>
      <w:r w:rsidRPr="00732D9A">
        <w:rPr>
          <w:noProof/>
        </w:rPr>
        <w:t>décembre 2025</w:t>
      </w:r>
      <w:r w:rsidRPr="00732D9A">
        <w:rPr>
          <w:rStyle w:val="FootnoteReference"/>
          <w:rFonts w:eastAsia="Times New Roman"/>
          <w:noProof/>
          <w:lang w:eastAsia="en-GB"/>
        </w:rPr>
        <w:footnoteReference w:id="24"/>
      </w:r>
      <w:r w:rsidRPr="00732D9A">
        <w:rPr>
          <w:noProof/>
        </w:rPr>
        <w:t xml:space="preserve"> définissent clairement la voie à suivre par l’Union pour faire face aux tensions géo-économiques et aux mutations technologiques, afin d’éviter les dépendances économiques dans les chaînes d’approvisionnement, les technologies et les infrastructures industrielles critiques, qui peuvent entraîner des pénuries au niveau local et mettre en péril la compétitivité, l’économie et, au final, la cohésion sociale de l’Union.</w:t>
      </w:r>
    </w:p>
    <w:p w14:paraId="6242F09C" w14:textId="349E91B2" w:rsidR="002B14CF" w:rsidRPr="00732D9A" w:rsidRDefault="00866C59" w:rsidP="002B14CF">
      <w:pPr>
        <w:pStyle w:val="ManualConsidrant"/>
        <w:rPr>
          <w:noProof/>
        </w:rPr>
      </w:pPr>
      <w:r w:rsidRPr="00732D9A">
        <w:rPr>
          <w:noProof/>
        </w:rPr>
        <w:t>3)</w:t>
      </w:r>
      <w:r w:rsidRPr="00732D9A">
        <w:rPr>
          <w:noProof/>
        </w:rPr>
        <w:tab/>
        <w:t>Malgré les objectifs fixés par l’Union en matière de sécurité économique, de résilience, d’emplois de qualité et de neutralité climatique, les capacités de production manufacturière ont diminué au cours des 20</w:t>
      </w:r>
      <w:r w:rsidR="00980FE6">
        <w:rPr>
          <w:noProof/>
        </w:rPr>
        <w:t> </w:t>
      </w:r>
      <w:r w:rsidRPr="00732D9A">
        <w:rPr>
          <w:noProof/>
        </w:rPr>
        <w:t>dernières années. La part de l’industrie manufacturière dans le PIB total est passée de 17,4 % à 14,3 % entre 2000 et 2024. Il est donc nécessaire de renforcer la résilience économique, la compétitivité et la création d’emplois, tout en veillant à ce que les objectifs de l’Union en matière de climat et d’énergie soient atteints. L</w:t>
      </w:r>
      <w:r w:rsidR="00980FE6">
        <w:rPr>
          <w:noProof/>
        </w:rPr>
        <w:t>’</w:t>
      </w:r>
      <w:r w:rsidRPr="00732D9A">
        <w:rPr>
          <w:noProof/>
        </w:rPr>
        <w:t>objectif visé devrait être que les capacités de production manufacturière de l’Union représentent au moins 20 % du produit intérieur brut de l’UE d’ici à 2035. Le développement de projets de fabrication industrielle au sein de l’Union devrait être facilité afin de contribuer à la réalisation de cet objectif.</w:t>
      </w:r>
    </w:p>
    <w:p w14:paraId="3D156C89" w14:textId="77777777" w:rsidR="002B14CF" w:rsidRPr="00732D9A" w:rsidDel="009D59CD" w:rsidRDefault="00862074" w:rsidP="002B14CF">
      <w:pPr>
        <w:pStyle w:val="ManualConsidrant"/>
        <w:rPr>
          <w:b/>
          <w:noProof/>
        </w:rPr>
      </w:pPr>
      <w:r w:rsidRPr="00732D9A">
        <w:rPr>
          <w:noProof/>
        </w:rPr>
        <w:t>(4)</w:t>
      </w:r>
      <w:r w:rsidRPr="00732D9A">
        <w:rPr>
          <w:noProof/>
        </w:rPr>
        <w:tab/>
        <w:t>Les défis posés par la nécessité d’une décarbonation industrielle et d’une production industrielle résiliente sont complexes et dépassent les frontières nationales. L’adoption de mesures nationales non coordonnées pour relever ces défis pourrait nuire au fonctionnement du marché intérieur. Des mesures adoptées individuellement par différents États membres pourraient conduire à l’imposition d’exigences divergentes aux opérateurs du marché, à des pratiques incohérentes en matière de passation de marchés et à des procédures d’octroi de permis différentes d’un État membre à l’autre. De telles mesures pourraient créer des obstacles aux échanges transfrontières au sein de l’Union et des distorsions sur le marché intérieur, de nature à affaiblir la confiance des investisseurs, augmenter les coûts et réorienter les flux d’investissement au sein de l’Union. Il est donc nécessaire de mettre en place des mesures harmonisées afin d’assurer le bon fonctionnement du marché intérieur.</w:t>
      </w:r>
      <w:r w:rsidRPr="00732D9A">
        <w:rPr>
          <w:b/>
          <w:noProof/>
        </w:rPr>
        <w:t xml:space="preserve"> </w:t>
      </w:r>
    </w:p>
    <w:p w14:paraId="79F191C4" w14:textId="77777777" w:rsidR="00517CCA" w:rsidRPr="00732D9A" w:rsidRDefault="002B14CF" w:rsidP="00517CCA">
      <w:pPr>
        <w:pStyle w:val="ManualConsidrant"/>
        <w:rPr>
          <w:noProof/>
        </w:rPr>
      </w:pPr>
      <w:r w:rsidRPr="00732D9A">
        <w:rPr>
          <w:noProof/>
        </w:rPr>
        <w:t>5)</w:t>
      </w:r>
      <w:r w:rsidRPr="00732D9A">
        <w:rPr>
          <w:noProof/>
        </w:rPr>
        <w:tab/>
        <w:t>Afin de garantir la sécurité juridique, il convient de se référer à la dernière révision de la nomenclature européenne des activités économiques (NACE Rév. 2). Afin d’assurer la cohérence avec la législation existante de l’Union et de permettre l’application uniforme du présent règlement dans l’ensemble de l’UE, il convient de définir l’industrie manufacturière ainsi que les industries grandes consommatrices d’énergie en se référant aux codes de classification NACE</w:t>
      </w:r>
      <w:r w:rsidRPr="00732D9A">
        <w:rPr>
          <w:rStyle w:val="FootnoteReference"/>
          <w:noProof/>
        </w:rPr>
        <w:footnoteReference w:id="25"/>
      </w:r>
      <w:r w:rsidRPr="00732D9A">
        <w:rPr>
          <w:noProof/>
        </w:rPr>
        <w:t xml:space="preserve">. </w:t>
      </w:r>
    </w:p>
    <w:p w14:paraId="43720FC7" w14:textId="4B079BDA" w:rsidR="002B14CF" w:rsidRPr="00732D9A" w:rsidRDefault="002B14CF" w:rsidP="002B14CF">
      <w:pPr>
        <w:pStyle w:val="ManualConsidrant"/>
        <w:rPr>
          <w:noProof/>
        </w:rPr>
      </w:pPr>
      <w:r w:rsidRPr="00732D9A">
        <w:rPr>
          <w:noProof/>
        </w:rPr>
        <w:t>6)</w:t>
      </w:r>
      <w:r w:rsidRPr="00732D9A">
        <w:rPr>
          <w:noProof/>
        </w:rPr>
        <w:tab/>
        <w:t>Les industries grandes consommatrices d’énergie constituent un pilier essentiel de la prospérité de l’Union. Elles soutiennent un large éventail d’industries en aval et contribuent à l’économie de l’Union en créant des emplois, en soutenant la croissance et en encourageant l’innovation. Cependant, elles sont également à l’origine d</w:t>
      </w:r>
      <w:r w:rsidR="00980FE6">
        <w:rPr>
          <w:noProof/>
        </w:rPr>
        <w:t>’</w:t>
      </w:r>
      <w:r w:rsidRPr="00732D9A">
        <w:rPr>
          <w:noProof/>
        </w:rPr>
        <w:t xml:space="preserve">environ </w:t>
      </w:r>
      <w:r w:rsidRPr="00732D9A">
        <w:rPr>
          <w:noProof/>
        </w:rPr>
        <w:lastRenderedPageBreak/>
        <w:t xml:space="preserve">22,3 % des émissions de gaz à effet de serre de l’Union et requièrent des investissements importants dans la décarbonation, qui permettront également de réduire la pollution. La combinaison des prix élevés de l’énergie, de la nécessité d’investissements à grande échelle dans la décarbonation et d’une concurrence mondiale déloyale place les industries grandes consommatrices d’énergie dans une situation de désavantage concurrentiel, et on perçoit des signes croissants de déclin industriel. </w:t>
      </w:r>
    </w:p>
    <w:p w14:paraId="09D41DA3" w14:textId="77777777" w:rsidR="002B14CF" w:rsidRPr="00732D9A" w:rsidRDefault="002B14CF" w:rsidP="002B14CF">
      <w:pPr>
        <w:pStyle w:val="ManualConsidrant"/>
        <w:rPr>
          <w:noProof/>
        </w:rPr>
      </w:pPr>
      <w:r w:rsidRPr="00732D9A">
        <w:rPr>
          <w:noProof/>
        </w:rPr>
        <w:t>7)</w:t>
      </w:r>
      <w:r w:rsidRPr="00732D9A">
        <w:rPr>
          <w:noProof/>
        </w:rPr>
        <w:tab/>
        <w:t>Les technologies «zéro net» sont essentielles pour atteindre les objectifs de l’Union en matière d’énergie et de climat. Elles jouent un rôle crucial dans la réduction des émissions de gaz à effet de serre et dans la décarbonation d’un large éventail de secteurs économiques, dont le bâtiment, les transports et l’industrie. Elles sont également déterminantes pour faire progresser les solutions énergétiques durables, en soutenant la décarbonation de l’approvisionnement énergétique et en fournissant des solutions innovantes pour la nécessaire expansion et numérisation des réseaux électriques et du système énergétique dans son ensemble. Toutefois, le secteur de la production de technologies «zéro net» de l’Union est confronté à d’importants défis, notamment des pressions concurrentielles croissantes au niveau mondial et des vulnérabilités dans les chaînes d’approvisionnement, qui mettent en péril la compétitivité et la résilience économique de l’Union.</w:t>
      </w:r>
    </w:p>
    <w:p w14:paraId="2981AF9D" w14:textId="77777777" w:rsidR="0011523A" w:rsidRPr="00732D9A" w:rsidRDefault="0011523A" w:rsidP="002B14CF">
      <w:pPr>
        <w:pStyle w:val="ManualConsidrant"/>
        <w:rPr>
          <w:noProof/>
        </w:rPr>
      </w:pPr>
      <w:r w:rsidRPr="00732D9A">
        <w:rPr>
          <w:noProof/>
        </w:rPr>
        <w:t>8)</w:t>
      </w:r>
      <w:r w:rsidRPr="00732D9A">
        <w:rPr>
          <w:noProof/>
        </w:rPr>
        <w:tab/>
        <w:t>La bioéconomie est en mesure de fournir de la biomasse durable et des solutions biosourcées pour la production industrielle. La communication de la Commission intitulée «Un cadre stratégique pour une bioéconomie européenne compétitive et durable»</w:t>
      </w:r>
      <w:r w:rsidRPr="00732D9A">
        <w:rPr>
          <w:rStyle w:val="FootnoteReference"/>
          <w:noProof/>
        </w:rPr>
        <w:footnoteReference w:id="26"/>
      </w:r>
      <w:r w:rsidRPr="00732D9A">
        <w:rPr>
          <w:noProof/>
        </w:rPr>
        <w:t xml:space="preserve"> recense les marchés pilotes, tels que les plastiques et polymères biosourcés, les produits chimiques biosourcés et les produits de construction biosourcés, ainsi que les technologies pilotes pouvant soutenir l’autonomie stratégique de l’Union et la décarbonation des secteurs industriels recensés dans la présente initiative.</w:t>
      </w:r>
    </w:p>
    <w:p w14:paraId="6F3AD2C1" w14:textId="441F2413" w:rsidR="002B14CF" w:rsidRPr="00732D9A" w:rsidRDefault="002B14CF" w:rsidP="002B14CF">
      <w:pPr>
        <w:pStyle w:val="ManualConsidrant"/>
        <w:rPr>
          <w:noProof/>
        </w:rPr>
      </w:pPr>
      <w:r w:rsidRPr="00732D9A">
        <w:rPr>
          <w:noProof/>
        </w:rPr>
        <w:t>9)</w:t>
      </w:r>
      <w:r w:rsidRPr="00732D9A">
        <w:rPr>
          <w:noProof/>
        </w:rPr>
        <w:tab/>
        <w:t>L’industrie automobile constitue une pierre angulaire de l’économie de l’Union. En vue d’atteindre les objectifs de la politique climatique de l’Union, au cours des dernières années, l’industrie automobile européenne a investi massivement dans le développement de véhicules plus propres et de composants innovants. Les véhicules électriques et les composants de véhicules électriques, notamment les batteries de traction, les composants de groupes motopropulseurs électriques et les systèmes électroniques, sont des technologies essentielles pour faire progresser la décarbonation du transport routier. Cependant, en raison du désavantage de l’UE en matière de coûts ainsi que de la transformation de la chaîne de valeur, dans laquelle les batteries, les groupes motopropulseurs électriques et l’électronique représentent une part de valeur croissante, le niveau de contenu de l’Union dans les véhicules produits dans l’Union diminue. Il n’est plus possible de différer l</w:t>
      </w:r>
      <w:r w:rsidR="00980FE6">
        <w:rPr>
          <w:noProof/>
        </w:rPr>
        <w:t>’</w:t>
      </w:r>
      <w:r w:rsidRPr="00732D9A">
        <w:rPr>
          <w:noProof/>
        </w:rPr>
        <w:t xml:space="preserve">adoption de mesures efficaces pour éviter le risque de délocalisation de la production. En l’absence de telles mesures, les circonstances actuelles conduiraient à une dépendance totale à l’égard de pays tiers pour des composants essentiels des véhicules. Cela constituerait une grave menace pour la sécurité économique et la résilience future de l’Union, ainsi que pour ses objectifs climatiques. </w:t>
      </w:r>
    </w:p>
    <w:p w14:paraId="3EB42336" w14:textId="77777777" w:rsidR="002B14CF" w:rsidRPr="00732D9A" w:rsidRDefault="002B14CF" w:rsidP="00BF1969">
      <w:pPr>
        <w:pStyle w:val="ManualConsidrant"/>
        <w:rPr>
          <w:noProof/>
        </w:rPr>
      </w:pPr>
      <w:r w:rsidRPr="00732D9A">
        <w:rPr>
          <w:noProof/>
        </w:rPr>
        <w:t>10)</w:t>
      </w:r>
      <w:r w:rsidRPr="00732D9A">
        <w:rPr>
          <w:noProof/>
        </w:rPr>
        <w:tab/>
        <w:t xml:space="preserve">L’imprévisibilité, la complexité et, parfois, la durée excessive des procédures nationales d’octroi de permis compromettent la rentabilité des investissements </w:t>
      </w:r>
      <w:r w:rsidRPr="00732D9A">
        <w:rPr>
          <w:noProof/>
        </w:rPr>
        <w:lastRenderedPageBreak/>
        <w:t xml:space="preserve">nécessaires au développement des activités industrielles. C’est pourquoi les États membres devraient appliquer des procédures d’octroi de permis rationalisées et numérisées, afin d’assurer et d’accélérer la mise en œuvre effective des activités de production industrielle. Une autorité compétente devrait coordonner toutes les procédures d’octroi de permis et rendre une décision globale dans le délai applicable. </w:t>
      </w:r>
    </w:p>
    <w:p w14:paraId="1FB79414" w14:textId="77777777" w:rsidR="002D1331" w:rsidRPr="00732D9A" w:rsidRDefault="002D1331" w:rsidP="00862074">
      <w:pPr>
        <w:pStyle w:val="ManualConsidrant"/>
        <w:rPr>
          <w:rFonts w:ascii="Times" w:eastAsia="Times New Roman" w:hAnsi="Times" w:cs="Times"/>
          <w:noProof/>
        </w:rPr>
      </w:pPr>
      <w:r w:rsidRPr="00732D9A">
        <w:rPr>
          <w:noProof/>
        </w:rPr>
        <w:t>11)</w:t>
      </w:r>
      <w:r w:rsidRPr="00732D9A">
        <w:rPr>
          <w:noProof/>
        </w:rPr>
        <w:tab/>
        <w:t>La mise en place de points d’accès uniques devrait s’appuyer sur les portefeuilles européens d’identité numérique pour les entreprises créés conformément à la [proposition de règlement relatif à la création de portefeuilles européens d’identité numérique pour les entreprises</w:t>
      </w:r>
      <w:r w:rsidRPr="00732D9A">
        <w:rPr>
          <w:rStyle w:val="FootnoteReference"/>
          <w:noProof/>
        </w:rPr>
        <w:footnoteReference w:id="27"/>
      </w:r>
      <w:r w:rsidRPr="00732D9A">
        <w:rPr>
          <w:noProof/>
        </w:rPr>
        <w:t xml:space="preserve">], puisque ces derniers fournissent une plateforme sécurisée, normalisée et interopérable permettant aux entreprises d’interagir avec les organismes du secteur public. Ce processus devrait permettre la soumission efficiente et efficace des demandes, tout en garantissant un niveau élevé de protection des données, de cybersécurité et d’intégrité des informations. Les portefeuilles européens d’identité numérique pour les entreprises permettront également de rationaliser les investissements réalisés et d’éviter les doubles emplois inutiles, ce qui aura pour effet d’optimiser les ressources et de réduire la charge administrative pesant sur les entreprises. </w:t>
      </w:r>
      <w:r w:rsidRPr="00732D9A">
        <w:rPr>
          <w:rFonts w:ascii="Times" w:hAnsi="Times"/>
          <w:noProof/>
        </w:rPr>
        <w:t xml:space="preserve">La mise en place de points d’accès uniques devrait également, dans la mesure du possible, utiliser les infrastructures, catalogues et éléments constitutifs numériques existants de l’UE, y compris ceux développés dans le cadre du système technique «une fois pour toutes» et de ses actes d’exécution. Cela favoriserait la complémentarité, l’interopérabilité et l’utilisation efficace des ressources publiques, tout en évitant la duplication de solutions numériques existantes. </w:t>
      </w:r>
    </w:p>
    <w:p w14:paraId="60B8855A" w14:textId="77777777" w:rsidR="00050789" w:rsidRPr="00732D9A" w:rsidDel="00DB733D" w:rsidRDefault="0051450E">
      <w:pPr>
        <w:pStyle w:val="ManualConsidrant"/>
        <w:rPr>
          <w:noProof/>
        </w:rPr>
      </w:pPr>
      <w:r w:rsidRPr="00732D9A">
        <w:rPr>
          <w:noProof/>
        </w:rPr>
        <w:t>12)</w:t>
      </w:r>
      <w:r w:rsidRPr="00732D9A">
        <w:rPr>
          <w:noProof/>
        </w:rPr>
        <w:tab/>
        <w:t>Afin de rationaliser et de simplifier les procédures d’octroi de permis, une demande unique couvrant tous les permis nécessaires devrait être présentée pour tous les projets de fabrication industrielle, à l’exception du secteur manufacturier relevant du code C12. Cette simplification ne devrait pas s’appliquer lorsque des procédures ou exigences spécifiques en matière d’octroi de permis ou de licences sont établies dans la législation d’harmonisation de l’Union pour les projets de fabrication industrielle, par exemple en vertu des règlements (UE) 2024/1735</w:t>
      </w:r>
      <w:r w:rsidRPr="00732D9A">
        <w:rPr>
          <w:rStyle w:val="FootnoteReference"/>
          <w:noProof/>
        </w:rPr>
        <w:footnoteReference w:id="28"/>
      </w:r>
      <w:r w:rsidRPr="00732D9A">
        <w:rPr>
          <w:noProof/>
        </w:rPr>
        <w:t xml:space="preserve"> et (UE) 2024/1252</w:t>
      </w:r>
      <w:r w:rsidRPr="00732D9A">
        <w:rPr>
          <w:rStyle w:val="FootnoteReference"/>
          <w:noProof/>
        </w:rPr>
        <w:footnoteReference w:id="29"/>
      </w:r>
      <w:r w:rsidRPr="00732D9A">
        <w:rPr>
          <w:noProof/>
        </w:rPr>
        <w:t xml:space="preserve"> du Parlement européen et du Conseil. La législation sectorielle de l’Union régissant les médicaments et les dispositifs médicaux a récemment fait ou fait actuellement l’objet d’une rationalisation supplémentaire des règles et des délais harmonisés pour les autorisations et les certifications, assortie d’options pour accélérer le processus si nécessaire. Ces règles ne devraient donc pas être considérées comme des procédures d’octroi de permis dans le contexte de la présente initiative.</w:t>
      </w:r>
    </w:p>
    <w:p w14:paraId="21E0AF7B" w14:textId="70C1190E" w:rsidR="00730A27" w:rsidRPr="00732D9A" w:rsidRDefault="00730A27" w:rsidP="00730A27">
      <w:pPr>
        <w:pStyle w:val="ManualConsidrant"/>
        <w:rPr>
          <w:noProof/>
        </w:rPr>
      </w:pPr>
      <w:r w:rsidRPr="00732D9A">
        <w:rPr>
          <w:noProof/>
        </w:rPr>
        <w:t>13)</w:t>
      </w:r>
      <w:r w:rsidRPr="00732D9A">
        <w:rPr>
          <w:noProof/>
        </w:rPr>
        <w:tab/>
        <w:t>Le règlement (UE) [202X/XX] du [</w:t>
      </w:r>
      <w:r w:rsidR="00980FE6">
        <w:rPr>
          <w:noProof/>
        </w:rPr>
        <w:t>…</w:t>
      </w:r>
      <w:r w:rsidRPr="00732D9A">
        <w:rPr>
          <w:noProof/>
        </w:rPr>
        <w:t>]</w:t>
      </w:r>
      <w:r w:rsidRPr="00732D9A">
        <w:rPr>
          <w:rStyle w:val="FootnoteReference"/>
          <w:noProof/>
        </w:rPr>
        <w:footnoteReference w:id="30"/>
      </w:r>
      <w:r w:rsidRPr="00732D9A">
        <w:rPr>
          <w:noProof/>
        </w:rPr>
        <w:t xml:space="preserve"> établit un cadre commun d’accélération des évaluations environnementales visant à stimuler le déploiement de technologies clés par l’Union, à réduire les dépendances et à renforcer la compétitivité. Les procédures </w:t>
      </w:r>
      <w:r w:rsidRPr="00732D9A">
        <w:rPr>
          <w:noProof/>
        </w:rPr>
        <w:lastRenderedPageBreak/>
        <w:t>liées aux évaluations environnementales devraient être accélérées et rationalisées pour les plans, programmes et projets dans tous les secteurs de l’économie, tout en veillant à maintenir des niveaux élevés de protection de la santé humaine et de l’environnement. Certains secteurs peuvent toutefois nécessiter des évaluations environnementales encore plus rapides. Par conséquent, et afin de préserver la cohérence du cadre juridique des évaluations environnementales, tout en tenant compte des besoins supplémentaires d’accélération dans certains secteurs stratégiques, le règlement (UE) [202X/XX] établit une boîte à outils spécifique qui devrait donc être utilisée dans le cadre du présent règlement. Compte tenu de leur rôle essentiel dans la réalisation des objectifs climatiques de l’Union et de leur contribution à la résilience et à la sécurité économique de l’Union, les projets de décarbonation de l’industrie grande consommatrice d’énergie, les projets de fabrication industrielle situés dans des zones d’industrialisation prioritaire et les projets de technologies «zéro net» devraient être considérés comme des projets stratégiques au sens du règlement (UE) [202X/XX] et bénéficier par conséquent de la boîte à outils spécifique établie en vertu dudit règlement.</w:t>
      </w:r>
    </w:p>
    <w:p w14:paraId="43B8B6BC" w14:textId="77777777" w:rsidR="00730A27" w:rsidRPr="00732D9A" w:rsidRDefault="00730A27" w:rsidP="00730A27">
      <w:pPr>
        <w:pStyle w:val="ManualConsidrant"/>
        <w:rPr>
          <w:rFonts w:ascii="Times" w:eastAsia="Times New Roman" w:hAnsi="Times" w:cs="Times"/>
          <w:noProof/>
        </w:rPr>
      </w:pPr>
      <w:r w:rsidRPr="00732D9A">
        <w:rPr>
          <w:noProof/>
        </w:rPr>
        <w:t>(14)</w:t>
      </w:r>
      <w:r w:rsidRPr="00732D9A">
        <w:rPr>
          <w:noProof/>
        </w:rPr>
        <w:tab/>
      </w:r>
      <w:r w:rsidRPr="00732D9A">
        <w:rPr>
          <w:rFonts w:ascii="Times" w:hAnsi="Times"/>
          <w:noProof/>
        </w:rPr>
        <w:t>Le règlement (UE) 2024/1735 contient des dispositions qui rationalisent les procédures administratives et d’octroi de permis pour les projets de production de technologies «zéro net». Certains composants spécifiques de la chaîne d’approvisionnement des technologies «zéro net» sont produits au moyen de processus de production à forte intensité énergétique. Les projets de décarbonation de l’industrie grande consommatrice d’énergie relèvent du champ d’application du règlement (UE) 2024/1735 lorsque les installations concernées produisent des composants qui font partie de la chaîne d’approvisionnement d’une technologie «zéro net». Cependant, les installations grandes consommatrices d’énergie qui ne produisent pas de composants utilisés dans les technologies «zéro net» sont actuellement exclues du champ d’application du règlement (UE) 2024/1735. Cette situation entraîne un risque de conditions inégales entre les industries grandes consommatrices d’énergie et ralentit les efforts de décarbonation</w:t>
      </w:r>
      <w:bookmarkStart w:id="7" w:name="_Hlk221969963"/>
      <w:r w:rsidRPr="00732D9A">
        <w:rPr>
          <w:rFonts w:ascii="Times" w:hAnsi="Times"/>
          <w:noProof/>
        </w:rPr>
        <w:t xml:space="preserve">. Tous les projets de décarbonation des industries grandes consommatrices d’énergie devraient donc être soumis aux mêmes procédures d’octroi de permis. </w:t>
      </w:r>
      <w:bookmarkEnd w:id="7"/>
    </w:p>
    <w:p w14:paraId="204714DA" w14:textId="77777777" w:rsidR="00730A27" w:rsidRPr="00732D9A" w:rsidRDefault="00730A27" w:rsidP="00730A27">
      <w:pPr>
        <w:pStyle w:val="ManualConsidrant"/>
        <w:rPr>
          <w:rFonts w:eastAsia="Times New Roman"/>
          <w:noProof/>
        </w:rPr>
      </w:pPr>
      <w:r w:rsidRPr="00732D9A">
        <w:rPr>
          <w:noProof/>
        </w:rPr>
        <w:t>15)</w:t>
      </w:r>
      <w:r w:rsidRPr="00732D9A">
        <w:rPr>
          <w:noProof/>
        </w:rPr>
        <w:tab/>
        <w:t>L’Union devrait adopter une approche plus stratégique afin de mieux tirer parti de son poids économique et des avantages que représente l’accès à son marché unique. À cet égard, l’utilisation stratégique de l’intervention publique est essentielle pour prévenir les dépendances critiques dans l’Union. Les marchés publics représentent 15 % du PIB de l’Union. Il est donc nécessaire que les entités et pouvoirs adjudicateurs veillent, au besoin, à ce que les exigences en matière de marchés publics favorisent la sécurité économique et la résilience des chaînes d’approvisionnement. Les régimes d’aide publique jouent également un rôle important dans la stimulation de la demande dans les secteurs en aval qui représentent une part importante de la demande de certains produits et technologies stratégiques. Ces régimes devraient donc favoriser les bénéficiaires qui contribuent davantage au renforcement de la résilience de l’Union et à la réalisation de ses objectifs de décarbonation. Les enchères sont essentielles au déploiement des technologies «zéro net» et devraient être conçues pour stimuler la demande à l’égard de ce type de technologies, et notamment des composants provenant de l’Union.</w:t>
      </w:r>
    </w:p>
    <w:p w14:paraId="61F7BEC4" w14:textId="77777777" w:rsidR="002B14CF" w:rsidRPr="00732D9A" w:rsidRDefault="002B14CF" w:rsidP="00BD2094">
      <w:pPr>
        <w:pStyle w:val="ManualConsidrant"/>
        <w:rPr>
          <w:noProof/>
        </w:rPr>
      </w:pPr>
      <w:r w:rsidRPr="00732D9A">
        <w:rPr>
          <w:noProof/>
        </w:rPr>
        <w:t>16)</w:t>
      </w:r>
      <w:r w:rsidRPr="00732D9A">
        <w:rPr>
          <w:noProof/>
        </w:rPr>
        <w:tab/>
        <w:t xml:space="preserve">L’Union et les États membres maintiennent un environnement d’investissement ouvert, tel que consacré par le traité sur le fonctionnement de l’Union européenne (TFUE) et inscrit dans leurs engagements internationaux. Il s’agit notamment de </w:t>
      </w:r>
      <w:r w:rsidRPr="00732D9A">
        <w:rPr>
          <w:noProof/>
        </w:rPr>
        <w:lastRenderedPageBreak/>
        <w:t>l’engagement, pris dans le cadre de l’accord sur les marchés publics (AMP) de l’Organisation mondiale du commerce</w:t>
      </w:r>
      <w:r w:rsidRPr="00732D9A">
        <w:rPr>
          <w:rStyle w:val="FootnoteReference"/>
          <w:noProof/>
        </w:rPr>
        <w:footnoteReference w:id="31"/>
      </w:r>
      <w:r w:rsidRPr="00732D9A">
        <w:rPr>
          <w:noProof/>
        </w:rPr>
        <w:t xml:space="preserve"> et d’accords commerciaux bilatéraux, d’ouvrir les procédures de passation de marchés publics et d’autres formes d’intervention publique. Cependant, l’Union conserve le droit d’appliquer des exceptions générales ou des exceptions en matière de sécurité. La Commission évaluera régulièrement si les conditions pour exclure un pays tiers du champ d’application des dispositions établissant que les contenus originaires de pays tiers sont équivalents à des contenus originaires de l’UE sont réunies et prendra les mesures appropriées. La sécurité économique vise à protéger et à renforcer le marché intérieur. Les États membres ne peuvent invoquer la sécurité économique pour empêcher, soumettre à condition ou entraver de quelque manière que ce soit les investissements en provenance d’autres États membres. </w:t>
      </w:r>
    </w:p>
    <w:p w14:paraId="785E61A8" w14:textId="0D110201" w:rsidR="000954D7" w:rsidRPr="00732D9A" w:rsidRDefault="7D7299AE" w:rsidP="00E177DC">
      <w:pPr>
        <w:pStyle w:val="ManualConsidrant"/>
        <w:rPr>
          <w:noProof/>
        </w:rPr>
      </w:pPr>
      <w:r w:rsidRPr="00732D9A">
        <w:rPr>
          <w:noProof/>
        </w:rPr>
        <w:t>17)</w:t>
      </w:r>
      <w:r w:rsidRPr="00732D9A">
        <w:rPr>
          <w:noProof/>
        </w:rPr>
        <w:tab/>
        <w:t>L’intégration progressive des pays candidats et candidats potentiels dans le marché intérieur de l’Union, notamment par leur participation progressive aux politiques et programmes de l’Union, est essentielle pour soutenir leur alignement sur l’acquis de l’UE, renforcer leur compétitivité et encourager leur intégration plus poussée dans les chaînes de valeur de l’Union, ainsi que pour renforcer la sécurité économique de l’Union. Le présent règlement devrait donc contribuer à favoriser cette intégration progressive, notamment en facilitant la participation des opérateurs économiques de ces pays aux chaînes de valeur à l’échelle de l’Union, aux marchés publics, aux régimes d’aide publique et aux enchères de l</w:t>
      </w:r>
      <w:r w:rsidR="00980FE6">
        <w:rPr>
          <w:noProof/>
        </w:rPr>
        <w:t>’</w:t>
      </w:r>
      <w:r w:rsidRPr="00732D9A">
        <w:rPr>
          <w:noProof/>
        </w:rPr>
        <w:t xml:space="preserve">Union, en tant que de besoin et conformément aux intérêts et aux objectifs de l’Union. </w:t>
      </w:r>
    </w:p>
    <w:p w14:paraId="57D55EEB" w14:textId="3C85EDC9" w:rsidR="00D76DF6" w:rsidRPr="00732D9A" w:rsidRDefault="00D76DF6" w:rsidP="00D76DF6">
      <w:pPr>
        <w:pStyle w:val="ManualConsidrant"/>
        <w:rPr>
          <w:noProof/>
        </w:rPr>
      </w:pPr>
      <w:r w:rsidRPr="00732D9A">
        <w:rPr>
          <w:noProof/>
        </w:rPr>
        <w:t>18)</w:t>
      </w:r>
      <w:r w:rsidRPr="00732D9A">
        <w:rPr>
          <w:noProof/>
        </w:rPr>
        <w:tab/>
        <w:t>Reconnaissant l’importance de progresser vers une plus grande autonomie stratégique et une plus grande résilience, l’Union devrait également admettre, par souci de cohérence, les efforts proactifs similaires aux mesures prévues dans le présent règlement qui sont déployés par les pays partenaires pour donner la priorité à la participation nationale aux activités économiques. Dans le cadre de la mise en œuvre des exigences en matière d’origine UE dans certaines catégories de procédures de marchés publics et de régimes d</w:t>
      </w:r>
      <w:r w:rsidR="00980FE6">
        <w:rPr>
          <w:noProof/>
        </w:rPr>
        <w:t>’</w:t>
      </w:r>
      <w:r w:rsidRPr="00732D9A">
        <w:rPr>
          <w:noProof/>
        </w:rPr>
        <w:t>aide publique, l’Union devrait tenir dûment compte des conditions relatives au contenu imposées par les pays partenaires aux investissements stratégiques financés ou soutenus par l’Union dans ces pays partenaires, et accepter leur présence. Cette approche stratégique devrait accroître les avantages économiques mutuels et renforcer les partenariats stratégiques, en conformité avec les objectifs généraux de l’Union en matière de partenariats internationaux.</w:t>
      </w:r>
    </w:p>
    <w:p w14:paraId="2FA74500" w14:textId="77777777" w:rsidR="00D76DF6" w:rsidRPr="00732D9A" w:rsidRDefault="00D76DF6" w:rsidP="00D76DF6">
      <w:pPr>
        <w:pStyle w:val="ManualConsidrant"/>
        <w:rPr>
          <w:noProof/>
        </w:rPr>
      </w:pPr>
      <w:r w:rsidRPr="00732D9A">
        <w:rPr>
          <w:noProof/>
        </w:rPr>
        <w:t>(19)</w:t>
      </w:r>
      <w:r w:rsidRPr="00732D9A">
        <w:rPr>
          <w:noProof/>
        </w:rPr>
        <w:tab/>
        <w:t>Les mesures axées sur la demande devraient se concentrer sur l’établissement, en tant que de besoin, d’exigences en matière de faibles émissions de carbone pour l’acier, le ciment et l’aluminium utilisés dans les bâtiments, les infrastructures et les véhicules à moteur, étant donné que ces secteurs sont les plus énergivores. La mise en œuvre de mesures ciblées axées sur la demande à l’échelle de l’Union peut contribuer à créer des marchés pilotes pour les produits industriels à forte intensité énergétique bas carbone et fabriqués dans l’Union, soutenant ainsi la décarbonation tout en renforçant la base industrielle de l’Union.</w:t>
      </w:r>
    </w:p>
    <w:p w14:paraId="3F0ECC7E" w14:textId="58AF23A4" w:rsidR="00D76DF6" w:rsidRPr="00732D9A" w:rsidRDefault="00D76DF6" w:rsidP="00D76DF6">
      <w:pPr>
        <w:pStyle w:val="ManualConsidrant"/>
        <w:rPr>
          <w:rStyle w:val="normaltextrun"/>
          <w:rFonts w:eastAsia="Times New Roman"/>
          <w:noProof/>
        </w:rPr>
      </w:pPr>
      <w:r w:rsidRPr="00732D9A">
        <w:rPr>
          <w:noProof/>
        </w:rPr>
        <w:t>20)</w:t>
      </w:r>
      <w:r w:rsidRPr="00732D9A">
        <w:rPr>
          <w:noProof/>
        </w:rPr>
        <w:tab/>
        <w:t xml:space="preserve">Les secteurs en aval qui représentent une part importante de la demande de certains matériaux à forte intensité énergétique, tels que les secteurs de la construction et de l’automobile, devraient être prioritaires au titre du présent règlement lors de </w:t>
      </w:r>
      <w:r w:rsidRPr="00732D9A">
        <w:rPr>
          <w:noProof/>
        </w:rPr>
        <w:lastRenderedPageBreak/>
        <w:t xml:space="preserve">l’établissement d’exigences en matière de faibles émissions de carbone, d’exigences en matière d’origine UE, ou des deux types d’exigences. Il s’agit d’un principe d’autant plus approprié que ces secteurs font largement l’objet de marchés publics et de régimes d’aide, </w:t>
      </w:r>
      <w:r w:rsidRPr="00732D9A">
        <w:rPr>
          <w:rStyle w:val="normaltextrun"/>
          <w:noProof/>
        </w:rPr>
        <w:t>alors que</w:t>
      </w:r>
      <w:r w:rsidRPr="00732D9A">
        <w:rPr>
          <w:noProof/>
        </w:rPr>
        <w:t xml:space="preserve"> la part</w:t>
      </w:r>
      <w:r w:rsidRPr="00732D9A">
        <w:rPr>
          <w:rStyle w:val="normaltextrun"/>
          <w:noProof/>
        </w:rPr>
        <w:t xml:space="preserve"> des intrants à forte intensité énergétique dans la valeur totale de la production est relativement faible et réduit donc l’incidence de toute majoration de prix.</w:t>
      </w:r>
    </w:p>
    <w:p w14:paraId="35C7E028" w14:textId="77777777" w:rsidR="00D76DF6" w:rsidRPr="00732D9A" w:rsidRDefault="00D76DF6" w:rsidP="00D76DF6">
      <w:pPr>
        <w:pStyle w:val="ManualConsidrant"/>
        <w:rPr>
          <w:noProof/>
        </w:rPr>
      </w:pPr>
      <w:r w:rsidRPr="00732D9A">
        <w:rPr>
          <w:noProof/>
        </w:rPr>
        <w:t>21)</w:t>
      </w:r>
      <w:r w:rsidRPr="00732D9A">
        <w:rPr>
          <w:noProof/>
        </w:rPr>
        <w:tab/>
        <w:t>Afin de garantir la cohérence réglementaire avec la législation existante de l’Union concernant les produits, il convient que l’acier, le béton et l’aluminium utilisés dans la construction soient considérés comme sobres en carbone conformément aux exigences énoncées dans les mesures d’exécution adoptées en vertu des règlements (UE) 2024/3110</w:t>
      </w:r>
      <w:r w:rsidRPr="00732D9A">
        <w:rPr>
          <w:rStyle w:val="FootnoteReference"/>
          <w:rFonts w:eastAsiaTheme="minorEastAsia"/>
          <w:noProof/>
        </w:rPr>
        <w:footnoteReference w:id="32"/>
      </w:r>
      <w:r w:rsidRPr="00732D9A">
        <w:rPr>
          <w:noProof/>
        </w:rPr>
        <w:t xml:space="preserve"> et (UE) 2024/1781</w:t>
      </w:r>
      <w:r w:rsidRPr="00732D9A">
        <w:rPr>
          <w:rStyle w:val="FootnoteReference"/>
          <w:rFonts w:eastAsiaTheme="minorEastAsia"/>
          <w:noProof/>
        </w:rPr>
        <w:footnoteReference w:id="33"/>
      </w:r>
      <w:r w:rsidRPr="00732D9A">
        <w:rPr>
          <w:noProof/>
        </w:rPr>
        <w:t xml:space="preserve"> du Parlement européen et du Conseil.</w:t>
      </w:r>
    </w:p>
    <w:p w14:paraId="4FEF24F7" w14:textId="04A56210" w:rsidR="00D76DF6" w:rsidRPr="00732D9A" w:rsidRDefault="00D76DF6" w:rsidP="00D76DF6">
      <w:pPr>
        <w:pStyle w:val="ManualConsidrant"/>
        <w:rPr>
          <w:noProof/>
        </w:rPr>
      </w:pPr>
      <w:r w:rsidRPr="00732D9A">
        <w:rPr>
          <w:noProof/>
        </w:rPr>
        <w:t>(22)</w:t>
      </w:r>
      <w:r w:rsidRPr="00732D9A">
        <w:rPr>
          <w:noProof/>
        </w:rPr>
        <w:tab/>
      </w:r>
      <w:bookmarkStart w:id="8" w:name="_Hlk222143860"/>
      <w:r w:rsidRPr="00732D9A">
        <w:rPr>
          <w:noProof/>
        </w:rPr>
        <w:t>La communication sur le pacte pour une industrie propre</w:t>
      </w:r>
      <w:r w:rsidRPr="00732D9A">
        <w:rPr>
          <w:rStyle w:val="FootnoteReference"/>
          <w:noProof/>
        </w:rPr>
        <w:footnoteReference w:id="34"/>
      </w:r>
      <w:r w:rsidRPr="00732D9A">
        <w:rPr>
          <w:noProof/>
        </w:rPr>
        <w:t xml:space="preserve"> a souligné la nécessité de créer des marchés pilotes pour les produits industriels à faible intensité des émissions de gaz à effet de serre, notamment en promouvant ces produits sur le marché intérieur par la mise en place d’un système d’étiquetage de l’Union, en commençant par le secteur de l’acier. Ces efforts devraient être envisagés dans le contexte de la législation de l’Union sur les produits, qui prévoit déjà l</w:t>
      </w:r>
      <w:r w:rsidR="00980FE6">
        <w:rPr>
          <w:noProof/>
        </w:rPr>
        <w:t>’</w:t>
      </w:r>
      <w:r w:rsidRPr="00732D9A">
        <w:rPr>
          <w:noProof/>
        </w:rPr>
        <w:t>introduction d</w:t>
      </w:r>
      <w:r w:rsidR="00980FE6">
        <w:rPr>
          <w:noProof/>
        </w:rPr>
        <w:t>’</w:t>
      </w:r>
      <w:r w:rsidRPr="00732D9A">
        <w:rPr>
          <w:noProof/>
        </w:rPr>
        <w:t>exigences en matière d’étiquetage et d’information, notamment d’exigences complètes en matière d’étiquetage des produits établies en application des actes délégués adoptés en vertu des règlements (UE) 2024/3110 et (UE) 2024/1781. Compte tenu de l’importance de la production d’acier primaire et secondaire pour la résilience à long terme de la base industrielle de l’Union, ces exigences devraient s’appuyer sur des classes de performance qui tiennent compte des différents efforts de décarbonation des filières des technologies, en récompensant également la circularité et en ajustant, au besoin, les seuils d’intensité des émissions en fonction du pourcentage de ferrailles utilisées dans la production pour les catégories de produits qui nécessitent généralement une production d’acier primaire. Il devrait également être possible de compléter les actes délégués adoptés en vertu des règlements (UE) 2024/3110 et (UE) 2024/1781 en vue de soutenir la création de marchés pilotes, en éclairant les décisions d’investissement en faveur des produits rangés dans une classe de performance correspondant à une intensité plus faible d</w:t>
      </w:r>
      <w:r w:rsidR="00980FE6">
        <w:rPr>
          <w:noProof/>
        </w:rPr>
        <w:t>’</w:t>
      </w:r>
      <w:r w:rsidRPr="00732D9A">
        <w:rPr>
          <w:noProof/>
        </w:rPr>
        <w:t xml:space="preserve">émissions de gaz à effet de serre, pour les produits industriels qui ne sont pas encore régis par un acte délégué adopté au titre du règlement (UE) 2024/1781, ou qui ne sont pas encore cités parmi les produits inclus dans le plan de travail adopté conformément audit règlement. Pour ce faire, il devrait être possible d’établir des systèmes de classification volontaire fondés sur l’intensité des gaz à effet de serre des produits industriels. Afin d’assurer l’intégrité environnementale et la faisabilité administrative, il est important de s’appuyer sur des méthodes de comptabilisation des émissions contrôlées et bien établies. Pour les installations et sous-installations nationales, le système d’échange de quotas d’émission de l’UE (SEQE de l’UE) prévoit des référentiels de produits et des limites du système </w:t>
      </w:r>
      <w:r w:rsidRPr="00732D9A">
        <w:rPr>
          <w:noProof/>
        </w:rPr>
        <w:lastRenderedPageBreak/>
        <w:t>pertinents à l’annexe I du règlement délégué (UE) 2019/331 de la Commission</w:t>
      </w:r>
      <w:r w:rsidRPr="00732D9A">
        <w:rPr>
          <w:rStyle w:val="FootnoteReference"/>
          <w:noProof/>
        </w:rPr>
        <w:footnoteReference w:id="35"/>
      </w:r>
      <w:r w:rsidRPr="00732D9A">
        <w:rPr>
          <w:noProof/>
        </w:rPr>
        <w:t>, ainsi que des règles rigoureuses de comptabilisation des émissions dans le règlement d’exécution (UE) 2018/2066 de la Commission</w:t>
      </w:r>
      <w:r w:rsidRPr="00732D9A">
        <w:rPr>
          <w:rStyle w:val="FootnoteReference"/>
          <w:noProof/>
        </w:rPr>
        <w:footnoteReference w:id="36"/>
      </w:r>
      <w:r w:rsidRPr="00732D9A">
        <w:rPr>
          <w:noProof/>
        </w:rPr>
        <w:t>. En ce qui concerne les produits importés, afin de limiter la charge administrative, il convient de permettre l’utilisation de données déjà vérifiées dans le cadre du mécanisme d’ajustement carbone aux frontières (MACF), conformément aux règles d’exécution adoptées en vertu de l’article 7, paragraphe</w:t>
      </w:r>
      <w:r w:rsidR="00980FE6">
        <w:rPr>
          <w:noProof/>
        </w:rPr>
        <w:t> </w:t>
      </w:r>
      <w:r w:rsidRPr="00732D9A">
        <w:rPr>
          <w:noProof/>
        </w:rPr>
        <w:t>7, point a), du règlement (UE) 2023/956 du Parlement européen et du Conseil</w:t>
      </w:r>
      <w:r w:rsidRPr="00732D9A">
        <w:rPr>
          <w:rStyle w:val="FootnoteReference"/>
          <w:noProof/>
        </w:rPr>
        <w:footnoteReference w:id="37"/>
      </w:r>
      <w:r w:rsidRPr="00732D9A">
        <w:rPr>
          <w:noProof/>
        </w:rPr>
        <w:t>. Afin de rendre compte avec précision de l’intensité des émissions de gaz à effet de serre d’un produit industriel, il convient de prendre en compte, outre les émissions directes généralement liées aux activités de l’installation relevant de l’annexe I de la directive 2003/87/CE du Parlement européen et du Conseil</w:t>
      </w:r>
      <w:r w:rsidRPr="00732D9A">
        <w:rPr>
          <w:rStyle w:val="FootnoteReference"/>
          <w:noProof/>
        </w:rPr>
        <w:footnoteReference w:id="38"/>
      </w:r>
      <w:r w:rsidRPr="00732D9A">
        <w:rPr>
          <w:noProof/>
        </w:rPr>
        <w:t>, les sources d’émissions indirectes les plus importantes, notamment celles provenant de la production d’électricité, d’hydrogène et de chaleur utilisées dans le processus de fabrication. Afin d’assurer la cohérence et de limiter la charge administrative, les méthodes utilisées pour définir les exigences en matière de faibles émissions de carbone dans le cadre du présent règlement devraient utiliser les données sur les émissions déclarées dans le cadre du SEQE de l’UE et du MACF, lorsqu’elles sont disponibles et pertinentes.</w:t>
      </w:r>
    </w:p>
    <w:p w14:paraId="2469E7AE" w14:textId="77777777" w:rsidR="002B14CF" w:rsidRPr="00732D9A" w:rsidRDefault="00120CA1" w:rsidP="00586B4A">
      <w:pPr>
        <w:pStyle w:val="ManualConsidrant"/>
        <w:rPr>
          <w:noProof/>
        </w:rPr>
      </w:pPr>
      <w:r w:rsidRPr="00732D9A">
        <w:rPr>
          <w:noProof/>
        </w:rPr>
        <w:t>23)</w:t>
      </w:r>
      <w:r w:rsidRPr="00732D9A">
        <w:rPr>
          <w:noProof/>
        </w:rPr>
        <w:tab/>
        <w:t>Afin d’atteindre les objectifs du présent règlement, en particulier la création de marchés pilotes pour les produits industriels européens bas carbone, il convient de prévoir des spécifications techniques obligatoires minimales pour les exigences en matière de faible intensité de carbone et d’origine UE dans les procédures de passation de marchés publics ou de concession. Ces exigences devraient s’appliquer à l’achat de ces produits dans le cadre de marchés publics de fournitures, ainsi que dans le cadre de marchés publics de travaux et de marchés publics de services et de concessions, lorsque ces produits sont destinés à être utilisés pour des activités menées au titre de ces marchés. Conformément au cadre régissant les marchés publics, ces spécifications techniques obligatoires minimales ne devraient pas restreindre artificiellement la concurrence, et éviter de favoriser un opérateur économique spécifique. Les pouvoirs adjudicateurs et les entités adjudicatrices devraient mener les procédures de passation de marchés publics ou de concession conformément aux directives 2014/23/UE</w:t>
      </w:r>
      <w:r w:rsidRPr="00732D9A">
        <w:rPr>
          <w:rStyle w:val="FootnoteReference"/>
          <w:noProof/>
        </w:rPr>
        <w:footnoteReference w:id="39"/>
      </w:r>
      <w:r w:rsidRPr="00732D9A">
        <w:rPr>
          <w:noProof/>
        </w:rPr>
        <w:t>, 2014/24/UE</w:t>
      </w:r>
      <w:r w:rsidRPr="00732D9A">
        <w:rPr>
          <w:rStyle w:val="FootnoteReference"/>
          <w:noProof/>
        </w:rPr>
        <w:footnoteReference w:id="40"/>
      </w:r>
      <w:r w:rsidRPr="00732D9A">
        <w:rPr>
          <w:noProof/>
        </w:rPr>
        <w:t xml:space="preserve"> et 2014/25/UE</w:t>
      </w:r>
      <w:r w:rsidRPr="00732D9A">
        <w:rPr>
          <w:rStyle w:val="FootnoteReference"/>
          <w:noProof/>
        </w:rPr>
        <w:footnoteReference w:id="41"/>
      </w:r>
      <w:r w:rsidRPr="00732D9A">
        <w:rPr>
          <w:noProof/>
        </w:rPr>
        <w:t xml:space="preserve"> du Parlement européen et du Conseil, ainsi qu’à la </w:t>
      </w:r>
      <w:r w:rsidRPr="00732D9A">
        <w:rPr>
          <w:noProof/>
        </w:rPr>
        <w:lastRenderedPageBreak/>
        <w:t xml:space="preserve">législation sectorielle applicable. </w:t>
      </w:r>
      <w:r w:rsidRPr="00732D9A">
        <w:rPr>
          <w:rFonts w:ascii="Times" w:hAnsi="Times"/>
          <w:noProof/>
        </w:rPr>
        <w:t xml:space="preserve">L’origine UE des produits et composants devrait être déterminée conformément à la législation douanière de l’Union. </w:t>
      </w:r>
    </w:p>
    <w:bookmarkEnd w:id="8"/>
    <w:p w14:paraId="0DE9D0C9" w14:textId="3F505597" w:rsidR="00D76DF6" w:rsidRPr="00732D9A" w:rsidRDefault="00D76DF6" w:rsidP="00D76DF6">
      <w:pPr>
        <w:pStyle w:val="ManualConsidrant"/>
        <w:rPr>
          <w:noProof/>
        </w:rPr>
      </w:pPr>
      <w:r w:rsidRPr="00732D9A">
        <w:rPr>
          <w:noProof/>
        </w:rPr>
        <w:t>24)</w:t>
      </w:r>
      <w:r w:rsidRPr="00732D9A">
        <w:rPr>
          <w:noProof/>
        </w:rPr>
        <w:tab/>
      </w:r>
      <w:r w:rsidR="00D82D8F" w:rsidRPr="00D82D8F">
        <w:rPr>
          <w:noProof/>
        </w:rPr>
        <w:t>Afin de garantir la faisabilité des exigences à un coût raisonnable et d’éviter de restreindre la concurrence, il est nécessaire de fixer les conditions dans lesquelles les pouvoirs adjudicateurs peuvent, à titre exceptionnel, décider de ne pas appliquer les exigences en matière de faibles émissions de carbone et d’origine de l’Union.</w:t>
      </w:r>
      <w:r w:rsidRPr="00732D9A">
        <w:rPr>
          <w:noProof/>
        </w:rPr>
        <w:t xml:space="preserve"> Ces conditions devraient couvrir les cas où l’application de ces exigences entraînerait des incompatibilités techniques dans l’exploitation ou l’entretien d’un projet, telles que les situations dans lesquelles l’utilisation de ces produits pourrait compromettre le respect des exigences fondamentales s’appliquant à la construction du bâtiment ou de l’infrastructure, énoncées dans le règlement (UE) 2024/3110. Les exigences établies dans le présent règlement devraient s’appliquer exclusivement aux procédures de passation de marchés relevant du champ d’application de la directive 2014/23/UE, de la directive 2014/24/UE et de la directive 2014/25/UE, c’est-à-dire aux procédures de passation de marchés dont la valeur estimée atteint ou dépasse les seuils fixés dans ces directives. En conséquence, les procédures de passation de marchés non couvertes par ces directives, notamment celles dont la valeur est inférieur</w:t>
      </w:r>
      <w:r w:rsidR="00732D9A">
        <w:rPr>
          <w:noProof/>
        </w:rPr>
        <w:t>e</w:t>
      </w:r>
      <w:r w:rsidRPr="00732D9A">
        <w:rPr>
          <w:noProof/>
        </w:rPr>
        <w:t xml:space="preserve"> aux seuils applicables, ne devraient pas être soumises aux exigences établies par le présent règlement, afin d’éviter des obligations disproportionnées pour les marchés de faible valeur passés par les pouvoirs adjudicateurs, notamment au niveau local.</w:t>
      </w:r>
    </w:p>
    <w:p w14:paraId="5DFB68F0" w14:textId="77777777" w:rsidR="00D76DF6" w:rsidRPr="00732D9A" w:rsidRDefault="00D76DF6" w:rsidP="00D76DF6">
      <w:pPr>
        <w:pStyle w:val="ManualConsidrant"/>
        <w:rPr>
          <w:noProof/>
        </w:rPr>
      </w:pPr>
      <w:r w:rsidRPr="00732D9A">
        <w:rPr>
          <w:noProof/>
        </w:rPr>
        <w:t>25)</w:t>
      </w:r>
      <w:r w:rsidRPr="00732D9A">
        <w:rPr>
          <w:noProof/>
        </w:rPr>
        <w:tab/>
        <w:t>Le train de mesures pour le secteur automobile adopté le 16 décembre 2025 comprend une proposition visant à modifier le règlement (UE) 2019/631 du Parlement européen et du Conseil</w:t>
      </w:r>
      <w:r w:rsidRPr="00732D9A">
        <w:rPr>
          <w:rStyle w:val="FootnoteReference"/>
          <w:noProof/>
        </w:rPr>
        <w:footnoteReference w:id="42"/>
      </w:r>
      <w:r w:rsidRPr="00732D9A">
        <w:rPr>
          <w:noProof/>
        </w:rPr>
        <w:t xml:space="preserve"> afin de prévoir, entre autres, l’octroi de bonifications pour les petits véhicules électriques abordables fabriqués dans l’Union avant 2035. Il modifie l’objectif de réduction des émissions pour 2035, les émissions restantes devant être compensées par l’utilisation d’acier bas carbone fabriqué dans l’Union ou de carburants renouvelables bas carbone. Le train de mesures pour le secteur automobile comprend également une [proposition de règlement sur les véhicules d’entreprise propres] qui limite le soutien financier en faveur des véhicules d’entreprise aux seuls véhicules à émissions nulles ou à faibles émissions «fabriqués dans l’Union européenne». Afin de garantir la sécurité juridique ainsi que la cohérence avec le règlement (UE) 2019/631 tel que modifié et la [proposition de règlement sur les véhicules d’entreprise propres], le présent règlement devrait établir les définitions des termes «petits véhicules électriques abordables fabriqués dans l’Union», «acier bas carbone fabriqué dans l’Union» et «voitures et camionnettes d’entreprise fabriquées dans l’Union européenne».</w:t>
      </w:r>
    </w:p>
    <w:p w14:paraId="10F5A8B1" w14:textId="77777777" w:rsidR="00E6738E" w:rsidRPr="00732D9A" w:rsidRDefault="00E6738E" w:rsidP="00E6738E">
      <w:pPr>
        <w:pStyle w:val="ManualConsidrant"/>
        <w:rPr>
          <w:noProof/>
        </w:rPr>
      </w:pPr>
      <w:r w:rsidRPr="00732D9A">
        <w:rPr>
          <w:noProof/>
        </w:rPr>
        <w:t>26)</w:t>
      </w:r>
      <w:r w:rsidRPr="00732D9A">
        <w:rPr>
          <w:noProof/>
        </w:rPr>
        <w:tab/>
      </w:r>
      <w:r w:rsidRPr="00732D9A">
        <w:rPr>
          <w:rFonts w:ascii="Times" w:hAnsi="Times"/>
          <w:noProof/>
        </w:rPr>
        <w:t xml:space="preserve">Afin de simplifier les procédures et d’alléger la charge administrative, la vérification du respect des exigences prévues </w:t>
      </w:r>
      <w:r w:rsidRPr="00732D9A">
        <w:rPr>
          <w:noProof/>
        </w:rPr>
        <w:t>par</w:t>
      </w:r>
      <w:r w:rsidRPr="00732D9A">
        <w:rPr>
          <w:rFonts w:ascii="Times" w:hAnsi="Times"/>
          <w:noProof/>
        </w:rPr>
        <w:t xml:space="preserve"> le présent règlement ne devrait pas imposer une charge disproportionnée aux opérateurs économiques ou aux pouvoirs adjudicateurs. Le système de vérification devrait donc reposer sur une déclaration sur l’honneur des opérateurs économiques. Cette approche est conforme au cadre général des marchés publics établi par la directive 2014/24/UE, en particulier son article 59, qui prévoit une </w:t>
      </w:r>
      <w:r w:rsidRPr="00732D9A">
        <w:rPr>
          <w:rFonts w:ascii="Times" w:hAnsi="Times"/>
          <w:noProof/>
        </w:rPr>
        <w:lastRenderedPageBreak/>
        <w:t xml:space="preserve">déclaration sur l’honneur de respect des conditions, sous réserve d’une vérification ultérieure effectuée auprès du soumissionnaire retenu. </w:t>
      </w:r>
      <w:r w:rsidRPr="00732D9A">
        <w:rPr>
          <w:noProof/>
        </w:rPr>
        <w:t>En ce qui concerne les véhicules, les constructeurs devraient, lors de la délivrance du certificat de conformité conformément au règlement (UE) 2018/858 du Parlement européen et du Conseil</w:t>
      </w:r>
      <w:r w:rsidRPr="00732D9A">
        <w:rPr>
          <w:rStyle w:val="FootnoteReference"/>
          <w:noProof/>
        </w:rPr>
        <w:footnoteReference w:id="43"/>
      </w:r>
      <w:r w:rsidRPr="00732D9A">
        <w:rPr>
          <w:noProof/>
        </w:rPr>
        <w:t>, fournir un document d’accompagnement attestant que les véhicules satisfont aux exigences en matière d’origine de l’Union. Ce document devrait avoir valeur de déclaration sur l’honneur et faire partie des pièces justificatives attestant le respect des exigences énoncées dans le présent règlement.</w:t>
      </w:r>
    </w:p>
    <w:p w14:paraId="3B553830" w14:textId="77777777" w:rsidR="00E6738E" w:rsidRPr="00732D9A" w:rsidRDefault="00E6738E" w:rsidP="00E6738E">
      <w:pPr>
        <w:pStyle w:val="ManualConsidrant"/>
        <w:rPr>
          <w:noProof/>
        </w:rPr>
      </w:pPr>
      <w:r w:rsidRPr="00732D9A">
        <w:rPr>
          <w:noProof/>
        </w:rPr>
        <w:t>27)</w:t>
      </w:r>
      <w:r w:rsidRPr="00732D9A">
        <w:rPr>
          <w:noProof/>
        </w:rPr>
        <w:tab/>
        <w:t>Afin de garantir que les exigences fixées par le présent règlement restent adaptées même si les conditions du marché, les progrès technologiques ainsi que les objectifs de l’Union en matière de politique climatique et de marché intérieur continuent d’évoluer, la Commission devrait être habilitée à réviser ces exigences sur la base de critères objectifs et des résultats du suivi. Lorsqu’elle examine la nécessité de réviser les exigences en matière d’origine de l’Union, les exigences en matière de faibles émissions de carbone, ou les deux, la Commission devrait tenir compte de l’évolution des cadres législatifs concernés, notamment la législation douanière relative aux règles d’origine, le système d’échange de quotas d’émission prévu par la directive 2003/87/CE, le mécanisme d’ajustement carbone aux frontières prévu par le règlement (UE) 2023/956, ainsi que les instruments de défense commerciale.</w:t>
      </w:r>
    </w:p>
    <w:p w14:paraId="4F595185" w14:textId="77777777" w:rsidR="00E6738E" w:rsidRPr="00732D9A" w:rsidRDefault="00E6738E" w:rsidP="00E6738E">
      <w:pPr>
        <w:pStyle w:val="ManualConsidrant"/>
        <w:rPr>
          <w:noProof/>
        </w:rPr>
      </w:pPr>
      <w:r w:rsidRPr="00732D9A">
        <w:rPr>
          <w:noProof/>
        </w:rPr>
        <w:t>28)</w:t>
      </w:r>
      <w:r w:rsidRPr="00732D9A">
        <w:rPr>
          <w:noProof/>
        </w:rPr>
        <w:tab/>
        <w:t xml:space="preserve">Les investissements, y compris ceux provenant d’entités étrangères, jouent un rôle essentiel dans le renforcement du marché intérieur et de la cohésion territoriale, notamment en encourageant l’innovation et en stimulant la croissance économique au sein de l’Union, ce qui est indispensable à sa compétitivité. Toutefois, dans des circonstances exceptionnelles, des investissements de particulièrement grande envergure provenant de pays tiers qui occupent une position très importante sur le marché mondial risquent de perturber des chaînes d’approvisionnement essentielles et de compromettre la sécurité de secteurs stratégiques émergents revêtant une importance particulière pour le développement du marché intérieur. Les conditions divergentes appliquées par les États membres à ces investissements fragmentent le marché intérieur en créant des conditions inégales pour les investisseurs, donnant lieu à des investissements qui n’apportent pas de véritable valeur ajoutée à l’économie de l’Union, tout en faisant peser un risque important sur le développement et la sécurité de l’approvisionnement dans ces secteurs et en incitant les investisseurs à pratiquer un «arbitrage réglementaire». Autoriser ces investissements sans aucune condition pourrait avoir pour conséquence que la création de valeur ajoutée liée à certaines technologies stratégiques et à des activités de fabrication innovantes demeure en dehors de l’Union, ce qui aurait une incidence négative sur la sécurité de l’approvisionnement et le développement technologique de l’Union dans les secteurs stratégiques émergents. En outre, l’ouverture sans condition du marché intérieur à ces investissements de grande envergure risque de remettre en cause les avancées technologiques de l’Union indispensables à sa double transition et à ses capacités de défense. Par conséquent, les dispositions du présent règlement devraient garantir que ces investissements de grande envergure provenant de pays tiers occupant une position particulièrement importante sur le marché ne compromettent pas la sécurité de </w:t>
      </w:r>
      <w:r w:rsidRPr="00732D9A">
        <w:rPr>
          <w:noProof/>
        </w:rPr>
        <w:lastRenderedPageBreak/>
        <w:t>l’approvisionnement et la sécurité économique de l’Union, et garantir son avancée technologique dans les secteurs stratégiques émergents. Si ces investissements ne garantissent pas une participation suffisante de l’Union ni un transfert de technologies adéquat, la sécurité de l’approvisionnement à long terme des secteurs stratégiques émergents s’en trouve compromise en raison du manque de capacités propres à l’Union, indépendantes du pays détenant une part significative de l’offre mondiale concernée. Il a par ailleurs été constaté que certains de ces investissements n’entraînaient pas de manière significative de création d’emplois pour les travailleurs de l’Union, ce qui compromet le développement des compétences indispensables à l’essor des secteurs stratégiques émergents au sein du marché intérieur.</w:t>
      </w:r>
    </w:p>
    <w:p w14:paraId="30992B1E" w14:textId="77777777" w:rsidR="00901E2C" w:rsidRPr="00732D9A" w:rsidRDefault="00901E2C" w:rsidP="00901E2C">
      <w:pPr>
        <w:pStyle w:val="ManualConsidrant"/>
        <w:rPr>
          <w:noProof/>
        </w:rPr>
      </w:pPr>
      <w:r w:rsidRPr="00732D9A">
        <w:rPr>
          <w:noProof/>
        </w:rPr>
        <w:t>29)</w:t>
      </w:r>
      <w:r w:rsidRPr="00732D9A">
        <w:rPr>
          <w:noProof/>
        </w:rPr>
        <w:tab/>
        <w:t>Afin de garantir que le marché intérieur reste attractif pour les investissements et que ceux-ci apportent une valeur ajoutée à l’économie et à la société de l’Union, il est nécessaire de fixer des conditions communes pour les investissements directs étrangers dans les secteurs manufacturiers stratégiques émergents. Ces secteurs devraient être des secteurs manufacturiers présentant un potentiel d’innovation et dans lesquels les entités de l’Union ne se situent pas à la pointe de l’innovation mondiale ni à proximité de celle-ci, et où il convient de garantir les capacités et la participation appropriées de l’Union. Des critères harmonisés devraient s’appliquer aux investisseurs étrangers d’un pays tiers qui détient plus de 40 % de la capacité de production mondiale dans des secteurs stratégiques émergents. Afin de garantir l’efficacité des dispositions du présent règlement, la Commission devrait assurer le suivi de la capacité de production mondiale de ces secteurs et en publier les résultats.</w:t>
      </w:r>
    </w:p>
    <w:p w14:paraId="7F17E287" w14:textId="77777777" w:rsidR="00901E2C" w:rsidRPr="00732D9A" w:rsidRDefault="00901E2C" w:rsidP="00901E2C">
      <w:pPr>
        <w:pStyle w:val="ManualConsidrant"/>
        <w:rPr>
          <w:noProof/>
        </w:rPr>
      </w:pPr>
      <w:r w:rsidRPr="00732D9A">
        <w:rPr>
          <w:noProof/>
        </w:rPr>
        <w:t>30)</w:t>
      </w:r>
      <w:r w:rsidRPr="00732D9A">
        <w:rPr>
          <w:noProof/>
        </w:rPr>
        <w:tab/>
        <w:t>On parle d’investissements étrangers de création lorsque l’investisseur étranger ou une filiale de celui-ci établie dans l’Union implante de nouvelles installations ou une nouvelle entreprise dans l’Union. Les investissements étrangers de création et dans les friches industrielles devraient tous deux relever du champ d’application du présent règlement dans la mesure où ils impliquent l’acquisition du contrôle d’une cible ou d’un actif de l’Union, car ils sont tous deux susceptibles d’avoir une incidence sur le bon fonctionnement du marché intérieur.</w:t>
      </w:r>
    </w:p>
    <w:p w14:paraId="525A63EE" w14:textId="77777777" w:rsidR="00901E2C" w:rsidRPr="00732D9A" w:rsidRDefault="00901E2C" w:rsidP="00901E2C">
      <w:pPr>
        <w:pStyle w:val="ManualConsidrant"/>
        <w:rPr>
          <w:noProof/>
        </w:rPr>
      </w:pPr>
      <w:r w:rsidRPr="00732D9A">
        <w:rPr>
          <w:noProof/>
        </w:rPr>
        <w:t>31)</w:t>
      </w:r>
      <w:r w:rsidRPr="00732D9A">
        <w:rPr>
          <w:noProof/>
        </w:rPr>
        <w:tab/>
        <w:t xml:space="preserve">L’examen des investissements et l’application des conditions harmonisées devraient être effectués conformément au présent règlement. Il convient de tenir compte de toutes les informations disponibles et de respecter le principe de proportionnalité. De plus, toutes les mesures prises par les autorités nationales ou par la Commission eu égard à l’examen des investissements étrangers devraient être conformes au droit de l’Union, et en particulier aux articles 49 et 63 du TFUE. </w:t>
      </w:r>
    </w:p>
    <w:p w14:paraId="70B88A48" w14:textId="77777777" w:rsidR="00901E2C" w:rsidRPr="00732D9A" w:rsidRDefault="00901E2C" w:rsidP="00901E2C">
      <w:pPr>
        <w:pStyle w:val="ManualConsidrant"/>
        <w:rPr>
          <w:noProof/>
        </w:rPr>
      </w:pPr>
      <w:r w:rsidRPr="00732D9A">
        <w:rPr>
          <w:noProof/>
        </w:rPr>
        <w:t>32)</w:t>
      </w:r>
      <w:r w:rsidRPr="00732D9A">
        <w:rPr>
          <w:noProof/>
        </w:rPr>
        <w:tab/>
        <w:t>Par conséquent, les dispositions du présent règlement devraient s’appliquer aux investissements directs étrangers dans les secteurs stratégiques émergents, conformément aux seuils fixés par le présent règlement, nonobstant le mécanisme de filtrage prévu par le règlement (UE) 2019/452 du Parlement européen et du Conseil</w:t>
      </w:r>
      <w:r w:rsidRPr="00732D9A">
        <w:rPr>
          <w:rStyle w:val="FootnoteReference"/>
          <w:rFonts w:eastAsia="Times New Roman"/>
          <w:noProof/>
          <w:lang w:eastAsia="en-GB"/>
        </w:rPr>
        <w:footnoteReference w:id="44"/>
      </w:r>
      <w:r w:rsidRPr="00732D9A">
        <w:rPr>
          <w:noProof/>
        </w:rPr>
        <w:t xml:space="preserve">. En outre, les dispositions du présent règlement devraient également s’appliquer sans préjudice des instruments du droit de la concurrence de l’Union, notamment le </w:t>
      </w:r>
      <w:r w:rsidRPr="00732D9A">
        <w:rPr>
          <w:noProof/>
        </w:rPr>
        <w:lastRenderedPageBreak/>
        <w:t>règlement (UE) 2022/2560 du Parlement européen et du Conseil</w:t>
      </w:r>
      <w:r w:rsidRPr="00732D9A">
        <w:rPr>
          <w:rStyle w:val="FootnoteReference"/>
          <w:noProof/>
        </w:rPr>
        <w:footnoteReference w:id="45"/>
      </w:r>
      <w:r w:rsidRPr="00732D9A">
        <w:rPr>
          <w:noProof/>
        </w:rPr>
        <w:t xml:space="preserve"> et le règlement (CE) nº 139/2004 du Conseil</w:t>
      </w:r>
      <w:r w:rsidRPr="00732D9A">
        <w:rPr>
          <w:rStyle w:val="FootnoteReference"/>
          <w:noProof/>
        </w:rPr>
        <w:footnoteReference w:id="46"/>
      </w:r>
      <w:r w:rsidRPr="00732D9A">
        <w:rPr>
          <w:noProof/>
        </w:rPr>
        <w:t xml:space="preserve">. </w:t>
      </w:r>
    </w:p>
    <w:p w14:paraId="729DF0C7" w14:textId="3BE1DFD9" w:rsidR="00BD6DCE" w:rsidRPr="00732D9A" w:rsidRDefault="00BD6DCE" w:rsidP="00BD6DCE">
      <w:pPr>
        <w:pStyle w:val="ManualConsidrant"/>
        <w:rPr>
          <w:rFonts w:ascii="Times" w:eastAsia="Times New Roman" w:hAnsi="Times" w:cs="Times"/>
          <w:noProof/>
        </w:rPr>
      </w:pPr>
      <w:r w:rsidRPr="00732D9A">
        <w:rPr>
          <w:noProof/>
        </w:rPr>
        <w:t>33)</w:t>
      </w:r>
      <w:r w:rsidRPr="00732D9A">
        <w:rPr>
          <w:noProof/>
        </w:rPr>
        <w:tab/>
      </w:r>
      <w:r w:rsidRPr="00732D9A">
        <w:rPr>
          <w:rFonts w:ascii="Times" w:hAnsi="Times"/>
          <w:noProof/>
        </w:rPr>
        <w:t>Les critères relatifs aux investissements directs étrangers devraient prendre en compte les investissements réalisés dans des secteurs stratégiques émergents au sein de l’Union par des investisseurs de pays tiers (ci-après les «investisseurs étrangers»). Toutefois, il pourrait également s’avérer nécessaire d’inclure les investissements réalisés dans l’Union par des entités contrôlées, directement ou indirectement, par une personne ou une entité d’un pays tiers, quel que soit le lieu où se trouve le propriétaire ultime (ci-après les «filiales de l’investisseur étranger»), car celles-ci sont tout aussi susceptibles de perturber le fonctionnement du marché intérieur, y compris la sécurité de l’approvisionnement et la sécurité économique, en raison du contrôle exercé depuis le pays tiers détenant une part de marché significative. Par conséquent, les autorités</w:t>
      </w:r>
      <w:r w:rsidR="00E67F7F">
        <w:rPr>
          <w:rFonts w:ascii="Times" w:hAnsi="Times"/>
          <w:noProof/>
        </w:rPr>
        <w:t xml:space="preserve"> </w:t>
      </w:r>
      <w:r w:rsidRPr="00732D9A">
        <w:rPr>
          <w:rFonts w:ascii="Times" w:hAnsi="Times"/>
          <w:noProof/>
        </w:rPr>
        <w:t>d’investissement devraient appliquer les critères d’investissement lorsque ceux-ci sont clairement nécessaires pour garantir efficacement la protection de la sécurité publique, de la sécurité de l’approvisionnement et de la sécurité économique, ainsi que la durabilité environnementale dans l’Union, et lorsque cela est essentiel pour les avancées technologiques du marché intérieur en vue de la transition verte et numérique et à des fins de défense. De plus, afin d’empêcher le contournement des dispositions du règlement, lorsqu’aucune autre mesure n’est raisonnablement envisageable. Afin de garantir l’application proportionnée des conditions imposées aux investissements réalisés par la filiale de l’investisseur étranger, la Commission devrait avoir la possibilité d’évaluer la notification et de demander à l’autorité d’investissement d’imposer certaines conditions. Hormis l’examen des investissements directs étrangers réalisés par la filiale de l’investisseur étranger, tel que prévu par le présent règlement, les investissements provenant d’autres États membres de l’Union ne devraient pas être soumis à des conditions ni découragés.</w:t>
      </w:r>
    </w:p>
    <w:p w14:paraId="302AEF9D" w14:textId="77777777" w:rsidR="00BD6DCE" w:rsidRPr="00732D9A" w:rsidRDefault="00BD6DCE" w:rsidP="00BD6DCE">
      <w:pPr>
        <w:pStyle w:val="ManualConsidrant"/>
        <w:rPr>
          <w:noProof/>
        </w:rPr>
      </w:pPr>
      <w:r w:rsidRPr="00732D9A">
        <w:rPr>
          <w:noProof/>
        </w:rPr>
        <w:t>34)</w:t>
      </w:r>
      <w:r w:rsidRPr="00732D9A">
        <w:rPr>
          <w:noProof/>
        </w:rPr>
        <w:tab/>
      </w:r>
      <w:r w:rsidRPr="00732D9A">
        <w:rPr>
          <w:rFonts w:ascii="Times" w:hAnsi="Times"/>
          <w:noProof/>
        </w:rPr>
        <w:t xml:space="preserve">Il convient de garantir un lien durable entre l’investisseur étranger et la cible de l’Union, que l’opération soit réalisée directement par un investisseur étranger ou par l’intermédiaire d’une entité établie dans l’Union et contrôlée par un investisseur étranger. </w:t>
      </w:r>
      <w:r w:rsidRPr="00732D9A">
        <w:rPr>
          <w:noProof/>
        </w:rPr>
        <w:t>Toutefois, cela ne devrait pas s’appliquer à l’acquisition de titres d’une société effectuée en tant qu’investissement purement financier et sans intention d’influencer la gestion ou le contrôle de la société (ci-après les «investissements de portefeuille»).</w:t>
      </w:r>
    </w:p>
    <w:p w14:paraId="7A373478" w14:textId="77777777" w:rsidR="00BD6DCE" w:rsidRPr="00732D9A" w:rsidRDefault="00BD6DCE" w:rsidP="00BD6DCE">
      <w:pPr>
        <w:pStyle w:val="ManualConsidrant"/>
        <w:rPr>
          <w:noProof/>
        </w:rPr>
      </w:pPr>
      <w:r w:rsidRPr="00732D9A">
        <w:rPr>
          <w:noProof/>
        </w:rPr>
        <w:t>35)</w:t>
      </w:r>
      <w:r w:rsidRPr="00732D9A">
        <w:rPr>
          <w:noProof/>
        </w:rPr>
        <w:tab/>
        <w:t xml:space="preserve">Les opérations de restructuration au sein d’un groupe de sociétés et les investissements réalisés dans des établissements financiers en application d’un instrument de résolution ainsi que des pouvoirs de dépréciation et de conversion devraient être exclus du champ d’application du présent règlement. Les restructurations internes ne devraient être exclues du champ d’application que dans la mesure où elles sont menées uniquement aux fins de la réorganisation interne d’une cible de l’Union ou du groupe d’entreprises auquel cette dernière appartient, sans entraîner de modification de la propriété effective </w:t>
      </w:r>
      <w:bookmarkStart w:id="9" w:name="_Hlk222061593"/>
      <w:r w:rsidRPr="00732D9A">
        <w:rPr>
          <w:noProof/>
        </w:rPr>
        <w:t xml:space="preserve">ou du contrôle </w:t>
      </w:r>
      <w:bookmarkEnd w:id="9"/>
      <w:r w:rsidRPr="00732D9A">
        <w:rPr>
          <w:noProof/>
        </w:rPr>
        <w:t xml:space="preserve">de la cible de l’Union. En particulier, les restructurations internes devraient être exclues lorsqu’elles n’aboutissent pas à une situation dans laquelle un nouvel investisseur étranger acquiert la propriété ou le contrôle de la cible de l’Union ou d’une société qui détient ou contrôle, directement ou </w:t>
      </w:r>
      <w:r w:rsidRPr="00732D9A">
        <w:rPr>
          <w:noProof/>
        </w:rPr>
        <w:lastRenderedPageBreak/>
        <w:t>indirectement, cette cible de l’Union, dans laquelle il y a une augmentation des parts détenues par les investisseurs étrangers, ou dans laquelle l’opération confère des droits supplémentaires aux investisseurs étrangers susceptibles d’entraîner une modification de la participation effective d’un ou de plusieurs investisseurs étrangers à la gestion ou au contrôle de la cible de l’Union.</w:t>
      </w:r>
    </w:p>
    <w:p w14:paraId="32E4E903" w14:textId="77777777" w:rsidR="00BD6DCE" w:rsidRPr="00732D9A" w:rsidRDefault="00BD6DCE" w:rsidP="00BD6DCE">
      <w:pPr>
        <w:pStyle w:val="ManualConsidrant"/>
        <w:rPr>
          <w:noProof/>
        </w:rPr>
      </w:pPr>
      <w:r w:rsidRPr="00732D9A">
        <w:rPr>
          <w:noProof/>
        </w:rPr>
        <w:t>36)</w:t>
      </w:r>
      <w:r w:rsidRPr="00732D9A">
        <w:rPr>
          <w:noProof/>
        </w:rPr>
        <w:tab/>
        <w:t xml:space="preserve">Les critères relatifs aux investissements directs étrangers ne devraient s’appliquer qu’aux investissements directs étrangers dans des secteurs stratégiques émergents dont la valeur atteint un seuil susceptible de perturber le bon fonctionnement du marché intérieur. Un seuil de 100 millions d’EUR devrait être considéré comme susceptible d’avoir une incidence sur le bon fonctionnement du marché intérieur dans les secteurs stratégiques émergents. Les investissements directs étrangers relevant du champ d’application du présent règlement présenteraient un risque élevé pour la sécurité et la durabilité environnementale de l’Union, sans pour autant générer une valeur ajoutée suffisante, notamment en ce qui concerne la contribution de l’Union à l’investissement, le renforcement du développement technologique de l’Union, l’emploi de travailleurs de l’Union et la contribution aux chaînes de valeur de l’Union pour le marché intérieur, si les conditions harmonisées ne sont pas respectées. </w:t>
      </w:r>
    </w:p>
    <w:p w14:paraId="12CBF707" w14:textId="77777777" w:rsidR="00BD6DCE" w:rsidRPr="00732D9A" w:rsidRDefault="00BD6DCE" w:rsidP="00BD6DCE">
      <w:pPr>
        <w:pStyle w:val="ManualConsidrant"/>
        <w:rPr>
          <w:rFonts w:ascii="Times" w:eastAsia="Times New Roman" w:hAnsi="Times" w:cs="Times"/>
          <w:noProof/>
        </w:rPr>
      </w:pPr>
      <w:r w:rsidRPr="00732D9A">
        <w:rPr>
          <w:noProof/>
        </w:rPr>
        <w:t>37)</w:t>
      </w:r>
      <w:r w:rsidRPr="00732D9A">
        <w:rPr>
          <w:noProof/>
        </w:rPr>
        <w:tab/>
      </w:r>
      <w:r w:rsidRPr="00732D9A">
        <w:rPr>
          <w:rFonts w:ascii="Times" w:hAnsi="Times"/>
          <w:noProof/>
        </w:rPr>
        <w:t>Afin de garantir l’application effective du présent règlement, chaque État membre devrait nommer une autorité d’investissement, dont la mission serait d’évaluer les conditions d’investissement des entités étrangères dans les secteurs stratégiques émergents. En outre, cette autorité devrait être dotée des ressources juridiques, administratives et financières nécessaires pour s’acquitter de ses tâches de manière efficace et indépendante, en tenant dûment compte des autorités déjà chargées de la mise en œuvre du règlement d’exécution (UE) 2019/452.</w:t>
      </w:r>
    </w:p>
    <w:p w14:paraId="35D08057" w14:textId="77777777" w:rsidR="00BD6DCE" w:rsidRPr="00732D9A" w:rsidRDefault="00BD6DCE" w:rsidP="00BD6DCE">
      <w:pPr>
        <w:pStyle w:val="ManualConsidrant"/>
        <w:rPr>
          <w:noProof/>
        </w:rPr>
      </w:pPr>
      <w:r w:rsidRPr="00732D9A">
        <w:rPr>
          <w:noProof/>
        </w:rPr>
        <w:t>38)</w:t>
      </w:r>
      <w:r w:rsidRPr="00732D9A">
        <w:rPr>
          <w:noProof/>
        </w:rPr>
        <w:tab/>
        <w:t xml:space="preserve">Afin de permettre aux États membres de recenser efficacement les investissements visés par le présent règlement, les investisseurs étrangers devraient notifier aux autorités compétentes leur intention d’acquérir ou de détenir des participations significatives dans des entreprises ou des actifs au sein de l’Union. La fixation d’un seuil de 30 % de participation ou d’autres droits permettant d’exercer un contrôle, tant pour les entreprises que pour les actifs, devrait garantir que ce mécanisme couvre les investissements susceptibles d’avoir une incidence sur le bon fonctionnement du marché intérieur. </w:t>
      </w:r>
    </w:p>
    <w:p w14:paraId="1AD8574F" w14:textId="77777777" w:rsidR="00BD6DCE" w:rsidRPr="00732D9A" w:rsidRDefault="00BD6DCE" w:rsidP="00BD6DCE">
      <w:pPr>
        <w:pStyle w:val="ManualConsidrant"/>
        <w:rPr>
          <w:noProof/>
        </w:rPr>
      </w:pPr>
      <w:r w:rsidRPr="00732D9A">
        <w:rPr>
          <w:noProof/>
        </w:rPr>
        <w:t>39)</w:t>
      </w:r>
      <w:r w:rsidRPr="00732D9A">
        <w:rPr>
          <w:noProof/>
        </w:rPr>
        <w:tab/>
        <w:t xml:space="preserve">Afin de réduire au minimum le risque de contournement par le truchement d’acquisitions fractionnées ou indirectes, lorsque plusieurs investisseurs étrangers agissent de concert, ou lorsque les investissements sont réalisés par l’intermédiaire d’entités liées ou de structures de propriété complexes, leurs participations respectives devraient être additionnées par l’autorité d’investissement aux fins de la détermination de la valeur de l’investissement et du seuil de notification. Cette règle devrait également s’appliquer pour les participations existantes dans la même entreprise ou le même actif de l’Union, qu’elles soient directes ou indirectes, individuelles ou conjointes, afin de garantir que les opérations successives conduisant à une influence notable ou à un contrôle soient dûment notifiées. </w:t>
      </w:r>
    </w:p>
    <w:p w14:paraId="789A3309" w14:textId="77777777" w:rsidR="00BD6DCE" w:rsidRPr="00732D9A" w:rsidRDefault="00BD6DCE" w:rsidP="00BD6DCE">
      <w:pPr>
        <w:pStyle w:val="ManualConsidrant"/>
        <w:rPr>
          <w:noProof/>
        </w:rPr>
      </w:pPr>
      <w:r w:rsidRPr="00732D9A">
        <w:rPr>
          <w:noProof/>
        </w:rPr>
        <w:t>40)</w:t>
      </w:r>
      <w:r w:rsidRPr="00732D9A">
        <w:rPr>
          <w:noProof/>
        </w:rPr>
        <w:tab/>
        <w:t xml:space="preserve">Afin de garantir la participation de l’Union aux investissements directs étrangers de grande envergure provenant de pays tiers occupant une position importante sur la scène mondiale, le présent règlement devrait fixer des limites quant à l’étendue de la participation et du contrôle que les investisseurs étrangers peuvent acquérir dans les entreprises et les actifs de l’Union. En conséquence, les investisseurs étrangers ne devraient pas, directement ou indirectement, créer, acquérir, détenir ou exercer des </w:t>
      </w:r>
      <w:r w:rsidRPr="00732D9A">
        <w:rPr>
          <w:noProof/>
        </w:rPr>
        <w:lastRenderedPageBreak/>
        <w:t>droits de propriété dépassant 49 % du capital social, des droits de vote ou des droits de propriété équivalents dans une cible de l’Union, ni créer ou obtenir des droits de propriété, de location ou d’autres droits équivalents conférant le contrôle d’un actif de l’Union.</w:t>
      </w:r>
    </w:p>
    <w:p w14:paraId="4EA4C918" w14:textId="77777777" w:rsidR="00BD6DCE" w:rsidRPr="00732D9A" w:rsidRDefault="00BD6DCE" w:rsidP="00BD6DCE">
      <w:pPr>
        <w:pStyle w:val="ManualConsidrant"/>
        <w:rPr>
          <w:noProof/>
        </w:rPr>
      </w:pPr>
      <w:r w:rsidRPr="00732D9A">
        <w:rPr>
          <w:noProof/>
        </w:rPr>
        <w:t>41)</w:t>
      </w:r>
      <w:r w:rsidRPr="00732D9A">
        <w:rPr>
          <w:noProof/>
        </w:rPr>
        <w:tab/>
        <w:t>Afin de garantir que les investisseurs étrangers et les entités de l’Union coopèrent dans les secteurs stratégiques émergents tout en assurant une participation suffisante des partenaires de l’Union, il convient de définir des conditions pour les coentreprises, qui devraient inclure des dispositions contractuelles. Au sein de la coentreprise, l’investisseur étranger ne devrait pas détenir plus de 49 % du capital social, des droits de vote, des droits de propriété équivalents ou d’autres droits conférant le contrôle dans l’une quelconque des entités de l’Union participant à la coentreprise. Cette condition devrait également contribuer à l’autonomie stratégique de l’Union et garantir la création d’une valeur ajoutée pour le marché intérieur.</w:t>
      </w:r>
    </w:p>
    <w:p w14:paraId="22C37C0E" w14:textId="77777777" w:rsidR="002970A5" w:rsidRPr="00732D9A" w:rsidRDefault="002970A5" w:rsidP="002970A5">
      <w:pPr>
        <w:pStyle w:val="ManualConsidrant"/>
        <w:rPr>
          <w:noProof/>
        </w:rPr>
      </w:pPr>
      <w:r w:rsidRPr="00732D9A">
        <w:rPr>
          <w:noProof/>
        </w:rPr>
        <w:t>42)</w:t>
      </w:r>
      <w:r w:rsidRPr="00732D9A">
        <w:rPr>
          <w:noProof/>
        </w:rPr>
        <w:tab/>
        <w:t xml:space="preserve">Il convient d’évaluer, parmi les conditions d’agrément d’un investissement direct étranger, si le transfert de technologie peut contribuer à la réalisation des objectifs du présent règlement. À cette fin, il convient d’encourager les investisseurs étrangers à concéder sous licence à la cible de l’Union, à la coentreprise ou à l’entité juridique qui acquiert ou détient l’actif de l’Union, les droits de propriété intellectuelle et le savoir-faire nécessaires à l’exercice de l’activité économique concernée dans le cadre de l’investissement direct étranger. L’investisseur étranger devrait donc conclure le ou les accords de licence de propriété intellectuelle appropriés avec la cible de l’Union, la coentreprise ou l’entité juridique qui acquiert ou détient l’actif de l’Union. La portée et les conditions de ces accords, telles que les droits de propriété intellectuelle précisément concernés, le caractère exclusif de la licence, la durée de celle-ci ou les mesures visant à préserver la confidentialité, devraient être adaptées aux circonstances et à l’objectif poursuivi au titre du présent règlement et de l’investissement concerné. L’investisseur étranger devrait s’engager à octroyer les licences appropriées portant sur les droits de propriété intellectuelle et le savoir-faire pertinent qu’il détient, dans la mesure nécessaire pour l’activité économique concernée. Cela pourrait être réalisé en fournissant à l’autorité d’investissement, à titre confidentiel, une description des principaux aspects des accords de licence éventuels. </w:t>
      </w:r>
    </w:p>
    <w:p w14:paraId="407AF2DD" w14:textId="77777777" w:rsidR="00B23782" w:rsidRPr="00732D9A" w:rsidRDefault="00B23782" w:rsidP="00B23782">
      <w:pPr>
        <w:pStyle w:val="ManualConsidrant"/>
        <w:rPr>
          <w:noProof/>
        </w:rPr>
      </w:pPr>
      <w:r w:rsidRPr="00732D9A">
        <w:rPr>
          <w:noProof/>
        </w:rPr>
        <w:t>43)</w:t>
      </w:r>
      <w:r w:rsidRPr="00732D9A">
        <w:rPr>
          <w:noProof/>
        </w:rPr>
        <w:tab/>
        <w:t xml:space="preserve">Lorsque la cible de l’Union ou la personne morale qui acquiert ou détient l’actif de l’Union détient des droits de propriété intellectuelle sur une invention, une œuvre ou tout autre actif bénéficiant d’une protection en matière de propriété intellectuelle avant l’investissement étranger, ces droits de propriété intellectuelle doivent rester pleinement et exclusivement sous le contrôle de la cible de l’Union ou de la personne morale qui acquiert ou détient l’actif de l’Union. L’investisseur étranger ne doit revendiquer aucun droit de propriété intellectuelle ni mener aucune activité susceptible de porter atteinte à la capacité de la cible de l’Union ou de l’entité juridique acquérant ou détenant l’actif de l’Union à détenir et à exercer les droits de propriété intellectuelle sur ses inventions, œuvres, marques, dessins et modèles ou tout autre actif pertinent obtenus avant l’investissement étranger. Lorsqu’une invention, une œuvre ou tout autre actif relevant de la protection de la propriété intellectuelle résulte d’une collaboration entre la cible de l’Union ou l’entité juridique acquérant ou détenant l’actif de l’Union et l’investisseur étranger, ou d’une coentreprise, les droits de propriété intellectuelle devraient être détenus conjointement par l’investisseur étranger, la cible de l’Union ou l’entité juridique acquérant ou détenant l’actif de l’Union, selon le cas. Les conditions relatives à la copropriété des droits de propriété intellectuelle devraient, dans la mesure du possible, être définies et communiquées à </w:t>
      </w:r>
      <w:r w:rsidRPr="00732D9A">
        <w:rPr>
          <w:noProof/>
        </w:rPr>
        <w:lastRenderedPageBreak/>
        <w:t>l’autorité d’investissement avant l’approbation de l’investissement direct étranger. Ces conditions devraient inclure des précisions quant à la possibilité pour un copropriétaire d’octroyer une licence et d’engager des procédures pour contrefaçon, ainsi que les accords financiers concernant le dépôt et l’enregistrement des droits de propriété intellectuelle et les contrats de licence. Dans le cas d’une coentreprise sans personnalité juridique, des précisions devraient être fournies à l’autorité d’investissement concernant la propriété des droits de propriété intellectuelle.</w:t>
      </w:r>
    </w:p>
    <w:p w14:paraId="47C3D097" w14:textId="3C873E06" w:rsidR="00BF3A9F" w:rsidRPr="00732D9A" w:rsidRDefault="00B23782" w:rsidP="00B23782">
      <w:pPr>
        <w:pStyle w:val="ManualConsidrant"/>
        <w:rPr>
          <w:rFonts w:ascii="Times" w:eastAsia="Times New Roman" w:hAnsi="Times" w:cs="Times"/>
          <w:noProof/>
        </w:rPr>
      </w:pPr>
      <w:r w:rsidRPr="00732D9A">
        <w:rPr>
          <w:noProof/>
        </w:rPr>
        <w:t>44)</w:t>
      </w:r>
      <w:r w:rsidRPr="00732D9A">
        <w:rPr>
          <w:noProof/>
        </w:rPr>
        <w:tab/>
        <w:t xml:space="preserve">Il convient de veiller à ce que l’expertise des investisseurs étrangers dans le cadre des investissements directs étrangers de grande envergure relevant du champ d’application du présent règlement contribue à renforcer le développement technologique de l’Union, tant au sein qu’à l’extérieur de la cible de l’Union, de la coentreprise ou de </w:t>
      </w:r>
      <w:r w:rsidRPr="00732D9A">
        <w:rPr>
          <w:rFonts w:ascii="Times" w:hAnsi="Times"/>
          <w:noProof/>
        </w:rPr>
        <w:t>l’entité juridique qui acquiert ou détient l’actif de l’Union</w:t>
      </w:r>
      <w:r w:rsidRPr="00732D9A">
        <w:rPr>
          <w:noProof/>
        </w:rPr>
        <w:t xml:space="preserve">. À cette fin, les investisseurs étrangers devraient investir dans des projets de recherche et développement destinés à être menés au sein de l’Union, tout en veillant à ce que cette dernière puisse tirer profit des résultats obtenus. </w:t>
      </w:r>
      <w:r w:rsidRPr="00732D9A">
        <w:rPr>
          <w:rFonts w:ascii="Times" w:hAnsi="Times"/>
          <w:noProof/>
        </w:rPr>
        <w:t xml:space="preserve">Il convient donc d’évaluer, parmi les conditions d’agrément d’un investissement direct étranger, si </w:t>
      </w:r>
      <w:r w:rsidRPr="00732D9A">
        <w:rPr>
          <w:noProof/>
        </w:rPr>
        <w:t xml:space="preserve">les investissements en recherche et développement des investisseurs étrangers sont </w:t>
      </w:r>
      <w:r w:rsidRPr="00732D9A">
        <w:rPr>
          <w:rFonts w:ascii="Times" w:hAnsi="Times"/>
          <w:noProof/>
        </w:rPr>
        <w:t>suffisants pour atteindre cet objectif</w:t>
      </w:r>
      <w:r w:rsidRPr="00732D9A">
        <w:rPr>
          <w:noProof/>
        </w:rPr>
        <w:t>. Ces investissements pourraient être affectés en faveur d’instituts de recherche établis dans l’Union, notamment dans le cadre de projets communs avec la cible de l’Union, la coentreprise ou l’</w:t>
      </w:r>
      <w:r w:rsidRPr="00732D9A">
        <w:rPr>
          <w:rFonts w:ascii="Times" w:hAnsi="Times"/>
          <w:noProof/>
        </w:rPr>
        <w:t>entité juridique qui acquiert ou détient l’actif de l’Union.</w:t>
      </w:r>
      <w:r w:rsidRPr="00732D9A">
        <w:rPr>
          <w:noProof/>
        </w:rPr>
        <w:t xml:space="preserve"> Ils pourraient également être réalisés au sein de la cible de l’Union, de la coentreprise ou de l’</w:t>
      </w:r>
      <w:r w:rsidRPr="00732D9A">
        <w:rPr>
          <w:rFonts w:ascii="Times" w:hAnsi="Times"/>
          <w:noProof/>
        </w:rPr>
        <w:t>entité juridique qui acquiert ou détient l’actif de l’Union</w:t>
      </w:r>
      <w:r w:rsidRPr="00732D9A">
        <w:rPr>
          <w:noProof/>
        </w:rPr>
        <w:t>, en vue de développer ou de mener à bien des activités spécifiques de recherche et de développement. Ces investissements pourraient également prendre la forme d’une formation des travailleurs de l’Union, ou d’un soutien financier direct ou indirect à des projets de recherche et développement au sein de la cible de l’Union, de la coentreprise ou de l’</w:t>
      </w:r>
      <w:r w:rsidRPr="00732D9A">
        <w:rPr>
          <w:rFonts w:ascii="Times" w:hAnsi="Times"/>
          <w:noProof/>
        </w:rPr>
        <w:t>entité juridique qui acquiert ou détient l’actif de l’entreprise d’origine</w:t>
      </w:r>
      <w:r w:rsidRPr="00732D9A">
        <w:rPr>
          <w:noProof/>
        </w:rPr>
        <w:t>. Toute évaluation réalisée concernant des investissements dans des projets de recherche et de développement devant être menés au sein de l’Union ne devrait pas porter atteinte aux instruments du droit de la concurrence de l’Union, notamment les règlements (UE) 2022/2560 et (CE) nº 139/2004.</w:t>
      </w:r>
    </w:p>
    <w:p w14:paraId="3E26158F" w14:textId="77777777" w:rsidR="00B23782" w:rsidRPr="00732D9A" w:rsidRDefault="00B23782" w:rsidP="00B23782">
      <w:pPr>
        <w:pStyle w:val="ManualConsidrant"/>
        <w:rPr>
          <w:noProof/>
        </w:rPr>
      </w:pPr>
      <w:r w:rsidRPr="00732D9A">
        <w:rPr>
          <w:noProof/>
        </w:rPr>
        <w:t>45)</w:t>
      </w:r>
      <w:r w:rsidRPr="00732D9A">
        <w:rPr>
          <w:noProof/>
        </w:rPr>
        <w:tab/>
        <w:t xml:space="preserve">Afin de favoriser l’intégration durable des investissements réalisés par des entités étrangères au sein du marché intérieur et le développement des compétences dans les secteurs stratégiques émergents, et de garantir une contribution sociale significative sur le lieu de l’investissement, ces investissements devraient recourir à une certaine proportion de travailleurs de l’Union et prévoir des mesures appropriées de formation et de renforcement des capacités, en associant les prestataires d’enseignement et de formation ainsi que les partenaires sociaux. L’investisseur étranger devrait veiller à ce que les seuils fixés dans le présent règlement soient respectés pour toutes les catégories de main-d’œuvre, notamment les postes opérationnels, techniques, de supervision et de direction. </w:t>
      </w:r>
    </w:p>
    <w:p w14:paraId="5615ED95" w14:textId="77777777" w:rsidR="00B23782" w:rsidRPr="00732D9A" w:rsidRDefault="00B23782" w:rsidP="00B23782">
      <w:pPr>
        <w:pStyle w:val="ManualConsidrant"/>
        <w:rPr>
          <w:noProof/>
        </w:rPr>
      </w:pPr>
      <w:r w:rsidRPr="00732D9A">
        <w:rPr>
          <w:noProof/>
        </w:rPr>
        <w:t>46)</w:t>
      </w:r>
      <w:r w:rsidRPr="00732D9A">
        <w:rPr>
          <w:noProof/>
        </w:rPr>
        <w:tab/>
        <w:t xml:space="preserve">Afin de renforcer la capacité industrielle des secteurs stratégiques émergents et d’intégrer les investissements directs étrangers dans l’écosystème industriel de l’Union, les produits mis sur le marché de l’Union grâce à ces investissements devraient contenir une certaine proportion d’intrants fabriqués dans l’Union. </w:t>
      </w:r>
    </w:p>
    <w:p w14:paraId="224856C8" w14:textId="77777777" w:rsidR="009C5B57" w:rsidRPr="00732D9A" w:rsidRDefault="009C5B57" w:rsidP="009C5B57">
      <w:pPr>
        <w:pStyle w:val="ManualConsidrant"/>
        <w:rPr>
          <w:noProof/>
        </w:rPr>
      </w:pPr>
      <w:r w:rsidRPr="00732D9A">
        <w:rPr>
          <w:noProof/>
        </w:rPr>
        <w:t>47)</w:t>
      </w:r>
      <w:r w:rsidRPr="00732D9A">
        <w:rPr>
          <w:noProof/>
        </w:rPr>
        <w:tab/>
        <w:t xml:space="preserve">Afin de garantir que les investissements directs étrangers remplissent au moins quatre des six conditions fixées par le présent règlement, l’autorité d’investissement compétente devrait examiner chaque notification et rendre une décision motivée quant à son approbation ou à son rejet. Les autorités d’investissement devraient vérifier que </w:t>
      </w:r>
      <w:r w:rsidRPr="00732D9A">
        <w:rPr>
          <w:noProof/>
        </w:rPr>
        <w:lastRenderedPageBreak/>
        <w:t>les conditions sont remplies ou, le cas échéant, que l’investisseur étranger a l’intention de s’y conformer. Ces investissements ne devraient pas être mis en œuvre sans l’approbation explicite de l’autorité d’investissement. En conséquence, les investisseurs étrangers devraient se conformer à un ensemble de conditions avant de démarrer leur activité économique relative à l’investissement direct étranger concerné. Les autorités d’investissement devraient statuer dans un délai garantissant à la fois l’efficacité procédurale et la sécurité juridique. Lorsque la complexité du dossier ou la nécessité d’obtenir des informations complémentaires le justifie, ce délai pourrait être prolongé, pour des raisons justifiées et dûment étayées.</w:t>
      </w:r>
    </w:p>
    <w:p w14:paraId="4C35EE7A" w14:textId="77777777" w:rsidR="00004A96" w:rsidRPr="00732D9A" w:rsidRDefault="00004A96" w:rsidP="00004A96">
      <w:pPr>
        <w:pStyle w:val="ManualConsidrant"/>
        <w:rPr>
          <w:noProof/>
        </w:rPr>
      </w:pPr>
      <w:r w:rsidRPr="00732D9A">
        <w:rPr>
          <w:noProof/>
        </w:rPr>
        <w:t>48)</w:t>
      </w:r>
      <w:r w:rsidRPr="00732D9A">
        <w:rPr>
          <w:noProof/>
        </w:rPr>
        <w:tab/>
        <w:t xml:space="preserve">Les États membres devraient informer la Commission des notifications reçues afin de lui permettre de suivre efficacement l’évolution du paysage des investissements et de garantir un cadre d’investissement harmonisé sur l’ensemble du marché intérieur. </w:t>
      </w:r>
    </w:p>
    <w:p w14:paraId="4C0AA486" w14:textId="77777777" w:rsidR="00B7763C" w:rsidRPr="00732D9A" w:rsidRDefault="00B7763C" w:rsidP="00B7763C">
      <w:pPr>
        <w:pStyle w:val="ManualConsidrant"/>
        <w:rPr>
          <w:rFonts w:ascii="Times" w:eastAsia="Calibri" w:hAnsi="Times" w:cs="Times"/>
          <w:noProof/>
        </w:rPr>
      </w:pPr>
      <w:r w:rsidRPr="00732D9A">
        <w:rPr>
          <w:noProof/>
        </w:rPr>
        <w:t>49)</w:t>
      </w:r>
      <w:r w:rsidRPr="00732D9A">
        <w:rPr>
          <w:noProof/>
        </w:rPr>
        <w:tab/>
        <w:t xml:space="preserve">Afin de garantir l’application horizontale du présent règlement au sein du marché intérieur, la Commission devrait pouvoir émettre un avis sur la question de savoir si l’investissement remplit les conditions énoncées dans le présent règlement. Ces avis devraient être rendus publics. Si l’autorité d’investissement a l’intention de s’écarter de l’avis de la Commission dans sa décision, elle devrait prolonger la procédure d’agrément de deux mois afin de dûment évaluer les arguments de la Commission. Lorsqu’ils prennent une décision, les États membres devraient justifier la manière dont ils ont tenu compte de l’avis de la Commission. </w:t>
      </w:r>
    </w:p>
    <w:p w14:paraId="4F56793A" w14:textId="77777777" w:rsidR="00DA06CF" w:rsidRPr="00732D9A" w:rsidRDefault="00DA06CF" w:rsidP="00DA06CF">
      <w:pPr>
        <w:pStyle w:val="ManualConsidrant"/>
        <w:rPr>
          <w:noProof/>
        </w:rPr>
      </w:pPr>
      <w:r w:rsidRPr="00732D9A">
        <w:rPr>
          <w:noProof/>
        </w:rPr>
        <w:t>50)</w:t>
      </w:r>
      <w:r w:rsidRPr="00732D9A">
        <w:rPr>
          <w:noProof/>
        </w:rPr>
        <w:tab/>
        <w:t>Afin de garantir l’application horizontale du présent règlement sur le marché unique, la Commission devrait être en mesure d’examiner les investissements directs étrangers, soit de sa propre initiative, soit à l’initiative d’un État membre concerné par ces investissements. Cela devrait notamment être le cas pour les investissements ayant une incidence sur plusieurs États membres, ainsi que pour les investissements de valeur élevée et ceux revêtant une importance stratégique particulière pour l’Union en raison de leur incidence sur le marché unique.</w:t>
      </w:r>
    </w:p>
    <w:p w14:paraId="43758A06" w14:textId="5C8B40EC" w:rsidR="002660A9" w:rsidRPr="00732D9A" w:rsidRDefault="002660A9" w:rsidP="002660A9">
      <w:pPr>
        <w:pStyle w:val="ManualConsidrant"/>
        <w:rPr>
          <w:noProof/>
        </w:rPr>
      </w:pPr>
      <w:r w:rsidRPr="00732D9A">
        <w:rPr>
          <w:noProof/>
        </w:rPr>
        <w:t>51)</w:t>
      </w:r>
      <w:r w:rsidRPr="00732D9A">
        <w:rPr>
          <w:noProof/>
        </w:rPr>
        <w:tab/>
        <w:t>Les autorités d’investissemen</w:t>
      </w:r>
      <w:r w:rsidR="00E67F7F">
        <w:rPr>
          <w:noProof/>
        </w:rPr>
        <w:t>t</w:t>
      </w:r>
      <w:r w:rsidRPr="00732D9A">
        <w:rPr>
          <w:noProof/>
        </w:rPr>
        <w:t xml:space="preserve"> devraient non seulement veiller au respect des conditions au moment de la notification de l’investissement direct étranger, mais aussi tout au long de son exploitation, le cas échéant, afin de garantir que les avantages de cet investissement soient maximisés sur le marché intérieur.</w:t>
      </w:r>
    </w:p>
    <w:p w14:paraId="0F3CEDDC" w14:textId="77777777" w:rsidR="002A08F1" w:rsidRPr="00732D9A" w:rsidRDefault="002A08F1" w:rsidP="002A08F1">
      <w:pPr>
        <w:pStyle w:val="ManualConsidrant"/>
        <w:rPr>
          <w:noProof/>
        </w:rPr>
      </w:pPr>
      <w:r w:rsidRPr="00732D9A">
        <w:rPr>
          <w:noProof/>
        </w:rPr>
        <w:t>52)</w:t>
      </w:r>
      <w:r w:rsidRPr="00732D9A">
        <w:rPr>
          <w:noProof/>
        </w:rPr>
        <w:tab/>
        <w:t xml:space="preserve">Afin de garantir que les critères relatifs aux investissements directs étrangers dans les secteurs stratégiques émergents restent adaptés, même si les conditions du marché, les évolutions technologiques et les objectifs de l’Union en matière de politique de compétitivité continuent de changer, la Commission devrait surveiller les tendances mondiales de l’industrie manufacturière dans les secteurs stratégiques et être habilitée à adopter des actes d’exécution imposant des critères relatifs aux investissements directs étrangers à d’autres secteurs stratégiques. La Commission devrait notamment évaluer la valeur seuil, ainsi que la pertinence et la nécessité de tous les critères d’investissement visés dans le présent règlement pour atteindre les objectifs de celui-ci. </w:t>
      </w:r>
    </w:p>
    <w:p w14:paraId="2F7DD70E" w14:textId="77777777" w:rsidR="005503B6" w:rsidRPr="00732D9A" w:rsidRDefault="005503B6" w:rsidP="005503B6">
      <w:pPr>
        <w:pStyle w:val="ManualConsidrant"/>
        <w:rPr>
          <w:noProof/>
        </w:rPr>
      </w:pPr>
      <w:r w:rsidRPr="00732D9A">
        <w:rPr>
          <w:noProof/>
        </w:rPr>
        <w:t>53)</w:t>
      </w:r>
      <w:r w:rsidRPr="00732D9A">
        <w:rPr>
          <w:noProof/>
        </w:rPr>
        <w:tab/>
        <w:t xml:space="preserve">Le regroupement d’activités industrielles peut contribuer de manière significative à la réalisation des objectifs du présent règlement et au renforcement de certains secteurs stratégiques au sein du marché intérieur. Il convient donc de promouvoir le développement des zones d’industrialisation prioritaire. Ces zones devraient avoir un périmètre géographique limité afin de favoriser la symbiose industrielle. Lors de la désignation de ces zones, les États membres devraient, si nécessaire en coopération avec les autorités régionales, tenir compte de la production industrielle (en particulier </w:t>
      </w:r>
      <w:r w:rsidRPr="00732D9A">
        <w:rPr>
          <w:noProof/>
        </w:rPr>
        <w:lastRenderedPageBreak/>
        <w:t>pour certains secteurs stratégiques) et du niveau général de développement de leurs régions, en mettant l’accent sur les régions moins développées et celles en transition. En outre, afin de renforcer la résilience, l’autonomie stratégique et la compétitivité de la base industrielle de l’Union, la désignation des zones d’industrialisation prioritaire devrait s’aligner sur les projets stratégiques et d’autres initiatives de l’Union telles que les vallées d’accélération «zéro net».</w:t>
      </w:r>
    </w:p>
    <w:p w14:paraId="09B00E87" w14:textId="77777777" w:rsidR="005503B6" w:rsidRPr="00732D9A" w:rsidRDefault="005503B6" w:rsidP="005503B6">
      <w:pPr>
        <w:pStyle w:val="ManualConsidrant"/>
        <w:rPr>
          <w:noProof/>
        </w:rPr>
      </w:pPr>
      <w:r w:rsidRPr="00732D9A">
        <w:rPr>
          <w:noProof/>
        </w:rPr>
        <w:t>54)</w:t>
      </w:r>
      <w:r w:rsidRPr="00732D9A">
        <w:rPr>
          <w:noProof/>
        </w:rPr>
        <w:tab/>
        <w:t>Les mesures d’accélération industrielle mises en œuvre dans les zones d’industrialisation prioritaire devraient s’appuyer sur des synergies appropriées avec d’autres initiatives de l’Union, notamment les projets stratégiques reconnus dans la législation de l’Union, les vallées d’accélération «zéro net» et les possibilités de financement de l’Union, afin d’harmoniser les priorités stratégiques au sein du marché intérieur et de favoriser les installations industrielles essentielles à l’autonomie stratégique et à la compétitivité de l’Union. Ces avantages devraient également s’appliquer aux entreprises ayant obtenu le label de compétitivité au titre du règlement (UE) XXXX/[XX]</w:t>
      </w:r>
      <w:r w:rsidRPr="00732D9A">
        <w:rPr>
          <w:rStyle w:val="FootnoteReference"/>
          <w:noProof/>
        </w:rPr>
        <w:footnoteReference w:id="47"/>
      </w:r>
      <w:r w:rsidRPr="00732D9A">
        <w:rPr>
          <w:noProof/>
        </w:rPr>
        <w:t xml:space="preserve"> (Fonds européen pour la compétitivité), sauf exclusion spécifique par l’État membre.</w:t>
      </w:r>
    </w:p>
    <w:p w14:paraId="422A0DBC" w14:textId="77777777" w:rsidR="00141992" w:rsidRPr="00732D9A" w:rsidRDefault="00141992" w:rsidP="00141992">
      <w:pPr>
        <w:pStyle w:val="ManualConsidrant"/>
        <w:rPr>
          <w:noProof/>
        </w:rPr>
      </w:pPr>
      <w:r w:rsidRPr="00732D9A">
        <w:rPr>
          <w:noProof/>
        </w:rPr>
        <w:t>55)</w:t>
      </w:r>
      <w:r w:rsidRPr="00732D9A">
        <w:rPr>
          <w:noProof/>
        </w:rPr>
        <w:tab/>
        <w:t xml:space="preserve">Afin de garantir un approvisionnement adéquat en matières premières critiques pour les projets relevant des zones d’industrialisation prioritaire, le comité européen des matières premières critiques, institué par l’article 35 du règlement (UE) 2024/1252, devrait servir de plateforme d’échange d’informations sur les goulets d’étranglement dans la chaîne d’approvisionnement en matières premières critiques dans les zones d’industrialisation prioritaire. Les projets dans les zones concernées devraient pouvoir tirer parti du mécanisme d’achats communs établi à l’article 25 du règlement (UE) 2024/1252 afin de regrouper leur demande de matières premières stratégiques et d’accroître leur pouvoir de négociation auprès des vendeurs potentiels, en particulier lorsqu’ils comprennent des petites et moyennes entreprises (PME) et des petites entreprises à moyenne capitalisation (SMC). </w:t>
      </w:r>
    </w:p>
    <w:p w14:paraId="625DC414" w14:textId="77777777" w:rsidR="00141992" w:rsidRPr="00732D9A" w:rsidRDefault="00141992" w:rsidP="00141992">
      <w:pPr>
        <w:pStyle w:val="ManualConsidrant"/>
        <w:rPr>
          <w:noProof/>
        </w:rPr>
      </w:pPr>
      <w:r w:rsidRPr="00732D9A">
        <w:rPr>
          <w:noProof/>
        </w:rPr>
        <w:t>56)</w:t>
      </w:r>
      <w:r w:rsidRPr="00732D9A">
        <w:rPr>
          <w:noProof/>
        </w:rPr>
        <w:tab/>
        <w:t xml:space="preserve">Un approvisionnement énergétique suffisant et en temps opportun des zones d’industrialisation prioritaire constitue une condition préalable fondamentale à leur déploiement efficace et au développement des activités manufacturières. Des informations fiables et précises sur la demande énergétique future contribuent à un développement rentable du réseau électrique. Les États membres devraient donc réaliser une analyse pour chaque zone d’industrialisation prioritaire, en déterminant ses besoins énergétiques futurs. Cette analyse devrait servir à fournir des informations pour la planification du réseau national, contribuant ainsi à des investissements anticipés et ciblés dans le réseau et à des raccordements énergétiques plus rapides pour la zone d’industrialisation prioritaire. Pour en définir le champ, les États membres devraient tenir compte de la disponibilité des infrastructures de transport et de réseau pertinentes. Les résultats de ces évaluations devraient être pris en compte dans les plans nationaux de développement du réseau afin de refléter de manière adéquate les futurs points de demande énergétique dans la planification prochaine du réseau. </w:t>
      </w:r>
    </w:p>
    <w:p w14:paraId="42382ADA" w14:textId="77777777" w:rsidR="00141992" w:rsidRPr="00732D9A" w:rsidRDefault="00141992" w:rsidP="00141992">
      <w:pPr>
        <w:pStyle w:val="ManualConsidrant"/>
        <w:rPr>
          <w:noProof/>
        </w:rPr>
      </w:pPr>
      <w:r w:rsidRPr="00732D9A">
        <w:rPr>
          <w:noProof/>
        </w:rPr>
        <w:t>57)</w:t>
      </w:r>
      <w:r w:rsidRPr="00732D9A">
        <w:rPr>
          <w:noProof/>
        </w:rPr>
        <w:tab/>
        <w:t xml:space="preserve">Lorsque des zones d’industrialisation prioritaire sont mises en place, leur désignation devrait tenir compte de l’accès à des possibilités de formation et d’éducation ou de </w:t>
      </w:r>
      <w:r w:rsidRPr="00732D9A">
        <w:rPr>
          <w:noProof/>
        </w:rPr>
        <w:lastRenderedPageBreak/>
        <w:t xml:space="preserve">l’organisation potentielle de celles-ci, afin de garantir la disponibilité d’une main-d’œuvre qualifiée. </w:t>
      </w:r>
    </w:p>
    <w:p w14:paraId="7FD0C322" w14:textId="77777777" w:rsidR="00E76B75" w:rsidRPr="00732D9A" w:rsidRDefault="00E76B75" w:rsidP="00E76B75">
      <w:pPr>
        <w:pStyle w:val="ManualConsidrant"/>
        <w:rPr>
          <w:noProof/>
        </w:rPr>
      </w:pPr>
      <w:r w:rsidRPr="00732D9A">
        <w:rPr>
          <w:noProof/>
        </w:rPr>
        <w:t>58)</w:t>
      </w:r>
      <w:r w:rsidRPr="00732D9A">
        <w:rPr>
          <w:noProof/>
        </w:rPr>
        <w:tab/>
        <w:t>Afin de favoriser le développement des zones d’industrialisation prioritaire et d’accélérer les procédures d’octroi de permis nécessaires aux activités industrielles menées dans ces zones, les États membres devraient mettre en place un permis global de référence tenant compte des caractéristiques spécifiques de chaque zone d’industrialisation prioritaire recensée et adapté aux secteurs de l’industrie manufacturière qui y seront implantés. Ce permis global de référence octroyé par les autorités publiques devrait couvrir les permis généralement requis pour ce type d’activités dans la zone concernée, à l’exclusion des permis spécifiques à une installation, tels que ceux requis en vertu de la directive 2010/75/UE du Parlement européen et du Conseil</w:t>
      </w:r>
      <w:r w:rsidRPr="00732D9A">
        <w:rPr>
          <w:rStyle w:val="FootnoteReference"/>
          <w:noProof/>
        </w:rPr>
        <w:footnoteReference w:id="48"/>
      </w:r>
      <w:r w:rsidRPr="00732D9A">
        <w:rPr>
          <w:noProof/>
        </w:rPr>
        <w:t>, ainsi que le permis de raccordement au réseau. Par conséquent, les promoteurs de projets ne devraient être tenus d’obtenir des permis supplémentaires que pour les activités non couvertes par le permis global de référence, ainsi que pour les évaluations environnementales lorsque celles-ci sont requises. Dans le cas d’activités susceptibles d’avoir une incidence sur des sites protégés au niveau de l’Union ou au niveau national, les permis correspondants ne devraient être accordés qu’après s’être assuré que ces activités sont compatibles avec les objectifs de conservation de ces sites. Une telle approche devrait permettre d’accélérer considérablement les procédures d’octroi de permis et de réduire la charge administrative qui y est associée, tout en maintenant des normes environnementales élevées.</w:t>
      </w:r>
    </w:p>
    <w:p w14:paraId="06DAFCAC" w14:textId="77777777" w:rsidR="00E76B75" w:rsidRPr="00732D9A" w:rsidRDefault="00E76B75" w:rsidP="00E76B75">
      <w:pPr>
        <w:pStyle w:val="ManualConsidrant"/>
        <w:rPr>
          <w:noProof/>
        </w:rPr>
      </w:pPr>
      <w:r w:rsidRPr="00732D9A">
        <w:rPr>
          <w:noProof/>
        </w:rPr>
        <w:t>(59)</w:t>
      </w:r>
      <w:r w:rsidRPr="00732D9A">
        <w:rPr>
          <w:noProof/>
        </w:rPr>
        <w:tab/>
        <w:t>Afin d’établir un cadre garantissant l’autonomie stratégique et la sécurité économique de l’Union grâce à l’accès à un approvisionnement sûr, durable et résilient en produits manufacturés pertinents, il convient de déléguer à la Commission le pouvoir d’adopter des actes conformément à l’article 290 du TFUE en ce qui concerne les modifications apportées à la liste des pays tiers dont les contenus ne sont pas considérés comme équivalents à des contenus originaires de l’Union, l’introduction ou la modification d’exigences en matière d’origine UE et de faibles émissions de carbone, y compris pour des technologies «zéro net» supplémentaires et pour les produits et services énumérés aux annexes II et III, l’établissement de mesures axées sur la demande au niveau de l’Union pour les produits de l’industrie chimique, en tenant notamment compte des recommandations de l’alliance pour les produits chimiques critiques, l’extension des critères relatifs aux investissements directs étrangers à des secteurs stratégiques émergents supplémentaires, la spécification de règles de procédure communes pour les critères relatifs aux investissements directs étrangers et la mise en place de systèmes de classification fondés sur l’intensité des émissions de gaz à effet de serre pour les produits.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732D9A">
        <w:rPr>
          <w:rStyle w:val="FootnoteReference"/>
          <w:noProof/>
        </w:rPr>
        <w:footnoteReference w:id="49"/>
      </w:r>
      <w:r w:rsidRPr="00732D9A">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1A1BF5C7" w14:textId="77777777" w:rsidR="00E15A7B" w:rsidRPr="00732D9A" w:rsidRDefault="00E15A7B" w:rsidP="00E15A7B">
      <w:pPr>
        <w:pStyle w:val="ManualConsidrant"/>
        <w:rPr>
          <w:noProof/>
        </w:rPr>
      </w:pPr>
      <w:r w:rsidRPr="00732D9A">
        <w:rPr>
          <w:noProof/>
        </w:rPr>
        <w:lastRenderedPageBreak/>
        <w:t>(60)</w:t>
      </w:r>
      <w:r w:rsidRPr="00732D9A">
        <w:rPr>
          <w:noProof/>
        </w:rPr>
        <w:tab/>
        <w:t>Afin d’assurer des conditions uniformes d’exécution du présent règlement, il convient de conférer à la Commission des compétences d’exécution pour préciser la méthode permettant de calculer la proportion dans laquelle le volume des produits et composants est originaire de l’Union et de vérifier le respect des conditions énoncées à l’article 15. Ces compétences devraient être exercées conformément au règlement (UE) nº 182/2011 du Parlement européen et du Conseil</w:t>
      </w:r>
      <w:r w:rsidRPr="00732D9A">
        <w:rPr>
          <w:rStyle w:val="FootnoteReference"/>
          <w:noProof/>
        </w:rPr>
        <w:footnoteReference w:id="50"/>
      </w:r>
      <w:r w:rsidRPr="00732D9A">
        <w:rPr>
          <w:noProof/>
        </w:rPr>
        <w:t>.</w:t>
      </w:r>
    </w:p>
    <w:p w14:paraId="3DB09BF9" w14:textId="77777777" w:rsidR="00E15A7B" w:rsidRPr="00732D9A" w:rsidRDefault="00E15A7B" w:rsidP="00E15A7B">
      <w:pPr>
        <w:pStyle w:val="ManualConsidrant"/>
        <w:rPr>
          <w:noProof/>
        </w:rPr>
      </w:pPr>
      <w:r w:rsidRPr="00732D9A">
        <w:rPr>
          <w:noProof/>
        </w:rPr>
        <w:t>(61)</w:t>
      </w:r>
      <w:r w:rsidRPr="00732D9A">
        <w:rPr>
          <w:noProof/>
        </w:rPr>
        <w:tab/>
        <w:t>La Commission devrait procéder à une évaluation du présent règlement sur la base des informations fournies par les États membres. Conformément au point 22 de l’accord interinstitutionnel «Mieux légiférer» du 13 avril 2016, cette évaluation devrait être fondée sur cinq critères (l’efficacité, l’effectivité, la pertinence, la cohérence et la valeur ajoutée de l’Union) et servir de base aux analyses d’impact d’autres mesures éventuelles.</w:t>
      </w:r>
    </w:p>
    <w:p w14:paraId="3B5C80A4" w14:textId="77777777" w:rsidR="002B14CF" w:rsidRPr="00732D9A" w:rsidRDefault="002B14CF" w:rsidP="002B14CF">
      <w:pPr>
        <w:pStyle w:val="ManualConsidrant"/>
        <w:rPr>
          <w:noProof/>
        </w:rPr>
      </w:pPr>
      <w:r w:rsidRPr="00732D9A">
        <w:rPr>
          <w:noProof/>
        </w:rPr>
        <w:t>(62)</w:t>
      </w:r>
      <w:r w:rsidRPr="00732D9A">
        <w:rPr>
          <w:noProof/>
        </w:rPr>
        <w:tab/>
        <w:t>Afin de garantir le respect des obligations prévues par le présent règlement, les États membres devraient prévoir des sanctions à imposer aux entreprises qui ne s’acquittent pas de leurs obligations. Ces sanctions devraient être sans préjudice des exigences spécifiques en matière de sanctions prévues par le présent règlement, par exemple en ce qui concerne les investissements directs étrangers. Elles devraient s’ajouter à ces exigences. Il est donc nécessaire que les États membres prévoient dans leur droit national des sanctions effectives, proportionnées et dissuasives en cas de non-respect du présent règlement. Il est également nécessaire que les États membres veillent à ce que les promoteurs de projets aient accès, le cas échéant, à un recours administratif ou juridictionnel conformément au droit national.</w:t>
      </w:r>
    </w:p>
    <w:p w14:paraId="66BFDD9B" w14:textId="77777777" w:rsidR="003E6F54" w:rsidRPr="00732D9A" w:rsidRDefault="003E6F54" w:rsidP="00F6687A">
      <w:pPr>
        <w:pStyle w:val="ManualConsidrant"/>
        <w:rPr>
          <w:noProof/>
        </w:rPr>
      </w:pPr>
      <w:r w:rsidRPr="00732D9A">
        <w:rPr>
          <w:noProof/>
        </w:rPr>
        <w:t>(63)</w:t>
      </w:r>
      <w:r w:rsidRPr="00732D9A">
        <w:rPr>
          <w:noProof/>
        </w:rPr>
        <w:tab/>
        <w:t>Lors du réexamen du présent règlement, la Commission devrait évaluer la nécessité de modifier les dispositions figurant aux chapitres III et IV. En particulier, elle devrait envisager l’introduction d’exigences ciblées en matière d’origine UE dans les secteurs des transports essentiels à la sécurité économique de l’Union, notamment la construction de navires et de matériel roulant ferroviaire. La Commission devrait également envisager l’introduction d’un examen renforcé des investissements directs étrangers pour les produits et pièces aéronautiques.</w:t>
      </w:r>
    </w:p>
    <w:p w14:paraId="69A56ED4" w14:textId="77777777" w:rsidR="00143279" w:rsidRPr="00732D9A" w:rsidRDefault="00143279" w:rsidP="00143279">
      <w:pPr>
        <w:pStyle w:val="ManualConsidrant"/>
        <w:rPr>
          <w:rFonts w:ascii="Times" w:eastAsia="Times New Roman" w:hAnsi="Times" w:cs="Times"/>
          <w:noProof/>
        </w:rPr>
      </w:pPr>
      <w:r w:rsidRPr="00732D9A">
        <w:rPr>
          <w:noProof/>
        </w:rPr>
        <w:t>(64)</w:t>
      </w:r>
      <w:r w:rsidRPr="00732D9A">
        <w:rPr>
          <w:noProof/>
        </w:rPr>
        <w:tab/>
      </w:r>
      <w:r w:rsidRPr="00732D9A">
        <w:rPr>
          <w:rFonts w:ascii="Times" w:hAnsi="Times"/>
          <w:noProof/>
        </w:rPr>
        <w:t>Le règlement (UE) 2018/1724 du Parlement européen et du Conseil</w:t>
      </w:r>
      <w:r w:rsidRPr="00732D9A">
        <w:rPr>
          <w:rStyle w:val="FootnoteReference"/>
          <w:rFonts w:ascii="Times" w:eastAsia="Times New Roman" w:hAnsi="Times" w:cs="Times"/>
          <w:noProof/>
          <w:lang w:eastAsia="en-GB"/>
        </w:rPr>
        <w:footnoteReference w:id="51"/>
      </w:r>
      <w:r w:rsidRPr="00732D9A">
        <w:rPr>
          <w:rFonts w:ascii="Times" w:hAnsi="Times"/>
          <w:noProof/>
        </w:rPr>
        <w:t xml:space="preserve">, qui a établi le portail numérique unique, prévoit des règles générales pour la fourniture en ligne d’informations, de procédures et de services d’assistance pertinents pour le fonctionnement du </w:t>
      </w:r>
      <w:r w:rsidRPr="00732D9A">
        <w:rPr>
          <w:noProof/>
        </w:rPr>
        <w:t>marché intérieur</w:t>
      </w:r>
      <w:r w:rsidRPr="00732D9A">
        <w:rPr>
          <w:rFonts w:ascii="Times" w:hAnsi="Times"/>
          <w:noProof/>
        </w:rPr>
        <w:t xml:space="preserve">. Afin de permettre aux entreprises et aux promoteurs de projets de l’industrie manufacturière, y compris dans le cadre de projets transfrontières, de bénéficier directement des avantages </w:t>
      </w:r>
      <w:r w:rsidRPr="00732D9A">
        <w:rPr>
          <w:noProof/>
        </w:rPr>
        <w:t xml:space="preserve">du marché intérieur </w:t>
      </w:r>
      <w:r w:rsidRPr="00732D9A">
        <w:rPr>
          <w:rFonts w:ascii="Times" w:hAnsi="Times"/>
          <w:noProof/>
        </w:rPr>
        <w:t xml:space="preserve">sans devoir supporter une charge administrative supplémentaire inutile, les informations qui doivent être fournies aux autorités compétentes dans le cadre de la procédure d’octroi de permis régie par le présent règlement sont celles figurant à l’annexe I du règlement (UE) 2018/1724. Les procédures y afférentes figurent à l’annexe II dudit règlement, afin que les promoteurs de projets puissent bénéficier de procédures intégralement en ligne et des services du système technique «une fois pour toutes» (Once-Only </w:t>
      </w:r>
      <w:r w:rsidRPr="00732D9A">
        <w:rPr>
          <w:rFonts w:ascii="Times" w:hAnsi="Times"/>
          <w:noProof/>
        </w:rPr>
        <w:lastRenderedPageBreak/>
        <w:t xml:space="preserve">Technical System). En particulier, les promoteurs de projets de l’industrie manufacturière devraient être en mesure d’accéder pleinement à toute procédure liée à la procédure d’octroi de permis et de l’accomplir intégralement en ligne, conformément à l’article 6, paragraphe 1, du règlement (UE) 2018/1724 et à l’annexe II dudit règlement. </w:t>
      </w:r>
      <w:r w:rsidRPr="00732D9A">
        <w:rPr>
          <w:noProof/>
        </w:rPr>
        <w:t xml:space="preserve">Il y a </w:t>
      </w:r>
      <w:r w:rsidRPr="00732D9A">
        <w:rPr>
          <w:rFonts w:ascii="Times" w:hAnsi="Times"/>
          <w:noProof/>
        </w:rPr>
        <w:t>donc lieu de modifier le règlement (UE) 2018/1724 en conséquence.</w:t>
      </w:r>
    </w:p>
    <w:p w14:paraId="0A99ADF6" w14:textId="77777777" w:rsidR="00980176" w:rsidRPr="00732D9A" w:rsidRDefault="00980176" w:rsidP="00980176">
      <w:pPr>
        <w:pStyle w:val="ManualConsidrant"/>
        <w:rPr>
          <w:noProof/>
        </w:rPr>
      </w:pPr>
      <w:r w:rsidRPr="00732D9A">
        <w:rPr>
          <w:noProof/>
        </w:rPr>
        <w:t>(65)</w:t>
      </w:r>
      <w:r w:rsidRPr="00732D9A">
        <w:rPr>
          <w:noProof/>
        </w:rPr>
        <w:tab/>
        <w:t xml:space="preserve">Le règlement (UE) 2024/1735 introduit des exigences en matière de résilience applicables à toute une série de produits finaux de technologie «zéro net». Ces exigences visent à réduire les dépendances à l’égard de certains pays tiers d’approvisionnement, mais elles comportent un risque de contournement et ne sont pas suffisantes pour permettre aux industries de l’Union d’exploiter pleinement le potentiel du marché intérieur. Par conséquent, afin de relever ces défis, il convient que le cadre législatif tienne compte de la nécessité d’attirer et de conserver le savoir-faire technologique au sein de l’Union, au moyen d’une intervention ciblée supplémentaire. </w:t>
      </w:r>
    </w:p>
    <w:p w14:paraId="44B35BE8" w14:textId="77777777" w:rsidR="002B14CF" w:rsidRPr="00732D9A" w:rsidRDefault="002B14CF" w:rsidP="002B14CF">
      <w:pPr>
        <w:pStyle w:val="ManualConsidrant"/>
        <w:rPr>
          <w:noProof/>
        </w:rPr>
      </w:pPr>
      <w:r w:rsidRPr="00732D9A">
        <w:rPr>
          <w:noProof/>
        </w:rPr>
        <w:t>(66)</w:t>
      </w:r>
      <w:r w:rsidRPr="00732D9A">
        <w:rPr>
          <w:noProof/>
        </w:rPr>
        <w:tab/>
        <w:t xml:space="preserve">Les dispositions relatives aux marchés publics énoncées dans le présent règlement devraient s’appuyer sur les dispositions en matière de résilience prévues par le règlement (UE) 2024/1735 et les compléter en introduisant des exigences supplémentaires pour les systèmes de stockage de l’énergie par batterie, les technologies solaires photovoltaïques, les pompes à chaleur, les technologies éoliennes terrestres et en mer, les électrolyseurs et les technologies de l’énergie nucléaire de fission. Ces exigences supplémentaires devraient garantir qu’une certaine proportion des produits et de leurs principaux composants spécifiques provienne de l’Union. Cette approche devrait permettre d’assurer une diversification suffisante tout en renforçant la capacité de production stratégique et la souveraineté technologique au sein de l’Union. Le système de vérification du respect des exigences devrait limiter la charge administrative et s’aligner sur les pratiques communes en matière de marchés publics ainsi que sur le système existant de vérification du respect des exigences prévu par le règlement (UE) 2024/1735. Il devrait dès lors s’appuyer sur une déclaration sur l’honneur des opérateurs économiques. </w:t>
      </w:r>
    </w:p>
    <w:p w14:paraId="2FD9AD32" w14:textId="77777777" w:rsidR="005B1524" w:rsidRPr="00732D9A" w:rsidRDefault="005B1524" w:rsidP="005B1524">
      <w:pPr>
        <w:pStyle w:val="ManualConsidrant"/>
        <w:rPr>
          <w:noProof/>
        </w:rPr>
      </w:pPr>
      <w:r w:rsidRPr="00732D9A">
        <w:rPr>
          <w:noProof/>
        </w:rPr>
        <w:t>(67)</w:t>
      </w:r>
      <w:r w:rsidRPr="00732D9A">
        <w:rPr>
          <w:noProof/>
        </w:rPr>
        <w:tab/>
        <w:t xml:space="preserve">En plus de compléter les dispositions du règlement (UE) 2024/1735 relatives aux marchés publics, le présent règlement devrait également les modifier afin d’offrir une plus grande sécurité juridique. Le champ d’application de l’article 25 du règlement (UE) 2024/1735 devrait être limité aux technologies «zéro net» pour lesquelles on table sur des marchés publics d’une ampleur pertinente, ce qui permettrait de clarifier cette disposition. </w:t>
      </w:r>
    </w:p>
    <w:p w14:paraId="4CD62FCE" w14:textId="77777777" w:rsidR="002B14CF" w:rsidRPr="00732D9A" w:rsidRDefault="002B14CF" w:rsidP="002B14CF">
      <w:pPr>
        <w:pStyle w:val="ManualConsidrant"/>
        <w:rPr>
          <w:noProof/>
        </w:rPr>
      </w:pPr>
      <w:r w:rsidRPr="00732D9A">
        <w:rPr>
          <w:noProof/>
        </w:rPr>
        <w:t>(68)</w:t>
      </w:r>
      <w:r w:rsidRPr="00732D9A">
        <w:rPr>
          <w:noProof/>
        </w:rPr>
        <w:tab/>
        <w:t>Conformément au même objectif stratégique que celui poursuivi dans le cadre des enchères pour les énergies renouvelables prévues par le règlement (UE) 2024/1735, le présent règlement devrait étendre les exigences supplémentaires en matière d’origine UE aux enchères pour les énergies renouvelables portant sur certaines technologies liées aux énergies renouvelables, afin de contribuer à renforcer la base industrielle de l’Union et à garantir la résilience des chaînes d’approvisionnement des technologies «zéro net». Afin de tenir compte des caractéristiques spécifiques des enchères pour les énergies renouvelables, les exigences supplémentaires devraient s’appliquer aux technologies «zéro net» les plus pertinentes dans le cadre d’enchères, à savoir les systèmes de stockage d’énergie par batterie, les technologies solaires photovoltaïques, les électrolyseurs et les technologies éoliennes terrestres et en mer. Lorsque les exigences en matière d’origine UE s’appliquent à des enchères, d’autres dispositions fixant des exigences similaires pour les régimes d’aide publique ne devraient pas s’appliquer à ces enchères.</w:t>
      </w:r>
    </w:p>
    <w:p w14:paraId="4FF4C71B" w14:textId="77777777" w:rsidR="001B4AFE" w:rsidRPr="00732D9A" w:rsidRDefault="001B4AFE" w:rsidP="001B4AFE">
      <w:pPr>
        <w:pStyle w:val="ManualConsidrant"/>
        <w:rPr>
          <w:noProof/>
        </w:rPr>
      </w:pPr>
      <w:r w:rsidRPr="00732D9A">
        <w:rPr>
          <w:noProof/>
        </w:rPr>
        <w:lastRenderedPageBreak/>
        <w:t>(69)</w:t>
      </w:r>
      <w:r w:rsidRPr="00732D9A">
        <w:rPr>
          <w:noProof/>
        </w:rPr>
        <w:tab/>
        <w:t>Afin d’accroître l’efficacité du cadre et de tenir compte de la récente montée des risques géopolitiques et des distorsions du marché mondial, il convient d’augmenter la part des enchères soumises aux exigences et de relever le seuil de coûts supportés à partir duquel il est possible de déroger à celles-ci. Cela devrait également permettre d’éviter le recours excessif aux exemptions et constituer une incitation efficace à développer considérablement la production de technologies liées aux énergies renouvelables dans l’Union.</w:t>
      </w:r>
    </w:p>
    <w:p w14:paraId="7C872568" w14:textId="77777777" w:rsidR="002066B0" w:rsidRPr="00732D9A" w:rsidRDefault="002066B0" w:rsidP="002066B0">
      <w:pPr>
        <w:pStyle w:val="ManualConsidrant"/>
        <w:rPr>
          <w:noProof/>
        </w:rPr>
      </w:pPr>
      <w:r w:rsidRPr="00732D9A">
        <w:rPr>
          <w:noProof/>
        </w:rPr>
        <w:t>(70)</w:t>
      </w:r>
      <w:r w:rsidRPr="00732D9A">
        <w:rPr>
          <w:noProof/>
        </w:rPr>
        <w:tab/>
        <w:t>Les entreprises et les ménages jouent un rôle central dans la demande de technologies «zéro net» dans l’Union. Les régimes d’aide publique conçus pour soutenir la demande des consommateurs de ces produits constituent des outils importants pour renforcer la sécurité économique de l’Union et accélérer la transition écologique. Afin de pouvoir s’appuyer sur les dispositions en matière de résilience du règlement (UE) 2024/1735, il est nécessaire de les compléter en introduisant des exigences supplémentaires pour les systèmes de stockage de l’énergie par batterie, les technologies solaires photovoltaïques et les pompes à chaleur. Ces exigences supplémentaires devraient garantir que certains principaux composants spécifiques et, dans certains cas, l’ensemble du produit final, soient originaires de l’Union. Cette approche s’inscrit dans l’objectif général des régimes de soutien, qui consiste à promouvoir des résultats bénéfiques à la société, en vue de progresser dans la réalisation des ambitions du socle européen des droits sociaux ainsi que des objectifs environnementaux et climatiques. Elle devrait en outre permettre d’assurer une diversification suffisante tout en renforçant la capacité de production stratégique et la souveraineté technologique au sein de l’Union. Les autorités publiques chargées des régimes d’aide devraient avoir la possibilité soit de subordonner l’admissibilité du régime au respect des exigences, soit d’accorder une compensation financière supplémentaire si les exigences sont remplies. Dans ce dernier cas, la compensation financière supplémentaire devrait avoir un effet incitatif. Toutefois, s’il s’agit d’une aide d’État, la compensation financière supplémentaire ne devrait pas être supérieure à l’intensité d’aide maximale applicable.</w:t>
      </w:r>
    </w:p>
    <w:p w14:paraId="67B2F560" w14:textId="77777777" w:rsidR="002B14CF" w:rsidRPr="00732D9A" w:rsidRDefault="002B14CF" w:rsidP="002B14CF">
      <w:pPr>
        <w:pStyle w:val="ManualConsidrant"/>
        <w:rPr>
          <w:noProof/>
        </w:rPr>
      </w:pPr>
      <w:r w:rsidRPr="00732D9A">
        <w:rPr>
          <w:noProof/>
        </w:rPr>
        <w:t>(71)</w:t>
      </w:r>
      <w:r w:rsidRPr="00732D9A">
        <w:rPr>
          <w:noProof/>
        </w:rPr>
        <w:tab/>
        <w:t>Les technologies numériques continuent de transformer la manière dont nous produisons, distribuons et consommons l’énergie. Si cette évolution numérique offre des possibilités sans précédent, elle a également rendu les systèmes énergétiques modernes complexes et interdépendants, ces derniers étant à présent exposés à un éventail croissant de cybermenaces. L’intégration des technologies numériques dans les systèmes énergétiques accroît la surface d’attaque dont disposent les acteurs malveillants, qui peuvent exploiter les vulnérabilités pour perturber les opérations, voler des données sensibles ou manipuler les marchés de l’énergie. Ces perturbations menacent non seulement la sécurité et la stabilité de nos infrastructures énergétiques et la continuité de notre approvisionnement en énergie, mais ont également des effets en cascade sur tous les secteurs de l’économie qui dépendent d’intrants énergétiques stables. En outre, les perturbations du système énergétique pourraient saper la confiance des investisseurs et décourager les investissements dans les efforts de modernisation et de décarbonation, qui sont essentiels. Par conséquent, il est primordial de garantir la cybersécurité de ces systèmes afin d’assurer la sécurité économique, de préserver la confiance et de favoriser la résilience face aux défis à venir.</w:t>
      </w:r>
    </w:p>
    <w:p w14:paraId="577C419C" w14:textId="77777777" w:rsidR="00BF2C13" w:rsidRPr="00732D9A" w:rsidRDefault="00BF2C13" w:rsidP="00BF2C13">
      <w:pPr>
        <w:pStyle w:val="ManualConsidrant"/>
        <w:rPr>
          <w:noProof/>
        </w:rPr>
      </w:pPr>
      <w:r w:rsidRPr="00732D9A">
        <w:rPr>
          <w:noProof/>
        </w:rPr>
        <w:t>(72)</w:t>
      </w:r>
      <w:r w:rsidRPr="00732D9A">
        <w:rPr>
          <w:noProof/>
        </w:rPr>
        <w:tab/>
        <w:t xml:space="preserve">Pour garantir un niveau élevé de cybersécurité, il est nécessaire d’empêcher que les fournisseurs à haut risque, tels qu’identifiés conformément à [la proposition de révision du règlement sur la cybersécurité], ne fournissent des composants critiques </w:t>
      </w:r>
      <w:r w:rsidRPr="00732D9A">
        <w:rPr>
          <w:noProof/>
        </w:rPr>
        <w:lastRenderedPageBreak/>
        <w:t xml:space="preserve">aux soumissionnaires participant aux enchères pour les énergies renouvelables ou aux procédures de passation de marchés publics, ou des composants critiques destinés à des produits finaux bénéficiant d’une aide publique, qui relèvent du champ d’application du présent règlement. </w:t>
      </w:r>
    </w:p>
    <w:p w14:paraId="54EDE06D" w14:textId="77777777" w:rsidR="002B14CF" w:rsidRPr="00732D9A" w:rsidRDefault="002B14CF" w:rsidP="002B14CF">
      <w:pPr>
        <w:pStyle w:val="ManualConsidrant"/>
        <w:rPr>
          <w:noProof/>
        </w:rPr>
      </w:pPr>
      <w:r w:rsidRPr="00732D9A">
        <w:rPr>
          <w:noProof/>
        </w:rPr>
        <w:t>(73)</w:t>
      </w:r>
      <w:r w:rsidRPr="00732D9A">
        <w:rPr>
          <w:noProof/>
        </w:rPr>
        <w:tab/>
        <w:t>En outre, les dispositions en matière de cybersécurité de l’article 26 du règlement (UE) 2024/1735 ne devraient pas s’appliquer uniquement à 30 % du volume des enchères pour les énergies renouvelables, mais à la totalité de celles-ci, étant donné que la cybersécurité est essentielle à la stabilité et à l’intégrité du système énergétique de l’Union dans son ensemble. Une faille, même dans un seul maillon de la cybersécurité d’un système énergétique, pourrait mettre en péril la stabilité du système tout entier. Outre le niveau élevé de cybersécurité garanti dans les secteurs critiques par la directive (UE) 2022/2555 et dans les produits comportant des éléments numériques par le règlement (UE) 2024/2847, l’extension du champ d’application des exigences de cybersécurité du règlement (UE) 2024/1735 à la totalité des enchères pour les énergies renouvelables devrait réduire davantage les vulnérabilités du système énergétique de l’Union et contribuer à garantir la stabilité énergétique et économique.</w:t>
      </w:r>
    </w:p>
    <w:p w14:paraId="44C79EDF" w14:textId="77777777" w:rsidR="002B14CF" w:rsidRPr="00732D9A" w:rsidRDefault="002B14CF" w:rsidP="002B14CF">
      <w:pPr>
        <w:pStyle w:val="ManualConsidrant"/>
        <w:rPr>
          <w:noProof/>
        </w:rPr>
      </w:pPr>
      <w:r w:rsidRPr="00732D9A">
        <w:rPr>
          <w:noProof/>
        </w:rPr>
        <w:t>(74)</w:t>
      </w:r>
      <w:r w:rsidRPr="00732D9A">
        <w:rPr>
          <w:noProof/>
        </w:rPr>
        <w:tab/>
        <w:t>L’application des exigences en matière d’origine UE et de cybersécurité pour les technologies «zéro net» devrait venir compléter les exigences en matière de durabilité et de résilience énoncées dans le règlement (UE) 2024/1735. Elles devraient donc être intégrées dans ledit règlement afin de garantir la cohérence et de simplifier la mise en œuvre par les autorités compétentes.</w:t>
      </w:r>
    </w:p>
    <w:p w14:paraId="3926B2B8" w14:textId="77777777" w:rsidR="007A55C2" w:rsidRPr="00732D9A" w:rsidRDefault="00DA70B3" w:rsidP="007A55C2">
      <w:pPr>
        <w:pStyle w:val="ManualConsidrant"/>
        <w:rPr>
          <w:noProof/>
        </w:rPr>
      </w:pPr>
      <w:r w:rsidRPr="00732D9A">
        <w:rPr>
          <w:noProof/>
        </w:rPr>
        <w:t>(75)</w:t>
      </w:r>
      <w:r w:rsidRPr="00732D9A">
        <w:rPr>
          <w:noProof/>
        </w:rPr>
        <w:tab/>
        <w:t xml:space="preserve">Conformément aux mesures relatives aux marchés publics, aux enchères et aux régimes d’aide publique, le présent règlement devrait également compléter le règlement (UE) 2024/1735 en subordonnant le soutien fourni par les États membres en faveur de la construction de centrales nucléaires et de la fabrication d’électrolyseurs à hydrogène au respect d’exigences en matière d’origine UE. Afin de garantir la souveraineté à long terme et la sécurité énergétique de l’Union ainsi que la résilience du secteur, il est essentiel que les nouvelles centrales nucléaires, qu’il s’agisse de réacteurs à grande échelle ou de petits réacteurs modulaires, privilégient autant que possible les technologies et composants provenant de l’Union, tout en maintenant les normes de qualité les plus élevées possible. Une telle stratégie permettra non seulement de renforcer les capacités intérieures, mais aussi de positionner l’Union en tant qu’acteur fiable et compétitif sur le marché nucléaire mondial. Toutefois, afin de prévenir les risques liés au verrouillage technologique, les exigences en matière d’origine UE pour les centrales nucléaires ne devraient s’appliquer qu’aux nouvelles constructions et exclure la rénovation des centrales nucléaires existantes et la prolongation de leur durée de vie. </w:t>
      </w:r>
    </w:p>
    <w:p w14:paraId="1CA3114A" w14:textId="77777777" w:rsidR="00853DEE" w:rsidRPr="00732D9A" w:rsidRDefault="00853DEE" w:rsidP="007A55C2">
      <w:pPr>
        <w:pStyle w:val="ManualConsidrant"/>
        <w:rPr>
          <w:noProof/>
        </w:rPr>
      </w:pPr>
      <w:r w:rsidRPr="00732D9A">
        <w:rPr>
          <w:noProof/>
        </w:rPr>
        <w:t>(76)</w:t>
      </w:r>
      <w:r w:rsidRPr="00732D9A">
        <w:rPr>
          <w:noProof/>
        </w:rPr>
        <w:tab/>
        <w:t>Il y a donc lieu de modifier le règlement (UE) 2024/1735 en conséquence.</w:t>
      </w:r>
    </w:p>
    <w:p w14:paraId="36DB128F" w14:textId="77777777" w:rsidR="002B14CF" w:rsidRPr="00732D9A" w:rsidRDefault="002B14CF" w:rsidP="002B14CF">
      <w:pPr>
        <w:pStyle w:val="ManualConsidrant"/>
        <w:rPr>
          <w:noProof/>
        </w:rPr>
      </w:pPr>
      <w:r w:rsidRPr="00732D9A">
        <w:rPr>
          <w:noProof/>
        </w:rPr>
        <w:t>(77)</w:t>
      </w:r>
      <w:r w:rsidRPr="00732D9A">
        <w:rPr>
          <w:noProof/>
        </w:rPr>
        <w:tab/>
        <w:t xml:space="preserve">L’hydrogène est un vecteur énergétique essentiel pour la transition énergétique dans de nombreuses applications industrielles et joue un rôle déterminant dans la transition vers des systèmes énergétiques plus propres. Pour accompagner l’essor du déploiement d’électrolyseurs à l’échelle du gigawatt dans l’Union, il est essentiel de disposer d’un système de soutien concerté et renforcé. </w:t>
      </w:r>
    </w:p>
    <w:p w14:paraId="0D63C727" w14:textId="77777777" w:rsidR="00FD27D5" w:rsidRPr="00732D9A" w:rsidRDefault="003C510C" w:rsidP="002B14CF">
      <w:pPr>
        <w:pStyle w:val="ManualConsidrant"/>
        <w:rPr>
          <w:noProof/>
        </w:rPr>
      </w:pPr>
      <w:r w:rsidRPr="00732D9A">
        <w:rPr>
          <w:noProof/>
        </w:rPr>
        <w:t>(78)</w:t>
      </w:r>
      <w:r w:rsidRPr="00732D9A">
        <w:rPr>
          <w:noProof/>
        </w:rPr>
        <w:tab/>
        <w:t xml:space="preserve">Lorsque les exigences en matière d’origine UE imposent qu’un certain nombre de composants proviennent de l’Union sans préciser lesquels, le choix devrait être laissé aux opérateurs économiques. Cette approche permet de garantir une concurrence suffisante entre les fournisseurs des composants requis et permet aux opérateurs économiques de faire les choix les plus rentables tout en respectant les exigences. </w:t>
      </w:r>
    </w:p>
    <w:p w14:paraId="47DBD66B" w14:textId="77777777" w:rsidR="00F66A56" w:rsidRPr="00732D9A" w:rsidRDefault="002B14CF" w:rsidP="007A55C2">
      <w:pPr>
        <w:pStyle w:val="ManualConsidrant"/>
        <w:rPr>
          <w:noProof/>
        </w:rPr>
      </w:pPr>
      <w:r w:rsidRPr="00732D9A">
        <w:rPr>
          <w:noProof/>
        </w:rPr>
        <w:lastRenderedPageBreak/>
        <w:t>(79)</w:t>
      </w:r>
      <w:r w:rsidRPr="00732D9A">
        <w:rPr>
          <w:noProof/>
        </w:rPr>
        <w:tab/>
        <w:t>Le règlement (UE) 2024/3110 habilite la Commission à adopter des actes délégués afin d’établir des exigences en matière d’étiquetage de la durabilité environnementale pour des familles et catégories particulières de produits de construction, à condition qu’un produit soit généralement choisi par les consommateurs et que sa performance environnementale globale tout au long de son cycle de vie ne diffère pas en fonction de son installation. Ces conditions strictes devraient être supprimées afin de permettre à la Commission de fixer des exigences en matière d’étiquetage de produits de construction sur la base de leur intensité de carbone, y compris pour les produits qui ne sont généralement pas vendus aux consommateurs finaux. Il y a donc lieu de modifier le règlement (UE) 2024/3110 en conséquence.</w:t>
      </w:r>
    </w:p>
    <w:p w14:paraId="57BDAA00" w14:textId="77777777" w:rsidR="002B14CF" w:rsidRPr="00732D9A" w:rsidRDefault="002B14CF" w:rsidP="002B14CF">
      <w:pPr>
        <w:pStyle w:val="ManualConsidrant"/>
        <w:rPr>
          <w:noProof/>
        </w:rPr>
      </w:pPr>
      <w:r w:rsidRPr="00732D9A">
        <w:rPr>
          <w:noProof/>
        </w:rPr>
        <w:t>(80)</w:t>
      </w:r>
      <w:r w:rsidRPr="00732D9A">
        <w:rPr>
          <w:noProof/>
        </w:rPr>
        <w:tab/>
        <w:t>Dès lors que l’une des mesures envisagées par le présent règlement constitue une aide d’État, les dispositions relatives à ces mesures s’entendent sans préjudice de l’application des articles 107 et 108 du traité sur le fonctionnement de l’Union européenne.</w:t>
      </w:r>
    </w:p>
    <w:p w14:paraId="222FA7C1" w14:textId="77777777" w:rsidR="002B14CF" w:rsidRPr="00732D9A" w:rsidRDefault="002B14CF">
      <w:pPr>
        <w:pStyle w:val="ManualConsidrant"/>
        <w:rPr>
          <w:noProof/>
        </w:rPr>
      </w:pPr>
      <w:r w:rsidRPr="00732D9A">
        <w:rPr>
          <w:noProof/>
        </w:rPr>
        <w:t>(81)</w:t>
      </w:r>
      <w:r w:rsidRPr="00732D9A">
        <w:rPr>
          <w:noProof/>
        </w:rPr>
        <w:tab/>
        <w:t>Étant donné que l’objectif du présent règlement, à savoir soutenir une production industrielle résiliente et décarbonée, ne peut pas être atteint de manière suffisante par les États membres, mais peut, en raison des dimensions et des effets de l’action,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cet objectif,</w:t>
      </w:r>
    </w:p>
    <w:p w14:paraId="19436438" w14:textId="77777777" w:rsidR="00290640" w:rsidRPr="00732D9A" w:rsidRDefault="00440ED7" w:rsidP="00290640">
      <w:pPr>
        <w:pStyle w:val="Formuledadoption"/>
        <w:rPr>
          <w:noProof/>
        </w:rPr>
      </w:pPr>
      <w:r w:rsidRPr="00732D9A">
        <w:rPr>
          <w:noProof/>
        </w:rPr>
        <w:t>ONT ADOPTÉ LE PRÉSENT RÈGLEMENT:</w:t>
      </w:r>
    </w:p>
    <w:p w14:paraId="4968684C" w14:textId="40373E07" w:rsidR="00290640" w:rsidRPr="00732D9A" w:rsidRDefault="00290640" w:rsidP="00290640">
      <w:pPr>
        <w:pStyle w:val="ChapterTitle"/>
        <w:rPr>
          <w:noProof/>
        </w:rPr>
      </w:pPr>
      <w:r w:rsidRPr="00732D9A">
        <w:rPr>
          <w:b w:val="0"/>
          <w:noProof/>
        </w:rPr>
        <w:t>CHAPITRE I</w:t>
      </w:r>
      <w:r w:rsidRPr="00732D9A">
        <w:rPr>
          <w:noProof/>
        </w:rPr>
        <w:t xml:space="preserve"> </w:t>
      </w:r>
      <w:r w:rsidRPr="00732D9A">
        <w:rPr>
          <w:noProof/>
        </w:rPr>
        <w:br/>
        <w:t>DISPOSITIONS GÉNÉRALES</w:t>
      </w:r>
    </w:p>
    <w:p w14:paraId="45760F0A" w14:textId="589AEE30" w:rsidR="002D7B2F" w:rsidRPr="00732D9A" w:rsidRDefault="002D7B2F" w:rsidP="002D7B2F">
      <w:pPr>
        <w:pStyle w:val="Titrearticle"/>
        <w:rPr>
          <w:noProof/>
        </w:rPr>
      </w:pPr>
      <w:r w:rsidRPr="00732D9A">
        <w:rPr>
          <w:noProof/>
        </w:rPr>
        <w:t xml:space="preserve">Article </w:t>
      </w:r>
      <w:r w:rsidR="009F2FE8">
        <w:rPr>
          <w:noProof/>
        </w:rPr>
        <w:t>premier</w:t>
      </w:r>
      <w:r w:rsidRPr="00732D9A">
        <w:rPr>
          <w:noProof/>
        </w:rPr>
        <w:t xml:space="preserve">  </w:t>
      </w:r>
      <w:r w:rsidRPr="00732D9A">
        <w:rPr>
          <w:noProof/>
        </w:rPr>
        <w:br/>
      </w:r>
      <w:r w:rsidR="009F2FE8">
        <w:rPr>
          <w:b/>
          <w:i w:val="0"/>
          <w:noProof/>
        </w:rPr>
        <w:t>Objet et champ d’application</w:t>
      </w:r>
      <w:r w:rsidRPr="00732D9A">
        <w:rPr>
          <w:noProof/>
        </w:rPr>
        <w:t xml:space="preserve"> </w:t>
      </w:r>
    </w:p>
    <w:p w14:paraId="5D2BCDE5" w14:textId="77777777" w:rsidR="00C05D61" w:rsidRPr="00732D9A" w:rsidRDefault="00C05D61" w:rsidP="007234F4">
      <w:pPr>
        <w:pStyle w:val="ManualNumPar1"/>
        <w:rPr>
          <w:noProof/>
        </w:rPr>
      </w:pPr>
      <w:r w:rsidRPr="00732D9A">
        <w:rPr>
          <w:noProof/>
        </w:rPr>
        <w:t>1.</w:t>
      </w:r>
      <w:r w:rsidRPr="00732D9A">
        <w:rPr>
          <w:noProof/>
        </w:rPr>
        <w:tab/>
        <w:t>Le présent règlement vise à améliorer le fonctionnement du marché intérieur en établissant un cadre destiné à soutenir le développement, la compétitivité et la résilience du secteur manufacturier de l’Union, l’accent étant mis sur certains secteurs stratégiques, tout en contribuant à la réalisation de l’objectif climatique de l’Union, à la sécurité économique ainsi qu’à la création et au maintien d’emplois de qualité et à la transition vers de tels emplois.</w:t>
      </w:r>
    </w:p>
    <w:p w14:paraId="7486AD2B" w14:textId="77777777" w:rsidR="00CC5EE0" w:rsidRPr="00732D9A" w:rsidRDefault="00AD3ECB" w:rsidP="007234F4">
      <w:pPr>
        <w:pStyle w:val="ManualNumPar1"/>
        <w:rPr>
          <w:noProof/>
        </w:rPr>
      </w:pPr>
      <w:r w:rsidRPr="00732D9A">
        <w:rPr>
          <w:noProof/>
        </w:rPr>
        <w:t>2.</w:t>
      </w:r>
      <w:r w:rsidRPr="00732D9A">
        <w:rPr>
          <w:noProof/>
        </w:rPr>
        <w:tab/>
        <w:t>Afin d’atteindre l’objectif général visé au paragraphe 1, le présent règlement énonce des mesures visant à:</w:t>
      </w:r>
    </w:p>
    <w:p w14:paraId="6DAE48CC" w14:textId="77777777" w:rsidR="007F61F1" w:rsidRPr="00732D9A" w:rsidRDefault="007F61F1" w:rsidP="00227552">
      <w:pPr>
        <w:pStyle w:val="Point1"/>
        <w:rPr>
          <w:noProof/>
        </w:rPr>
      </w:pPr>
      <w:r w:rsidRPr="00732D9A">
        <w:rPr>
          <w:noProof/>
        </w:rPr>
        <w:t>a)</w:t>
      </w:r>
      <w:r w:rsidRPr="00732D9A">
        <w:rPr>
          <w:noProof/>
        </w:rPr>
        <w:tab/>
        <w:t xml:space="preserve">accélérer les procédures d’octroi de permis pour les projets de fabrication industrielle, y compris les projets de décarbonation de l’industrie grande consommatrice d’énergie; </w:t>
      </w:r>
    </w:p>
    <w:p w14:paraId="522BB5D1" w14:textId="77777777" w:rsidR="002D7B2F" w:rsidRPr="00732D9A" w:rsidRDefault="00CA202C" w:rsidP="00227552">
      <w:pPr>
        <w:pStyle w:val="Point1"/>
        <w:rPr>
          <w:noProof/>
        </w:rPr>
      </w:pPr>
      <w:r w:rsidRPr="00732D9A">
        <w:rPr>
          <w:noProof/>
        </w:rPr>
        <w:t>b)</w:t>
      </w:r>
      <w:r w:rsidRPr="00732D9A">
        <w:rPr>
          <w:noProof/>
        </w:rPr>
        <w:tab/>
        <w:t xml:space="preserve">créer un marché pilote pour certains produits dans des secteurs stratégiques, en établissant des exigences en matière d’origine UE ou de faibles émissions de carbone, ou les deux, dans le cadre des procédures de passation de marchés publics ou de concessions et des régimes d’aide publique; </w:t>
      </w:r>
    </w:p>
    <w:p w14:paraId="71EAE891" w14:textId="77777777" w:rsidR="002D7B2F" w:rsidRPr="00732D9A" w:rsidRDefault="00820EBF" w:rsidP="00227552">
      <w:pPr>
        <w:pStyle w:val="Point1"/>
        <w:rPr>
          <w:noProof/>
        </w:rPr>
      </w:pPr>
      <w:r w:rsidRPr="00732D9A">
        <w:rPr>
          <w:noProof/>
        </w:rPr>
        <w:t>c)</w:t>
      </w:r>
      <w:r w:rsidRPr="00732D9A">
        <w:rPr>
          <w:noProof/>
        </w:rPr>
        <w:tab/>
        <w:t xml:space="preserve">fixer des conditions pour les investissements directs étrangers dans les secteurs stratégiques émergents; </w:t>
      </w:r>
    </w:p>
    <w:p w14:paraId="5BE8F41E" w14:textId="77777777" w:rsidR="002D7B2F" w:rsidRPr="00732D9A" w:rsidRDefault="00820EBF" w:rsidP="00227552">
      <w:pPr>
        <w:pStyle w:val="Point1"/>
        <w:rPr>
          <w:noProof/>
        </w:rPr>
      </w:pPr>
      <w:r w:rsidRPr="00732D9A">
        <w:rPr>
          <w:noProof/>
        </w:rPr>
        <w:lastRenderedPageBreak/>
        <w:t>d)</w:t>
      </w:r>
      <w:r w:rsidRPr="00732D9A">
        <w:rPr>
          <w:noProof/>
        </w:rPr>
        <w:tab/>
        <w:t xml:space="preserve">désigner des zones d’industrialisation prioritaire par les États membres afin de stimuler les activités industrielles. </w:t>
      </w:r>
    </w:p>
    <w:p w14:paraId="12E9FD0A" w14:textId="4AB09B20" w:rsidR="002D7B2F" w:rsidRPr="00732D9A" w:rsidRDefault="002D7B2F" w:rsidP="002D7B2F">
      <w:pPr>
        <w:pStyle w:val="Titrearticle"/>
        <w:rPr>
          <w:noProof/>
        </w:rPr>
      </w:pPr>
      <w:r w:rsidRPr="00732D9A">
        <w:rPr>
          <w:noProof/>
        </w:rPr>
        <w:t xml:space="preserve">Article 2 </w:t>
      </w:r>
      <w:r w:rsidRPr="00732D9A">
        <w:rPr>
          <w:noProof/>
        </w:rPr>
        <w:br/>
      </w:r>
      <w:r w:rsidRPr="00732D9A">
        <w:rPr>
          <w:b/>
          <w:i w:val="0"/>
          <w:noProof/>
        </w:rPr>
        <w:t>Objectif d’industrialisation</w:t>
      </w:r>
      <w:r w:rsidRPr="00732D9A">
        <w:rPr>
          <w:noProof/>
        </w:rPr>
        <w:t xml:space="preserve"> </w:t>
      </w:r>
    </w:p>
    <w:p w14:paraId="359D2FD1" w14:textId="77777777" w:rsidR="00BB2070" w:rsidRPr="00732D9A" w:rsidRDefault="00BB2070" w:rsidP="00BB2070">
      <w:pPr>
        <w:pStyle w:val="Text0"/>
        <w:rPr>
          <w:noProof/>
        </w:rPr>
      </w:pPr>
      <w:r w:rsidRPr="00732D9A">
        <w:rPr>
          <w:noProof/>
        </w:rPr>
        <w:t xml:space="preserve">L’Union et les États membres s’efforcent de faire en sorte que, d’ici à 2035, l’industrie manufacturière de l’Union représente au moins 20 % du produit intérieur brut de l’Union. </w:t>
      </w:r>
    </w:p>
    <w:p w14:paraId="6A402DD4" w14:textId="743C05D8" w:rsidR="0065557B" w:rsidRPr="00732D9A" w:rsidRDefault="0065557B" w:rsidP="0065557B">
      <w:pPr>
        <w:pStyle w:val="Titrearticle"/>
        <w:rPr>
          <w:b/>
          <w:bCs/>
          <w:i w:val="0"/>
          <w:iCs/>
          <w:noProof/>
        </w:rPr>
      </w:pPr>
      <w:r w:rsidRPr="00732D9A">
        <w:rPr>
          <w:noProof/>
        </w:rPr>
        <w:t xml:space="preserve">Article 3 </w:t>
      </w:r>
      <w:r w:rsidRPr="00732D9A">
        <w:rPr>
          <w:noProof/>
        </w:rPr>
        <w:br/>
      </w:r>
      <w:r w:rsidRPr="00732D9A">
        <w:rPr>
          <w:b/>
          <w:i w:val="0"/>
          <w:noProof/>
        </w:rPr>
        <w:t>Définitions</w:t>
      </w:r>
    </w:p>
    <w:p w14:paraId="3B2B141A" w14:textId="77777777" w:rsidR="0065557B" w:rsidRPr="00732D9A" w:rsidRDefault="0065557B" w:rsidP="00BE1F12">
      <w:pPr>
        <w:pStyle w:val="Text0"/>
        <w:rPr>
          <w:noProof/>
        </w:rPr>
      </w:pPr>
      <w:r w:rsidRPr="00732D9A">
        <w:rPr>
          <w:noProof/>
        </w:rPr>
        <w:t>Aux fins du présent règlement, on entend par:</w:t>
      </w:r>
    </w:p>
    <w:p w14:paraId="7EAF0D79" w14:textId="77777777" w:rsidR="0065557B" w:rsidRPr="00732D9A" w:rsidRDefault="0065557B" w:rsidP="00B105F9">
      <w:pPr>
        <w:pStyle w:val="Point0"/>
        <w:rPr>
          <w:noProof/>
        </w:rPr>
      </w:pPr>
      <w:r w:rsidRPr="00732D9A">
        <w:rPr>
          <w:noProof/>
        </w:rPr>
        <w:t>1)</w:t>
      </w:r>
      <w:r w:rsidRPr="00732D9A">
        <w:rPr>
          <w:noProof/>
        </w:rPr>
        <w:tab/>
        <w:t xml:space="preserve">«projet de fabrication industrielle»: la construction, la conversion ou l’extension d’un site industriel destiné à l’exercice d’une activité économique relevant du code NACE C (Industrie manufacturière), à l’exception du code NACE C12; </w:t>
      </w:r>
    </w:p>
    <w:p w14:paraId="1CA4C79B" w14:textId="77777777" w:rsidR="00335A3C" w:rsidRPr="00732D9A" w:rsidRDefault="00335A3C" w:rsidP="00B105F9">
      <w:pPr>
        <w:pStyle w:val="Point0"/>
        <w:rPr>
          <w:noProof/>
        </w:rPr>
      </w:pPr>
      <w:r w:rsidRPr="00732D9A">
        <w:rPr>
          <w:noProof/>
        </w:rPr>
        <w:t>2)</w:t>
      </w:r>
      <w:r w:rsidRPr="00732D9A">
        <w:rPr>
          <w:noProof/>
        </w:rPr>
        <w:tab/>
        <w:t>«industries grandes consommatrices d’énergie»: les industries énumérées à l’annexe I, point 1;</w:t>
      </w:r>
    </w:p>
    <w:p w14:paraId="788A4778" w14:textId="77777777" w:rsidR="0065557B" w:rsidRPr="00732D9A" w:rsidRDefault="0065557B" w:rsidP="00B105F9">
      <w:pPr>
        <w:pStyle w:val="Point0"/>
        <w:rPr>
          <w:noProof/>
        </w:rPr>
      </w:pPr>
      <w:r w:rsidRPr="00732D9A">
        <w:rPr>
          <w:noProof/>
        </w:rPr>
        <w:t>3)</w:t>
      </w:r>
      <w:r w:rsidRPr="00732D9A">
        <w:rPr>
          <w:noProof/>
        </w:rPr>
        <w:tab/>
        <w:t>«projets de décarbonation de l’industrie grande consommatrice d’énergie»: la construction ou la conversion de l’installation commerciale d’une entreprise grande consommatrice d’énergie, au sens de l’article 17, paragraphe 1, point a), de la directive 2003/96/CE du Conseil</w:t>
      </w:r>
      <w:r w:rsidRPr="00732D9A">
        <w:rPr>
          <w:rStyle w:val="FootnoteReference"/>
          <w:noProof/>
        </w:rPr>
        <w:footnoteReference w:id="52"/>
      </w:r>
      <w:r w:rsidRPr="00732D9A">
        <w:rPr>
          <w:noProof/>
        </w:rPr>
        <w:t>, dans les industries grandes consommatrices d’énergie énumérées à l’annexe I, point 1, du présent règlement qui réduisent les taux d’émissions d’équivalent CO</w:t>
      </w:r>
      <w:r w:rsidRPr="00732D9A">
        <w:rPr>
          <w:noProof/>
          <w:vertAlign w:val="subscript"/>
        </w:rPr>
        <w:t>2</w:t>
      </w:r>
      <w:r w:rsidRPr="00732D9A">
        <w:rPr>
          <w:noProof/>
        </w:rPr>
        <w:t xml:space="preserve"> des processus industriels de manière substantielle et permanente dans une mesure techniquement possible;</w:t>
      </w:r>
    </w:p>
    <w:p w14:paraId="6BE4AF57" w14:textId="77777777" w:rsidR="0065557B" w:rsidRPr="00732D9A" w:rsidRDefault="0065557B" w:rsidP="00B105F9">
      <w:pPr>
        <w:pStyle w:val="Point0"/>
        <w:rPr>
          <w:noProof/>
        </w:rPr>
      </w:pPr>
      <w:r w:rsidRPr="00732D9A">
        <w:rPr>
          <w:noProof/>
        </w:rPr>
        <w:t>4)</w:t>
      </w:r>
      <w:r w:rsidRPr="00732D9A">
        <w:rPr>
          <w:noProof/>
        </w:rPr>
        <w:tab/>
        <w:t>«procédure d’octroi de permis»: une procédure qui régit toutes les autorisations de construire, d’étendre, de convertir et d’exploiter des projets de fabrication industrielle, y compris les permis de construction, les autorisations d’utilisation de produits chimiques et les permis de raccordement au réseau au sens de l’article 1</w:t>
      </w:r>
      <w:r w:rsidRPr="00732D9A">
        <w:rPr>
          <w:noProof/>
          <w:vertAlign w:val="superscript"/>
        </w:rPr>
        <w:t>er</w:t>
      </w:r>
      <w:r w:rsidRPr="00732D9A">
        <w:rPr>
          <w:noProof/>
        </w:rPr>
        <w:t xml:space="preserve"> de [la proposition de directive modifiant les directives (UE) 2018/2001, (UE) 2019/944 et (UE) 2024/1788 en ce qui concerne l’accélération des procédures d’octroi de permis</w:t>
      </w:r>
      <w:r w:rsidRPr="00732D9A">
        <w:rPr>
          <w:rStyle w:val="FootnoteReference"/>
          <w:noProof/>
        </w:rPr>
        <w:footnoteReference w:id="53"/>
      </w:r>
      <w:r w:rsidRPr="00732D9A">
        <w:rPr>
          <w:noProof/>
        </w:rPr>
        <w:t>], ainsi que les évaluations et autorisations environnementales lorsque celles-ci sont requises, et qui englobe toutes les demandes et procédures, de la confirmation du caractère complet de la demande à la notification de la décision complète sur le résultat de la procédure;</w:t>
      </w:r>
    </w:p>
    <w:p w14:paraId="3F279A69" w14:textId="77777777" w:rsidR="009D022D" w:rsidRPr="00732D9A" w:rsidRDefault="009D022D" w:rsidP="00B105F9">
      <w:pPr>
        <w:pStyle w:val="Point0"/>
        <w:rPr>
          <w:noProof/>
        </w:rPr>
      </w:pPr>
      <w:r w:rsidRPr="00732D9A">
        <w:rPr>
          <w:noProof/>
        </w:rPr>
        <w:t>5)</w:t>
      </w:r>
      <w:r w:rsidRPr="00732D9A">
        <w:rPr>
          <w:noProof/>
        </w:rPr>
        <w:tab/>
        <w:t>«décision complète»: la décision ou l’ensemble de décisions prises par une ou plusieurs autorités d’un État membre, qui détermine si un promoteur de projet est autorisé ou non à construire, étendre, convertir et exploiter un projet de fabrication industrielle;</w:t>
      </w:r>
    </w:p>
    <w:p w14:paraId="6D5B8715" w14:textId="77777777" w:rsidR="0065557B" w:rsidRPr="00732D9A" w:rsidRDefault="0065557B" w:rsidP="00B105F9">
      <w:pPr>
        <w:pStyle w:val="Point0"/>
        <w:rPr>
          <w:noProof/>
        </w:rPr>
      </w:pPr>
      <w:r w:rsidRPr="00732D9A">
        <w:rPr>
          <w:noProof/>
        </w:rPr>
        <w:lastRenderedPageBreak/>
        <w:t>6)</w:t>
      </w:r>
      <w:r w:rsidRPr="00732D9A">
        <w:rPr>
          <w:noProof/>
        </w:rPr>
        <w:tab/>
        <w:t>«marché»: les marchés publics au sens de l’article 2, paragraphe 1, point 5, de la directive 2014/24/UE</w:t>
      </w:r>
      <w:r w:rsidRPr="00732D9A">
        <w:rPr>
          <w:rStyle w:val="FootnoteReference"/>
          <w:noProof/>
        </w:rPr>
        <w:footnoteReference w:id="54"/>
      </w:r>
      <w:r w:rsidRPr="00732D9A">
        <w:rPr>
          <w:noProof/>
        </w:rPr>
        <w:t>, les marchés de fournitures, de travaux et de services au sens de l’article 2, point 1), de la directive 2014/25/UE</w:t>
      </w:r>
      <w:r w:rsidRPr="00732D9A">
        <w:rPr>
          <w:rStyle w:val="FootnoteReference"/>
          <w:noProof/>
        </w:rPr>
        <w:footnoteReference w:id="55"/>
      </w:r>
      <w:r w:rsidRPr="00732D9A">
        <w:rPr>
          <w:noProof/>
        </w:rPr>
        <w:t xml:space="preserve"> et les concessions au sens de l’article 5, point 1), de la directive 2014/23/UE;</w:t>
      </w:r>
    </w:p>
    <w:p w14:paraId="6B5A21C5" w14:textId="77777777" w:rsidR="0065557B" w:rsidRPr="00732D9A" w:rsidRDefault="0065557B" w:rsidP="00B105F9">
      <w:pPr>
        <w:pStyle w:val="Point0"/>
        <w:rPr>
          <w:noProof/>
        </w:rPr>
      </w:pPr>
      <w:r w:rsidRPr="00732D9A">
        <w:rPr>
          <w:noProof/>
        </w:rPr>
        <w:t>7)</w:t>
      </w:r>
      <w:r w:rsidRPr="00732D9A">
        <w:rPr>
          <w:noProof/>
        </w:rPr>
        <w:tab/>
        <w:t>«pouvoir adjudicateur»: un pouvoir adjudicateur au sens de l’article 6 de la directive 2014/23/UE, de l’article 2, paragraphe 1, point 1, de la directive 2014/24/UE et de l’article 3 de la directive 2014/25/UE;</w:t>
      </w:r>
    </w:p>
    <w:p w14:paraId="7BCE6731" w14:textId="77777777" w:rsidR="0065557B" w:rsidRPr="00732D9A" w:rsidRDefault="0065557B" w:rsidP="00B105F9">
      <w:pPr>
        <w:pStyle w:val="Point0"/>
        <w:rPr>
          <w:noProof/>
        </w:rPr>
      </w:pPr>
      <w:r w:rsidRPr="00732D9A">
        <w:rPr>
          <w:noProof/>
        </w:rPr>
        <w:t>8)</w:t>
      </w:r>
      <w:r w:rsidRPr="00732D9A">
        <w:rPr>
          <w:noProof/>
        </w:rPr>
        <w:tab/>
        <w:t xml:space="preserve">«entité adjudicatrice»: une entité adjudicatrice au sens de l’article 7 de la directive 2014/23/UE et de l’article 4 de la directive 2014/25/UE; </w:t>
      </w:r>
    </w:p>
    <w:p w14:paraId="3859C0E8" w14:textId="77777777" w:rsidR="00CC2DEF" w:rsidRPr="00732D9A" w:rsidRDefault="00CC2DEF" w:rsidP="00B105F9">
      <w:pPr>
        <w:pStyle w:val="Point0"/>
        <w:rPr>
          <w:noProof/>
        </w:rPr>
      </w:pPr>
      <w:r w:rsidRPr="00732D9A">
        <w:rPr>
          <w:noProof/>
        </w:rPr>
        <w:t>9)</w:t>
      </w:r>
      <w:r w:rsidRPr="00732D9A">
        <w:rPr>
          <w:noProof/>
        </w:rPr>
        <w:tab/>
        <w:t>«opérateur économique»: le fabricant, le mandataire, l’importateur, le distributeur, le revendeur et le prestataire de services d’exécution des commandes et, aux fins des procédures de passation de marchés publics ou de concessions, l’opérateur économique au sens de l’article 5, point 2), de la directive 2014/23/UE, de l’article 2, paragraphe 1, point 10, de la directive 2014/24/UE et de l’article 2, point 6), de la directive 2014/25/UE;</w:t>
      </w:r>
    </w:p>
    <w:p w14:paraId="664A52BB" w14:textId="77777777" w:rsidR="004B6885" w:rsidRPr="00732D9A" w:rsidRDefault="004B6885" w:rsidP="00B105F9">
      <w:pPr>
        <w:pStyle w:val="Point0"/>
        <w:rPr>
          <w:noProof/>
        </w:rPr>
      </w:pPr>
      <w:r w:rsidRPr="00732D9A">
        <w:rPr>
          <w:noProof/>
        </w:rPr>
        <w:t>10)</w:t>
      </w:r>
      <w:r w:rsidRPr="00732D9A">
        <w:rPr>
          <w:noProof/>
        </w:rPr>
        <w:tab/>
        <w:t>«procédure de passation de marchés publics ou de concessions»: l’une des procédures suivantes:</w:t>
      </w:r>
    </w:p>
    <w:p w14:paraId="4C54B097" w14:textId="77777777" w:rsidR="004B6885" w:rsidRPr="00732D9A" w:rsidRDefault="004B6885" w:rsidP="007234F4">
      <w:pPr>
        <w:pStyle w:val="Point1"/>
        <w:rPr>
          <w:noProof/>
        </w:rPr>
      </w:pPr>
      <w:r w:rsidRPr="00732D9A">
        <w:rPr>
          <w:noProof/>
        </w:rPr>
        <w:t>a)</w:t>
      </w:r>
      <w:r w:rsidRPr="00732D9A">
        <w:rPr>
          <w:noProof/>
        </w:rPr>
        <w:tab/>
        <w:t xml:space="preserve">une procédure d’attribution d’une concession de travaux ou de services relevant de la directive 2014/23/UE; </w:t>
      </w:r>
    </w:p>
    <w:p w14:paraId="680776D5" w14:textId="77777777" w:rsidR="004B6885" w:rsidRPr="00732D9A" w:rsidRDefault="004B6885" w:rsidP="004B6885">
      <w:pPr>
        <w:pStyle w:val="Point1"/>
        <w:rPr>
          <w:noProof/>
        </w:rPr>
      </w:pPr>
      <w:r w:rsidRPr="00732D9A">
        <w:rPr>
          <w:noProof/>
        </w:rPr>
        <w:t>b)</w:t>
      </w:r>
      <w:r w:rsidRPr="00732D9A">
        <w:rPr>
          <w:noProof/>
        </w:rPr>
        <w:tab/>
        <w:t>tout type de procédure d’attribution relevant de la directive 2014/24/UE pour la conclusion d’un marché public ou de la directive 2014/25/UE pour la conclusion d’un marché de fournitures, de travaux ou de services;</w:t>
      </w:r>
    </w:p>
    <w:p w14:paraId="0166AB64" w14:textId="30BF61DF" w:rsidR="007574F9" w:rsidRPr="00732D9A" w:rsidRDefault="007574F9" w:rsidP="007574F9">
      <w:pPr>
        <w:pStyle w:val="Point0"/>
        <w:rPr>
          <w:noProof/>
        </w:rPr>
      </w:pPr>
      <w:r w:rsidRPr="00732D9A">
        <w:rPr>
          <w:noProof/>
        </w:rPr>
        <w:t>11)</w:t>
      </w:r>
      <w:r w:rsidRPr="00732D9A">
        <w:rPr>
          <w:noProof/>
        </w:rPr>
        <w:tab/>
        <w:t>«intensité des émissions de gaz à effet de serre»: les émissions (mesurées en tonnes équivalent CO</w:t>
      </w:r>
      <w:r w:rsidRPr="00732D9A">
        <w:rPr>
          <w:noProof/>
          <w:vertAlign w:val="subscript"/>
        </w:rPr>
        <w:t>2</w:t>
      </w:r>
      <w:r w:rsidRPr="00732D9A">
        <w:rPr>
          <w:noProof/>
        </w:rPr>
        <w:t xml:space="preserve">) générées lors de la fabrication des produits industriels visés à l’article 10, paragraphe 2; </w:t>
      </w:r>
    </w:p>
    <w:p w14:paraId="5AC9BEEB" w14:textId="5C88A6AF" w:rsidR="007574F9" w:rsidRPr="00732D9A" w:rsidRDefault="007574F9" w:rsidP="007574F9">
      <w:pPr>
        <w:pStyle w:val="Point0"/>
        <w:rPr>
          <w:noProof/>
        </w:rPr>
      </w:pPr>
      <w:r w:rsidRPr="00732D9A">
        <w:rPr>
          <w:noProof/>
        </w:rPr>
        <w:t>12)</w:t>
      </w:r>
      <w:r w:rsidRPr="00732D9A">
        <w:rPr>
          <w:noProof/>
        </w:rPr>
        <w:tab/>
        <w:t>«fabricant»: toute personne physique ou morale qui fabrique ou fait concevoir ou fabriquer un produit et le commercialise sous son propre nom ou sa propre marque;</w:t>
      </w:r>
    </w:p>
    <w:p w14:paraId="08AE21EE" w14:textId="496CC538" w:rsidR="007574F9" w:rsidRPr="00732D9A" w:rsidRDefault="007574F9" w:rsidP="007574F9">
      <w:pPr>
        <w:pStyle w:val="Point0"/>
        <w:rPr>
          <w:noProof/>
        </w:rPr>
      </w:pPr>
      <w:r w:rsidRPr="00732D9A">
        <w:rPr>
          <w:noProof/>
        </w:rPr>
        <w:t>13)</w:t>
      </w:r>
      <w:r w:rsidRPr="00732D9A">
        <w:rPr>
          <w:noProof/>
        </w:rPr>
        <w:tab/>
        <w:t xml:space="preserve">«limites du système»: le groupe de processus chimiques ou physiques inclus dans le calcul de l’intensité des émissions de gaz à effet de serre de produits; </w:t>
      </w:r>
    </w:p>
    <w:p w14:paraId="1B585D43" w14:textId="5A258F95" w:rsidR="00CB00A3" w:rsidRPr="00732D9A" w:rsidRDefault="00CB00A3" w:rsidP="00CB00A3">
      <w:pPr>
        <w:pStyle w:val="Point0"/>
        <w:rPr>
          <w:noProof/>
        </w:rPr>
      </w:pPr>
      <w:r w:rsidRPr="00732D9A">
        <w:rPr>
          <w:noProof/>
        </w:rPr>
        <w:t>14)</w:t>
      </w:r>
      <w:r w:rsidRPr="00732D9A">
        <w:rPr>
          <w:noProof/>
        </w:rPr>
        <w:tab/>
        <w:t>«précurseur»: tout intrant dans un processus de production qui fait partie des limites du système;</w:t>
      </w:r>
    </w:p>
    <w:p w14:paraId="27FE96DA" w14:textId="6E021ECB" w:rsidR="00B85404" w:rsidRPr="00732D9A" w:rsidRDefault="00B85404" w:rsidP="00B105F9">
      <w:pPr>
        <w:pStyle w:val="Point0"/>
        <w:rPr>
          <w:noProof/>
        </w:rPr>
      </w:pPr>
      <w:r w:rsidRPr="00732D9A">
        <w:rPr>
          <w:noProof/>
        </w:rPr>
        <w:t>15)</w:t>
      </w:r>
      <w:r w:rsidRPr="00732D9A">
        <w:rPr>
          <w:noProof/>
        </w:rPr>
        <w:tab/>
        <w:t>«industrie chimique»: les activités relevant du code C20 (Industrie chimique) de la NACE Rév. 2, exercées par des fabricants établis dans l’Union;</w:t>
      </w:r>
    </w:p>
    <w:p w14:paraId="6CEDF5EB" w14:textId="12BF6A70" w:rsidR="00B85404" w:rsidRPr="00732D9A" w:rsidRDefault="00B85404" w:rsidP="00B105F9">
      <w:pPr>
        <w:pStyle w:val="Point0"/>
        <w:rPr>
          <w:noProof/>
        </w:rPr>
      </w:pPr>
      <w:r w:rsidRPr="00732D9A">
        <w:rPr>
          <w:noProof/>
        </w:rPr>
        <w:t>16)</w:t>
      </w:r>
      <w:r w:rsidRPr="00732D9A">
        <w:rPr>
          <w:noProof/>
        </w:rPr>
        <w:tab/>
        <w:t xml:space="preserve">«sources de carbone durables»: la biomasse qui satisfait aux critères de durabilité énoncés à l’article 29 de la directive (UE) 2018/2001, les déchets et le carbone provenant du captage des émissions de dioxyde de carbone; </w:t>
      </w:r>
    </w:p>
    <w:p w14:paraId="00003894" w14:textId="7AF0D35A" w:rsidR="00B85404" w:rsidRPr="00732D9A" w:rsidRDefault="00B85404" w:rsidP="00B105F9">
      <w:pPr>
        <w:pStyle w:val="Point0"/>
        <w:rPr>
          <w:noProof/>
        </w:rPr>
      </w:pPr>
      <w:r w:rsidRPr="00732D9A">
        <w:rPr>
          <w:noProof/>
        </w:rPr>
        <w:t>17)</w:t>
      </w:r>
      <w:r w:rsidRPr="00732D9A">
        <w:rPr>
          <w:noProof/>
        </w:rPr>
        <w:tab/>
        <w:t>«substance»: une substance au sens de l’article 2, point 7), du règlement (CE) nº 1272/2008;</w:t>
      </w:r>
    </w:p>
    <w:p w14:paraId="23873127" w14:textId="2ED67AAB" w:rsidR="00B85404" w:rsidRPr="00732D9A" w:rsidRDefault="00B85404" w:rsidP="00B105F9">
      <w:pPr>
        <w:pStyle w:val="Point0"/>
        <w:rPr>
          <w:noProof/>
        </w:rPr>
      </w:pPr>
      <w:r w:rsidRPr="00732D9A">
        <w:rPr>
          <w:noProof/>
        </w:rPr>
        <w:lastRenderedPageBreak/>
        <w:t>18)</w:t>
      </w:r>
      <w:r w:rsidRPr="00732D9A">
        <w:rPr>
          <w:noProof/>
        </w:rPr>
        <w:tab/>
        <w:t>«mélange»: un mélange au sens de l’article 2, point 8), du règlement (CE) nº 1272/2008;</w:t>
      </w:r>
    </w:p>
    <w:p w14:paraId="14755F2B" w14:textId="6B3753DA" w:rsidR="001C44B3" w:rsidRPr="00732D9A" w:rsidRDefault="001C44B3" w:rsidP="00B105F9">
      <w:pPr>
        <w:pStyle w:val="Point0"/>
        <w:rPr>
          <w:noProof/>
        </w:rPr>
      </w:pPr>
      <w:r w:rsidRPr="00732D9A">
        <w:rPr>
          <w:noProof/>
        </w:rPr>
        <w:t>19)</w:t>
      </w:r>
      <w:r w:rsidRPr="00732D9A">
        <w:rPr>
          <w:noProof/>
        </w:rPr>
        <w:tab/>
        <w:t>«mise à disposition sur le marché»: toute fourniture d’un produit destiné à être distribué, consommé ou utilisé sur le marché de l’Union dans le cadre d’une activité commerciale, à titre onéreux ou gratuit;</w:t>
      </w:r>
    </w:p>
    <w:p w14:paraId="75D0A625" w14:textId="0D197EC0" w:rsidR="004B6885" w:rsidRPr="00732D9A" w:rsidRDefault="004B6885" w:rsidP="00B105F9">
      <w:pPr>
        <w:pStyle w:val="Point0"/>
        <w:rPr>
          <w:rFonts w:eastAsia="Times"/>
          <w:noProof/>
          <w:szCs w:val="24"/>
        </w:rPr>
      </w:pPr>
      <w:r w:rsidRPr="00732D9A">
        <w:rPr>
          <w:noProof/>
        </w:rPr>
        <w:t>20)</w:t>
      </w:r>
      <w:r w:rsidRPr="00732D9A">
        <w:rPr>
          <w:noProof/>
        </w:rPr>
        <w:tab/>
        <w:t>«véhicule à pile à combustible» ou «VPC»: un véhicule équipé d’un groupe motopropulseur contenant exclusivement des convertisseurs d’énergie transformant l’énergie chimique (entrée) en énergie électrique (sortie), ou inversement, et des machines électriques comme convertisseurs d’énergie de propulsion;</w:t>
      </w:r>
    </w:p>
    <w:p w14:paraId="6082DC1D" w14:textId="1727A8A3" w:rsidR="004B6885" w:rsidRPr="00732D9A" w:rsidRDefault="004B6885" w:rsidP="00B105F9">
      <w:pPr>
        <w:pStyle w:val="Point0"/>
        <w:rPr>
          <w:noProof/>
        </w:rPr>
      </w:pPr>
      <w:r w:rsidRPr="00732D9A">
        <w:rPr>
          <w:noProof/>
        </w:rPr>
        <w:t>21)</w:t>
      </w:r>
      <w:r w:rsidRPr="00732D9A">
        <w:rPr>
          <w:noProof/>
        </w:rPr>
        <w:tab/>
        <w:t>«véhicule à moteur»: tout véhicule des catégories M et N visées à l’article 4, paragraphe 1, points a) et b), du règlement (UE) 2018/858 du Parlement européen et du Conseil</w:t>
      </w:r>
      <w:r w:rsidRPr="00732D9A">
        <w:rPr>
          <w:rStyle w:val="FootnoteReference"/>
          <w:noProof/>
        </w:rPr>
        <w:footnoteReference w:id="56"/>
      </w:r>
      <w:r w:rsidRPr="00732D9A">
        <w:rPr>
          <w:noProof/>
        </w:rPr>
        <w:t>;</w:t>
      </w:r>
    </w:p>
    <w:p w14:paraId="17433C59" w14:textId="13D549E7" w:rsidR="004B6885" w:rsidRPr="00732D9A" w:rsidRDefault="004B6885" w:rsidP="00B105F9">
      <w:pPr>
        <w:pStyle w:val="Point0"/>
        <w:rPr>
          <w:noProof/>
        </w:rPr>
      </w:pPr>
      <w:r w:rsidRPr="00732D9A">
        <w:rPr>
          <w:noProof/>
        </w:rPr>
        <w:t>22)</w:t>
      </w:r>
      <w:r w:rsidRPr="00732D9A">
        <w:rPr>
          <w:noProof/>
        </w:rPr>
        <w:tab/>
        <w:t>«véhicule hybride électrique rechargeable de l’extérieur» ou «VHE-RE»: un véhicule équipé d’un groupe motopropulseur contenant au moins deux catégories différentes de convertisseurs d’énergie de propulsion, dont l’un des convertisseurs est une machine électrique qui peut être rechargée à partir d’une source extérieure;</w:t>
      </w:r>
    </w:p>
    <w:p w14:paraId="096EE6D2" w14:textId="05551F85" w:rsidR="0065557B" w:rsidRPr="00732D9A" w:rsidRDefault="0065557B" w:rsidP="000D0C3E">
      <w:pPr>
        <w:pStyle w:val="Point0"/>
        <w:rPr>
          <w:noProof/>
        </w:rPr>
      </w:pPr>
      <w:r w:rsidRPr="00732D9A">
        <w:rPr>
          <w:noProof/>
        </w:rPr>
        <w:t>23)</w:t>
      </w:r>
      <w:r w:rsidRPr="00732D9A">
        <w:rPr>
          <w:noProof/>
        </w:rPr>
        <w:tab/>
        <w:t>«véhicule électrique pur» ou «VEP»: un véhicule équipé d’un groupe motopropulseur contenant exclusivement des machines électriques comme convertisseurs d’énergie de propulsion et exclusivement des systèmes de stockage d’énergie électrique rechargeables en tant que systèmes de stockage de l’énergie de propulsion; </w:t>
      </w:r>
    </w:p>
    <w:p w14:paraId="7E99BA83" w14:textId="27BE52C0" w:rsidR="005E5997" w:rsidRPr="00732D9A" w:rsidRDefault="005E5997" w:rsidP="000D0C3E">
      <w:pPr>
        <w:pStyle w:val="Point0"/>
        <w:rPr>
          <w:noProof/>
        </w:rPr>
      </w:pPr>
      <w:r w:rsidRPr="00732D9A">
        <w:rPr>
          <w:noProof/>
        </w:rPr>
        <w:t>24)</w:t>
      </w:r>
      <w:r w:rsidRPr="00732D9A">
        <w:rPr>
          <w:noProof/>
        </w:rPr>
        <w:tab/>
        <w:t>«principaux composants spécifiques»: les principaux composants spécifiques énumérés à l’annexe du règlement d’exécution (UE) 2025/1178 de la Commission</w:t>
      </w:r>
      <w:r w:rsidRPr="00732D9A">
        <w:rPr>
          <w:rStyle w:val="FootnoteReference"/>
          <w:noProof/>
        </w:rPr>
        <w:footnoteReference w:id="57"/>
      </w:r>
      <w:r w:rsidRPr="00732D9A">
        <w:rPr>
          <w:noProof/>
        </w:rPr>
        <w:t>;</w:t>
      </w:r>
    </w:p>
    <w:p w14:paraId="6A952494" w14:textId="4881CD2C" w:rsidR="00DE22C6" w:rsidRPr="00732D9A" w:rsidRDefault="00DE22C6" w:rsidP="000D0C3E">
      <w:pPr>
        <w:pStyle w:val="Point0"/>
        <w:rPr>
          <w:noProof/>
        </w:rPr>
      </w:pPr>
      <w:r w:rsidRPr="00732D9A">
        <w:rPr>
          <w:noProof/>
        </w:rPr>
        <w:t>25)</w:t>
      </w:r>
      <w:r w:rsidRPr="00732D9A">
        <w:rPr>
          <w:noProof/>
        </w:rPr>
        <w:tab/>
        <w:t>«batterie de traction du véhicule»: la batterie de véhicule électrique spécifiquement conçue pour fournir l’énergie électrique nécessaire à la traction au sens de l’article 3, point 14), du règlement (UE) 2023/1542</w:t>
      </w:r>
      <w:r w:rsidRPr="00732D9A">
        <w:rPr>
          <w:rStyle w:val="FootnoteReference"/>
          <w:noProof/>
        </w:rPr>
        <w:footnoteReference w:id="58"/>
      </w:r>
      <w:r w:rsidRPr="00732D9A">
        <w:rPr>
          <w:noProof/>
        </w:rPr>
        <w:t>;</w:t>
      </w:r>
    </w:p>
    <w:p w14:paraId="76A93EAB" w14:textId="1B7E4EF5" w:rsidR="00ED7704" w:rsidRPr="00732D9A" w:rsidRDefault="00967E42" w:rsidP="000D0C3E">
      <w:pPr>
        <w:pStyle w:val="Point0"/>
        <w:rPr>
          <w:noProof/>
        </w:rPr>
      </w:pPr>
      <w:r w:rsidRPr="00732D9A">
        <w:rPr>
          <w:noProof/>
        </w:rPr>
        <w:t>26)</w:t>
      </w:r>
      <w:r w:rsidRPr="00732D9A">
        <w:rPr>
          <w:noProof/>
        </w:rPr>
        <w:tab/>
        <w:t>«composants du groupe motopropulseur électrique»: l’électronique de puissance, les moteurs électriques à propulsion pour le transport et les essieux électriques, ainsi que leurs composants, rotors et stators;</w:t>
      </w:r>
    </w:p>
    <w:p w14:paraId="55D61E74" w14:textId="76AD63DD" w:rsidR="00794118" w:rsidRPr="00732D9A" w:rsidRDefault="00794118" w:rsidP="000D0C3E">
      <w:pPr>
        <w:pStyle w:val="Point0"/>
        <w:rPr>
          <w:noProof/>
        </w:rPr>
      </w:pPr>
      <w:r w:rsidRPr="00732D9A">
        <w:rPr>
          <w:noProof/>
        </w:rPr>
        <w:t>27)</w:t>
      </w:r>
      <w:r w:rsidRPr="00732D9A">
        <w:rPr>
          <w:noProof/>
        </w:rPr>
        <w:tab/>
        <w:t>«principaux systèmes électroniques»: les systèmes avancés d’aide à la conduite (y compris les lidars, radars, capteurs, caméras, UCE et plateformes d’intégration), les unités centrales de calcul, les systèmes d’accès sans fil, les unités d’infodivertissement embarquées et l’électronique du châssis;</w:t>
      </w:r>
    </w:p>
    <w:p w14:paraId="125B3D8E" w14:textId="456598BB" w:rsidR="00F138F4" w:rsidRPr="00732D9A" w:rsidRDefault="00F138F4" w:rsidP="000D0C3E">
      <w:pPr>
        <w:pStyle w:val="Point0"/>
        <w:rPr>
          <w:noProof/>
        </w:rPr>
      </w:pPr>
      <w:r w:rsidRPr="00732D9A">
        <w:rPr>
          <w:noProof/>
        </w:rPr>
        <w:t>28)</w:t>
      </w:r>
      <w:r w:rsidRPr="00732D9A">
        <w:rPr>
          <w:noProof/>
        </w:rPr>
        <w:tab/>
        <w:t>«composant du véhicule»: toute partie d’un véhicule, y compris les matières transformées;</w:t>
      </w:r>
    </w:p>
    <w:p w14:paraId="51553C43" w14:textId="09561319" w:rsidR="00F138F4" w:rsidRPr="00732D9A" w:rsidRDefault="00F138F4" w:rsidP="000D0C3E">
      <w:pPr>
        <w:pStyle w:val="Point0"/>
        <w:rPr>
          <w:noProof/>
        </w:rPr>
      </w:pPr>
      <w:r w:rsidRPr="00732D9A">
        <w:rPr>
          <w:noProof/>
        </w:rPr>
        <w:t>29)</w:t>
      </w:r>
      <w:r w:rsidRPr="00732D9A">
        <w:rPr>
          <w:noProof/>
        </w:rPr>
        <w:tab/>
        <w:t>«assemblé»: le processus d’assemblage final du véhicule;</w:t>
      </w:r>
    </w:p>
    <w:p w14:paraId="4DF5C1B6" w14:textId="69CA0202" w:rsidR="00F138F4" w:rsidRPr="00732D9A" w:rsidRDefault="00F138F4" w:rsidP="000D0C3E">
      <w:pPr>
        <w:pStyle w:val="Point0"/>
        <w:rPr>
          <w:noProof/>
        </w:rPr>
      </w:pPr>
      <w:r w:rsidRPr="00732D9A">
        <w:rPr>
          <w:noProof/>
        </w:rPr>
        <w:lastRenderedPageBreak/>
        <w:t>30)</w:t>
      </w:r>
      <w:r w:rsidRPr="00732D9A">
        <w:rPr>
          <w:noProof/>
        </w:rPr>
        <w:tab/>
        <w:t>«constructeur»: une personne physique ou morale qui est responsable de tous les aspects de la réception par type d’un véhicule, d’un système, d’un composant ou d’une entité technique distincte, de la réception individuelle d’un véhicule ou de la procédure d’autorisation pour les pièces et équipements, de la garantie de la conformité de la production et des aspects relatifs à la surveillance du marché concernant ce véhicule, ce système, ce composant, cette entité technique distincte, cette pièce et cet équipement, que cette personne soit ou non directement associée à toutes les étapes de la conception et de la construction du véhicule, du système, du composant ou de l’entité technique distincte concerné;</w:t>
      </w:r>
    </w:p>
    <w:p w14:paraId="6815481E" w14:textId="348CA687" w:rsidR="0065557B" w:rsidRPr="00732D9A" w:rsidRDefault="0065557B" w:rsidP="000D0C3E">
      <w:pPr>
        <w:pStyle w:val="Point0"/>
        <w:rPr>
          <w:noProof/>
        </w:rPr>
      </w:pPr>
      <w:r w:rsidRPr="00732D9A">
        <w:rPr>
          <w:noProof/>
        </w:rPr>
        <w:t>31)</w:t>
      </w:r>
      <w:r w:rsidRPr="00732D9A">
        <w:rPr>
          <w:noProof/>
        </w:rPr>
        <w:tab/>
        <w:t>«investissement direct étranger»: un investissement, y compris les investissements de création, dans une cible de l’Union ou un actif de l’Union auquel procède un investisseur étranger ou une filiale d’un investisseur étranger et qui vise à établir ou à maintenir des relations durables et directes entre l’investisseur étranger et l’entrepreneur ou l’entreprise à qui ces fonds sont destinés, ou à utiliser un actif de l’Union, en vue d’exercer une activité économique dans un État membre, y compris les investissements permettant une participation effective à la gestion ou au contrôle d’une société exerçant une activité économique;</w:t>
      </w:r>
    </w:p>
    <w:p w14:paraId="137CA169" w14:textId="1F5628EE" w:rsidR="0065557B" w:rsidRPr="00732D9A" w:rsidRDefault="0065557B" w:rsidP="000D0C3E">
      <w:pPr>
        <w:pStyle w:val="Point0"/>
        <w:rPr>
          <w:noProof/>
        </w:rPr>
      </w:pPr>
      <w:r w:rsidRPr="00732D9A">
        <w:rPr>
          <w:noProof/>
        </w:rPr>
        <w:t>32)</w:t>
      </w:r>
      <w:r w:rsidRPr="00732D9A">
        <w:rPr>
          <w:noProof/>
        </w:rPr>
        <w:tab/>
        <w:t>«investisseur étranger»: une personne physique d’un pays tiers qui ne possède pas la nationalité d’un État membre ou une entreprise d’un pays tiers qui a l’intention de réaliser ou a réalisé un investissement direct étranger;</w:t>
      </w:r>
    </w:p>
    <w:p w14:paraId="2F48EBF2" w14:textId="7A66300F" w:rsidR="00E62521" w:rsidRPr="00732D9A" w:rsidRDefault="00E62521" w:rsidP="000D0C3E">
      <w:pPr>
        <w:pStyle w:val="Point0"/>
        <w:rPr>
          <w:noProof/>
        </w:rPr>
      </w:pPr>
      <w:r w:rsidRPr="00732D9A">
        <w:rPr>
          <w:noProof/>
        </w:rPr>
        <w:t>33)</w:t>
      </w:r>
      <w:r w:rsidRPr="00732D9A">
        <w:rPr>
          <w:noProof/>
        </w:rPr>
        <w:tab/>
        <w:t>«filiale d’un investisseur étranger»: une entreprise contrôlée, directement ou indirectement, par un investisseur étranger, quel que soit son lieu d’établissement;</w:t>
      </w:r>
    </w:p>
    <w:p w14:paraId="1B90829A" w14:textId="206B173E" w:rsidR="0065557B" w:rsidRPr="00732D9A" w:rsidRDefault="0065557B" w:rsidP="000D0C3E">
      <w:pPr>
        <w:pStyle w:val="Point0"/>
        <w:rPr>
          <w:noProof/>
        </w:rPr>
      </w:pPr>
      <w:r w:rsidRPr="00732D9A">
        <w:rPr>
          <w:noProof/>
        </w:rPr>
        <w:t>34)</w:t>
      </w:r>
      <w:r w:rsidRPr="00732D9A">
        <w:rPr>
          <w:noProof/>
        </w:rPr>
        <w:tab/>
        <w:t>«cible de l’Union»: une entreprise établie en vertu du droit d’un État membre;</w:t>
      </w:r>
    </w:p>
    <w:p w14:paraId="11EEFFB3" w14:textId="5C278AAC" w:rsidR="003A61F5" w:rsidRPr="00732D9A" w:rsidRDefault="003A61F5" w:rsidP="000D0C3E">
      <w:pPr>
        <w:pStyle w:val="Point0"/>
        <w:rPr>
          <w:noProof/>
        </w:rPr>
      </w:pPr>
      <w:r w:rsidRPr="00732D9A">
        <w:rPr>
          <w:noProof/>
        </w:rPr>
        <w:t>35)</w:t>
      </w:r>
      <w:r w:rsidRPr="00732D9A">
        <w:rPr>
          <w:noProof/>
        </w:rPr>
        <w:tab/>
        <w:t xml:space="preserve">«actif de l’Union»: un bien immobilier utilisé ou destiné à être utilisé pour la fabrication de produits sur le territoire de l’Union; </w:t>
      </w:r>
    </w:p>
    <w:p w14:paraId="18D440E2" w14:textId="304ED9E0" w:rsidR="005C6BC1" w:rsidRPr="00732D9A" w:rsidRDefault="005C6BC1" w:rsidP="000D0C3E">
      <w:pPr>
        <w:pStyle w:val="Point0"/>
        <w:rPr>
          <w:rFonts w:eastAsia="Times New Roman"/>
          <w:noProof/>
        </w:rPr>
      </w:pPr>
      <w:r w:rsidRPr="00732D9A">
        <w:rPr>
          <w:noProof/>
        </w:rPr>
        <w:t>36)</w:t>
      </w:r>
      <w:r w:rsidRPr="00732D9A">
        <w:rPr>
          <w:noProof/>
        </w:rPr>
        <w:tab/>
        <w:t>«travailleur de l’Union»: toute personne physique qui a un contrat de travail ou une relation de travail au sens du droit, d’une convention collective ou de la pratique en vigueur dans un État membre et qui est soit un citoyen de l’Union, soit un ressortissant de pays tiers résidant légalement dans un État membre et disposant d’un permis de travail valable au moment de son recrutement;</w:t>
      </w:r>
    </w:p>
    <w:p w14:paraId="21C9E330" w14:textId="65B484F8" w:rsidR="00006284" w:rsidRPr="00732D9A" w:rsidRDefault="00006284" w:rsidP="000D0C3E">
      <w:pPr>
        <w:pStyle w:val="Point0"/>
        <w:rPr>
          <w:rFonts w:eastAsia="Times New Roman"/>
          <w:noProof/>
        </w:rPr>
      </w:pPr>
      <w:r w:rsidRPr="00732D9A">
        <w:rPr>
          <w:noProof/>
        </w:rPr>
        <w:t>37)</w:t>
      </w:r>
      <w:r w:rsidRPr="00732D9A">
        <w:rPr>
          <w:noProof/>
        </w:rPr>
        <w:tab/>
        <w:t>«investissement de portefeuille»: l’acquisition de titres d’une société qui sont destinés uniquement à des investissements financiers, sans intention d’influer sur la gestion ou le contrôle de la société;</w:t>
      </w:r>
    </w:p>
    <w:p w14:paraId="591D6E0B" w14:textId="278A4C23" w:rsidR="0065557B" w:rsidRPr="00732D9A" w:rsidRDefault="0065557B" w:rsidP="000D0C3E">
      <w:pPr>
        <w:pStyle w:val="Point0"/>
        <w:rPr>
          <w:rFonts w:eastAsia="Times New Roman"/>
          <w:noProof/>
        </w:rPr>
      </w:pPr>
      <w:r w:rsidRPr="00732D9A">
        <w:rPr>
          <w:noProof/>
        </w:rPr>
        <w:t>38)</w:t>
      </w:r>
      <w:r w:rsidRPr="00732D9A">
        <w:rPr>
          <w:noProof/>
        </w:rPr>
        <w:tab/>
        <w:t>«chiffre d’affaires»: le montant atteint par une entreprise au sens de l’article 5, paragraphe 1, du règlement (CE) nº 139/2004 du Conseil</w:t>
      </w:r>
      <w:r w:rsidRPr="00732D9A">
        <w:rPr>
          <w:rStyle w:val="FootnoteReference"/>
          <w:noProof/>
        </w:rPr>
        <w:footnoteReference w:id="59"/>
      </w:r>
      <w:r w:rsidRPr="00732D9A">
        <w:rPr>
          <w:noProof/>
        </w:rPr>
        <w:t>;</w:t>
      </w:r>
    </w:p>
    <w:p w14:paraId="59139262" w14:textId="166CEF6D" w:rsidR="00897BD3" w:rsidRPr="00732D9A" w:rsidRDefault="00897BD3" w:rsidP="000D0C3E">
      <w:pPr>
        <w:pStyle w:val="Point0"/>
        <w:rPr>
          <w:noProof/>
        </w:rPr>
      </w:pPr>
      <w:r w:rsidRPr="00732D9A">
        <w:rPr>
          <w:noProof/>
        </w:rPr>
        <w:t>39)</w:t>
      </w:r>
      <w:r w:rsidRPr="00732D9A">
        <w:rPr>
          <w:noProof/>
        </w:rPr>
        <w:tab/>
        <w:t>«matière active»: une matière qui réagit chimiquement pour produire de l’énergie électrique lorsque l’élément de batterie se décharge ou pour stocker de l’énergie électrique lorsque la batterie se charge;</w:t>
      </w:r>
    </w:p>
    <w:p w14:paraId="5EE39324" w14:textId="5DC53D80" w:rsidR="00C672BE" w:rsidRPr="00732D9A" w:rsidRDefault="00C672BE" w:rsidP="000D0C3E">
      <w:pPr>
        <w:pStyle w:val="Point0"/>
        <w:rPr>
          <w:noProof/>
        </w:rPr>
      </w:pPr>
      <w:r w:rsidRPr="00732D9A">
        <w:rPr>
          <w:noProof/>
        </w:rPr>
        <w:t>40)</w:t>
      </w:r>
      <w:r w:rsidRPr="00732D9A">
        <w:rPr>
          <w:noProof/>
        </w:rPr>
        <w:tab/>
        <w:t>«batterie de véhicule électrique»: une batterie de véhicule électrique au sens de l’article 3, paragraphe 1, point 14), du règlement (UE) 2023/1542 du Parlement européen et du Conseil</w:t>
      </w:r>
      <w:r w:rsidRPr="00732D9A">
        <w:rPr>
          <w:rStyle w:val="FootnoteReference"/>
          <w:noProof/>
        </w:rPr>
        <w:footnoteReference w:id="60"/>
      </w:r>
      <w:r w:rsidRPr="00732D9A">
        <w:rPr>
          <w:noProof/>
        </w:rPr>
        <w:t xml:space="preserve">; </w:t>
      </w:r>
    </w:p>
    <w:p w14:paraId="5B90A83D" w14:textId="4DA8D03C" w:rsidR="00897BD3" w:rsidRPr="00732D9A" w:rsidRDefault="00897BD3" w:rsidP="000D0C3E">
      <w:pPr>
        <w:pStyle w:val="Point0"/>
        <w:rPr>
          <w:noProof/>
        </w:rPr>
      </w:pPr>
      <w:r w:rsidRPr="00732D9A">
        <w:rPr>
          <w:noProof/>
        </w:rPr>
        <w:lastRenderedPageBreak/>
        <w:t>41)</w:t>
      </w:r>
      <w:r w:rsidRPr="00732D9A">
        <w:rPr>
          <w:noProof/>
        </w:rPr>
        <w:tab/>
        <w:t>«fournisseur»: un fabricant établi dans l’Union, le mandataire d’un fabricant qui n’est pas établi dans l’Union ou un importateur, qui met un produit sur le marché de l’Union.</w:t>
      </w:r>
    </w:p>
    <w:p w14:paraId="57931608" w14:textId="0ABD2CB7" w:rsidR="00290640" w:rsidRPr="00732D9A" w:rsidRDefault="00290640" w:rsidP="00290640">
      <w:pPr>
        <w:pStyle w:val="ChapterTitle"/>
        <w:rPr>
          <w:noProof/>
        </w:rPr>
      </w:pPr>
      <w:r w:rsidRPr="00732D9A">
        <w:rPr>
          <w:b w:val="0"/>
          <w:noProof/>
        </w:rPr>
        <w:t>CHAPITRE</w:t>
      </w:r>
      <w:r w:rsidR="00980FE6">
        <w:rPr>
          <w:b w:val="0"/>
          <w:noProof/>
        </w:rPr>
        <w:t> </w:t>
      </w:r>
      <w:r w:rsidRPr="00732D9A">
        <w:rPr>
          <w:b w:val="0"/>
          <w:noProof/>
        </w:rPr>
        <w:t>II</w:t>
      </w:r>
      <w:r w:rsidRPr="00732D9A">
        <w:rPr>
          <w:noProof/>
        </w:rPr>
        <w:t xml:space="preserve"> </w:t>
      </w:r>
      <w:r w:rsidRPr="00732D9A">
        <w:rPr>
          <w:noProof/>
        </w:rPr>
        <w:br/>
        <w:t>CONDITIONS FAVORISANTES DE LA PRODUCTION INDUSTRIELLE ET DE LA DÉCARBONATION</w:t>
      </w:r>
    </w:p>
    <w:p w14:paraId="40C123FF" w14:textId="3DB92CE6" w:rsidR="009B16FA" w:rsidRPr="00732D9A" w:rsidRDefault="009B16FA" w:rsidP="009B16FA">
      <w:pPr>
        <w:pStyle w:val="Titrearticle"/>
        <w:rPr>
          <w:b/>
          <w:bCs/>
          <w:i w:val="0"/>
          <w:iCs/>
          <w:noProof/>
        </w:rPr>
      </w:pPr>
      <w:r w:rsidRPr="00732D9A">
        <w:rPr>
          <w:noProof/>
        </w:rPr>
        <w:t xml:space="preserve">Article 4 </w:t>
      </w:r>
      <w:r w:rsidRPr="00732D9A">
        <w:rPr>
          <w:noProof/>
        </w:rPr>
        <w:br/>
      </w:r>
      <w:r w:rsidRPr="00732D9A">
        <w:rPr>
          <w:b/>
          <w:i w:val="0"/>
          <w:noProof/>
        </w:rPr>
        <w:t>Points d’accès uniques</w:t>
      </w:r>
    </w:p>
    <w:p w14:paraId="4C8EC77A" w14:textId="77777777" w:rsidR="004C598D" w:rsidRPr="00732D9A" w:rsidRDefault="004C598D" w:rsidP="007234F4">
      <w:pPr>
        <w:pStyle w:val="ManualNumPar1"/>
        <w:rPr>
          <w:noProof/>
        </w:rPr>
      </w:pPr>
      <w:r w:rsidRPr="00732D9A">
        <w:rPr>
          <w:noProof/>
        </w:rPr>
        <w:t>1.</w:t>
      </w:r>
      <w:r w:rsidRPr="00732D9A">
        <w:rPr>
          <w:noProof/>
        </w:rPr>
        <w:tab/>
        <w:t xml:space="preserve">Les États membres mettent en place un point d’accès unique au niveau national aux fins de la présentation, par les promoteurs de projets, de la demande unique pour les projets de fabrication industrielle visée à l’article 5, paragraphe 1. </w:t>
      </w:r>
    </w:p>
    <w:p w14:paraId="1C8764FF" w14:textId="77777777" w:rsidR="003B7D09" w:rsidRPr="00732D9A" w:rsidRDefault="003B7D09" w:rsidP="007234F4">
      <w:pPr>
        <w:pStyle w:val="ManualNumPar1"/>
        <w:rPr>
          <w:noProof/>
        </w:rPr>
      </w:pPr>
      <w:r w:rsidRPr="00732D9A">
        <w:rPr>
          <w:noProof/>
        </w:rPr>
        <w:t>2.</w:t>
      </w:r>
      <w:r w:rsidRPr="00732D9A">
        <w:rPr>
          <w:noProof/>
        </w:rPr>
        <w:tab/>
      </w:r>
      <w:bookmarkStart w:id="10" w:name="_Hlk222430986"/>
      <w:r w:rsidRPr="00732D9A">
        <w:rPr>
          <w:noProof/>
        </w:rPr>
        <w:t>Les points d’accès uniques attribuent automatiquement les demandes de permis à l’autorité compétente, informent le demandeur de toutes les étapes de la procédure d’octroi de permis, de l’état d’avancement de la procédure et des décisions des autorités compétentes, et permettent au demandeur de vérifier le respect des délais applicables. À cet effet, les points d’accès uniques utilisent les portefeuilles européens d’identité numérique pour les entreprises créés conformément à la [proposition de règlement relatif à la création de portefeuilles européens d’identité numérique pour les entreprises].</w:t>
      </w:r>
    </w:p>
    <w:p w14:paraId="113A3DAB" w14:textId="77777777" w:rsidR="00301EBC" w:rsidRPr="00732D9A" w:rsidRDefault="00301EBC" w:rsidP="00301EBC">
      <w:pPr>
        <w:pStyle w:val="Text1"/>
        <w:rPr>
          <w:noProof/>
        </w:rPr>
      </w:pPr>
      <w:r w:rsidRPr="00732D9A">
        <w:rPr>
          <w:noProof/>
        </w:rPr>
        <w:t>Grâce à l’utilisation de portefeuilles européens d’identité numérique pour les entreprises, les points d’accès uniques permettent:</w:t>
      </w:r>
    </w:p>
    <w:p w14:paraId="025C70FD" w14:textId="77777777" w:rsidR="00301EBC" w:rsidRPr="00732D9A" w:rsidRDefault="00301EBC" w:rsidP="007234F4">
      <w:pPr>
        <w:pStyle w:val="Point1"/>
        <w:rPr>
          <w:noProof/>
        </w:rPr>
      </w:pPr>
      <w:r w:rsidRPr="00732D9A">
        <w:rPr>
          <w:noProof/>
        </w:rPr>
        <w:t>a)</w:t>
      </w:r>
      <w:r w:rsidRPr="00732D9A">
        <w:rPr>
          <w:noProof/>
        </w:rPr>
        <w:tab/>
        <w:t xml:space="preserve">l’interopérabilité et l’échange automatisé de données entre les autorités compétentes; </w:t>
      </w:r>
    </w:p>
    <w:p w14:paraId="2F673F4D" w14:textId="77777777" w:rsidR="00301EBC" w:rsidRPr="00732D9A" w:rsidRDefault="00301EBC" w:rsidP="007234F4">
      <w:pPr>
        <w:pStyle w:val="Point1"/>
        <w:rPr>
          <w:noProof/>
        </w:rPr>
      </w:pPr>
      <w:r w:rsidRPr="00732D9A">
        <w:rPr>
          <w:noProof/>
        </w:rPr>
        <w:t>a)</w:t>
      </w:r>
      <w:r w:rsidRPr="00732D9A">
        <w:rPr>
          <w:noProof/>
        </w:rPr>
        <w:tab/>
        <w:t>la réutilisation de données et de documents déjà en la possession des autorités publiques;</w:t>
      </w:r>
    </w:p>
    <w:p w14:paraId="26F438F4" w14:textId="77777777" w:rsidR="00301EBC" w:rsidRPr="00732D9A" w:rsidRDefault="00301EBC" w:rsidP="007234F4">
      <w:pPr>
        <w:pStyle w:val="Point1"/>
        <w:rPr>
          <w:noProof/>
        </w:rPr>
      </w:pPr>
      <w:r w:rsidRPr="00732D9A">
        <w:rPr>
          <w:noProof/>
        </w:rPr>
        <w:t>b)</w:t>
      </w:r>
      <w:r w:rsidRPr="00732D9A">
        <w:rPr>
          <w:noProof/>
        </w:rPr>
        <w:tab/>
        <w:t xml:space="preserve">un niveau élevé de cybersécurité et d’intégrité de l’information; </w:t>
      </w:r>
    </w:p>
    <w:p w14:paraId="0239BA2B" w14:textId="77777777" w:rsidR="00DA0476" w:rsidRPr="00732D9A" w:rsidRDefault="00301EBC" w:rsidP="007234F4">
      <w:pPr>
        <w:pStyle w:val="Point1"/>
        <w:rPr>
          <w:noProof/>
        </w:rPr>
      </w:pPr>
      <w:r w:rsidRPr="00732D9A">
        <w:rPr>
          <w:noProof/>
        </w:rPr>
        <w:t>c)</w:t>
      </w:r>
      <w:r w:rsidRPr="00732D9A">
        <w:rPr>
          <w:noProof/>
        </w:rPr>
        <w:tab/>
        <w:t>la transparence de la procédure d’octroi de permis et le respect du principe de responsabilité dans ce cadre.</w:t>
      </w:r>
      <w:bookmarkEnd w:id="10"/>
    </w:p>
    <w:p w14:paraId="7BA7A8B5" w14:textId="77777777" w:rsidR="00E0283E" w:rsidRPr="00732D9A" w:rsidRDefault="00E0283E" w:rsidP="00E0283E">
      <w:pPr>
        <w:pStyle w:val="ManualNumPar1"/>
        <w:rPr>
          <w:noProof/>
        </w:rPr>
      </w:pPr>
      <w:r w:rsidRPr="00732D9A">
        <w:rPr>
          <w:noProof/>
        </w:rPr>
        <w:t>3.</w:t>
      </w:r>
      <w:r w:rsidRPr="00732D9A">
        <w:rPr>
          <w:noProof/>
        </w:rPr>
        <w:tab/>
        <w:t xml:space="preserve">Lorsqu’ils mettent en place les points d’accès uniques, les États membres utilisent, le cas échéant, les infrastructures, catalogues et éléments constitutifs numériques existants de l’Union établis par le droit de l’Union. </w:t>
      </w:r>
    </w:p>
    <w:p w14:paraId="6A002496" w14:textId="03FC5018" w:rsidR="005551D5" w:rsidRPr="00732D9A" w:rsidRDefault="005551D5" w:rsidP="005551D5">
      <w:pPr>
        <w:pStyle w:val="Titrearticle"/>
        <w:rPr>
          <w:noProof/>
        </w:rPr>
      </w:pPr>
      <w:r w:rsidRPr="00732D9A">
        <w:rPr>
          <w:noProof/>
        </w:rPr>
        <w:t xml:space="preserve">Article 5 </w:t>
      </w:r>
      <w:r w:rsidRPr="00732D9A">
        <w:rPr>
          <w:noProof/>
        </w:rPr>
        <w:br/>
      </w:r>
      <w:r w:rsidRPr="00732D9A">
        <w:rPr>
          <w:b/>
          <w:i w:val="0"/>
          <w:noProof/>
        </w:rPr>
        <w:t>Procédure d’octroi de permis</w:t>
      </w:r>
    </w:p>
    <w:p w14:paraId="22887093" w14:textId="77777777" w:rsidR="008825D7" w:rsidRPr="00732D9A" w:rsidRDefault="005551D5" w:rsidP="005260AB">
      <w:pPr>
        <w:pStyle w:val="ManualNumPar1"/>
        <w:rPr>
          <w:noProof/>
        </w:rPr>
      </w:pPr>
      <w:r w:rsidRPr="00732D9A">
        <w:rPr>
          <w:noProof/>
        </w:rPr>
        <w:t>1.</w:t>
      </w:r>
      <w:r w:rsidRPr="00732D9A">
        <w:rPr>
          <w:noProof/>
        </w:rPr>
        <w:tab/>
        <w:t>Les États membres mettent en place une procédure unique d’octroi de permis fondée sur une demande unique couvrant toutes les autorisations requises pour les projets de fabrication industrielle.</w:t>
      </w:r>
    </w:p>
    <w:p w14:paraId="67538853" w14:textId="77777777" w:rsidR="00C23893" w:rsidRPr="00732D9A" w:rsidRDefault="00A56D49" w:rsidP="007156F5">
      <w:pPr>
        <w:pStyle w:val="ManualNumPar1"/>
        <w:rPr>
          <w:noProof/>
        </w:rPr>
      </w:pPr>
      <w:r w:rsidRPr="00732D9A">
        <w:rPr>
          <w:noProof/>
        </w:rPr>
        <w:t>2.</w:t>
      </w:r>
      <w:r w:rsidRPr="00732D9A">
        <w:rPr>
          <w:noProof/>
        </w:rPr>
        <w:tab/>
        <w:t>Les États membres désignent une autorité compétente chargée de coordonner la procédure d’octroi de permis visée au paragraphe 1 afin de garantir l’adoption et l’émission d’une décision complète dans les délais applicables.</w:t>
      </w:r>
    </w:p>
    <w:p w14:paraId="0AA1B897" w14:textId="77777777" w:rsidR="005551D5" w:rsidRPr="00732D9A" w:rsidRDefault="005551D5" w:rsidP="009E6C85">
      <w:pPr>
        <w:pStyle w:val="ManualNumPar1"/>
        <w:rPr>
          <w:noProof/>
        </w:rPr>
      </w:pPr>
      <w:r w:rsidRPr="00732D9A">
        <w:rPr>
          <w:noProof/>
        </w:rPr>
        <w:lastRenderedPageBreak/>
        <w:t>3.</w:t>
      </w:r>
      <w:r w:rsidRPr="00732D9A">
        <w:rPr>
          <w:noProof/>
        </w:rPr>
        <w:tab/>
        <w:t xml:space="preserve">Au plus tard 45 jours à compter de la réception de la demande d’autorisation pour des projets de fabrication industrielle, l’autorité compétente confirme que la demande est complète ou demande toute information manquante nécessaire au traitement de la demande. </w:t>
      </w:r>
    </w:p>
    <w:p w14:paraId="79332390" w14:textId="77777777" w:rsidR="001C4466" w:rsidRPr="00732D9A" w:rsidDel="003407FC" w:rsidRDefault="001C4466" w:rsidP="004858A8">
      <w:pPr>
        <w:pStyle w:val="Text1"/>
        <w:rPr>
          <w:noProof/>
        </w:rPr>
      </w:pPr>
      <w:r w:rsidRPr="00732D9A">
        <w:rPr>
          <w:noProof/>
        </w:rPr>
        <w:t>Si, après la communication de toute information manquante, la demande est toujours jugée incomplète, l’autorité compétente peut, dans un délai de 30 jours à compter de la communication des informations manquantes demandées, présenter une deuxième demande concernant toute information encore manquante. L’autorité compétente ne demande pas d’informations dans les domaines non couverts par la première demande d’informations supplémentaires et ne demande que les informations supplémentaires nécessaires pour compléter les informations manquantes.</w:t>
      </w:r>
    </w:p>
    <w:p w14:paraId="39E839AF" w14:textId="77777777" w:rsidR="00A1461C" w:rsidRPr="00732D9A" w:rsidRDefault="00A1461C" w:rsidP="00A1461C">
      <w:pPr>
        <w:pStyle w:val="ManualNumPar1"/>
        <w:rPr>
          <w:noProof/>
        </w:rPr>
      </w:pPr>
      <w:r w:rsidRPr="00732D9A">
        <w:rPr>
          <w:noProof/>
        </w:rPr>
        <w:t>4.</w:t>
      </w:r>
      <w:r w:rsidRPr="00732D9A">
        <w:rPr>
          <w:noProof/>
        </w:rPr>
        <w:tab/>
        <w:t>Les dispositions du présent article ne s’appliquent pas lorsque des règles visant à rationaliser les procédures administratives et les procédures d’octroi de permis sont fixées dans d’autres actes législatifs de l’Union pour des secteurs spécifiques de la fabrication industrielle.</w:t>
      </w:r>
    </w:p>
    <w:p w14:paraId="1CF9B77B" w14:textId="019968B6" w:rsidR="005551D5" w:rsidRPr="00732D9A" w:rsidRDefault="005551D5" w:rsidP="005551D5">
      <w:pPr>
        <w:pStyle w:val="Titrearticle"/>
        <w:rPr>
          <w:b/>
          <w:bCs/>
          <w:i w:val="0"/>
          <w:iCs/>
          <w:noProof/>
        </w:rPr>
      </w:pPr>
      <w:r w:rsidRPr="00732D9A">
        <w:rPr>
          <w:noProof/>
        </w:rPr>
        <w:t xml:space="preserve">Article 6 </w:t>
      </w:r>
      <w:r w:rsidRPr="00732D9A">
        <w:rPr>
          <w:noProof/>
        </w:rPr>
        <w:br/>
      </w:r>
      <w:r w:rsidRPr="00732D9A">
        <w:rPr>
          <w:b/>
          <w:i w:val="0"/>
          <w:noProof/>
        </w:rPr>
        <w:t>Projets de décarbonation de l’industrie grande consommatrice d’énergie</w:t>
      </w:r>
    </w:p>
    <w:p w14:paraId="3300B969" w14:textId="77777777" w:rsidR="005551D5" w:rsidRPr="00732D9A" w:rsidRDefault="001146A6" w:rsidP="005260AB">
      <w:pPr>
        <w:pStyle w:val="ManualNumPar1"/>
        <w:rPr>
          <w:noProof/>
        </w:rPr>
      </w:pPr>
      <w:r w:rsidRPr="00732D9A">
        <w:rPr>
          <w:noProof/>
        </w:rPr>
        <w:t>1.</w:t>
      </w:r>
      <w:r w:rsidRPr="00732D9A">
        <w:rPr>
          <w:noProof/>
        </w:rPr>
        <w:tab/>
        <w:t xml:space="preserve">Le chapitre II, section II, du règlement (UE) 2024/1735 s’applique à tous les projets de décarbonation de l’industrie grande consommatrice d’énergie. </w:t>
      </w:r>
    </w:p>
    <w:p w14:paraId="3DD5AED0" w14:textId="77777777" w:rsidR="00AF413D" w:rsidRPr="00732D9A" w:rsidRDefault="00AF413D" w:rsidP="00AF413D">
      <w:pPr>
        <w:pStyle w:val="ManualNumPar1"/>
        <w:rPr>
          <w:noProof/>
        </w:rPr>
      </w:pPr>
      <w:r w:rsidRPr="00732D9A">
        <w:rPr>
          <w:noProof/>
        </w:rPr>
        <w:t>2.</w:t>
      </w:r>
      <w:r w:rsidRPr="00732D9A">
        <w:rPr>
          <w:noProof/>
        </w:rPr>
        <w:tab/>
        <w:t xml:space="preserve">Tous les projets de décarbonation de l’industrie grande consommatrice d’énergie sont considérés comme des projets stratégiques contribuant à la résilience et à la décarbonation ou à l’utilisation efficace des ressources aux fins de [l’article 14 de la proposition de règlement relatif à l’accélération des évaluations environnementales]. Les points 1, 2 et 3 de l’annexe dudit règlement s’appliquent. </w:t>
      </w:r>
    </w:p>
    <w:p w14:paraId="49A027D8" w14:textId="573A7081" w:rsidR="00290640" w:rsidRPr="00732D9A" w:rsidRDefault="00652703" w:rsidP="00290640">
      <w:pPr>
        <w:pStyle w:val="ChapterTitle"/>
        <w:rPr>
          <w:noProof/>
        </w:rPr>
      </w:pPr>
      <w:r w:rsidRPr="00732D9A">
        <w:rPr>
          <w:b w:val="0"/>
          <w:noProof/>
        </w:rPr>
        <w:t>CHAP</w:t>
      </w:r>
      <w:r w:rsidR="009F2FE8">
        <w:rPr>
          <w:b w:val="0"/>
          <w:noProof/>
        </w:rPr>
        <w:t>ITRE</w:t>
      </w:r>
      <w:r w:rsidR="00980FE6">
        <w:rPr>
          <w:b w:val="0"/>
          <w:noProof/>
        </w:rPr>
        <w:t> </w:t>
      </w:r>
      <w:r w:rsidRPr="00732D9A">
        <w:rPr>
          <w:b w:val="0"/>
          <w:noProof/>
        </w:rPr>
        <w:t>III</w:t>
      </w:r>
      <w:r w:rsidRPr="00732D9A">
        <w:rPr>
          <w:noProof/>
        </w:rPr>
        <w:t xml:space="preserve">  </w:t>
      </w:r>
      <w:r w:rsidRPr="00732D9A">
        <w:rPr>
          <w:noProof/>
        </w:rPr>
        <w:br/>
      </w:r>
      <w:r w:rsidR="009F2FE8" w:rsidRPr="009F2FE8">
        <w:rPr>
          <w:noProof/>
        </w:rPr>
        <w:t>RENFORCEMENT DES CHAÎNES DE VALEUR INDUSTRIELLES STRATÉGIQUES DE L’UNION</w:t>
      </w:r>
    </w:p>
    <w:p w14:paraId="202571D9" w14:textId="0AA478EA" w:rsidR="00083654" w:rsidRPr="00732D9A" w:rsidRDefault="00083654" w:rsidP="008C77E8">
      <w:pPr>
        <w:pStyle w:val="Titrearticle"/>
        <w:rPr>
          <w:noProof/>
        </w:rPr>
      </w:pPr>
      <w:r w:rsidRPr="00732D9A">
        <w:rPr>
          <w:noProof/>
        </w:rPr>
        <w:t xml:space="preserve">Article 7 </w:t>
      </w:r>
      <w:r w:rsidRPr="00732D9A">
        <w:rPr>
          <w:noProof/>
        </w:rPr>
        <w:br/>
      </w:r>
      <w:r w:rsidRPr="00732D9A">
        <w:rPr>
          <w:b/>
          <w:i w:val="0"/>
          <w:noProof/>
        </w:rPr>
        <w:t>Origine UE</w:t>
      </w:r>
    </w:p>
    <w:p w14:paraId="578D4648" w14:textId="77777777" w:rsidR="00083654" w:rsidRPr="00732D9A" w:rsidRDefault="00083654" w:rsidP="005260AB">
      <w:pPr>
        <w:pStyle w:val="ManualNumPar1"/>
        <w:rPr>
          <w:noProof/>
        </w:rPr>
      </w:pPr>
      <w:r w:rsidRPr="00732D9A">
        <w:rPr>
          <w:noProof/>
        </w:rPr>
        <w:t>1.</w:t>
      </w:r>
      <w:r w:rsidRPr="00732D9A">
        <w:rPr>
          <w:noProof/>
        </w:rPr>
        <w:tab/>
        <w:t>Aux fins du présent chapitre, on entend par «contenu d’origine UE» tout contenu originaire de l’Union.</w:t>
      </w:r>
    </w:p>
    <w:p w14:paraId="61CE17B0" w14:textId="48F7FFA8" w:rsidR="00083654" w:rsidRPr="00732D9A" w:rsidRDefault="00083654" w:rsidP="005260AB">
      <w:pPr>
        <w:pStyle w:val="ManualNumPar1"/>
        <w:rPr>
          <w:noProof/>
        </w:rPr>
      </w:pPr>
      <w:r w:rsidRPr="00732D9A">
        <w:rPr>
          <w:noProof/>
        </w:rPr>
        <w:t>2.</w:t>
      </w:r>
      <w:r w:rsidRPr="00732D9A">
        <w:rPr>
          <w:noProof/>
        </w:rPr>
        <w:tab/>
        <w:t>L’origine des produits et composants est déterminée conformément au règlement (UE) n</w:t>
      </w:r>
      <w:r w:rsidR="00B07534">
        <w:rPr>
          <w:noProof/>
        </w:rPr>
        <w:t>° </w:t>
      </w:r>
      <w:r w:rsidRPr="00732D9A">
        <w:rPr>
          <w:noProof/>
        </w:rPr>
        <w:t>952/2013 du Parlement européen et du Conseil.</w:t>
      </w:r>
    </w:p>
    <w:p w14:paraId="3A6FAB7B" w14:textId="77777777" w:rsidR="00F6687A" w:rsidRPr="00732D9A" w:rsidRDefault="00F6687A" w:rsidP="00F6687A">
      <w:pPr>
        <w:pStyle w:val="Titrearticle"/>
        <w:spacing w:before="0" w:after="0"/>
        <w:rPr>
          <w:noProof/>
        </w:rPr>
      </w:pPr>
      <w:r w:rsidRPr="00732D9A">
        <w:rPr>
          <w:noProof/>
        </w:rPr>
        <w:t>Article 8</w:t>
      </w:r>
    </w:p>
    <w:p w14:paraId="691260C7" w14:textId="77777777" w:rsidR="00F6687A" w:rsidRPr="00732D9A" w:rsidRDefault="00F6687A" w:rsidP="00F6687A">
      <w:pPr>
        <w:pStyle w:val="Titrearticle"/>
        <w:spacing w:before="0" w:after="0"/>
        <w:rPr>
          <w:b/>
          <w:i w:val="0"/>
          <w:noProof/>
        </w:rPr>
      </w:pPr>
      <w:r w:rsidRPr="00732D9A">
        <w:rPr>
          <w:b/>
          <w:i w:val="0"/>
          <w:noProof/>
        </w:rPr>
        <w:t>Contenus équivalents à des contenus d’origine UE dans le cadre des marchés publics</w:t>
      </w:r>
    </w:p>
    <w:p w14:paraId="01179CFF" w14:textId="51F7393F" w:rsidR="00F6687A" w:rsidRPr="00732D9A" w:rsidRDefault="000D0C3E" w:rsidP="000D0C3E">
      <w:pPr>
        <w:pStyle w:val="ManualNumPar1"/>
        <w:rPr>
          <w:noProof/>
        </w:rPr>
      </w:pPr>
      <w:r w:rsidRPr="00732D9A">
        <w:rPr>
          <w:noProof/>
        </w:rPr>
        <w:t>1.</w:t>
      </w:r>
      <w:r w:rsidRPr="00732D9A">
        <w:rPr>
          <w:noProof/>
        </w:rPr>
        <w:tab/>
        <w:t xml:space="preserve">En ce qui concerne les exigences en matière d’origine UE visées à l’article 11, les contenus originaires de pays tiers avec lesquels l’Union a conclu un accord établissant une zone de libre-échange ou une union douanière, ou qui sont parties à l’accord sur les marchés publics, lorsque des obligations en la matière sont imposées par l’Union en vertu de cet accord, sont réputés d’origine UE. </w:t>
      </w:r>
    </w:p>
    <w:p w14:paraId="01EE88EE" w14:textId="1C73AB10" w:rsidR="00BF3A9F" w:rsidRPr="00732D9A" w:rsidRDefault="000D0C3E" w:rsidP="007234F4">
      <w:pPr>
        <w:pStyle w:val="ManualNumPar1"/>
        <w:rPr>
          <w:noProof/>
        </w:rPr>
      </w:pPr>
      <w:r w:rsidRPr="00732D9A">
        <w:rPr>
          <w:noProof/>
        </w:rPr>
        <w:t>2.</w:t>
      </w:r>
      <w:r w:rsidRPr="00732D9A">
        <w:rPr>
          <w:noProof/>
        </w:rPr>
        <w:tab/>
        <w:t xml:space="preserve">La Commission adopte des actes délégués conformément à l’article 30 afin d’exclure, en tout ou en partie, un pays tiers du champ d’application du paragraphe 1 sur la base de l’un des critères suivants: </w:t>
      </w:r>
    </w:p>
    <w:p w14:paraId="3707BEF8" w14:textId="77777777" w:rsidR="00703BFE" w:rsidRPr="00732D9A" w:rsidRDefault="00703BFE" w:rsidP="007234F4">
      <w:pPr>
        <w:pStyle w:val="Point1"/>
        <w:rPr>
          <w:noProof/>
        </w:rPr>
      </w:pPr>
      <w:r w:rsidRPr="00732D9A">
        <w:rPr>
          <w:noProof/>
        </w:rPr>
        <w:lastRenderedPageBreak/>
        <w:t>a)</w:t>
      </w:r>
      <w:r w:rsidRPr="00732D9A">
        <w:rPr>
          <w:noProof/>
        </w:rPr>
        <w:tab/>
        <w:t>le pays tiers en question n’a pas accordé le traitement national lié aux produits ou entités de l’Union au titre des accords visés au paragraphe 1 en ce qui concerne l’un des secteurs énumérés à l’annexe I;</w:t>
      </w:r>
    </w:p>
    <w:p w14:paraId="3F361163" w14:textId="77777777" w:rsidR="00F6687A" w:rsidRPr="00732D9A" w:rsidRDefault="00F6687A" w:rsidP="007234F4">
      <w:pPr>
        <w:pStyle w:val="Point1"/>
        <w:rPr>
          <w:noProof/>
        </w:rPr>
      </w:pPr>
      <w:r w:rsidRPr="00732D9A">
        <w:rPr>
          <w:noProof/>
        </w:rPr>
        <w:t>b)</w:t>
      </w:r>
      <w:r w:rsidRPr="00732D9A">
        <w:rPr>
          <w:noProof/>
        </w:rPr>
        <w:tab/>
        <w:t>cette exclusion est justifiée afin d’éviter des dépendances ou toute autre évolution susceptible de compromettre la sécurité d’approvisionnement de l’Union en ce qui concerne les produits en question;</w:t>
      </w:r>
    </w:p>
    <w:p w14:paraId="1845D3AA" w14:textId="77777777" w:rsidR="00F6687A" w:rsidRPr="00732D9A" w:rsidRDefault="00F6687A" w:rsidP="00F6687A">
      <w:pPr>
        <w:pStyle w:val="Point1"/>
        <w:rPr>
          <w:noProof/>
        </w:rPr>
      </w:pPr>
      <w:r w:rsidRPr="00732D9A">
        <w:rPr>
          <w:noProof/>
        </w:rPr>
        <w:t>c)</w:t>
      </w:r>
      <w:r w:rsidRPr="00732D9A">
        <w:rPr>
          <w:noProof/>
        </w:rPr>
        <w:tab/>
        <w:t>cette exclusion est justifiée en vertu de toute autre exception prévue par l’accord applicable.</w:t>
      </w:r>
    </w:p>
    <w:p w14:paraId="49D5EC49" w14:textId="77777777" w:rsidR="00F6687A" w:rsidRPr="00732D9A" w:rsidRDefault="00F6687A" w:rsidP="00B50E3C">
      <w:pPr>
        <w:pStyle w:val="Titrearticle"/>
        <w:spacing w:before="0" w:after="0"/>
        <w:rPr>
          <w:noProof/>
        </w:rPr>
      </w:pPr>
      <w:r w:rsidRPr="00732D9A">
        <w:rPr>
          <w:noProof/>
        </w:rPr>
        <w:t>Article 9</w:t>
      </w:r>
    </w:p>
    <w:p w14:paraId="2ED689F5" w14:textId="35609644" w:rsidR="00F6687A" w:rsidRPr="00732D9A" w:rsidRDefault="00F6687A" w:rsidP="00B50E3C">
      <w:pPr>
        <w:pStyle w:val="Titrearticle"/>
        <w:spacing w:before="0" w:after="0"/>
        <w:rPr>
          <w:b/>
          <w:i w:val="0"/>
          <w:noProof/>
        </w:rPr>
      </w:pPr>
      <w:r w:rsidRPr="00732D9A">
        <w:rPr>
          <w:b/>
          <w:i w:val="0"/>
          <w:noProof/>
        </w:rPr>
        <w:t>Contenus équivalents à des contenus d’origine UE dans le cadre d’autres formes d</w:t>
      </w:r>
      <w:r w:rsidR="00980FE6">
        <w:rPr>
          <w:b/>
          <w:i w:val="0"/>
          <w:noProof/>
        </w:rPr>
        <w:t>’</w:t>
      </w:r>
      <w:r w:rsidRPr="00732D9A">
        <w:rPr>
          <w:b/>
          <w:i w:val="0"/>
          <w:noProof/>
        </w:rPr>
        <w:t>intervention publique</w:t>
      </w:r>
    </w:p>
    <w:p w14:paraId="777742E2" w14:textId="77777777" w:rsidR="002E5E99" w:rsidRPr="00732D9A" w:rsidRDefault="002E5E99" w:rsidP="007234F4">
      <w:pPr>
        <w:pStyle w:val="ManualNumPar1"/>
        <w:rPr>
          <w:noProof/>
        </w:rPr>
      </w:pPr>
      <w:r w:rsidRPr="00732D9A">
        <w:rPr>
          <w:noProof/>
        </w:rPr>
        <w:t>1.</w:t>
      </w:r>
      <w:r w:rsidRPr="00732D9A">
        <w:rPr>
          <w:noProof/>
        </w:rPr>
        <w:tab/>
        <w:t>En ce qui concerne les exigences en matière d’origine UE énoncées à l’article 12, les contenus originaires de pays tiers avec lesquels l’Union a conclu un accord établissant une zone de libre-échange ou une union douanière sont réputés d’origine UE.</w:t>
      </w:r>
    </w:p>
    <w:p w14:paraId="354DD1DC" w14:textId="77777777" w:rsidR="00BF3A9F" w:rsidRPr="00732D9A" w:rsidRDefault="002E5E99" w:rsidP="007234F4">
      <w:pPr>
        <w:pStyle w:val="ManualNumPar1"/>
        <w:rPr>
          <w:noProof/>
        </w:rPr>
      </w:pPr>
      <w:r w:rsidRPr="00732D9A">
        <w:rPr>
          <w:noProof/>
        </w:rPr>
        <w:t>2.</w:t>
      </w:r>
      <w:r w:rsidRPr="00732D9A">
        <w:rPr>
          <w:noProof/>
        </w:rPr>
        <w:tab/>
        <w:t xml:space="preserve">La Commission adopte des actes délégués conformément à l’article 30 afin d’exclure, en tout ou en partie, un pays tiers du champ d’application du paragraphe 1 sur la base de l’un des critères suivants: </w:t>
      </w:r>
    </w:p>
    <w:p w14:paraId="0578C535" w14:textId="77777777" w:rsidR="00022D36" w:rsidRPr="00732D9A" w:rsidRDefault="00022D36" w:rsidP="007234F4">
      <w:pPr>
        <w:pStyle w:val="Point1"/>
        <w:rPr>
          <w:noProof/>
        </w:rPr>
      </w:pPr>
      <w:r w:rsidRPr="00732D9A">
        <w:rPr>
          <w:noProof/>
        </w:rPr>
        <w:t>a)</w:t>
      </w:r>
      <w:r w:rsidRPr="00732D9A">
        <w:rPr>
          <w:noProof/>
        </w:rPr>
        <w:tab/>
        <w:t>le pays tiers en question n’a pas accordé le traitement national lié aux produits ou entités de l’Union au titre des accords visés au paragraphe 1 en ce qui concerne l’un des secteurs énumérés à l’annexe I;</w:t>
      </w:r>
    </w:p>
    <w:p w14:paraId="05324565" w14:textId="77777777" w:rsidR="00F6687A" w:rsidRPr="00732D9A" w:rsidRDefault="00F6687A" w:rsidP="007234F4">
      <w:pPr>
        <w:pStyle w:val="Point1"/>
        <w:rPr>
          <w:noProof/>
        </w:rPr>
      </w:pPr>
      <w:r w:rsidRPr="00732D9A">
        <w:rPr>
          <w:noProof/>
        </w:rPr>
        <w:t>b)</w:t>
      </w:r>
      <w:r w:rsidRPr="00732D9A">
        <w:rPr>
          <w:noProof/>
        </w:rPr>
        <w:tab/>
        <w:t>cette exclusion est justifiée afin d’éviter des dépendances ou toute autre évolution susceptible de compromettre la sécurité d’approvisionnement de l’Union en ce qui concerne les produits en question;</w:t>
      </w:r>
    </w:p>
    <w:p w14:paraId="749CDD93" w14:textId="77777777" w:rsidR="00F6687A" w:rsidRPr="00732D9A" w:rsidRDefault="00F6687A" w:rsidP="00F6687A">
      <w:pPr>
        <w:pStyle w:val="Point1"/>
        <w:rPr>
          <w:noProof/>
        </w:rPr>
      </w:pPr>
      <w:r w:rsidRPr="00732D9A">
        <w:rPr>
          <w:noProof/>
        </w:rPr>
        <w:t>c)</w:t>
      </w:r>
      <w:r w:rsidRPr="00732D9A">
        <w:rPr>
          <w:noProof/>
        </w:rPr>
        <w:tab/>
        <w:t>cette exclusion est justifiée en vertu de toute autre exception prévue par l’accord applicable.</w:t>
      </w:r>
    </w:p>
    <w:p w14:paraId="40ED3ED9" w14:textId="7552C63C" w:rsidR="00083654" w:rsidRPr="00732D9A" w:rsidRDefault="00083654" w:rsidP="008C77E8">
      <w:pPr>
        <w:pStyle w:val="Titrearticle"/>
        <w:rPr>
          <w:noProof/>
        </w:rPr>
      </w:pPr>
      <w:r w:rsidRPr="00732D9A">
        <w:rPr>
          <w:noProof/>
        </w:rPr>
        <w:t xml:space="preserve">Article 10 </w:t>
      </w:r>
      <w:r w:rsidRPr="00732D9A">
        <w:rPr>
          <w:noProof/>
        </w:rPr>
        <w:br/>
      </w:r>
      <w:r w:rsidRPr="00732D9A">
        <w:rPr>
          <w:b/>
          <w:i w:val="0"/>
          <w:noProof/>
        </w:rPr>
        <w:t>Produits bas carbone</w:t>
      </w:r>
    </w:p>
    <w:p w14:paraId="6890DAC7" w14:textId="77777777" w:rsidR="00967ED3" w:rsidRPr="00732D9A" w:rsidRDefault="001619B5" w:rsidP="007234F4">
      <w:pPr>
        <w:pStyle w:val="ManualNumPar1"/>
        <w:rPr>
          <w:noProof/>
        </w:rPr>
      </w:pPr>
      <w:r w:rsidRPr="00732D9A">
        <w:rPr>
          <w:noProof/>
        </w:rPr>
        <w:t>1.</w:t>
      </w:r>
      <w:r w:rsidRPr="00732D9A">
        <w:rPr>
          <w:noProof/>
        </w:rPr>
        <w:tab/>
        <w:t>Aux fins du présent chapitre, un produit relevant de l’annexe II est considéré comme un produit bas carbone lorsqu’il satisfait aux exigences énoncées dans les actes délégués, comme suit:</w:t>
      </w:r>
    </w:p>
    <w:p w14:paraId="1825FD3B" w14:textId="77777777" w:rsidR="00F67487" w:rsidRPr="00732D9A" w:rsidRDefault="0019441D" w:rsidP="007234F4">
      <w:pPr>
        <w:pStyle w:val="Point1"/>
        <w:rPr>
          <w:noProof/>
        </w:rPr>
      </w:pPr>
      <w:r w:rsidRPr="00732D9A">
        <w:rPr>
          <w:noProof/>
        </w:rPr>
        <w:t>a)</w:t>
      </w:r>
      <w:r w:rsidRPr="00732D9A">
        <w:rPr>
          <w:noProof/>
        </w:rPr>
        <w:tab/>
        <w:t>pour les produits de construction visés dans le règlement (UE) 2024/3110 et couverts par une spécification technique harmonisée ou une évaluation technique européenne, les actes délégués adoptés en vertu de l’article 5, paragraphe 5, ou de l’article 22, paragraphe 9, du règlement (UE) 2024/3110;</w:t>
      </w:r>
    </w:p>
    <w:p w14:paraId="04707A5B" w14:textId="77777777" w:rsidR="00967ED3" w:rsidRPr="00732D9A" w:rsidRDefault="002E0C3F" w:rsidP="00E75E42">
      <w:pPr>
        <w:pStyle w:val="Point1"/>
        <w:rPr>
          <w:noProof/>
        </w:rPr>
      </w:pPr>
      <w:r w:rsidRPr="00732D9A">
        <w:rPr>
          <w:noProof/>
        </w:rPr>
        <w:t>b)</w:t>
      </w:r>
      <w:r w:rsidRPr="00732D9A">
        <w:rPr>
          <w:noProof/>
        </w:rPr>
        <w:tab/>
        <w:t>pour tous les autres produits, les actes délégués adoptés en vertu de l’article 4 du règlement (UE) 2024/1781, selon le cas.</w:t>
      </w:r>
    </w:p>
    <w:p w14:paraId="6A12B831" w14:textId="4BB65588" w:rsidR="005F57F7" w:rsidRPr="00732D9A" w:rsidRDefault="002944EB" w:rsidP="005F57F7">
      <w:pPr>
        <w:pStyle w:val="ManualNumPar1"/>
        <w:rPr>
          <w:noProof/>
        </w:rPr>
      </w:pPr>
      <w:r w:rsidRPr="00732D9A">
        <w:rPr>
          <w:noProof/>
        </w:rPr>
        <w:t>2.</w:t>
      </w:r>
      <w:r w:rsidRPr="00732D9A">
        <w:rPr>
          <w:noProof/>
        </w:rPr>
        <w:tab/>
        <w:t>Afin de soutenir la création de marchés pilotes en orientant les décisions d</w:t>
      </w:r>
      <w:r w:rsidR="00980FE6">
        <w:rPr>
          <w:noProof/>
        </w:rPr>
        <w:t>’</w:t>
      </w:r>
      <w:r w:rsidRPr="00732D9A">
        <w:rPr>
          <w:noProof/>
        </w:rPr>
        <w:t xml:space="preserve">investissement vers des produits rangés dans une classe de performance inférieure en matière d’intensité des émissions de gaz à effet de serre, la Commission est habilitée à adopter des actes délégués conformément à l’article 30 afin de compléter le présent règlement en établissant des systèmes de classification volontaires fondés sur l’intensité des émissions de gaz à effet de serre pour les produits fabriqués dans le cadre d’activités énumérées à l’annexe I de la directive 2003/87/CE (ci-après les </w:t>
      </w:r>
      <w:r w:rsidRPr="00732D9A">
        <w:rPr>
          <w:noProof/>
        </w:rPr>
        <w:lastRenderedPageBreak/>
        <w:t xml:space="preserve">«produits industriels») lorsqu’ils sont mis sur le marché de l’Union, dans la mesure où ces produits ne sont pas déjà réglementés par un acte délégué au titre du règlement (UE) 2024/1781 ou inclus dans les plans de travail adoptés conformément audit règlement. </w:t>
      </w:r>
    </w:p>
    <w:p w14:paraId="6B312669" w14:textId="77777777" w:rsidR="005F57F7" w:rsidRPr="00732D9A" w:rsidRDefault="005F57F7" w:rsidP="005F57F7">
      <w:pPr>
        <w:pStyle w:val="Text1"/>
        <w:rPr>
          <w:noProof/>
        </w:rPr>
      </w:pPr>
      <w:r w:rsidRPr="00732D9A">
        <w:rPr>
          <w:noProof/>
        </w:rPr>
        <w:t>Les émissions et toutes les autres données pertinentes utilisées pour le calcul de l’intensité des émissions de gaz à effet de serre sont vérifiées par des vérificateurs accrédités au titre du règlement d’exécution (UE) 2018/2067 de la Commission du Parlement européen et du Conseil</w:t>
      </w:r>
      <w:r w:rsidRPr="00732D9A">
        <w:rPr>
          <w:rStyle w:val="FootnoteReference"/>
          <w:noProof/>
        </w:rPr>
        <w:footnoteReference w:id="61"/>
      </w:r>
      <w:r w:rsidRPr="00732D9A">
        <w:rPr>
          <w:noProof/>
        </w:rPr>
        <w:t xml:space="preserve"> ou par des vérificateurs accrédités au titre des actes délégués adoptés en vertu de l’article 18 du règlement (UE) 2023/956 du Parlement européen et du Conseil, selon le cas. Les émissions sont surveillées conformément aux règles énoncées au chapitre III du règlement d’exécution (UE) 2018/2066 de la Commission et aux méthodes de surveillance des données et exigences de qualité énoncées à l’annexe VII du règlement délégué (UE) 2019/331. Pour les produits importés, les émissions peuvent être surveillées conformément à l’annexe IV du règlement (UE) 2023/956 et aux méthodes de surveillance des données et exigences de qualité établies par les actes d’exécution adoptés en vertu de l’article 7, paragraphe 7, point a), du règlement (UE) 2023/956, lorsqu’il prévoit un ensemble de données équivalent. </w:t>
      </w:r>
    </w:p>
    <w:p w14:paraId="579B7896" w14:textId="77777777" w:rsidR="005F57F7" w:rsidRPr="00732D9A" w:rsidRDefault="005F57F7" w:rsidP="005F57F7">
      <w:pPr>
        <w:pStyle w:val="Text1"/>
        <w:rPr>
          <w:noProof/>
        </w:rPr>
      </w:pPr>
      <w:r w:rsidRPr="00732D9A">
        <w:rPr>
          <w:noProof/>
        </w:rPr>
        <w:t>Ces actes délégués précisent, le cas échéant, les éléments suivants:</w:t>
      </w:r>
    </w:p>
    <w:p w14:paraId="026E08CF" w14:textId="77777777" w:rsidR="002944EB" w:rsidRPr="00732D9A" w:rsidRDefault="002944EB" w:rsidP="007234F4">
      <w:pPr>
        <w:pStyle w:val="Point1"/>
        <w:rPr>
          <w:noProof/>
        </w:rPr>
      </w:pPr>
      <w:r w:rsidRPr="00732D9A">
        <w:rPr>
          <w:noProof/>
        </w:rPr>
        <w:t>a)</w:t>
      </w:r>
      <w:r w:rsidRPr="00732D9A">
        <w:rPr>
          <w:noProof/>
        </w:rPr>
        <w:tab/>
        <w:t xml:space="preserve">l’identification du produit pour lequel un fabricant peut demander une étiquette relative à l’intensité des émissions de gaz à effet de serre; </w:t>
      </w:r>
    </w:p>
    <w:p w14:paraId="52549968" w14:textId="77777777" w:rsidR="002944EB" w:rsidRPr="00732D9A" w:rsidRDefault="002944EB" w:rsidP="00E75E42">
      <w:pPr>
        <w:pStyle w:val="Point1"/>
        <w:rPr>
          <w:noProof/>
        </w:rPr>
      </w:pPr>
      <w:r w:rsidRPr="00732D9A">
        <w:rPr>
          <w:noProof/>
        </w:rPr>
        <w:t>b)</w:t>
      </w:r>
      <w:r w:rsidRPr="00732D9A">
        <w:rPr>
          <w:noProof/>
        </w:rPr>
        <w:tab/>
        <w:t>les limites pertinentes du système, couvrant les émissions provenant du processus de fabrication industrielle, les émissions provenant des précurseurs pertinents et les émissions provenant de la consommation d’électricité. Ces émissions sont considérées indépendamment de la question de savoir si elles sont produites dans l’installation du fabricant ou dans d’autres installations, étant entendu que certains précurseurs peuvent être acquis auprès d’autres installations;</w:t>
      </w:r>
    </w:p>
    <w:p w14:paraId="128E0B12" w14:textId="77777777" w:rsidR="002944EB" w:rsidRPr="00732D9A" w:rsidRDefault="002944EB" w:rsidP="00E75E42">
      <w:pPr>
        <w:pStyle w:val="Point1"/>
        <w:rPr>
          <w:noProof/>
        </w:rPr>
      </w:pPr>
      <w:r w:rsidRPr="00732D9A">
        <w:rPr>
          <w:noProof/>
        </w:rPr>
        <w:t>c)</w:t>
      </w:r>
      <w:r w:rsidRPr="00732D9A">
        <w:rPr>
          <w:noProof/>
        </w:rPr>
        <w:tab/>
        <w:t xml:space="preserve">la méthode de calcul de l’intensité des émissions de gaz à effet de serre du produit; </w:t>
      </w:r>
    </w:p>
    <w:p w14:paraId="6E4B6550" w14:textId="77777777" w:rsidR="002944EB" w:rsidRPr="00732D9A" w:rsidRDefault="002944EB" w:rsidP="00E75E42">
      <w:pPr>
        <w:pStyle w:val="Point1"/>
        <w:rPr>
          <w:noProof/>
        </w:rPr>
      </w:pPr>
      <w:r w:rsidRPr="00732D9A">
        <w:rPr>
          <w:noProof/>
        </w:rPr>
        <w:t>d)</w:t>
      </w:r>
      <w:r w:rsidRPr="00732D9A">
        <w:rPr>
          <w:noProof/>
        </w:rPr>
        <w:tab/>
        <w:t>une classification avec des classes de performance;</w:t>
      </w:r>
    </w:p>
    <w:p w14:paraId="5D7A9B9B" w14:textId="77777777" w:rsidR="002944EB" w:rsidRPr="00732D9A" w:rsidRDefault="002944EB" w:rsidP="00E75E42">
      <w:pPr>
        <w:pStyle w:val="Point1"/>
        <w:rPr>
          <w:noProof/>
        </w:rPr>
      </w:pPr>
      <w:r w:rsidRPr="00732D9A">
        <w:rPr>
          <w:noProof/>
        </w:rPr>
        <w:t>e)</w:t>
      </w:r>
      <w:r w:rsidRPr="00732D9A">
        <w:rPr>
          <w:noProof/>
        </w:rPr>
        <w:tab/>
        <w:t xml:space="preserve">des règles complémentaires concernant la gouvernance de l’étiquette, y compris les entités compétentes; et </w:t>
      </w:r>
    </w:p>
    <w:p w14:paraId="43B078BA" w14:textId="77777777" w:rsidR="002944EB" w:rsidRPr="00732D9A" w:rsidRDefault="002944EB" w:rsidP="00E75E42">
      <w:pPr>
        <w:pStyle w:val="Point1"/>
        <w:rPr>
          <w:noProof/>
        </w:rPr>
      </w:pPr>
      <w:r w:rsidRPr="00732D9A">
        <w:rPr>
          <w:noProof/>
        </w:rPr>
        <w:t>f)</w:t>
      </w:r>
      <w:r w:rsidRPr="00732D9A">
        <w:rPr>
          <w:noProof/>
        </w:rPr>
        <w:tab/>
        <w:t>des règles complémentaires en matière d’accréditation, de surveillance et de vérification.</w:t>
      </w:r>
    </w:p>
    <w:p w14:paraId="6414553B" w14:textId="77777777" w:rsidR="00E75E42" w:rsidRPr="00732D9A" w:rsidRDefault="002944EB" w:rsidP="00E75E42">
      <w:pPr>
        <w:pStyle w:val="Text1"/>
        <w:rPr>
          <w:noProof/>
        </w:rPr>
      </w:pPr>
      <w:r w:rsidRPr="00732D9A">
        <w:rPr>
          <w:noProof/>
        </w:rPr>
        <w:t>Aux fins de l’élaboration de ces règles, la Commission tient au moins compte:</w:t>
      </w:r>
    </w:p>
    <w:p w14:paraId="7B169438" w14:textId="77777777" w:rsidR="002944EB" w:rsidRPr="00732D9A" w:rsidRDefault="002944EB" w:rsidP="007234F4">
      <w:pPr>
        <w:pStyle w:val="Point1"/>
        <w:rPr>
          <w:noProof/>
        </w:rPr>
      </w:pPr>
      <w:r w:rsidRPr="00732D9A">
        <w:rPr>
          <w:noProof/>
        </w:rPr>
        <w:t>a)</w:t>
      </w:r>
      <w:r w:rsidRPr="00732D9A">
        <w:rPr>
          <w:noProof/>
        </w:rPr>
        <w:tab/>
        <w:t>des valeurs les plus récentes des référentiels de produits applicables au sens de la directive 2003/87/CE;</w:t>
      </w:r>
    </w:p>
    <w:p w14:paraId="2C4115BE" w14:textId="77777777" w:rsidR="002944EB" w:rsidRPr="00732D9A" w:rsidRDefault="002944EB" w:rsidP="007234F4">
      <w:pPr>
        <w:pStyle w:val="Point1"/>
        <w:rPr>
          <w:noProof/>
        </w:rPr>
      </w:pPr>
      <w:r w:rsidRPr="00732D9A">
        <w:rPr>
          <w:noProof/>
        </w:rPr>
        <w:t>b)</w:t>
      </w:r>
      <w:r w:rsidRPr="00732D9A">
        <w:rPr>
          <w:noProof/>
        </w:rPr>
        <w:tab/>
        <w:t>des données déjà disponibles dans le cadre du SEQE de l’UE et du MACF;</w:t>
      </w:r>
    </w:p>
    <w:p w14:paraId="57EBD4FE" w14:textId="77777777" w:rsidR="002944EB" w:rsidRPr="00732D9A" w:rsidRDefault="002944EB" w:rsidP="007234F4">
      <w:pPr>
        <w:pStyle w:val="Point1"/>
        <w:rPr>
          <w:noProof/>
        </w:rPr>
      </w:pPr>
      <w:r w:rsidRPr="00732D9A">
        <w:rPr>
          <w:noProof/>
        </w:rPr>
        <w:lastRenderedPageBreak/>
        <w:t>c)</w:t>
      </w:r>
      <w:r w:rsidRPr="00732D9A">
        <w:rPr>
          <w:noProof/>
        </w:rPr>
        <w:tab/>
        <w:t>des nouvelles règles de l’Union concernant la comptabilisation des émissions, y compris celles résultant de la consommation d’électricité, des combustibles bas carbone et des combustibles renouvelables d’origine non biologique;</w:t>
      </w:r>
    </w:p>
    <w:p w14:paraId="0D56EC3E" w14:textId="77777777" w:rsidR="00D5018D" w:rsidRPr="00732D9A" w:rsidRDefault="002944EB" w:rsidP="007234F4">
      <w:pPr>
        <w:pStyle w:val="Point1"/>
        <w:rPr>
          <w:noProof/>
        </w:rPr>
      </w:pPr>
      <w:r w:rsidRPr="00732D9A">
        <w:rPr>
          <w:noProof/>
        </w:rPr>
        <w:t>d)</w:t>
      </w:r>
      <w:r w:rsidRPr="00732D9A">
        <w:rPr>
          <w:noProof/>
        </w:rPr>
        <w:tab/>
        <w:t xml:space="preserve">des technologies de production à faible intensité de carbone émergentes, ainsi que du potentiel estimé de réduction des émissions des technologies émergentes; </w:t>
      </w:r>
    </w:p>
    <w:p w14:paraId="5AB1C370" w14:textId="77777777" w:rsidR="002944EB" w:rsidRPr="00732D9A" w:rsidRDefault="002944EB" w:rsidP="007234F4">
      <w:pPr>
        <w:pStyle w:val="Point1"/>
        <w:rPr>
          <w:noProof/>
        </w:rPr>
      </w:pPr>
      <w:r w:rsidRPr="00732D9A">
        <w:rPr>
          <w:noProof/>
        </w:rPr>
        <w:t>e)</w:t>
      </w:r>
      <w:r w:rsidRPr="00732D9A">
        <w:rPr>
          <w:noProof/>
        </w:rPr>
        <w:tab/>
        <w:t>de la nécessité d’encourager l’utilisation de matériaux recyclés dans toutes les filières de production; et</w:t>
      </w:r>
    </w:p>
    <w:p w14:paraId="70A39360" w14:textId="77777777" w:rsidR="00EB1144" w:rsidRPr="00732D9A" w:rsidRDefault="002944EB" w:rsidP="007234F4">
      <w:pPr>
        <w:pStyle w:val="Point1"/>
        <w:rPr>
          <w:noProof/>
        </w:rPr>
      </w:pPr>
      <w:r w:rsidRPr="00732D9A">
        <w:rPr>
          <w:noProof/>
        </w:rPr>
        <w:t>f)</w:t>
      </w:r>
      <w:r w:rsidRPr="00732D9A">
        <w:rPr>
          <w:noProof/>
        </w:rPr>
        <w:tab/>
        <w:t>de l’alignement sur les objectifs de neutralité climatique, tels que définis dans le règlement (UE) 2021/1119 du Parlement européen et du Conseil</w:t>
      </w:r>
      <w:r w:rsidRPr="00732D9A">
        <w:rPr>
          <w:rStyle w:val="FootnoteReference"/>
          <w:noProof/>
        </w:rPr>
        <w:footnoteReference w:id="62"/>
      </w:r>
      <w:r w:rsidRPr="00732D9A">
        <w:rPr>
          <w:noProof/>
        </w:rPr>
        <w:t>.</w:t>
      </w:r>
    </w:p>
    <w:p w14:paraId="4E59B519" w14:textId="038BEDE1" w:rsidR="00083654" w:rsidRPr="00732D9A" w:rsidRDefault="00083654" w:rsidP="008C77E8">
      <w:pPr>
        <w:pStyle w:val="Titrearticle"/>
        <w:rPr>
          <w:noProof/>
        </w:rPr>
      </w:pPr>
      <w:r w:rsidRPr="00732D9A">
        <w:rPr>
          <w:noProof/>
        </w:rPr>
        <w:t xml:space="preserve">Article 11 </w:t>
      </w:r>
      <w:r w:rsidRPr="00732D9A">
        <w:rPr>
          <w:noProof/>
        </w:rPr>
        <w:br/>
      </w:r>
      <w:r w:rsidRPr="00732D9A">
        <w:rPr>
          <w:b/>
          <w:i w:val="0"/>
          <w:noProof/>
        </w:rPr>
        <w:t>Marchés publics</w:t>
      </w:r>
      <w:r w:rsidRPr="00732D9A">
        <w:rPr>
          <w:noProof/>
        </w:rPr>
        <w:t xml:space="preserve"> </w:t>
      </w:r>
    </w:p>
    <w:p w14:paraId="62855739" w14:textId="77777777" w:rsidR="00B91F3E" w:rsidRPr="00732D9A" w:rsidRDefault="003D0F09" w:rsidP="005260AB">
      <w:pPr>
        <w:pStyle w:val="ManualNumPar1"/>
        <w:rPr>
          <w:noProof/>
        </w:rPr>
      </w:pPr>
      <w:r w:rsidRPr="00732D9A">
        <w:rPr>
          <w:noProof/>
        </w:rPr>
        <w:t>1.</w:t>
      </w:r>
      <w:r w:rsidRPr="00732D9A">
        <w:rPr>
          <w:noProof/>
        </w:rPr>
        <w:tab/>
        <w:t xml:space="preserve">Les pouvoirs adjudicateurs et les entités adjudicatrices excluent de l’accès aux procédures de passation de marchés publics ou de concessions visées à l’annexe II, partie I, et à l’annexe III, partie I, les offres présentées par des opérateurs économiques détenus ou contrôlés par une entité établie dans des pays tiers qui n’ont pas conclu avec l’Union d’accord international garantissant un tel accès. </w:t>
      </w:r>
    </w:p>
    <w:p w14:paraId="30700910" w14:textId="77777777" w:rsidR="00E75209" w:rsidRPr="00732D9A" w:rsidRDefault="00E75209" w:rsidP="00E75209">
      <w:pPr>
        <w:pStyle w:val="ManualNumPar1"/>
        <w:rPr>
          <w:noProof/>
        </w:rPr>
      </w:pPr>
      <w:r w:rsidRPr="00732D9A">
        <w:rPr>
          <w:noProof/>
        </w:rPr>
        <w:t>2.</w:t>
      </w:r>
      <w:r w:rsidRPr="00732D9A">
        <w:rPr>
          <w:noProof/>
        </w:rPr>
        <w:tab/>
        <w:t>Pour les procédures de passation de marchés publics ou de concessions visées à l’annexe II, partie I, et à l’annexe III, partie I, les pouvoirs adjudicateurs et les entités adjudicatrices appliquent les exigences en matière d’origine UE et les exigences en matière de faibles émissions de carbone qui y sont énoncées conformément aux articles 8 et 10.</w:t>
      </w:r>
    </w:p>
    <w:p w14:paraId="55187F1B" w14:textId="77777777" w:rsidR="00BF3A9F" w:rsidRPr="00732D9A" w:rsidRDefault="00E75209" w:rsidP="00E75209">
      <w:pPr>
        <w:pStyle w:val="ManualNumPar1"/>
        <w:rPr>
          <w:noProof/>
        </w:rPr>
      </w:pPr>
      <w:r w:rsidRPr="00732D9A">
        <w:rPr>
          <w:noProof/>
        </w:rPr>
        <w:t>3.</w:t>
      </w:r>
      <w:r w:rsidRPr="00732D9A">
        <w:rPr>
          <w:noProof/>
        </w:rPr>
        <w:tab/>
        <w:t xml:space="preserve">Les pouvoirs adjudicateurs et les entités adjudicatrices peuvent décider de ne pas appliquer les exigences énoncées aux annexes II et III lorsque l’une des conditions suivantes est remplie: </w:t>
      </w:r>
    </w:p>
    <w:p w14:paraId="27D115E9" w14:textId="77777777" w:rsidR="00083654" w:rsidRPr="00732D9A" w:rsidRDefault="00083654" w:rsidP="007234F4">
      <w:pPr>
        <w:pStyle w:val="Point1"/>
        <w:rPr>
          <w:noProof/>
        </w:rPr>
      </w:pPr>
      <w:r w:rsidRPr="00732D9A">
        <w:rPr>
          <w:noProof/>
        </w:rPr>
        <w:t>a)</w:t>
      </w:r>
      <w:r w:rsidRPr="00732D9A">
        <w:rPr>
          <w:noProof/>
        </w:rPr>
        <w:tab/>
        <w:t>les produits ou services requis ne peuvent être fournis que par un opérateur économique spécifique et il n’existe aucune solution de remplacement ou de substitution raisonnable, et l’absence de concurrence ne résulte pas d’une restriction artificielle des paramètres de la procédure de passation de marchés publics ou de concessions;</w:t>
      </w:r>
    </w:p>
    <w:p w14:paraId="1B426317" w14:textId="77777777" w:rsidR="00083654" w:rsidRPr="00732D9A" w:rsidRDefault="00083654" w:rsidP="00FF5211">
      <w:pPr>
        <w:pStyle w:val="Point1"/>
        <w:rPr>
          <w:noProof/>
        </w:rPr>
      </w:pPr>
      <w:r w:rsidRPr="00732D9A">
        <w:rPr>
          <w:noProof/>
        </w:rPr>
        <w:t>b)</w:t>
      </w:r>
      <w:r w:rsidRPr="00732D9A">
        <w:rPr>
          <w:noProof/>
        </w:rPr>
        <w:tab/>
        <w:t>aucune offre appropriée ou aucune demande de participation appropriée n’a été déposée, notamment en réponse à une procédure de passation de marchés publics ou de concessions antérieure lancée par le même pouvoir adjudicateur ou la même entité adjudicatrice au cours des deux années précédant le lancement de la nouvelle procédure de passation de marchés ou de concessions envisagée;</w:t>
      </w:r>
    </w:p>
    <w:p w14:paraId="5CE01BDB" w14:textId="77777777" w:rsidR="00083654" w:rsidRPr="00732D9A" w:rsidRDefault="00083654" w:rsidP="00FF5211">
      <w:pPr>
        <w:pStyle w:val="Point1"/>
        <w:rPr>
          <w:noProof/>
        </w:rPr>
      </w:pPr>
      <w:r w:rsidRPr="00732D9A">
        <w:rPr>
          <w:noProof/>
        </w:rPr>
        <w:t>c)</w:t>
      </w:r>
      <w:r w:rsidRPr="00732D9A">
        <w:rPr>
          <w:noProof/>
        </w:rPr>
        <w:tab/>
        <w:t xml:space="preserve">leur application obligerait le pouvoir adjudicateur ou l’entité adjudicatrice à acquérir des biens, services ou travaux dont les coûts seraient disproportionnés, ou entrainerait une incompatibilité technique dans le cadre de leur exploitation ou de leur entretien. Les pouvoirs adjudicateurs et les entités adjudicatrices </w:t>
      </w:r>
      <w:r w:rsidRPr="00732D9A">
        <w:rPr>
          <w:noProof/>
        </w:rPr>
        <w:lastRenderedPageBreak/>
        <w:t>peuvent présumer que des différences de coûts supérieures à 25 %, estimées sur la base de données objectives et transparentes, sont disproportionnées.</w:t>
      </w:r>
    </w:p>
    <w:p w14:paraId="1C998ABC" w14:textId="77777777" w:rsidR="00083654" w:rsidRPr="00732D9A" w:rsidRDefault="00083654" w:rsidP="00185603">
      <w:pPr>
        <w:pStyle w:val="ManualNumPar1"/>
        <w:rPr>
          <w:noProof/>
        </w:rPr>
      </w:pPr>
      <w:r w:rsidRPr="00732D9A">
        <w:rPr>
          <w:noProof/>
        </w:rPr>
        <w:t>4.</w:t>
      </w:r>
      <w:r w:rsidRPr="00732D9A">
        <w:rPr>
          <w:noProof/>
        </w:rPr>
        <w:tab/>
        <w:t>Les pouvoirs adjudicateurs et les entités adjudicatrices exigent des opérateurs économiques qui fournissent des produits ou des services qu’ils présentent une autodéclaration, ou un document équivalent, démontrant le respect des exigences énoncées dans le présent article.</w:t>
      </w:r>
    </w:p>
    <w:p w14:paraId="496C1089" w14:textId="2A3175FB" w:rsidR="00083654" w:rsidRPr="00732D9A" w:rsidRDefault="00083654" w:rsidP="008C77E8">
      <w:pPr>
        <w:pStyle w:val="Titrearticle"/>
        <w:rPr>
          <w:noProof/>
        </w:rPr>
      </w:pPr>
      <w:r w:rsidRPr="00732D9A">
        <w:rPr>
          <w:noProof/>
        </w:rPr>
        <w:t xml:space="preserve">Article 12 </w:t>
      </w:r>
      <w:r w:rsidRPr="00732D9A">
        <w:rPr>
          <w:noProof/>
        </w:rPr>
        <w:br/>
      </w:r>
      <w:r w:rsidRPr="00732D9A">
        <w:rPr>
          <w:b/>
          <w:i w:val="0"/>
          <w:noProof/>
        </w:rPr>
        <w:t>Autres formes d’intervention publique</w:t>
      </w:r>
    </w:p>
    <w:p w14:paraId="51C32120" w14:textId="77777777" w:rsidR="000E49A7" w:rsidRPr="00732D9A" w:rsidRDefault="000E49A7" w:rsidP="000E49A7">
      <w:pPr>
        <w:pStyle w:val="ManualNumPar1"/>
        <w:rPr>
          <w:noProof/>
        </w:rPr>
      </w:pPr>
      <w:r w:rsidRPr="00732D9A">
        <w:rPr>
          <w:noProof/>
        </w:rPr>
        <w:t>1.</w:t>
      </w:r>
      <w:r w:rsidRPr="00732D9A">
        <w:rPr>
          <w:noProof/>
        </w:rPr>
        <w:tab/>
        <w:t xml:space="preserve">Sans préjudice des articles 107 et 108 du TFUE, les États membres conçoivent les régimes d’aide publique de manière à ce qu’ils contribuent à l’objectif de renforcement des chaînes de valeur industrielles stratégiques de l’Union au moyen des exigences en matière d’origine UE, des exigences en matière de faibles émissions de carbone, ou des deux, énoncées à l’annexe II, partie II, et à l’annexe III, partie II, conformément aux articles 9 et 10 et sans préjudice de l’article 13. </w:t>
      </w:r>
    </w:p>
    <w:p w14:paraId="45DA9BCC" w14:textId="77777777" w:rsidR="000E49A7" w:rsidRPr="00732D9A" w:rsidRDefault="000E49A7" w:rsidP="000E49A7">
      <w:pPr>
        <w:pStyle w:val="Text1"/>
        <w:rPr>
          <w:noProof/>
        </w:rPr>
      </w:pPr>
      <w:r w:rsidRPr="00732D9A">
        <w:rPr>
          <w:noProof/>
        </w:rPr>
        <w:t xml:space="preserve">Les États membres appliquent les exigences visées au premier alinéa aux régimes d’aide publique représentant au moins 45 % du budget national total alloué aux régimes d’aide publique relevant de l’annexe II, partie II, et 100 % du budget national total alloué aux régimes d’aide publique relevant de l’annexe III, partie II. </w:t>
      </w:r>
    </w:p>
    <w:p w14:paraId="6E97AC69" w14:textId="77777777" w:rsidR="000E49A7" w:rsidRPr="00732D9A" w:rsidRDefault="000E49A7" w:rsidP="000E49A7">
      <w:pPr>
        <w:pStyle w:val="ManualNumPar1"/>
        <w:rPr>
          <w:noProof/>
        </w:rPr>
      </w:pPr>
      <w:r w:rsidRPr="00732D9A">
        <w:rPr>
          <w:noProof/>
        </w:rPr>
        <w:t>2.</w:t>
      </w:r>
      <w:r w:rsidRPr="00732D9A">
        <w:rPr>
          <w:noProof/>
        </w:rPr>
        <w:tab/>
        <w:t>Lors de la conception et de la mise en œuvre d’un régime d’aide publique relevant de l’annexe II, partie II, et de l’annexe III, partie II, l’autorité compétente évalue la contribution des produits et technologies à l’objectif global qui y est fixé sur la base d’un processus ouvert, non discriminatoire et transparent.</w:t>
      </w:r>
    </w:p>
    <w:p w14:paraId="4BBE270A" w14:textId="77777777" w:rsidR="000E49A7" w:rsidRPr="00732D9A" w:rsidRDefault="000E49A7" w:rsidP="000E49A7">
      <w:pPr>
        <w:pStyle w:val="ManualNumPar1"/>
        <w:rPr>
          <w:noProof/>
        </w:rPr>
      </w:pPr>
      <w:r w:rsidRPr="00732D9A">
        <w:rPr>
          <w:noProof/>
        </w:rPr>
        <w:t>3.</w:t>
      </w:r>
      <w:r w:rsidRPr="00732D9A">
        <w:rPr>
          <w:noProof/>
        </w:rPr>
        <w:tab/>
        <w:t>L’autorité compétente peut toujours mettre en œuvre des régimes d’aide qui ne satisfont pas, en tout ou en partie, aux exigences énoncées à l’annexe II, partie II, et à l’annexe III, partie II, si l’application de ces exigences:</w:t>
      </w:r>
    </w:p>
    <w:p w14:paraId="58EC7DE0" w14:textId="77777777" w:rsidR="008D5DE7" w:rsidRPr="00732D9A" w:rsidRDefault="000E49A7" w:rsidP="007234F4">
      <w:pPr>
        <w:pStyle w:val="Point1"/>
        <w:rPr>
          <w:noProof/>
        </w:rPr>
      </w:pPr>
      <w:r w:rsidRPr="00732D9A">
        <w:rPr>
          <w:noProof/>
        </w:rPr>
        <w:t>a)</w:t>
      </w:r>
      <w:r w:rsidRPr="00732D9A">
        <w:rPr>
          <w:noProof/>
        </w:rPr>
        <w:tab/>
        <w:t>entraînerait des retards significatifs en raison de l’indisponibilité des composants ou produits finaux requis. Les retards estimés à plus de sept mois, sur la base de données objectives, transparentes et vérifiables, peuvent être présumés significatifs;</w:t>
      </w:r>
    </w:p>
    <w:p w14:paraId="03A5F303" w14:textId="77777777" w:rsidR="000E49A7" w:rsidRPr="00732D9A" w:rsidRDefault="000E49A7" w:rsidP="007234F4">
      <w:pPr>
        <w:pStyle w:val="Point1"/>
        <w:rPr>
          <w:noProof/>
        </w:rPr>
      </w:pPr>
      <w:r w:rsidRPr="00732D9A">
        <w:rPr>
          <w:noProof/>
        </w:rPr>
        <w:t>b)</w:t>
      </w:r>
      <w:r w:rsidRPr="00732D9A">
        <w:rPr>
          <w:noProof/>
        </w:rPr>
        <w:tab/>
        <w:t xml:space="preserve">entraînerait des coûts disproportionnés. Des coûts disproportionnés sont présumés exister lorsque, sur la base de données objectives, transparentes et vérifiables, le respect des exigences entraînerait une augmentation du coût du produit final sous-jacent ou de la technologie sous-jacente de plus de 30 %. </w:t>
      </w:r>
    </w:p>
    <w:p w14:paraId="10687E81" w14:textId="77777777" w:rsidR="00FF5A8A" w:rsidRPr="00732D9A" w:rsidRDefault="00FF5A8A" w:rsidP="00FF5A8A">
      <w:pPr>
        <w:pStyle w:val="Titrearticle"/>
        <w:spacing w:before="0" w:after="0"/>
        <w:rPr>
          <w:noProof/>
        </w:rPr>
      </w:pPr>
      <w:r w:rsidRPr="00732D9A">
        <w:rPr>
          <w:noProof/>
        </w:rPr>
        <w:t>Article 13</w:t>
      </w:r>
    </w:p>
    <w:p w14:paraId="13C9C81F" w14:textId="77777777" w:rsidR="00FF5A8A" w:rsidRPr="00732D9A" w:rsidRDefault="00FF5A8A" w:rsidP="00FF5A8A">
      <w:pPr>
        <w:pStyle w:val="Titrearticle"/>
        <w:spacing w:before="0" w:after="0"/>
        <w:rPr>
          <w:b/>
          <w:i w:val="0"/>
          <w:iCs/>
          <w:noProof/>
        </w:rPr>
      </w:pPr>
      <w:r w:rsidRPr="00732D9A">
        <w:rPr>
          <w:b/>
          <w:i w:val="0"/>
          <w:noProof/>
        </w:rPr>
        <w:t xml:space="preserve">Soutien financier aux véhicules d’entreprise </w:t>
      </w:r>
    </w:p>
    <w:p w14:paraId="3F0F1C03" w14:textId="77777777" w:rsidR="00FF5A8A" w:rsidRPr="00732D9A" w:rsidRDefault="00FF5A8A" w:rsidP="00FF5A8A">
      <w:pPr>
        <w:pStyle w:val="Text0"/>
        <w:rPr>
          <w:noProof/>
        </w:rPr>
      </w:pPr>
      <w:r w:rsidRPr="00732D9A">
        <w:rPr>
          <w:noProof/>
        </w:rPr>
        <w:t xml:space="preserve">Aux fins de l’article 4 de la [proposition de règlement du 16 décembre 2025 sur les véhicules d’entreprise propres], le critère «fabriqué dans l’Union européenne» déterminant l’octroi d’un soutien financier au passage à des voitures et camionnettes d’entreprise propres est conforme aux critères énoncés à l’annexe III, partie II, du présent règlement. </w:t>
      </w:r>
    </w:p>
    <w:p w14:paraId="41B27542" w14:textId="77777777" w:rsidR="00FF5A8A" w:rsidRPr="00732D9A" w:rsidRDefault="00FF5A8A" w:rsidP="00410E39">
      <w:pPr>
        <w:pStyle w:val="Text0"/>
        <w:rPr>
          <w:noProof/>
        </w:rPr>
      </w:pPr>
      <w:r w:rsidRPr="00732D9A">
        <w:rPr>
          <w:noProof/>
        </w:rPr>
        <w:t>Ce critère «fabriqué dans l’Union européenne» est considéré comme étant équivalent au critère relatif à l’«origine UE» visé à l’article 7 du présent règlement.</w:t>
      </w:r>
    </w:p>
    <w:p w14:paraId="76493A77" w14:textId="4687DC39" w:rsidR="00083654" w:rsidRPr="00732D9A" w:rsidRDefault="00083654" w:rsidP="008C77E8">
      <w:pPr>
        <w:pStyle w:val="Titrearticle"/>
        <w:rPr>
          <w:noProof/>
        </w:rPr>
      </w:pPr>
      <w:r w:rsidRPr="00732D9A">
        <w:rPr>
          <w:noProof/>
        </w:rPr>
        <w:lastRenderedPageBreak/>
        <w:t xml:space="preserve">Article 14 </w:t>
      </w:r>
      <w:r w:rsidRPr="00732D9A">
        <w:rPr>
          <w:noProof/>
        </w:rPr>
        <w:br/>
      </w:r>
      <w:r w:rsidRPr="00732D9A">
        <w:rPr>
          <w:b/>
          <w:i w:val="0"/>
          <w:noProof/>
        </w:rPr>
        <w:t>Crédits liés aux normes de performance en matière d’émissions de CO</w:t>
      </w:r>
      <w:r w:rsidRPr="00732D9A">
        <w:rPr>
          <w:b/>
          <w:i w:val="0"/>
          <w:noProof/>
          <w:vertAlign w:val="subscript"/>
        </w:rPr>
        <w:t>2</w:t>
      </w:r>
    </w:p>
    <w:p w14:paraId="7254F119" w14:textId="77777777" w:rsidR="00E37352" w:rsidRPr="00732D9A" w:rsidRDefault="00E37352" w:rsidP="007234F4">
      <w:pPr>
        <w:pStyle w:val="ManualNumPar1"/>
        <w:rPr>
          <w:noProof/>
        </w:rPr>
      </w:pPr>
      <w:r w:rsidRPr="00732D9A">
        <w:rPr>
          <w:noProof/>
        </w:rPr>
        <w:t>1.</w:t>
      </w:r>
      <w:r w:rsidRPr="00732D9A">
        <w:rPr>
          <w:noProof/>
        </w:rPr>
        <w:tab/>
        <w:t>Aux fins de l’article 5, paragraphes 1 et 2, du règlement (UE) 2019/631 [tel qu’il est modifié par la proposition de règlement du 16 décembre 2025 modifiant le règlement (UE) 2019/631 en ce qui concerne les normes de performance en matière d’émissions de CO</w:t>
      </w:r>
      <w:r w:rsidRPr="00732D9A">
        <w:rPr>
          <w:noProof/>
          <w:vertAlign w:val="subscript"/>
        </w:rPr>
        <w:t>2</w:t>
      </w:r>
      <w:r w:rsidRPr="00732D9A">
        <w:rPr>
          <w:noProof/>
        </w:rPr>
        <w:t xml:space="preserve"> pour les véhicules utilitaires légers neufs et l’étiquetage des véhicules], le critère «fabriqué dans l’UE» pour les petits véhicules à émission nulle est conforme aux critères énoncés à l’annexe III, partie III, du présent règlement. </w:t>
      </w:r>
    </w:p>
    <w:p w14:paraId="3FB22E50" w14:textId="77777777" w:rsidR="00E37352" w:rsidRPr="00732D9A" w:rsidRDefault="00E37352" w:rsidP="00E37352">
      <w:pPr>
        <w:pStyle w:val="Text1"/>
        <w:rPr>
          <w:noProof/>
        </w:rPr>
      </w:pPr>
      <w:r w:rsidRPr="00732D9A">
        <w:rPr>
          <w:noProof/>
        </w:rPr>
        <w:t>Ce critère «fabriqué dans l’UE» est considéré comme étant équivalent au critère relatif à l’«origine UE» visé à l’article 7 du présent règlement.</w:t>
      </w:r>
    </w:p>
    <w:p w14:paraId="31A791FF" w14:textId="77777777" w:rsidR="00E37352" w:rsidRPr="00732D9A" w:rsidRDefault="00E37352" w:rsidP="007234F4">
      <w:pPr>
        <w:pStyle w:val="ManualNumPar1"/>
        <w:rPr>
          <w:noProof/>
        </w:rPr>
      </w:pPr>
      <w:r w:rsidRPr="00732D9A">
        <w:rPr>
          <w:noProof/>
        </w:rPr>
        <w:t>2.</w:t>
      </w:r>
      <w:r w:rsidRPr="00732D9A">
        <w:rPr>
          <w:noProof/>
        </w:rPr>
        <w:tab/>
        <w:t>Aux fins de l’article 5 </w:t>
      </w:r>
      <w:r w:rsidRPr="00732D9A">
        <w:rPr>
          <w:i/>
          <w:iCs/>
          <w:noProof/>
        </w:rPr>
        <w:t>ter</w:t>
      </w:r>
      <w:r w:rsidRPr="00732D9A">
        <w:rPr>
          <w:noProof/>
        </w:rPr>
        <w:t xml:space="preserve"> du règlement (UE) 2019/631 [tel qu’il est modifié par la proposition de règlement du 16 décembre 2025 modifiant le règlement (UE) 2019/631 en ce qui concerne les normes de performance en matière d’émissions de CO</w:t>
      </w:r>
      <w:r w:rsidRPr="00732D9A">
        <w:rPr>
          <w:noProof/>
          <w:vertAlign w:val="subscript"/>
        </w:rPr>
        <w:t>2</w:t>
      </w:r>
      <w:r w:rsidRPr="00732D9A">
        <w:rPr>
          <w:noProof/>
        </w:rPr>
        <w:t xml:space="preserve"> pour les véhicules utilitaires légers neufs et l’étiquetage des véhicules], on entend par «acier bas carbone fabriqué dans l’UE»:</w:t>
      </w:r>
    </w:p>
    <w:p w14:paraId="0498C2CD" w14:textId="77777777" w:rsidR="00B9481C" w:rsidRPr="00732D9A" w:rsidRDefault="00083654" w:rsidP="007234F4">
      <w:pPr>
        <w:pStyle w:val="Point1"/>
        <w:rPr>
          <w:noProof/>
        </w:rPr>
      </w:pPr>
      <w:r w:rsidRPr="00732D9A">
        <w:rPr>
          <w:noProof/>
        </w:rPr>
        <w:t>a)</w:t>
      </w:r>
      <w:r w:rsidRPr="00732D9A">
        <w:rPr>
          <w:noProof/>
        </w:rPr>
        <w:tab/>
        <w:t xml:space="preserve">«bas carbone»: respect des conditions visées à l’article 10, paragraphe 1, du présent règlement; </w:t>
      </w:r>
    </w:p>
    <w:p w14:paraId="7375D9CF" w14:textId="77777777" w:rsidR="00083654" w:rsidRPr="00732D9A" w:rsidRDefault="00083654" w:rsidP="007234F4">
      <w:pPr>
        <w:pStyle w:val="Point1"/>
        <w:rPr>
          <w:noProof/>
        </w:rPr>
      </w:pPr>
      <w:r w:rsidRPr="00732D9A">
        <w:rPr>
          <w:noProof/>
        </w:rPr>
        <w:t>b)</w:t>
      </w:r>
      <w:r w:rsidRPr="00732D9A">
        <w:rPr>
          <w:noProof/>
        </w:rPr>
        <w:tab/>
        <w:t>«fabriqué dans l’UE»: équivalent au critère relatif à l’«origine UE» visé à l’article 7 du présent règlement.</w:t>
      </w:r>
    </w:p>
    <w:p w14:paraId="0B31C1E7" w14:textId="77777777" w:rsidR="00252F3B" w:rsidRPr="00732D9A" w:rsidRDefault="00252F3B" w:rsidP="00252F3B">
      <w:pPr>
        <w:rPr>
          <w:noProof/>
        </w:rPr>
      </w:pPr>
    </w:p>
    <w:p w14:paraId="0EE87D62" w14:textId="621DD4C9" w:rsidR="00B5377E" w:rsidRPr="00732D9A" w:rsidRDefault="00403B02" w:rsidP="00FF5211">
      <w:pPr>
        <w:pStyle w:val="Titrearticle"/>
        <w:spacing w:before="0" w:after="0"/>
        <w:rPr>
          <w:noProof/>
        </w:rPr>
      </w:pPr>
      <w:r w:rsidRPr="00732D9A">
        <w:rPr>
          <w:noProof/>
        </w:rPr>
        <w:t xml:space="preserve">Article 15 </w:t>
      </w:r>
      <w:r w:rsidRPr="00732D9A">
        <w:rPr>
          <w:noProof/>
        </w:rPr>
        <w:br/>
      </w:r>
      <w:r w:rsidRPr="00732D9A">
        <w:rPr>
          <w:b/>
          <w:i w:val="0"/>
          <w:noProof/>
        </w:rPr>
        <w:t xml:space="preserve">Certification de la conformité d’un véhicule avec les exigences en matière d’origine UE </w:t>
      </w:r>
    </w:p>
    <w:p w14:paraId="081ED080" w14:textId="77777777" w:rsidR="009A1C13" w:rsidRPr="00732D9A" w:rsidRDefault="009A1C13" w:rsidP="009A1C13">
      <w:pPr>
        <w:pStyle w:val="Text0"/>
        <w:rPr>
          <w:noProof/>
        </w:rPr>
      </w:pPr>
      <w:r w:rsidRPr="00732D9A">
        <w:rPr>
          <w:noProof/>
        </w:rPr>
        <w:t>À partir du [OP: prière d’insérer la date correspondant à six mois après l’entrée en vigueur], lors de la délivrance du certificat de conformité d’un véhicule conformément aux articles 36 et 37 du règlement (UE) 2018/858, pour les véhicules conformes aux exigences pertinentes en matière d’origine UE énoncées à l’annexe III du présent règlement, les fabricants fournissent un document d’accompagnement certifiant la conformité du véhicule.</w:t>
      </w:r>
    </w:p>
    <w:p w14:paraId="2131854F" w14:textId="2D7917FC" w:rsidR="00083654" w:rsidRPr="00732D9A" w:rsidRDefault="00083654" w:rsidP="008C77E8">
      <w:pPr>
        <w:pStyle w:val="Titrearticle"/>
        <w:rPr>
          <w:b/>
          <w:bCs/>
          <w:i w:val="0"/>
          <w:iCs/>
          <w:noProof/>
        </w:rPr>
      </w:pPr>
      <w:r w:rsidRPr="00732D9A">
        <w:rPr>
          <w:noProof/>
        </w:rPr>
        <w:t xml:space="preserve">Article 16 </w:t>
      </w:r>
      <w:r w:rsidRPr="00732D9A">
        <w:rPr>
          <w:noProof/>
        </w:rPr>
        <w:br/>
      </w:r>
      <w:r w:rsidRPr="00732D9A">
        <w:rPr>
          <w:b/>
          <w:i w:val="0"/>
          <w:noProof/>
        </w:rPr>
        <w:t>Délégation de pouvoir</w:t>
      </w:r>
    </w:p>
    <w:p w14:paraId="03D3F421" w14:textId="77777777" w:rsidR="00587917" w:rsidRPr="00732D9A" w:rsidRDefault="00587917" w:rsidP="00C648CF">
      <w:pPr>
        <w:pStyle w:val="ManualNumPar1"/>
        <w:rPr>
          <w:noProof/>
        </w:rPr>
      </w:pPr>
      <w:r w:rsidRPr="00732D9A">
        <w:rPr>
          <w:noProof/>
        </w:rPr>
        <w:t>1.</w:t>
      </w:r>
      <w:r w:rsidRPr="00732D9A">
        <w:rPr>
          <w:noProof/>
        </w:rPr>
        <w:tab/>
        <w:t>La Commission est habilitée à adopter des actes délégués conformément à l’article 30 pour compléter le présent règlement en établissant des mesures axées sur la demande à l’échelle de l’Union pour les produits de l’industrie chimique afin de promouvoir les activités suivantes:</w:t>
      </w:r>
    </w:p>
    <w:p w14:paraId="754953F3" w14:textId="77777777" w:rsidR="00587917" w:rsidRPr="00732D9A" w:rsidRDefault="00C648CF" w:rsidP="007234F4">
      <w:pPr>
        <w:pStyle w:val="Point1"/>
        <w:rPr>
          <w:noProof/>
        </w:rPr>
      </w:pPr>
      <w:r w:rsidRPr="00732D9A">
        <w:rPr>
          <w:noProof/>
        </w:rPr>
        <w:t>a)</w:t>
      </w:r>
      <w:r w:rsidRPr="00732D9A">
        <w:rPr>
          <w:noProof/>
        </w:rPr>
        <w:tab/>
        <w:t>la production et la vente de substances et de mélanges d’origine UE provenant de sources de carbone durables;</w:t>
      </w:r>
    </w:p>
    <w:p w14:paraId="192699CD" w14:textId="77777777" w:rsidR="00587917" w:rsidRPr="00732D9A" w:rsidRDefault="00C648CF" w:rsidP="007234F4">
      <w:pPr>
        <w:pStyle w:val="Point1"/>
        <w:rPr>
          <w:noProof/>
        </w:rPr>
      </w:pPr>
      <w:r w:rsidRPr="00732D9A">
        <w:rPr>
          <w:noProof/>
        </w:rPr>
        <w:t>b)</w:t>
      </w:r>
      <w:r w:rsidRPr="00732D9A">
        <w:rPr>
          <w:noProof/>
        </w:rPr>
        <w:tab/>
        <w:t xml:space="preserve">l’utilisation, dans des produits mis à disposition sur le marché, de substances et de mélanges d’origine UE provenant de sources de carbone durables. </w:t>
      </w:r>
    </w:p>
    <w:p w14:paraId="78E6FF26" w14:textId="77777777" w:rsidR="00587917" w:rsidRPr="00732D9A" w:rsidRDefault="00587917" w:rsidP="00587917">
      <w:pPr>
        <w:pStyle w:val="Text1"/>
        <w:rPr>
          <w:noProof/>
        </w:rPr>
      </w:pPr>
      <w:r w:rsidRPr="00732D9A">
        <w:rPr>
          <w:noProof/>
        </w:rPr>
        <w:t xml:space="preserve">Lors de l’élaboration de ces actes délégués, la Commission devrait tenir compte:  </w:t>
      </w:r>
    </w:p>
    <w:p w14:paraId="50D73F0D" w14:textId="77777777" w:rsidR="00587917" w:rsidRPr="00732D9A" w:rsidRDefault="00587917" w:rsidP="007234F4">
      <w:pPr>
        <w:pStyle w:val="Point1"/>
        <w:rPr>
          <w:noProof/>
        </w:rPr>
      </w:pPr>
      <w:r w:rsidRPr="00732D9A">
        <w:rPr>
          <w:noProof/>
        </w:rPr>
        <w:t>a)</w:t>
      </w:r>
      <w:r w:rsidRPr="00732D9A">
        <w:rPr>
          <w:noProof/>
        </w:rPr>
        <w:tab/>
        <w:t>de la contribution des exigences à l’objectif de l’Union en matière de sécurité économique, de résilience et de neutralité climatique énoncé dans le règlement (UE) 2021/1119;</w:t>
      </w:r>
    </w:p>
    <w:p w14:paraId="6C9AC570" w14:textId="77777777" w:rsidR="00587917" w:rsidRPr="00732D9A" w:rsidRDefault="00587917" w:rsidP="007234F4">
      <w:pPr>
        <w:pStyle w:val="Point1"/>
        <w:rPr>
          <w:noProof/>
        </w:rPr>
      </w:pPr>
      <w:r w:rsidRPr="00732D9A">
        <w:rPr>
          <w:noProof/>
        </w:rPr>
        <w:lastRenderedPageBreak/>
        <w:t>b)</w:t>
      </w:r>
      <w:r w:rsidRPr="00732D9A">
        <w:rPr>
          <w:noProof/>
        </w:rPr>
        <w:tab/>
        <w:t>de la situation du marché au niveau de l’Union, telle qu’elle ressort des activités de surveillance, y compris la baisse des parts de marché de l’Union et la sous-utilisation des capacités de production de l’industrie de l’Union;</w:t>
      </w:r>
    </w:p>
    <w:p w14:paraId="0895533A" w14:textId="77777777" w:rsidR="009029A0" w:rsidRPr="00732D9A" w:rsidRDefault="00587917" w:rsidP="007234F4">
      <w:pPr>
        <w:pStyle w:val="Point1"/>
        <w:rPr>
          <w:noProof/>
        </w:rPr>
      </w:pPr>
      <w:r w:rsidRPr="00732D9A">
        <w:rPr>
          <w:noProof/>
        </w:rPr>
        <w:t>c)</w:t>
      </w:r>
      <w:r w:rsidRPr="00732D9A">
        <w:rPr>
          <w:noProof/>
        </w:rPr>
        <w:tab/>
        <w:t>de l’incidence de la mise en place de telles mesures sur la compétitivité globale et les émissions de gaz à effet de serre des secteurs concernés, ainsi que sur les coûts pour les consommateurs en aval, les petites et moyennes entreprises et les budgets publics.</w:t>
      </w:r>
    </w:p>
    <w:p w14:paraId="63A67D28" w14:textId="77777777" w:rsidR="00083654" w:rsidRPr="00732D9A" w:rsidRDefault="00083654" w:rsidP="00C648CF">
      <w:pPr>
        <w:pStyle w:val="ManualNumPar1"/>
        <w:rPr>
          <w:noProof/>
        </w:rPr>
      </w:pPr>
      <w:r w:rsidRPr="00732D9A">
        <w:rPr>
          <w:noProof/>
        </w:rPr>
        <w:t>2.</w:t>
      </w:r>
      <w:r w:rsidRPr="00732D9A">
        <w:rPr>
          <w:noProof/>
        </w:rPr>
        <w:tab/>
        <w:t>La Commission est habilitée à adopter des actes délégués conformément à l’article 30 afin de modifier l’annexe II ou l’annexe III en ce qui concerne les exigences en matière d’origine UE, les exigences en matière de faibles émissions de carbone, ou les deux, fixées pour les produits qui y sont visés, en tenant compte des critères suivants:</w:t>
      </w:r>
    </w:p>
    <w:p w14:paraId="051C645E" w14:textId="77777777" w:rsidR="00083654" w:rsidRPr="00732D9A" w:rsidRDefault="00083654" w:rsidP="007234F4">
      <w:pPr>
        <w:pStyle w:val="Point1"/>
        <w:rPr>
          <w:noProof/>
        </w:rPr>
      </w:pPr>
      <w:r w:rsidRPr="00732D9A">
        <w:rPr>
          <w:noProof/>
        </w:rPr>
        <w:t>a)</w:t>
      </w:r>
      <w:r w:rsidRPr="00732D9A">
        <w:rPr>
          <w:noProof/>
        </w:rPr>
        <w:tab/>
        <w:t>la situation du marché au niveau de l’Union, telle qu’elle ressort des activités de surveillance, y compris la baisse des parts de marché de l’Union et la sous-utilisation des capacités de production de l’industrie de l’Union;</w:t>
      </w:r>
    </w:p>
    <w:p w14:paraId="2D430ECA" w14:textId="77777777" w:rsidR="00083654" w:rsidRPr="00732D9A" w:rsidRDefault="00083654" w:rsidP="007234F4">
      <w:pPr>
        <w:pStyle w:val="Point1"/>
        <w:rPr>
          <w:noProof/>
        </w:rPr>
      </w:pPr>
      <w:r w:rsidRPr="00732D9A">
        <w:rPr>
          <w:noProof/>
        </w:rPr>
        <w:t>b)</w:t>
      </w:r>
      <w:r w:rsidRPr="00732D9A">
        <w:rPr>
          <w:noProof/>
        </w:rPr>
        <w:tab/>
        <w:t>les progrès technologiques;</w:t>
      </w:r>
    </w:p>
    <w:p w14:paraId="009B2E68" w14:textId="77777777" w:rsidR="00083654" w:rsidRPr="00732D9A" w:rsidRDefault="00083654" w:rsidP="007234F4">
      <w:pPr>
        <w:pStyle w:val="Point1"/>
        <w:rPr>
          <w:noProof/>
        </w:rPr>
      </w:pPr>
      <w:r w:rsidRPr="00732D9A">
        <w:rPr>
          <w:noProof/>
        </w:rPr>
        <w:t>c)</w:t>
      </w:r>
      <w:r w:rsidRPr="00732D9A">
        <w:rPr>
          <w:noProof/>
        </w:rPr>
        <w:tab/>
        <w:t>la contribution des exigences à l’objectif de l’Union en matière d’ordre public, de sécurité économique, de résilience et de neutralité climatique énoncé dans le règlement (UE) 2021/1119;</w:t>
      </w:r>
    </w:p>
    <w:p w14:paraId="5C500925" w14:textId="77777777" w:rsidR="00083654" w:rsidRPr="00732D9A" w:rsidRDefault="00083654" w:rsidP="007234F4">
      <w:pPr>
        <w:pStyle w:val="Point1"/>
        <w:rPr>
          <w:noProof/>
        </w:rPr>
      </w:pPr>
      <w:r w:rsidRPr="00732D9A">
        <w:rPr>
          <w:noProof/>
        </w:rPr>
        <w:t>d)</w:t>
      </w:r>
      <w:r w:rsidRPr="00732D9A">
        <w:rPr>
          <w:noProof/>
        </w:rPr>
        <w:tab/>
        <w:t>la demande des produits ou technologies concernés induite par la croissance des secteurs en aval;</w:t>
      </w:r>
    </w:p>
    <w:p w14:paraId="057BC795" w14:textId="77777777" w:rsidR="00083654" w:rsidRPr="00732D9A" w:rsidRDefault="00083654" w:rsidP="007234F4">
      <w:pPr>
        <w:pStyle w:val="Point1"/>
        <w:rPr>
          <w:noProof/>
        </w:rPr>
      </w:pPr>
      <w:r w:rsidRPr="00732D9A">
        <w:rPr>
          <w:noProof/>
        </w:rPr>
        <w:t>e)</w:t>
      </w:r>
      <w:r w:rsidRPr="00732D9A">
        <w:rPr>
          <w:noProof/>
        </w:rPr>
        <w:tab/>
        <w:t xml:space="preserve">la part du produit ou de la technologie dans la valeur totale de la production du secteur en aval; </w:t>
      </w:r>
    </w:p>
    <w:p w14:paraId="78A456B9" w14:textId="77777777" w:rsidR="00F33FF2" w:rsidRPr="00732D9A" w:rsidRDefault="00083654" w:rsidP="007234F4">
      <w:pPr>
        <w:pStyle w:val="Point1"/>
        <w:rPr>
          <w:noProof/>
        </w:rPr>
      </w:pPr>
      <w:r w:rsidRPr="00732D9A">
        <w:rPr>
          <w:noProof/>
        </w:rPr>
        <w:t>f)</w:t>
      </w:r>
      <w:r w:rsidRPr="00732D9A">
        <w:rPr>
          <w:noProof/>
        </w:rPr>
        <w:tab/>
        <w:t>l’incidence de la fixation des exigences en matière d’origine UE, des exigences en matière de faibles émissions de carbone, ou des deux, sur la compétitivité globale et les émissions de gaz à effet de serre des secteurs concernés, ainsi que sur les coûts pour les consommateurs en aval, les petites et moyennes entreprises et les budgets publics.</w:t>
      </w:r>
    </w:p>
    <w:p w14:paraId="539FEEDE" w14:textId="77777777" w:rsidR="007D5A30" w:rsidRPr="00732D9A" w:rsidRDefault="00083654" w:rsidP="00C648CF">
      <w:pPr>
        <w:pStyle w:val="ManualNumPar1"/>
        <w:rPr>
          <w:noProof/>
        </w:rPr>
      </w:pPr>
      <w:r w:rsidRPr="00732D9A">
        <w:rPr>
          <w:noProof/>
        </w:rPr>
        <w:t>3.</w:t>
      </w:r>
      <w:r w:rsidRPr="00732D9A">
        <w:rPr>
          <w:noProof/>
        </w:rPr>
        <w:tab/>
        <w:t xml:space="preserve">La Commission est habilitée à adopter des actes d’exécution conformément à l’article 31, paragraphe 2, afin de préciser la méthode de calcul de la proportion dans laquelle le volume de produits et de composants est originaire de l’Union conformément au règlement (UE) nº 952/2013 et, le cas échéant, de prévoir l’utilisation de modèles normalisés pour les certificats de conformité. </w:t>
      </w:r>
    </w:p>
    <w:p w14:paraId="399B97A3" w14:textId="77777777" w:rsidR="009421F7" w:rsidRPr="00732D9A" w:rsidRDefault="009421F7" w:rsidP="00F6687A">
      <w:pPr>
        <w:pStyle w:val="Text1"/>
        <w:rPr>
          <w:noProof/>
        </w:rPr>
      </w:pPr>
      <w:r w:rsidRPr="00732D9A">
        <w:rPr>
          <w:noProof/>
        </w:rPr>
        <w:t>Les actes d’exécution visés au paragraphe 1 peuvent également établir les méthodes et procédures à appliquer par les autorités nationales compétentes concernées, y compris les pouvoirs adjudicateurs et les entités adjudicatrices, pour vérifier le respect des exigences énoncées dans le présent règlement et, le cas échéant, pour utiliser des outils numériques aux fins du calcul, de la vérification et de la démonstration de la conformité.</w:t>
      </w:r>
    </w:p>
    <w:p w14:paraId="21150BA7" w14:textId="77777777" w:rsidR="005551D5" w:rsidRPr="00732D9A" w:rsidRDefault="005551D5" w:rsidP="00D5018D">
      <w:pPr>
        <w:rPr>
          <w:noProof/>
        </w:rPr>
      </w:pPr>
    </w:p>
    <w:p w14:paraId="3F6CCB6D" w14:textId="71C50874" w:rsidR="00290640" w:rsidRPr="00732D9A" w:rsidRDefault="00652703" w:rsidP="00290640">
      <w:pPr>
        <w:pStyle w:val="ChapterTitle"/>
        <w:rPr>
          <w:noProof/>
        </w:rPr>
      </w:pPr>
      <w:r w:rsidRPr="00732D9A">
        <w:rPr>
          <w:b w:val="0"/>
          <w:noProof/>
        </w:rPr>
        <w:lastRenderedPageBreak/>
        <w:t>CHAP</w:t>
      </w:r>
      <w:r w:rsidR="009F2FE8">
        <w:rPr>
          <w:b w:val="0"/>
          <w:noProof/>
        </w:rPr>
        <w:t>ITRE</w:t>
      </w:r>
      <w:r w:rsidR="00980FE6">
        <w:rPr>
          <w:b w:val="0"/>
          <w:noProof/>
        </w:rPr>
        <w:t> </w:t>
      </w:r>
      <w:r w:rsidRPr="00732D9A">
        <w:rPr>
          <w:b w:val="0"/>
          <w:noProof/>
        </w:rPr>
        <w:t>IV</w:t>
      </w:r>
      <w:r w:rsidRPr="00732D9A">
        <w:rPr>
          <w:noProof/>
        </w:rPr>
        <w:t xml:space="preserve">  </w:t>
      </w:r>
      <w:r w:rsidRPr="00732D9A">
        <w:rPr>
          <w:noProof/>
        </w:rPr>
        <w:br/>
      </w:r>
      <w:r w:rsidR="009F2FE8" w:rsidRPr="009F2FE8">
        <w:rPr>
          <w:noProof/>
        </w:rPr>
        <w:t>CONTRIBUTION DES INVESTISSEMENTS ÉTRANGERS</w:t>
      </w:r>
    </w:p>
    <w:p w14:paraId="4BC4F28F" w14:textId="62BF5B48" w:rsidR="006D311E" w:rsidRPr="00732D9A" w:rsidRDefault="006D311E" w:rsidP="00B73F35">
      <w:pPr>
        <w:pStyle w:val="Titrearticle"/>
        <w:rPr>
          <w:noProof/>
        </w:rPr>
      </w:pPr>
      <w:r w:rsidRPr="00732D9A">
        <w:rPr>
          <w:noProof/>
        </w:rPr>
        <w:t xml:space="preserve">Article 17 </w:t>
      </w:r>
      <w:r w:rsidRPr="00732D9A">
        <w:rPr>
          <w:noProof/>
        </w:rPr>
        <w:br/>
      </w:r>
      <w:r w:rsidRPr="00732D9A">
        <w:rPr>
          <w:b/>
          <w:i w:val="0"/>
          <w:noProof/>
        </w:rPr>
        <w:t xml:space="preserve">Champ d’application </w:t>
      </w:r>
    </w:p>
    <w:p w14:paraId="5D9A293F" w14:textId="77777777" w:rsidR="001025B7" w:rsidRPr="00732D9A" w:rsidRDefault="001025B7" w:rsidP="00C648CF">
      <w:pPr>
        <w:pStyle w:val="ManualNumPar1"/>
        <w:rPr>
          <w:noProof/>
        </w:rPr>
      </w:pPr>
      <w:r w:rsidRPr="00732D9A">
        <w:rPr>
          <w:noProof/>
        </w:rPr>
        <w:t>1.</w:t>
      </w:r>
      <w:r w:rsidRPr="00732D9A">
        <w:rPr>
          <w:noProof/>
        </w:rPr>
        <w:tab/>
        <w:t>Le présent chapitre s’applique aux investissements directs étrangers d’une valeur supérieure à 100 millions d’EUR dans les secteurs manufacturiers stratégiques émergents visés au paragraphe 2, lorsque le pays tiers dont l’investisseur étranger est un ressortissant ou une entreprise détient plus de 40 % de la capacité de production manufacturière mondiale.</w:t>
      </w:r>
    </w:p>
    <w:p w14:paraId="7E2D32CB" w14:textId="77777777" w:rsidR="001025B7" w:rsidRPr="00732D9A" w:rsidRDefault="001025B7" w:rsidP="001025B7">
      <w:pPr>
        <w:pStyle w:val="Text1"/>
        <w:rPr>
          <w:noProof/>
        </w:rPr>
      </w:pPr>
      <w:r w:rsidRPr="00732D9A">
        <w:rPr>
          <w:noProof/>
        </w:rPr>
        <w:t>Ces investissements ne sont mis en œuvre que s’ils sont explicitement approuvés par l’autorité d’investissement ou la Commission européenne, au sens de l’article 19, conformément aux dispositions du présent chapitre.</w:t>
      </w:r>
    </w:p>
    <w:p w14:paraId="27029EF1" w14:textId="77777777" w:rsidR="008C44C4" w:rsidRPr="00732D9A" w:rsidRDefault="008C44C4" w:rsidP="008C44C4">
      <w:pPr>
        <w:pStyle w:val="ManualNumPar1"/>
        <w:rPr>
          <w:noProof/>
        </w:rPr>
      </w:pPr>
      <w:r w:rsidRPr="00732D9A">
        <w:rPr>
          <w:noProof/>
        </w:rPr>
        <w:t>2.</w:t>
      </w:r>
      <w:r w:rsidRPr="00732D9A">
        <w:rPr>
          <w:noProof/>
        </w:rPr>
        <w:tab/>
        <w:t>Le présent chapitre s’applique aux investissements directs étrangers dans l’industrie manufacturière dans l’un des secteurs stratégiques émergents suivants:</w:t>
      </w:r>
    </w:p>
    <w:p w14:paraId="2A984D82" w14:textId="77777777" w:rsidR="008C44C4" w:rsidRPr="00732D9A" w:rsidRDefault="008C44C4" w:rsidP="007234F4">
      <w:pPr>
        <w:pStyle w:val="Point1"/>
        <w:rPr>
          <w:noProof/>
        </w:rPr>
      </w:pPr>
      <w:r w:rsidRPr="00732D9A">
        <w:rPr>
          <w:noProof/>
        </w:rPr>
        <w:t>a)</w:t>
      </w:r>
      <w:r w:rsidRPr="00732D9A">
        <w:rPr>
          <w:noProof/>
        </w:rPr>
        <w:tab/>
        <w:t>les technologies des batteries et leur chaîne de valeur pour les systèmes de stockage de l’énergie par batterie;</w:t>
      </w:r>
    </w:p>
    <w:p w14:paraId="2FE2326B" w14:textId="77777777" w:rsidR="008C44C4" w:rsidRPr="00732D9A" w:rsidRDefault="008C44C4" w:rsidP="007234F4">
      <w:pPr>
        <w:pStyle w:val="Point1"/>
        <w:rPr>
          <w:noProof/>
        </w:rPr>
      </w:pPr>
      <w:r w:rsidRPr="00732D9A">
        <w:rPr>
          <w:noProof/>
        </w:rPr>
        <w:t>b)</w:t>
      </w:r>
      <w:r w:rsidRPr="00732D9A">
        <w:rPr>
          <w:noProof/>
        </w:rPr>
        <w:tab/>
        <w:t>les véhicules électriques purs, les véhicules électriques hybrides rechargeables de l’extérieur et les véhicules électriques à pile à combustible, y compris les composants liés à l’électrification et à la numérisation;</w:t>
      </w:r>
    </w:p>
    <w:p w14:paraId="13B50392" w14:textId="77777777" w:rsidR="008C44C4" w:rsidRPr="00732D9A" w:rsidRDefault="008C44C4" w:rsidP="007234F4">
      <w:pPr>
        <w:pStyle w:val="Point1"/>
        <w:rPr>
          <w:noProof/>
        </w:rPr>
      </w:pPr>
      <w:r w:rsidRPr="00732D9A">
        <w:rPr>
          <w:noProof/>
        </w:rPr>
        <w:t>c)</w:t>
      </w:r>
      <w:r w:rsidRPr="00732D9A">
        <w:rPr>
          <w:noProof/>
        </w:rPr>
        <w:tab/>
        <w:t>les technologies solaires photovoltaïques;</w:t>
      </w:r>
    </w:p>
    <w:p w14:paraId="2256C392" w14:textId="77777777" w:rsidR="008C44C4" w:rsidRPr="00732D9A" w:rsidRDefault="008C44C4" w:rsidP="007234F4">
      <w:pPr>
        <w:pStyle w:val="Point1"/>
        <w:rPr>
          <w:noProof/>
        </w:rPr>
      </w:pPr>
      <w:r w:rsidRPr="00732D9A">
        <w:rPr>
          <w:noProof/>
        </w:rPr>
        <w:t>d)</w:t>
      </w:r>
      <w:r w:rsidRPr="00732D9A">
        <w:rPr>
          <w:noProof/>
        </w:rPr>
        <w:tab/>
        <w:t>l’extraction, la transformation et le recyclage des matières premières critiques.</w:t>
      </w:r>
    </w:p>
    <w:p w14:paraId="75996F1C" w14:textId="44D90EB5" w:rsidR="00A95E26" w:rsidRPr="00732D9A" w:rsidRDefault="00A95E26" w:rsidP="00A95E26">
      <w:pPr>
        <w:pStyle w:val="ManualNumPar1"/>
        <w:rPr>
          <w:noProof/>
        </w:rPr>
      </w:pPr>
      <w:r w:rsidRPr="00732D9A">
        <w:rPr>
          <w:noProof/>
        </w:rPr>
        <w:t>3.</w:t>
      </w:r>
      <w:r w:rsidRPr="00732D9A">
        <w:rPr>
          <w:noProof/>
        </w:rPr>
        <w:tab/>
        <w:t>Le présent chapitre ne s</w:t>
      </w:r>
      <w:r w:rsidR="00980FE6">
        <w:rPr>
          <w:noProof/>
        </w:rPr>
        <w:t>’</w:t>
      </w:r>
      <w:r w:rsidRPr="00732D9A">
        <w:rPr>
          <w:noProof/>
        </w:rPr>
        <w:t xml:space="preserve">applique pas: </w:t>
      </w:r>
    </w:p>
    <w:p w14:paraId="1A48726C" w14:textId="77777777" w:rsidR="006D311E" w:rsidRPr="00732D9A" w:rsidRDefault="006D311E" w:rsidP="007234F4">
      <w:pPr>
        <w:pStyle w:val="Point1"/>
        <w:rPr>
          <w:noProof/>
        </w:rPr>
      </w:pPr>
      <w:r w:rsidRPr="00732D9A">
        <w:rPr>
          <w:noProof/>
        </w:rPr>
        <w:t>a)</w:t>
      </w:r>
      <w:r w:rsidRPr="00732D9A">
        <w:rPr>
          <w:noProof/>
        </w:rPr>
        <w:tab/>
        <w:t xml:space="preserve">aux investisseurs et aux investissements couverts par des accords de partenariat économique et de libre-échange en vigueur ou appliqués à titre provisoire par l’Union, dans la mesure où des engagements pertinents ont été pris au titre de ces accords, y compris les investissements réalisés par les filiales de ces investisseurs étrangers établies dans l’Union; </w:t>
      </w:r>
    </w:p>
    <w:p w14:paraId="685A466A" w14:textId="77777777" w:rsidR="006D311E" w:rsidRPr="00732D9A" w:rsidRDefault="006D311E" w:rsidP="007234F4">
      <w:pPr>
        <w:pStyle w:val="Point1"/>
        <w:rPr>
          <w:noProof/>
        </w:rPr>
      </w:pPr>
      <w:r w:rsidRPr="00732D9A">
        <w:rPr>
          <w:noProof/>
        </w:rPr>
        <w:t>b)</w:t>
      </w:r>
      <w:r w:rsidRPr="00732D9A">
        <w:rPr>
          <w:noProof/>
        </w:rPr>
        <w:tab/>
        <w:t>aux investissements visant à fournir des services, y compris les investissements réalisés par les filiales d’investisseurs établies dans l’Union;</w:t>
      </w:r>
    </w:p>
    <w:p w14:paraId="6A4C3EA6" w14:textId="77777777" w:rsidR="00B15CF0" w:rsidRPr="00732D9A" w:rsidRDefault="00B15CF0" w:rsidP="007234F4">
      <w:pPr>
        <w:pStyle w:val="Point1"/>
        <w:rPr>
          <w:noProof/>
        </w:rPr>
      </w:pPr>
      <w:r w:rsidRPr="00732D9A">
        <w:rPr>
          <w:noProof/>
        </w:rPr>
        <w:t>c)</w:t>
      </w:r>
      <w:r w:rsidRPr="00732D9A">
        <w:rPr>
          <w:noProof/>
        </w:rPr>
        <w:tab/>
        <w:t>aux investissements de portefeuille.</w:t>
      </w:r>
    </w:p>
    <w:p w14:paraId="0A0C66F6" w14:textId="14107A2D" w:rsidR="006D311E" w:rsidRPr="00732D9A" w:rsidRDefault="006D311E" w:rsidP="006D311E">
      <w:pPr>
        <w:pStyle w:val="Titrearticle"/>
        <w:rPr>
          <w:b/>
          <w:bCs/>
          <w:i w:val="0"/>
          <w:iCs/>
          <w:noProof/>
        </w:rPr>
      </w:pPr>
      <w:r w:rsidRPr="00732D9A">
        <w:rPr>
          <w:noProof/>
        </w:rPr>
        <w:t xml:space="preserve">Article 18 </w:t>
      </w:r>
      <w:r w:rsidRPr="00732D9A">
        <w:rPr>
          <w:noProof/>
        </w:rPr>
        <w:br/>
      </w:r>
      <w:r w:rsidRPr="00732D9A">
        <w:rPr>
          <w:b/>
          <w:i w:val="0"/>
          <w:noProof/>
        </w:rPr>
        <w:t>Critères relatifs aux investissements directs étrangers à valeur ajoutée</w:t>
      </w:r>
    </w:p>
    <w:p w14:paraId="18D69A20" w14:textId="77777777" w:rsidR="006D311E" w:rsidRPr="00732D9A" w:rsidRDefault="006D311E" w:rsidP="00C648CF">
      <w:pPr>
        <w:pStyle w:val="ManualNumPar1"/>
        <w:rPr>
          <w:noProof/>
        </w:rPr>
      </w:pPr>
      <w:r w:rsidRPr="00732D9A">
        <w:rPr>
          <w:noProof/>
        </w:rPr>
        <w:t>1.</w:t>
      </w:r>
      <w:r w:rsidRPr="00732D9A">
        <w:rPr>
          <w:noProof/>
        </w:rPr>
        <w:tab/>
        <w:t>Les États membres, au plus tard le [OP: prière d’insérer la date correspondant à 1 mois après l’entrée en vigueur du présent règlement], désignent une autorité d’investissement qui procède à l’examen des investissements directs étrangers et met en œuvre les dispositions du présent chapitre.</w:t>
      </w:r>
    </w:p>
    <w:p w14:paraId="7BE37E49" w14:textId="77777777" w:rsidR="006D311E" w:rsidRPr="00732D9A" w:rsidRDefault="006D311E" w:rsidP="006D311E">
      <w:pPr>
        <w:pStyle w:val="Text1"/>
        <w:rPr>
          <w:noProof/>
        </w:rPr>
      </w:pPr>
      <w:r w:rsidRPr="00732D9A">
        <w:rPr>
          <w:noProof/>
        </w:rPr>
        <w:t>Les États membres dotent cette autorité d’investissement des ressources et des moyens juridiques et administratifs nécessaires à l’accomplissement des tâches énoncées dans le présent règlement.</w:t>
      </w:r>
    </w:p>
    <w:p w14:paraId="6170AD5B" w14:textId="77777777" w:rsidR="006D311E" w:rsidRPr="00732D9A" w:rsidRDefault="0055495B" w:rsidP="002D0209">
      <w:pPr>
        <w:pStyle w:val="ManualNumPar1"/>
        <w:rPr>
          <w:noProof/>
        </w:rPr>
      </w:pPr>
      <w:r w:rsidRPr="00732D9A">
        <w:rPr>
          <w:noProof/>
        </w:rPr>
        <w:t>2.</w:t>
      </w:r>
      <w:r w:rsidRPr="00732D9A">
        <w:rPr>
          <w:noProof/>
        </w:rPr>
        <w:tab/>
        <w:t xml:space="preserve">À partir du [OP: prière d’insérer la date correspondant à 12 mois après l’entrée en vigueur du présent règlement], les autorités d’investissement n’approuvent que les </w:t>
      </w:r>
      <w:r w:rsidRPr="00732D9A">
        <w:rPr>
          <w:noProof/>
        </w:rPr>
        <w:lastRenderedPageBreak/>
        <w:t>investissements directs étrangers effectués directement par des investisseurs étrangers qui remplissent au moins quatre des six conditions suivantes:</w:t>
      </w:r>
    </w:p>
    <w:p w14:paraId="3AB75932" w14:textId="77777777" w:rsidR="006D311E" w:rsidRPr="00732D9A" w:rsidRDefault="00DF5D54" w:rsidP="007234F4">
      <w:pPr>
        <w:pStyle w:val="Point1"/>
        <w:rPr>
          <w:noProof/>
        </w:rPr>
      </w:pPr>
      <w:r w:rsidRPr="00732D9A">
        <w:rPr>
          <w:noProof/>
        </w:rPr>
        <w:t>a)</w:t>
      </w:r>
      <w:r w:rsidRPr="00732D9A">
        <w:rPr>
          <w:noProof/>
        </w:rPr>
        <w:tab/>
        <w:t xml:space="preserve">les investisseurs étrangers n’acquièrent, ne détiennent ni n’exercent de droits de propriété représentant plus de 49 % du capital social, des droits de vote ou des droits de propriété équivalents dans aucune cible de l’Union, ni de droits de propriété, de location ou d’autres droits équivalents conférant le contrôle d’un actif de l’Union; </w:t>
      </w:r>
    </w:p>
    <w:p w14:paraId="26E5A48A" w14:textId="77777777" w:rsidR="006D311E" w:rsidRPr="00732D9A" w:rsidRDefault="008A2831" w:rsidP="007234F4">
      <w:pPr>
        <w:pStyle w:val="Point1"/>
        <w:rPr>
          <w:noProof/>
        </w:rPr>
      </w:pPr>
      <w:r w:rsidRPr="00732D9A">
        <w:rPr>
          <w:noProof/>
        </w:rPr>
        <w:t>b)</w:t>
      </w:r>
      <w:r w:rsidRPr="00732D9A">
        <w:rPr>
          <w:noProof/>
        </w:rPr>
        <w:tab/>
        <w:t xml:space="preserve">l’investisseur étranger réalise l’investissement direct par l’intermédiaire d’une coentreprise avec une ou plusieurs entités de l’Union, l’investisseur étranger ne détenant pas plus de 49 % du capital social, des droits de vote ou des droits de propriété ou d’autres droits équivalents conférant le contrôle dans l’une des entités de l’Union participant à la coentreprise. Ces coentreprises sont structurées de manière à garantir la participation effective des partenaires de l’Union à la gestion, au transfert de technologies et au renforcement des capacités; </w:t>
      </w:r>
    </w:p>
    <w:p w14:paraId="52E5FFA6" w14:textId="77777777" w:rsidR="006D311E" w:rsidRPr="00732D9A" w:rsidRDefault="00FE069F" w:rsidP="007234F4">
      <w:pPr>
        <w:pStyle w:val="Point1"/>
        <w:rPr>
          <w:rFonts w:eastAsia="Times New Roman"/>
          <w:noProof/>
          <w:szCs w:val="24"/>
        </w:rPr>
      </w:pPr>
      <w:r w:rsidRPr="00732D9A">
        <w:rPr>
          <w:noProof/>
        </w:rPr>
        <w:t>c)</w:t>
      </w:r>
      <w:r w:rsidRPr="00732D9A">
        <w:rPr>
          <w:noProof/>
        </w:rPr>
        <w:tab/>
        <w:t>les investisseurs étrangers ont conclu des accords prévoyant la concession sous licence de leurs droits de propriété intellectuelle et de leur savoir-faire au profit de la cible de l’Union, ou de l’actif de l’Union, afin de lui permettre d’exercer ses activités économiques dans le cadre de l’investissement direct étranger. Tous les droits de propriété intellectuelle ou actifs développés par la cible de l’Union ou l’entité juridique détenant l’actif de l’Union avant l’investissement étranger ou sans la collaboration de l’investisseur étranger sont entièrement et exclusivement détenus par la cible de l’Union ou l’entité juridique de l’actif de l’Union. Tous les droits de propriété intellectuelle ou actifs développés dans ce contexte à la suite d’une collaboration avec les autres actifs commerciaux de l’investisseur étranger ou, dans le cas du point b), développés par la coentreprise, sont détenus conjointement par l’investisseur étranger et la cible de l’Union, la coentreprise définie au point b) ou l’entité juridique détenant l’actif de l’Union;</w:t>
      </w:r>
    </w:p>
    <w:p w14:paraId="5C8D6203" w14:textId="77777777" w:rsidR="006D311E" w:rsidRPr="00732D9A" w:rsidRDefault="00A71257" w:rsidP="007234F4">
      <w:pPr>
        <w:pStyle w:val="Point1"/>
        <w:rPr>
          <w:noProof/>
        </w:rPr>
      </w:pPr>
      <w:r w:rsidRPr="00732D9A">
        <w:rPr>
          <w:noProof/>
        </w:rPr>
        <w:t>d)</w:t>
      </w:r>
      <w:r w:rsidRPr="00732D9A">
        <w:rPr>
          <w:noProof/>
        </w:rPr>
        <w:tab/>
        <w:t xml:space="preserve">l’investisseur étranger consacre chaque année aux dépenses de recherche et de développement dans l’Union un montant équivalant à au moins 1 % des recettes brutes annuelles de la cible de l’Union, ou des recettes brutes annuelles générées par l’actif de l’Union, telles qu’appliquées proportionnellement à la part de contrôle de l’investisseur étranger; </w:t>
      </w:r>
    </w:p>
    <w:p w14:paraId="36F5FDB5" w14:textId="77777777" w:rsidR="006D311E" w:rsidRPr="00732D9A" w:rsidRDefault="002317E9" w:rsidP="007234F4">
      <w:pPr>
        <w:pStyle w:val="Point1"/>
        <w:rPr>
          <w:noProof/>
        </w:rPr>
      </w:pPr>
      <w:r w:rsidRPr="00732D9A">
        <w:rPr>
          <w:noProof/>
        </w:rPr>
        <w:t>e)</w:t>
      </w:r>
      <w:r w:rsidRPr="00732D9A">
        <w:rPr>
          <w:noProof/>
        </w:rPr>
        <w:tab/>
        <w:t xml:space="preserve">au moins 50 % de la main-d’œuvre employée dans le cadre de l’investissement direct étranger, au moment de sa mise en œuvre et de manière continue tout au long de son exploitation, se compose de travailleurs de l’Union issus de toutes les catégories de la main-d’œuvre, y compris aux postes opérationnels, techniques, ainsi qu’aux postes de supervision et de direction. Ces emplois s’accompagnent de mesures adéquates de formation et de renforcement des capacités. Lorsqu’une cible de l’Union ou un actif de l’Union exerçant déjà des activités de production avant l’investissement sont acquis, y compris après une faillite, le maintien de la main-d’œuvre existante ou le réemploi de l’ancienne main-d’œuvre sont prioritaires, conformément au droit national et à l’application des conventions collectives. Dans le cas où l’investisseur étranger, la cible de l’Union ou l’actif de l’Union reçoit un financement public, nonobstant l’article 107 du TFUE, il s’engage à ne pas réduire le nombre de travailleurs de l’Union pendant une période de cinq ans, sous peine de </w:t>
      </w:r>
      <w:r w:rsidRPr="00732D9A">
        <w:rPr>
          <w:noProof/>
        </w:rPr>
        <w:lastRenderedPageBreak/>
        <w:t>récupération, par les autorités nationales compétentes, du financement qui lui a été octroyé;</w:t>
      </w:r>
    </w:p>
    <w:p w14:paraId="1612E2D2" w14:textId="77777777" w:rsidR="006D311E" w:rsidRPr="00732D9A" w:rsidRDefault="00155DBC" w:rsidP="007234F4">
      <w:pPr>
        <w:pStyle w:val="Point1"/>
        <w:rPr>
          <w:noProof/>
        </w:rPr>
      </w:pPr>
      <w:r w:rsidRPr="00732D9A">
        <w:rPr>
          <w:noProof/>
        </w:rPr>
        <w:t>f)</w:t>
      </w:r>
      <w:r w:rsidRPr="00732D9A">
        <w:rPr>
          <w:noProof/>
        </w:rPr>
        <w:tab/>
        <w:t>dans le cadre de l’investissement direct étranger, l’investisseur étranger prépare et publie sur son site web une stratégie visant à renforcer les chaînes de valeur de l’Union et à privilégier, pour les intrants destinés à l’activité de production, un approvisionnement dans l’Union, et s’efforce de s’approvisionner à hauteur d’au moins 30 % dans l’Union en intrants utilisés pour les produits mis sur le marché de l’Union.</w:t>
      </w:r>
    </w:p>
    <w:p w14:paraId="6D945280" w14:textId="77777777" w:rsidR="00534537" w:rsidRPr="00732D9A" w:rsidRDefault="00534537" w:rsidP="00295E57">
      <w:pPr>
        <w:pStyle w:val="ManualNumPar1"/>
        <w:rPr>
          <w:noProof/>
        </w:rPr>
      </w:pPr>
      <w:r w:rsidRPr="00732D9A">
        <w:rPr>
          <w:noProof/>
        </w:rPr>
        <w:t>3.</w:t>
      </w:r>
      <w:r w:rsidRPr="00732D9A">
        <w:rPr>
          <w:noProof/>
        </w:rPr>
        <w:tab/>
        <w:t>L’investissement direct étranger satisfait à la condition visée au paragraphe 2, point e), qui doit être approuvée par l’autorité d’investissement conformément au paragraphe 2.</w:t>
      </w:r>
    </w:p>
    <w:p w14:paraId="6E2DEBE3" w14:textId="77777777" w:rsidR="006D311E" w:rsidRPr="00732D9A" w:rsidRDefault="006D311E" w:rsidP="00295E57">
      <w:pPr>
        <w:pStyle w:val="ManualNumPar1"/>
        <w:rPr>
          <w:noProof/>
        </w:rPr>
      </w:pPr>
      <w:r w:rsidRPr="00732D9A">
        <w:rPr>
          <w:noProof/>
        </w:rPr>
        <w:t>4.</w:t>
      </w:r>
      <w:r w:rsidRPr="00732D9A">
        <w:rPr>
          <w:noProof/>
        </w:rPr>
        <w:tab/>
        <w:t xml:space="preserve">Les autorités d’investissement peuvent appliquer tout ou partie des conditions énoncées au paragraphe 2 aux investissements directs réalisés dans l’Union par une filiale d’un investisseur étranger lorsque cela est essentiel pour atteindre les objectifs du présent règlement, dans les conditions suivantes: </w:t>
      </w:r>
    </w:p>
    <w:p w14:paraId="72BF592D" w14:textId="77777777" w:rsidR="008A1EBD" w:rsidRPr="00732D9A" w:rsidRDefault="008A1EBD" w:rsidP="007234F4">
      <w:pPr>
        <w:pStyle w:val="Point1"/>
        <w:rPr>
          <w:noProof/>
        </w:rPr>
      </w:pPr>
      <w:r w:rsidRPr="00732D9A">
        <w:rPr>
          <w:noProof/>
        </w:rPr>
        <w:t>a)</w:t>
      </w:r>
      <w:r w:rsidRPr="00732D9A">
        <w:rPr>
          <w:noProof/>
        </w:rPr>
        <w:tab/>
        <w:t>empêcher le contournement du présent règlement par l’investisseur étranger; ou</w:t>
      </w:r>
    </w:p>
    <w:p w14:paraId="31CCFAFA" w14:textId="77777777" w:rsidR="008A1EBD" w:rsidRPr="00732D9A" w:rsidRDefault="008A1EBD" w:rsidP="007234F4">
      <w:pPr>
        <w:pStyle w:val="Point1"/>
        <w:rPr>
          <w:noProof/>
        </w:rPr>
      </w:pPr>
      <w:r w:rsidRPr="00732D9A">
        <w:rPr>
          <w:noProof/>
        </w:rPr>
        <w:t>b)</w:t>
      </w:r>
      <w:r w:rsidRPr="00732D9A">
        <w:rPr>
          <w:noProof/>
        </w:rPr>
        <w:tab/>
        <w:t>aucune autre mesure, y compris des engagements proposés par l’investisseur étranger ou sa filiale, n’est raisonnablement envisageable pour atteindre les objectifs du règlement sans restreindre davantage l’investissement direct dans l’Union.</w:t>
      </w:r>
    </w:p>
    <w:p w14:paraId="1FC50464" w14:textId="77777777" w:rsidR="006D311E" w:rsidRPr="00732D9A" w:rsidRDefault="007A055A" w:rsidP="00295E57">
      <w:pPr>
        <w:pStyle w:val="ManualNumPar1"/>
        <w:rPr>
          <w:noProof/>
        </w:rPr>
      </w:pPr>
      <w:r w:rsidRPr="00732D9A">
        <w:rPr>
          <w:noProof/>
        </w:rPr>
        <w:t>5.</w:t>
      </w:r>
      <w:r w:rsidRPr="00732D9A">
        <w:rPr>
          <w:noProof/>
        </w:rPr>
        <w:tab/>
        <w:t>Le [OP: prière d’insérer la date correspondant à six mois après l’entrée en vigueur du présent règlement] au plus tard, la Commission adopte un acte d’exécution afin de préciser les modalités de vérification de la conformité avec les conditions définies au paragraphe 2. Cet acte d’exécution est adopté en conformité avec la procédure d’examen visée à l’article 31, paragraphe 3.</w:t>
      </w:r>
    </w:p>
    <w:p w14:paraId="64463350" w14:textId="572BD26F" w:rsidR="006D311E" w:rsidRPr="00732D9A" w:rsidRDefault="006D311E" w:rsidP="006D311E">
      <w:pPr>
        <w:pStyle w:val="Titrearticle"/>
        <w:rPr>
          <w:noProof/>
        </w:rPr>
      </w:pPr>
      <w:r w:rsidRPr="00732D9A">
        <w:rPr>
          <w:noProof/>
        </w:rPr>
        <w:t xml:space="preserve">Article 19 </w:t>
      </w:r>
      <w:r w:rsidRPr="00732D9A">
        <w:rPr>
          <w:noProof/>
        </w:rPr>
        <w:br/>
      </w:r>
      <w:r w:rsidRPr="00732D9A">
        <w:rPr>
          <w:b/>
          <w:i w:val="0"/>
          <w:noProof/>
        </w:rPr>
        <w:t>Notification préalable des investissements directs étrangers prévus</w:t>
      </w:r>
    </w:p>
    <w:p w14:paraId="742B6CBC" w14:textId="77777777" w:rsidR="006D311E" w:rsidRPr="00732D9A" w:rsidRDefault="006D311E" w:rsidP="00E53718">
      <w:pPr>
        <w:pStyle w:val="ManualNumPar1"/>
        <w:rPr>
          <w:noProof/>
        </w:rPr>
      </w:pPr>
      <w:r w:rsidRPr="00732D9A">
        <w:rPr>
          <w:noProof/>
        </w:rPr>
        <w:t>1.</w:t>
      </w:r>
      <w:r w:rsidRPr="00732D9A">
        <w:rPr>
          <w:noProof/>
        </w:rPr>
        <w:tab/>
        <w:t>Un investisseur étranger notifie à l’autorité d’investissement de l’État membre dans lequel la cible de l’Union ou l’actif de l’Union est situé tout investissement direct prévu qui relève du champ d’application de l’article 17 et qui résulterait en un contrôle de la cible de l’Union ou de l’actif de l’Union au sens du paragraphe 3.</w:t>
      </w:r>
    </w:p>
    <w:p w14:paraId="40F75EFC" w14:textId="75C65EB7" w:rsidR="006D311E" w:rsidRPr="00732D9A" w:rsidRDefault="006D311E" w:rsidP="00C316C4">
      <w:pPr>
        <w:pStyle w:val="Text1"/>
        <w:rPr>
          <w:noProof/>
        </w:rPr>
      </w:pPr>
      <w:r w:rsidRPr="00732D9A">
        <w:rPr>
          <w:noProof/>
        </w:rPr>
        <w:t>La notification contient toutes les informations nécessaires pour permettre à l’autorité d’investissement de procéder à l</w:t>
      </w:r>
      <w:r w:rsidR="00980FE6">
        <w:rPr>
          <w:noProof/>
        </w:rPr>
        <w:t>’</w:t>
      </w:r>
      <w:r w:rsidRPr="00732D9A">
        <w:rPr>
          <w:noProof/>
        </w:rPr>
        <w:t>examen de l’investissement conformément à l’article 20.</w:t>
      </w:r>
    </w:p>
    <w:p w14:paraId="6D03B898" w14:textId="77777777" w:rsidR="006D311E" w:rsidRPr="00732D9A" w:rsidRDefault="006D311E" w:rsidP="005F52D3">
      <w:pPr>
        <w:pStyle w:val="ManualNumPar1"/>
        <w:rPr>
          <w:noProof/>
        </w:rPr>
      </w:pPr>
      <w:r w:rsidRPr="00732D9A">
        <w:rPr>
          <w:noProof/>
        </w:rPr>
        <w:t>2.</w:t>
      </w:r>
      <w:r w:rsidRPr="00732D9A">
        <w:rPr>
          <w:noProof/>
        </w:rPr>
        <w:tab/>
        <w:t>Afin de déterminer si la valeur de l’investissement atteint le seuil fixé à l’article 17, paragraphe 1, seuls les investissements antérieurs d’un investisseur étranger dans la même cible de l’Union ou le même actif de l’Union à partir du [OP: prière d’insérer la date correspondant à la date d’entrée en vigueur du présent règlement] sont agrégés.</w:t>
      </w:r>
    </w:p>
    <w:p w14:paraId="42CD9143" w14:textId="77777777" w:rsidR="006D311E" w:rsidRPr="00732D9A" w:rsidRDefault="006D311E" w:rsidP="00576BF0">
      <w:pPr>
        <w:pStyle w:val="ManualNumPar1"/>
        <w:rPr>
          <w:noProof/>
        </w:rPr>
      </w:pPr>
      <w:r w:rsidRPr="00732D9A">
        <w:rPr>
          <w:noProof/>
        </w:rPr>
        <w:t>3.</w:t>
      </w:r>
      <w:r w:rsidRPr="00732D9A">
        <w:rPr>
          <w:noProof/>
        </w:rPr>
        <w:tab/>
        <w:t>Les investisseurs étrangers sont réputés exercer un contrôle lorsque l’investissement en question atteint l’un des seuils suivants:</w:t>
      </w:r>
    </w:p>
    <w:p w14:paraId="634A7C7F" w14:textId="77777777" w:rsidR="006D311E" w:rsidRPr="00732D9A" w:rsidRDefault="0034360B" w:rsidP="007234F4">
      <w:pPr>
        <w:pStyle w:val="Point1"/>
        <w:rPr>
          <w:noProof/>
        </w:rPr>
      </w:pPr>
      <w:r w:rsidRPr="00732D9A">
        <w:rPr>
          <w:noProof/>
        </w:rPr>
        <w:t>a)</w:t>
      </w:r>
      <w:r w:rsidRPr="00732D9A">
        <w:rPr>
          <w:noProof/>
        </w:rPr>
        <w:tab/>
        <w:t>30 % ou plus du capital social ou des droits de vote dans une cible de l’Union;</w:t>
      </w:r>
    </w:p>
    <w:p w14:paraId="3B970714" w14:textId="77777777" w:rsidR="006D311E" w:rsidRPr="00732D9A" w:rsidRDefault="0034360B" w:rsidP="007234F4">
      <w:pPr>
        <w:pStyle w:val="Point1"/>
        <w:rPr>
          <w:noProof/>
        </w:rPr>
      </w:pPr>
      <w:r w:rsidRPr="00732D9A">
        <w:rPr>
          <w:noProof/>
        </w:rPr>
        <w:lastRenderedPageBreak/>
        <w:t>b)</w:t>
      </w:r>
      <w:r w:rsidRPr="00732D9A">
        <w:rPr>
          <w:noProof/>
        </w:rPr>
        <w:tab/>
        <w:t>30 % ou plus de la propriété d’un actif de l’Union, et des droits de location ou autres droits conférant le contrôle d’un actif de l’Union.</w:t>
      </w:r>
    </w:p>
    <w:p w14:paraId="2BF7562B" w14:textId="77777777" w:rsidR="000A3A75" w:rsidRPr="00732D9A" w:rsidRDefault="009A155B" w:rsidP="001950DA">
      <w:pPr>
        <w:pStyle w:val="ManualNumPar1"/>
        <w:rPr>
          <w:noProof/>
        </w:rPr>
      </w:pPr>
      <w:r w:rsidRPr="00732D9A">
        <w:rPr>
          <w:noProof/>
        </w:rPr>
        <w:t>4.</w:t>
      </w:r>
      <w:r w:rsidRPr="00732D9A">
        <w:rPr>
          <w:noProof/>
        </w:rPr>
        <w:tab/>
        <w:t>Lorsque l’acquisition ou l’établissement d’un investissement par un investisseur étranger aurait pour conséquence que la part détenue collectivement par les investisseurs étrangers dépasserait les seuils de propriété ou de contrôle fixés au paragraphe 3, cette acquisition ou cet établissement fait l’objet d’une notification.</w:t>
      </w:r>
    </w:p>
    <w:p w14:paraId="4AB18989" w14:textId="77777777" w:rsidR="006D311E" w:rsidRPr="00732D9A" w:rsidRDefault="00DD4A8D" w:rsidP="001950DA">
      <w:pPr>
        <w:pStyle w:val="ManualNumPar1"/>
        <w:rPr>
          <w:noProof/>
        </w:rPr>
      </w:pPr>
      <w:r w:rsidRPr="00732D9A">
        <w:rPr>
          <w:noProof/>
        </w:rPr>
        <w:t>5.</w:t>
      </w:r>
      <w:r w:rsidRPr="00732D9A">
        <w:rPr>
          <w:noProof/>
        </w:rPr>
        <w:tab/>
        <w:t xml:space="preserve">Aux fins du calcul visant à déterminer si l’un des seuils fixés au paragraphe 3 a été atteint, les intérêts agrégés détenus directement ou indirectement, y compris par l’intermédiaire de filiales, de chaînes de propriété, ou par des investisseurs étrangers agissant de concert, sont pris en considération. </w:t>
      </w:r>
    </w:p>
    <w:p w14:paraId="17F6256A" w14:textId="77777777" w:rsidR="002572E1" w:rsidRPr="00732D9A" w:rsidRDefault="002572E1" w:rsidP="006F1172">
      <w:pPr>
        <w:pStyle w:val="ManualNumPar1"/>
        <w:rPr>
          <w:noProof/>
        </w:rPr>
      </w:pPr>
      <w:r w:rsidRPr="00732D9A">
        <w:rPr>
          <w:noProof/>
        </w:rPr>
        <w:t>6.</w:t>
      </w:r>
      <w:r w:rsidRPr="00732D9A">
        <w:rPr>
          <w:noProof/>
        </w:rPr>
        <w:tab/>
        <w:t xml:space="preserve">Lorsque les cibles ou actifs pertinents de l’Union sont situés dans plusieurs États membres, l’investisseur étranger en informe le même jour, en faisant référence aux autres notifications, les autorités d’investissement compétentes de tous les États membres concernés et la Commission. Les États membres concernés coordonnent l’examen de ces notifications et conviennent des conditions à imposer avec les autres États membres concernés, ainsi qu’avec la Commission. </w:t>
      </w:r>
    </w:p>
    <w:p w14:paraId="59060269" w14:textId="77777777" w:rsidR="002572E1" w:rsidRPr="00732D9A" w:rsidRDefault="002572E1" w:rsidP="002572E1">
      <w:pPr>
        <w:pStyle w:val="Text1"/>
        <w:rPr>
          <w:noProof/>
        </w:rPr>
      </w:pPr>
      <w:r w:rsidRPr="00732D9A">
        <w:rPr>
          <w:noProof/>
        </w:rPr>
        <w:t>En l’absence d’accord entre les États membres concernés, la Commission décide des conditions applicables à l’investissement direct étranger.</w:t>
      </w:r>
    </w:p>
    <w:p w14:paraId="56976B1B" w14:textId="77777777" w:rsidR="002572E1" w:rsidRPr="00732D9A" w:rsidRDefault="002572E1" w:rsidP="002572E1">
      <w:pPr>
        <w:pStyle w:val="Text1"/>
        <w:rPr>
          <w:noProof/>
        </w:rPr>
      </w:pPr>
      <w:r w:rsidRPr="00732D9A">
        <w:rPr>
          <w:noProof/>
        </w:rPr>
        <w:t xml:space="preserve">Les investissements directs étrangers notifiés en vertu du premier alinéa remplissent les conditions énoncées à l’article 18 dans tous les États membres concernés. </w:t>
      </w:r>
    </w:p>
    <w:p w14:paraId="09F4D968" w14:textId="4734CE1B" w:rsidR="006D311E" w:rsidRPr="00732D9A" w:rsidRDefault="006D311E" w:rsidP="006D311E">
      <w:pPr>
        <w:pStyle w:val="Titrearticle"/>
        <w:rPr>
          <w:noProof/>
        </w:rPr>
      </w:pPr>
      <w:r w:rsidRPr="00732D9A">
        <w:rPr>
          <w:noProof/>
        </w:rPr>
        <w:t xml:space="preserve">Article 20 </w:t>
      </w:r>
      <w:r w:rsidRPr="00732D9A">
        <w:rPr>
          <w:noProof/>
        </w:rPr>
        <w:br/>
      </w:r>
      <w:r w:rsidRPr="00732D9A">
        <w:rPr>
          <w:b/>
          <w:i w:val="0"/>
          <w:noProof/>
        </w:rPr>
        <w:t>Examen et approbation</w:t>
      </w:r>
    </w:p>
    <w:p w14:paraId="11452228" w14:textId="77777777" w:rsidR="006D311E" w:rsidRPr="00732D9A" w:rsidRDefault="006D311E" w:rsidP="007234F4">
      <w:pPr>
        <w:pStyle w:val="ManualNumPar1"/>
        <w:rPr>
          <w:noProof/>
        </w:rPr>
      </w:pPr>
      <w:r w:rsidRPr="00732D9A">
        <w:rPr>
          <w:noProof/>
        </w:rPr>
        <w:t>1.</w:t>
      </w:r>
      <w:r w:rsidRPr="00732D9A">
        <w:rPr>
          <w:noProof/>
        </w:rPr>
        <w:tab/>
        <w:t>L’autorité d’investissement statue sur la recevabilité de la notification qui lui est adressée au titre des articles 17 et 19 dans un délai de 30 jours à compter de la réception de la notification. Ce délai peut être prolongé de 15 jours lorsque l’autorité d’investissement démontre de manière satisfaisante que les circonstances le justifient.</w:t>
      </w:r>
    </w:p>
    <w:p w14:paraId="243C14ED" w14:textId="77777777" w:rsidR="004C190B" w:rsidRPr="00732D9A" w:rsidRDefault="006D311E" w:rsidP="002F1E3D">
      <w:pPr>
        <w:pStyle w:val="Text1"/>
        <w:rPr>
          <w:noProof/>
        </w:rPr>
      </w:pPr>
      <w:r w:rsidRPr="00732D9A">
        <w:rPr>
          <w:noProof/>
        </w:rPr>
        <w:t>Lorsque l’autorité d’investissement constate la recevabilité de la notification, elle transmet immédiatement la notification complète, ainsi que tous les documents reçus, à la Commission.</w:t>
      </w:r>
    </w:p>
    <w:p w14:paraId="2FFB8B03" w14:textId="77777777" w:rsidR="004179C7" w:rsidRPr="00732D9A" w:rsidRDefault="004179C7" w:rsidP="007234F4">
      <w:pPr>
        <w:pStyle w:val="ManualNumPar1"/>
        <w:rPr>
          <w:noProof/>
        </w:rPr>
      </w:pPr>
      <w:r w:rsidRPr="00732D9A">
        <w:rPr>
          <w:noProof/>
        </w:rPr>
        <w:t>2.</w:t>
      </w:r>
      <w:r w:rsidRPr="00732D9A">
        <w:rPr>
          <w:noProof/>
        </w:rPr>
        <w:tab/>
        <w:t xml:space="preserve">Dans un délai de 30 jours à compter de la réception de la notification, la Commission peut émettre un avis écrit indiquant si l’investissement direct étranger relève du champ d’application des articles 17 et 19, s’il remplit les conditions énoncées à l’article 18, paragraphe 2, et si l’autorité d’investissement doit approuver l’investissement ou non. </w:t>
      </w:r>
    </w:p>
    <w:p w14:paraId="6010AD6E" w14:textId="77777777" w:rsidR="004179C7" w:rsidRPr="00732D9A" w:rsidRDefault="004179C7" w:rsidP="004179C7">
      <w:pPr>
        <w:pStyle w:val="Text1"/>
        <w:rPr>
          <w:noProof/>
        </w:rPr>
      </w:pPr>
      <w:r w:rsidRPr="00732D9A">
        <w:rPr>
          <w:noProof/>
        </w:rPr>
        <w:t xml:space="preserve">Lorsque la Commission émet un avis écrit, elle le transmet sans délai à l’autorité d’investissement. La Commission peut partager cet avis écrit avec les autorités d’investissement d’autres États membres ou le publier sur son site internet officiel, dans le respect de la confidentialité. </w:t>
      </w:r>
    </w:p>
    <w:p w14:paraId="7ADA4FC4" w14:textId="77777777" w:rsidR="00E26719" w:rsidRPr="00732D9A" w:rsidRDefault="00E26719" w:rsidP="007234F4">
      <w:pPr>
        <w:pStyle w:val="ManualNumPar1"/>
        <w:rPr>
          <w:noProof/>
        </w:rPr>
      </w:pPr>
      <w:r w:rsidRPr="00732D9A">
        <w:rPr>
          <w:noProof/>
        </w:rPr>
        <w:t>3.</w:t>
      </w:r>
      <w:r w:rsidRPr="00732D9A">
        <w:rPr>
          <w:noProof/>
        </w:rPr>
        <w:tab/>
        <w:t xml:space="preserve">Au plus tôt à la réception de l’avis de la Commission ou à l’expiration du délai visé au paragraphe 2 et au plus tard 60 jours, ou 75 jours si le délai a été prolongé conformément au paragraphe 1, à compter de la réception de la notification, l’autorité d’investissement rend une décision motivée approuvant ou refusant l’investissement direct étranger. L’autorité d’investissement approuve l’investissement direct étranger s’il remplit quatre des six conditions énoncées à </w:t>
      </w:r>
      <w:r w:rsidRPr="00732D9A">
        <w:rPr>
          <w:noProof/>
        </w:rPr>
        <w:lastRenderedPageBreak/>
        <w:t>l’article 18. Le délai d’émission d’un avis motivé peut être prolongé de 30 jours lorsque l’autorité d’investissement démontre de manière satisfaisante que les circonstances le justifient.</w:t>
      </w:r>
    </w:p>
    <w:p w14:paraId="2433073E" w14:textId="51407CE5" w:rsidR="00E26719" w:rsidRPr="00732D9A" w:rsidRDefault="00E26719" w:rsidP="00E26719">
      <w:pPr>
        <w:pStyle w:val="Text1"/>
        <w:rPr>
          <w:noProof/>
        </w:rPr>
      </w:pPr>
      <w:r w:rsidRPr="00732D9A">
        <w:rPr>
          <w:noProof/>
        </w:rPr>
        <w:t>L’autorité d’investissement communique ces décisions motivées à la Commission dans un délai de trois jours à compter de leur adoption.</w:t>
      </w:r>
    </w:p>
    <w:p w14:paraId="54A9A4DF" w14:textId="77777777" w:rsidR="009B6820" w:rsidRPr="00732D9A" w:rsidRDefault="009B6820" w:rsidP="007234F4">
      <w:pPr>
        <w:pStyle w:val="ManualNumPar1"/>
        <w:rPr>
          <w:noProof/>
        </w:rPr>
      </w:pPr>
      <w:r w:rsidRPr="00732D9A">
        <w:rPr>
          <w:noProof/>
        </w:rPr>
        <w:t>4.</w:t>
      </w:r>
      <w:r w:rsidRPr="00732D9A">
        <w:rPr>
          <w:noProof/>
        </w:rPr>
        <w:tab/>
        <w:t xml:space="preserve">Lorsque l’autorité d’investissement rend une décision qui s’écarte de l’avis de la Commission en ce qui concerne la conformité de l’investissement direct étranger avec les conditions énoncées à l’article 18, elle évalue la notification plus en détail dans un délai supplémentaire de deux mois et la décision n’entre en vigueur qu’à l’expiration de ce délai. </w:t>
      </w:r>
    </w:p>
    <w:p w14:paraId="0B26E691" w14:textId="77777777" w:rsidR="00576799" w:rsidRPr="00732D9A" w:rsidRDefault="00576799" w:rsidP="0013414F">
      <w:pPr>
        <w:pStyle w:val="Text1"/>
        <w:rPr>
          <w:noProof/>
        </w:rPr>
      </w:pPr>
      <w:r w:rsidRPr="00732D9A">
        <w:rPr>
          <w:noProof/>
        </w:rPr>
        <w:t>Les autorités d’investissement justifient, dans leur décision motivée rendue en vertu du paragraphe 3, la manière dont l’avis de la Commission a été pris en considération.</w:t>
      </w:r>
    </w:p>
    <w:p w14:paraId="6E67FD33" w14:textId="77777777" w:rsidR="005D25C7" w:rsidRPr="00732D9A" w:rsidRDefault="005D25C7" w:rsidP="007234F4">
      <w:pPr>
        <w:pStyle w:val="ManualNumPar1"/>
        <w:rPr>
          <w:noProof/>
        </w:rPr>
      </w:pPr>
      <w:r w:rsidRPr="00732D9A">
        <w:rPr>
          <w:noProof/>
        </w:rPr>
        <w:t>5.</w:t>
      </w:r>
      <w:r w:rsidRPr="00732D9A">
        <w:rPr>
          <w:noProof/>
        </w:rPr>
        <w:tab/>
        <w:t xml:space="preserve">Dans sa décision d’approbation, l’autorité d’investissement fixe des obligations d’information pour l’investisseur concerné, en vue d’évaluer le respect continu des conditions énoncées à l’article 18. </w:t>
      </w:r>
    </w:p>
    <w:p w14:paraId="26697408" w14:textId="77777777" w:rsidR="009D4461" w:rsidRPr="00732D9A" w:rsidRDefault="009D4461" w:rsidP="007234F4">
      <w:pPr>
        <w:pStyle w:val="ManualNumPar1"/>
        <w:rPr>
          <w:noProof/>
        </w:rPr>
      </w:pPr>
      <w:r w:rsidRPr="00732D9A">
        <w:rPr>
          <w:noProof/>
        </w:rPr>
        <w:t>6.</w:t>
      </w:r>
      <w:r w:rsidRPr="00732D9A">
        <w:rPr>
          <w:noProof/>
        </w:rPr>
        <w:tab/>
        <w:t>Toute partie faisant l’objet d’une décision rendue en vertu du paragraphe 1 ou 3 a le droit de former un recours juridictionnel contre cette décision.</w:t>
      </w:r>
    </w:p>
    <w:p w14:paraId="36951CF7" w14:textId="4FD3BD38" w:rsidR="002C29EF" w:rsidRPr="00732D9A" w:rsidRDefault="002C29EF" w:rsidP="00F253B8">
      <w:pPr>
        <w:pStyle w:val="Titrearticle"/>
        <w:spacing w:before="0" w:after="0"/>
        <w:rPr>
          <w:noProof/>
        </w:rPr>
      </w:pPr>
      <w:r w:rsidRPr="00732D9A">
        <w:rPr>
          <w:noProof/>
        </w:rPr>
        <w:t xml:space="preserve">Article 21 </w:t>
      </w:r>
      <w:r w:rsidRPr="00732D9A">
        <w:rPr>
          <w:noProof/>
        </w:rPr>
        <w:br/>
      </w:r>
      <w:r w:rsidRPr="00732D9A">
        <w:rPr>
          <w:rFonts w:ascii="Times" w:hAnsi="Times"/>
          <w:b/>
          <w:i w:val="0"/>
          <w:noProof/>
        </w:rPr>
        <w:t>Examen des investissements directs étrangers par la Commission</w:t>
      </w:r>
    </w:p>
    <w:p w14:paraId="11850334" w14:textId="77777777" w:rsidR="0003436C" w:rsidRPr="00732D9A" w:rsidRDefault="0003436C" w:rsidP="007234F4">
      <w:pPr>
        <w:pStyle w:val="ManualNumPar1"/>
        <w:rPr>
          <w:noProof/>
        </w:rPr>
      </w:pPr>
      <w:r w:rsidRPr="00732D9A">
        <w:rPr>
          <w:noProof/>
        </w:rPr>
        <w:t>1.</w:t>
      </w:r>
      <w:r w:rsidRPr="00732D9A">
        <w:rPr>
          <w:noProof/>
        </w:rPr>
        <w:tab/>
        <w:t>À la suite de la notification visée à l’article 19, paragraphe 1, la Commission peut décider de procéder à l’évaluation de l’investissement direct étranger:</w:t>
      </w:r>
    </w:p>
    <w:p w14:paraId="36D8A2B4" w14:textId="77777777" w:rsidR="000B2079" w:rsidRPr="00732D9A" w:rsidRDefault="00C228C4" w:rsidP="007234F4">
      <w:pPr>
        <w:pStyle w:val="Point1"/>
        <w:rPr>
          <w:noProof/>
        </w:rPr>
      </w:pPr>
      <w:r w:rsidRPr="00732D9A">
        <w:rPr>
          <w:noProof/>
        </w:rPr>
        <w:t>a)</w:t>
      </w:r>
      <w:r w:rsidRPr="00732D9A">
        <w:rPr>
          <w:noProof/>
        </w:rPr>
        <w:tab/>
        <w:t xml:space="preserve">de sa propre initiative, lorsque l’investissement direct étranger est susceptible d’avoir une incidence significative sur la création de valeur ajoutée sur le marché de l’Union; </w:t>
      </w:r>
    </w:p>
    <w:p w14:paraId="2FE6B1CD" w14:textId="77777777" w:rsidR="000B2079" w:rsidRPr="00732D9A" w:rsidRDefault="00C228C4" w:rsidP="007234F4">
      <w:pPr>
        <w:pStyle w:val="Point1"/>
        <w:rPr>
          <w:noProof/>
        </w:rPr>
      </w:pPr>
      <w:r w:rsidRPr="00732D9A">
        <w:rPr>
          <w:noProof/>
        </w:rPr>
        <w:t>b)</w:t>
      </w:r>
      <w:r w:rsidRPr="00732D9A">
        <w:rPr>
          <w:noProof/>
        </w:rPr>
        <w:tab/>
        <w:t>à la demande d’une autorité d’investissement traitant une notification, ou d’une autorité d’investissement d’un autre État membre, sur le territoire duquel l’investissement direct étranger en question aurait une incidence significative; ou</w:t>
      </w:r>
    </w:p>
    <w:p w14:paraId="403FDA38" w14:textId="77777777" w:rsidR="00735417" w:rsidRPr="00732D9A" w:rsidRDefault="00735417" w:rsidP="00BF0782">
      <w:pPr>
        <w:pStyle w:val="Point1"/>
        <w:rPr>
          <w:noProof/>
        </w:rPr>
      </w:pPr>
      <w:r w:rsidRPr="00732D9A">
        <w:rPr>
          <w:noProof/>
        </w:rPr>
        <w:t>c)</w:t>
      </w:r>
      <w:r w:rsidRPr="00732D9A">
        <w:rPr>
          <w:noProof/>
        </w:rPr>
        <w:tab/>
        <w:t>de sa propre initiative, lorsque la valeur de l’investissement direct étranger dépasse 1 milliard d’EUR.</w:t>
      </w:r>
    </w:p>
    <w:p w14:paraId="6CA35A87" w14:textId="77777777" w:rsidR="006C59B1" w:rsidRPr="00732D9A" w:rsidRDefault="006C59B1" w:rsidP="008158F4">
      <w:pPr>
        <w:pStyle w:val="ManualNumPar1"/>
        <w:rPr>
          <w:noProof/>
        </w:rPr>
      </w:pPr>
      <w:r w:rsidRPr="00732D9A">
        <w:rPr>
          <w:noProof/>
        </w:rPr>
        <w:t>2.</w:t>
      </w:r>
      <w:r w:rsidRPr="00732D9A">
        <w:rPr>
          <w:noProof/>
        </w:rPr>
        <w:tab/>
        <w:t>Aux fins du paragraphe 1, l’investissement direct étranger est considéré comme pouvant avoir une incidence significative sur la création de valeur ajoutée dans le marché intérieur, dans l’un des cas suivants:</w:t>
      </w:r>
    </w:p>
    <w:p w14:paraId="51D4D21F" w14:textId="77777777" w:rsidR="0026690D" w:rsidRPr="00732D9A" w:rsidRDefault="0026690D" w:rsidP="006060DF">
      <w:pPr>
        <w:pStyle w:val="Point1"/>
        <w:rPr>
          <w:noProof/>
        </w:rPr>
      </w:pPr>
      <w:r w:rsidRPr="00732D9A">
        <w:rPr>
          <w:noProof/>
        </w:rPr>
        <w:t>a)</w:t>
      </w:r>
      <w:r w:rsidRPr="00732D9A">
        <w:rPr>
          <w:noProof/>
        </w:rPr>
        <w:tab/>
        <w:t xml:space="preserve">il revêt une importance stratégique particulière pour le marché intérieur; </w:t>
      </w:r>
    </w:p>
    <w:p w14:paraId="6C8DCA72" w14:textId="77777777" w:rsidR="0026690D" w:rsidRPr="00732D9A" w:rsidRDefault="0026690D" w:rsidP="0026690D">
      <w:pPr>
        <w:pStyle w:val="Point1"/>
        <w:rPr>
          <w:noProof/>
        </w:rPr>
      </w:pPr>
      <w:r w:rsidRPr="00732D9A">
        <w:rPr>
          <w:noProof/>
        </w:rPr>
        <w:t>b)</w:t>
      </w:r>
      <w:r w:rsidRPr="00732D9A">
        <w:rPr>
          <w:noProof/>
        </w:rPr>
        <w:tab/>
        <w:t>il a un impact économique considérable sur le territoire de plusieurs États membres;</w:t>
      </w:r>
    </w:p>
    <w:p w14:paraId="169C79CB" w14:textId="77777777" w:rsidR="0026690D" w:rsidRPr="00732D9A" w:rsidRDefault="0026690D" w:rsidP="0026690D">
      <w:pPr>
        <w:pStyle w:val="Point1"/>
        <w:rPr>
          <w:noProof/>
        </w:rPr>
      </w:pPr>
      <w:r w:rsidRPr="00732D9A">
        <w:rPr>
          <w:noProof/>
        </w:rPr>
        <w:t>c)</w:t>
      </w:r>
      <w:r w:rsidRPr="00732D9A">
        <w:rPr>
          <w:noProof/>
        </w:rPr>
        <w:tab/>
        <w:t xml:space="preserve">il est susceptible de perturber la sécurité d’approvisionnement de ce secteur stratégique émergent ou de chaînes de valeur connexes dans l’Union, ou la sécurité dans plusieurs États membres; </w:t>
      </w:r>
    </w:p>
    <w:p w14:paraId="0BF91653" w14:textId="77777777" w:rsidR="0026690D" w:rsidRPr="00732D9A" w:rsidRDefault="0026690D" w:rsidP="0026690D">
      <w:pPr>
        <w:pStyle w:val="Point1"/>
        <w:rPr>
          <w:noProof/>
        </w:rPr>
      </w:pPr>
      <w:r w:rsidRPr="00732D9A">
        <w:rPr>
          <w:noProof/>
        </w:rPr>
        <w:t>d)</w:t>
      </w:r>
      <w:r w:rsidRPr="00732D9A">
        <w:rPr>
          <w:noProof/>
        </w:rPr>
        <w:tab/>
        <w:t xml:space="preserve">il est susceptible d’avoir des effets néfastes sur l’environnement dans plusieurs États membres; </w:t>
      </w:r>
    </w:p>
    <w:p w14:paraId="6DDA1CC1" w14:textId="77777777" w:rsidR="0026690D" w:rsidRPr="00732D9A" w:rsidRDefault="0026690D" w:rsidP="0026690D">
      <w:pPr>
        <w:pStyle w:val="Point1"/>
        <w:rPr>
          <w:noProof/>
        </w:rPr>
      </w:pPr>
      <w:r w:rsidRPr="00732D9A">
        <w:rPr>
          <w:noProof/>
        </w:rPr>
        <w:t>e)</w:t>
      </w:r>
      <w:r w:rsidRPr="00732D9A">
        <w:rPr>
          <w:noProof/>
        </w:rPr>
        <w:tab/>
        <w:t>il présente une valeur particulièrement élevée par rapport à d’autres investissements dans ce secteur stratégique émergent.</w:t>
      </w:r>
    </w:p>
    <w:p w14:paraId="638E1791" w14:textId="77777777" w:rsidR="007B736C" w:rsidRPr="00732D9A" w:rsidRDefault="007B736C" w:rsidP="008158F4">
      <w:pPr>
        <w:pStyle w:val="ManualNumPar1"/>
        <w:rPr>
          <w:noProof/>
        </w:rPr>
      </w:pPr>
      <w:r w:rsidRPr="00732D9A">
        <w:rPr>
          <w:noProof/>
        </w:rPr>
        <w:lastRenderedPageBreak/>
        <w:t>3.</w:t>
      </w:r>
      <w:r w:rsidRPr="00732D9A">
        <w:rPr>
          <w:noProof/>
        </w:rPr>
        <w:tab/>
      </w:r>
      <w:r w:rsidRPr="00732D9A">
        <w:rPr>
          <w:rFonts w:ascii="Times" w:hAnsi="Times"/>
          <w:noProof/>
        </w:rPr>
        <w:t>À la suite de la notification visée à l’article 19, paragraphe 1</w:t>
      </w:r>
      <w:r w:rsidRPr="00732D9A">
        <w:rPr>
          <w:noProof/>
        </w:rPr>
        <w:t>, la Commission peut décider de procéder à l’évaluation d’un investissement au sens de l’article 18, paragraphe 4. La Commission peut entreprendre cette évaluation de sa propre initiative, ou à la demande d’une autorité d’investissement traitant une notification, ou d’une autorité d’investissement d’un autre État membre sur lequel l’investissement direct étranger en question aurait une incidence significative.</w:t>
      </w:r>
    </w:p>
    <w:p w14:paraId="5D2AEE77" w14:textId="77777777" w:rsidR="007A72B6" w:rsidRPr="00732D9A" w:rsidRDefault="007A72B6" w:rsidP="00654263">
      <w:pPr>
        <w:pStyle w:val="Text1"/>
        <w:rPr>
          <w:noProof/>
        </w:rPr>
      </w:pPr>
      <w:r w:rsidRPr="00732D9A">
        <w:rPr>
          <w:noProof/>
        </w:rPr>
        <w:t xml:space="preserve">Sur la base de son évaluation, la Commission peut demander à l’autorité d’investissement d’appliquer de manière proportionnée tout ou partie des conditions énoncées à l’article 18, paragraphe 2, de n’en appliquer aucune ou de n’en appliquer que certaines. </w:t>
      </w:r>
    </w:p>
    <w:p w14:paraId="530B2E6F" w14:textId="77777777" w:rsidR="002C29EF" w:rsidRPr="00732D9A" w:rsidRDefault="002C29EF" w:rsidP="009C75F3">
      <w:pPr>
        <w:pStyle w:val="ManualNumPar1"/>
        <w:rPr>
          <w:rFonts w:ascii="Times" w:hAnsi="Times" w:cs="Times"/>
          <w:noProof/>
        </w:rPr>
      </w:pPr>
      <w:r w:rsidRPr="00732D9A">
        <w:rPr>
          <w:noProof/>
        </w:rPr>
        <w:t>4.</w:t>
      </w:r>
      <w:r w:rsidRPr="00732D9A">
        <w:rPr>
          <w:noProof/>
        </w:rPr>
        <w:tab/>
      </w:r>
      <w:r w:rsidRPr="00732D9A">
        <w:rPr>
          <w:rFonts w:ascii="Times" w:hAnsi="Times"/>
          <w:noProof/>
        </w:rPr>
        <w:t>Lorsque la Commission décide d’évaluer l’investissement direct étranger en vertu du présent article</w:t>
      </w:r>
      <w:r w:rsidRPr="00732D9A">
        <w:rPr>
          <w:noProof/>
        </w:rPr>
        <w:t>, les dispositions de l’article 18 s’appliquent, mutatis mutandis, à compter de sa décision de procéder à l’évaluation.</w:t>
      </w:r>
    </w:p>
    <w:p w14:paraId="6F01450B" w14:textId="090EFE44" w:rsidR="006D311E" w:rsidRPr="00732D9A" w:rsidRDefault="006D311E" w:rsidP="006D311E">
      <w:pPr>
        <w:pStyle w:val="Titrearticle"/>
        <w:rPr>
          <w:noProof/>
        </w:rPr>
      </w:pPr>
      <w:r w:rsidRPr="00732D9A">
        <w:rPr>
          <w:noProof/>
        </w:rPr>
        <w:t xml:space="preserve">Article 22 </w:t>
      </w:r>
      <w:r w:rsidRPr="00732D9A">
        <w:rPr>
          <w:noProof/>
        </w:rPr>
        <w:br/>
      </w:r>
      <w:r w:rsidRPr="00732D9A">
        <w:rPr>
          <w:b/>
          <w:i w:val="0"/>
          <w:noProof/>
        </w:rPr>
        <w:t>Surveillance et contrôle de l’application par l’autorité d’investissement</w:t>
      </w:r>
    </w:p>
    <w:p w14:paraId="1EC2A658" w14:textId="77777777" w:rsidR="000572C4" w:rsidRPr="00732D9A" w:rsidRDefault="000572C4" w:rsidP="007234F4">
      <w:pPr>
        <w:pStyle w:val="ManualNumPar1"/>
        <w:rPr>
          <w:noProof/>
        </w:rPr>
      </w:pPr>
      <w:r w:rsidRPr="00732D9A">
        <w:rPr>
          <w:noProof/>
        </w:rPr>
        <w:t>1.</w:t>
      </w:r>
      <w:r w:rsidRPr="00732D9A">
        <w:rPr>
          <w:noProof/>
        </w:rPr>
        <w:tab/>
        <w:t xml:space="preserve">L’autorité d’investissement surveille régulièrement l’investissement direct étranger afin de s’assurer qu’il continue de remplir les conditions énoncées à l’article 18. À cette fin, l’investisseur étranger fait régulièrement rapport à l’autorité d’investissement sur le respect de ces conditions. </w:t>
      </w:r>
    </w:p>
    <w:p w14:paraId="2C742E73" w14:textId="77777777" w:rsidR="006D311E" w:rsidRPr="00732D9A" w:rsidRDefault="006D311E" w:rsidP="007234F4">
      <w:pPr>
        <w:pStyle w:val="ManualNumPar1"/>
        <w:rPr>
          <w:noProof/>
        </w:rPr>
      </w:pPr>
      <w:r w:rsidRPr="00732D9A">
        <w:rPr>
          <w:noProof/>
        </w:rPr>
        <w:t>2.</w:t>
      </w:r>
      <w:r w:rsidRPr="00732D9A">
        <w:rPr>
          <w:noProof/>
        </w:rPr>
        <w:tab/>
        <w:t>À la demande de la Commission, l’autorité d’investissement lui transmet les rapports de l’investisseur présentés conformément au paragraphe 1, accompagnés de sa propre évaluation de chaque rapport.</w:t>
      </w:r>
    </w:p>
    <w:p w14:paraId="0026B943" w14:textId="77777777" w:rsidR="006D311E" w:rsidRPr="00732D9A" w:rsidRDefault="006D311E" w:rsidP="007234F4">
      <w:pPr>
        <w:pStyle w:val="ManualNumPar1"/>
        <w:rPr>
          <w:noProof/>
        </w:rPr>
      </w:pPr>
      <w:r w:rsidRPr="00732D9A">
        <w:rPr>
          <w:noProof/>
        </w:rPr>
        <w:t>3.</w:t>
      </w:r>
      <w:r w:rsidRPr="00732D9A">
        <w:rPr>
          <w:noProof/>
        </w:rPr>
        <w:tab/>
        <w:t xml:space="preserve">L’autorité d’investissement établit des sanctions en cas de non-respect des dispositions du présent chapitre, en particulier lorsque des investisseurs ou des investissements étrangers ne respectent pas les exigences suivantes: </w:t>
      </w:r>
    </w:p>
    <w:p w14:paraId="689DFDC1" w14:textId="77777777" w:rsidR="006D311E" w:rsidRPr="00732D9A" w:rsidRDefault="00EA4C7A" w:rsidP="007234F4">
      <w:pPr>
        <w:pStyle w:val="Point1"/>
        <w:rPr>
          <w:noProof/>
        </w:rPr>
      </w:pPr>
      <w:r w:rsidRPr="00732D9A">
        <w:rPr>
          <w:noProof/>
        </w:rPr>
        <w:t>a)</w:t>
      </w:r>
      <w:r w:rsidRPr="00732D9A">
        <w:rPr>
          <w:noProof/>
        </w:rPr>
        <w:tab/>
        <w:t xml:space="preserve">les exigences en matière de notification prévues à l’article 19;  </w:t>
      </w:r>
    </w:p>
    <w:p w14:paraId="101CBAB9" w14:textId="77777777" w:rsidR="006D311E" w:rsidRPr="00732D9A" w:rsidRDefault="006D311E" w:rsidP="007234F4">
      <w:pPr>
        <w:pStyle w:val="Point1"/>
        <w:rPr>
          <w:noProof/>
        </w:rPr>
      </w:pPr>
      <w:r w:rsidRPr="00732D9A">
        <w:rPr>
          <w:noProof/>
        </w:rPr>
        <w:t>b)</w:t>
      </w:r>
      <w:r w:rsidRPr="00732D9A">
        <w:rPr>
          <w:noProof/>
        </w:rPr>
        <w:tab/>
        <w:t>les conditions fixées à l’article 18;</w:t>
      </w:r>
    </w:p>
    <w:p w14:paraId="3933F265" w14:textId="77777777" w:rsidR="006D311E" w:rsidRPr="00732D9A" w:rsidRDefault="006D311E" w:rsidP="007234F4">
      <w:pPr>
        <w:pStyle w:val="Point1"/>
        <w:rPr>
          <w:noProof/>
        </w:rPr>
      </w:pPr>
      <w:r w:rsidRPr="00732D9A">
        <w:rPr>
          <w:noProof/>
        </w:rPr>
        <w:t>c)</w:t>
      </w:r>
      <w:r w:rsidRPr="00732D9A">
        <w:rPr>
          <w:noProof/>
        </w:rPr>
        <w:tab/>
        <w:t>les obligations de surveillance établies par le présent article.</w:t>
      </w:r>
    </w:p>
    <w:p w14:paraId="18E6E675" w14:textId="77777777" w:rsidR="001B7018" w:rsidRPr="00732D9A" w:rsidRDefault="001B7018" w:rsidP="00D84B2B">
      <w:pPr>
        <w:pStyle w:val="ManualNumPar1"/>
        <w:rPr>
          <w:noProof/>
        </w:rPr>
      </w:pPr>
      <w:r w:rsidRPr="00732D9A">
        <w:rPr>
          <w:noProof/>
        </w:rPr>
        <w:t>4.</w:t>
      </w:r>
      <w:r w:rsidRPr="00732D9A">
        <w:rPr>
          <w:noProof/>
        </w:rPr>
        <w:tab/>
        <w:t>Les astreintes établies par l’autorité d’investissement ne peuvent être inférieures à 5 % du chiffre d’affaires total journalier moyen de l’entreprise procédant à l’investissement étranger dans le cas du manquement visé au paragraphe 3, point a).</w:t>
      </w:r>
    </w:p>
    <w:p w14:paraId="6D23E134" w14:textId="77777777" w:rsidR="00AC397D" w:rsidRPr="00732D9A" w:rsidRDefault="00AC397D" w:rsidP="00397DCF">
      <w:pPr>
        <w:pStyle w:val="Text1"/>
        <w:rPr>
          <w:noProof/>
        </w:rPr>
      </w:pPr>
      <w:r w:rsidRPr="00732D9A">
        <w:rPr>
          <w:noProof/>
        </w:rPr>
        <w:t>Lorsque l’investisseur étranger est un particulier, l’autorité d’investissement fixe une astreinte d’au moins 5 % de la valeur de l’investissement dans le cas du manquement visé au paragraphe 3, point a).</w:t>
      </w:r>
    </w:p>
    <w:p w14:paraId="14838BC4" w14:textId="77777777" w:rsidR="00AC397D" w:rsidRPr="00732D9A" w:rsidRDefault="00AC397D" w:rsidP="00397DCF">
      <w:pPr>
        <w:pStyle w:val="Text1"/>
        <w:rPr>
          <w:noProof/>
        </w:rPr>
      </w:pPr>
      <w:r w:rsidRPr="00732D9A">
        <w:rPr>
          <w:noProof/>
        </w:rPr>
        <w:t>Les astreintes établies par l’autorité d’investissement sont effectives et proportionnées aux manquements prévus au paragraphe 3.</w:t>
      </w:r>
    </w:p>
    <w:p w14:paraId="1595AC0E" w14:textId="77777777" w:rsidR="00AC397D" w:rsidRPr="00732D9A" w:rsidRDefault="00AC397D" w:rsidP="00397DCF">
      <w:pPr>
        <w:pStyle w:val="Text1"/>
        <w:rPr>
          <w:noProof/>
        </w:rPr>
      </w:pPr>
      <w:r w:rsidRPr="00732D9A">
        <w:rPr>
          <w:noProof/>
        </w:rPr>
        <w:t>L’autorité d’investissement informe la Commission, dans les meilleurs délais, de tout manquement visé au paragraphe 3 et des sanctions imposées en conséquence.</w:t>
      </w:r>
    </w:p>
    <w:p w14:paraId="29F6645D" w14:textId="1F3D1FEB" w:rsidR="00542EE6" w:rsidRPr="00732D9A" w:rsidRDefault="00542EE6" w:rsidP="00C54EFF">
      <w:pPr>
        <w:pStyle w:val="Titrearticle"/>
        <w:rPr>
          <w:noProof/>
        </w:rPr>
      </w:pPr>
      <w:r w:rsidRPr="00732D9A">
        <w:rPr>
          <w:noProof/>
        </w:rPr>
        <w:t xml:space="preserve">Article 23 </w:t>
      </w:r>
      <w:r w:rsidRPr="00732D9A">
        <w:rPr>
          <w:noProof/>
        </w:rPr>
        <w:br/>
      </w:r>
      <w:r w:rsidRPr="00732D9A">
        <w:rPr>
          <w:b/>
          <w:i w:val="0"/>
          <w:noProof/>
        </w:rPr>
        <w:t>Surveillance exercée par la Commission</w:t>
      </w:r>
    </w:p>
    <w:p w14:paraId="6C74FE01" w14:textId="77777777" w:rsidR="00542EE6" w:rsidRPr="00732D9A" w:rsidRDefault="00542EE6" w:rsidP="007234F4">
      <w:pPr>
        <w:pStyle w:val="ManualNumPar1"/>
        <w:rPr>
          <w:noProof/>
        </w:rPr>
      </w:pPr>
      <w:r w:rsidRPr="00732D9A">
        <w:rPr>
          <w:noProof/>
        </w:rPr>
        <w:t>1.</w:t>
      </w:r>
      <w:r w:rsidRPr="00732D9A">
        <w:rPr>
          <w:noProof/>
        </w:rPr>
        <w:tab/>
        <w:t xml:space="preserve">Aux fins de l’article 17, la Commission surveille la capacité de production mondiale de chacun des secteurs stratégiques émergents, en s’appuyant sur les activités de </w:t>
      </w:r>
      <w:r w:rsidRPr="00732D9A">
        <w:rPr>
          <w:noProof/>
        </w:rPr>
        <w:lastRenderedPageBreak/>
        <w:t>surveillance existantes réalisées, en particulier en vertu du règlement (UE) 2024/1735.</w:t>
      </w:r>
    </w:p>
    <w:p w14:paraId="5F414B5F" w14:textId="77777777" w:rsidR="00542EE6" w:rsidRPr="00732D9A" w:rsidRDefault="00542EE6" w:rsidP="007B747D">
      <w:pPr>
        <w:pStyle w:val="ManualNumPar1"/>
        <w:rPr>
          <w:noProof/>
        </w:rPr>
      </w:pPr>
      <w:r w:rsidRPr="00732D9A">
        <w:rPr>
          <w:noProof/>
        </w:rPr>
        <w:t>2.</w:t>
      </w:r>
      <w:r w:rsidRPr="00732D9A">
        <w:rPr>
          <w:noProof/>
        </w:rPr>
        <w:tab/>
        <w:t>La Commission fournit et publie, pour chacun des secteurs stratégiques émergents visés à l’article 17, paragraphe 2, des informations actualisées sur l’année la plus récente pour laquelle des données sont disponibles.</w:t>
      </w:r>
    </w:p>
    <w:p w14:paraId="66F561A3" w14:textId="77777777" w:rsidR="008111AA" w:rsidRPr="00732D9A" w:rsidRDefault="008111AA" w:rsidP="00B105F9">
      <w:pPr>
        <w:pStyle w:val="Text1"/>
        <w:rPr>
          <w:noProof/>
        </w:rPr>
      </w:pPr>
      <w:r w:rsidRPr="00732D9A">
        <w:rPr>
          <w:noProof/>
        </w:rPr>
        <w:t>Lorsque la Commission décide d’évaluer l’investissement direct étranger conformément à l’article 21, elle peut, par voie de décision, infliger des sanctions si l’investisseur étranger fournit des informations fausses ou trompeuses dans sa notification, ou s’il ne fournit pas les informations requises pour qu’elle s’acquitte de son obligation d’examen.</w:t>
      </w:r>
    </w:p>
    <w:p w14:paraId="6EAF9A28" w14:textId="77777777" w:rsidR="007D2A92" w:rsidRPr="00732D9A" w:rsidRDefault="008111AA" w:rsidP="00E96B81">
      <w:pPr>
        <w:pStyle w:val="Text1"/>
        <w:rPr>
          <w:noProof/>
        </w:rPr>
      </w:pPr>
      <w:r w:rsidRPr="00732D9A">
        <w:rPr>
          <w:noProof/>
        </w:rPr>
        <w:t xml:space="preserve">Les sanctions infligées par la Commission ne dépassent pas 5 % du chiffre d’affaires journalier moyen de l’investisseur étranger ou, si l’investisseur étranger est un particulier, 5 % de la valeur de l’investissement. </w:t>
      </w:r>
    </w:p>
    <w:p w14:paraId="61B9D89B" w14:textId="06FE2A1B" w:rsidR="004E508B" w:rsidRPr="00732D9A" w:rsidRDefault="004E508B" w:rsidP="004E508B">
      <w:pPr>
        <w:pStyle w:val="Titrearticle"/>
        <w:rPr>
          <w:noProof/>
        </w:rPr>
      </w:pPr>
      <w:r w:rsidRPr="00732D9A">
        <w:rPr>
          <w:noProof/>
        </w:rPr>
        <w:t xml:space="preserve">Article 24 </w:t>
      </w:r>
      <w:r w:rsidRPr="00732D9A">
        <w:rPr>
          <w:noProof/>
        </w:rPr>
        <w:br/>
      </w:r>
      <w:r w:rsidRPr="00732D9A">
        <w:rPr>
          <w:b/>
          <w:i w:val="0"/>
          <w:noProof/>
        </w:rPr>
        <w:t>Délégation de pouvoir</w:t>
      </w:r>
    </w:p>
    <w:p w14:paraId="31B797B0" w14:textId="77777777" w:rsidR="00502316" w:rsidRPr="00732D9A" w:rsidRDefault="00542EE6" w:rsidP="007234F4">
      <w:pPr>
        <w:pStyle w:val="ManualNumPar1"/>
        <w:rPr>
          <w:noProof/>
        </w:rPr>
      </w:pPr>
      <w:r w:rsidRPr="00732D9A">
        <w:rPr>
          <w:noProof/>
        </w:rPr>
        <w:t>1.</w:t>
      </w:r>
      <w:r w:rsidRPr="00732D9A">
        <w:rPr>
          <w:noProof/>
        </w:rPr>
        <w:tab/>
        <w:t>La Commission est habilitée à adopter des actes délégués conformément à l’article 30 du présent règlement afin d’ajouter à la liste des secteurs stratégiques émergents devant être couverts par le présent chapitre les secteurs critiques pour la sécurité économique de l’Union, y compris les technologies «zéro net» énumérées à l’article 4, paragraphe 1, points b), d), e), g), h), j), k), n), p) et s), du règlement (UE) 2024/1735, les technologies du cycle du combustible nucléaire visées à l’article 4, paragraphe 1, point i), du règlement (UE) 2024/1735, les technologies de propulsion électrique pour les transports visées à l’article 4, paragraphe 1, point r), du règlement (UE) 2024/1735, à l’exclusion des technologies numériques, de l’intelligence artificielle, des technologies quantiques et des semi-conducteurs.</w:t>
      </w:r>
    </w:p>
    <w:p w14:paraId="6B430B8F" w14:textId="77777777" w:rsidR="00542EE6" w:rsidRPr="00732D9A" w:rsidRDefault="00502316" w:rsidP="000E49A7">
      <w:pPr>
        <w:pStyle w:val="Text1"/>
        <w:rPr>
          <w:noProof/>
        </w:rPr>
      </w:pPr>
      <w:r w:rsidRPr="00732D9A">
        <w:rPr>
          <w:noProof/>
          <w:color w:val="000000" w:themeColor="text1"/>
        </w:rPr>
        <w:t>Ces actes délégués sont sans préjudice d’autres actes de l’Union établissant des critères d’investissement pour ces secteurs.</w:t>
      </w:r>
    </w:p>
    <w:p w14:paraId="061F57E0" w14:textId="77777777" w:rsidR="00542EE6" w:rsidRPr="00732D9A" w:rsidRDefault="00262BB4" w:rsidP="007234F4">
      <w:pPr>
        <w:pStyle w:val="ManualNumPar1"/>
        <w:rPr>
          <w:noProof/>
        </w:rPr>
      </w:pPr>
      <w:r w:rsidRPr="00732D9A">
        <w:rPr>
          <w:noProof/>
        </w:rPr>
        <w:t>2.</w:t>
      </w:r>
      <w:r w:rsidRPr="00732D9A">
        <w:rPr>
          <w:noProof/>
        </w:rPr>
        <w:tab/>
        <w:t xml:space="preserve">Les actes délégués visés au paragraphe 1 reposent sur les facteurs suivants: </w:t>
      </w:r>
    </w:p>
    <w:p w14:paraId="7B7AE7A4" w14:textId="77777777" w:rsidR="004E508B" w:rsidRPr="00732D9A" w:rsidRDefault="004E508B" w:rsidP="007234F4">
      <w:pPr>
        <w:pStyle w:val="Point1"/>
        <w:rPr>
          <w:noProof/>
        </w:rPr>
      </w:pPr>
      <w:r w:rsidRPr="00732D9A">
        <w:rPr>
          <w:noProof/>
        </w:rPr>
        <w:t>a)</w:t>
      </w:r>
      <w:r w:rsidRPr="00732D9A">
        <w:rPr>
          <w:noProof/>
        </w:rPr>
        <w:tab/>
        <w:t>une évaluation visant à déterminer si la modification de la liste des secteurs stratégiques émergents dissuaderait ou découragerait indûment les investissements directs étrangers dans l’Union;</w:t>
      </w:r>
    </w:p>
    <w:p w14:paraId="3515726B" w14:textId="77777777" w:rsidR="004E508B" w:rsidRPr="00732D9A" w:rsidRDefault="004E508B" w:rsidP="007234F4">
      <w:pPr>
        <w:pStyle w:val="Point1"/>
        <w:rPr>
          <w:noProof/>
        </w:rPr>
      </w:pPr>
      <w:r w:rsidRPr="00732D9A">
        <w:rPr>
          <w:noProof/>
        </w:rPr>
        <w:t>b)</w:t>
      </w:r>
      <w:r w:rsidRPr="00732D9A">
        <w:rPr>
          <w:noProof/>
        </w:rPr>
        <w:tab/>
        <w:t>le nombre d’investissements directs étrangers dans ce secteur, compte tenu de leur contribution à la sécurité d’approvisionnement de l’Union et de leur valeur ajoutée pour l’économie de l’Union;</w:t>
      </w:r>
    </w:p>
    <w:p w14:paraId="12D345D2" w14:textId="77777777" w:rsidR="004E508B" w:rsidRPr="00732D9A" w:rsidRDefault="004E508B" w:rsidP="007234F4">
      <w:pPr>
        <w:pStyle w:val="Point1"/>
        <w:rPr>
          <w:noProof/>
        </w:rPr>
      </w:pPr>
      <w:r w:rsidRPr="00732D9A">
        <w:rPr>
          <w:noProof/>
        </w:rPr>
        <w:t>c)</w:t>
      </w:r>
      <w:r w:rsidRPr="00732D9A">
        <w:rPr>
          <w:noProof/>
        </w:rPr>
        <w:tab/>
        <w:t>la situation et les conditions du marché, y compris les perturbations de la chaîne d’approvisionnement, au niveau de l’Union;</w:t>
      </w:r>
    </w:p>
    <w:p w14:paraId="4E2A3FB0" w14:textId="77777777" w:rsidR="004E508B" w:rsidRPr="00732D9A" w:rsidRDefault="004E508B" w:rsidP="007234F4">
      <w:pPr>
        <w:pStyle w:val="Point1"/>
        <w:rPr>
          <w:noProof/>
        </w:rPr>
      </w:pPr>
      <w:r w:rsidRPr="00732D9A">
        <w:rPr>
          <w:noProof/>
        </w:rPr>
        <w:t>d)</w:t>
      </w:r>
      <w:r w:rsidRPr="00732D9A">
        <w:rPr>
          <w:noProof/>
        </w:rPr>
        <w:tab/>
        <w:t xml:space="preserve">les évolutions technologiques et la compétitivité de l’Union dans ce secteur par rapport aux pays tiers; </w:t>
      </w:r>
    </w:p>
    <w:p w14:paraId="45DA17D5" w14:textId="77777777" w:rsidR="004E508B" w:rsidRPr="00732D9A" w:rsidRDefault="004E508B" w:rsidP="007234F4">
      <w:pPr>
        <w:pStyle w:val="Point1"/>
        <w:rPr>
          <w:noProof/>
        </w:rPr>
      </w:pPr>
      <w:r w:rsidRPr="00732D9A">
        <w:rPr>
          <w:noProof/>
        </w:rPr>
        <w:t>e)</w:t>
      </w:r>
      <w:r w:rsidRPr="00732D9A">
        <w:rPr>
          <w:noProof/>
        </w:rPr>
        <w:tab/>
        <w:t xml:space="preserve">la dépendance de la chaîne d’approvisionnement dans le secteur concerné à l’égard d’un ou de plusieurs pays. </w:t>
      </w:r>
    </w:p>
    <w:p w14:paraId="5AD11880" w14:textId="77777777" w:rsidR="00542EE6" w:rsidRPr="00732D9A" w:rsidRDefault="00542EE6" w:rsidP="007234F4">
      <w:pPr>
        <w:pStyle w:val="ManualNumPar1"/>
        <w:rPr>
          <w:noProof/>
        </w:rPr>
      </w:pPr>
      <w:r w:rsidRPr="00732D9A">
        <w:rPr>
          <w:noProof/>
        </w:rPr>
        <w:t>3.</w:t>
      </w:r>
      <w:r w:rsidRPr="00732D9A">
        <w:rPr>
          <w:noProof/>
        </w:rPr>
        <w:tab/>
        <w:t>Les actes délégués adoptés en vertu du paragraphe 1 contiennent:</w:t>
      </w:r>
    </w:p>
    <w:p w14:paraId="22A5C357" w14:textId="77777777" w:rsidR="000251B5" w:rsidRPr="00732D9A" w:rsidRDefault="00150E2B" w:rsidP="007234F4">
      <w:pPr>
        <w:pStyle w:val="Point1"/>
        <w:rPr>
          <w:noProof/>
        </w:rPr>
      </w:pPr>
      <w:r w:rsidRPr="00732D9A">
        <w:rPr>
          <w:noProof/>
        </w:rPr>
        <w:t>a)</w:t>
      </w:r>
      <w:r w:rsidRPr="00732D9A">
        <w:rPr>
          <w:noProof/>
        </w:rPr>
        <w:tab/>
        <w:t>la valeur seuil visée à l’article 17, paragraphe 1, pour chacun de ces secteurs supplémentaires;</w:t>
      </w:r>
    </w:p>
    <w:p w14:paraId="4C43961B" w14:textId="77777777" w:rsidR="000251B5" w:rsidRPr="00732D9A" w:rsidRDefault="00542EE6" w:rsidP="007234F4">
      <w:pPr>
        <w:pStyle w:val="Point1"/>
        <w:rPr>
          <w:noProof/>
        </w:rPr>
      </w:pPr>
      <w:r w:rsidRPr="00732D9A">
        <w:rPr>
          <w:noProof/>
        </w:rPr>
        <w:lastRenderedPageBreak/>
        <w:t>b)</w:t>
      </w:r>
      <w:r w:rsidRPr="00732D9A">
        <w:rPr>
          <w:noProof/>
        </w:rPr>
        <w:tab/>
        <w:t>si les conditions d’investissement visées à l’article 18 sont appropriées et nécessaires pour atteindre les objectifs du présent règlement en ce qui concerne le secteur concerné et, dans la négative, lequel de ces critères doit être appliqué.</w:t>
      </w:r>
    </w:p>
    <w:p w14:paraId="57E257CF" w14:textId="5FA1F5F8" w:rsidR="00290640" w:rsidRPr="00732D9A" w:rsidRDefault="00652703" w:rsidP="00290640">
      <w:pPr>
        <w:pStyle w:val="ChapterTitle"/>
        <w:rPr>
          <w:noProof/>
        </w:rPr>
      </w:pPr>
      <w:r w:rsidRPr="00732D9A">
        <w:rPr>
          <w:b w:val="0"/>
          <w:noProof/>
        </w:rPr>
        <w:t>CHAPITRE V</w:t>
      </w:r>
      <w:r w:rsidRPr="00732D9A">
        <w:rPr>
          <w:noProof/>
        </w:rPr>
        <w:t xml:space="preserve"> </w:t>
      </w:r>
      <w:r w:rsidRPr="00732D9A">
        <w:rPr>
          <w:noProof/>
        </w:rPr>
        <w:br/>
        <w:t>ZONES D’INDUSTRIALISATION PRIORITAIRE</w:t>
      </w:r>
    </w:p>
    <w:p w14:paraId="214F7D6A" w14:textId="636612B8" w:rsidR="007B49FE" w:rsidRPr="00732D9A" w:rsidRDefault="007B49FE" w:rsidP="007B49FE">
      <w:pPr>
        <w:pStyle w:val="Titrearticle"/>
        <w:rPr>
          <w:b/>
          <w:bCs/>
          <w:i w:val="0"/>
          <w:iCs/>
          <w:noProof/>
        </w:rPr>
      </w:pPr>
      <w:r w:rsidRPr="00732D9A">
        <w:rPr>
          <w:noProof/>
        </w:rPr>
        <w:t xml:space="preserve">Article 25 </w:t>
      </w:r>
      <w:r w:rsidRPr="00732D9A">
        <w:rPr>
          <w:noProof/>
        </w:rPr>
        <w:br/>
      </w:r>
      <w:r w:rsidRPr="00732D9A">
        <w:rPr>
          <w:b/>
          <w:i w:val="0"/>
          <w:noProof/>
        </w:rPr>
        <w:t>Désignation des zones nationales d’industrialisation prioritaire</w:t>
      </w:r>
    </w:p>
    <w:p w14:paraId="018AFD7D" w14:textId="77777777" w:rsidR="00E4323C" w:rsidRPr="00732D9A" w:rsidRDefault="00E4323C" w:rsidP="007234F4">
      <w:pPr>
        <w:pStyle w:val="ManualNumPar1"/>
        <w:rPr>
          <w:noProof/>
        </w:rPr>
      </w:pPr>
      <w:r w:rsidRPr="00732D9A">
        <w:rPr>
          <w:noProof/>
        </w:rPr>
        <w:t>1.</w:t>
      </w:r>
      <w:r w:rsidRPr="00732D9A">
        <w:rPr>
          <w:noProof/>
        </w:rPr>
        <w:tab/>
        <w:t>Les États membres désignent au moins une zone d’industrialisation prioritaire sur leur territoire au plus tard le [OP: prière d’insérer la date correspondant à 12 mois après la date d’entrée en vigueur du présent règlement] afin de regrouper les projets de fabrication industrielle dans un ou plusieurs des secteurs stratégiques énumérés à l’annexe I.</w:t>
      </w:r>
    </w:p>
    <w:p w14:paraId="4C2B5DCE" w14:textId="77777777" w:rsidR="00A0128F" w:rsidRPr="00732D9A" w:rsidRDefault="00A0128F" w:rsidP="007234F4">
      <w:pPr>
        <w:pStyle w:val="ManualNumPar1"/>
        <w:rPr>
          <w:noProof/>
        </w:rPr>
      </w:pPr>
      <w:r w:rsidRPr="00732D9A">
        <w:rPr>
          <w:noProof/>
        </w:rPr>
        <w:t>2.</w:t>
      </w:r>
      <w:r w:rsidRPr="00732D9A">
        <w:rPr>
          <w:noProof/>
        </w:rPr>
        <w:tab/>
        <w:t>Les États membres désignent des zones d’industrialisation prioritaire par voie de décision, sur la base des éléments suivants:</w:t>
      </w:r>
    </w:p>
    <w:p w14:paraId="36BA86EC" w14:textId="77777777" w:rsidR="007B49FE" w:rsidRPr="00732D9A" w:rsidRDefault="007B49FE" w:rsidP="007234F4">
      <w:pPr>
        <w:pStyle w:val="Point1"/>
        <w:rPr>
          <w:noProof/>
        </w:rPr>
      </w:pPr>
      <w:r w:rsidRPr="00732D9A">
        <w:rPr>
          <w:noProof/>
        </w:rPr>
        <w:t>a)</w:t>
      </w:r>
      <w:r w:rsidRPr="00732D9A">
        <w:rPr>
          <w:noProof/>
        </w:rPr>
        <w:tab/>
        <w:t xml:space="preserve">l’incidence de la production de la zone d’industrialisation prioritaire sur la sécurité de l’approvisionnement de l’Union pour les secteurs stratégiques énumérés à l’annexe I; </w:t>
      </w:r>
    </w:p>
    <w:p w14:paraId="2CD6DDEF" w14:textId="77777777" w:rsidR="007B49FE" w:rsidRPr="00732D9A" w:rsidRDefault="007B49FE" w:rsidP="16146D21">
      <w:pPr>
        <w:pStyle w:val="Point1"/>
        <w:rPr>
          <w:noProof/>
        </w:rPr>
      </w:pPr>
      <w:r w:rsidRPr="00732D9A">
        <w:rPr>
          <w:noProof/>
        </w:rPr>
        <w:t>b)</w:t>
      </w:r>
      <w:r w:rsidRPr="00732D9A">
        <w:rPr>
          <w:noProof/>
        </w:rPr>
        <w:tab/>
        <w:t xml:space="preserve">la capacité de la zone d’industrialisation prioritaire à soutenir le déploiement de la capacité de production dans les secteurs stratégiques énumérés à l’annexe I, à renforcer les chaînes de valeur de l’Union et le potentiel d’innovation de l’Union en vue d’accélérer les activités de fabrication industrielle durable, y compris la décarbonation et les pratiques commerciales circulaires, et à favoriser le fonctionnement du marché intérieur, conformément aux projets stratégiques et autres initiatives, y compris les vallées d’accélération «zéro net», menés en vertu d’autres actes législatifs de l’Union; </w:t>
      </w:r>
    </w:p>
    <w:p w14:paraId="4A0CD744" w14:textId="77777777" w:rsidR="002D01CA" w:rsidRPr="00732D9A" w:rsidRDefault="007B49FE" w:rsidP="003E306F">
      <w:pPr>
        <w:pStyle w:val="Point1"/>
        <w:rPr>
          <w:noProof/>
        </w:rPr>
      </w:pPr>
      <w:r w:rsidRPr="00732D9A">
        <w:rPr>
          <w:noProof/>
        </w:rPr>
        <w:t>c)</w:t>
      </w:r>
      <w:r w:rsidRPr="00732D9A">
        <w:rPr>
          <w:noProof/>
        </w:rPr>
        <w:tab/>
        <w:t>le nombre de PME et de petites entreprises à moyenne capitalisation qui bénéficieraient des dispositions du présent chapitre dans la zone d’industrialisation prioritaire;</w:t>
      </w:r>
    </w:p>
    <w:p w14:paraId="69AB2371" w14:textId="77777777" w:rsidR="001D42EF" w:rsidRPr="00732D9A" w:rsidRDefault="00392924" w:rsidP="003E306F">
      <w:pPr>
        <w:pStyle w:val="Point1"/>
        <w:rPr>
          <w:noProof/>
        </w:rPr>
      </w:pPr>
      <w:r w:rsidRPr="00732D9A">
        <w:rPr>
          <w:noProof/>
        </w:rPr>
        <w:t>d)</w:t>
      </w:r>
      <w:r w:rsidRPr="00732D9A">
        <w:rPr>
          <w:noProof/>
        </w:rPr>
        <w:tab/>
        <w:t>le niveau de développement des régions de l’État membre, y compris les zones les moins développées, les régions en transition et les régions en transformation industrielle.</w:t>
      </w:r>
    </w:p>
    <w:p w14:paraId="657B9AC9" w14:textId="77777777" w:rsidR="007B49FE" w:rsidRPr="00732D9A" w:rsidRDefault="00F10B61" w:rsidP="007234F4">
      <w:pPr>
        <w:pStyle w:val="ManualNumPar1"/>
        <w:rPr>
          <w:noProof/>
        </w:rPr>
      </w:pPr>
      <w:r w:rsidRPr="00732D9A">
        <w:rPr>
          <w:noProof/>
        </w:rPr>
        <w:t>3.</w:t>
      </w:r>
      <w:r w:rsidRPr="00732D9A">
        <w:rPr>
          <w:noProof/>
        </w:rPr>
        <w:tab/>
        <w:t xml:space="preserve">Lorsqu’ils désignent des zones d’industrialisation prioritaire, les États membres: </w:t>
      </w:r>
    </w:p>
    <w:p w14:paraId="51EE1112" w14:textId="77777777" w:rsidR="00CC7512" w:rsidRPr="00732D9A" w:rsidRDefault="00CC7512" w:rsidP="007234F4">
      <w:pPr>
        <w:pStyle w:val="Point1"/>
        <w:rPr>
          <w:noProof/>
        </w:rPr>
      </w:pPr>
      <w:r w:rsidRPr="00732D9A">
        <w:rPr>
          <w:noProof/>
        </w:rPr>
        <w:t>a)</w:t>
      </w:r>
      <w:r w:rsidRPr="00732D9A">
        <w:rPr>
          <w:noProof/>
        </w:rPr>
        <w:tab/>
        <w:t xml:space="preserve">définissent une portée géographique claire pour la zone d’industrialisation prioritaire; </w:t>
      </w:r>
    </w:p>
    <w:p w14:paraId="3511C9A3" w14:textId="77777777" w:rsidR="007B49FE" w:rsidRPr="00732D9A" w:rsidRDefault="00F10B61" w:rsidP="007234F4">
      <w:pPr>
        <w:pStyle w:val="Point1"/>
        <w:rPr>
          <w:noProof/>
        </w:rPr>
      </w:pPr>
      <w:r w:rsidRPr="00732D9A">
        <w:rPr>
          <w:noProof/>
        </w:rPr>
        <w:t>b)</w:t>
      </w:r>
      <w:r w:rsidRPr="00732D9A">
        <w:rPr>
          <w:noProof/>
        </w:rPr>
        <w:tab/>
        <w:t>choisissent en priorité des sites sur lesquels le déploiement de projets de fabrication industrielle, dans un ou plusieurs secteurs spécifiques, ne devrait pas avoir d’incidences notables sur l’environnement;</w:t>
      </w:r>
    </w:p>
    <w:p w14:paraId="067153DA" w14:textId="360694DC" w:rsidR="00D13761" w:rsidRPr="00732D9A" w:rsidRDefault="00203F9F" w:rsidP="007234F4">
      <w:pPr>
        <w:pStyle w:val="Point1"/>
        <w:rPr>
          <w:noProof/>
        </w:rPr>
      </w:pPr>
      <w:r w:rsidRPr="00732D9A">
        <w:rPr>
          <w:noProof/>
        </w:rPr>
        <w:t>c)</w:t>
      </w:r>
      <w:r w:rsidRPr="00732D9A">
        <w:rPr>
          <w:noProof/>
        </w:rPr>
        <w:tab/>
        <w:t>choisissent en priorité des sites en dehors du réseau Natura</w:t>
      </w:r>
      <w:r w:rsidR="00980FE6">
        <w:rPr>
          <w:noProof/>
        </w:rPr>
        <w:t> </w:t>
      </w:r>
      <w:r w:rsidRPr="00732D9A">
        <w:rPr>
          <w:noProof/>
        </w:rPr>
        <w:t>2000 et en dehors des zones désignées dans le cadre des régimes nationaux en faveur de la conservation de la nature et de la biodiversité, ainsi que d’autres zones recensées sur la base de cartes de sensibilité, et en dehors des zones protégées visées à l’article 6 de la directive 2000/60/CE;</w:t>
      </w:r>
    </w:p>
    <w:p w14:paraId="44AA794F" w14:textId="77777777" w:rsidR="009667D9" w:rsidRPr="00732D9A" w:rsidRDefault="009667D9" w:rsidP="007234F4">
      <w:pPr>
        <w:pStyle w:val="Point1"/>
        <w:rPr>
          <w:noProof/>
        </w:rPr>
      </w:pPr>
      <w:r w:rsidRPr="00732D9A">
        <w:rPr>
          <w:noProof/>
        </w:rPr>
        <w:lastRenderedPageBreak/>
        <w:t>d)</w:t>
      </w:r>
      <w:r w:rsidRPr="00732D9A">
        <w:rPr>
          <w:noProof/>
        </w:rPr>
        <w:tab/>
        <w:t>tiennent compte des risques climatiques dans les zones désignées;</w:t>
      </w:r>
    </w:p>
    <w:p w14:paraId="5AFC9E7E" w14:textId="77777777" w:rsidR="007B49FE" w:rsidRPr="00732D9A" w:rsidRDefault="007B49FE" w:rsidP="007234F4">
      <w:pPr>
        <w:pStyle w:val="Point1"/>
        <w:rPr>
          <w:noProof/>
        </w:rPr>
      </w:pPr>
      <w:r w:rsidRPr="00732D9A">
        <w:rPr>
          <w:noProof/>
        </w:rPr>
        <w:t>e)</w:t>
      </w:r>
      <w:r w:rsidRPr="00732D9A">
        <w:rPr>
          <w:noProof/>
        </w:rPr>
        <w:tab/>
        <w:t>accordent la priorité aux surfaces artificielles et bâties, aux sites industriels et aux friches industrielles, ainsi qu’aux projets stratégiques déjà recensés au titre d’autres actes législatifs de l’Union.</w:t>
      </w:r>
    </w:p>
    <w:p w14:paraId="28593CF7" w14:textId="77777777" w:rsidR="007B49FE" w:rsidRPr="00732D9A" w:rsidRDefault="00CC453A" w:rsidP="007234F4">
      <w:pPr>
        <w:pStyle w:val="ManualNumPar1"/>
        <w:rPr>
          <w:noProof/>
        </w:rPr>
      </w:pPr>
      <w:r w:rsidRPr="00732D9A">
        <w:rPr>
          <w:noProof/>
        </w:rPr>
        <w:t>4.</w:t>
      </w:r>
      <w:r w:rsidRPr="00732D9A">
        <w:rPr>
          <w:noProof/>
        </w:rPr>
        <w:tab/>
        <w:t>Lorsqu’ils désignent des zones d’industrialisation prioritaire, les États membres tiennent compte, selon le cas, des considérations suivantes:</w:t>
      </w:r>
    </w:p>
    <w:p w14:paraId="02848682" w14:textId="77777777" w:rsidR="007B49FE" w:rsidRPr="00732D9A" w:rsidRDefault="007B49FE" w:rsidP="007234F4">
      <w:pPr>
        <w:pStyle w:val="Point1"/>
        <w:rPr>
          <w:noProof/>
        </w:rPr>
      </w:pPr>
      <w:r w:rsidRPr="00732D9A">
        <w:rPr>
          <w:noProof/>
        </w:rPr>
        <w:t>a)</w:t>
      </w:r>
      <w:r w:rsidRPr="00732D9A">
        <w:rPr>
          <w:noProof/>
        </w:rPr>
        <w:tab/>
        <w:t>les besoins en infrastructures de la zone d’industrialisation prioritaire;</w:t>
      </w:r>
    </w:p>
    <w:p w14:paraId="3128D43D" w14:textId="77777777" w:rsidR="007B49FE" w:rsidRPr="00732D9A" w:rsidRDefault="007B49FE" w:rsidP="007234F4">
      <w:pPr>
        <w:pStyle w:val="Point1"/>
        <w:rPr>
          <w:noProof/>
        </w:rPr>
      </w:pPr>
      <w:r w:rsidRPr="00732D9A">
        <w:rPr>
          <w:noProof/>
        </w:rPr>
        <w:t>b)</w:t>
      </w:r>
      <w:r w:rsidRPr="00732D9A">
        <w:rPr>
          <w:noProof/>
        </w:rPr>
        <w:tab/>
        <w:t>les besoins de financement de l’industrie manufacturière dans la zone d’industrialisation prioritaire et la possibilité de soutenir cette industrie, le cas échéant, conformément aux règles applicables en matière d’aides d’État;</w:t>
      </w:r>
    </w:p>
    <w:p w14:paraId="0662E5AF" w14:textId="77777777" w:rsidR="007B49FE" w:rsidRPr="00732D9A" w:rsidRDefault="007B49FE" w:rsidP="007234F4">
      <w:pPr>
        <w:pStyle w:val="Point1"/>
        <w:rPr>
          <w:noProof/>
        </w:rPr>
      </w:pPr>
      <w:r w:rsidRPr="00732D9A">
        <w:rPr>
          <w:noProof/>
        </w:rPr>
        <w:t>c)</w:t>
      </w:r>
      <w:r w:rsidRPr="00732D9A">
        <w:rPr>
          <w:noProof/>
        </w:rPr>
        <w:tab/>
        <w:t>les besoins liés à la chaîne d’approvisionnement dans la zone d’industrialisation prioritaire et les matériaux essentiels, en particulier les matériaux secondaires, nécessaires aux activités de production;</w:t>
      </w:r>
    </w:p>
    <w:p w14:paraId="1B121390" w14:textId="77777777" w:rsidR="007B49FE" w:rsidRPr="00732D9A" w:rsidRDefault="007B49FE" w:rsidP="007234F4">
      <w:pPr>
        <w:pStyle w:val="Point1"/>
        <w:rPr>
          <w:noProof/>
        </w:rPr>
      </w:pPr>
      <w:r w:rsidRPr="00732D9A">
        <w:rPr>
          <w:noProof/>
        </w:rPr>
        <w:t>d)</w:t>
      </w:r>
      <w:r w:rsidRPr="00732D9A">
        <w:rPr>
          <w:noProof/>
        </w:rPr>
        <w:tab/>
        <w:t xml:space="preserve">la faisabilité du raccordement de la zone d’industrialisation prioritaire à un approvisionnement énergétique à faible intensité de carbone suffisant pour permettre l’accélération de l’activité de fabrication industrielle; </w:t>
      </w:r>
    </w:p>
    <w:p w14:paraId="1F853C81" w14:textId="77777777" w:rsidR="007B49FE" w:rsidRPr="00732D9A" w:rsidRDefault="007B49FE" w:rsidP="007234F4">
      <w:pPr>
        <w:pStyle w:val="Point1"/>
        <w:rPr>
          <w:noProof/>
        </w:rPr>
      </w:pPr>
      <w:r w:rsidRPr="00732D9A">
        <w:rPr>
          <w:noProof/>
        </w:rPr>
        <w:t>e)</w:t>
      </w:r>
      <w:r w:rsidRPr="00732D9A">
        <w:rPr>
          <w:noProof/>
        </w:rPr>
        <w:tab/>
        <w:t>les besoins en compétences, les pénuries, les tendances en matière d’emploi et les mesures de soutien visant à réaliser la reconversion et le perfectionnement professionnels adéquats de la main-d’œuvre locale;</w:t>
      </w:r>
    </w:p>
    <w:p w14:paraId="556ED563" w14:textId="77777777" w:rsidR="007B49FE" w:rsidRPr="00732D9A" w:rsidRDefault="007B49FE" w:rsidP="007234F4">
      <w:pPr>
        <w:pStyle w:val="Point1"/>
        <w:rPr>
          <w:noProof/>
        </w:rPr>
      </w:pPr>
      <w:r w:rsidRPr="00732D9A">
        <w:rPr>
          <w:noProof/>
        </w:rPr>
        <w:t>f)</w:t>
      </w:r>
      <w:r w:rsidRPr="00732D9A">
        <w:rPr>
          <w:noProof/>
        </w:rPr>
        <w:tab/>
        <w:t>la nécessité, le cas échéant, de dépolluer la zone d’industrialisation prioritaire afin de faciliter le lancement de nouvelles activités industrielles;</w:t>
      </w:r>
    </w:p>
    <w:p w14:paraId="17FD1D78" w14:textId="77777777" w:rsidR="007B49FE" w:rsidRPr="00732D9A" w:rsidRDefault="007B49FE" w:rsidP="007234F4">
      <w:pPr>
        <w:pStyle w:val="Point1"/>
        <w:rPr>
          <w:noProof/>
        </w:rPr>
      </w:pPr>
      <w:r w:rsidRPr="00732D9A">
        <w:rPr>
          <w:noProof/>
        </w:rPr>
        <w:t>g)</w:t>
      </w:r>
      <w:r w:rsidRPr="00732D9A">
        <w:rPr>
          <w:noProof/>
        </w:rPr>
        <w:tab/>
        <w:t>les besoins en matière de recherche et d’innovation pour accélérer l’activité de fabrication industrielle dans la région;</w:t>
      </w:r>
    </w:p>
    <w:p w14:paraId="64604AA6" w14:textId="77777777" w:rsidR="00064542" w:rsidRPr="00732D9A" w:rsidRDefault="00064542" w:rsidP="007234F4">
      <w:pPr>
        <w:pStyle w:val="Point1"/>
        <w:rPr>
          <w:noProof/>
        </w:rPr>
      </w:pPr>
      <w:r w:rsidRPr="00732D9A">
        <w:rPr>
          <w:noProof/>
        </w:rPr>
        <w:t>h)</w:t>
      </w:r>
      <w:r w:rsidRPr="00732D9A">
        <w:rPr>
          <w:noProof/>
        </w:rPr>
        <w:tab/>
        <w:t>les informations pertinentes propres au site rendues publiques par le secteur industriel, y compris les plans d’entreprise pour la transition climatique, les objectifs et actions connexes, les besoins d’investissement et les cadres d’action favorables requis.</w:t>
      </w:r>
    </w:p>
    <w:p w14:paraId="5D1CBC23" w14:textId="77777777" w:rsidR="004D5305" w:rsidRPr="00732D9A" w:rsidRDefault="004D5305" w:rsidP="007234F4">
      <w:pPr>
        <w:pStyle w:val="ManualNumPar1"/>
        <w:rPr>
          <w:noProof/>
        </w:rPr>
      </w:pPr>
      <w:r w:rsidRPr="00732D9A">
        <w:rPr>
          <w:noProof/>
        </w:rPr>
        <w:t>5.</w:t>
      </w:r>
      <w:r w:rsidRPr="00732D9A">
        <w:rPr>
          <w:noProof/>
        </w:rPr>
        <w:tab/>
        <w:t>Avant leur adoption, les plans ou programmes relatifs à la désignation des zones d’industrialisation prioritaire font l’objet d’une évaluation environnementale en application de la directive 2001/42/CE du Parlement européen et du Conseil</w:t>
      </w:r>
      <w:r w:rsidRPr="00732D9A">
        <w:rPr>
          <w:rStyle w:val="FootnoteReference"/>
          <w:noProof/>
        </w:rPr>
        <w:footnoteReference w:id="63"/>
      </w:r>
      <w:r w:rsidRPr="00732D9A">
        <w:rPr>
          <w:noProof/>
        </w:rPr>
        <w:t xml:space="preserve"> et, s’ils sont susceptibles d’avoir une incidence notable sur des sites Natura 2000, d’une évaluation appropriée en application de l’article 6, paragraphe 3, de la directive 92/43/CEE du Conseil</w:t>
      </w:r>
      <w:r w:rsidRPr="00732D9A">
        <w:rPr>
          <w:rStyle w:val="FootnoteReference"/>
          <w:noProof/>
          <w:szCs w:val="24"/>
        </w:rPr>
        <w:footnoteReference w:id="64"/>
      </w:r>
      <w:r w:rsidRPr="00732D9A">
        <w:rPr>
          <w:noProof/>
        </w:rPr>
        <w:t xml:space="preserve"> et, le cas échéant, d’une évaluation appropriée au titre de l’article 4, paragraphe 7, de la directive 2000/60/CE du Parlement européen et du Conseil</w:t>
      </w:r>
      <w:r w:rsidRPr="00732D9A">
        <w:rPr>
          <w:rStyle w:val="FootnoteReference"/>
          <w:noProof/>
          <w:szCs w:val="24"/>
        </w:rPr>
        <w:footnoteReference w:id="65"/>
      </w:r>
      <w:r w:rsidRPr="00732D9A">
        <w:rPr>
          <w:noProof/>
        </w:rPr>
        <w:t>.</w:t>
      </w:r>
    </w:p>
    <w:p w14:paraId="326A71E4" w14:textId="77777777" w:rsidR="00F044CD" w:rsidRPr="00732D9A" w:rsidRDefault="00F044CD" w:rsidP="007234F4">
      <w:pPr>
        <w:pStyle w:val="ManualNumPar1"/>
        <w:rPr>
          <w:noProof/>
        </w:rPr>
      </w:pPr>
      <w:r w:rsidRPr="00732D9A">
        <w:rPr>
          <w:noProof/>
        </w:rPr>
        <w:lastRenderedPageBreak/>
        <w:t>6.</w:t>
      </w:r>
      <w:r w:rsidRPr="00732D9A">
        <w:rPr>
          <w:noProof/>
        </w:rPr>
        <w:tab/>
        <w:t>Les États membres informent la Commission de la désignation d’une zone d’industrialisation prioritaire dans un délai de 30 jours à compter de l’adoption de la décision correspondante.</w:t>
      </w:r>
    </w:p>
    <w:p w14:paraId="38A0163D" w14:textId="5DE8FEB3" w:rsidR="007B49FE" w:rsidRPr="00732D9A" w:rsidRDefault="007B49FE" w:rsidP="007B49FE">
      <w:pPr>
        <w:pStyle w:val="Titrearticle"/>
        <w:rPr>
          <w:noProof/>
        </w:rPr>
      </w:pPr>
      <w:r w:rsidRPr="00732D9A">
        <w:rPr>
          <w:noProof/>
        </w:rPr>
        <w:t xml:space="preserve">Article 26 </w:t>
      </w:r>
      <w:r w:rsidRPr="00732D9A">
        <w:rPr>
          <w:noProof/>
        </w:rPr>
        <w:br/>
      </w:r>
      <w:r w:rsidRPr="00732D9A">
        <w:rPr>
          <w:b/>
          <w:i w:val="0"/>
          <w:noProof/>
        </w:rPr>
        <w:t>Conditions favorisantes</w:t>
      </w:r>
    </w:p>
    <w:p w14:paraId="7081F6E7" w14:textId="77777777" w:rsidR="00064CCF" w:rsidRPr="00732D9A" w:rsidRDefault="00064CCF" w:rsidP="00C20EF9">
      <w:pPr>
        <w:pStyle w:val="NumPar11"/>
        <w:rPr>
          <w:noProof/>
        </w:rPr>
      </w:pPr>
      <w:r w:rsidRPr="00732D9A">
        <w:rPr>
          <w:noProof/>
        </w:rPr>
        <w:t>Les États membres prennent les mesures suivantes, selon le cas, pour faciliter le développement des zones d’industrialisation prioritaire:</w:t>
      </w:r>
    </w:p>
    <w:p w14:paraId="44E9E677" w14:textId="77777777" w:rsidR="007B49FE" w:rsidRPr="00732D9A" w:rsidRDefault="007B49FE" w:rsidP="007234F4">
      <w:pPr>
        <w:pStyle w:val="Point1"/>
        <w:rPr>
          <w:noProof/>
        </w:rPr>
      </w:pPr>
      <w:r w:rsidRPr="00732D9A">
        <w:rPr>
          <w:noProof/>
        </w:rPr>
        <w:t>a)</w:t>
      </w:r>
      <w:r w:rsidRPr="00732D9A">
        <w:rPr>
          <w:noProof/>
        </w:rPr>
        <w:tab/>
        <w:t>faciliter le financement de projets dans les zones d’industrialisation prioritaire en assurant la coordination entre les autorités et en rationalisant les procédures internes, en synergie avec les programmes de l’Union et conformément, le cas échéant, aux règles existantes en matière d’aides d’État, en tenant compte de la participation des PME et des petites entreprises à moyenne capitalisation;</w:t>
      </w:r>
    </w:p>
    <w:p w14:paraId="5C3B4875" w14:textId="77777777" w:rsidR="007C2A9A" w:rsidRPr="00732D9A" w:rsidRDefault="007C598B" w:rsidP="007234F4">
      <w:pPr>
        <w:pStyle w:val="Point1"/>
        <w:rPr>
          <w:noProof/>
        </w:rPr>
      </w:pPr>
      <w:r w:rsidRPr="00732D9A">
        <w:rPr>
          <w:noProof/>
        </w:rPr>
        <w:t>b)</w:t>
      </w:r>
      <w:r w:rsidRPr="00732D9A">
        <w:rPr>
          <w:noProof/>
        </w:rPr>
        <w:tab/>
        <w:t xml:space="preserve">promouvoir les investissements dans la recherche et l’innovation afin de renforcer le potentiel d’innovation ainsi que la compétitivité et la primauté technologique de l’Union dans les zones d’industrialisation prioritaire; </w:t>
      </w:r>
    </w:p>
    <w:p w14:paraId="6957998D" w14:textId="77777777" w:rsidR="00A65496" w:rsidRPr="00732D9A" w:rsidRDefault="007B49FE" w:rsidP="007234F4">
      <w:pPr>
        <w:pStyle w:val="Point1"/>
        <w:rPr>
          <w:noProof/>
        </w:rPr>
      </w:pPr>
      <w:r w:rsidRPr="00732D9A">
        <w:rPr>
          <w:noProof/>
        </w:rPr>
        <w:t>c)</w:t>
      </w:r>
      <w:r w:rsidRPr="00732D9A">
        <w:rPr>
          <w:noProof/>
        </w:rPr>
        <w:tab/>
        <w:t xml:space="preserve">réaliser une analyse complète des besoins énergétiques de chaque zone d’industrialisation prioritaire et procéder à son réexamen tous les trois ans, et identifier les capacités des infrastructures énergétiques nécessaires au bon fonctionnement et au développement de projets de fabrication industrielle dans la zone d’industrialisation prioritaire. </w:t>
      </w:r>
    </w:p>
    <w:p w14:paraId="60AAA963" w14:textId="77777777" w:rsidR="007B49FE" w:rsidRPr="00732D9A" w:rsidRDefault="00376D09" w:rsidP="00EC53F7">
      <w:pPr>
        <w:pStyle w:val="Text2"/>
        <w:rPr>
          <w:noProof/>
        </w:rPr>
      </w:pPr>
      <w:r w:rsidRPr="00732D9A">
        <w:rPr>
          <w:noProof/>
        </w:rPr>
        <w:t>Cette analyse est effectuée au minimum lors de la désignation de la zone d’industrialisation prioritaire, puis aux étapes intermédiaires (2030, 2040 et 2050), afin de garantir l’alignement sur la trajectoire de décarbonation de l’Union;</w:t>
      </w:r>
    </w:p>
    <w:p w14:paraId="0E311BC7" w14:textId="77777777" w:rsidR="007B49FE" w:rsidRPr="00732D9A" w:rsidRDefault="007B49FE" w:rsidP="007234F4">
      <w:pPr>
        <w:pStyle w:val="Point1"/>
        <w:rPr>
          <w:noProof/>
        </w:rPr>
      </w:pPr>
      <w:r w:rsidRPr="00732D9A">
        <w:rPr>
          <w:noProof/>
        </w:rPr>
        <w:t>d)</w:t>
      </w:r>
      <w:r w:rsidRPr="00732D9A">
        <w:rPr>
          <w:noProof/>
        </w:rPr>
        <w:tab/>
        <w:t>veiller à ce que les plans de développement du réseau élaborés par les gestionnaires de réseau de transport en application de l’article 51 de la directive (UE) 2019/944 du Parlement européen et du Conseil</w:t>
      </w:r>
      <w:r w:rsidRPr="00732D9A">
        <w:rPr>
          <w:rStyle w:val="FootnoteReference"/>
          <w:noProof/>
        </w:rPr>
        <w:footnoteReference w:id="66"/>
      </w:r>
      <w:r w:rsidRPr="00732D9A">
        <w:rPr>
          <w:noProof/>
        </w:rPr>
        <w:t xml:space="preserve"> et par les gestionnaires de réseau de distribution en application de l’article 32 de ladite directive tiennent dûment compte de l’analyse réalisée en vertu du point c) du présent paragraphe, en tenant compte de la capacité des investissements anticipatifs à répondre aux besoins futurs du réseau;</w:t>
      </w:r>
    </w:p>
    <w:p w14:paraId="0D03487C" w14:textId="77777777" w:rsidR="007B49FE" w:rsidRPr="00732D9A" w:rsidRDefault="007B49FE" w:rsidP="64B75934">
      <w:pPr>
        <w:pStyle w:val="Point1"/>
        <w:rPr>
          <w:noProof/>
        </w:rPr>
      </w:pPr>
      <w:r w:rsidRPr="00732D9A">
        <w:rPr>
          <w:noProof/>
        </w:rPr>
        <w:t>e)</w:t>
      </w:r>
      <w:r w:rsidRPr="00732D9A">
        <w:rPr>
          <w:noProof/>
        </w:rPr>
        <w:tab/>
        <w:t>échanger des informations sur les chaînes d’approvisionnement pertinentes, recenser les goulets d’étranglement potentiels et renforcer la coordination entre les zones d’industrialisation prioritaire sur les questions relatives aux matières premières critiques dans le cadre des travaux du comité européen des matières premières critiques institué par l’article 35 du règlement (UE) 2024/1252;</w:t>
      </w:r>
    </w:p>
    <w:p w14:paraId="52007072" w14:textId="77777777" w:rsidR="007B49FE" w:rsidRPr="00732D9A" w:rsidRDefault="007B49FE" w:rsidP="007234F4">
      <w:pPr>
        <w:pStyle w:val="Point1"/>
        <w:rPr>
          <w:noProof/>
        </w:rPr>
      </w:pPr>
      <w:r w:rsidRPr="00732D9A">
        <w:rPr>
          <w:noProof/>
        </w:rPr>
        <w:t>f)</w:t>
      </w:r>
      <w:r w:rsidRPr="00732D9A">
        <w:rPr>
          <w:noProof/>
        </w:rPr>
        <w:tab/>
        <w:t>promouvoir les entités établies dans les zones d’industrialisation prioritaire et faciliter leur participation, le cas échéant, au mécanisme d’achats communs établi par l’article 25 du règlement (UE) 2024/1252, y compris en fournissant des orientations, un soutien et des informations afin de garantir un engagement effectif;</w:t>
      </w:r>
    </w:p>
    <w:p w14:paraId="75E6B67A" w14:textId="77777777" w:rsidR="007B49FE" w:rsidRPr="00732D9A" w:rsidRDefault="007B49FE" w:rsidP="007234F4">
      <w:pPr>
        <w:pStyle w:val="Point1"/>
        <w:rPr>
          <w:noProof/>
        </w:rPr>
      </w:pPr>
      <w:r w:rsidRPr="00732D9A">
        <w:rPr>
          <w:noProof/>
        </w:rPr>
        <w:lastRenderedPageBreak/>
        <w:t>g)</w:t>
      </w:r>
      <w:r w:rsidRPr="00732D9A">
        <w:rPr>
          <w:noProof/>
        </w:rPr>
        <w:tab/>
        <w:t xml:space="preserve">soutenir le développement et favoriser la disponibilité d’une main-d’œuvre hautement qualifiée, et offrir des possibilités appropriées de formation et d’apprentissage, en vue de contribuer à la création d’emplois de qualité dans les zones d’industrialisation prioritaire; </w:t>
      </w:r>
    </w:p>
    <w:p w14:paraId="2EF36A32" w14:textId="77777777" w:rsidR="007B49FE" w:rsidRPr="00732D9A" w:rsidRDefault="007B49FE" w:rsidP="007234F4">
      <w:pPr>
        <w:pStyle w:val="Point1"/>
        <w:rPr>
          <w:noProof/>
        </w:rPr>
      </w:pPr>
      <w:r w:rsidRPr="00732D9A">
        <w:rPr>
          <w:noProof/>
        </w:rPr>
        <w:t>h)</w:t>
      </w:r>
      <w:r w:rsidRPr="00732D9A">
        <w:rPr>
          <w:noProof/>
        </w:rPr>
        <w:tab/>
        <w:t>échanger des informations sur les compétences nécessaires, les pénuries potentielles de ces compétences et les bonnes pratiques appliquées dans les zones d’industrialisation prioritaire dans le cadre des travaux du groupe d’experts du forum industriel institué par la communication COM/2020/102</w:t>
      </w:r>
      <w:r w:rsidRPr="00732D9A">
        <w:rPr>
          <w:rStyle w:val="FootnoteReference"/>
          <w:noProof/>
        </w:rPr>
        <w:footnoteReference w:id="67"/>
      </w:r>
      <w:r w:rsidRPr="00732D9A">
        <w:rPr>
          <w:noProof/>
        </w:rPr>
        <w:t xml:space="preserve">; </w:t>
      </w:r>
    </w:p>
    <w:p w14:paraId="4B3DCE04" w14:textId="77777777" w:rsidR="007B49FE" w:rsidRPr="00732D9A" w:rsidRDefault="007B49FE" w:rsidP="007234F4">
      <w:pPr>
        <w:pStyle w:val="Point1"/>
        <w:rPr>
          <w:noProof/>
        </w:rPr>
      </w:pPr>
      <w:r w:rsidRPr="00732D9A">
        <w:rPr>
          <w:noProof/>
        </w:rPr>
        <w:t>i)</w:t>
      </w:r>
      <w:r w:rsidRPr="00732D9A">
        <w:rPr>
          <w:noProof/>
        </w:rPr>
        <w:tab/>
        <w:t>assurer des synergies et promouvoir les avantages prévus par le pacte pour les compétences</w:t>
      </w:r>
      <w:r w:rsidRPr="00732D9A">
        <w:rPr>
          <w:rStyle w:val="FootnoteReference"/>
          <w:noProof/>
        </w:rPr>
        <w:footnoteReference w:id="68"/>
      </w:r>
      <w:r w:rsidRPr="00732D9A">
        <w:rPr>
          <w:noProof/>
        </w:rPr>
        <w:t xml:space="preserve"> ou les entités établies dans les zones d’industrialisation prioritaire, en accordant une attention particulière aux partenariats régionaux et à grande échelle en matière de compétences qui y sont inclus.</w:t>
      </w:r>
    </w:p>
    <w:p w14:paraId="1D153EBB" w14:textId="4E7FFB68" w:rsidR="007B49FE" w:rsidRPr="00732D9A" w:rsidRDefault="007B49FE" w:rsidP="007B49FE">
      <w:pPr>
        <w:pStyle w:val="Titrearticle"/>
        <w:rPr>
          <w:b/>
          <w:bCs/>
          <w:i w:val="0"/>
          <w:iCs/>
          <w:noProof/>
        </w:rPr>
      </w:pPr>
      <w:r w:rsidRPr="00732D9A">
        <w:rPr>
          <w:noProof/>
        </w:rPr>
        <w:t xml:space="preserve">Article 27 </w:t>
      </w:r>
      <w:r w:rsidRPr="00732D9A">
        <w:rPr>
          <w:noProof/>
        </w:rPr>
        <w:br/>
      </w:r>
      <w:r w:rsidRPr="00732D9A">
        <w:rPr>
          <w:b/>
          <w:i w:val="0"/>
          <w:noProof/>
        </w:rPr>
        <w:t>Procédures d’octroi de permis dans les zones d’industrialisation prioritaire</w:t>
      </w:r>
    </w:p>
    <w:p w14:paraId="53144627" w14:textId="77777777" w:rsidR="00A30502" w:rsidRPr="00732D9A" w:rsidRDefault="00A30502" w:rsidP="007234F4">
      <w:pPr>
        <w:pStyle w:val="ManualNumPar1"/>
        <w:rPr>
          <w:noProof/>
        </w:rPr>
      </w:pPr>
      <w:r w:rsidRPr="00732D9A">
        <w:rPr>
          <w:noProof/>
        </w:rPr>
        <w:t>1.</w:t>
      </w:r>
      <w:r w:rsidRPr="00732D9A">
        <w:rPr>
          <w:noProof/>
        </w:rPr>
        <w:tab/>
        <w:t>Pour chaque zone d’industrialisation prioritaire désignée, les États membres élaborent et délivrent un permis global de référence autorisant les activités industrielles menées dans cette zone. Ce permis global de référence couvre les permis et autorisations administratives requis pour les projets de fabrication industrielle menés dans la zone d’accélération, à l’exclusion des permis propres à certaines installations.</w:t>
      </w:r>
    </w:p>
    <w:p w14:paraId="4BD4252D" w14:textId="77777777" w:rsidR="00A30502" w:rsidRPr="00732D9A" w:rsidRDefault="008C3762" w:rsidP="007234F4">
      <w:pPr>
        <w:pStyle w:val="ManualNumPar1"/>
        <w:rPr>
          <w:noProof/>
        </w:rPr>
      </w:pPr>
      <w:r w:rsidRPr="00732D9A">
        <w:rPr>
          <w:noProof/>
        </w:rPr>
        <w:t>2.</w:t>
      </w:r>
      <w:r w:rsidRPr="00732D9A">
        <w:rPr>
          <w:noProof/>
        </w:rPr>
        <w:tab/>
        <w:t>Avant de délivrer le permis global de référence visé au paragraphe 1, les États membres effectuent toutes les évaluations nécessaires, y compris les évaluations environnementales, les procédures de planification et les évaluations pertinentes applicables au niveau de la zone d’industrialisation prioritaire. Les États membres tiennent compte de l’évaluation effectuée au titre de l’article 25, paragraphe 5.</w:t>
      </w:r>
    </w:p>
    <w:p w14:paraId="24A3157A" w14:textId="77777777" w:rsidR="00A30502" w:rsidRPr="00732D9A" w:rsidRDefault="00A30502" w:rsidP="007234F4">
      <w:pPr>
        <w:pStyle w:val="ManualNumPar1"/>
        <w:rPr>
          <w:noProof/>
        </w:rPr>
      </w:pPr>
      <w:r w:rsidRPr="00732D9A">
        <w:rPr>
          <w:noProof/>
        </w:rPr>
        <w:t>3.</w:t>
      </w:r>
      <w:r w:rsidRPr="00732D9A">
        <w:rPr>
          <w:noProof/>
        </w:rPr>
        <w:tab/>
        <w:t>Pour les projets de fabrication industrielle menés dans une zone d’industrialisation prioritaire, il n’est nécessaire d’obtenir que les permis ou autorisations supplémentaires qui ne relèvent pas du champ d’application du permis global de référence visé au paragraphe 1.</w:t>
      </w:r>
    </w:p>
    <w:p w14:paraId="1F7BB2E7" w14:textId="77777777" w:rsidR="00B11685" w:rsidRPr="00732D9A" w:rsidRDefault="00752316" w:rsidP="007234F4">
      <w:pPr>
        <w:pStyle w:val="ManualNumPar1"/>
        <w:rPr>
          <w:noProof/>
        </w:rPr>
      </w:pPr>
      <w:r w:rsidRPr="00732D9A">
        <w:rPr>
          <w:noProof/>
        </w:rPr>
        <w:t>4.</w:t>
      </w:r>
      <w:r w:rsidRPr="00732D9A">
        <w:rPr>
          <w:noProof/>
        </w:rPr>
        <w:tab/>
        <w:t>Tous les projets de fabrication industrielle menés dans une zone d’industrialisation prioritaire sont considérés comme des projets stratégiques contribuant à la résilience et à la décarbonation ou à l’utilisation efficace des ressources aux fins de [l’article 14 de la proposition de règlement relatif à l’accélération des évaluations environnementales]. Les points 1, 2 et 3 de l’annexe du présent règlement s’appliquent.</w:t>
      </w:r>
    </w:p>
    <w:p w14:paraId="678B09A1" w14:textId="1EDCB194" w:rsidR="00290640" w:rsidRPr="00732D9A" w:rsidRDefault="00652703" w:rsidP="00652703">
      <w:pPr>
        <w:pStyle w:val="ChapterTitle"/>
        <w:rPr>
          <w:noProof/>
        </w:rPr>
      </w:pPr>
      <w:r w:rsidRPr="00732D9A">
        <w:rPr>
          <w:b w:val="0"/>
          <w:noProof/>
        </w:rPr>
        <w:lastRenderedPageBreak/>
        <w:t>CHAPITRE VI</w:t>
      </w:r>
      <w:r w:rsidRPr="00732D9A">
        <w:rPr>
          <w:noProof/>
        </w:rPr>
        <w:t xml:space="preserve"> </w:t>
      </w:r>
      <w:r w:rsidRPr="00732D9A">
        <w:rPr>
          <w:noProof/>
        </w:rPr>
        <w:br/>
        <w:t>DISPOSITIONS FINALES</w:t>
      </w:r>
    </w:p>
    <w:p w14:paraId="5BFD4ACA" w14:textId="13954AB8" w:rsidR="00310366" w:rsidRPr="00732D9A" w:rsidRDefault="00310366" w:rsidP="00310366">
      <w:pPr>
        <w:pStyle w:val="Titrearticle"/>
        <w:rPr>
          <w:noProof/>
        </w:rPr>
      </w:pPr>
      <w:r w:rsidRPr="00732D9A">
        <w:rPr>
          <w:noProof/>
        </w:rPr>
        <w:t xml:space="preserve">Article 28 </w:t>
      </w:r>
      <w:r w:rsidRPr="00732D9A">
        <w:rPr>
          <w:noProof/>
        </w:rPr>
        <w:br/>
      </w:r>
      <w:r w:rsidRPr="00732D9A">
        <w:rPr>
          <w:b/>
          <w:i w:val="0"/>
          <w:noProof/>
        </w:rPr>
        <w:t>Évaluation</w:t>
      </w:r>
    </w:p>
    <w:p w14:paraId="1F2B1767" w14:textId="77777777" w:rsidR="00A14A10" w:rsidRPr="00732D9A" w:rsidRDefault="00A14A10" w:rsidP="00A14A10">
      <w:pPr>
        <w:pStyle w:val="Text0"/>
        <w:rPr>
          <w:noProof/>
        </w:rPr>
      </w:pPr>
      <w:r w:rsidRPr="00732D9A">
        <w:rPr>
          <w:noProof/>
        </w:rPr>
        <w:t xml:space="preserve">Au plus tard le [OP: prière d’insérer la date correspondant à deux ans après la date d’entrée en vigueur du présent règlement], et tous les trois ans par la suite, la Commission procède à une évaluation du présent règlement et de sa contribution au fonctionnement du marché intérieur. L’évaluation concerne: </w:t>
      </w:r>
    </w:p>
    <w:p w14:paraId="532D9319" w14:textId="77777777" w:rsidR="00310366" w:rsidRPr="00732D9A" w:rsidRDefault="00E90612" w:rsidP="007234F4">
      <w:pPr>
        <w:pStyle w:val="Point1"/>
        <w:rPr>
          <w:noProof/>
        </w:rPr>
      </w:pPr>
      <w:r w:rsidRPr="00732D9A">
        <w:rPr>
          <w:noProof/>
        </w:rPr>
        <w:t>a)</w:t>
      </w:r>
      <w:r w:rsidRPr="00732D9A">
        <w:rPr>
          <w:noProof/>
        </w:rPr>
        <w:tab/>
        <w:t>les progrès accomplis dans la réalisation des objectifs définis à l’article 1</w:t>
      </w:r>
      <w:r w:rsidRPr="00732D9A">
        <w:rPr>
          <w:noProof/>
          <w:vertAlign w:val="superscript"/>
        </w:rPr>
        <w:t>er</w:t>
      </w:r>
      <w:r w:rsidRPr="00732D9A">
        <w:rPr>
          <w:noProof/>
        </w:rPr>
        <w:t xml:space="preserve">, en particulier en ce qui concerne la résilience, la sécurité économique et la décarbonation de la production industrielle; </w:t>
      </w:r>
    </w:p>
    <w:p w14:paraId="16710744" w14:textId="77777777" w:rsidR="00310366" w:rsidRPr="00732D9A" w:rsidRDefault="00E90612" w:rsidP="007234F4">
      <w:pPr>
        <w:pStyle w:val="Point1"/>
        <w:rPr>
          <w:noProof/>
        </w:rPr>
      </w:pPr>
      <w:r w:rsidRPr="00732D9A">
        <w:rPr>
          <w:noProof/>
        </w:rPr>
        <w:t>b)</w:t>
      </w:r>
      <w:r w:rsidRPr="00732D9A">
        <w:rPr>
          <w:noProof/>
        </w:rPr>
        <w:tab/>
        <w:t>les progrès accomplis dans la réalisation de l’objectif d’industrialisation visé à l’article 2, compte tenu des défis et des possibilités qui se présentent sur le marché intérieur et les marchés mondiaux;</w:t>
      </w:r>
    </w:p>
    <w:p w14:paraId="093085BC" w14:textId="77777777" w:rsidR="00D53FBF" w:rsidRPr="00732D9A" w:rsidRDefault="00D53FBF" w:rsidP="007234F4">
      <w:pPr>
        <w:pStyle w:val="Point1"/>
        <w:rPr>
          <w:noProof/>
        </w:rPr>
      </w:pPr>
      <w:r w:rsidRPr="00732D9A">
        <w:rPr>
          <w:noProof/>
        </w:rPr>
        <w:t>c)</w:t>
      </w:r>
      <w:r w:rsidRPr="00732D9A">
        <w:rPr>
          <w:noProof/>
        </w:rPr>
        <w:tab/>
        <w:t>les coûts administratifs connexes ainsi que les incidences économiques sur les secteurs en aval, les petites et moyennes entreprises et les budgets publics.</w:t>
      </w:r>
    </w:p>
    <w:p w14:paraId="25874275" w14:textId="6160210D" w:rsidR="00310366" w:rsidRPr="00732D9A" w:rsidRDefault="00310366" w:rsidP="00310366">
      <w:pPr>
        <w:pStyle w:val="Titrearticle"/>
        <w:rPr>
          <w:b/>
          <w:i w:val="0"/>
          <w:noProof/>
        </w:rPr>
      </w:pPr>
      <w:r w:rsidRPr="00732D9A">
        <w:rPr>
          <w:noProof/>
        </w:rPr>
        <w:t xml:space="preserve">Article 29 </w:t>
      </w:r>
      <w:r w:rsidRPr="00732D9A">
        <w:rPr>
          <w:noProof/>
        </w:rPr>
        <w:br/>
      </w:r>
      <w:r w:rsidRPr="00732D9A">
        <w:rPr>
          <w:b/>
          <w:i w:val="0"/>
          <w:noProof/>
        </w:rPr>
        <w:t>Réexamen</w:t>
      </w:r>
    </w:p>
    <w:p w14:paraId="510D4F14" w14:textId="77777777" w:rsidR="002A2939" w:rsidRPr="00732D9A" w:rsidRDefault="002A2939" w:rsidP="002A2939">
      <w:pPr>
        <w:pStyle w:val="Text0"/>
        <w:rPr>
          <w:noProof/>
        </w:rPr>
      </w:pPr>
      <w:r w:rsidRPr="00732D9A">
        <w:rPr>
          <w:noProof/>
        </w:rPr>
        <w:t xml:space="preserve">Au plus tard le [OP: prière d’insérer la date correspondant à trois ans après la date d’entrée en vigueur du présent règlement], la Commission évalue la nécessité de modifier les chapitres III et IV. La Commission peut présenter une proposition législative en vue d’abroger ou de modifier le présent règlement. Ce réexamen est effectué périodiquement, tous les trois ans après le premier examen. </w:t>
      </w:r>
    </w:p>
    <w:p w14:paraId="069FA489" w14:textId="77777777" w:rsidR="002A2939" w:rsidRPr="00732D9A" w:rsidRDefault="002A2939" w:rsidP="002A2939">
      <w:pPr>
        <w:pStyle w:val="Text0"/>
        <w:rPr>
          <w:noProof/>
        </w:rPr>
      </w:pPr>
      <w:r w:rsidRPr="00732D9A">
        <w:rPr>
          <w:noProof/>
        </w:rPr>
        <w:t>Lorsqu’elle effectue ce réexamen, la Commission accorde une attention particulière à l’efficacité du présent règlement et à la persistance des circonstances qui ont justifié son adoption, ainsi qu’à la nécessité d’introduire des exigences en matière d’origine UE pour les produits provenant de certains secteurs essentiels à la sécurité économique de l’Union, notamment la construction de navires et de matériel roulant ferroviaire.</w:t>
      </w:r>
    </w:p>
    <w:p w14:paraId="3577CF52" w14:textId="3FE0D001" w:rsidR="00310366" w:rsidRPr="00732D9A" w:rsidRDefault="00310366" w:rsidP="00310366">
      <w:pPr>
        <w:pStyle w:val="Titrearticle"/>
        <w:rPr>
          <w:b/>
          <w:bCs/>
          <w:i w:val="0"/>
          <w:iCs/>
          <w:noProof/>
        </w:rPr>
      </w:pPr>
      <w:r w:rsidRPr="00732D9A">
        <w:rPr>
          <w:noProof/>
        </w:rPr>
        <w:t xml:space="preserve">Article 30 </w:t>
      </w:r>
      <w:r w:rsidRPr="00732D9A">
        <w:rPr>
          <w:noProof/>
        </w:rPr>
        <w:br/>
      </w:r>
      <w:r w:rsidRPr="00732D9A">
        <w:rPr>
          <w:b/>
          <w:i w:val="0"/>
          <w:noProof/>
        </w:rPr>
        <w:t>Exercice de la délégation</w:t>
      </w:r>
    </w:p>
    <w:p w14:paraId="5059556E" w14:textId="77777777" w:rsidR="00310366" w:rsidRPr="00732D9A" w:rsidRDefault="00310366" w:rsidP="007234F4">
      <w:pPr>
        <w:pStyle w:val="ManualNumPar1"/>
        <w:rPr>
          <w:noProof/>
        </w:rPr>
      </w:pPr>
      <w:r w:rsidRPr="00732D9A">
        <w:rPr>
          <w:noProof/>
        </w:rPr>
        <w:t>1.</w:t>
      </w:r>
      <w:r w:rsidRPr="00732D9A">
        <w:rPr>
          <w:noProof/>
        </w:rPr>
        <w:tab/>
        <w:t>Le pouvoir d’adopter des actes délégués conféré à la Commission est soumis aux conditions fixées au présent article.</w:t>
      </w:r>
    </w:p>
    <w:p w14:paraId="0E2F323C" w14:textId="77777777" w:rsidR="006D5186" w:rsidRPr="00732D9A" w:rsidRDefault="006D5186" w:rsidP="007234F4">
      <w:pPr>
        <w:pStyle w:val="ManualNumPar1"/>
        <w:rPr>
          <w:noProof/>
        </w:rPr>
      </w:pPr>
      <w:r w:rsidRPr="00732D9A">
        <w:rPr>
          <w:noProof/>
        </w:rPr>
        <w:t>2.</w:t>
      </w:r>
      <w:r w:rsidRPr="00732D9A">
        <w:rPr>
          <w:noProof/>
        </w:rPr>
        <w:tab/>
        <w:t>Le pouvoir d’adopter les actes délégués visés aux articles 8, 9, 10, 16 et 24 est conféré à la Commission pour une durée indéterminée à compter du [OP: prière d’insérer la date d’entrée en vigueur du présent règlement].</w:t>
      </w:r>
    </w:p>
    <w:p w14:paraId="43A6D009" w14:textId="77777777" w:rsidR="006D5186" w:rsidRPr="00732D9A" w:rsidRDefault="006D5186" w:rsidP="007234F4">
      <w:pPr>
        <w:pStyle w:val="ManualNumPar1"/>
        <w:rPr>
          <w:noProof/>
        </w:rPr>
      </w:pPr>
      <w:r w:rsidRPr="00732D9A">
        <w:rPr>
          <w:noProof/>
        </w:rPr>
        <w:t>3.</w:t>
      </w:r>
      <w:r w:rsidRPr="00732D9A">
        <w:rPr>
          <w:noProof/>
        </w:rPr>
        <w:tab/>
        <w:t xml:space="preserve">La délégation de pouvoir visée aux articles 8, 9, 10, 16, et 24 peut être révoquée à tout moment par le Parlement européen ou le Conseil. La décision de révocation met fin à la délégation de pouvoir qui y est précisée. La révocation prend effet le jour suivant celui de la publication de ladite décision au </w:t>
      </w:r>
      <w:r w:rsidRPr="00732D9A">
        <w:rPr>
          <w:i/>
          <w:iCs/>
          <w:noProof/>
        </w:rPr>
        <w:t>Journal officiel de l’Union européenne</w:t>
      </w:r>
      <w:r w:rsidRPr="00732D9A">
        <w:rPr>
          <w:noProof/>
        </w:rPr>
        <w:t xml:space="preserve"> ou à une date ultérieure qui est précisée dans ladite décision. Elle ne porte pas atteinte à la validité des actes délégués déjà en vigueur.</w:t>
      </w:r>
    </w:p>
    <w:p w14:paraId="7187B17F" w14:textId="77777777" w:rsidR="006D5186" w:rsidRPr="00732D9A" w:rsidRDefault="006D5186" w:rsidP="007234F4">
      <w:pPr>
        <w:pStyle w:val="ManualNumPar1"/>
        <w:rPr>
          <w:noProof/>
        </w:rPr>
      </w:pPr>
      <w:r w:rsidRPr="00732D9A">
        <w:rPr>
          <w:noProof/>
        </w:rPr>
        <w:lastRenderedPageBreak/>
        <w:t>4.</w:t>
      </w:r>
      <w:r w:rsidRPr="00732D9A">
        <w:rPr>
          <w:noProof/>
        </w:rPr>
        <w:tab/>
        <w:t>Avant l’adoption d’un acte délégué, la Commission consulte les experts désignés par chaque État membre, conformément aux principes définis dans l’accord interinstitutionnel du 13 avril 2016 «Mieux légiférer».</w:t>
      </w:r>
    </w:p>
    <w:p w14:paraId="7DB1593B" w14:textId="77777777" w:rsidR="006D5186" w:rsidRPr="00732D9A" w:rsidRDefault="006D5186" w:rsidP="007234F4">
      <w:pPr>
        <w:pStyle w:val="ManualNumPar1"/>
        <w:rPr>
          <w:noProof/>
        </w:rPr>
      </w:pPr>
      <w:r w:rsidRPr="00732D9A">
        <w:rPr>
          <w:noProof/>
        </w:rPr>
        <w:t>5.</w:t>
      </w:r>
      <w:r w:rsidRPr="00732D9A">
        <w:rPr>
          <w:noProof/>
        </w:rPr>
        <w:tab/>
        <w:t>Aussitôt qu’elle adopte un acte délégué, la Commission le notifie au Parlement européen et au Conseil simultanément.</w:t>
      </w:r>
    </w:p>
    <w:p w14:paraId="17B935A1" w14:textId="77777777" w:rsidR="00B23B10" w:rsidRPr="00732D9A" w:rsidRDefault="00B23B10" w:rsidP="007234F4">
      <w:pPr>
        <w:pStyle w:val="ManualNumPar1"/>
        <w:rPr>
          <w:noProof/>
        </w:rPr>
      </w:pPr>
      <w:r w:rsidRPr="00732D9A">
        <w:rPr>
          <w:noProof/>
        </w:rPr>
        <w:t>6.</w:t>
      </w:r>
      <w:r w:rsidRPr="00732D9A">
        <w:rPr>
          <w:noProof/>
        </w:rPr>
        <w:tab/>
        <w:t>Un acte délégué adopté en vertu des articles 8, 9, 10, 16 et 24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les deux informé la Commission de leur intention de ne pas exprimer d’objections. Ce délai est prolongé de deux mois à l’initiative du Parlement européen ou du Conseil.</w:t>
      </w:r>
    </w:p>
    <w:p w14:paraId="374B2B72" w14:textId="2E989FDD" w:rsidR="00310366" w:rsidRPr="00732D9A" w:rsidRDefault="00310366" w:rsidP="00310366">
      <w:pPr>
        <w:pStyle w:val="Titrearticle"/>
        <w:rPr>
          <w:b/>
          <w:bCs/>
          <w:i w:val="0"/>
          <w:iCs/>
          <w:noProof/>
        </w:rPr>
      </w:pPr>
      <w:r w:rsidRPr="00732D9A">
        <w:rPr>
          <w:noProof/>
        </w:rPr>
        <w:t xml:space="preserve">Article 31 </w:t>
      </w:r>
      <w:r w:rsidRPr="00732D9A">
        <w:rPr>
          <w:noProof/>
        </w:rPr>
        <w:br/>
      </w:r>
      <w:r w:rsidRPr="00732D9A">
        <w:rPr>
          <w:b/>
          <w:i w:val="0"/>
          <w:noProof/>
        </w:rPr>
        <w:t>Comité</w:t>
      </w:r>
    </w:p>
    <w:p w14:paraId="59CE729A" w14:textId="77777777" w:rsidR="00310366" w:rsidRPr="00732D9A" w:rsidRDefault="00310366" w:rsidP="007234F4">
      <w:pPr>
        <w:pStyle w:val="ManualNumPar1"/>
        <w:rPr>
          <w:noProof/>
        </w:rPr>
      </w:pPr>
      <w:r w:rsidRPr="00732D9A">
        <w:rPr>
          <w:noProof/>
        </w:rPr>
        <w:t>1.</w:t>
      </w:r>
      <w:r w:rsidRPr="00732D9A">
        <w:rPr>
          <w:noProof/>
        </w:rPr>
        <w:tab/>
        <w:t xml:space="preserve">La Commission est assistée par un comité. Ledit comité est un comité au sens du règlement (UE) nº 182/2011. </w:t>
      </w:r>
    </w:p>
    <w:p w14:paraId="600F7501" w14:textId="77777777" w:rsidR="00310366" w:rsidRPr="00732D9A" w:rsidRDefault="00310366" w:rsidP="007234F4">
      <w:pPr>
        <w:pStyle w:val="ManualNumPar1"/>
        <w:rPr>
          <w:noProof/>
        </w:rPr>
      </w:pPr>
      <w:r w:rsidRPr="00732D9A">
        <w:rPr>
          <w:noProof/>
        </w:rPr>
        <w:t>2.</w:t>
      </w:r>
      <w:r w:rsidRPr="00732D9A">
        <w:rPr>
          <w:noProof/>
        </w:rPr>
        <w:tab/>
        <w:t>Lorsqu’il est fait référence au présent paragraphe, l’article 4 du règlement (UE) nº 182/2011 s’applique.</w:t>
      </w:r>
    </w:p>
    <w:p w14:paraId="4C089941" w14:textId="77777777" w:rsidR="00310366" w:rsidRPr="00732D9A" w:rsidRDefault="00310366" w:rsidP="007234F4">
      <w:pPr>
        <w:pStyle w:val="ManualNumPar1"/>
        <w:rPr>
          <w:noProof/>
        </w:rPr>
      </w:pPr>
      <w:r w:rsidRPr="00732D9A">
        <w:rPr>
          <w:noProof/>
        </w:rPr>
        <w:t>3.</w:t>
      </w:r>
      <w:r w:rsidRPr="00732D9A">
        <w:rPr>
          <w:noProof/>
        </w:rPr>
        <w:tab/>
        <w:t>Lorsqu’il est fait référence au présent paragraphe, l’article 5 du règlement (UE) nº 182/2011 s’applique.</w:t>
      </w:r>
    </w:p>
    <w:p w14:paraId="00EC300E" w14:textId="3039B189" w:rsidR="00310366" w:rsidRPr="00732D9A" w:rsidRDefault="00310366" w:rsidP="00310366">
      <w:pPr>
        <w:pStyle w:val="Titrearticle"/>
        <w:rPr>
          <w:noProof/>
        </w:rPr>
      </w:pPr>
      <w:r w:rsidRPr="00732D9A">
        <w:rPr>
          <w:noProof/>
        </w:rPr>
        <w:t xml:space="preserve">Article 32 </w:t>
      </w:r>
      <w:r w:rsidRPr="00732D9A">
        <w:rPr>
          <w:noProof/>
        </w:rPr>
        <w:br/>
      </w:r>
      <w:r w:rsidRPr="00732D9A">
        <w:rPr>
          <w:b/>
          <w:i w:val="0"/>
          <w:noProof/>
        </w:rPr>
        <w:t>Sanctions</w:t>
      </w:r>
    </w:p>
    <w:p w14:paraId="7FFC299A" w14:textId="77777777" w:rsidR="004C16DA" w:rsidRPr="00732D9A" w:rsidRDefault="004C16DA" w:rsidP="004C16DA">
      <w:pPr>
        <w:pStyle w:val="Text0"/>
        <w:rPr>
          <w:noProof/>
        </w:rPr>
      </w:pPr>
      <w:r w:rsidRPr="00732D9A">
        <w:rPr>
          <w:noProof/>
        </w:rPr>
        <w:t>Les États membres déterminent le régime des sanctions applicables aux violations des dispositions du présent règlement et prennent toute mesure nécessaire pour assurer la mise en œuvre de celles-ci. Les sanctions ainsi prévues doivent être effectives, proportionnées et dissuasives. Les États membres informent la Commission, sans retard, du régime ainsi déterminé et des mesures ainsi prises, de même que, sans retard, de toute modification apportée ultérieurement à ce régime ou à ces mesures.</w:t>
      </w:r>
    </w:p>
    <w:p w14:paraId="07D4F2B5" w14:textId="305C9CDA" w:rsidR="00310366" w:rsidRPr="00732D9A" w:rsidRDefault="00310366" w:rsidP="00310366">
      <w:pPr>
        <w:pStyle w:val="Titrearticle"/>
        <w:rPr>
          <w:b/>
          <w:bCs/>
          <w:i w:val="0"/>
          <w:iCs/>
          <w:noProof/>
        </w:rPr>
      </w:pPr>
      <w:r w:rsidRPr="00732D9A">
        <w:rPr>
          <w:noProof/>
        </w:rPr>
        <w:t xml:space="preserve">Article 33 </w:t>
      </w:r>
      <w:r w:rsidRPr="00732D9A">
        <w:rPr>
          <w:noProof/>
        </w:rPr>
        <w:br/>
      </w:r>
      <w:r w:rsidRPr="00732D9A">
        <w:rPr>
          <w:b/>
          <w:i w:val="0"/>
          <w:noProof/>
        </w:rPr>
        <w:t xml:space="preserve">Modifications du règlement (UE) 2018/1724 </w:t>
      </w:r>
    </w:p>
    <w:p w14:paraId="0F6FCF37" w14:textId="77777777" w:rsidR="00310366" w:rsidRPr="00732D9A" w:rsidRDefault="000A547D" w:rsidP="00D05D76">
      <w:pPr>
        <w:pStyle w:val="Text0"/>
        <w:rPr>
          <w:noProof/>
        </w:rPr>
      </w:pPr>
      <w:r w:rsidRPr="00732D9A">
        <w:rPr>
          <w:noProof/>
        </w:rPr>
        <w:t xml:space="preserve">Les annexes I et II du règlement (UE) 2018/1724 sont modifiées conformément à l’annexe V du présent règlement. </w:t>
      </w:r>
    </w:p>
    <w:p w14:paraId="4F6D3311" w14:textId="6BFA26FE" w:rsidR="00310366" w:rsidRPr="00732D9A" w:rsidRDefault="00310366" w:rsidP="00310366">
      <w:pPr>
        <w:pStyle w:val="Titrearticle"/>
        <w:rPr>
          <w:noProof/>
        </w:rPr>
      </w:pPr>
      <w:r w:rsidRPr="00732D9A">
        <w:rPr>
          <w:noProof/>
        </w:rPr>
        <w:t xml:space="preserve">Article 34 </w:t>
      </w:r>
      <w:r w:rsidRPr="00732D9A">
        <w:rPr>
          <w:noProof/>
        </w:rPr>
        <w:br/>
      </w:r>
      <w:r w:rsidRPr="00732D9A">
        <w:rPr>
          <w:b/>
          <w:i w:val="0"/>
          <w:noProof/>
        </w:rPr>
        <w:t xml:space="preserve">Modifications du règlement (UE) 2024/1735 </w:t>
      </w:r>
    </w:p>
    <w:p w14:paraId="2B4CF4F5" w14:textId="77777777" w:rsidR="00310366" w:rsidRPr="00732D9A" w:rsidRDefault="00310366" w:rsidP="00B774BB">
      <w:pPr>
        <w:pStyle w:val="Text0"/>
        <w:rPr>
          <w:noProof/>
        </w:rPr>
      </w:pPr>
      <w:r w:rsidRPr="00732D9A">
        <w:rPr>
          <w:noProof/>
        </w:rPr>
        <w:t>Le règlement (UE) 2024/1735 est modifié comme suit:</w:t>
      </w:r>
    </w:p>
    <w:p w14:paraId="425E366B" w14:textId="77777777" w:rsidR="00310366" w:rsidRPr="00732D9A" w:rsidRDefault="006C27B5" w:rsidP="007234F4">
      <w:pPr>
        <w:pStyle w:val="Point0"/>
        <w:rPr>
          <w:noProof/>
        </w:rPr>
      </w:pPr>
      <w:r w:rsidRPr="00732D9A">
        <w:rPr>
          <w:noProof/>
        </w:rPr>
        <w:t>1)</w:t>
      </w:r>
      <w:r w:rsidRPr="00732D9A">
        <w:rPr>
          <w:noProof/>
        </w:rPr>
        <w:tab/>
        <w:t>À l’article 3, les points 34), 35) et 36) suivants sont ajoutés:</w:t>
      </w:r>
    </w:p>
    <w:p w14:paraId="335A716D" w14:textId="77777777" w:rsidR="00310366" w:rsidRPr="00732D9A" w:rsidRDefault="00E473C7" w:rsidP="007234F4">
      <w:pPr>
        <w:pStyle w:val="Point1"/>
        <w:rPr>
          <w:noProof/>
        </w:rPr>
      </w:pPr>
      <w:r w:rsidRPr="00732D9A">
        <w:rPr>
          <w:noProof/>
        </w:rPr>
        <w:t>a)</w:t>
      </w:r>
      <w:r w:rsidRPr="00732D9A">
        <w:rPr>
          <w:noProof/>
        </w:rPr>
        <w:tab/>
        <w:t xml:space="preserve"> «34) “batterie industrielle”: une batterie industrielle au sens de l’article 3, paragraphe 1, point 13), du règlement (UE) 2023/1542 du Parlement européen et du Conseil*;»;</w:t>
      </w:r>
    </w:p>
    <w:p w14:paraId="2FBE322C" w14:textId="77777777" w:rsidR="00310366" w:rsidRPr="00732D9A" w:rsidRDefault="001E0BED" w:rsidP="007234F4">
      <w:pPr>
        <w:pStyle w:val="Point1"/>
        <w:rPr>
          <w:noProof/>
        </w:rPr>
      </w:pPr>
      <w:r w:rsidRPr="00732D9A">
        <w:rPr>
          <w:noProof/>
        </w:rPr>
        <w:lastRenderedPageBreak/>
        <w:t>b)</w:t>
      </w:r>
      <w:r w:rsidRPr="00732D9A">
        <w:rPr>
          <w:noProof/>
        </w:rPr>
        <w:tab/>
        <w:t xml:space="preserve"> «(35) “système de stockage d’énergie par batterie stationnaire”: un système de stockage d’énergie par batterie stationnaire au sens de l’article 3, paragraphe 1, point 15), du règlement (UE) 2023/1542;»; </w:t>
      </w:r>
    </w:p>
    <w:p w14:paraId="2E979814" w14:textId="77777777" w:rsidR="00310366" w:rsidRPr="00732D9A" w:rsidRDefault="00A969BB" w:rsidP="007234F4">
      <w:pPr>
        <w:pStyle w:val="Point1"/>
        <w:rPr>
          <w:noProof/>
        </w:rPr>
      </w:pPr>
      <w:r w:rsidRPr="00732D9A">
        <w:rPr>
          <w:noProof/>
        </w:rPr>
        <w:t>c)</w:t>
      </w:r>
      <w:r w:rsidRPr="00732D9A">
        <w:rPr>
          <w:noProof/>
        </w:rPr>
        <w:tab/>
        <w:t xml:space="preserve"> «(36) “pompe à chaleur hydronique”: un dispositif de chauffage qui utilise la chaleur ambiante de l’air, de l’eau ou du sol, et/ou la chaleur résiduelle pour produire de la chaleur et chauffer des locaux au moyen d’un circuit d’eau.»;</w:t>
      </w:r>
    </w:p>
    <w:p w14:paraId="08B205CB" w14:textId="77777777" w:rsidR="0054768B" w:rsidRPr="00732D9A" w:rsidRDefault="00367E2F" w:rsidP="0054768B">
      <w:pPr>
        <w:pStyle w:val="Point1"/>
        <w:ind w:firstLine="0"/>
        <w:rPr>
          <w:noProof/>
        </w:rPr>
      </w:pPr>
      <w:r w:rsidRPr="00732D9A">
        <w:rPr>
          <w:noProof/>
        </w:rPr>
        <w:t>___</w:t>
      </w:r>
    </w:p>
    <w:p w14:paraId="3094FE03" w14:textId="77777777" w:rsidR="00367E2F" w:rsidRPr="00732D9A" w:rsidRDefault="00367E2F" w:rsidP="0054768B">
      <w:pPr>
        <w:pStyle w:val="Point1"/>
        <w:ind w:firstLine="0"/>
        <w:rPr>
          <w:noProof/>
        </w:rPr>
      </w:pPr>
      <w:r w:rsidRPr="00732D9A">
        <w:rPr>
          <w:noProof/>
        </w:rPr>
        <w:t>* Règlement (UE) 2023/1542 du Parlement européen et du Conseil du 12 juillet 2023 relatif aux batteries et aux déchets de batteries, modifiant la directive 2008/98/CE et le règlement (UE) 2019/1020, et abrogeant la directive 2006/66/CE (JO L 191 du 28.7.2023, p. 1, ELI: http://data.europa.eu/eli/reg/2023/1542/oj).;</w:t>
      </w:r>
    </w:p>
    <w:p w14:paraId="5EE17495" w14:textId="77777777" w:rsidR="00DF3F7B" w:rsidRPr="00732D9A" w:rsidRDefault="00822043" w:rsidP="000546F9">
      <w:pPr>
        <w:pStyle w:val="Point0"/>
        <w:rPr>
          <w:noProof/>
        </w:rPr>
      </w:pPr>
      <w:r w:rsidRPr="00732D9A">
        <w:rPr>
          <w:noProof/>
        </w:rPr>
        <w:t>2)</w:t>
      </w:r>
      <w:r w:rsidRPr="00732D9A">
        <w:rPr>
          <w:noProof/>
        </w:rPr>
        <w:tab/>
        <w:t xml:space="preserve">À l’article 9, le paragraphe 14 suivant est ajouté: </w:t>
      </w:r>
    </w:p>
    <w:p w14:paraId="0A425A83" w14:textId="77777777" w:rsidR="00310366" w:rsidRPr="00732D9A" w:rsidRDefault="00DF3F7B" w:rsidP="00DF3F7B">
      <w:pPr>
        <w:pStyle w:val="ManualNumPar1"/>
        <w:ind w:firstLine="0"/>
        <w:rPr>
          <w:noProof/>
        </w:rPr>
      </w:pPr>
      <w:r w:rsidRPr="00732D9A">
        <w:rPr>
          <w:noProof/>
        </w:rPr>
        <w:t>«14. Tous les projets de production de technologies “zéro net” sont considérés comme des projets stratégiques contribuant à la résilience et à la décarbonation ou à l’utilisation efficace des ressources aux fins de l’article 14, paragraphe 1, de la [proposition de règlement relatif à l’accélération des évaluations environnementales].».</w:t>
      </w:r>
    </w:p>
    <w:p w14:paraId="2E971A06" w14:textId="77777777" w:rsidR="00310366" w:rsidRPr="00732D9A" w:rsidRDefault="00310366" w:rsidP="000546F9">
      <w:pPr>
        <w:pStyle w:val="Point0"/>
        <w:rPr>
          <w:noProof/>
        </w:rPr>
      </w:pPr>
      <w:r w:rsidRPr="00732D9A">
        <w:rPr>
          <w:noProof/>
        </w:rPr>
        <w:t>3)</w:t>
      </w:r>
      <w:r w:rsidRPr="00732D9A">
        <w:rPr>
          <w:noProof/>
        </w:rPr>
        <w:tab/>
        <w:t xml:space="preserve">L’article 25 est modifié comme suit: </w:t>
      </w:r>
    </w:p>
    <w:p w14:paraId="75CE2820" w14:textId="77777777" w:rsidR="00826605" w:rsidRPr="00732D9A" w:rsidRDefault="00310366" w:rsidP="007234F4">
      <w:pPr>
        <w:pStyle w:val="Point1"/>
        <w:rPr>
          <w:noProof/>
        </w:rPr>
      </w:pPr>
      <w:r w:rsidRPr="00732D9A">
        <w:rPr>
          <w:noProof/>
        </w:rPr>
        <w:t>a)</w:t>
      </w:r>
      <w:r w:rsidRPr="00732D9A">
        <w:rPr>
          <w:noProof/>
        </w:rPr>
        <w:tab/>
        <w:t xml:space="preserve">le paragraphe 1 est remplacé par le texte suivant: </w:t>
      </w:r>
    </w:p>
    <w:p w14:paraId="00E64C90" w14:textId="77777777" w:rsidR="00310366" w:rsidRPr="00732D9A" w:rsidRDefault="00486EFC" w:rsidP="00826605">
      <w:pPr>
        <w:pStyle w:val="Point1"/>
        <w:ind w:firstLine="0"/>
        <w:rPr>
          <w:noProof/>
        </w:rPr>
      </w:pPr>
      <w:r w:rsidRPr="00732D9A">
        <w:rPr>
          <w:noProof/>
        </w:rPr>
        <w:t>«1. En ce qui concerne les procédures de passation de marchés publics ou de concessions relevant du champ d’application de la directive 2014/23/UE, 2014/24/UE ou 2014/25/UE, lorsque les marchés ont notamment pour objet les technologies “zéro net” énumérées à l’article 4, paragraphe 1, points a) à d), et points h) et i), du présent règlement, ou dans le cas de marchés de travaux ou de concessions de travaux incluant de telles technologies, les pouvoirs adjudicateurs et les entités adjudicatrices appliquent les exigences minimales obligatoires en matière de durabilité environnementale établies dans l’acte d’exécution visé au paragraphe 5 du présent article.»;</w:t>
      </w:r>
    </w:p>
    <w:p w14:paraId="1E13EA62" w14:textId="77777777" w:rsidR="00F15A2B" w:rsidRPr="00732D9A" w:rsidRDefault="00B129D8" w:rsidP="007234F4">
      <w:pPr>
        <w:pStyle w:val="Point1"/>
        <w:rPr>
          <w:noProof/>
        </w:rPr>
      </w:pPr>
      <w:r w:rsidRPr="00732D9A">
        <w:rPr>
          <w:noProof/>
        </w:rPr>
        <w:t>b)</w:t>
      </w:r>
      <w:r w:rsidRPr="00732D9A">
        <w:rPr>
          <w:noProof/>
        </w:rPr>
        <w:tab/>
        <w:t xml:space="preserve">au paragraphe 7, le premier alinéa est remplacé par le texte suivant: </w:t>
      </w:r>
    </w:p>
    <w:p w14:paraId="7D1382AC" w14:textId="77777777" w:rsidR="00EE6631" w:rsidRPr="00732D9A" w:rsidRDefault="00310366" w:rsidP="00F15A2B">
      <w:pPr>
        <w:pStyle w:val="Point1"/>
        <w:ind w:firstLine="0"/>
        <w:rPr>
          <w:noProof/>
        </w:rPr>
      </w:pPr>
      <w:r w:rsidRPr="00732D9A">
        <w:rPr>
          <w:noProof/>
        </w:rPr>
        <w:t>«La contribution de l’offre à la résilience est prise en compte dans le contexte des procédures de passation de marchés publics ou de concessions et dans le cas des marchés de travaux et de concessions de travaux visés au paragraphe 1, conformément au présent paragraphe.»;</w:t>
      </w:r>
    </w:p>
    <w:p w14:paraId="7088FA5A" w14:textId="77777777" w:rsidR="00310366" w:rsidRPr="00732D9A" w:rsidRDefault="00F85020" w:rsidP="007234F4">
      <w:pPr>
        <w:pStyle w:val="Point1"/>
        <w:rPr>
          <w:noProof/>
        </w:rPr>
      </w:pPr>
      <w:r w:rsidRPr="00732D9A">
        <w:rPr>
          <w:noProof/>
        </w:rPr>
        <w:t>c)</w:t>
      </w:r>
      <w:r w:rsidRPr="00732D9A">
        <w:rPr>
          <w:noProof/>
        </w:rPr>
        <w:tab/>
        <w:t xml:space="preserve">au paragraphe 7, le point a) est remplacé par le texte suivant: </w:t>
      </w:r>
    </w:p>
    <w:p w14:paraId="51F94CA6" w14:textId="77777777" w:rsidR="00F15A2B" w:rsidRPr="00732D9A" w:rsidRDefault="00F15A2B" w:rsidP="00F15A2B">
      <w:pPr>
        <w:pStyle w:val="Point1"/>
        <w:ind w:firstLine="0"/>
        <w:rPr>
          <w:noProof/>
        </w:rPr>
      </w:pPr>
      <w:r w:rsidRPr="00732D9A">
        <w:rPr>
          <w:noProof/>
        </w:rPr>
        <w:t>«a) une obligation, pendant la durée du marché, de ne pas obtenir plus de 50 % de la valeur du produit final de technologie “zéro net” spécifique visée au présent paragraphe à partir de chaque pays tiers, comme le prévoit la Commission;»;</w:t>
      </w:r>
    </w:p>
    <w:p w14:paraId="63FE632E" w14:textId="77777777" w:rsidR="00F15A2B" w:rsidRPr="00732D9A" w:rsidRDefault="00F15A2B" w:rsidP="007234F4">
      <w:pPr>
        <w:pStyle w:val="Point1"/>
        <w:rPr>
          <w:noProof/>
        </w:rPr>
      </w:pPr>
      <w:r w:rsidRPr="00732D9A">
        <w:rPr>
          <w:noProof/>
        </w:rPr>
        <w:t>d)</w:t>
      </w:r>
      <w:r w:rsidRPr="00732D9A">
        <w:rPr>
          <w:noProof/>
        </w:rPr>
        <w:tab/>
        <w:t xml:space="preserve">au paragraphe 7, le point b) est remplacé par le texte suivant: </w:t>
      </w:r>
    </w:p>
    <w:p w14:paraId="312FC49D" w14:textId="77777777" w:rsidR="006320F4" w:rsidRPr="00732D9A" w:rsidRDefault="006320F4" w:rsidP="006320F4">
      <w:pPr>
        <w:pStyle w:val="Point1"/>
        <w:ind w:firstLine="0"/>
        <w:rPr>
          <w:noProof/>
        </w:rPr>
      </w:pPr>
      <w:r w:rsidRPr="00732D9A">
        <w:rPr>
          <w:noProof/>
        </w:rPr>
        <w:t xml:space="preserve">«b) une obligation, pendant la durée du marché, que 50 % au maximum de la valeur cumulée de tous les principaux composants spécifiques de la technologie “zéro net” spécifique visée au présent paragraphe soient obtenus </w:t>
      </w:r>
      <w:r w:rsidRPr="00732D9A">
        <w:rPr>
          <w:noProof/>
        </w:rPr>
        <w:lastRenderedPageBreak/>
        <w:t>ou fournis directement par l’attributaire du marché ou par un sous-traitant à partir de chaque pays, comme le prévoit la Commission;».</w:t>
      </w:r>
    </w:p>
    <w:p w14:paraId="109679E7" w14:textId="77777777" w:rsidR="006C369D" w:rsidRPr="00732D9A" w:rsidRDefault="00492C92" w:rsidP="000546F9">
      <w:pPr>
        <w:pStyle w:val="Point0"/>
        <w:rPr>
          <w:noProof/>
        </w:rPr>
      </w:pPr>
      <w:r w:rsidRPr="00732D9A">
        <w:rPr>
          <w:noProof/>
        </w:rPr>
        <w:t>4)</w:t>
      </w:r>
      <w:r w:rsidRPr="00732D9A">
        <w:rPr>
          <w:noProof/>
        </w:rPr>
        <w:tab/>
        <w:t>L’article 25 </w:t>
      </w:r>
      <w:r w:rsidRPr="00732D9A">
        <w:rPr>
          <w:i/>
          <w:iCs/>
          <w:noProof/>
        </w:rPr>
        <w:t>bis</w:t>
      </w:r>
      <w:r w:rsidRPr="00732D9A">
        <w:rPr>
          <w:noProof/>
        </w:rPr>
        <w:t xml:space="preserve"> suivant est inséré: </w:t>
      </w:r>
    </w:p>
    <w:p w14:paraId="77CF559A" w14:textId="76B6C945" w:rsidR="00A531BD" w:rsidRPr="00732D9A" w:rsidRDefault="000965EE" w:rsidP="00C645D0">
      <w:pPr>
        <w:pStyle w:val="Titrearticle"/>
        <w:rPr>
          <w:b/>
          <w:i w:val="0"/>
          <w:noProof/>
        </w:rPr>
      </w:pPr>
      <w:r w:rsidRPr="00732D9A">
        <w:rPr>
          <w:i w:val="0"/>
          <w:noProof/>
        </w:rPr>
        <w:t>«</w:t>
      </w:r>
      <w:r w:rsidRPr="00732D9A">
        <w:rPr>
          <w:iCs/>
          <w:noProof/>
        </w:rPr>
        <w:t>Article 25</w:t>
      </w:r>
      <w:r w:rsidRPr="00732D9A">
        <w:rPr>
          <w:noProof/>
        </w:rPr>
        <w:t> </w:t>
      </w:r>
      <w:r w:rsidRPr="00732D9A">
        <w:rPr>
          <w:i w:val="0"/>
          <w:noProof/>
        </w:rPr>
        <w:t>bis</w:t>
      </w:r>
      <w:r w:rsidRPr="00732D9A">
        <w:rPr>
          <w:noProof/>
        </w:rPr>
        <w:t xml:space="preserve"> </w:t>
      </w:r>
      <w:r w:rsidRPr="00732D9A">
        <w:rPr>
          <w:noProof/>
        </w:rPr>
        <w:br/>
      </w:r>
      <w:r w:rsidRPr="00732D9A">
        <w:rPr>
          <w:b/>
          <w:i w:val="0"/>
          <w:noProof/>
        </w:rPr>
        <w:t>Exigences en matière d’origine applicables aux procédures de passation de marchés publics ou de concessions</w:t>
      </w:r>
    </w:p>
    <w:p w14:paraId="6813E81C" w14:textId="77777777" w:rsidR="00730909" w:rsidRPr="00732D9A" w:rsidRDefault="001331AB" w:rsidP="007234F4">
      <w:pPr>
        <w:pStyle w:val="ManualNumPar1"/>
        <w:rPr>
          <w:noProof/>
        </w:rPr>
      </w:pPr>
      <w:r w:rsidRPr="00732D9A">
        <w:rPr>
          <w:noProof/>
        </w:rPr>
        <w:t>1.</w:t>
      </w:r>
      <w:r w:rsidRPr="00732D9A">
        <w:rPr>
          <w:noProof/>
        </w:rPr>
        <w:tab/>
        <w:t xml:space="preserve">Pour les procédures de passation de marchés publics ou de concessions visées à l’annexe II, les pouvoirs adjudicateurs et les entités adjudicatrices excluent de l’accès à ces procédures les offres présentées par des opérateurs économiques détenus ou contrôlés par une entité établie dans des pays tiers qui n’ont pas conclu d’accord international avec l’Union garantissant un tel accès. </w:t>
      </w:r>
    </w:p>
    <w:p w14:paraId="5EBC5B0D" w14:textId="77777777" w:rsidR="000965EE" w:rsidRPr="00732D9A" w:rsidRDefault="001357E8" w:rsidP="007234F4">
      <w:pPr>
        <w:pStyle w:val="ManualNumPar1"/>
        <w:rPr>
          <w:noProof/>
        </w:rPr>
      </w:pPr>
      <w:r w:rsidRPr="00732D9A">
        <w:rPr>
          <w:noProof/>
        </w:rPr>
        <w:t>2.</w:t>
      </w:r>
      <w:r w:rsidRPr="00732D9A">
        <w:rPr>
          <w:noProof/>
        </w:rPr>
        <w:tab/>
        <w:t>Pour les procédures de passation de marchés publics ou de concessions visées à l’annexe II, les pouvoirs adjudicateurs et les entités adjudicatrices appliquent les exigences en matière d’origine UE qui y sont énoncées. Les exigences relatives à certains des principaux composants spécifiques ne s’appliquent que dans la mesure où ces composants sont présents dans le produit final.</w:t>
      </w:r>
    </w:p>
    <w:p w14:paraId="7AFDFC9A" w14:textId="77777777" w:rsidR="00BF3A9F" w:rsidRPr="00732D9A" w:rsidRDefault="00331E8B" w:rsidP="007234F4">
      <w:pPr>
        <w:pStyle w:val="ManualNumPar1"/>
        <w:rPr>
          <w:noProof/>
        </w:rPr>
      </w:pPr>
      <w:r w:rsidRPr="00732D9A">
        <w:rPr>
          <w:noProof/>
        </w:rPr>
        <w:t>3.</w:t>
      </w:r>
      <w:r w:rsidRPr="00732D9A">
        <w:rPr>
          <w:noProof/>
        </w:rPr>
        <w:tab/>
        <w:t xml:space="preserve">Les pouvoirs adjudicateurs et les entités adjudicatrices peuvent décider de ne pas appliquer une ou plusieurs des exigences énoncées à l’annexe II lorsque l’une des conditions suivantes est remplie: </w:t>
      </w:r>
    </w:p>
    <w:p w14:paraId="7CD09BF3" w14:textId="77777777" w:rsidR="000965EE" w:rsidRPr="00732D9A" w:rsidRDefault="000965EE" w:rsidP="007234F4">
      <w:pPr>
        <w:pStyle w:val="Point1"/>
        <w:rPr>
          <w:noProof/>
        </w:rPr>
      </w:pPr>
      <w:r w:rsidRPr="00732D9A">
        <w:rPr>
          <w:noProof/>
        </w:rPr>
        <w:t>a)</w:t>
      </w:r>
      <w:r w:rsidRPr="00732D9A">
        <w:rPr>
          <w:noProof/>
        </w:rPr>
        <w:tab/>
        <w:t>les produits requis ne peuvent être fournis que par un opérateur économique spécifique et il n’existe aucune solution de remplacement ou de substitution raisonnable, et l’absence de concurrence ne résulte pas d’une restriction artificielle des paramètres de la procédure de passation de marchés publics ou de concessions;</w:t>
      </w:r>
    </w:p>
    <w:p w14:paraId="69FBAACB" w14:textId="77777777" w:rsidR="000965EE" w:rsidRPr="00732D9A" w:rsidRDefault="000965EE" w:rsidP="007234F4">
      <w:pPr>
        <w:pStyle w:val="Point1"/>
        <w:rPr>
          <w:noProof/>
        </w:rPr>
      </w:pPr>
      <w:r w:rsidRPr="00732D9A">
        <w:rPr>
          <w:noProof/>
        </w:rPr>
        <w:t>b)</w:t>
      </w:r>
      <w:r w:rsidRPr="00732D9A">
        <w:rPr>
          <w:noProof/>
        </w:rPr>
        <w:tab/>
        <w:t>aucune offre appropriée ou aucune demande de participation appropriée n’a été déposée, y compris en réponse à une procédure de passation de marchés publics ou de concessions similaire lancée par le même pouvoir adjudicateur ou la même entité adjudicatrice au cours des deux années précédant le lancement de la nouvelle procédure de passation de marchés ou de concessions envisagée;</w:t>
      </w:r>
    </w:p>
    <w:p w14:paraId="76D40EC6" w14:textId="77777777" w:rsidR="000965EE" w:rsidRPr="00732D9A" w:rsidRDefault="000965EE" w:rsidP="007234F4">
      <w:pPr>
        <w:pStyle w:val="Point1"/>
        <w:rPr>
          <w:noProof/>
        </w:rPr>
      </w:pPr>
      <w:r w:rsidRPr="00732D9A">
        <w:rPr>
          <w:noProof/>
        </w:rPr>
        <w:t>c)</w:t>
      </w:r>
      <w:r w:rsidRPr="00732D9A">
        <w:rPr>
          <w:noProof/>
        </w:rPr>
        <w:tab/>
        <w:t>leur application obligerait lesdits pouvoirs adjudicateurs ou entités adjudicatrices à acquérir des biens, des services ou des travaux dont les coûts seraient disproportionnés, ou entraînerait une incompatibilité technique d’exploitation et de maintenance. Les pouvoirs adjudicateurs et les entités adjudicatrices peuvent présumer que des différences de coûts supérieures à 25 %, estimées sur la base de données objectives et transparentes, sont disproportionnées.</w:t>
      </w:r>
    </w:p>
    <w:p w14:paraId="4047CAC0" w14:textId="77777777" w:rsidR="0080736C" w:rsidRPr="00732D9A" w:rsidRDefault="0080736C" w:rsidP="007234F4">
      <w:pPr>
        <w:pStyle w:val="Point1"/>
        <w:rPr>
          <w:noProof/>
        </w:rPr>
      </w:pPr>
      <w:r w:rsidRPr="00732D9A">
        <w:rPr>
          <w:noProof/>
        </w:rPr>
        <w:t>d)</w:t>
      </w:r>
      <w:r w:rsidRPr="00732D9A">
        <w:rPr>
          <w:noProof/>
        </w:rPr>
        <w:tab/>
        <w:t>leur application entraînerait des retards importants dans la réalisation du projet en raison de l’indisponibilité des composants ou des produits finaux requis. Des retards supérieurs à sept mois, estimés sur la base de données objectives, transparentes et vérifiables, peuvent être considérés comme importants.</w:t>
      </w:r>
    </w:p>
    <w:p w14:paraId="1D39F54E" w14:textId="77777777" w:rsidR="001B10B0" w:rsidRPr="00732D9A" w:rsidRDefault="000965EE" w:rsidP="007234F4">
      <w:pPr>
        <w:pStyle w:val="ManualNumPar1"/>
        <w:rPr>
          <w:noProof/>
        </w:rPr>
      </w:pPr>
      <w:r w:rsidRPr="00732D9A">
        <w:rPr>
          <w:noProof/>
        </w:rPr>
        <w:t>4.</w:t>
      </w:r>
      <w:r w:rsidRPr="00732D9A">
        <w:rPr>
          <w:noProof/>
        </w:rPr>
        <w:tab/>
        <w:t>Les pouvoirs adjudicateurs exigent des opérateurs économiques qui fournissent des produits relevant du champ d’application du présent article qu’ils présentent une déclaration sur l’honneur, ou un document équivalent, démontrant la conformité avec les exigences énoncées dans le présent article.».</w:t>
      </w:r>
    </w:p>
    <w:p w14:paraId="538464BC" w14:textId="77777777" w:rsidR="00310366" w:rsidRPr="00732D9A" w:rsidRDefault="00310366" w:rsidP="00656DA5">
      <w:pPr>
        <w:pStyle w:val="Point0"/>
        <w:rPr>
          <w:noProof/>
        </w:rPr>
      </w:pPr>
      <w:r w:rsidRPr="00732D9A">
        <w:rPr>
          <w:noProof/>
        </w:rPr>
        <w:lastRenderedPageBreak/>
        <w:t>5)</w:t>
      </w:r>
      <w:r w:rsidRPr="00732D9A">
        <w:rPr>
          <w:noProof/>
        </w:rPr>
        <w:tab/>
      </w:r>
      <w:bookmarkStart w:id="11" w:name="_Hlk222059079"/>
      <w:r w:rsidRPr="00732D9A">
        <w:rPr>
          <w:noProof/>
        </w:rPr>
        <w:t xml:space="preserve">L’article 26 est modifié comme suit: </w:t>
      </w:r>
    </w:p>
    <w:bookmarkEnd w:id="11"/>
    <w:p w14:paraId="1919715E" w14:textId="77777777" w:rsidR="00310366" w:rsidRPr="00732D9A" w:rsidRDefault="00407A66" w:rsidP="007234F4">
      <w:pPr>
        <w:pStyle w:val="Point1"/>
        <w:rPr>
          <w:noProof/>
        </w:rPr>
      </w:pPr>
      <w:r w:rsidRPr="00732D9A">
        <w:rPr>
          <w:noProof/>
        </w:rPr>
        <w:t>a)</w:t>
      </w:r>
      <w:r w:rsidRPr="00732D9A">
        <w:rPr>
          <w:noProof/>
        </w:rPr>
        <w:tab/>
        <w:t>le titre est remplacé par le texte suivant: «Enchères pour les technologies “zéro net”»;</w:t>
      </w:r>
    </w:p>
    <w:p w14:paraId="001EDA4D" w14:textId="77777777" w:rsidR="00D42314" w:rsidRPr="00732D9A" w:rsidRDefault="00310366" w:rsidP="00F253B8">
      <w:pPr>
        <w:pStyle w:val="Point1"/>
        <w:rPr>
          <w:noProof/>
        </w:rPr>
      </w:pPr>
      <w:r w:rsidRPr="00732D9A">
        <w:rPr>
          <w:noProof/>
        </w:rPr>
        <w:t>b)</w:t>
      </w:r>
      <w:r w:rsidRPr="00732D9A">
        <w:rPr>
          <w:noProof/>
        </w:rPr>
        <w:tab/>
        <w:t xml:space="preserve">le paragraphe 1 est modifié comme suit: </w:t>
      </w:r>
    </w:p>
    <w:p w14:paraId="3AA96376" w14:textId="77777777" w:rsidR="00C56D3C" w:rsidRPr="00732D9A" w:rsidRDefault="00FD336E" w:rsidP="00B105F9">
      <w:pPr>
        <w:pStyle w:val="Point2"/>
        <w:rPr>
          <w:noProof/>
        </w:rPr>
      </w:pPr>
      <w:r w:rsidRPr="00732D9A">
        <w:rPr>
          <w:noProof/>
        </w:rPr>
        <w:t xml:space="preserve">la partie introductive est remplacée par le texte suivant: </w:t>
      </w:r>
    </w:p>
    <w:p w14:paraId="0F597525" w14:textId="77777777" w:rsidR="00310366" w:rsidRPr="00732D9A" w:rsidRDefault="00310366" w:rsidP="00674AC9">
      <w:pPr>
        <w:pStyle w:val="Point2"/>
        <w:ind w:firstLine="0"/>
        <w:rPr>
          <w:noProof/>
        </w:rPr>
      </w:pPr>
      <w:r w:rsidRPr="00732D9A">
        <w:rPr>
          <w:noProof/>
        </w:rPr>
        <w:t xml:space="preserve">«Lorsqu’ils conçoivent des enchères pour les technologies “zéro net” énumérées à l’article 4, paragraphe 1, points a) à g), i) et j), les États membres incluent:»; </w:t>
      </w:r>
    </w:p>
    <w:p w14:paraId="75EFD50B" w14:textId="77777777" w:rsidR="00EC3E4D" w:rsidRPr="00732D9A" w:rsidRDefault="000C19BF" w:rsidP="00B105F9">
      <w:pPr>
        <w:pStyle w:val="Point2"/>
        <w:rPr>
          <w:noProof/>
        </w:rPr>
      </w:pPr>
      <w:r w:rsidRPr="00732D9A">
        <w:rPr>
          <w:noProof/>
        </w:rPr>
        <w:t xml:space="preserve">au point a), le point iv) suivant est ajouté: </w:t>
      </w:r>
    </w:p>
    <w:p w14:paraId="0CCD0794" w14:textId="77777777" w:rsidR="00310366" w:rsidRPr="00732D9A" w:rsidRDefault="00310366" w:rsidP="00EC3E4D">
      <w:pPr>
        <w:pStyle w:val="Point2"/>
        <w:ind w:firstLine="0"/>
        <w:rPr>
          <w:noProof/>
        </w:rPr>
      </w:pPr>
      <w:r w:rsidRPr="00732D9A">
        <w:rPr>
          <w:noProof/>
        </w:rPr>
        <w:t>«iv) aux fournisseurs à haut risque au sens de l’article 2, point 39), du règlement xxxx/xxxx [CSA2]: pour les enchères qui impliquent des systèmes de contrôle, des systèmes de contrôle de gestion, des systèmes de surveillance et d’acquisition de données, des systèmes d’accès à distance ou des pare-feu, les fournisseurs recensés comme fournisseurs à haut risque au sens du règlement xxxx/xxxx [CSA2] ne participent pas aux processus suivants:</w:t>
      </w:r>
    </w:p>
    <w:p w14:paraId="30A8608E" w14:textId="77777777" w:rsidR="00310366" w:rsidRPr="00732D9A" w:rsidRDefault="00DE5037" w:rsidP="00A8762F">
      <w:pPr>
        <w:pStyle w:val="Point3"/>
        <w:rPr>
          <w:noProof/>
        </w:rPr>
      </w:pPr>
      <w:r w:rsidRPr="00732D9A">
        <w:rPr>
          <w:noProof/>
        </w:rPr>
        <w:t>1)</w:t>
      </w:r>
      <w:r w:rsidRPr="00732D9A">
        <w:rPr>
          <w:noProof/>
        </w:rPr>
        <w:tab/>
        <w:t xml:space="preserve">la fourniture de ces produits ou systèmes; </w:t>
      </w:r>
    </w:p>
    <w:p w14:paraId="468CEC5F" w14:textId="77777777" w:rsidR="00310366" w:rsidRPr="00732D9A" w:rsidRDefault="00DE5037" w:rsidP="00A8762F">
      <w:pPr>
        <w:pStyle w:val="Point3"/>
        <w:rPr>
          <w:noProof/>
        </w:rPr>
      </w:pPr>
      <w:r w:rsidRPr="00732D9A">
        <w:rPr>
          <w:noProof/>
        </w:rPr>
        <w:t>2)</w:t>
      </w:r>
      <w:r w:rsidRPr="00732D9A">
        <w:rPr>
          <w:noProof/>
        </w:rPr>
        <w:tab/>
        <w:t xml:space="preserve">la conception, le développement ou la production de ces produits ou systèmes; </w:t>
      </w:r>
    </w:p>
    <w:p w14:paraId="2754C89D" w14:textId="77777777" w:rsidR="00310366" w:rsidRPr="00732D9A" w:rsidRDefault="00DE5037" w:rsidP="00A8762F">
      <w:pPr>
        <w:pStyle w:val="Point3"/>
        <w:rPr>
          <w:noProof/>
        </w:rPr>
      </w:pPr>
      <w:r w:rsidRPr="00732D9A">
        <w:rPr>
          <w:noProof/>
        </w:rPr>
        <w:t>3)</w:t>
      </w:r>
      <w:r w:rsidRPr="00732D9A">
        <w:rPr>
          <w:noProof/>
        </w:rPr>
        <w:tab/>
        <w:t xml:space="preserve">la gestion, le contrôle ou l’exploitation de ces produits ou systèmes; </w:t>
      </w:r>
    </w:p>
    <w:p w14:paraId="7AA0E92D" w14:textId="77777777" w:rsidR="00310366" w:rsidRPr="00732D9A" w:rsidRDefault="00DE5037" w:rsidP="00A8762F">
      <w:pPr>
        <w:pStyle w:val="Point3"/>
        <w:rPr>
          <w:noProof/>
        </w:rPr>
      </w:pPr>
      <w:r w:rsidRPr="00732D9A">
        <w:rPr>
          <w:noProof/>
        </w:rPr>
        <w:t>4)</w:t>
      </w:r>
      <w:r w:rsidRPr="00732D9A">
        <w:rPr>
          <w:noProof/>
        </w:rPr>
        <w:tab/>
        <w:t>le développement, la maintenance, l’exploitation ou la mise à jour de leurs logiciels;»;</w:t>
      </w:r>
    </w:p>
    <w:p w14:paraId="0A1E61C1" w14:textId="77777777" w:rsidR="00310366" w:rsidRPr="00732D9A" w:rsidRDefault="00310366" w:rsidP="00B105F9">
      <w:pPr>
        <w:pStyle w:val="Point2"/>
        <w:rPr>
          <w:noProof/>
        </w:rPr>
      </w:pPr>
      <w:r w:rsidRPr="00732D9A">
        <w:rPr>
          <w:noProof/>
        </w:rPr>
        <w:t>le point b) est remplacé par le texte suivant: «des critères de préqualification ou critères d’attribution tels que visés aux paragraphes 2 et 2 </w:t>
      </w:r>
      <w:r w:rsidRPr="00732D9A">
        <w:rPr>
          <w:i/>
          <w:iCs/>
          <w:noProof/>
        </w:rPr>
        <w:t>bis</w:t>
      </w:r>
      <w:r w:rsidRPr="00732D9A">
        <w:rPr>
          <w:noProof/>
        </w:rPr>
        <w:t>.»;</w:t>
      </w:r>
    </w:p>
    <w:p w14:paraId="4A98ED13" w14:textId="7A34CC28" w:rsidR="00E91F9E" w:rsidRPr="00732D9A" w:rsidRDefault="00E91F9E" w:rsidP="003247F0">
      <w:pPr>
        <w:pStyle w:val="Point1"/>
        <w:rPr>
          <w:noProof/>
        </w:rPr>
      </w:pPr>
      <w:r w:rsidRPr="00732D9A">
        <w:rPr>
          <w:noProof/>
        </w:rPr>
        <w:t>c)</w:t>
      </w:r>
      <w:r w:rsidRPr="00732D9A">
        <w:rPr>
          <w:noProof/>
        </w:rPr>
        <w:tab/>
        <w:t>le paragraphe</w:t>
      </w:r>
      <w:r w:rsidR="00980FE6">
        <w:rPr>
          <w:noProof/>
        </w:rPr>
        <w:t> </w:t>
      </w:r>
      <w:r w:rsidRPr="00732D9A">
        <w:rPr>
          <w:noProof/>
        </w:rPr>
        <w:t>2 </w:t>
      </w:r>
      <w:r w:rsidRPr="00732D9A">
        <w:rPr>
          <w:i/>
          <w:iCs/>
          <w:noProof/>
        </w:rPr>
        <w:t>bis</w:t>
      </w:r>
      <w:r w:rsidRPr="00732D9A">
        <w:rPr>
          <w:noProof/>
        </w:rPr>
        <w:t xml:space="preserve"> suivant est inséré: «2 </w:t>
      </w:r>
      <w:r w:rsidRPr="00732D9A">
        <w:rPr>
          <w:i/>
          <w:iCs/>
          <w:noProof/>
        </w:rPr>
        <w:t>bis</w:t>
      </w:r>
      <w:r w:rsidRPr="00732D9A">
        <w:rPr>
          <w:noProof/>
        </w:rPr>
        <w:t xml:space="preserve"> Lorsque les enchères ont notamment pour objet les technologies “zéro net” énumérées à l’annexe II, les États membres incluent les critères de préqualification ou les critères d’attribution établis à l’annexe II. Les critères relatifs à certains des principaux composants spécifiques ne s’appliquent que dans la mesure où ces composants sont présents dans le produit final.»; </w:t>
      </w:r>
    </w:p>
    <w:p w14:paraId="67CBC213" w14:textId="77777777" w:rsidR="00310366" w:rsidRPr="00732D9A" w:rsidRDefault="00E352FA" w:rsidP="00F253B8">
      <w:pPr>
        <w:pStyle w:val="Point1"/>
        <w:rPr>
          <w:noProof/>
        </w:rPr>
      </w:pPr>
      <w:r w:rsidRPr="00732D9A">
        <w:rPr>
          <w:noProof/>
        </w:rPr>
        <w:t>d)</w:t>
      </w:r>
      <w:r w:rsidRPr="00732D9A">
        <w:rPr>
          <w:noProof/>
        </w:rPr>
        <w:tab/>
        <w:t>au paragraphe 3, le premier alinéa est remplacé par le texte suivant: «La Commission est habilitée à adopter un acte d’exécution précisant davantage les critères de préqualification et d’attribution visés au paragraphe 1, point a), i), ii) et iii), et au paragraphe 2.»;</w:t>
      </w:r>
    </w:p>
    <w:p w14:paraId="0EE13A62" w14:textId="77777777" w:rsidR="00310366" w:rsidRPr="00732D9A" w:rsidRDefault="00310366" w:rsidP="00F253B8">
      <w:pPr>
        <w:pStyle w:val="Point1"/>
        <w:rPr>
          <w:noProof/>
        </w:rPr>
      </w:pPr>
      <w:r w:rsidRPr="00732D9A">
        <w:rPr>
          <w:noProof/>
        </w:rPr>
        <w:t>e)</w:t>
      </w:r>
      <w:r w:rsidRPr="00732D9A">
        <w:rPr>
          <w:noProof/>
        </w:rPr>
        <w:tab/>
        <w:t>le paragraphe 4 est remplacé par le texte suivant: «4. Lorsque les États membres appliquent les critères visés aux paragraphes 2 et 2 </w:t>
      </w:r>
      <w:r w:rsidRPr="00732D9A">
        <w:rPr>
          <w:i/>
          <w:iCs/>
          <w:noProof/>
        </w:rPr>
        <w:t>bis</w:t>
      </w:r>
      <w:r w:rsidRPr="00732D9A">
        <w:rPr>
          <w:noProof/>
        </w:rPr>
        <w:t xml:space="preserve"> en tant que critères d’attribution, ils attribuent à chacun une pondération minimale de 5 % et une pondération combinée située entre 15 % et 30 % des critères d’attribution. Cette disposition s’entend sans préjudice de la possibilité d’attribuer une pondération plus élevée aux critères visés au paragraphe 2, quatrième alinéa, conformément à toute limitation des critères autres que les prix fixés dans les règles relatives aux aides d’État.»;</w:t>
      </w:r>
    </w:p>
    <w:p w14:paraId="71896F28" w14:textId="77777777" w:rsidR="00310366" w:rsidRPr="00732D9A" w:rsidRDefault="0096181D" w:rsidP="00F253B8">
      <w:pPr>
        <w:pStyle w:val="Point1"/>
        <w:rPr>
          <w:noProof/>
        </w:rPr>
      </w:pPr>
      <w:r w:rsidRPr="00732D9A">
        <w:rPr>
          <w:noProof/>
        </w:rPr>
        <w:t>f)</w:t>
      </w:r>
      <w:r w:rsidRPr="00732D9A">
        <w:rPr>
          <w:noProof/>
        </w:rPr>
        <w:tab/>
        <w:t xml:space="preserve">le paragraphe 5 est remplacé par le texte suivant: «5. Les États membres ne sont pas tenus d’appliquer un ou plusieurs des critères de préqualification et </w:t>
      </w:r>
      <w:r w:rsidRPr="00732D9A">
        <w:rPr>
          <w:noProof/>
        </w:rPr>
        <w:lastRenderedPageBreak/>
        <w:t xml:space="preserve">d’attribution énoncés au paragraphe 1, point a), i), ii) et iii), et au paragraphe 1, point b), lorsque leur application entraînerait des coûts disproportionnés ou des retards importants dans la réalisation du projet en raison de l’indisponibilité des composants ou des produits finaux requis. Les États membres peuvent présumer que des différences de coûts supérieures à 20 % par enchère, estimées sur la base de données objectives et vérifiables, sont disproportionnées. Des retards supérieurs à sept mois, estimés sur la base de données objectives, transparentes et vérifiables, peuvent être considérés comme importants.»; </w:t>
      </w:r>
    </w:p>
    <w:p w14:paraId="407A3C28" w14:textId="77777777" w:rsidR="00310366" w:rsidRPr="00732D9A" w:rsidRDefault="00310366" w:rsidP="00F253B8">
      <w:pPr>
        <w:pStyle w:val="Point1"/>
        <w:rPr>
          <w:noProof/>
        </w:rPr>
      </w:pPr>
      <w:r w:rsidRPr="00732D9A">
        <w:rPr>
          <w:noProof/>
        </w:rPr>
        <w:t>g)</w:t>
      </w:r>
      <w:r w:rsidRPr="00732D9A">
        <w:rPr>
          <w:noProof/>
        </w:rPr>
        <w:tab/>
        <w:t>le paragraphe 7 est remplacé par le texte suivant: «7. Les paragraphes 1 à 5 s’appliquent à 40 % au moins du volume mis aux enchères par an et par État membre ou, à titre d’alternative, à au moins 8 gigawatts par an et par État membre. Le paragraphe 1, point a), ii) et iv), s’applique à 100 % du volume mis aux enchères par État membre.»;</w:t>
      </w:r>
    </w:p>
    <w:p w14:paraId="2C62904A" w14:textId="1B65A2D6" w:rsidR="00E80816" w:rsidRPr="00732D9A" w:rsidRDefault="00EE709A" w:rsidP="00F253B8">
      <w:pPr>
        <w:pStyle w:val="Point1"/>
        <w:rPr>
          <w:noProof/>
        </w:rPr>
      </w:pPr>
      <w:r w:rsidRPr="00732D9A">
        <w:rPr>
          <w:noProof/>
        </w:rPr>
        <w:t>h)</w:t>
      </w:r>
      <w:r w:rsidRPr="00732D9A">
        <w:rPr>
          <w:noProof/>
        </w:rPr>
        <w:tab/>
        <w:t>au paragraphe 8, la partie introductive est remplacée par le texte suivant: «Au plus tard le 31 décembre 2027, la Commission procède à une évaluation complète de l’application des critères visés au paragraphe 2 et de leur effet sur le déploiement accéléré des technologies liées aux énergies renouvelables. Au plus tard le 31 décembre 2029, et tous les deux ans par la suite, la Commission procède à une évaluation complète de l’application des critères visés au</w:t>
      </w:r>
      <w:r w:rsidR="00EA3AA2">
        <w:rPr>
          <w:noProof/>
        </w:rPr>
        <w:t>x</w:t>
      </w:r>
      <w:r w:rsidRPr="00732D9A">
        <w:rPr>
          <w:noProof/>
        </w:rPr>
        <w:t xml:space="preserve"> paragraphes 2 et 2 </w:t>
      </w:r>
      <w:r w:rsidRPr="00732D9A">
        <w:rPr>
          <w:i/>
          <w:iCs/>
          <w:noProof/>
        </w:rPr>
        <w:t>bis</w:t>
      </w:r>
      <w:r w:rsidRPr="00732D9A">
        <w:rPr>
          <w:noProof/>
        </w:rPr>
        <w:t xml:space="preserve"> et de leur effet sur le déploiement accéléré des technologies liées aux énergies renouvelables. En particulier, la Commission évalue l’incidence desdits critères sur:»;</w:t>
      </w:r>
    </w:p>
    <w:p w14:paraId="5C4644D7" w14:textId="77777777" w:rsidR="00310366" w:rsidRPr="00732D9A" w:rsidRDefault="00310366" w:rsidP="00C54CA5">
      <w:pPr>
        <w:pStyle w:val="Point0"/>
        <w:rPr>
          <w:noProof/>
        </w:rPr>
      </w:pPr>
      <w:r w:rsidRPr="00732D9A">
        <w:rPr>
          <w:noProof/>
        </w:rPr>
        <w:t>6)</w:t>
      </w:r>
      <w:r w:rsidRPr="00732D9A">
        <w:rPr>
          <w:noProof/>
        </w:rPr>
        <w:tab/>
        <w:t>Les articles 28 </w:t>
      </w:r>
      <w:r w:rsidRPr="00732D9A">
        <w:rPr>
          <w:i/>
          <w:iCs/>
          <w:noProof/>
        </w:rPr>
        <w:t>bis</w:t>
      </w:r>
      <w:r w:rsidRPr="00732D9A">
        <w:rPr>
          <w:noProof/>
        </w:rPr>
        <w:t xml:space="preserve"> à 28 </w:t>
      </w:r>
      <w:r w:rsidRPr="00732D9A">
        <w:rPr>
          <w:i/>
          <w:iCs/>
          <w:noProof/>
        </w:rPr>
        <w:t>sexies</w:t>
      </w:r>
      <w:r w:rsidRPr="00732D9A">
        <w:rPr>
          <w:noProof/>
        </w:rPr>
        <w:t xml:space="preserve"> suivants sont ajoutés:</w:t>
      </w:r>
    </w:p>
    <w:p w14:paraId="0ECBE3C5" w14:textId="5D544497" w:rsidR="00310366" w:rsidRPr="00732D9A" w:rsidRDefault="00310366" w:rsidP="00310366">
      <w:pPr>
        <w:pStyle w:val="Titrearticle"/>
        <w:rPr>
          <w:b/>
          <w:bCs/>
          <w:i w:val="0"/>
          <w:iCs/>
          <w:noProof/>
        </w:rPr>
      </w:pPr>
      <w:r w:rsidRPr="00732D9A">
        <w:rPr>
          <w:noProof/>
        </w:rPr>
        <w:t>«Article 28 </w:t>
      </w:r>
      <w:r w:rsidRPr="00732D9A">
        <w:rPr>
          <w:i w:val="0"/>
          <w:noProof/>
        </w:rPr>
        <w:t>bis</w:t>
      </w:r>
      <w:r w:rsidRPr="00732D9A">
        <w:rPr>
          <w:noProof/>
        </w:rPr>
        <w:t xml:space="preserve"> </w:t>
      </w:r>
      <w:r w:rsidRPr="00732D9A">
        <w:rPr>
          <w:noProof/>
        </w:rPr>
        <w:br/>
      </w:r>
      <w:r w:rsidRPr="00732D9A">
        <w:rPr>
          <w:b/>
          <w:i w:val="0"/>
          <w:noProof/>
        </w:rPr>
        <w:t>Exigences en matière d’origine pour d’autres formes d’intervention publique</w:t>
      </w:r>
    </w:p>
    <w:p w14:paraId="3EEDB31D" w14:textId="77777777" w:rsidR="00310366" w:rsidRPr="00732D9A" w:rsidRDefault="00310366" w:rsidP="007234F4">
      <w:pPr>
        <w:pStyle w:val="ManualNumPar1"/>
        <w:rPr>
          <w:noProof/>
        </w:rPr>
      </w:pPr>
      <w:r w:rsidRPr="00732D9A">
        <w:rPr>
          <w:noProof/>
        </w:rPr>
        <w:t>1.</w:t>
      </w:r>
      <w:r w:rsidRPr="00732D9A">
        <w:rPr>
          <w:noProof/>
        </w:rPr>
        <w:tab/>
        <w:t>Sans préjudice des articles 107 et 108 du TFUE, les régimes d’aide visés à l’annexe II comprennent les exigences qui sont énoncées dans ladite annexe. Les exigences relatives à certains des principaux composants spécifiques ne s’appliquent que dans la mesure où ces composants sont présents dans le produit final.</w:t>
      </w:r>
    </w:p>
    <w:p w14:paraId="3FFD425E" w14:textId="77777777" w:rsidR="00310366" w:rsidRPr="00732D9A" w:rsidRDefault="00310366" w:rsidP="005260AB">
      <w:pPr>
        <w:pStyle w:val="ManualNumPar1"/>
        <w:rPr>
          <w:noProof/>
        </w:rPr>
      </w:pPr>
      <w:r w:rsidRPr="00732D9A">
        <w:rPr>
          <w:noProof/>
        </w:rPr>
        <w:t>2.</w:t>
      </w:r>
      <w:r w:rsidRPr="00732D9A">
        <w:rPr>
          <w:noProof/>
        </w:rPr>
        <w:tab/>
        <w:t>Lors de la conception et de la mise en œuvre d’un régime au titre du paragraphe 1, l’autorité évalue le respect des exigences sur la base d’un processus ouvert, non discriminatoire et transparent.</w:t>
      </w:r>
    </w:p>
    <w:p w14:paraId="71E7DA06" w14:textId="77777777" w:rsidR="001A7705" w:rsidRPr="00732D9A" w:rsidRDefault="00310366" w:rsidP="00EE119B">
      <w:pPr>
        <w:pStyle w:val="ManualNumPar1"/>
        <w:rPr>
          <w:noProof/>
        </w:rPr>
      </w:pPr>
      <w:r w:rsidRPr="00732D9A">
        <w:rPr>
          <w:noProof/>
        </w:rPr>
        <w:t>3.</w:t>
      </w:r>
      <w:r w:rsidRPr="00732D9A">
        <w:rPr>
          <w:noProof/>
        </w:rPr>
        <w:tab/>
        <w:t xml:space="preserve">Lorsqu’une compensation financière supplémentaire est accordée, elle ne saurait excéder 15 % du coût du produit final pour le consommateur, y compris les frais de transport et d’installation, le cas échéant, sauf dans le cadre des régimes ciblant les citoyens en situation de précarité énergétique, au sens de l’article 2, point 1), du règlement (UE) 2023/955 du Parlement européen et du Conseil </w:t>
      </w:r>
      <w:hyperlink r:id="rId19" w:anchor="ntr57-L_202401735EN.000101-E0057" w:history="1">
        <w:r w:rsidRPr="00732D9A">
          <w:rPr>
            <w:rStyle w:val="Hyperlink"/>
            <w:noProof/>
          </w:rPr>
          <w:t>(</w:t>
        </w:r>
        <w:r w:rsidRPr="00732D9A">
          <w:rPr>
            <w:rStyle w:val="Hyperlink"/>
            <w:noProof/>
            <w:vertAlign w:val="superscript"/>
          </w:rPr>
          <w:t>57</w:t>
        </w:r>
        <w:r w:rsidRPr="00732D9A">
          <w:rPr>
            <w:rStyle w:val="Hyperlink"/>
            <w:noProof/>
          </w:rPr>
          <w:t>)</w:t>
        </w:r>
      </w:hyperlink>
      <w:r w:rsidRPr="00732D9A">
        <w:rPr>
          <w:noProof/>
        </w:rPr>
        <w:t>, pour lesquels cette limite est fixée à 20 %.</w:t>
      </w:r>
    </w:p>
    <w:p w14:paraId="66A41C20" w14:textId="04D83DAF" w:rsidR="00310366" w:rsidRPr="00732D9A" w:rsidRDefault="00310366" w:rsidP="00310366">
      <w:pPr>
        <w:pStyle w:val="Titrearticle"/>
        <w:rPr>
          <w:b/>
          <w:bCs/>
          <w:i w:val="0"/>
          <w:iCs/>
          <w:noProof/>
        </w:rPr>
      </w:pPr>
      <w:r w:rsidRPr="00732D9A">
        <w:rPr>
          <w:noProof/>
        </w:rPr>
        <w:t>Article 28 </w:t>
      </w:r>
      <w:r w:rsidRPr="00732D9A">
        <w:rPr>
          <w:i w:val="0"/>
          <w:noProof/>
        </w:rPr>
        <w:t>ter</w:t>
      </w:r>
      <w:r w:rsidRPr="00732D9A">
        <w:rPr>
          <w:noProof/>
        </w:rPr>
        <w:t xml:space="preserve"> </w:t>
      </w:r>
      <w:r w:rsidRPr="00732D9A">
        <w:rPr>
          <w:noProof/>
        </w:rPr>
        <w:br/>
      </w:r>
      <w:r w:rsidRPr="00732D9A">
        <w:rPr>
          <w:b/>
          <w:i w:val="0"/>
          <w:noProof/>
        </w:rPr>
        <w:t xml:space="preserve">Limitations applicables aux fournisseurs à haut risque pour d’autres formes d’intervention publique </w:t>
      </w:r>
    </w:p>
    <w:p w14:paraId="40D7F2E2" w14:textId="77777777" w:rsidR="00310366" w:rsidRPr="00732D9A" w:rsidRDefault="00310366" w:rsidP="002D0209">
      <w:pPr>
        <w:pStyle w:val="Text0"/>
        <w:rPr>
          <w:noProof/>
        </w:rPr>
      </w:pPr>
      <w:r w:rsidRPr="00732D9A">
        <w:rPr>
          <w:noProof/>
        </w:rPr>
        <w:t>En ce qui concerne les régimes d’aide relevant du champ d’application des articles 28 et 28 </w:t>
      </w:r>
      <w:r w:rsidRPr="00732D9A">
        <w:rPr>
          <w:i/>
          <w:iCs/>
          <w:noProof/>
        </w:rPr>
        <w:t>bis</w:t>
      </w:r>
      <w:r w:rsidRPr="00732D9A">
        <w:rPr>
          <w:noProof/>
        </w:rPr>
        <w:t xml:space="preserve"> qui comprennent des systèmes de contrôle, des systèmes de contrôle de gestion, des systèmes de surveillance et d’acquisition de données, des systèmes d’accès à distance ou des </w:t>
      </w:r>
      <w:r w:rsidRPr="00732D9A">
        <w:rPr>
          <w:noProof/>
        </w:rPr>
        <w:lastRenderedPageBreak/>
        <w:t xml:space="preserve">pare-feu, les États membres conçoivent ces régimes de manière à garantir que les bénéficiaires n’y sont éligibles que lorsque les fournisseurs recensés comme étant des fournisseurs à haut risque au sens du règlement xxxx/xxxx [CSA2] ne participent pas aux processus suivants: </w:t>
      </w:r>
    </w:p>
    <w:p w14:paraId="378D9A39" w14:textId="77777777" w:rsidR="00310366" w:rsidRPr="00732D9A" w:rsidRDefault="002B73B6" w:rsidP="007234F4">
      <w:pPr>
        <w:pStyle w:val="Point1"/>
        <w:rPr>
          <w:noProof/>
        </w:rPr>
      </w:pPr>
      <w:r w:rsidRPr="00732D9A">
        <w:rPr>
          <w:noProof/>
        </w:rPr>
        <w:t>a)</w:t>
      </w:r>
      <w:r w:rsidRPr="00732D9A">
        <w:rPr>
          <w:noProof/>
        </w:rPr>
        <w:tab/>
        <w:t xml:space="preserve">la fourniture de ces produits ou systèmes; </w:t>
      </w:r>
    </w:p>
    <w:p w14:paraId="4E62598B" w14:textId="77777777" w:rsidR="00310366" w:rsidRPr="00732D9A" w:rsidRDefault="002B73B6" w:rsidP="007234F4">
      <w:pPr>
        <w:pStyle w:val="Point1"/>
        <w:rPr>
          <w:noProof/>
        </w:rPr>
      </w:pPr>
      <w:r w:rsidRPr="00732D9A">
        <w:rPr>
          <w:noProof/>
        </w:rPr>
        <w:t>b)</w:t>
      </w:r>
      <w:r w:rsidRPr="00732D9A">
        <w:rPr>
          <w:noProof/>
        </w:rPr>
        <w:tab/>
        <w:t xml:space="preserve">la conception, le développement ou la production de ces produits ou systèmes; </w:t>
      </w:r>
    </w:p>
    <w:p w14:paraId="2E12055C" w14:textId="77777777" w:rsidR="00310366" w:rsidRPr="00732D9A" w:rsidRDefault="0087486D" w:rsidP="007234F4">
      <w:pPr>
        <w:pStyle w:val="Point1"/>
        <w:rPr>
          <w:noProof/>
        </w:rPr>
      </w:pPr>
      <w:r w:rsidRPr="00732D9A">
        <w:rPr>
          <w:noProof/>
        </w:rPr>
        <w:t>c)</w:t>
      </w:r>
      <w:r w:rsidRPr="00732D9A">
        <w:rPr>
          <w:noProof/>
        </w:rPr>
        <w:tab/>
        <w:t xml:space="preserve">la gestion, le contrôle ou l’exploitation de ces produits ou systèmes; </w:t>
      </w:r>
    </w:p>
    <w:p w14:paraId="0464686D" w14:textId="77777777" w:rsidR="00310366" w:rsidRPr="00732D9A" w:rsidRDefault="002B73B6" w:rsidP="007234F4">
      <w:pPr>
        <w:pStyle w:val="Point1"/>
        <w:rPr>
          <w:noProof/>
        </w:rPr>
      </w:pPr>
      <w:r w:rsidRPr="00732D9A">
        <w:rPr>
          <w:noProof/>
        </w:rPr>
        <w:t>d)</w:t>
      </w:r>
      <w:r w:rsidRPr="00732D9A">
        <w:rPr>
          <w:noProof/>
        </w:rPr>
        <w:tab/>
        <w:t xml:space="preserve">le développement, la maintenance, l’exploitation ou la mise à jour de leurs logiciels. </w:t>
      </w:r>
    </w:p>
    <w:p w14:paraId="1B06D473" w14:textId="76C31A78" w:rsidR="00310366" w:rsidRPr="00732D9A" w:rsidRDefault="00310366" w:rsidP="00310366">
      <w:pPr>
        <w:pStyle w:val="Titrearticle"/>
        <w:rPr>
          <w:noProof/>
        </w:rPr>
      </w:pPr>
      <w:r w:rsidRPr="00732D9A">
        <w:rPr>
          <w:noProof/>
        </w:rPr>
        <w:t>Article 28 </w:t>
      </w:r>
      <w:r w:rsidRPr="00732D9A">
        <w:rPr>
          <w:i w:val="0"/>
          <w:noProof/>
        </w:rPr>
        <w:t>quater</w:t>
      </w:r>
      <w:r w:rsidRPr="00732D9A">
        <w:rPr>
          <w:noProof/>
        </w:rPr>
        <w:t xml:space="preserve"> </w:t>
      </w:r>
      <w:r w:rsidRPr="00732D9A">
        <w:rPr>
          <w:noProof/>
        </w:rPr>
        <w:br/>
      </w:r>
      <w:r w:rsidRPr="00732D9A">
        <w:rPr>
          <w:b/>
          <w:i w:val="0"/>
          <w:noProof/>
        </w:rPr>
        <w:t>Exigences en matière d’origine UE pour le soutien des États membres à la construction et à la fabrication de technologies “zéro net”</w:t>
      </w:r>
    </w:p>
    <w:p w14:paraId="7010F1C0" w14:textId="77777777" w:rsidR="00310366" w:rsidRPr="00732D9A" w:rsidRDefault="00310366" w:rsidP="007234F4">
      <w:pPr>
        <w:pStyle w:val="ManualNumPar1"/>
        <w:rPr>
          <w:noProof/>
        </w:rPr>
      </w:pPr>
      <w:r w:rsidRPr="00732D9A">
        <w:rPr>
          <w:noProof/>
        </w:rPr>
        <w:t>1.</w:t>
      </w:r>
      <w:r w:rsidRPr="00732D9A">
        <w:rPr>
          <w:noProof/>
        </w:rPr>
        <w:tab/>
        <w:t>Sans préjudice des articles 107 et 108 du TFUE et conformément aux engagements internationaux de l’Union, lorsque les États membres soutiennent la construction ou la fabrication de produits finaux de technologie “zéro net” visés à l’annexe II du présent règlement, ils veillent à ce que les exigences en matière d’origine UE énoncées dans ladite annexe soient respectées. Les exigences relatives à certains des principaux composants spécifiques ne s’appliquent que dans la mesure où ces composants sont présents dans le produit final.</w:t>
      </w:r>
    </w:p>
    <w:p w14:paraId="551758DF" w14:textId="77777777" w:rsidR="00310366" w:rsidRPr="00732D9A" w:rsidRDefault="00310366" w:rsidP="005260AB">
      <w:pPr>
        <w:pStyle w:val="ManualNumPar1"/>
        <w:rPr>
          <w:noProof/>
        </w:rPr>
      </w:pPr>
      <w:r w:rsidRPr="00732D9A">
        <w:rPr>
          <w:noProof/>
        </w:rPr>
        <w:t>2.</w:t>
      </w:r>
      <w:r w:rsidRPr="00732D9A">
        <w:rPr>
          <w:noProof/>
        </w:rPr>
        <w:tab/>
        <w:t xml:space="preserve">Les États membres peuvent décider de ne pas appliquer une ou plusieurs des exigences visées au paragraphe 1 lorsque l’une des conditions suivantes est remplie: </w:t>
      </w:r>
    </w:p>
    <w:p w14:paraId="7BB9423E" w14:textId="77777777" w:rsidR="00310366" w:rsidRPr="00732D9A" w:rsidRDefault="00310366" w:rsidP="007234F4">
      <w:pPr>
        <w:pStyle w:val="Point1"/>
        <w:rPr>
          <w:noProof/>
        </w:rPr>
      </w:pPr>
      <w:r w:rsidRPr="00732D9A">
        <w:rPr>
          <w:noProof/>
        </w:rPr>
        <w:t>a)</w:t>
      </w:r>
      <w:r w:rsidRPr="00732D9A">
        <w:rPr>
          <w:noProof/>
        </w:rPr>
        <w:tab/>
        <w:t>les composants requis ne peuvent être fournis que par un opérateur économique spécifique et il n’existe aucune solution de remplacement ou de substitution raisonnable, et l’absence de concurrence ne résulte pas d’une restriction artificielle des paramètres de la procédure de passation de marchés publics ou de concessions;</w:t>
      </w:r>
    </w:p>
    <w:p w14:paraId="0D2F3F8F" w14:textId="77777777" w:rsidR="00310366" w:rsidRPr="00732D9A" w:rsidRDefault="00E10E5B" w:rsidP="007234F4">
      <w:pPr>
        <w:pStyle w:val="Point1"/>
        <w:rPr>
          <w:noProof/>
        </w:rPr>
      </w:pPr>
      <w:r w:rsidRPr="00732D9A">
        <w:rPr>
          <w:noProof/>
        </w:rPr>
        <w:t>b)</w:t>
      </w:r>
      <w:r w:rsidRPr="00732D9A">
        <w:rPr>
          <w:noProof/>
        </w:rPr>
        <w:tab/>
        <w:t xml:space="preserve">leur application entraînerait des coûts disproportionnés ou une incompatibilité technique d’exploitation et de maintenance. Des différences de coûts supérieures à 25 %, estimées sur la base de données objectives et transparentes, peuvent être considérées comme disproportionnées. </w:t>
      </w:r>
    </w:p>
    <w:p w14:paraId="68A60E50" w14:textId="77777777" w:rsidR="00310366" w:rsidRPr="00732D9A" w:rsidRDefault="00B117A5" w:rsidP="007234F4">
      <w:pPr>
        <w:pStyle w:val="Point1"/>
        <w:rPr>
          <w:noProof/>
        </w:rPr>
      </w:pPr>
      <w:r w:rsidRPr="00732D9A">
        <w:rPr>
          <w:noProof/>
        </w:rPr>
        <w:t>c)</w:t>
      </w:r>
      <w:r w:rsidRPr="00732D9A">
        <w:rPr>
          <w:noProof/>
        </w:rPr>
        <w:tab/>
        <w:t>leur application compromettrait le projet ou entraînerait des retards importants dans sa réalisation en raison de l’indisponibilité des composants ou des produits finaux requis. Des retards supérieurs à sept mois, estimés sur la base de données objectives, transparentes et vérifiables, peuvent être considérés comme importants.</w:t>
      </w:r>
    </w:p>
    <w:p w14:paraId="45800A33" w14:textId="77777777" w:rsidR="00310366" w:rsidRPr="00732D9A" w:rsidRDefault="00310366" w:rsidP="005260AB">
      <w:pPr>
        <w:pStyle w:val="ManualNumPar1"/>
        <w:rPr>
          <w:noProof/>
        </w:rPr>
      </w:pPr>
      <w:r w:rsidRPr="00732D9A">
        <w:rPr>
          <w:noProof/>
        </w:rPr>
        <w:t>3.</w:t>
      </w:r>
      <w:r w:rsidRPr="00732D9A">
        <w:rPr>
          <w:noProof/>
        </w:rPr>
        <w:tab/>
        <w:t>Sans préjudice des articles 107 et 108 du traité sur le fonctionnement de l’Union européenne et conformément aux engagements internationaux de l’Union, lorsque les États membres soutiennent la fabrication de produits finaux de technologie “zéro net” visés à l’annexe II du présent règlement et comprenant des systèmes de contrôle, des systèmes de contrôle de gestion, des systèmes de surveillance et d’acquisition de données, des systèmes d’accès à distance ou des pare-feu, ils veillent à ce que les fournisseurs recensés comme fournisseurs à haut risque au sens du règlement xxxx/xxxx [CSA2] ne participent pas aux processus suivants:</w:t>
      </w:r>
    </w:p>
    <w:p w14:paraId="5C141906" w14:textId="77777777" w:rsidR="00310366" w:rsidRPr="00732D9A" w:rsidRDefault="00164066" w:rsidP="007234F4">
      <w:pPr>
        <w:pStyle w:val="Point1"/>
        <w:rPr>
          <w:noProof/>
        </w:rPr>
      </w:pPr>
      <w:r w:rsidRPr="00732D9A">
        <w:rPr>
          <w:noProof/>
        </w:rPr>
        <w:t>a)</w:t>
      </w:r>
      <w:r w:rsidRPr="00732D9A">
        <w:rPr>
          <w:noProof/>
        </w:rPr>
        <w:tab/>
        <w:t xml:space="preserve">la fourniture de ces produits ou systèmes; </w:t>
      </w:r>
    </w:p>
    <w:p w14:paraId="0A10D47F" w14:textId="77777777" w:rsidR="00310366" w:rsidRPr="00732D9A" w:rsidRDefault="00164066" w:rsidP="007234F4">
      <w:pPr>
        <w:pStyle w:val="Point1"/>
        <w:rPr>
          <w:noProof/>
        </w:rPr>
      </w:pPr>
      <w:r w:rsidRPr="00732D9A">
        <w:rPr>
          <w:noProof/>
        </w:rPr>
        <w:lastRenderedPageBreak/>
        <w:t>b)</w:t>
      </w:r>
      <w:r w:rsidRPr="00732D9A">
        <w:rPr>
          <w:noProof/>
        </w:rPr>
        <w:tab/>
        <w:t xml:space="preserve">la conception, le développement ou la production de ces produits ou systèmes; </w:t>
      </w:r>
    </w:p>
    <w:p w14:paraId="42B4D365" w14:textId="77777777" w:rsidR="00310366" w:rsidRPr="00732D9A" w:rsidRDefault="00164066" w:rsidP="007234F4">
      <w:pPr>
        <w:pStyle w:val="Point1"/>
        <w:rPr>
          <w:noProof/>
        </w:rPr>
      </w:pPr>
      <w:r w:rsidRPr="00732D9A">
        <w:rPr>
          <w:noProof/>
        </w:rPr>
        <w:t>c)</w:t>
      </w:r>
      <w:r w:rsidRPr="00732D9A">
        <w:rPr>
          <w:noProof/>
        </w:rPr>
        <w:tab/>
        <w:t xml:space="preserve">la gestion, le contrôle ou l’exploitation de ces produits ou systèmes; </w:t>
      </w:r>
    </w:p>
    <w:p w14:paraId="2E1E9991" w14:textId="77777777" w:rsidR="00310366" w:rsidRPr="00732D9A" w:rsidRDefault="00164066" w:rsidP="007234F4">
      <w:pPr>
        <w:pStyle w:val="Point1"/>
        <w:rPr>
          <w:noProof/>
        </w:rPr>
      </w:pPr>
      <w:r w:rsidRPr="00732D9A">
        <w:rPr>
          <w:noProof/>
        </w:rPr>
        <w:t>d)</w:t>
      </w:r>
      <w:r w:rsidRPr="00732D9A">
        <w:rPr>
          <w:noProof/>
        </w:rPr>
        <w:tab/>
        <w:t>le développement, la maintenance, l’exploitation ou la mise à jour de leurs logiciels.</w:t>
      </w:r>
    </w:p>
    <w:p w14:paraId="66F61B47" w14:textId="35DB5AC4" w:rsidR="00310366" w:rsidRPr="00732D9A" w:rsidRDefault="00310366" w:rsidP="00310366">
      <w:pPr>
        <w:pStyle w:val="Titrearticle"/>
        <w:rPr>
          <w:b/>
          <w:bCs/>
          <w:i w:val="0"/>
          <w:iCs/>
          <w:noProof/>
        </w:rPr>
      </w:pPr>
      <w:r w:rsidRPr="00732D9A">
        <w:rPr>
          <w:noProof/>
        </w:rPr>
        <w:t>Article 28 </w:t>
      </w:r>
      <w:r w:rsidRPr="00732D9A">
        <w:rPr>
          <w:i w:val="0"/>
          <w:noProof/>
        </w:rPr>
        <w:t>quinquies</w:t>
      </w:r>
      <w:r w:rsidRPr="00732D9A">
        <w:rPr>
          <w:noProof/>
        </w:rPr>
        <w:t xml:space="preserve"> </w:t>
      </w:r>
      <w:r w:rsidRPr="00732D9A">
        <w:rPr>
          <w:noProof/>
        </w:rPr>
        <w:br/>
      </w:r>
      <w:r w:rsidRPr="00732D9A">
        <w:rPr>
          <w:b/>
          <w:i w:val="0"/>
          <w:noProof/>
        </w:rPr>
        <w:t>Origine UE</w:t>
      </w:r>
    </w:p>
    <w:p w14:paraId="0A815733" w14:textId="77777777" w:rsidR="00D52C27" w:rsidRPr="00732D9A" w:rsidRDefault="00310366" w:rsidP="007234F4">
      <w:pPr>
        <w:pStyle w:val="ManualNumPar1"/>
        <w:rPr>
          <w:noProof/>
        </w:rPr>
      </w:pPr>
      <w:r w:rsidRPr="00732D9A">
        <w:rPr>
          <w:noProof/>
        </w:rPr>
        <w:t>1.</w:t>
      </w:r>
      <w:r w:rsidRPr="00732D9A">
        <w:rPr>
          <w:noProof/>
        </w:rPr>
        <w:tab/>
        <w:t>Aux fins des articles 25 </w:t>
      </w:r>
      <w:r w:rsidRPr="00732D9A">
        <w:rPr>
          <w:i/>
          <w:iCs/>
          <w:noProof/>
        </w:rPr>
        <w:t>bis</w:t>
      </w:r>
      <w:r w:rsidRPr="00732D9A">
        <w:rPr>
          <w:noProof/>
        </w:rPr>
        <w:t>, 26, 28 </w:t>
      </w:r>
      <w:r w:rsidRPr="00732D9A">
        <w:rPr>
          <w:i/>
          <w:iCs/>
          <w:noProof/>
        </w:rPr>
        <w:t xml:space="preserve">bis </w:t>
      </w:r>
      <w:r w:rsidRPr="00732D9A">
        <w:rPr>
          <w:noProof/>
        </w:rPr>
        <w:t>et 28 </w:t>
      </w:r>
      <w:r w:rsidRPr="00732D9A">
        <w:rPr>
          <w:i/>
          <w:iCs/>
          <w:noProof/>
        </w:rPr>
        <w:t>quater</w:t>
      </w:r>
      <w:r w:rsidRPr="00732D9A">
        <w:rPr>
          <w:noProof/>
        </w:rPr>
        <w:t>, on entend par “contenu d’origine UE” tout contenu originaire de l’Union.</w:t>
      </w:r>
    </w:p>
    <w:p w14:paraId="1EFB024A" w14:textId="77777777" w:rsidR="00310366" w:rsidRPr="00732D9A" w:rsidRDefault="00310366" w:rsidP="007234F4">
      <w:pPr>
        <w:pStyle w:val="ManualNumPar1"/>
        <w:rPr>
          <w:noProof/>
        </w:rPr>
      </w:pPr>
      <w:r w:rsidRPr="00732D9A">
        <w:rPr>
          <w:noProof/>
        </w:rPr>
        <w:t>2.</w:t>
      </w:r>
      <w:r w:rsidRPr="00732D9A">
        <w:rPr>
          <w:noProof/>
        </w:rPr>
        <w:tab/>
        <w:t>L’origine des produits et des composants est déterminée conformément au règlement (UE) nº 952/2013 du Parlement européen et du Conseil.</w:t>
      </w:r>
    </w:p>
    <w:p w14:paraId="1E93A4A8" w14:textId="77777777" w:rsidR="005A00D3" w:rsidRPr="00732D9A" w:rsidRDefault="005A00D3" w:rsidP="005A00D3">
      <w:pPr>
        <w:pStyle w:val="Titrearticle"/>
        <w:spacing w:before="0" w:after="0"/>
        <w:rPr>
          <w:noProof/>
        </w:rPr>
      </w:pPr>
      <w:r w:rsidRPr="00732D9A">
        <w:rPr>
          <w:noProof/>
        </w:rPr>
        <w:t>Article 28 </w:t>
      </w:r>
      <w:r w:rsidRPr="00732D9A">
        <w:rPr>
          <w:i w:val="0"/>
          <w:noProof/>
        </w:rPr>
        <w:t>sexies</w:t>
      </w:r>
    </w:p>
    <w:p w14:paraId="2120775B" w14:textId="77777777" w:rsidR="005A00D3" w:rsidRPr="00732D9A" w:rsidRDefault="005A00D3" w:rsidP="005A00D3">
      <w:pPr>
        <w:pStyle w:val="Titrearticle"/>
        <w:spacing w:before="0" w:after="0"/>
        <w:rPr>
          <w:b/>
          <w:i w:val="0"/>
          <w:noProof/>
        </w:rPr>
      </w:pPr>
      <w:r w:rsidRPr="00732D9A">
        <w:rPr>
          <w:b/>
          <w:i w:val="0"/>
          <w:noProof/>
        </w:rPr>
        <w:t>Contenus équivalents à des contenus d’origine UE dans le cadre des marchés publics</w:t>
      </w:r>
    </w:p>
    <w:p w14:paraId="758FABFB" w14:textId="77777777" w:rsidR="005A00D3" w:rsidRPr="00732D9A" w:rsidRDefault="005A00D3" w:rsidP="007234F4">
      <w:pPr>
        <w:pStyle w:val="ManualNumPar1"/>
        <w:rPr>
          <w:noProof/>
        </w:rPr>
      </w:pPr>
      <w:r w:rsidRPr="00732D9A">
        <w:rPr>
          <w:noProof/>
        </w:rPr>
        <w:t>1.</w:t>
      </w:r>
      <w:r w:rsidRPr="00732D9A">
        <w:rPr>
          <w:noProof/>
        </w:rPr>
        <w:tab/>
        <w:t>En ce qui concerne les exigences en matière d’origine UE visées à l’article 25 </w:t>
      </w:r>
      <w:r w:rsidRPr="00732D9A">
        <w:rPr>
          <w:i/>
          <w:iCs/>
          <w:noProof/>
        </w:rPr>
        <w:t>bis</w:t>
      </w:r>
      <w:r w:rsidRPr="00732D9A">
        <w:rPr>
          <w:noProof/>
        </w:rPr>
        <w:t xml:space="preserve">, les contenus originaires de pays tiers avec lesquels l’Union a conclu un accord établissant une zone de libre-échange ou une union douanière, ou qui sont parties à l’accord sur les marchés publics, lorsque des obligations pertinentes de l’Union existent au titre de cet accord, sont réputés d’origine UE. </w:t>
      </w:r>
    </w:p>
    <w:p w14:paraId="23C5B8CB" w14:textId="77777777" w:rsidR="00BF3A9F" w:rsidRPr="00732D9A" w:rsidRDefault="005A00D3" w:rsidP="007234F4">
      <w:pPr>
        <w:pStyle w:val="ManualNumPar1"/>
        <w:rPr>
          <w:noProof/>
        </w:rPr>
      </w:pPr>
      <w:r w:rsidRPr="00732D9A">
        <w:rPr>
          <w:noProof/>
        </w:rPr>
        <w:t>2.</w:t>
      </w:r>
      <w:r w:rsidRPr="00732D9A">
        <w:rPr>
          <w:noProof/>
        </w:rPr>
        <w:tab/>
        <w:t xml:space="preserve">La Commission adopte des actes délégués en vertu de l’article 44 afin d’exclure, en tout ou en partie, un pays tiers du champ d’application du paragraphe 1 sur la base de l’un des critères suivants: </w:t>
      </w:r>
    </w:p>
    <w:p w14:paraId="734EF9EB" w14:textId="77777777" w:rsidR="00905097" w:rsidRPr="00732D9A" w:rsidRDefault="009D0EEA" w:rsidP="007234F4">
      <w:pPr>
        <w:pStyle w:val="Point1"/>
        <w:rPr>
          <w:noProof/>
        </w:rPr>
      </w:pPr>
      <w:r w:rsidRPr="00732D9A">
        <w:rPr>
          <w:noProof/>
        </w:rPr>
        <w:t>e)</w:t>
      </w:r>
      <w:r w:rsidRPr="00732D9A">
        <w:rPr>
          <w:noProof/>
        </w:rPr>
        <w:tab/>
        <w:t>ce pays tiers n’a pas accordé le traitement national lié aux produits ou entités de l’Union au titre des accords visés au paragraphe 1 en ce qui concerne toutes les technologies “zéro net” énumérées à l’article 4, point 1);</w:t>
      </w:r>
    </w:p>
    <w:p w14:paraId="37D692B9" w14:textId="77777777" w:rsidR="005A00D3" w:rsidRPr="00732D9A" w:rsidRDefault="005A00D3" w:rsidP="007234F4">
      <w:pPr>
        <w:pStyle w:val="Point1"/>
        <w:rPr>
          <w:noProof/>
        </w:rPr>
      </w:pPr>
      <w:r w:rsidRPr="00732D9A">
        <w:rPr>
          <w:noProof/>
        </w:rPr>
        <w:t>f)</w:t>
      </w:r>
      <w:r w:rsidRPr="00732D9A">
        <w:rPr>
          <w:noProof/>
        </w:rPr>
        <w:tab/>
        <w:t>cette exclusion est justifiée afin d’éviter des dépendances ou toute autre évolution susceptible de compromettre la sécurité d’approvisionnement de l’Union en ce qui concerne les produits en question;</w:t>
      </w:r>
    </w:p>
    <w:p w14:paraId="3DC7A1D8" w14:textId="77777777" w:rsidR="005A00D3" w:rsidRPr="00732D9A" w:rsidRDefault="005A00D3" w:rsidP="007234F4">
      <w:pPr>
        <w:pStyle w:val="Point1"/>
        <w:rPr>
          <w:noProof/>
        </w:rPr>
      </w:pPr>
      <w:r w:rsidRPr="00732D9A">
        <w:rPr>
          <w:noProof/>
        </w:rPr>
        <w:t>g)</w:t>
      </w:r>
      <w:r w:rsidRPr="00732D9A">
        <w:rPr>
          <w:noProof/>
        </w:rPr>
        <w:tab/>
        <w:t>cette exclusion est justifiée en vertu de toute autre exception prévue par l’accord applicable.</w:t>
      </w:r>
    </w:p>
    <w:p w14:paraId="2E989EC1" w14:textId="77777777" w:rsidR="00A05BEC" w:rsidRPr="00732D9A" w:rsidRDefault="00A05BEC" w:rsidP="00A05BEC">
      <w:pPr>
        <w:pStyle w:val="Titrearticle"/>
        <w:spacing w:before="0" w:after="0"/>
        <w:rPr>
          <w:noProof/>
        </w:rPr>
      </w:pPr>
      <w:r w:rsidRPr="00732D9A">
        <w:rPr>
          <w:noProof/>
        </w:rPr>
        <w:t>Article 28 </w:t>
      </w:r>
      <w:r w:rsidRPr="00732D9A">
        <w:rPr>
          <w:i w:val="0"/>
          <w:noProof/>
        </w:rPr>
        <w:t>septies</w:t>
      </w:r>
    </w:p>
    <w:p w14:paraId="300F304D" w14:textId="77777777" w:rsidR="00A05BEC" w:rsidRPr="00732D9A" w:rsidRDefault="00A05BEC" w:rsidP="00A05BEC">
      <w:pPr>
        <w:pStyle w:val="Titrearticle"/>
        <w:spacing w:before="0" w:after="0"/>
        <w:rPr>
          <w:b/>
          <w:i w:val="0"/>
          <w:noProof/>
        </w:rPr>
      </w:pPr>
      <w:r w:rsidRPr="00732D9A">
        <w:rPr>
          <w:b/>
          <w:i w:val="0"/>
          <w:noProof/>
        </w:rPr>
        <w:t>Contenus équivalents à des contenus d’origine UE dans le cadre des enchères</w:t>
      </w:r>
    </w:p>
    <w:p w14:paraId="51BCB9D0" w14:textId="77777777" w:rsidR="00A05BEC" w:rsidRPr="00732D9A" w:rsidRDefault="00A05BEC" w:rsidP="00097B5F">
      <w:pPr>
        <w:pStyle w:val="ManualNumPar1"/>
        <w:rPr>
          <w:noProof/>
        </w:rPr>
      </w:pPr>
      <w:r w:rsidRPr="00732D9A">
        <w:rPr>
          <w:noProof/>
        </w:rPr>
        <w:t>3.</w:t>
      </w:r>
      <w:r w:rsidRPr="00732D9A">
        <w:rPr>
          <w:noProof/>
        </w:rPr>
        <w:tab/>
        <w:t xml:space="preserve">En ce qui concerne les exigences en matière d’origine UE visées à l’article 26, les contenus originaires de pays tiers avec lesquels l’Union a conclu un accord établissant une zone de libre-échange ou une union douanière sont réputés d’origine UE. </w:t>
      </w:r>
    </w:p>
    <w:p w14:paraId="5031311C" w14:textId="77777777" w:rsidR="00BF3A9F" w:rsidRPr="00732D9A" w:rsidRDefault="00A05BEC" w:rsidP="007234F4">
      <w:pPr>
        <w:pStyle w:val="ManualNumPar1"/>
        <w:rPr>
          <w:noProof/>
        </w:rPr>
      </w:pPr>
      <w:r w:rsidRPr="00732D9A">
        <w:rPr>
          <w:noProof/>
        </w:rPr>
        <w:t>4.</w:t>
      </w:r>
      <w:r w:rsidRPr="00732D9A">
        <w:rPr>
          <w:noProof/>
        </w:rPr>
        <w:tab/>
        <w:t xml:space="preserve">La Commission adopte des actes délégués en vertu de l’article 44 afin d’exclure, en tout ou en partie, un pays tiers du champ d’application du paragraphe 1 sur la base de l’un des critères suivants: </w:t>
      </w:r>
    </w:p>
    <w:p w14:paraId="0A35E321" w14:textId="77777777" w:rsidR="00905097" w:rsidRPr="00732D9A" w:rsidRDefault="004D62CD" w:rsidP="007234F4">
      <w:pPr>
        <w:pStyle w:val="Point1"/>
        <w:rPr>
          <w:noProof/>
        </w:rPr>
      </w:pPr>
      <w:r w:rsidRPr="00732D9A">
        <w:rPr>
          <w:noProof/>
        </w:rPr>
        <w:t>h)</w:t>
      </w:r>
      <w:r w:rsidRPr="00732D9A">
        <w:rPr>
          <w:noProof/>
        </w:rPr>
        <w:tab/>
        <w:t>ce pays tiers n’a pas accordé le traitement national lié aux produits ou entités de l’Union au titre des accords visés au paragraphe 1 en ce qui concerne l’une des technologies “zéro net” énumérées à l’article 4, point 1);</w:t>
      </w:r>
    </w:p>
    <w:p w14:paraId="5057284D" w14:textId="77777777" w:rsidR="00A05BEC" w:rsidRPr="00732D9A" w:rsidRDefault="00A05BEC" w:rsidP="007234F4">
      <w:pPr>
        <w:pStyle w:val="Point1"/>
        <w:rPr>
          <w:noProof/>
        </w:rPr>
      </w:pPr>
      <w:r w:rsidRPr="00732D9A">
        <w:rPr>
          <w:noProof/>
        </w:rPr>
        <w:t>i)</w:t>
      </w:r>
      <w:r w:rsidRPr="00732D9A">
        <w:rPr>
          <w:noProof/>
        </w:rPr>
        <w:tab/>
        <w:t>cette exclusion est justifiée afin d’éviter des dépendances ou toute autre évolution susceptible de compromettre la sécurité d’approvisionnement de l’Union en ce qui concerne les produits en question;</w:t>
      </w:r>
    </w:p>
    <w:p w14:paraId="3AB1FE78" w14:textId="77777777" w:rsidR="00A05BEC" w:rsidRPr="00732D9A" w:rsidRDefault="00A05BEC" w:rsidP="007234F4">
      <w:pPr>
        <w:pStyle w:val="Point1"/>
        <w:rPr>
          <w:noProof/>
        </w:rPr>
      </w:pPr>
      <w:r w:rsidRPr="00732D9A">
        <w:rPr>
          <w:noProof/>
        </w:rPr>
        <w:lastRenderedPageBreak/>
        <w:t>j)</w:t>
      </w:r>
      <w:r w:rsidRPr="00732D9A">
        <w:rPr>
          <w:noProof/>
        </w:rPr>
        <w:tab/>
        <w:t>cette exclusion est justifiée en vertu de toute autre exception prévue par l’accord applicable.</w:t>
      </w:r>
    </w:p>
    <w:p w14:paraId="597C1C08" w14:textId="77777777" w:rsidR="00A05BEC" w:rsidRPr="00732D9A" w:rsidRDefault="00A05BEC" w:rsidP="005A00D3">
      <w:pPr>
        <w:pStyle w:val="Titrearticle"/>
        <w:spacing w:before="0" w:after="0"/>
        <w:rPr>
          <w:noProof/>
        </w:rPr>
      </w:pPr>
    </w:p>
    <w:p w14:paraId="094C41F7" w14:textId="77777777" w:rsidR="005A00D3" w:rsidRPr="00732D9A" w:rsidRDefault="005A00D3" w:rsidP="005A00D3">
      <w:pPr>
        <w:pStyle w:val="Titrearticle"/>
        <w:spacing w:before="0" w:after="0"/>
        <w:rPr>
          <w:noProof/>
        </w:rPr>
      </w:pPr>
      <w:r w:rsidRPr="00732D9A">
        <w:rPr>
          <w:noProof/>
        </w:rPr>
        <w:t>Article 28 </w:t>
      </w:r>
      <w:r w:rsidRPr="00732D9A">
        <w:rPr>
          <w:i w:val="0"/>
          <w:noProof/>
        </w:rPr>
        <w:t>octies</w:t>
      </w:r>
    </w:p>
    <w:p w14:paraId="4D8B5927" w14:textId="77777777" w:rsidR="005A00D3" w:rsidRPr="00732D9A" w:rsidRDefault="005A00D3" w:rsidP="005A00D3">
      <w:pPr>
        <w:pStyle w:val="Titrearticle"/>
        <w:spacing w:before="0" w:after="0"/>
        <w:rPr>
          <w:b/>
          <w:i w:val="0"/>
          <w:noProof/>
        </w:rPr>
      </w:pPr>
      <w:r w:rsidRPr="00732D9A">
        <w:rPr>
          <w:b/>
          <w:i w:val="0"/>
          <w:noProof/>
        </w:rPr>
        <w:t>Contenus équivalents à des contenus d’origine UE dans le cadre d’autres formes d’intervention publique</w:t>
      </w:r>
    </w:p>
    <w:p w14:paraId="75E7FE63" w14:textId="77777777" w:rsidR="005A00D3" w:rsidRPr="00732D9A" w:rsidRDefault="003F7AB7" w:rsidP="00AE634F">
      <w:pPr>
        <w:pStyle w:val="NumPar11"/>
        <w:ind w:left="720" w:hanging="720"/>
        <w:rPr>
          <w:noProof/>
        </w:rPr>
      </w:pPr>
      <w:r w:rsidRPr="00732D9A">
        <w:rPr>
          <w:noProof/>
        </w:rPr>
        <w:t xml:space="preserve">1. </w:t>
      </w:r>
      <w:r w:rsidRPr="00732D9A">
        <w:rPr>
          <w:noProof/>
        </w:rPr>
        <w:tab/>
        <w:t>En ce qui concerne les exigences en matière d’origine UE visées à l’article 28 </w:t>
      </w:r>
      <w:r w:rsidRPr="00732D9A">
        <w:rPr>
          <w:i/>
          <w:iCs/>
          <w:noProof/>
        </w:rPr>
        <w:t>bis</w:t>
      </w:r>
      <w:r w:rsidRPr="00732D9A">
        <w:rPr>
          <w:noProof/>
        </w:rPr>
        <w:t>, les contenus originaires de pays tiers avec lesquels l’Union a conclu un accord établissant une zone de libre-échange ou une union douanière sont réputés d’origine UE.</w:t>
      </w:r>
    </w:p>
    <w:p w14:paraId="60171845" w14:textId="77777777" w:rsidR="00BF3A9F" w:rsidRPr="00732D9A" w:rsidRDefault="005A00D3" w:rsidP="005A00D3">
      <w:pPr>
        <w:pStyle w:val="ManualNumPar1"/>
        <w:rPr>
          <w:noProof/>
        </w:rPr>
      </w:pPr>
      <w:r w:rsidRPr="00732D9A">
        <w:rPr>
          <w:noProof/>
        </w:rPr>
        <w:t xml:space="preserve">2. </w:t>
      </w:r>
      <w:r w:rsidRPr="00732D9A">
        <w:rPr>
          <w:noProof/>
        </w:rPr>
        <w:tab/>
        <w:t xml:space="preserve">La Commission adopte des actes délégués en vertu de l’article 44 afin d’exclure, en tout ou en partie, un pays tiers du champ d’application du paragraphe 1 sur la base de l’un des critères suivants: </w:t>
      </w:r>
    </w:p>
    <w:p w14:paraId="710AF617" w14:textId="77777777" w:rsidR="00B30802" w:rsidRPr="00732D9A" w:rsidRDefault="0054185E" w:rsidP="007234F4">
      <w:pPr>
        <w:pStyle w:val="Point1"/>
        <w:rPr>
          <w:noProof/>
        </w:rPr>
      </w:pPr>
      <w:r w:rsidRPr="00732D9A">
        <w:rPr>
          <w:noProof/>
        </w:rPr>
        <w:t>k)</w:t>
      </w:r>
      <w:r w:rsidRPr="00732D9A">
        <w:rPr>
          <w:noProof/>
        </w:rPr>
        <w:tab/>
      </w:r>
      <w:r w:rsidRPr="00732D9A">
        <w:rPr>
          <w:noProof/>
        </w:rPr>
        <w:tab/>
        <w:t>ce pays tiers n’a pas accordé le traitement national lié aux produits ou entités de l’Union au titre des accords visés au paragraphe 1 en ce qui concerne l’une des technologies “zéro net” énumérées à l’article 4, point 1);</w:t>
      </w:r>
    </w:p>
    <w:p w14:paraId="4C8FC731" w14:textId="77777777" w:rsidR="005A00D3" w:rsidRPr="00732D9A" w:rsidRDefault="005A00D3" w:rsidP="007234F4">
      <w:pPr>
        <w:pStyle w:val="Point1"/>
        <w:rPr>
          <w:noProof/>
        </w:rPr>
      </w:pPr>
      <w:r w:rsidRPr="00732D9A">
        <w:rPr>
          <w:noProof/>
        </w:rPr>
        <w:t>l)</w:t>
      </w:r>
      <w:r w:rsidRPr="00732D9A">
        <w:rPr>
          <w:noProof/>
        </w:rPr>
        <w:tab/>
        <w:t>cette exclusion est justifiée afin d’éviter des dépendances ou toute autre évolution susceptible de compromettre la sécurité d’approvisionnement de l’Union en ce qui concerne les produits en question;</w:t>
      </w:r>
    </w:p>
    <w:p w14:paraId="42D97FF0" w14:textId="77777777" w:rsidR="005A00D3" w:rsidRPr="00732D9A" w:rsidRDefault="005A00D3" w:rsidP="007234F4">
      <w:pPr>
        <w:pStyle w:val="Point1"/>
        <w:rPr>
          <w:noProof/>
        </w:rPr>
      </w:pPr>
      <w:r w:rsidRPr="00732D9A">
        <w:rPr>
          <w:noProof/>
        </w:rPr>
        <w:t>m)</w:t>
      </w:r>
      <w:r w:rsidRPr="00732D9A">
        <w:rPr>
          <w:noProof/>
        </w:rPr>
        <w:tab/>
        <w:t>cette exclusion est justifiée en vertu de toute autre exception prévue par l’accord applicable.</w:t>
      </w:r>
    </w:p>
    <w:p w14:paraId="2D0DEB90" w14:textId="3B35DDB5" w:rsidR="00310366" w:rsidRPr="00732D9A" w:rsidRDefault="00310366" w:rsidP="00310366">
      <w:pPr>
        <w:pStyle w:val="Titrearticle"/>
        <w:rPr>
          <w:b/>
          <w:bCs/>
          <w:i w:val="0"/>
          <w:iCs/>
          <w:noProof/>
        </w:rPr>
      </w:pPr>
      <w:r w:rsidRPr="00732D9A">
        <w:rPr>
          <w:noProof/>
        </w:rPr>
        <w:t>Article 28 </w:t>
      </w:r>
      <w:r w:rsidRPr="00732D9A">
        <w:rPr>
          <w:i w:val="0"/>
          <w:noProof/>
        </w:rPr>
        <w:t>nonies</w:t>
      </w:r>
      <w:r w:rsidRPr="00732D9A">
        <w:rPr>
          <w:noProof/>
        </w:rPr>
        <w:t xml:space="preserve"> </w:t>
      </w:r>
      <w:r w:rsidRPr="00732D9A">
        <w:rPr>
          <w:noProof/>
        </w:rPr>
        <w:br/>
      </w:r>
      <w:r w:rsidRPr="00732D9A">
        <w:rPr>
          <w:b/>
          <w:i w:val="0"/>
          <w:noProof/>
        </w:rPr>
        <w:t>Délégation de pouvoir</w:t>
      </w:r>
    </w:p>
    <w:p w14:paraId="0A12B0D5" w14:textId="77777777" w:rsidR="00310366" w:rsidRPr="00732D9A" w:rsidRDefault="00310366" w:rsidP="007234F4">
      <w:pPr>
        <w:pStyle w:val="ManualNumPar1"/>
        <w:rPr>
          <w:noProof/>
        </w:rPr>
      </w:pPr>
      <w:r w:rsidRPr="00732D9A">
        <w:rPr>
          <w:noProof/>
        </w:rPr>
        <w:t>1.</w:t>
      </w:r>
      <w:r w:rsidRPr="00732D9A">
        <w:rPr>
          <w:noProof/>
        </w:rPr>
        <w:tab/>
        <w:t>La Commission est habilitée à adopter des actes délégués conformément à l’article 44 afin de modifier les exigences en matière d’origine UE énoncées à l’annexe II, en tenant compte des critères suivants:</w:t>
      </w:r>
    </w:p>
    <w:p w14:paraId="0A1693BB" w14:textId="77777777" w:rsidR="00310366" w:rsidRPr="00732D9A" w:rsidRDefault="00310366" w:rsidP="007234F4">
      <w:pPr>
        <w:pStyle w:val="Point1"/>
        <w:rPr>
          <w:noProof/>
        </w:rPr>
      </w:pPr>
      <w:r w:rsidRPr="00732D9A">
        <w:rPr>
          <w:noProof/>
        </w:rPr>
        <w:t>a)</w:t>
      </w:r>
      <w:r w:rsidRPr="00732D9A">
        <w:rPr>
          <w:noProof/>
        </w:rPr>
        <w:tab/>
        <w:t>la situation du marché au niveau de l’Union, y compris la baisse des parts de marché de l’Union et la sous-utilisation des capacités de production de l’industrie de l’Union;</w:t>
      </w:r>
    </w:p>
    <w:p w14:paraId="1F2E10D4" w14:textId="77777777" w:rsidR="00310366" w:rsidRPr="00732D9A" w:rsidRDefault="00310366" w:rsidP="007234F4">
      <w:pPr>
        <w:pStyle w:val="Point1"/>
        <w:rPr>
          <w:noProof/>
        </w:rPr>
      </w:pPr>
      <w:r w:rsidRPr="00732D9A">
        <w:rPr>
          <w:noProof/>
        </w:rPr>
        <w:t>b)</w:t>
      </w:r>
      <w:r w:rsidRPr="00732D9A">
        <w:rPr>
          <w:noProof/>
        </w:rPr>
        <w:tab/>
        <w:t>la contribution des exigences à l’objectif de l’Union en matière d’ordre public, de sécurité économique, de résilience et de neutralité climatique énoncé dans le règlement (UE) 2021/1119;</w:t>
      </w:r>
    </w:p>
    <w:p w14:paraId="454848B7" w14:textId="77777777" w:rsidR="00310366" w:rsidRPr="00732D9A" w:rsidRDefault="00310366" w:rsidP="007234F4">
      <w:pPr>
        <w:pStyle w:val="Point1"/>
        <w:rPr>
          <w:noProof/>
        </w:rPr>
      </w:pPr>
      <w:r w:rsidRPr="00732D9A">
        <w:rPr>
          <w:noProof/>
        </w:rPr>
        <w:t>c)</w:t>
      </w:r>
      <w:r w:rsidRPr="00732D9A">
        <w:rPr>
          <w:noProof/>
        </w:rPr>
        <w:tab/>
        <w:t>les progrès technologiques;</w:t>
      </w:r>
    </w:p>
    <w:p w14:paraId="011A7B10" w14:textId="77777777" w:rsidR="00310366" w:rsidRPr="00732D9A" w:rsidRDefault="00310366" w:rsidP="007234F4">
      <w:pPr>
        <w:pStyle w:val="Point1"/>
        <w:rPr>
          <w:noProof/>
        </w:rPr>
      </w:pPr>
      <w:r w:rsidRPr="00732D9A">
        <w:rPr>
          <w:noProof/>
        </w:rPr>
        <w:t>d)</w:t>
      </w:r>
      <w:r w:rsidRPr="00732D9A">
        <w:rPr>
          <w:noProof/>
        </w:rPr>
        <w:tab/>
        <w:t xml:space="preserve">la demande des technologies “zéro net” concernées; </w:t>
      </w:r>
    </w:p>
    <w:p w14:paraId="6FEFBB79" w14:textId="77777777" w:rsidR="00310366" w:rsidRPr="00732D9A" w:rsidRDefault="00310366" w:rsidP="007234F4">
      <w:pPr>
        <w:pStyle w:val="Point1"/>
        <w:rPr>
          <w:noProof/>
        </w:rPr>
      </w:pPr>
      <w:r w:rsidRPr="00732D9A">
        <w:rPr>
          <w:noProof/>
        </w:rPr>
        <w:t>e)</w:t>
      </w:r>
      <w:r w:rsidRPr="00732D9A">
        <w:rPr>
          <w:noProof/>
        </w:rPr>
        <w:tab/>
        <w:t>l’incidence de la fixation des exigences en matière d’origine UE sur la compétitivité globale et les émissions de gaz à effet de serre des secteurs concernés.</w:t>
      </w:r>
    </w:p>
    <w:p w14:paraId="5AF806AB" w14:textId="77777777" w:rsidR="00310366" w:rsidRPr="00732D9A" w:rsidRDefault="00310366" w:rsidP="007234F4">
      <w:pPr>
        <w:pStyle w:val="ManualNumPar1"/>
        <w:rPr>
          <w:noProof/>
        </w:rPr>
      </w:pPr>
      <w:r w:rsidRPr="00732D9A">
        <w:rPr>
          <w:noProof/>
        </w:rPr>
        <w:t>2.</w:t>
      </w:r>
      <w:r w:rsidRPr="00732D9A">
        <w:rPr>
          <w:noProof/>
        </w:rPr>
        <w:tab/>
        <w:t xml:space="preserve">La Commission est habilitée à adopter des actes délégués afin de compléter l’annexe II par des exigences en matière d’origine UE pour les produits finaux de technologie “zéro net” spécifiques supplémentaires visés à l’article 4, paragraphe 1, points g), h), j), k), n), p) et s), ainsi que pour les technologies solaires thermiques visées à l’article 4, paragraphe 1, point a), les technologies du cycle du combustible nucléaire visées à l’article 4, paragraphe 1, point i), et les technologies de propulsion électrique pour les transports visées à l’article 4, paragraphe 1, point r), qui sont </w:t>
      </w:r>
      <w:r w:rsidRPr="00732D9A">
        <w:rPr>
          <w:noProof/>
        </w:rPr>
        <w:lastRenderedPageBreak/>
        <w:t>requises en vertu des articles 25 </w:t>
      </w:r>
      <w:r w:rsidRPr="00732D9A">
        <w:rPr>
          <w:i/>
          <w:iCs/>
          <w:noProof/>
        </w:rPr>
        <w:t>bis</w:t>
      </w:r>
      <w:r w:rsidRPr="00732D9A">
        <w:rPr>
          <w:noProof/>
        </w:rPr>
        <w:t>, 26, 28 </w:t>
      </w:r>
      <w:r w:rsidRPr="00732D9A">
        <w:rPr>
          <w:i/>
          <w:iCs/>
          <w:noProof/>
        </w:rPr>
        <w:t>bis</w:t>
      </w:r>
      <w:r w:rsidRPr="00732D9A">
        <w:rPr>
          <w:noProof/>
        </w:rPr>
        <w:t xml:space="preserve"> et 28 </w:t>
      </w:r>
      <w:r w:rsidRPr="00732D9A">
        <w:rPr>
          <w:i/>
          <w:iCs/>
          <w:noProof/>
        </w:rPr>
        <w:t>quater</w:t>
      </w:r>
      <w:r w:rsidRPr="00732D9A">
        <w:rPr>
          <w:noProof/>
        </w:rPr>
        <w:t xml:space="preserve">. Ce faisant, la Commission tient compte des éléments suivants: </w:t>
      </w:r>
    </w:p>
    <w:p w14:paraId="7824C148" w14:textId="77777777" w:rsidR="00310366" w:rsidRPr="00732D9A" w:rsidRDefault="00310366" w:rsidP="007234F4">
      <w:pPr>
        <w:pStyle w:val="Point1"/>
        <w:rPr>
          <w:noProof/>
        </w:rPr>
      </w:pPr>
      <w:r w:rsidRPr="00732D9A">
        <w:rPr>
          <w:noProof/>
        </w:rPr>
        <w:t>a)</w:t>
      </w:r>
      <w:r w:rsidRPr="00732D9A">
        <w:rPr>
          <w:noProof/>
        </w:rPr>
        <w:tab/>
        <w:t>la situation du marché au niveau de l’Union, telle qu’elle ressort des activités de surveillance, y compris la baisse des parts de marché de l’Union et la sous-utilisation des capacités de production de l’industrie de l’Union;</w:t>
      </w:r>
    </w:p>
    <w:p w14:paraId="3517EE54" w14:textId="77777777" w:rsidR="00CE7901" w:rsidRPr="00732D9A" w:rsidRDefault="00310366" w:rsidP="007234F4">
      <w:pPr>
        <w:pStyle w:val="Point1"/>
        <w:rPr>
          <w:noProof/>
        </w:rPr>
      </w:pPr>
      <w:r w:rsidRPr="00732D9A">
        <w:rPr>
          <w:noProof/>
        </w:rPr>
        <w:t>b)</w:t>
      </w:r>
      <w:r w:rsidRPr="00732D9A">
        <w:rPr>
          <w:noProof/>
        </w:rPr>
        <w:tab/>
        <w:t>la contribution des exigences à l’objectif de l’Union en matière d’ordre public, de sécurité économique, de résilience et de neutralité climatique;</w:t>
      </w:r>
    </w:p>
    <w:p w14:paraId="721EDA10" w14:textId="77777777" w:rsidR="00310366" w:rsidRPr="00732D9A" w:rsidRDefault="00310366" w:rsidP="007234F4">
      <w:pPr>
        <w:pStyle w:val="Point1"/>
        <w:rPr>
          <w:noProof/>
        </w:rPr>
      </w:pPr>
      <w:r w:rsidRPr="00732D9A">
        <w:rPr>
          <w:noProof/>
        </w:rPr>
        <w:t>c)</w:t>
      </w:r>
      <w:r w:rsidRPr="00732D9A">
        <w:rPr>
          <w:noProof/>
        </w:rPr>
        <w:tab/>
        <w:t>l’incidence de la fixation des exigences en matière d’origine UE, des exigences en matière de faibles émissions de carbone, ou des deux, sur la compétitivité globale et les émissions de gaz à effet de serre des secteurs concernés, ainsi que sur les coûts en aval pour les consommateurs et les petites et moyennes entreprises et sur les budgets publics.</w:t>
      </w:r>
    </w:p>
    <w:p w14:paraId="24A097F1" w14:textId="77777777" w:rsidR="00310366" w:rsidRPr="00732D9A" w:rsidRDefault="00310366" w:rsidP="007234F4">
      <w:pPr>
        <w:pStyle w:val="Point1"/>
        <w:rPr>
          <w:noProof/>
        </w:rPr>
      </w:pPr>
      <w:r w:rsidRPr="00732D9A">
        <w:rPr>
          <w:noProof/>
        </w:rPr>
        <w:t>d)</w:t>
      </w:r>
      <w:r w:rsidRPr="00732D9A">
        <w:rPr>
          <w:noProof/>
        </w:rPr>
        <w:tab/>
        <w:t>la demande des technologies ou produits concernés;</w:t>
      </w:r>
    </w:p>
    <w:p w14:paraId="3FF1C368" w14:textId="77777777" w:rsidR="00310366" w:rsidRPr="00732D9A" w:rsidRDefault="00310366" w:rsidP="007234F4">
      <w:pPr>
        <w:pStyle w:val="ManualNumPar1"/>
        <w:rPr>
          <w:noProof/>
        </w:rPr>
      </w:pPr>
      <w:r w:rsidRPr="00732D9A">
        <w:rPr>
          <w:noProof/>
        </w:rPr>
        <w:t>1.</w:t>
      </w:r>
      <w:r w:rsidRPr="00732D9A">
        <w:rPr>
          <w:noProof/>
        </w:rPr>
        <w:tab/>
        <w:t>Les actes délégués visés au paragraphe 2 définissent:</w:t>
      </w:r>
    </w:p>
    <w:p w14:paraId="38E231DE" w14:textId="77777777" w:rsidR="00310366" w:rsidRPr="00732D9A" w:rsidRDefault="00310366" w:rsidP="007234F4">
      <w:pPr>
        <w:pStyle w:val="Point1"/>
        <w:rPr>
          <w:noProof/>
        </w:rPr>
      </w:pPr>
      <w:r w:rsidRPr="00732D9A">
        <w:rPr>
          <w:noProof/>
        </w:rPr>
        <w:t>a)</w:t>
      </w:r>
      <w:r w:rsidRPr="00732D9A">
        <w:rPr>
          <w:noProof/>
        </w:rPr>
        <w:tab/>
        <w:t>les produits et composants auxquels s’appliquent les exigences minimales en matière d’origine UE;</w:t>
      </w:r>
    </w:p>
    <w:p w14:paraId="589FD741" w14:textId="77777777" w:rsidR="00310366" w:rsidRPr="00732D9A" w:rsidRDefault="00310366" w:rsidP="007234F4">
      <w:pPr>
        <w:pStyle w:val="Point1"/>
        <w:rPr>
          <w:noProof/>
        </w:rPr>
      </w:pPr>
      <w:r w:rsidRPr="00732D9A">
        <w:rPr>
          <w:noProof/>
        </w:rPr>
        <w:t>b)</w:t>
      </w:r>
      <w:r w:rsidRPr="00732D9A">
        <w:rPr>
          <w:noProof/>
        </w:rPr>
        <w:tab/>
        <w:t>le champ d’application des exigences minimales en matière d’origine UE.».</w:t>
      </w:r>
    </w:p>
    <w:p w14:paraId="0711CF01" w14:textId="77777777" w:rsidR="00A26B4F" w:rsidRPr="00732D9A" w:rsidRDefault="00991283" w:rsidP="001647C8">
      <w:pPr>
        <w:pStyle w:val="Point0"/>
        <w:rPr>
          <w:noProof/>
        </w:rPr>
      </w:pPr>
      <w:r w:rsidRPr="00732D9A">
        <w:rPr>
          <w:noProof/>
        </w:rPr>
        <w:t>7)</w:t>
      </w:r>
      <w:r w:rsidRPr="00732D9A">
        <w:rPr>
          <w:noProof/>
        </w:rPr>
        <w:tab/>
        <w:t xml:space="preserve">L’article 42 est modifié comme suit: </w:t>
      </w:r>
    </w:p>
    <w:p w14:paraId="513F0C8A" w14:textId="77777777" w:rsidR="004D3393" w:rsidRPr="00732D9A" w:rsidRDefault="00922D56" w:rsidP="00F617B0">
      <w:pPr>
        <w:pStyle w:val="Point1"/>
        <w:rPr>
          <w:noProof/>
        </w:rPr>
      </w:pPr>
      <w:r w:rsidRPr="00732D9A">
        <w:rPr>
          <w:noProof/>
        </w:rPr>
        <w:t>a)</w:t>
      </w:r>
      <w:r w:rsidRPr="00732D9A">
        <w:rPr>
          <w:noProof/>
        </w:rPr>
        <w:tab/>
        <w:t>le paragraphe 2 </w:t>
      </w:r>
      <w:r w:rsidRPr="00732D9A">
        <w:rPr>
          <w:i/>
          <w:iCs/>
          <w:noProof/>
        </w:rPr>
        <w:t>bis</w:t>
      </w:r>
      <w:r w:rsidRPr="00732D9A">
        <w:rPr>
          <w:noProof/>
        </w:rPr>
        <w:t xml:space="preserve"> suivant est inséré: </w:t>
      </w:r>
    </w:p>
    <w:p w14:paraId="7AD0E64B" w14:textId="77777777" w:rsidR="00F55729" w:rsidRPr="00732D9A" w:rsidRDefault="00922D56" w:rsidP="004D3393">
      <w:pPr>
        <w:pStyle w:val="Point1"/>
        <w:ind w:firstLine="0"/>
        <w:rPr>
          <w:noProof/>
        </w:rPr>
      </w:pPr>
      <w:r w:rsidRPr="00732D9A">
        <w:rPr>
          <w:noProof/>
        </w:rPr>
        <w:t>«2 </w:t>
      </w:r>
      <w:r w:rsidRPr="00732D9A">
        <w:rPr>
          <w:i/>
          <w:iCs/>
          <w:noProof/>
        </w:rPr>
        <w:t>bis</w:t>
      </w:r>
      <w:r w:rsidRPr="00732D9A">
        <w:rPr>
          <w:noProof/>
        </w:rPr>
        <w:t xml:space="preserve"> Les États membres, les autorités publiques, les pouvoirs adjudicateurs et les entités adjudicatrices qui appliquent le chapitre IV du présent règlement rendent compte de l’application des exemptions conformément aux dispositions dudit chapitre.»; </w:t>
      </w:r>
    </w:p>
    <w:p w14:paraId="3B1FB51F" w14:textId="77777777" w:rsidR="004D3393" w:rsidRPr="00732D9A" w:rsidRDefault="00F676D3" w:rsidP="00F617B0">
      <w:pPr>
        <w:pStyle w:val="Point1"/>
        <w:rPr>
          <w:noProof/>
        </w:rPr>
      </w:pPr>
      <w:r w:rsidRPr="00732D9A">
        <w:rPr>
          <w:noProof/>
        </w:rPr>
        <w:t>b)</w:t>
      </w:r>
      <w:r w:rsidRPr="00732D9A">
        <w:rPr>
          <w:noProof/>
        </w:rPr>
        <w:tab/>
        <w:t xml:space="preserve">le paragraphe 3 est remplacé par le texte suivant: </w:t>
      </w:r>
    </w:p>
    <w:p w14:paraId="4A743310" w14:textId="77777777" w:rsidR="00F676D3" w:rsidRPr="00732D9A" w:rsidRDefault="00694CE2" w:rsidP="004D3393">
      <w:pPr>
        <w:pStyle w:val="Point1"/>
        <w:ind w:firstLine="0"/>
        <w:rPr>
          <w:noProof/>
        </w:rPr>
      </w:pPr>
      <w:r w:rsidRPr="00732D9A">
        <w:rPr>
          <w:noProof/>
        </w:rPr>
        <w:t>«3. Lorsque les données visées aux paragraphes 2 et 2 </w:t>
      </w:r>
      <w:r w:rsidRPr="00732D9A">
        <w:rPr>
          <w:i/>
          <w:iCs/>
          <w:noProof/>
        </w:rPr>
        <w:t>bis</w:t>
      </w:r>
      <w:r w:rsidRPr="00732D9A">
        <w:rPr>
          <w:noProof/>
        </w:rPr>
        <w:t xml:space="preserve"> ne sont pas déjà incluses dans les plans nationaux en matière d’énergie et de climat, ou en fonction des éléments que contiennent ces derniers, chaque État membre soumet à la Commission, au plus tard le 15 mars 2027 et tous les trois ans par la suite, un rapport exposant les données en question.». </w:t>
      </w:r>
    </w:p>
    <w:p w14:paraId="66D7CD9E" w14:textId="77777777" w:rsidR="00216AF8" w:rsidRPr="00732D9A" w:rsidRDefault="00951C2C" w:rsidP="000546F9">
      <w:pPr>
        <w:pStyle w:val="Point0"/>
        <w:rPr>
          <w:noProof/>
        </w:rPr>
      </w:pPr>
      <w:r w:rsidRPr="00732D9A">
        <w:rPr>
          <w:noProof/>
        </w:rPr>
        <w:t>8)</w:t>
      </w:r>
      <w:r w:rsidRPr="00732D9A">
        <w:rPr>
          <w:noProof/>
        </w:rPr>
        <w:tab/>
        <w:t>L’annexe II suivante est ajoutée:</w:t>
      </w:r>
    </w:p>
    <w:p w14:paraId="7FF81A4F" w14:textId="1C872DB1" w:rsidR="00310366" w:rsidRPr="00732D9A" w:rsidRDefault="009556F6" w:rsidP="00490478">
      <w:pPr>
        <w:jc w:val="center"/>
        <w:rPr>
          <w:i/>
          <w:noProof/>
        </w:rPr>
      </w:pPr>
      <w:r w:rsidRPr="00732D9A">
        <w:rPr>
          <w:noProof/>
        </w:rPr>
        <w:t xml:space="preserve">«ANNEXE II </w:t>
      </w:r>
      <w:r w:rsidRPr="00732D9A">
        <w:rPr>
          <w:noProof/>
        </w:rPr>
        <w:br/>
        <w:t>Exigences en matière d’origine UE pour les technologies “zéro net”</w:t>
      </w:r>
    </w:p>
    <w:p w14:paraId="6C1648D3" w14:textId="77777777" w:rsidR="00310366" w:rsidRPr="00732D9A" w:rsidRDefault="00310366" w:rsidP="009956FE">
      <w:pPr>
        <w:pStyle w:val="Text0"/>
        <w:rPr>
          <w:b/>
          <w:bCs/>
          <w:noProof/>
        </w:rPr>
      </w:pPr>
      <w:r w:rsidRPr="00732D9A">
        <w:rPr>
          <w:b/>
          <w:noProof/>
        </w:rPr>
        <w:t>Partie I – Marchés publics</w:t>
      </w:r>
    </w:p>
    <w:p w14:paraId="2DF4B7DF" w14:textId="77777777" w:rsidR="00310366" w:rsidRPr="00732D9A" w:rsidRDefault="00310366" w:rsidP="007234F4">
      <w:pPr>
        <w:pStyle w:val="ManualNumPar1"/>
        <w:rPr>
          <w:noProof/>
        </w:rPr>
      </w:pPr>
      <w:r w:rsidRPr="00732D9A">
        <w:rPr>
          <w:noProof/>
        </w:rPr>
        <w:t>1.</w:t>
      </w:r>
      <w:r w:rsidRPr="00732D9A">
        <w:rPr>
          <w:noProof/>
        </w:rPr>
        <w:tab/>
        <w:t>Conformément à l’article 25 </w:t>
      </w:r>
      <w:r w:rsidRPr="00732D9A">
        <w:rPr>
          <w:i/>
          <w:iCs/>
          <w:noProof/>
        </w:rPr>
        <w:t>bis</w:t>
      </w:r>
      <w:r w:rsidRPr="00732D9A">
        <w:rPr>
          <w:noProof/>
        </w:rPr>
        <w:t>, pour les procédures de passation de marchés publics ou de concessions publiées après l’entrée en vigueur du présent règlement qui relèvent du champ d’application des directives 2014/23/UE, 2014/24/UE ou 2014/25/UE, lorsque les marchés, les marchés de travaux ou les concessions de travaux portent sur l’acquisition des technologies “zéro net” suivantes, les documents de marché incluent les exigences établies ci-après:</w:t>
      </w:r>
    </w:p>
    <w:p w14:paraId="203EAB2C" w14:textId="77777777" w:rsidR="00310366" w:rsidRPr="00732D9A" w:rsidRDefault="00310366" w:rsidP="007234F4">
      <w:pPr>
        <w:pStyle w:val="Point1"/>
        <w:rPr>
          <w:noProof/>
        </w:rPr>
      </w:pPr>
      <w:r w:rsidRPr="00732D9A">
        <w:rPr>
          <w:noProof/>
        </w:rPr>
        <w:t>a)</w:t>
      </w:r>
      <w:r w:rsidRPr="00732D9A">
        <w:rPr>
          <w:noProof/>
        </w:rPr>
        <w:tab/>
        <w:t xml:space="preserve">Systèmes de stockage d’énergie par batterie: </w:t>
      </w:r>
    </w:p>
    <w:p w14:paraId="1F398390" w14:textId="77777777" w:rsidR="00310366" w:rsidRPr="00732D9A" w:rsidRDefault="00310366" w:rsidP="00B105F9">
      <w:pPr>
        <w:pStyle w:val="Point2"/>
        <w:rPr>
          <w:noProof/>
        </w:rPr>
      </w:pPr>
      <w:r w:rsidRPr="00732D9A">
        <w:rPr>
          <w:noProof/>
        </w:rPr>
        <w:t xml:space="preserve">du [OP: prière d’insérer la date correspondant à un an après l’entrée en vigueur du présent règlement] au [3 ans après l’entrée en vigueur du présent règlement], les systèmes de stockage d’énergie par batterie devront être </w:t>
      </w:r>
      <w:r w:rsidRPr="00732D9A">
        <w:rPr>
          <w:noProof/>
        </w:rPr>
        <w:lastRenderedPageBreak/>
        <w:t>d’origine UE et, pour les projets impliquant un stockage d’énergie par batterie supérieur à 1 mégawattheure, contenir un système de gestion de la batterie d’origine UE.</w:t>
      </w:r>
    </w:p>
    <w:p w14:paraId="7C78F736" w14:textId="77777777" w:rsidR="00310366" w:rsidRPr="00732D9A" w:rsidRDefault="00310366" w:rsidP="00B105F9">
      <w:pPr>
        <w:pStyle w:val="Point2"/>
        <w:rPr>
          <w:noProof/>
        </w:rPr>
      </w:pPr>
      <w:r w:rsidRPr="00732D9A">
        <w:rPr>
          <w:noProof/>
        </w:rPr>
        <w:t>À partir du [OP: prière d’insérer la date correspondant à 3 ans après l’entrée en vigueur du présent règlement], les systèmes de stockage d’énergie par batterie devront être d’origine UE et contenir des cellules de batterie, un système de gestion de la batterie ainsi qu’un composant principal spécifique supplémentaire d’origine UE.</w:t>
      </w:r>
    </w:p>
    <w:p w14:paraId="47B0D2E5" w14:textId="77777777" w:rsidR="00310366" w:rsidRPr="00732D9A" w:rsidRDefault="00310366" w:rsidP="00BA192F">
      <w:pPr>
        <w:pStyle w:val="Point1"/>
        <w:rPr>
          <w:noProof/>
        </w:rPr>
      </w:pPr>
      <w:r w:rsidRPr="00732D9A">
        <w:rPr>
          <w:noProof/>
        </w:rPr>
        <w:t>b)</w:t>
      </w:r>
      <w:r w:rsidRPr="00732D9A">
        <w:rPr>
          <w:noProof/>
        </w:rPr>
        <w:tab/>
        <w:t>Technologies photovoltaïques solaires: à partir du [OP: prière d’insérer la date correspondant à 3 ans après l’entrée en vigueur du présent règlement], l’onduleur photovoltaïque et les cellules photovoltaïques ou équivalent devront être d’origine UE.</w:t>
      </w:r>
    </w:p>
    <w:p w14:paraId="659773D4" w14:textId="77777777" w:rsidR="00310366" w:rsidRPr="00732D9A" w:rsidDel="00310D87" w:rsidRDefault="00310366" w:rsidP="007234F4">
      <w:pPr>
        <w:pStyle w:val="Point1"/>
        <w:rPr>
          <w:noProof/>
        </w:rPr>
      </w:pPr>
      <w:r w:rsidRPr="00732D9A">
        <w:rPr>
          <w:noProof/>
        </w:rPr>
        <w:t>c)</w:t>
      </w:r>
      <w:r w:rsidRPr="00732D9A">
        <w:rPr>
          <w:noProof/>
        </w:rPr>
        <w:tab/>
        <w:t xml:space="preserve">Pompes à chaleur hydroniques: À partir du [OP: prière d’insérer la date correspondant à 3 ans après l’entrée en vigueur du présent règlement], la pompe à chaleur hydronique devra être d’origine UE. </w:t>
      </w:r>
    </w:p>
    <w:p w14:paraId="7E4387A5" w14:textId="77777777" w:rsidR="00310366" w:rsidRPr="00732D9A" w:rsidDel="00310D87" w:rsidRDefault="00310366" w:rsidP="007234F4">
      <w:pPr>
        <w:pStyle w:val="Point1"/>
        <w:rPr>
          <w:noProof/>
        </w:rPr>
      </w:pPr>
      <w:r w:rsidRPr="00732D9A">
        <w:rPr>
          <w:noProof/>
        </w:rPr>
        <w:t>d)</w:t>
      </w:r>
      <w:r w:rsidRPr="00732D9A">
        <w:rPr>
          <w:noProof/>
        </w:rPr>
        <w:tab/>
        <w:t xml:space="preserve">Technologies éoliennes terrestres et en mer: </w:t>
      </w:r>
    </w:p>
    <w:p w14:paraId="7FB7B9E7" w14:textId="77777777" w:rsidR="00310366" w:rsidRPr="00732D9A" w:rsidDel="00310D87" w:rsidRDefault="00310366" w:rsidP="00B105F9">
      <w:pPr>
        <w:pStyle w:val="Point2"/>
        <w:rPr>
          <w:noProof/>
        </w:rPr>
      </w:pPr>
      <w:r w:rsidRPr="00732D9A">
        <w:rPr>
          <w:noProof/>
        </w:rPr>
        <w:t>du [OP: prière d’insérer la date correspondant à un an après la date d’entrée en vigueur du présent règlement] au [OP: prière d’insérer la date correspondant à 3 ans après l’entrée en vigueur du présent règlement], un composant principal spécifique devra être d’origine UE.</w:t>
      </w:r>
    </w:p>
    <w:p w14:paraId="4663C196" w14:textId="77777777" w:rsidR="00310366" w:rsidRPr="00732D9A" w:rsidDel="00310D87" w:rsidRDefault="00310366" w:rsidP="00B105F9">
      <w:pPr>
        <w:pStyle w:val="Point2"/>
        <w:rPr>
          <w:noProof/>
        </w:rPr>
      </w:pPr>
      <w:r w:rsidRPr="00732D9A">
        <w:rPr>
          <w:noProof/>
        </w:rPr>
        <w:t>À partir du [OP: prière d’insérer la date correspondant à 3 ans après l’entrée en vigueur du présent règlement], deux composants principaux spécifiques devront être d’origine UE.</w:t>
      </w:r>
    </w:p>
    <w:p w14:paraId="7C067C44" w14:textId="77777777" w:rsidR="00F31ACA" w:rsidRPr="00732D9A" w:rsidRDefault="000C77FF" w:rsidP="007234F4">
      <w:pPr>
        <w:pStyle w:val="Point1"/>
        <w:rPr>
          <w:noProof/>
        </w:rPr>
      </w:pPr>
      <w:r w:rsidRPr="00732D9A">
        <w:rPr>
          <w:noProof/>
        </w:rPr>
        <w:t>e)</w:t>
      </w:r>
      <w:r w:rsidRPr="00732D9A">
        <w:rPr>
          <w:noProof/>
        </w:rPr>
        <w:tab/>
        <w:t xml:space="preserve">Technologies de l’énergie nucléaire de fission: </w:t>
      </w:r>
    </w:p>
    <w:p w14:paraId="1FDA48AC" w14:textId="2524B3D3" w:rsidR="000C77FF" w:rsidRPr="00732D9A" w:rsidRDefault="000C77FF" w:rsidP="00B105F9">
      <w:pPr>
        <w:pStyle w:val="Point2"/>
        <w:rPr>
          <w:noProof/>
        </w:rPr>
      </w:pPr>
      <w:r w:rsidRPr="00732D9A">
        <w:rPr>
          <w:noProof/>
        </w:rPr>
        <w:t>pour les procédure</w:t>
      </w:r>
      <w:r w:rsidR="00EA3AA2">
        <w:rPr>
          <w:noProof/>
        </w:rPr>
        <w:t>s</w:t>
      </w:r>
      <w:r w:rsidRPr="00732D9A">
        <w:rPr>
          <w:noProof/>
        </w:rPr>
        <w:t xml:space="preserve"> de passation de marchés publics ou de concessions publiées après [OP: prière d’insérer la date correspondant à 4 ans après l’entrée en vigueur du présent règlement], lorsque les marchés de travaux ou les concessions de travaux portent sur la construction d’une nouvelle centrale nucléaire, y compris de petits réacteurs nucléaires modulaires, au moins deux composants principaux spécifiques devront être d’origine UE. </w:t>
      </w:r>
    </w:p>
    <w:p w14:paraId="1422ADA7" w14:textId="0C137574" w:rsidR="007276D8" w:rsidRPr="00732D9A" w:rsidRDefault="007276D8" w:rsidP="00B105F9">
      <w:pPr>
        <w:pStyle w:val="Point2"/>
        <w:rPr>
          <w:noProof/>
        </w:rPr>
      </w:pPr>
      <w:r w:rsidRPr="00732D9A">
        <w:rPr>
          <w:noProof/>
        </w:rPr>
        <w:t>Pour les procédure</w:t>
      </w:r>
      <w:r w:rsidR="00EA3AA2">
        <w:rPr>
          <w:noProof/>
        </w:rPr>
        <w:t>s</w:t>
      </w:r>
      <w:r w:rsidRPr="00732D9A">
        <w:rPr>
          <w:noProof/>
        </w:rPr>
        <w:t xml:space="preserve"> de passation de marchés publics ou de concessions publiées après [OP: prière d’insérer la date correspondant à 6 ans après l’entrée en vigueur du présent règlement], lorsque les marchés de travaux ou les concessions de travaux portent sur la construction d’une nouvelle centrale, y compris de petits réacteurs nucléaires modulaires, au moins trois composants principaux spécifiques devront être d’origine UE. </w:t>
      </w:r>
    </w:p>
    <w:p w14:paraId="116C97DE" w14:textId="77777777" w:rsidR="007435D1" w:rsidRPr="00732D9A" w:rsidDel="00310D87" w:rsidRDefault="00F31ACA" w:rsidP="00B105F9">
      <w:pPr>
        <w:pStyle w:val="Point2"/>
        <w:rPr>
          <w:noProof/>
        </w:rPr>
      </w:pPr>
      <w:r w:rsidRPr="00732D9A">
        <w:rPr>
          <w:noProof/>
        </w:rPr>
        <w:t>Ces exigences ne s’appliquent pas aux projets de recherche, de développement et d’innovation impliquant le premier déploiement industriel de centrales nucléaires.</w:t>
      </w:r>
    </w:p>
    <w:p w14:paraId="0E0ADBF8" w14:textId="77777777" w:rsidR="00310366" w:rsidRPr="00732D9A" w:rsidRDefault="00310366" w:rsidP="009956FE">
      <w:pPr>
        <w:pStyle w:val="Text0"/>
        <w:rPr>
          <w:b/>
          <w:bCs/>
          <w:noProof/>
        </w:rPr>
      </w:pPr>
      <w:r w:rsidRPr="00732D9A">
        <w:rPr>
          <w:b/>
          <w:noProof/>
        </w:rPr>
        <w:t>Partie II – Enchères</w:t>
      </w:r>
    </w:p>
    <w:p w14:paraId="51A57509" w14:textId="77777777" w:rsidR="00310366" w:rsidRPr="00732D9A" w:rsidRDefault="00310366" w:rsidP="009956FE">
      <w:pPr>
        <w:pStyle w:val="Text0"/>
        <w:rPr>
          <w:noProof/>
        </w:rPr>
      </w:pPr>
      <w:r w:rsidRPr="00732D9A">
        <w:rPr>
          <w:noProof/>
        </w:rPr>
        <w:t>Conformément à l’article 26, lorsque les enchères ont notamment pour objet les technologies “zéro net” suivantes, les États membres incluent les critères de préqualification ou d’attribution établis ci-après:</w:t>
      </w:r>
    </w:p>
    <w:p w14:paraId="5387C019" w14:textId="77777777" w:rsidR="00310366" w:rsidRPr="00732D9A" w:rsidRDefault="00310366" w:rsidP="007234F4">
      <w:pPr>
        <w:pStyle w:val="Point1"/>
        <w:rPr>
          <w:noProof/>
        </w:rPr>
      </w:pPr>
      <w:r w:rsidRPr="00732D9A">
        <w:rPr>
          <w:noProof/>
        </w:rPr>
        <w:t>a)</w:t>
      </w:r>
      <w:r w:rsidRPr="00732D9A">
        <w:rPr>
          <w:noProof/>
        </w:rPr>
        <w:tab/>
        <w:t xml:space="preserve">Systèmes de stockage d’énergie par batterie: </w:t>
      </w:r>
    </w:p>
    <w:p w14:paraId="19E15327" w14:textId="77777777" w:rsidR="00310366" w:rsidRPr="00732D9A" w:rsidRDefault="00310366" w:rsidP="00B105F9">
      <w:pPr>
        <w:pStyle w:val="Point2"/>
        <w:rPr>
          <w:noProof/>
        </w:rPr>
      </w:pPr>
      <w:r w:rsidRPr="00732D9A">
        <w:rPr>
          <w:noProof/>
        </w:rPr>
        <w:lastRenderedPageBreak/>
        <w:t>pour les enchères publiées du [OP: prière d’insérer la date correspondant à un an après l’entrée en vigueur du présent règlement] au [OP: prière d’insérer la date correspondant à 3 ans après l’entrée en vigueur du présent règlement], les systèmes de stockage d’énergie par batterie devront être d’origine UE et, pour les projets impliquant un stockage d’énergie par batterie supérieur à 1 mégawattheure, contenir un système de gestion de la batterie d’origine UE.</w:t>
      </w:r>
    </w:p>
    <w:p w14:paraId="743FD15D" w14:textId="77777777" w:rsidR="00310366" w:rsidRPr="00732D9A" w:rsidRDefault="00310366" w:rsidP="00B105F9">
      <w:pPr>
        <w:pStyle w:val="Point2"/>
        <w:rPr>
          <w:noProof/>
        </w:rPr>
      </w:pPr>
      <w:r w:rsidRPr="00732D9A">
        <w:rPr>
          <w:noProof/>
        </w:rPr>
        <w:t>Pour les enchères publiées à partir du [OP: prière d’insérer la date correspondant à 3 ans après l’entrée en vigueur du présent règlement], les systèmes de stockage d’énergie par batterie devront être d’origine UE et contenir des cellules de batterie, un système de gestion de la batterie ainsi qu’un composant principal spécifique supplémentaire d’origine UE.</w:t>
      </w:r>
    </w:p>
    <w:p w14:paraId="4F4FC097" w14:textId="77777777" w:rsidR="00310366" w:rsidRPr="00732D9A" w:rsidDel="00321B31" w:rsidRDefault="00310366" w:rsidP="000D437D">
      <w:pPr>
        <w:pStyle w:val="Point1"/>
        <w:rPr>
          <w:noProof/>
        </w:rPr>
      </w:pPr>
      <w:r w:rsidRPr="00732D9A">
        <w:rPr>
          <w:noProof/>
        </w:rPr>
        <w:t>b)</w:t>
      </w:r>
      <w:r w:rsidRPr="00732D9A">
        <w:rPr>
          <w:noProof/>
        </w:rPr>
        <w:tab/>
        <w:t xml:space="preserve">Technologies photovoltaïques solaires: pour les enchères publiées à partir du [OP: prière d’insérer la date correspondant à 3 ans après l’entrée en vigueur du présent règlement], l’onduleur photovoltaïque et les cellules photovoltaïques ou équivalent devront être d’origine UE. </w:t>
      </w:r>
    </w:p>
    <w:p w14:paraId="419C3899" w14:textId="77777777" w:rsidR="002E5B02" w:rsidRPr="00732D9A" w:rsidRDefault="00310366" w:rsidP="007234F4">
      <w:pPr>
        <w:pStyle w:val="Point1"/>
        <w:rPr>
          <w:noProof/>
        </w:rPr>
      </w:pPr>
      <w:r w:rsidRPr="00732D9A">
        <w:rPr>
          <w:noProof/>
        </w:rPr>
        <w:t>c)</w:t>
      </w:r>
      <w:r w:rsidRPr="00732D9A">
        <w:rPr>
          <w:noProof/>
        </w:rPr>
        <w:tab/>
        <w:t xml:space="preserve">Hydrogène: </w:t>
      </w:r>
    </w:p>
    <w:p w14:paraId="213413F6" w14:textId="77777777" w:rsidR="00310366" w:rsidRPr="00732D9A" w:rsidDel="00321B31" w:rsidRDefault="00310366" w:rsidP="00B105F9">
      <w:pPr>
        <w:pStyle w:val="Point2"/>
        <w:rPr>
          <w:noProof/>
        </w:rPr>
      </w:pPr>
      <w:r w:rsidRPr="00732D9A">
        <w:rPr>
          <w:noProof/>
        </w:rPr>
        <w:t>pour les enchères publiées à partir du [OP: prière d’insérer la date correspondant à un an après l’entrée en vigueur du présent règlement], les électrolyseurs utilisés pour produire de l’hydrogène devront être d’origine UE et les empilements ainsi qu’un composant principal spécifique supplémentaire devront être d’origine UE.</w:t>
      </w:r>
    </w:p>
    <w:p w14:paraId="65EE77B1" w14:textId="77777777" w:rsidR="00B209E4" w:rsidRPr="00732D9A" w:rsidRDefault="00B209E4" w:rsidP="00B105F9">
      <w:pPr>
        <w:pStyle w:val="Point2"/>
        <w:rPr>
          <w:noProof/>
        </w:rPr>
      </w:pPr>
      <w:r w:rsidRPr="00732D9A">
        <w:rPr>
          <w:noProof/>
        </w:rPr>
        <w:t>Pour les enchères publiées à partir du [OP: prière d’insérer la date correspondant à 3 ans après l’entrée en vigueur du présent règlement], les électrolyseurs utilisés pour produire de l’hydrogène devront être d’origine UE et les empilements ainsi que deux composants principaux spécifiques supplémentaires devront être d’origine UE.</w:t>
      </w:r>
    </w:p>
    <w:p w14:paraId="0872AB67" w14:textId="77777777" w:rsidR="00310366" w:rsidRPr="00732D9A" w:rsidDel="00321B31" w:rsidRDefault="00310366" w:rsidP="007234F4">
      <w:pPr>
        <w:pStyle w:val="Point1"/>
        <w:rPr>
          <w:noProof/>
        </w:rPr>
      </w:pPr>
      <w:r w:rsidRPr="00732D9A">
        <w:rPr>
          <w:noProof/>
        </w:rPr>
        <w:t>d)</w:t>
      </w:r>
      <w:r w:rsidRPr="00732D9A">
        <w:rPr>
          <w:noProof/>
        </w:rPr>
        <w:tab/>
        <w:t xml:space="preserve">Technologies éoliennes terrestres et en mer: </w:t>
      </w:r>
    </w:p>
    <w:p w14:paraId="322649B0" w14:textId="77777777" w:rsidR="00310366" w:rsidRPr="00732D9A" w:rsidDel="00321B31" w:rsidRDefault="00310366" w:rsidP="00B105F9">
      <w:pPr>
        <w:pStyle w:val="Point2"/>
        <w:rPr>
          <w:noProof/>
        </w:rPr>
      </w:pPr>
      <w:r w:rsidRPr="00732D9A">
        <w:rPr>
          <w:noProof/>
        </w:rPr>
        <w:t>pour les enchères publiées du [OP: prière d’insérer la date correspondant à un an après la date d’entrée en vigueur du présent règlement] au [OP: prière d’insérer la date correspondant à 3 ans après la date d’entrée en vigueur du présent règlement], un composant principal spécifique de l’éolienne devra être d’origine UE.</w:t>
      </w:r>
    </w:p>
    <w:p w14:paraId="01E5B26B" w14:textId="77777777" w:rsidR="00967ED3" w:rsidRPr="00732D9A" w:rsidRDefault="00310366" w:rsidP="00B105F9">
      <w:pPr>
        <w:pStyle w:val="Point2"/>
        <w:rPr>
          <w:noProof/>
        </w:rPr>
      </w:pPr>
      <w:r w:rsidRPr="00732D9A">
        <w:rPr>
          <w:noProof/>
        </w:rPr>
        <w:t>Pour les enchères publiées à partir du [OP: prière d’insérer la date correspondant à 3 ans après l’entrée en vigueur du présent règlement], deux composants principaux spécifiques de l’éolienne devront être d’origine UE.</w:t>
      </w:r>
    </w:p>
    <w:p w14:paraId="63FA5F4D" w14:textId="77777777" w:rsidR="00310366" w:rsidRPr="00732D9A" w:rsidRDefault="00310366" w:rsidP="009956FE">
      <w:pPr>
        <w:pStyle w:val="Text0"/>
        <w:rPr>
          <w:b/>
          <w:bCs/>
          <w:noProof/>
        </w:rPr>
      </w:pPr>
      <w:r w:rsidRPr="00732D9A">
        <w:rPr>
          <w:b/>
          <w:noProof/>
        </w:rPr>
        <w:t>Partie III – Autres formes d’intervention publique</w:t>
      </w:r>
    </w:p>
    <w:p w14:paraId="1727022A" w14:textId="77777777" w:rsidR="00310366" w:rsidRPr="00732D9A" w:rsidRDefault="00310366" w:rsidP="009956FE">
      <w:pPr>
        <w:pStyle w:val="Text0"/>
        <w:rPr>
          <w:noProof/>
        </w:rPr>
      </w:pPr>
      <w:r w:rsidRPr="00732D9A">
        <w:rPr>
          <w:noProof/>
        </w:rPr>
        <w:t>Conformément à l’article 28 </w:t>
      </w:r>
      <w:r w:rsidRPr="00732D9A">
        <w:rPr>
          <w:i/>
          <w:iCs/>
          <w:noProof/>
        </w:rPr>
        <w:t>ter</w:t>
      </w:r>
      <w:r w:rsidRPr="00732D9A">
        <w:rPr>
          <w:noProof/>
        </w:rPr>
        <w:t>, lorsque les États membres, les autorités régionales ou locales, les organismes de droit public ou les associations formées par une ou plusieurs de ces autorités ou un ou plusieurs de ces organismes décident de mettre en place, au bénéfice des ménages ou des entreprises, de nouveaux régimes ou de mettre à jour des régimes existants qui soutiennent la demande de produits finaux de technologie “zéro net” énumérés au présent paragraphe, ils conçoivent ces régimes de manière à garantir que les bénéficiaires ne sont admissibles à ces régimes ou à une compensation financière supplémentaire que lorsque les exigences établies ci-après sont remplies:</w:t>
      </w:r>
    </w:p>
    <w:p w14:paraId="4E8AD308" w14:textId="77777777" w:rsidR="00310366" w:rsidRPr="00732D9A" w:rsidRDefault="00310366" w:rsidP="007234F4">
      <w:pPr>
        <w:pStyle w:val="Point1"/>
        <w:rPr>
          <w:noProof/>
        </w:rPr>
      </w:pPr>
      <w:r w:rsidRPr="00732D9A">
        <w:rPr>
          <w:noProof/>
        </w:rPr>
        <w:lastRenderedPageBreak/>
        <w:t>a)</w:t>
      </w:r>
      <w:r w:rsidRPr="00732D9A">
        <w:rPr>
          <w:noProof/>
        </w:rPr>
        <w:tab/>
        <w:t xml:space="preserve">Systèmes de stockage d’énergie par batterie: </w:t>
      </w:r>
    </w:p>
    <w:p w14:paraId="3ECEC893" w14:textId="77777777" w:rsidR="00310366" w:rsidRPr="00732D9A" w:rsidRDefault="00310366" w:rsidP="00B105F9">
      <w:pPr>
        <w:pStyle w:val="Point2"/>
        <w:rPr>
          <w:noProof/>
        </w:rPr>
      </w:pPr>
      <w:r w:rsidRPr="00732D9A">
        <w:rPr>
          <w:noProof/>
        </w:rPr>
        <w:t>pour les régimes mis en place ou mis à jour entre [OP: prière d’insérer la date correspondant à un an après l’entrée en vigueur du présent règlement] et [OP: prière d’insérer la data correspondant à 3 ans après l’entrée en vigueur du présent règlement], les systèmes de stockage d’énergie par batterie devront être d’origine UE et, pour les projets impliquant un stockage d’énergie par batterie supérieur à 1 mégawattheure, contenir un système de gestion de la batterie d’origine UE.</w:t>
      </w:r>
    </w:p>
    <w:p w14:paraId="1DF1941C" w14:textId="77777777" w:rsidR="00310366" w:rsidRPr="00732D9A" w:rsidRDefault="00310366" w:rsidP="00B105F9">
      <w:pPr>
        <w:pStyle w:val="Point2"/>
        <w:rPr>
          <w:noProof/>
        </w:rPr>
      </w:pPr>
      <w:r w:rsidRPr="00732D9A">
        <w:rPr>
          <w:noProof/>
        </w:rPr>
        <w:t>Pour les régimes mis en place ou mis à jour à partir du [OP: prière d’insérer la date correspondant à 3 ans après l’entrée en vigueur du présent règlement], les systèmes de stockage d’énergie par batterie devront être d’origine UE et contenir des cellules de batterie, un système de gestion de la batterie ainsi qu’un composant principal spécifique supplémentaire d’origine UE.</w:t>
      </w:r>
    </w:p>
    <w:p w14:paraId="57CBAE71" w14:textId="77777777" w:rsidR="00310366" w:rsidRPr="00732D9A" w:rsidDel="00AD771C" w:rsidRDefault="00310366" w:rsidP="000D437D">
      <w:pPr>
        <w:pStyle w:val="Point1"/>
        <w:rPr>
          <w:noProof/>
        </w:rPr>
      </w:pPr>
      <w:r w:rsidRPr="00732D9A">
        <w:rPr>
          <w:noProof/>
        </w:rPr>
        <w:t>b)</w:t>
      </w:r>
      <w:r w:rsidRPr="00732D9A">
        <w:rPr>
          <w:noProof/>
        </w:rPr>
        <w:tab/>
        <w:t>Technologies photovoltaïques solaires: pour les régimes mis en place ou mis à jour à partir du [OP: prière d’insérer la date correspondant à 3 ans après l’entrée en vigueur du présent règlement], l’onduleur photovoltaïque et les cellules photovoltaïques ou équivalent devront être d’origine UE.</w:t>
      </w:r>
    </w:p>
    <w:p w14:paraId="3BF00EB3" w14:textId="77777777" w:rsidR="00310366" w:rsidRPr="00732D9A" w:rsidDel="00AD771C" w:rsidRDefault="00885667" w:rsidP="007234F4">
      <w:pPr>
        <w:pStyle w:val="Point1"/>
        <w:rPr>
          <w:noProof/>
        </w:rPr>
      </w:pPr>
      <w:r w:rsidRPr="00732D9A">
        <w:rPr>
          <w:noProof/>
        </w:rPr>
        <w:t>c)</w:t>
      </w:r>
      <w:r w:rsidRPr="00732D9A">
        <w:rPr>
          <w:noProof/>
        </w:rPr>
        <w:tab/>
        <w:t>Pompes à chaleur hydroniques: pour les régimes mis en place ou mis à jour à partir du [OP: prière d’insérer la date correspondant à 3 ans après l’entrée en vigueur du présent règlement], la pompe à chaleur hydronique devra être d’origine UE.</w:t>
      </w:r>
    </w:p>
    <w:p w14:paraId="0370C737" w14:textId="77777777" w:rsidR="00310366" w:rsidRPr="00732D9A" w:rsidRDefault="00310366" w:rsidP="009956FE">
      <w:pPr>
        <w:pStyle w:val="Text0"/>
        <w:rPr>
          <w:b/>
          <w:bCs/>
          <w:noProof/>
        </w:rPr>
      </w:pPr>
      <w:r w:rsidRPr="00732D9A">
        <w:rPr>
          <w:b/>
          <w:noProof/>
        </w:rPr>
        <w:t>Partie IV – Soutien des États membres à la construction ou à la fabrication de technologies “zéro net”</w:t>
      </w:r>
    </w:p>
    <w:p w14:paraId="189748D2" w14:textId="77777777" w:rsidR="00310366" w:rsidRPr="00732D9A" w:rsidRDefault="00310366" w:rsidP="009956FE">
      <w:pPr>
        <w:pStyle w:val="Text0"/>
        <w:rPr>
          <w:noProof/>
        </w:rPr>
      </w:pPr>
      <w:r w:rsidRPr="00732D9A">
        <w:rPr>
          <w:noProof/>
        </w:rPr>
        <w:t>Conformément à l’article 28 </w:t>
      </w:r>
      <w:r w:rsidRPr="00732D9A">
        <w:rPr>
          <w:i/>
          <w:iCs/>
          <w:noProof/>
        </w:rPr>
        <w:t>quater</w:t>
      </w:r>
      <w:r w:rsidRPr="00732D9A">
        <w:rPr>
          <w:noProof/>
        </w:rPr>
        <w:t xml:space="preserve">, lorsque les États membres soutiennent la construction ou la fabrication des produits finaux de technologie “zéro net” suivants, ils veillent à ce que les exigences en matière d’origine UE établies ci-après soient remplies: </w:t>
      </w:r>
    </w:p>
    <w:p w14:paraId="7ED170D5" w14:textId="77777777" w:rsidR="00B37424" w:rsidRPr="00732D9A" w:rsidRDefault="000F1CB3" w:rsidP="007234F4">
      <w:pPr>
        <w:pStyle w:val="Point1"/>
        <w:rPr>
          <w:noProof/>
        </w:rPr>
      </w:pPr>
      <w:r w:rsidRPr="00732D9A">
        <w:rPr>
          <w:noProof/>
        </w:rPr>
        <w:t>a)</w:t>
      </w:r>
      <w:r w:rsidRPr="00732D9A">
        <w:rPr>
          <w:noProof/>
        </w:rPr>
        <w:tab/>
        <w:t xml:space="preserve">Hydrogène: </w:t>
      </w:r>
    </w:p>
    <w:p w14:paraId="43E2A5B2" w14:textId="77777777" w:rsidR="00310366" w:rsidRPr="00732D9A" w:rsidRDefault="00310366" w:rsidP="00B105F9">
      <w:pPr>
        <w:pStyle w:val="Point2"/>
        <w:rPr>
          <w:noProof/>
        </w:rPr>
      </w:pPr>
      <w:r w:rsidRPr="00732D9A">
        <w:rPr>
          <w:noProof/>
        </w:rPr>
        <w:t>à partir du [OP: prière d’insérer la date correspondant à un an après l’entrée en vigueur du présent règlement], lorsque les États membres mettent en place de nouveaux régimes d’aide aux investissements visant à développer la capacité de fabrication d’électrolyseurs, ils veillent à ce que l’électrolyseur soit d’origine UE et à ce que les empilements et au moins un composant principal spécifique supplémentaire de l’électrolyseur soient d’origine UE.</w:t>
      </w:r>
    </w:p>
    <w:p w14:paraId="68FB837D" w14:textId="77777777" w:rsidR="00A31111" w:rsidRPr="00732D9A" w:rsidRDefault="00176538" w:rsidP="00B105F9">
      <w:pPr>
        <w:pStyle w:val="Point2"/>
        <w:rPr>
          <w:noProof/>
        </w:rPr>
      </w:pPr>
      <w:r w:rsidRPr="00732D9A">
        <w:rPr>
          <w:noProof/>
        </w:rPr>
        <w:t>À partir du [OP: prière d’insérer la date correspondant à 3 ans après l’entrée en vigueur du présent règlement], lorsque les États membres mettent en place de nouveaux régimes d’aide aux investissements visant à développer la capacité de fabrication d’électrolyseurs, ils veillent à ce que l’électrolyseur soit d’origine UE et à ce que les empilements et au moins deux composants principaux spécifiques supplémentaires de l’électrolyseur soient d’origine UE.</w:t>
      </w:r>
    </w:p>
    <w:p w14:paraId="13F04CD9" w14:textId="77777777" w:rsidR="00263BC7" w:rsidRPr="00732D9A" w:rsidRDefault="008877BF" w:rsidP="007234F4">
      <w:pPr>
        <w:pStyle w:val="Point1"/>
        <w:rPr>
          <w:noProof/>
        </w:rPr>
      </w:pPr>
      <w:r w:rsidRPr="00732D9A">
        <w:rPr>
          <w:noProof/>
        </w:rPr>
        <w:t>b)</w:t>
      </w:r>
      <w:r w:rsidRPr="00732D9A">
        <w:rPr>
          <w:noProof/>
        </w:rPr>
        <w:tab/>
        <w:t xml:space="preserve">Nucléaire: </w:t>
      </w:r>
    </w:p>
    <w:p w14:paraId="04C0CCAB" w14:textId="77777777" w:rsidR="00310366" w:rsidRPr="00732D9A" w:rsidRDefault="000D4AB6" w:rsidP="00B105F9">
      <w:pPr>
        <w:pStyle w:val="Point2"/>
        <w:rPr>
          <w:noProof/>
        </w:rPr>
      </w:pPr>
      <w:r w:rsidRPr="00732D9A">
        <w:rPr>
          <w:noProof/>
        </w:rPr>
        <w:t xml:space="preserve">Pour les projets pour lesquels la demande d’aide est présentée après le [OP: prière d’insérer la date correspondant à 4 ans après l’entrée en vigueur du présent règlement], lorsque les États membres soutiennent la construction </w:t>
      </w:r>
      <w:r w:rsidRPr="00732D9A">
        <w:rPr>
          <w:noProof/>
        </w:rPr>
        <w:lastRenderedPageBreak/>
        <w:t>de nouvelles centrales nucléaires, y compris de petits réacteurs nucléaires modulaires, ils veillent à ce qu’au moins deux composants principaux spécifiques des produits finaux des technologies de l’énergie nucléaire de fission soient d’origine UE.</w:t>
      </w:r>
    </w:p>
    <w:p w14:paraId="7378798F" w14:textId="77777777" w:rsidR="00B41FE3" w:rsidRPr="00732D9A" w:rsidRDefault="00B41FE3" w:rsidP="00B105F9">
      <w:pPr>
        <w:pStyle w:val="Point2"/>
        <w:rPr>
          <w:noProof/>
        </w:rPr>
      </w:pPr>
      <w:r w:rsidRPr="00732D9A">
        <w:rPr>
          <w:noProof/>
        </w:rPr>
        <w:t>Pour les projets pour lesquels la demande d’aide est présentée après le [OP: prière d’insérer la date correspondant à 6 ans après l’entrée en vigueur du présent règlement], lorsque les États membres soutiennent la construction de nouvelles centrales nucléaires, y compris de petits réacteurs nucléaires modulaires, ils veillent à ce qu’au moins trois composants principaux spécifiques des produits finaux des technologies de l’énergie nucléaire de fission soient d’origine UE.</w:t>
      </w:r>
    </w:p>
    <w:p w14:paraId="6FDC610D" w14:textId="77777777" w:rsidR="00A300E7" w:rsidRPr="00732D9A" w:rsidRDefault="001C6241" w:rsidP="00B105F9">
      <w:pPr>
        <w:pStyle w:val="Point2"/>
        <w:rPr>
          <w:noProof/>
        </w:rPr>
      </w:pPr>
      <w:r w:rsidRPr="00732D9A">
        <w:rPr>
          <w:noProof/>
        </w:rPr>
        <w:t>Ces exigences ne s’appliquent pas aux projets de recherche, de développement et d’innovation impliquant le premier déploiement industriel de centrales nucléaires.».</w:t>
      </w:r>
    </w:p>
    <w:p w14:paraId="74842488" w14:textId="08F096FA" w:rsidR="00310366" w:rsidRPr="00732D9A" w:rsidRDefault="00310366" w:rsidP="00310366">
      <w:pPr>
        <w:pStyle w:val="Titrearticle"/>
        <w:rPr>
          <w:rFonts w:ascii="Times" w:eastAsia="Calibri" w:hAnsi="Times" w:cs="Times"/>
          <w:i w:val="0"/>
          <w:noProof/>
        </w:rPr>
      </w:pPr>
      <w:r w:rsidRPr="00732D9A">
        <w:rPr>
          <w:noProof/>
        </w:rPr>
        <w:t xml:space="preserve">Article 35 </w:t>
      </w:r>
      <w:r w:rsidRPr="00732D9A">
        <w:rPr>
          <w:noProof/>
        </w:rPr>
        <w:br/>
      </w:r>
      <w:r w:rsidRPr="00732D9A">
        <w:rPr>
          <w:rFonts w:ascii="Times" w:hAnsi="Times"/>
          <w:b/>
          <w:i w:val="0"/>
          <w:noProof/>
        </w:rPr>
        <w:t xml:space="preserve">Modifications du règlement (UE) 2024/3110 </w:t>
      </w:r>
    </w:p>
    <w:p w14:paraId="0C7A7C81" w14:textId="77777777" w:rsidR="00090CD6" w:rsidRPr="00732D9A" w:rsidRDefault="00090CD6" w:rsidP="00090CD6">
      <w:pPr>
        <w:pStyle w:val="Text0"/>
        <w:rPr>
          <w:noProof/>
        </w:rPr>
      </w:pPr>
      <w:r w:rsidRPr="00732D9A">
        <w:rPr>
          <w:noProof/>
        </w:rPr>
        <w:t xml:space="preserve">À l’article 22, paragraphe 9, du règlement (UE) 2024/3110, le premier alinéa est remplacé par le texte suivant: </w:t>
      </w:r>
    </w:p>
    <w:p w14:paraId="52072785" w14:textId="77777777" w:rsidR="00090CD6" w:rsidRPr="00732D9A" w:rsidRDefault="00090CD6" w:rsidP="00090CD6">
      <w:pPr>
        <w:pStyle w:val="Text1"/>
        <w:rPr>
          <w:noProof/>
        </w:rPr>
      </w:pPr>
      <w:r w:rsidRPr="00732D9A">
        <w:rPr>
          <w:noProof/>
        </w:rPr>
        <w:t>«Afin de garantir la transparence pour les utilisateurs et de promouvoir les produits durables, la Commission est habilitée à adopter des actes délégués conformément à l’article 89 afin de compléter le présent règlement en établissant des exigences spécifiques correspondant aux informations en matière de durabilité environnementale devant figurer sur l’étiquette pour certaines familles de produits et catégories de produits.».</w:t>
      </w:r>
    </w:p>
    <w:p w14:paraId="7783FE2B" w14:textId="10DCA6BA" w:rsidR="00310366" w:rsidRPr="00732D9A" w:rsidRDefault="00310366" w:rsidP="00310366">
      <w:pPr>
        <w:pStyle w:val="Titrearticle"/>
        <w:rPr>
          <w:noProof/>
        </w:rPr>
      </w:pPr>
      <w:r w:rsidRPr="00732D9A">
        <w:rPr>
          <w:noProof/>
        </w:rPr>
        <w:t xml:space="preserve">Article 36 </w:t>
      </w:r>
      <w:r w:rsidRPr="00732D9A">
        <w:rPr>
          <w:noProof/>
        </w:rPr>
        <w:br/>
      </w:r>
      <w:r w:rsidRPr="00732D9A">
        <w:rPr>
          <w:b/>
          <w:i w:val="0"/>
          <w:noProof/>
        </w:rPr>
        <w:t>Entrée en vigueur et application</w:t>
      </w:r>
    </w:p>
    <w:p w14:paraId="1DBAA432" w14:textId="77777777" w:rsidR="00440ED7" w:rsidRPr="00732D9A" w:rsidRDefault="00440ED7" w:rsidP="00310366">
      <w:pPr>
        <w:pStyle w:val="Text0"/>
        <w:rPr>
          <w:noProof/>
        </w:rPr>
      </w:pPr>
      <w:r w:rsidRPr="00732D9A">
        <w:rPr>
          <w:noProof/>
        </w:rPr>
        <w:t xml:space="preserve">Le présent règlement entre en vigueur le jour suivant celui de sa publication au </w:t>
      </w:r>
      <w:r w:rsidRPr="00732D9A">
        <w:rPr>
          <w:i/>
          <w:noProof/>
        </w:rPr>
        <w:t>Journal officiel de l’Union européenne</w:t>
      </w:r>
      <w:r w:rsidRPr="00732D9A">
        <w:rPr>
          <w:noProof/>
        </w:rPr>
        <w:t>.</w:t>
      </w:r>
    </w:p>
    <w:p w14:paraId="1C39CD49" w14:textId="77777777" w:rsidR="00B159A1" w:rsidRPr="00732D9A" w:rsidRDefault="00B159A1" w:rsidP="00310366">
      <w:pPr>
        <w:pStyle w:val="Text0"/>
        <w:rPr>
          <w:noProof/>
        </w:rPr>
      </w:pPr>
      <w:r w:rsidRPr="00732D9A">
        <w:rPr>
          <w:noProof/>
        </w:rPr>
        <w:t>Les articles 4 et 5 sont applicables à partir du [OP: prière d’insérer la date correspondant à (un) an après la date d’entrée en vigueur du présent règlement].</w:t>
      </w:r>
    </w:p>
    <w:p w14:paraId="7085290E" w14:textId="77777777" w:rsidR="00440ED7" w:rsidRPr="00732D9A" w:rsidRDefault="00440ED7" w:rsidP="00683400">
      <w:pPr>
        <w:pStyle w:val="Applicationdirecte"/>
        <w:keepNext/>
        <w:keepLines/>
        <w:rPr>
          <w:noProof/>
        </w:rPr>
      </w:pPr>
      <w:r w:rsidRPr="00732D9A">
        <w:rPr>
          <w:noProof/>
        </w:rPr>
        <w:t>Le présent règlement est obligatoire dans tous ses éléments et directement applicable dans les États membres conformément aux traités.</w:t>
      </w:r>
    </w:p>
    <w:p w14:paraId="3F84FF7D" w14:textId="0D06D318" w:rsidR="00440ED7" w:rsidRPr="00732D9A" w:rsidRDefault="00C27A0B" w:rsidP="00BF53B7">
      <w:pPr>
        <w:pStyle w:val="Fait"/>
        <w:rPr>
          <w:noProof/>
        </w:rPr>
      </w:pPr>
      <w:r>
        <w:rPr>
          <w:noProof/>
        </w:rPr>
        <w:t>Fait à Bruxelles, le</w:t>
      </w:r>
    </w:p>
    <w:p w14:paraId="6C4A2C8F" w14:textId="77777777" w:rsidR="00440ED7" w:rsidRPr="00732D9A" w:rsidRDefault="00440ED7" w:rsidP="00BF53B7">
      <w:pPr>
        <w:pStyle w:val="Institutionquisigne"/>
        <w:rPr>
          <w:noProof/>
        </w:rPr>
      </w:pPr>
      <w:r w:rsidRPr="00732D9A">
        <w:rPr>
          <w:noProof/>
        </w:rPr>
        <w:t>Par le Parlement européen</w:t>
      </w:r>
      <w:r w:rsidRPr="00732D9A">
        <w:rPr>
          <w:noProof/>
        </w:rPr>
        <w:tab/>
        <w:t>Par le Conseil</w:t>
      </w:r>
    </w:p>
    <w:p w14:paraId="749C5518" w14:textId="77777777" w:rsidR="00440ED7" w:rsidRPr="00732D9A" w:rsidRDefault="00440ED7" w:rsidP="00440ED7">
      <w:pPr>
        <w:pStyle w:val="Personnequisigne"/>
        <w:rPr>
          <w:noProof/>
        </w:rPr>
      </w:pPr>
      <w:r w:rsidRPr="00732D9A">
        <w:rPr>
          <w:noProof/>
        </w:rPr>
        <w:t>La présidente</w:t>
      </w:r>
      <w:r w:rsidRPr="00732D9A">
        <w:rPr>
          <w:noProof/>
        </w:rPr>
        <w:tab/>
        <w:t>Le président/La présidente</w:t>
      </w:r>
    </w:p>
    <w:p w14:paraId="2C797055" w14:textId="77777777" w:rsidR="00440ED7" w:rsidRPr="00732D9A" w:rsidRDefault="00440ED7" w:rsidP="00440ED7">
      <w:pPr>
        <w:rPr>
          <w:noProof/>
        </w:rPr>
        <w:sectPr w:rsidR="00440ED7" w:rsidRPr="00732D9A" w:rsidSect="0017255A">
          <w:pgSz w:w="11907" w:h="16839"/>
          <w:pgMar w:top="1134" w:right="1417" w:bottom="1134" w:left="1417" w:header="709" w:footer="709" w:gutter="0"/>
          <w:cols w:space="708"/>
          <w:docGrid w:linePitch="360"/>
        </w:sectPr>
      </w:pPr>
    </w:p>
    <w:p w14:paraId="49D73509" w14:textId="77777777" w:rsidR="00440ED7" w:rsidRPr="00732D9A" w:rsidRDefault="00440ED7">
      <w:pPr>
        <w:pStyle w:val="Fichefinanciretitre"/>
        <w:keepNext/>
        <w:rPr>
          <w:noProof/>
        </w:rPr>
      </w:pPr>
      <w:r w:rsidRPr="00732D9A">
        <w:rPr>
          <w:noProof/>
        </w:rPr>
        <w:lastRenderedPageBreak/>
        <w:t>FICHE FINANCIÈRE ET NUMÉRIQUE LÉGISLATIVE</w:t>
      </w:r>
    </w:p>
    <w:p w14:paraId="601A7109" w14:textId="267EBA4C" w:rsidR="00440ED7" w:rsidRPr="00732D9A" w:rsidRDefault="00440ED7">
      <w:pPr>
        <w:pStyle w:val="TOC1"/>
        <w:rPr>
          <w:rFonts w:asciiTheme="minorHAnsi" w:eastAsiaTheme="minorEastAsia" w:hAnsiTheme="minorHAnsi" w:cstheme="minorBidi"/>
          <w:noProof/>
          <w:kern w:val="2"/>
          <w:sz w:val="22"/>
          <w14:ligatures w14:val="standardContextual"/>
        </w:rPr>
      </w:pPr>
      <w:r w:rsidRPr="00732D9A">
        <w:rPr>
          <w:noProof/>
        </w:rPr>
        <w:t>1.</w:t>
      </w:r>
      <w:r w:rsidRPr="00732D9A">
        <w:rPr>
          <w:noProof/>
        </w:rPr>
        <w:tab/>
        <w:t>CADRE DE LA PROPOSITION/DE L</w:t>
      </w:r>
      <w:r w:rsidR="00980FE6">
        <w:rPr>
          <w:noProof/>
        </w:rPr>
        <w:t>’</w:t>
      </w:r>
      <w:r w:rsidRPr="00732D9A">
        <w:rPr>
          <w:noProof/>
        </w:rPr>
        <w:t>INITIATIVE</w:t>
      </w:r>
      <w:r w:rsidRPr="00732D9A">
        <w:rPr>
          <w:noProof/>
        </w:rPr>
        <w:tab/>
      </w:r>
      <w:r w:rsidRPr="00732D9A">
        <w:rPr>
          <w:noProof/>
          <w:webHidden/>
        </w:rPr>
        <w:t>3</w:t>
      </w:r>
    </w:p>
    <w:p w14:paraId="716F4D25" w14:textId="41654339"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1.1.</w:t>
      </w:r>
      <w:r w:rsidRPr="00732D9A">
        <w:rPr>
          <w:noProof/>
        </w:rPr>
        <w:tab/>
        <w:t>Dénomination de la proposition/de l</w:t>
      </w:r>
      <w:r w:rsidR="00980FE6">
        <w:rPr>
          <w:noProof/>
        </w:rPr>
        <w:t>’</w:t>
      </w:r>
      <w:r w:rsidRPr="00732D9A">
        <w:rPr>
          <w:noProof/>
        </w:rPr>
        <w:t>initiative</w:t>
      </w:r>
      <w:r w:rsidRPr="00732D9A">
        <w:rPr>
          <w:noProof/>
        </w:rPr>
        <w:tab/>
      </w:r>
      <w:r w:rsidRPr="00732D9A">
        <w:rPr>
          <w:noProof/>
          <w:webHidden/>
        </w:rPr>
        <w:t>3</w:t>
      </w:r>
    </w:p>
    <w:p w14:paraId="55EF6D57"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1.2.</w:t>
      </w:r>
      <w:r w:rsidRPr="00732D9A">
        <w:rPr>
          <w:noProof/>
        </w:rPr>
        <w:tab/>
        <w:t>Domaine(s) politique(s) concerné(s)</w:t>
      </w:r>
      <w:r w:rsidRPr="00732D9A">
        <w:rPr>
          <w:noProof/>
        </w:rPr>
        <w:tab/>
      </w:r>
      <w:r w:rsidRPr="00732D9A">
        <w:rPr>
          <w:noProof/>
          <w:webHidden/>
        </w:rPr>
        <w:t>3</w:t>
      </w:r>
    </w:p>
    <w:p w14:paraId="5D4287D5"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1.3.</w:t>
      </w:r>
      <w:r w:rsidRPr="00732D9A">
        <w:rPr>
          <w:noProof/>
        </w:rPr>
        <w:tab/>
        <w:t>Objectif(s)</w:t>
      </w:r>
      <w:r w:rsidRPr="00732D9A">
        <w:rPr>
          <w:noProof/>
        </w:rPr>
        <w:tab/>
      </w:r>
      <w:r w:rsidRPr="00732D9A">
        <w:rPr>
          <w:noProof/>
          <w:webHidden/>
        </w:rPr>
        <w:t>3</w:t>
      </w:r>
    </w:p>
    <w:p w14:paraId="5C61DF6D"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1.3.1.</w:t>
      </w:r>
      <w:r w:rsidRPr="00732D9A">
        <w:rPr>
          <w:noProof/>
        </w:rPr>
        <w:tab/>
        <w:t>Objectif général / objectifs généraux</w:t>
      </w:r>
      <w:r w:rsidRPr="00732D9A">
        <w:rPr>
          <w:noProof/>
        </w:rPr>
        <w:tab/>
      </w:r>
      <w:r w:rsidRPr="00732D9A">
        <w:rPr>
          <w:noProof/>
          <w:webHidden/>
        </w:rPr>
        <w:t>3</w:t>
      </w:r>
    </w:p>
    <w:p w14:paraId="31C54BC3"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1.3.2.</w:t>
      </w:r>
      <w:r w:rsidRPr="00732D9A">
        <w:rPr>
          <w:noProof/>
        </w:rPr>
        <w:tab/>
        <w:t>Objectif(s) spécifique(s)</w:t>
      </w:r>
      <w:r w:rsidRPr="00732D9A">
        <w:rPr>
          <w:noProof/>
        </w:rPr>
        <w:tab/>
      </w:r>
      <w:r w:rsidRPr="00732D9A">
        <w:rPr>
          <w:noProof/>
          <w:webHidden/>
        </w:rPr>
        <w:t>3</w:t>
      </w:r>
    </w:p>
    <w:p w14:paraId="78F858A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1.3.3.</w:t>
      </w:r>
      <w:r w:rsidRPr="00732D9A">
        <w:rPr>
          <w:noProof/>
        </w:rPr>
        <w:tab/>
        <w:t>Résultat(s) et incidence(s) attendus</w:t>
      </w:r>
      <w:r w:rsidRPr="00732D9A">
        <w:rPr>
          <w:noProof/>
        </w:rPr>
        <w:tab/>
      </w:r>
      <w:r w:rsidRPr="00732D9A">
        <w:rPr>
          <w:noProof/>
          <w:webHidden/>
        </w:rPr>
        <w:t>3</w:t>
      </w:r>
    </w:p>
    <w:p w14:paraId="6A6DA5DA"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1.3.4.</w:t>
      </w:r>
      <w:r w:rsidRPr="00732D9A">
        <w:rPr>
          <w:noProof/>
        </w:rPr>
        <w:tab/>
        <w:t>Indicateurs de performance</w:t>
      </w:r>
      <w:r w:rsidRPr="00732D9A">
        <w:rPr>
          <w:noProof/>
        </w:rPr>
        <w:tab/>
      </w:r>
      <w:r w:rsidRPr="00732D9A">
        <w:rPr>
          <w:noProof/>
          <w:webHidden/>
        </w:rPr>
        <w:t>3</w:t>
      </w:r>
    </w:p>
    <w:p w14:paraId="0B809C67"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1.4.</w:t>
      </w:r>
      <w:r w:rsidRPr="00732D9A">
        <w:rPr>
          <w:noProof/>
        </w:rPr>
        <w:tab/>
        <w:t>La proposition/l’initiative porte sur:</w:t>
      </w:r>
      <w:r w:rsidRPr="00732D9A">
        <w:rPr>
          <w:noProof/>
        </w:rPr>
        <w:tab/>
      </w:r>
      <w:r w:rsidRPr="00732D9A">
        <w:rPr>
          <w:noProof/>
          <w:webHidden/>
        </w:rPr>
        <w:t>4</w:t>
      </w:r>
    </w:p>
    <w:p w14:paraId="5FFCC6BA" w14:textId="39C483F8"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1.5.</w:t>
      </w:r>
      <w:r w:rsidRPr="00732D9A">
        <w:rPr>
          <w:noProof/>
        </w:rPr>
        <w:tab/>
        <w:t>Justification(s) de la proposition/de l</w:t>
      </w:r>
      <w:r w:rsidR="00980FE6">
        <w:rPr>
          <w:noProof/>
        </w:rPr>
        <w:t>’</w:t>
      </w:r>
      <w:r w:rsidRPr="00732D9A">
        <w:rPr>
          <w:noProof/>
        </w:rPr>
        <w:t>initiative</w:t>
      </w:r>
      <w:r w:rsidRPr="00732D9A">
        <w:rPr>
          <w:noProof/>
        </w:rPr>
        <w:tab/>
      </w:r>
      <w:r w:rsidRPr="00732D9A">
        <w:rPr>
          <w:noProof/>
          <w:webHidden/>
        </w:rPr>
        <w:t>4</w:t>
      </w:r>
    </w:p>
    <w:p w14:paraId="7F60A6F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1.5.1.</w:t>
      </w:r>
      <w:r w:rsidRPr="00732D9A">
        <w:rPr>
          <w:noProof/>
        </w:rPr>
        <w:tab/>
        <w:t>Besoin(s) à satisfaire à court ou à long terme, assorti(s) d’un calendrier détaillé pour la mise en œuvre de l’initiative</w:t>
      </w:r>
      <w:r w:rsidRPr="00732D9A">
        <w:rPr>
          <w:noProof/>
        </w:rPr>
        <w:tab/>
      </w:r>
      <w:r w:rsidRPr="00732D9A">
        <w:rPr>
          <w:noProof/>
          <w:webHidden/>
        </w:rPr>
        <w:t>4</w:t>
      </w:r>
    </w:p>
    <w:p w14:paraId="39F1F998"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1.5.2.</w:t>
      </w:r>
      <w:r w:rsidRPr="00732D9A">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732D9A">
        <w:rPr>
          <w:noProof/>
        </w:rPr>
        <w:tab/>
      </w:r>
      <w:r w:rsidRPr="00732D9A">
        <w:rPr>
          <w:noProof/>
          <w:webHidden/>
        </w:rPr>
        <w:t>4</w:t>
      </w:r>
    </w:p>
    <w:p w14:paraId="130107F9" w14:textId="2DD502A2"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1.5.3.</w:t>
      </w:r>
      <w:r w:rsidRPr="00732D9A">
        <w:rPr>
          <w:noProof/>
        </w:rPr>
        <w:tab/>
        <w:t>Leçons tirées d</w:t>
      </w:r>
      <w:r w:rsidR="00980FE6">
        <w:rPr>
          <w:noProof/>
        </w:rPr>
        <w:t>’</w:t>
      </w:r>
      <w:r w:rsidRPr="00732D9A">
        <w:rPr>
          <w:noProof/>
        </w:rPr>
        <w:t>expériences similaires</w:t>
      </w:r>
      <w:r w:rsidRPr="00732D9A">
        <w:rPr>
          <w:noProof/>
        </w:rPr>
        <w:tab/>
      </w:r>
      <w:r w:rsidRPr="00732D9A">
        <w:rPr>
          <w:noProof/>
          <w:webHidden/>
        </w:rPr>
        <w:t>4</w:t>
      </w:r>
    </w:p>
    <w:p w14:paraId="299BA770"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1.5.4.</w:t>
      </w:r>
      <w:r w:rsidRPr="00732D9A">
        <w:rPr>
          <w:noProof/>
        </w:rPr>
        <w:tab/>
        <w:t>Compatibilité avec le cadre financier pluriannuel et synergies éventuelles avec d’autres instruments appropriés</w:t>
      </w:r>
      <w:r w:rsidRPr="00732D9A">
        <w:rPr>
          <w:noProof/>
        </w:rPr>
        <w:tab/>
      </w:r>
      <w:r w:rsidRPr="00732D9A">
        <w:rPr>
          <w:noProof/>
          <w:webHidden/>
        </w:rPr>
        <w:t>5</w:t>
      </w:r>
    </w:p>
    <w:p w14:paraId="53732E3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1.5.5.</w:t>
      </w:r>
      <w:r w:rsidRPr="00732D9A">
        <w:rPr>
          <w:noProof/>
        </w:rPr>
        <w:tab/>
        <w:t>Évaluation des différentes possibilités de financement disponibles, y compris des possibilités de redéploiement</w:t>
      </w:r>
      <w:r w:rsidRPr="00732D9A">
        <w:rPr>
          <w:noProof/>
        </w:rPr>
        <w:tab/>
      </w:r>
      <w:r w:rsidRPr="00732D9A">
        <w:rPr>
          <w:noProof/>
          <w:webHidden/>
        </w:rPr>
        <w:t>5</w:t>
      </w:r>
    </w:p>
    <w:p w14:paraId="04C07BC7"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1.6.</w:t>
      </w:r>
      <w:r w:rsidRPr="00732D9A">
        <w:rPr>
          <w:noProof/>
        </w:rPr>
        <w:tab/>
        <w:t>Durée de la proposition/de l’initiative et de son incidence financière</w:t>
      </w:r>
      <w:r w:rsidRPr="00732D9A">
        <w:rPr>
          <w:noProof/>
        </w:rPr>
        <w:tab/>
      </w:r>
      <w:r w:rsidRPr="00732D9A">
        <w:rPr>
          <w:noProof/>
          <w:webHidden/>
        </w:rPr>
        <w:t>6</w:t>
      </w:r>
    </w:p>
    <w:p w14:paraId="67593092"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1.7.</w:t>
      </w:r>
      <w:r w:rsidRPr="00732D9A">
        <w:rPr>
          <w:noProof/>
        </w:rPr>
        <w:tab/>
        <w:t>Mode(s) d’exécution budgétaire prévu(s)</w:t>
      </w:r>
      <w:r w:rsidRPr="00732D9A">
        <w:rPr>
          <w:noProof/>
        </w:rPr>
        <w:tab/>
      </w:r>
      <w:r w:rsidRPr="00732D9A">
        <w:rPr>
          <w:noProof/>
          <w:webHidden/>
        </w:rPr>
        <w:t>6</w:t>
      </w:r>
    </w:p>
    <w:p w14:paraId="63A9427B" w14:textId="77777777" w:rsidR="00440ED7" w:rsidRPr="00732D9A" w:rsidRDefault="00440ED7">
      <w:pPr>
        <w:pStyle w:val="TOC1"/>
        <w:rPr>
          <w:rFonts w:asciiTheme="minorHAnsi" w:eastAsiaTheme="minorEastAsia" w:hAnsiTheme="minorHAnsi" w:cstheme="minorBidi"/>
          <w:noProof/>
          <w:kern w:val="2"/>
          <w:sz w:val="22"/>
          <w14:ligatures w14:val="standardContextual"/>
        </w:rPr>
      </w:pPr>
      <w:r w:rsidRPr="00732D9A">
        <w:rPr>
          <w:noProof/>
        </w:rPr>
        <w:t>2.</w:t>
      </w:r>
      <w:r w:rsidRPr="00732D9A">
        <w:rPr>
          <w:noProof/>
        </w:rPr>
        <w:tab/>
        <w:t>MESURES DE GESTION</w:t>
      </w:r>
      <w:r w:rsidRPr="00732D9A">
        <w:rPr>
          <w:noProof/>
        </w:rPr>
        <w:tab/>
      </w:r>
      <w:r w:rsidRPr="00732D9A">
        <w:rPr>
          <w:noProof/>
          <w:webHidden/>
        </w:rPr>
        <w:t>8</w:t>
      </w:r>
    </w:p>
    <w:p w14:paraId="6F6842AB"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2.1.</w:t>
      </w:r>
      <w:r w:rsidRPr="00732D9A">
        <w:rPr>
          <w:noProof/>
        </w:rPr>
        <w:tab/>
        <w:t>Dispositions en matière de suivi et de compte rendu</w:t>
      </w:r>
      <w:r w:rsidRPr="00732D9A">
        <w:rPr>
          <w:noProof/>
        </w:rPr>
        <w:tab/>
      </w:r>
      <w:r w:rsidRPr="00732D9A">
        <w:rPr>
          <w:noProof/>
          <w:webHidden/>
        </w:rPr>
        <w:t>8</w:t>
      </w:r>
    </w:p>
    <w:p w14:paraId="0DD2A019"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2.2.</w:t>
      </w:r>
      <w:r w:rsidRPr="00732D9A">
        <w:rPr>
          <w:noProof/>
        </w:rPr>
        <w:tab/>
        <w:t>Système(s) de gestion et de contrôle</w:t>
      </w:r>
      <w:r w:rsidRPr="00732D9A">
        <w:rPr>
          <w:noProof/>
        </w:rPr>
        <w:tab/>
      </w:r>
      <w:r w:rsidRPr="00732D9A">
        <w:rPr>
          <w:noProof/>
          <w:webHidden/>
        </w:rPr>
        <w:t>8</w:t>
      </w:r>
    </w:p>
    <w:p w14:paraId="645489DD"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2.2.1.</w:t>
      </w:r>
      <w:r w:rsidRPr="00732D9A">
        <w:rPr>
          <w:noProof/>
        </w:rPr>
        <w:tab/>
        <w:t>Justification du (des) mode(s) d’exécution budgétaire, du (des) mécanisme(s) de mise en œuvre du financement, des modalités de paiement et de la stratégie de contrôle proposée</w:t>
      </w:r>
      <w:r w:rsidRPr="00732D9A">
        <w:rPr>
          <w:noProof/>
        </w:rPr>
        <w:tab/>
      </w:r>
      <w:r w:rsidRPr="00732D9A">
        <w:rPr>
          <w:noProof/>
          <w:webHidden/>
        </w:rPr>
        <w:t>8</w:t>
      </w:r>
    </w:p>
    <w:p w14:paraId="1A39D8A0"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2.2.2.</w:t>
      </w:r>
      <w:r w:rsidRPr="00732D9A">
        <w:rPr>
          <w:noProof/>
        </w:rPr>
        <w:tab/>
        <w:t>Informations sur les risques recensés et sur le(s) système(s) de contrôle interne mis en place pour les atténuer</w:t>
      </w:r>
      <w:r w:rsidRPr="00732D9A">
        <w:rPr>
          <w:noProof/>
        </w:rPr>
        <w:tab/>
      </w:r>
      <w:r w:rsidRPr="00732D9A">
        <w:rPr>
          <w:noProof/>
          <w:webHidden/>
        </w:rPr>
        <w:t>8</w:t>
      </w:r>
    </w:p>
    <w:p w14:paraId="383836D6"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2.2.3.</w:t>
      </w:r>
      <w:r w:rsidRPr="00732D9A">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732D9A">
        <w:rPr>
          <w:noProof/>
        </w:rPr>
        <w:tab/>
      </w:r>
      <w:r w:rsidRPr="00732D9A">
        <w:rPr>
          <w:noProof/>
          <w:webHidden/>
        </w:rPr>
        <w:t>8</w:t>
      </w:r>
    </w:p>
    <w:p w14:paraId="5F9C78DF"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2.3.</w:t>
      </w:r>
      <w:r w:rsidRPr="00732D9A">
        <w:rPr>
          <w:noProof/>
        </w:rPr>
        <w:tab/>
        <w:t>Mesures de prévention des fraudes et irrégularités</w:t>
      </w:r>
      <w:r w:rsidRPr="00732D9A">
        <w:rPr>
          <w:noProof/>
        </w:rPr>
        <w:tab/>
      </w:r>
      <w:r w:rsidRPr="00732D9A">
        <w:rPr>
          <w:noProof/>
          <w:webHidden/>
        </w:rPr>
        <w:t>9</w:t>
      </w:r>
    </w:p>
    <w:p w14:paraId="10D5E7A5" w14:textId="12D14A7E" w:rsidR="00440ED7" w:rsidRPr="00732D9A" w:rsidRDefault="00440ED7">
      <w:pPr>
        <w:pStyle w:val="TOC1"/>
        <w:rPr>
          <w:rFonts w:asciiTheme="minorHAnsi" w:eastAsiaTheme="minorEastAsia" w:hAnsiTheme="minorHAnsi" w:cstheme="minorBidi"/>
          <w:noProof/>
          <w:kern w:val="2"/>
          <w:sz w:val="22"/>
          <w14:ligatures w14:val="standardContextual"/>
        </w:rPr>
      </w:pPr>
      <w:r w:rsidRPr="00732D9A">
        <w:rPr>
          <w:noProof/>
        </w:rPr>
        <w:t>3.</w:t>
      </w:r>
      <w:r w:rsidRPr="00732D9A">
        <w:rPr>
          <w:noProof/>
        </w:rPr>
        <w:tab/>
        <w:t>INCIDENCE FINANCIÈRE ESTIMÉE DE LA PROPOSITION/DE L</w:t>
      </w:r>
      <w:r w:rsidR="00980FE6">
        <w:rPr>
          <w:noProof/>
        </w:rPr>
        <w:t>’</w:t>
      </w:r>
      <w:r w:rsidRPr="00732D9A">
        <w:rPr>
          <w:noProof/>
        </w:rPr>
        <w:t>INITIATIVE</w:t>
      </w:r>
      <w:r w:rsidRPr="00732D9A">
        <w:rPr>
          <w:noProof/>
        </w:rPr>
        <w:tab/>
      </w:r>
      <w:r w:rsidRPr="00732D9A">
        <w:rPr>
          <w:noProof/>
          <w:webHidden/>
        </w:rPr>
        <w:t>10</w:t>
      </w:r>
    </w:p>
    <w:p w14:paraId="7924563E"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3.1.</w:t>
      </w:r>
      <w:r w:rsidRPr="00732D9A">
        <w:rPr>
          <w:noProof/>
        </w:rPr>
        <w:tab/>
        <w:t>Rubrique(s) du cadre financier pluriannuel et ligne(s) budgétaire(s) de dépenses concernée(s)</w:t>
      </w:r>
      <w:r w:rsidRPr="00732D9A">
        <w:rPr>
          <w:noProof/>
        </w:rPr>
        <w:tab/>
      </w:r>
      <w:r w:rsidRPr="00732D9A">
        <w:rPr>
          <w:noProof/>
          <w:webHidden/>
        </w:rPr>
        <w:t>10</w:t>
      </w:r>
    </w:p>
    <w:p w14:paraId="020D764C"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3.2.</w:t>
      </w:r>
      <w:r w:rsidRPr="00732D9A">
        <w:rPr>
          <w:noProof/>
        </w:rPr>
        <w:tab/>
        <w:t>Incidence financière estimée de la proposition sur les crédits</w:t>
      </w:r>
      <w:r w:rsidRPr="00732D9A">
        <w:rPr>
          <w:noProof/>
        </w:rPr>
        <w:tab/>
      </w:r>
      <w:r w:rsidRPr="00732D9A">
        <w:rPr>
          <w:noProof/>
          <w:webHidden/>
        </w:rPr>
        <w:t>12</w:t>
      </w:r>
    </w:p>
    <w:p w14:paraId="597FF921"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3.2.1.</w:t>
      </w:r>
      <w:r w:rsidRPr="00732D9A">
        <w:rPr>
          <w:noProof/>
        </w:rPr>
        <w:tab/>
        <w:t>Synthèse de l’incidence estimée sur les crédits opérationnels</w:t>
      </w:r>
      <w:r w:rsidRPr="00732D9A">
        <w:rPr>
          <w:noProof/>
        </w:rPr>
        <w:tab/>
      </w:r>
      <w:r w:rsidRPr="00732D9A">
        <w:rPr>
          <w:noProof/>
          <w:webHidden/>
        </w:rPr>
        <w:t>12</w:t>
      </w:r>
    </w:p>
    <w:p w14:paraId="1D8557AF"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3.2.1.1.</w:t>
      </w:r>
      <w:r w:rsidRPr="00732D9A">
        <w:rPr>
          <w:noProof/>
        </w:rPr>
        <w:tab/>
        <w:t>Crédits issus du budget voté</w:t>
      </w:r>
      <w:r w:rsidRPr="00732D9A">
        <w:rPr>
          <w:noProof/>
        </w:rPr>
        <w:tab/>
      </w:r>
      <w:r w:rsidRPr="00732D9A">
        <w:rPr>
          <w:noProof/>
          <w:webHidden/>
        </w:rPr>
        <w:t>12</w:t>
      </w:r>
    </w:p>
    <w:p w14:paraId="1F81A640"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3.2.1.2.</w:t>
      </w:r>
      <w:r w:rsidRPr="00732D9A">
        <w:rPr>
          <w:noProof/>
        </w:rPr>
        <w:tab/>
        <w:t>Crédits issus de recettes affectées externes</w:t>
      </w:r>
      <w:r w:rsidRPr="00732D9A">
        <w:rPr>
          <w:noProof/>
        </w:rPr>
        <w:tab/>
      </w:r>
      <w:r w:rsidRPr="00732D9A">
        <w:rPr>
          <w:noProof/>
          <w:webHidden/>
        </w:rPr>
        <w:t>17</w:t>
      </w:r>
    </w:p>
    <w:p w14:paraId="4BD39847"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3.2.2.</w:t>
      </w:r>
      <w:r w:rsidRPr="00732D9A">
        <w:rPr>
          <w:noProof/>
        </w:rPr>
        <w:tab/>
        <w:t>Estimation des réalisations financées à partir des crédits opérationnels</w:t>
      </w:r>
      <w:r w:rsidRPr="00732D9A">
        <w:rPr>
          <w:noProof/>
        </w:rPr>
        <w:tab/>
      </w:r>
      <w:r w:rsidRPr="00732D9A">
        <w:rPr>
          <w:noProof/>
          <w:webHidden/>
        </w:rPr>
        <w:t>22</w:t>
      </w:r>
    </w:p>
    <w:p w14:paraId="0F85AA0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3.2.3.</w:t>
      </w:r>
      <w:r w:rsidRPr="00732D9A">
        <w:rPr>
          <w:noProof/>
        </w:rPr>
        <w:tab/>
        <w:t>Synthèse de l’incidence estimée sur les crédits administratifs</w:t>
      </w:r>
      <w:r w:rsidRPr="00732D9A">
        <w:rPr>
          <w:noProof/>
        </w:rPr>
        <w:tab/>
      </w:r>
      <w:r w:rsidRPr="00732D9A">
        <w:rPr>
          <w:noProof/>
          <w:webHidden/>
        </w:rPr>
        <w:t>24</w:t>
      </w:r>
    </w:p>
    <w:p w14:paraId="15D84D92"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3.2.3.1. Crédits issus du budget voté</w:t>
      </w:r>
      <w:r w:rsidRPr="00732D9A">
        <w:rPr>
          <w:noProof/>
        </w:rPr>
        <w:tab/>
      </w:r>
      <w:r w:rsidRPr="00732D9A">
        <w:rPr>
          <w:noProof/>
          <w:webHidden/>
        </w:rPr>
        <w:t>24</w:t>
      </w:r>
    </w:p>
    <w:p w14:paraId="2624A60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3.2.3.2.</w:t>
      </w:r>
      <w:r w:rsidRPr="00732D9A">
        <w:rPr>
          <w:noProof/>
        </w:rPr>
        <w:tab/>
        <w:t>Crédits issus de recettes affectées externes</w:t>
      </w:r>
      <w:r w:rsidRPr="00732D9A">
        <w:rPr>
          <w:noProof/>
        </w:rPr>
        <w:tab/>
      </w:r>
      <w:r w:rsidRPr="00732D9A">
        <w:rPr>
          <w:noProof/>
          <w:webHidden/>
        </w:rPr>
        <w:t>24</w:t>
      </w:r>
    </w:p>
    <w:p w14:paraId="6701C85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3.2.3.3.</w:t>
      </w:r>
      <w:r w:rsidRPr="00732D9A">
        <w:rPr>
          <w:noProof/>
        </w:rPr>
        <w:tab/>
        <w:t>Total des crédits</w:t>
      </w:r>
      <w:r w:rsidRPr="00732D9A">
        <w:rPr>
          <w:noProof/>
        </w:rPr>
        <w:tab/>
      </w:r>
      <w:r w:rsidRPr="00732D9A">
        <w:rPr>
          <w:noProof/>
          <w:webHidden/>
        </w:rPr>
        <w:t>24</w:t>
      </w:r>
    </w:p>
    <w:p w14:paraId="4A6F5FC3"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3.2.4.</w:t>
      </w:r>
      <w:r w:rsidRPr="00732D9A">
        <w:rPr>
          <w:noProof/>
        </w:rPr>
        <w:tab/>
        <w:t>Besoins estimés en ressources humaines</w:t>
      </w:r>
      <w:r w:rsidRPr="00732D9A">
        <w:rPr>
          <w:noProof/>
        </w:rPr>
        <w:tab/>
      </w:r>
      <w:r w:rsidRPr="00732D9A">
        <w:rPr>
          <w:noProof/>
          <w:webHidden/>
        </w:rPr>
        <w:t>25</w:t>
      </w:r>
    </w:p>
    <w:p w14:paraId="2DB9917C"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3.2.4.1.</w:t>
      </w:r>
      <w:r w:rsidRPr="00732D9A">
        <w:rPr>
          <w:noProof/>
        </w:rPr>
        <w:tab/>
        <w:t>Financement sur le budget voté</w:t>
      </w:r>
      <w:r w:rsidRPr="00732D9A">
        <w:rPr>
          <w:noProof/>
        </w:rPr>
        <w:tab/>
      </w:r>
      <w:r w:rsidRPr="00732D9A">
        <w:rPr>
          <w:noProof/>
          <w:webHidden/>
        </w:rPr>
        <w:t>25</w:t>
      </w:r>
    </w:p>
    <w:p w14:paraId="430F0D20"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3.2.4.2.</w:t>
      </w:r>
      <w:r w:rsidRPr="00732D9A">
        <w:rPr>
          <w:noProof/>
        </w:rPr>
        <w:tab/>
        <w:t>Financement par des recettes affectées externes</w:t>
      </w:r>
      <w:r w:rsidRPr="00732D9A">
        <w:rPr>
          <w:noProof/>
        </w:rPr>
        <w:tab/>
      </w:r>
      <w:r w:rsidRPr="00732D9A">
        <w:rPr>
          <w:noProof/>
          <w:webHidden/>
        </w:rPr>
        <w:t>26</w:t>
      </w:r>
    </w:p>
    <w:p w14:paraId="33775E9D"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3.2.4.3.</w:t>
      </w:r>
      <w:r w:rsidRPr="00732D9A">
        <w:rPr>
          <w:noProof/>
        </w:rPr>
        <w:tab/>
        <w:t>Total des besoins en ressources humaines</w:t>
      </w:r>
      <w:r w:rsidRPr="00732D9A">
        <w:rPr>
          <w:noProof/>
        </w:rPr>
        <w:tab/>
      </w:r>
      <w:r w:rsidRPr="00732D9A">
        <w:rPr>
          <w:noProof/>
          <w:webHidden/>
        </w:rPr>
        <w:t>26</w:t>
      </w:r>
    </w:p>
    <w:p w14:paraId="05758CA6"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3.2.5.</w:t>
      </w:r>
      <w:r w:rsidRPr="00732D9A">
        <w:rPr>
          <w:noProof/>
        </w:rPr>
        <w:tab/>
        <w:t>Vue d’ensemble de l’incidence estimée sur les investissements liés aux technologies numériques</w:t>
      </w:r>
      <w:r w:rsidRPr="00732D9A">
        <w:rPr>
          <w:noProof/>
        </w:rPr>
        <w:tab/>
      </w:r>
      <w:r w:rsidRPr="00732D9A">
        <w:rPr>
          <w:noProof/>
          <w:webHidden/>
        </w:rPr>
        <w:t>28</w:t>
      </w:r>
    </w:p>
    <w:p w14:paraId="09A16718"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3.2.6.</w:t>
      </w:r>
      <w:r w:rsidRPr="00732D9A">
        <w:rPr>
          <w:noProof/>
        </w:rPr>
        <w:tab/>
        <w:t>Compatibilité avec le cadre financier pluriannuel actuel</w:t>
      </w:r>
      <w:r w:rsidRPr="00732D9A">
        <w:rPr>
          <w:noProof/>
        </w:rPr>
        <w:tab/>
      </w:r>
      <w:r w:rsidRPr="00732D9A">
        <w:rPr>
          <w:noProof/>
          <w:webHidden/>
        </w:rPr>
        <w:t>28</w:t>
      </w:r>
    </w:p>
    <w:p w14:paraId="0FFCAC55" w14:textId="77777777" w:rsidR="00440ED7" w:rsidRPr="00732D9A" w:rsidRDefault="00440ED7">
      <w:pPr>
        <w:pStyle w:val="TOC3"/>
        <w:rPr>
          <w:rFonts w:asciiTheme="minorHAnsi" w:eastAsiaTheme="minorEastAsia" w:hAnsiTheme="minorHAnsi" w:cstheme="minorBidi"/>
          <w:noProof/>
          <w:kern w:val="2"/>
          <w:sz w:val="22"/>
          <w14:ligatures w14:val="standardContextual"/>
        </w:rPr>
      </w:pPr>
      <w:r w:rsidRPr="00732D9A">
        <w:rPr>
          <w:noProof/>
        </w:rPr>
        <w:t>3.2.7.</w:t>
      </w:r>
      <w:r w:rsidRPr="00732D9A">
        <w:rPr>
          <w:noProof/>
        </w:rPr>
        <w:tab/>
        <w:t>Participation de tiers au financement</w:t>
      </w:r>
      <w:r w:rsidRPr="00732D9A">
        <w:rPr>
          <w:noProof/>
        </w:rPr>
        <w:tab/>
      </w:r>
      <w:r w:rsidRPr="00732D9A">
        <w:rPr>
          <w:noProof/>
          <w:webHidden/>
        </w:rPr>
        <w:t>28</w:t>
      </w:r>
    </w:p>
    <w:p w14:paraId="6B6BFD96"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3.3.</w:t>
      </w:r>
      <w:r w:rsidRPr="00732D9A">
        <w:rPr>
          <w:noProof/>
        </w:rPr>
        <w:tab/>
        <w:t>Incidence estimée sur les recettes</w:t>
      </w:r>
      <w:r w:rsidRPr="00732D9A">
        <w:rPr>
          <w:noProof/>
        </w:rPr>
        <w:tab/>
      </w:r>
      <w:r w:rsidRPr="00732D9A">
        <w:rPr>
          <w:noProof/>
          <w:webHidden/>
        </w:rPr>
        <w:t>29</w:t>
      </w:r>
    </w:p>
    <w:p w14:paraId="28EC52FD" w14:textId="77777777" w:rsidR="00440ED7" w:rsidRPr="00732D9A" w:rsidRDefault="00440ED7">
      <w:pPr>
        <w:pStyle w:val="TOC1"/>
        <w:rPr>
          <w:rFonts w:asciiTheme="minorHAnsi" w:eastAsiaTheme="minorEastAsia" w:hAnsiTheme="minorHAnsi" w:cstheme="minorBidi"/>
          <w:noProof/>
          <w:kern w:val="2"/>
          <w:sz w:val="22"/>
          <w14:ligatures w14:val="standardContextual"/>
        </w:rPr>
      </w:pPr>
      <w:r w:rsidRPr="00732D9A">
        <w:rPr>
          <w:noProof/>
        </w:rPr>
        <w:t>4.</w:t>
      </w:r>
      <w:r w:rsidRPr="00732D9A">
        <w:rPr>
          <w:noProof/>
        </w:rPr>
        <w:tab/>
      </w:r>
      <w:r w:rsidRPr="00732D9A">
        <w:rPr>
          <w:caps/>
          <w:noProof/>
        </w:rPr>
        <w:t>Dimensions numériques</w:t>
      </w:r>
      <w:r w:rsidRPr="00732D9A">
        <w:rPr>
          <w:noProof/>
        </w:rPr>
        <w:tab/>
      </w:r>
      <w:r w:rsidRPr="00732D9A">
        <w:rPr>
          <w:noProof/>
          <w:webHidden/>
        </w:rPr>
        <w:t>29</w:t>
      </w:r>
    </w:p>
    <w:p w14:paraId="0D38722E"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4.1.</w:t>
      </w:r>
      <w:r w:rsidRPr="00732D9A">
        <w:rPr>
          <w:noProof/>
        </w:rPr>
        <w:tab/>
        <w:t>Exigences pertinentes en matière numérique</w:t>
      </w:r>
      <w:r w:rsidRPr="00732D9A">
        <w:rPr>
          <w:noProof/>
        </w:rPr>
        <w:tab/>
      </w:r>
      <w:r w:rsidRPr="00732D9A">
        <w:rPr>
          <w:noProof/>
          <w:webHidden/>
        </w:rPr>
        <w:t>30</w:t>
      </w:r>
    </w:p>
    <w:p w14:paraId="49810003"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4.2.</w:t>
      </w:r>
      <w:r w:rsidRPr="00732D9A">
        <w:rPr>
          <w:noProof/>
        </w:rPr>
        <w:tab/>
        <w:t>Données</w:t>
      </w:r>
      <w:r w:rsidRPr="00732D9A">
        <w:rPr>
          <w:noProof/>
        </w:rPr>
        <w:tab/>
      </w:r>
      <w:r w:rsidRPr="00732D9A">
        <w:rPr>
          <w:noProof/>
          <w:webHidden/>
        </w:rPr>
        <w:t>30</w:t>
      </w:r>
    </w:p>
    <w:p w14:paraId="74EA60DB"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4.3.</w:t>
      </w:r>
      <w:r w:rsidRPr="00732D9A">
        <w:rPr>
          <w:noProof/>
        </w:rPr>
        <w:tab/>
        <w:t>Solutions numériques</w:t>
      </w:r>
      <w:r w:rsidRPr="00732D9A">
        <w:rPr>
          <w:noProof/>
        </w:rPr>
        <w:tab/>
      </w:r>
      <w:r w:rsidRPr="00732D9A">
        <w:rPr>
          <w:noProof/>
          <w:webHidden/>
        </w:rPr>
        <w:t>31</w:t>
      </w:r>
    </w:p>
    <w:p w14:paraId="5E92B5BB"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4.4.</w:t>
      </w:r>
      <w:r w:rsidRPr="00732D9A">
        <w:rPr>
          <w:noProof/>
        </w:rPr>
        <w:tab/>
        <w:t>Évaluation de l’interopérabilité</w:t>
      </w:r>
      <w:r w:rsidRPr="00732D9A">
        <w:rPr>
          <w:noProof/>
        </w:rPr>
        <w:tab/>
      </w:r>
      <w:r w:rsidRPr="00732D9A">
        <w:rPr>
          <w:noProof/>
          <w:webHidden/>
        </w:rPr>
        <w:t>31</w:t>
      </w:r>
    </w:p>
    <w:p w14:paraId="3D52B0A8" w14:textId="77777777" w:rsidR="00440ED7" w:rsidRPr="00732D9A" w:rsidRDefault="00440ED7">
      <w:pPr>
        <w:pStyle w:val="TOC2"/>
        <w:rPr>
          <w:rFonts w:asciiTheme="minorHAnsi" w:eastAsiaTheme="minorEastAsia" w:hAnsiTheme="minorHAnsi" w:cstheme="minorBidi"/>
          <w:noProof/>
          <w:kern w:val="2"/>
          <w:sz w:val="22"/>
          <w14:ligatures w14:val="standardContextual"/>
        </w:rPr>
      </w:pPr>
      <w:r w:rsidRPr="00732D9A">
        <w:rPr>
          <w:noProof/>
        </w:rPr>
        <w:t>4.5.</w:t>
      </w:r>
      <w:r w:rsidRPr="00732D9A">
        <w:rPr>
          <w:noProof/>
        </w:rPr>
        <w:tab/>
        <w:t>Mesures de soutien de la mise en œuvre numérique</w:t>
      </w:r>
      <w:r w:rsidRPr="00732D9A">
        <w:rPr>
          <w:noProof/>
        </w:rPr>
        <w:tab/>
      </w:r>
      <w:r w:rsidRPr="00732D9A">
        <w:rPr>
          <w:noProof/>
          <w:webHidden/>
        </w:rPr>
        <w:t>32</w:t>
      </w:r>
    </w:p>
    <w:p w14:paraId="28500230" w14:textId="77777777" w:rsidR="00440ED7" w:rsidRPr="00732D9A" w:rsidRDefault="00440ED7">
      <w:pPr>
        <w:pStyle w:val="TOC1"/>
        <w:ind w:left="0" w:firstLine="0"/>
        <w:rPr>
          <w:noProof/>
        </w:rPr>
        <w:sectPr w:rsidR="00440ED7" w:rsidRPr="00732D9A" w:rsidSect="0017255A">
          <w:pgSz w:w="11907" w:h="16840" w:code="9"/>
          <w:pgMar w:top="1134" w:right="1418" w:bottom="1134" w:left="1418" w:header="709" w:footer="709" w:gutter="0"/>
          <w:pgNumType w:start="1"/>
          <w:cols w:space="720"/>
          <w:docGrid w:linePitch="360"/>
        </w:sectPr>
      </w:pPr>
    </w:p>
    <w:p w14:paraId="2070A728" w14:textId="2F51CC0E" w:rsidR="00CA7C31" w:rsidRPr="00732D9A" w:rsidRDefault="00440ED7" w:rsidP="00CA7C31">
      <w:pPr>
        <w:pStyle w:val="ManualHeading1"/>
        <w:rPr>
          <w:noProof/>
        </w:rPr>
      </w:pPr>
      <w:r w:rsidRPr="00732D9A">
        <w:rPr>
          <w:noProof/>
        </w:rPr>
        <w:t>1.</w:t>
      </w:r>
      <w:r w:rsidRPr="00732D9A">
        <w:rPr>
          <w:noProof/>
        </w:rPr>
        <w:tab/>
        <w:t>CADRE DE LA PROPOSITION/DE L</w:t>
      </w:r>
      <w:r w:rsidR="00980FE6">
        <w:rPr>
          <w:noProof/>
        </w:rPr>
        <w:t>’</w:t>
      </w:r>
      <w:r w:rsidRPr="00732D9A">
        <w:rPr>
          <w:noProof/>
        </w:rPr>
        <w:t xml:space="preserve">INITIATIVE </w:t>
      </w:r>
    </w:p>
    <w:p w14:paraId="1CC97A75" w14:textId="68AD4A4A" w:rsidR="00CA7C31" w:rsidRPr="00732D9A" w:rsidRDefault="00CA7C31" w:rsidP="00CA7C31">
      <w:pPr>
        <w:pStyle w:val="ManualHeading2"/>
        <w:rPr>
          <w:noProof/>
        </w:rPr>
      </w:pPr>
      <w:r w:rsidRPr="00732D9A">
        <w:rPr>
          <w:noProof/>
        </w:rPr>
        <w:t>1.1.</w:t>
      </w:r>
      <w:r w:rsidRPr="00732D9A">
        <w:rPr>
          <w:noProof/>
        </w:rPr>
        <w:tab/>
        <w:t>Dénomination de la proposition/de l</w:t>
      </w:r>
      <w:r w:rsidR="00980FE6">
        <w:rPr>
          <w:noProof/>
        </w:rPr>
        <w:t>’</w:t>
      </w:r>
      <w:r w:rsidRPr="00732D9A">
        <w:rPr>
          <w:noProof/>
        </w:rPr>
        <w:t>initiative</w:t>
      </w:r>
    </w:p>
    <w:p w14:paraId="786B9492"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RÈGLEMENT DU PARLEMENT EUROPÉEN ET DU CONSEIL établissant un cadre de mesures d’accélération du développement des capacités industrielles et de la décarbonation dans des secteurs stratégiques et modifiant les règlements (UE) 2018/1724, (UE) 2024/1735 et (UE) 2024/3110 (règlement relatif à l’accélération des capacités industrielles).</w:t>
      </w:r>
    </w:p>
    <w:p w14:paraId="522F9C79" w14:textId="77777777" w:rsidR="00CA7C31" w:rsidRPr="00732D9A" w:rsidRDefault="00CA7C31" w:rsidP="00CA7C31">
      <w:pPr>
        <w:pStyle w:val="ManualHeading2"/>
        <w:rPr>
          <w:i/>
          <w:noProof/>
        </w:rPr>
      </w:pPr>
      <w:r w:rsidRPr="00732D9A">
        <w:rPr>
          <w:noProof/>
        </w:rPr>
        <w:t>1.2.</w:t>
      </w:r>
      <w:r w:rsidRPr="00732D9A">
        <w:rPr>
          <w:noProof/>
        </w:rPr>
        <w:tab/>
        <w:t>Domaine(s) politique(s) concerné(s)</w:t>
      </w:r>
      <w:r w:rsidRPr="00732D9A">
        <w:rPr>
          <w:i/>
          <w:noProof/>
        </w:rPr>
        <w:t xml:space="preserve"> </w:t>
      </w:r>
    </w:p>
    <w:p w14:paraId="0792BC7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Marché unique, compétitivité, climat.</w:t>
      </w:r>
    </w:p>
    <w:p w14:paraId="23556B17" w14:textId="77777777" w:rsidR="00CA7C31" w:rsidRPr="00732D9A" w:rsidRDefault="00CA7C31" w:rsidP="00CA7C31">
      <w:pPr>
        <w:pStyle w:val="ManualHeading2"/>
        <w:rPr>
          <w:noProof/>
        </w:rPr>
      </w:pPr>
      <w:r w:rsidRPr="00732D9A">
        <w:rPr>
          <w:noProof/>
        </w:rPr>
        <w:t>1.3.</w:t>
      </w:r>
      <w:r w:rsidRPr="00732D9A">
        <w:rPr>
          <w:noProof/>
        </w:rPr>
        <w:tab/>
        <w:t>Objectif(s)</w:t>
      </w:r>
    </w:p>
    <w:p w14:paraId="1EFA11DF" w14:textId="77777777" w:rsidR="00CA7C31" w:rsidRPr="00732D9A" w:rsidRDefault="00CA7C31" w:rsidP="00CA7C31">
      <w:pPr>
        <w:pStyle w:val="ManualHeading3"/>
        <w:rPr>
          <w:noProof/>
        </w:rPr>
      </w:pPr>
      <w:r w:rsidRPr="00732D9A">
        <w:rPr>
          <w:noProof/>
        </w:rPr>
        <w:t>1.3.1.</w:t>
      </w:r>
      <w:r w:rsidRPr="00732D9A">
        <w:rPr>
          <w:noProof/>
        </w:rPr>
        <w:tab/>
        <w:t>Objectif général / objectifs généraux</w:t>
      </w:r>
    </w:p>
    <w:p w14:paraId="7A8C5A8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L’objectif général est d’accroître la production industrielle décarbonée et résiliente dans l’industrie manufacturière de l’UE, en accordant une attention particulière aux industries grandes consommatrices d’énergie (IGCE) et aux technologies propres, compte tenu de leur contribution à la compétitivité, à la sécurité économique et à la croissance économique durable de l’Europe, conformément aux objectifs du pacte pour une industrie propre.</w:t>
      </w:r>
    </w:p>
    <w:p w14:paraId="757A9216" w14:textId="77777777" w:rsidR="00CA7C31" w:rsidRPr="00732D9A" w:rsidRDefault="00CA7C31" w:rsidP="00CA7C31">
      <w:pPr>
        <w:pStyle w:val="ManualHeading3"/>
        <w:rPr>
          <w:noProof/>
        </w:rPr>
      </w:pPr>
      <w:r w:rsidRPr="00732D9A">
        <w:rPr>
          <w:noProof/>
        </w:rPr>
        <w:t>1.3.2.</w:t>
      </w:r>
      <w:r w:rsidRPr="00732D9A">
        <w:rPr>
          <w:noProof/>
        </w:rPr>
        <w:tab/>
        <w:t>Objectif(s) spécifique(s)</w:t>
      </w:r>
    </w:p>
    <w:p w14:paraId="7A433F1D"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Objectif spécifique nº 1</w:t>
      </w:r>
    </w:p>
    <w:p w14:paraId="00D935BF"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Faciliter la différenciation des produits industriels bas carbone afin d’accroître leur valeur et leur négociabilité.</w:t>
      </w:r>
    </w:p>
    <w:p w14:paraId="27EF9DC1"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Objectif spécifique nº 2</w:t>
      </w:r>
    </w:p>
    <w:p w14:paraId="2E83C5E3"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Stimuler la demande de technologies propres et de produits bas carbone européens.</w:t>
      </w:r>
    </w:p>
    <w:p w14:paraId="104B7377"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Objectif spécifique nº 3</w:t>
      </w:r>
    </w:p>
    <w:p w14:paraId="39995DD5"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Maximiser la qualité et les avantages des investissements étrangers dans l’UE.</w:t>
      </w:r>
    </w:p>
    <w:p w14:paraId="4BB17C0C"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Objectif spécifique nº 4</w:t>
      </w:r>
    </w:p>
    <w:p w14:paraId="72F0BB69"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Accélérer et simplifier les permis pour la décarbonation de l’industrie.</w:t>
      </w:r>
    </w:p>
    <w:p w14:paraId="1852B04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Objectif spécifique nº 5</w:t>
      </w:r>
    </w:p>
    <w:p w14:paraId="3741FE8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Accroître les projets d’investissement dans les zones industrielles.</w:t>
      </w:r>
    </w:p>
    <w:p w14:paraId="79CEF767" w14:textId="77777777" w:rsidR="00CA7C31" w:rsidRPr="00732D9A" w:rsidRDefault="00CA7C31" w:rsidP="00CA7C31">
      <w:pPr>
        <w:pStyle w:val="ManualHeading3"/>
        <w:rPr>
          <w:noProof/>
        </w:rPr>
      </w:pPr>
      <w:r w:rsidRPr="00732D9A">
        <w:rPr>
          <w:noProof/>
        </w:rPr>
        <w:t>1.3.3.</w:t>
      </w:r>
      <w:r w:rsidRPr="00732D9A">
        <w:rPr>
          <w:noProof/>
        </w:rPr>
        <w:tab/>
        <w:t>Résultat(s) et incidence(s) attendus</w:t>
      </w:r>
    </w:p>
    <w:p w14:paraId="13F6339D" w14:textId="6C2C3AD8" w:rsidR="00CA7C31" w:rsidRPr="00732D9A" w:rsidRDefault="00CA7C31" w:rsidP="00CA7C31">
      <w:pPr>
        <w:pStyle w:val="Text1"/>
        <w:rPr>
          <w:i/>
          <w:noProof/>
          <w:sz w:val="20"/>
        </w:rPr>
      </w:pPr>
      <w:r w:rsidRPr="00732D9A">
        <w:rPr>
          <w:i/>
          <w:noProof/>
          <w:sz w:val="20"/>
        </w:rPr>
        <w:t>Préciser les effets que la proposition/l</w:t>
      </w:r>
      <w:r w:rsidR="00980FE6">
        <w:rPr>
          <w:i/>
          <w:noProof/>
          <w:sz w:val="20"/>
        </w:rPr>
        <w:t>’</w:t>
      </w:r>
      <w:r w:rsidRPr="00732D9A">
        <w:rPr>
          <w:i/>
          <w:noProof/>
          <w:sz w:val="20"/>
        </w:rPr>
        <w:t>initiative devrait avoir sur les bénéficiaires/la population visée.</w:t>
      </w:r>
    </w:p>
    <w:p w14:paraId="6726D7FD"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Incidences économiques</w:t>
      </w:r>
    </w:p>
    <w:p w14:paraId="5838E976"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L’introduction d’un label bas carbone harmonisé pour les produits industriels et d’un mécanisme de vérification améliorera la transparence du marché, en permettant aux producteurs de saisir la valeur d’une production plus propre et de stimuler la concurrence fondée sur la performance plutôt que sur le seul coût. Elle créera de nouveaux débouchés commerciaux pour les fabricants de l’UE, renforcera la différenciation des prix sur les marchés internationaux et attirera les investissements privés dans les technologies à faible intensité de carbone.</w:t>
      </w:r>
    </w:p>
    <w:p w14:paraId="1A614AEE"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En augmentant la part des produits fabriqués dans l’UE et bas carbone dans la consommation intérieure, la mesure stimulera la demande sur le marché européen, renforcera la compétitivité industrielle et réduira la dépendance à l’égard de solutions de remplacement à forte intensité de carbone ou importées. La création de marchés pilotes pour l’acier, le ciment et les technologies propres bas carbone accélérera les économies d’échelle et relancera l’activité d’investissement.</w:t>
      </w:r>
    </w:p>
    <w:p w14:paraId="218457FE"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Encourager les coentreprises et les partenariats stratégiques qui génèrent une valeur ajoutée européenne permettra d’accroître le transfert de connaissances, l’innovation industrielle et la souveraineté technologique. Cela améliorera la sécurité de la chaîne d’approvisionnement, diversifiera les sources d’intrants et renforcera la résilience des écosystèmes industriels de l’UE.</w:t>
      </w:r>
    </w:p>
    <w:p w14:paraId="6D306258"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réduction des délais d’octroi des permis réduira les retards des projets et les coûts de financement, ce qui renforcera le climat d’investissement pour la décarbonation de l’industrie. Des approbations plus rapides accéléreront le déploiement d’infrastructures énergétiques propres, d’installations de captage du carbone et de projets d’électrification, stimulant ainsi la productivité industrielle et le développement régional.</w:t>
      </w:r>
    </w:p>
    <w:p w14:paraId="7439B736"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soutien à un plus grand nombre de décisions finales d’investissement (DFI) dans les zones industrielles stimulera la formation de capital, modernisera les installations existantes et attirera des financements privés complémentaires. Concentrer les investissements dans les pôles industriels permettra de réaliser des économies d’échelle et de renforcer la compétitivité régionale.</w:t>
      </w:r>
    </w:p>
    <w:p w14:paraId="65368C86"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p>
    <w:p w14:paraId="78B9DEE5"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Incidences sociales</w:t>
      </w:r>
    </w:p>
    <w:p w14:paraId="0DA8FED1"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label relatif à l’intensité des émissions de gaz à effet de serre des produits industriels renforcera la confiance des consommateurs et des acheteurs dans les produits bas carbone, en soutenant l’emploi qualifié dans les services de vérification, d’essai et de certification. En récompensant l’innovation, il contribuera à maintenir des emplois industriels de qualité et à favoriser le perfectionnement et la reconversion professionnels tout au long des chaînes d’approvisionnement de la fabrication industrielle.</w:t>
      </w:r>
    </w:p>
    <w:p w14:paraId="274442B6"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L’augmentation de la demande de l’UE contribuera à préserver et à créer des emplois de qualité dans les régions manufacturières en transition vers des industries à faible intensité de carbone. Elle améliorera également la cohésion régionale en encourageant la réindustrialisation dans les zones concernées, tout en atténuant les coûts d’ajustement pour les travailleurs grâce à des perspectives de production stables.</w:t>
      </w:r>
    </w:p>
    <w:p w14:paraId="00C00F19"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Des investissements étrangers et des partenariats de qualité créeront de nouvelles possibilités d’emploi, en particulier dans les secteurs de la fabrication avancée et à forte intensité de recherche. Ils renforceront également la coopération entre les entreprises de l’UE et celles de pays tiers, en encourageant la formation de la main-d’œuvre et l’échange de compétences.</w:t>
      </w:r>
    </w:p>
    <w:p w14:paraId="630FD06D"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 L’amélioration de la transparence et des outils numériques renforcera la confiance des citoyens et leur participation aux projets industriels locaux.</w:t>
      </w:r>
    </w:p>
    <w:p w14:paraId="70BBD517"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L’augmentation de l’activité industrielle sur les sites existants générera des emplois stables et renforcera les chaînes d’approvisionnement locales, tout en réduisant au minimum les perturbations sociales en exploitant les friches industrielles et en tirant parti des compétences existantes de la main-d’œuvre. Le regroupement industriel soutiendra la convergence et la résilience régionales.</w:t>
      </w:r>
    </w:p>
    <w:p w14:paraId="70EAC372"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p>
    <w:p w14:paraId="7958E26C"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u w:val="single"/>
        </w:rPr>
      </w:pPr>
      <w:r w:rsidRPr="00732D9A">
        <w:rPr>
          <w:noProof/>
          <w:u w:val="single"/>
        </w:rPr>
        <w:t>Incidences environnementales</w:t>
      </w:r>
    </w:p>
    <w:p w14:paraId="61F34CB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Un cadre d’étiquetage fiable et comparable encouragera la réduction des émissions de gaz à effet de serre (GES) tout au long des chaînes de valeur industrielles. Il encouragera l’amélioration continue de la conception des produits, de l’utilisation des matériaux et de l’efficacité énergétique, aidant ainsi l’industrie à atteindre l’objectif de neutralité climatique.</w:t>
      </w:r>
    </w:p>
    <w:p w14:paraId="4DD399BE"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En introduisant des exigences en matière de faibles émissions de carbone, l’adoption accrue de produits bas carbone entraînera d’importantes réductions des émissions dans les secteurs de la construction et des transports. Cette approche axée sur la demande complète l’innovation du côté de l’offre, accélérant ainsi la décarbonation globale de l’économie européenne.</w:t>
      </w:r>
    </w:p>
    <w:p w14:paraId="49BDF8DF"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Des procédures d’octroi de permis plus courtes et plus prévisibles accéléreront le déploiement de technologies à faible intensité de carbone et les mises à niveau environnementales, ce qui permettra de réduire plus rapidement les émissions et contribuera à la réalisation des objectifs intermédiaires de l’UE en matière de climat.</w:t>
      </w:r>
    </w:p>
    <w:p w14:paraId="18015D9A"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En concentrant de nouveaux projets dans les zones industrielles, la mesure promeut une utilisation efficace de l’énergie et des ressources naturelles et permet le partage des infrastructures pour le captage du CO</w:t>
      </w:r>
      <w:r w:rsidRPr="00732D9A">
        <w:rPr>
          <w:noProof/>
          <w:vertAlign w:val="subscript"/>
        </w:rPr>
        <w:t>2</w:t>
      </w:r>
      <w:r w:rsidRPr="00732D9A">
        <w:rPr>
          <w:noProof/>
        </w:rPr>
        <w:t>, les énergies renouvelables et le recyclage des déchets. Cette approche aligne la croissance industrielle sur les principes de la protection de l’environnement et de l’économie circulaire.</w:t>
      </w:r>
    </w:p>
    <w:p w14:paraId="0770A794" w14:textId="77777777" w:rsidR="00CA7C31" w:rsidRPr="00732D9A" w:rsidRDefault="00CA7C31" w:rsidP="00CA7C31">
      <w:pPr>
        <w:pStyle w:val="ManualHeading3"/>
        <w:rPr>
          <w:noProof/>
        </w:rPr>
      </w:pPr>
      <w:r w:rsidRPr="00732D9A">
        <w:rPr>
          <w:noProof/>
        </w:rPr>
        <w:t>1.3.4.</w:t>
      </w:r>
      <w:r w:rsidRPr="00732D9A">
        <w:rPr>
          <w:noProof/>
        </w:rPr>
        <w:tab/>
        <w:t>Indicateurs de performance</w:t>
      </w:r>
    </w:p>
    <w:p w14:paraId="07D988F3" w14:textId="77777777" w:rsidR="00CA7C31" w:rsidRPr="00732D9A" w:rsidRDefault="00CA7C31" w:rsidP="00CA7C31">
      <w:pPr>
        <w:pStyle w:val="Text1"/>
        <w:rPr>
          <w:i/>
          <w:noProof/>
          <w:sz w:val="20"/>
        </w:rPr>
      </w:pPr>
      <w:r w:rsidRPr="00732D9A">
        <w:rPr>
          <w:i/>
          <w:noProof/>
          <w:sz w:val="20"/>
        </w:rPr>
        <w:t>Préciser les indicateurs permettant de suivre l’avancement et les réalisations.</w:t>
      </w:r>
    </w:p>
    <w:p w14:paraId="3F677DE3"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nombre de certificats d’attribution du label bas carbone pour les produits industriels concernés mesurera les progrès accomplis dans la création d’un cadre fiable et transparent permettant aux producteurs de différencier leurs produits en fonction des performances en matière de carbone. Cela démontrera les progrès accomplis par l’UE pour rendre les produits industriels bas carbone visibles, vérifiables et comparables sur le marché, renforçant ainsi leur compétitivité et leur création de valeur.</w:t>
      </w:r>
    </w:p>
    <w:p w14:paraId="00553C5E"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part de l’UE et de la production à faibles émissions de carbone dans la consommation de l’UE pour les produits concernés reflétera la proportion de matières propres et produites sur le marché intérieur dans la demande globale de l’UE. Celle-ci indique si les mesures axées sur la demande, telles que la passation de marchés publics, les incitations à l’investissement et les critères de contenu de l’UE, stimulent efficacement l’adoption de produits bas carbone et fabriqués en Europe. Une part croissante démontrera l’émergence de marchés pilotes solides de l’UE pour les produits industriels verts et indiquera une réduction de la dépendance à l’égard des importations à forte intensité de carbone.</w:t>
      </w:r>
    </w:p>
    <w:p w14:paraId="60F99FE3"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nombre de coentreprises dans les secteurs concernés qui créent de la valeur ajoutée européenne, de l’innovation et de la résilience industrielle permettra de mesurer le niveau des partenariats industriels de qualité entre des acteurs de l’UE et de pays tiers contribuant au transfert de technologies, à l’innovation et à la sécurité des chaînes d’approvisionnement. Cet indicateur reflète la capacité du règlement relatif à l’accélération des capacités industrielles à attirer des investissements étrangers durables et de «haute qualité» et à promouvoir une collaboration qui renforce la base industrielle de l’UE. L’augmentation du nombre de ces entreprises témoigne d’un écosystème industriel plus résilient et plus innovant, qui conserve une plus grande valeur au sein de l’Europe.</w:t>
      </w:r>
    </w:p>
    <w:p w14:paraId="6377BB14"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délai moyen d’octroi des permis pour les projets de décarbonation industrielle permettra de suivre l’efficacité des procédures administratives dans l’ensemble des États membres. Il mesure le temps nécessaire aux autorités compétentes pour traiter et approuver les demandes de projets de décarbonation industrielle, y compris les raccordements au réseau et aux énergies propres. Une réduction des délais moyens d’octroi de permis démontrera que les mesures de rationalisation, de coordination et de numérisation introduites dans le cadre du règlement relatif à l’accélération des capacités industrielles accélèrent efficacement les investissements et réduisent les obstacles bureaucratiques pour les entreprises.</w:t>
      </w:r>
    </w:p>
    <w:p w14:paraId="0350E0E9"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nombre de DFI industrielles prises dans les secteurs concernés servira d’indicateur direct de la dynamique d’investissement et de la confiance des entreprises dans la transition industrielle de l’UE. Il reflète la mesure dans laquelle les entreprises engagent des capitaux dans des projets de décarbonation nouveaux ou mis à niveau, en particulier dans les zones et pôles industriels existants. L’augmentation du nombre de DFI prises montrera que le cadre établi par le règlement relatif à l’accélération des capacités industrielles se traduit par des projets concrets, soutenant la création d’emplois, la réindustrialisation régionale et le déploiement plus rapide de technologies propres dans toute l’Europe.</w:t>
      </w:r>
    </w:p>
    <w:p w14:paraId="50D0FAAC" w14:textId="77777777" w:rsidR="00CA7C31" w:rsidRPr="00732D9A" w:rsidRDefault="00CA7C31" w:rsidP="00CA7C31">
      <w:pPr>
        <w:pStyle w:val="ManualHeading2"/>
        <w:rPr>
          <w:noProof/>
        </w:rPr>
      </w:pPr>
      <w:r w:rsidRPr="00732D9A">
        <w:rPr>
          <w:noProof/>
        </w:rPr>
        <w:t>1.4.</w:t>
      </w:r>
      <w:r w:rsidRPr="00732D9A">
        <w:rPr>
          <w:noProof/>
        </w:rPr>
        <w:tab/>
        <w:t xml:space="preserve">La proposition/l’initiative porte sur: </w:t>
      </w:r>
    </w:p>
    <w:p w14:paraId="7C2D82E2" w14:textId="77777777" w:rsidR="00CA7C31" w:rsidRPr="00732D9A" w:rsidRDefault="00CA7C31" w:rsidP="00CA7C31">
      <w:pPr>
        <w:pStyle w:val="Text1"/>
        <w:rPr>
          <w:noProof/>
          <w:sz w:val="22"/>
        </w:rPr>
      </w:pPr>
      <w:r w:rsidRPr="00732D9A">
        <w:rPr>
          <w:rFonts w:ascii="Wingdings" w:hAnsi="Wingdings"/>
          <w:noProof/>
          <w:sz w:val="22"/>
        </w:rPr>
        <w:t></w:t>
      </w:r>
      <w:r w:rsidRPr="00732D9A">
        <w:rPr>
          <w:i/>
          <w:noProof/>
          <w:sz w:val="22"/>
        </w:rPr>
        <w:t xml:space="preserve"> </w:t>
      </w:r>
      <w:r w:rsidRPr="00732D9A">
        <w:rPr>
          <w:noProof/>
        </w:rPr>
        <w:t>une action nouvelle</w:t>
      </w:r>
      <w:r w:rsidRPr="00732D9A">
        <w:rPr>
          <w:noProof/>
          <w:sz w:val="22"/>
        </w:rPr>
        <w:t xml:space="preserve"> </w:t>
      </w:r>
    </w:p>
    <w:p w14:paraId="7903063E" w14:textId="77777777" w:rsidR="00CA7C31" w:rsidRPr="00732D9A" w:rsidRDefault="00CA7C31" w:rsidP="00CA7C31">
      <w:pPr>
        <w:pStyle w:val="Text1"/>
        <w:rPr>
          <w:noProof/>
          <w:sz w:val="22"/>
        </w:rPr>
      </w:pPr>
      <w:r w:rsidRPr="00732D9A">
        <w:rPr>
          <w:rFonts w:ascii="Wingdings" w:hAnsi="Wingdings"/>
          <w:noProof/>
          <w:sz w:val="22"/>
        </w:rPr>
        <w:t></w:t>
      </w:r>
      <w:r w:rsidRPr="00732D9A">
        <w:rPr>
          <w:i/>
          <w:noProof/>
          <w:sz w:val="22"/>
        </w:rPr>
        <w:t xml:space="preserve"> </w:t>
      </w:r>
      <w:r w:rsidRPr="00732D9A">
        <w:rPr>
          <w:noProof/>
        </w:rPr>
        <w:t>une action nouvelle suite à un projet pilote/une action préparatoire</w:t>
      </w:r>
      <w:r w:rsidRPr="00732D9A">
        <w:rPr>
          <w:rStyle w:val="FootnoteReference"/>
          <w:noProof/>
        </w:rPr>
        <w:footnoteReference w:id="69"/>
      </w:r>
      <w:r w:rsidRPr="00732D9A">
        <w:rPr>
          <w:noProof/>
          <w:sz w:val="22"/>
        </w:rPr>
        <w:t xml:space="preserve"> </w:t>
      </w:r>
    </w:p>
    <w:p w14:paraId="04137954" w14:textId="77777777" w:rsidR="00CA7C31" w:rsidRPr="00732D9A" w:rsidRDefault="00CA7C31" w:rsidP="00CA7C31">
      <w:pPr>
        <w:pStyle w:val="Text1"/>
        <w:rPr>
          <w:noProof/>
          <w:sz w:val="22"/>
        </w:rPr>
      </w:pPr>
      <w:r w:rsidRPr="00732D9A">
        <w:rPr>
          <w:rFonts w:ascii="Wingdings" w:hAnsi="Wingdings"/>
          <w:noProof/>
          <w:sz w:val="22"/>
        </w:rPr>
        <w:t></w:t>
      </w:r>
      <w:r w:rsidRPr="00732D9A">
        <w:rPr>
          <w:i/>
          <w:noProof/>
          <w:sz w:val="22"/>
        </w:rPr>
        <w:t xml:space="preserve"> </w:t>
      </w:r>
      <w:r w:rsidRPr="00732D9A">
        <w:rPr>
          <w:noProof/>
        </w:rPr>
        <w:t>la prolongation d’une action existante</w:t>
      </w:r>
      <w:r w:rsidRPr="00732D9A">
        <w:rPr>
          <w:noProof/>
          <w:sz w:val="22"/>
        </w:rPr>
        <w:t xml:space="preserve"> </w:t>
      </w:r>
    </w:p>
    <w:p w14:paraId="7A224847" w14:textId="77777777" w:rsidR="00CA7C31" w:rsidRPr="00732D9A" w:rsidRDefault="00CA7C31" w:rsidP="00CA7C31">
      <w:pPr>
        <w:pStyle w:val="Text1"/>
        <w:rPr>
          <w:noProof/>
        </w:rPr>
      </w:pPr>
      <w:r w:rsidRPr="00732D9A">
        <w:rPr>
          <w:rFonts w:ascii="Wingdings" w:hAnsi="Wingdings"/>
          <w:noProof/>
          <w:sz w:val="22"/>
        </w:rPr>
        <w:t></w:t>
      </w:r>
      <w:r w:rsidRPr="00732D9A">
        <w:rPr>
          <w:i/>
          <w:noProof/>
          <w:sz w:val="22"/>
        </w:rPr>
        <w:t xml:space="preserve"> </w:t>
      </w:r>
      <w:r w:rsidRPr="00732D9A">
        <w:rPr>
          <w:noProof/>
        </w:rPr>
        <w:t>une fusion ou une réorientation d’une ou de plusieurs actions vers une autre action/une action nouvelle</w:t>
      </w:r>
    </w:p>
    <w:p w14:paraId="103BD7EA" w14:textId="47CBA489" w:rsidR="00CA7C31" w:rsidRPr="00732D9A" w:rsidRDefault="00CA7C31" w:rsidP="00CA7C31">
      <w:pPr>
        <w:pStyle w:val="ManualHeading2"/>
        <w:rPr>
          <w:bCs/>
          <w:noProof/>
          <w:szCs w:val="24"/>
        </w:rPr>
      </w:pPr>
      <w:r w:rsidRPr="00732D9A">
        <w:rPr>
          <w:noProof/>
        </w:rPr>
        <w:t>1.5.</w:t>
      </w:r>
      <w:r w:rsidRPr="00732D9A">
        <w:rPr>
          <w:noProof/>
        </w:rPr>
        <w:tab/>
        <w:t>Justification(s) de la proposition/de l</w:t>
      </w:r>
      <w:r w:rsidR="00980FE6">
        <w:rPr>
          <w:noProof/>
        </w:rPr>
        <w:t>’</w:t>
      </w:r>
      <w:r w:rsidRPr="00732D9A">
        <w:rPr>
          <w:noProof/>
        </w:rPr>
        <w:t xml:space="preserve">initiative </w:t>
      </w:r>
    </w:p>
    <w:p w14:paraId="62D6D2E5" w14:textId="77777777" w:rsidR="00CA7C31" w:rsidRPr="00732D9A" w:rsidRDefault="00CA7C31" w:rsidP="00CA7C31">
      <w:pPr>
        <w:pStyle w:val="ManualHeading3"/>
        <w:rPr>
          <w:noProof/>
        </w:rPr>
      </w:pPr>
      <w:r w:rsidRPr="00732D9A">
        <w:rPr>
          <w:noProof/>
        </w:rPr>
        <w:t>1.5.1.</w:t>
      </w:r>
      <w:r w:rsidRPr="00732D9A">
        <w:rPr>
          <w:noProof/>
        </w:rPr>
        <w:tab/>
        <w:t>Besoin(s) à satisfaire à court ou à long terme, assorti(s) d’un calendrier détaillé pour la mise en œuvre de l’initiative</w:t>
      </w:r>
    </w:p>
    <w:p w14:paraId="66657F72"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proposition répond au besoin urgent d’accélérer la décarbonation industrielle et de renforcer la compétitivité de l’industrie manufacturière européenne dans un contexte de concurrence technologique mondiale et de besoins d’investissement croissants. L’initiative vise à supprimer les obstacles qui ralentissent les investissements dans une production industrielle résiliente et à faible intensité de carbone et à garantir l’intégrité du marché unique dans sa transition vers la neutralité climatique.</w:t>
      </w:r>
    </w:p>
    <w:p w14:paraId="5ED7139A" w14:textId="77777777" w:rsidR="00CA7C31" w:rsidRPr="00732D9A" w:rsidRDefault="00CA7C31" w:rsidP="00CA7C31">
      <w:pPr>
        <w:pStyle w:val="ManualHeading3"/>
        <w:rPr>
          <w:bCs/>
          <w:noProof/>
          <w:szCs w:val="24"/>
        </w:rPr>
      </w:pPr>
      <w:r w:rsidRPr="00732D9A">
        <w:rPr>
          <w:noProof/>
        </w:rPr>
        <w:t>1.5.2.</w:t>
      </w:r>
      <w:r w:rsidRPr="00732D9A">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p>
    <w:p w14:paraId="7C17D6F4"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Justification de l’action au niveau de l’UE (ex ante)</w:t>
      </w:r>
    </w:p>
    <w:p w14:paraId="399E50F1"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Les défis en matière de décarbonation et de résilience industrielles dépassent les frontières nationales. Des définitions divergentes des produits bas carbone, des mesures non coordonnées axées sur la demande et des procédures d’octroi de permis incohérentes risquent de fragmenter le marché unique et d’affaiblir la base industrielle de l’Europe. Seule une action coordonnée au niveau de l’UE peut garantir des conditions de concurrence équitables, prévenir le détournement des investissements et veiller à ce que les politiques climatiques et industrielles se renforcent mutuellement. Le règlement agit en vertu de l’article 114 du TFUE afin de préserver le fonctionnement du marché unique et, le cas échéant, de l’article 207 du TFUE afin d’assurer la cohérence des mesures liées aux investissements étrangers.</w:t>
      </w:r>
    </w:p>
    <w:p w14:paraId="09940299"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 xml:space="preserve">Valeur ajoutée de l’UE escomptée (ex post) </w:t>
      </w:r>
    </w:p>
    <w:p w14:paraId="0E346148"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L’intervention de l’UE générera des avantages durables grâce aux économies d’échelle, à la réduction des coûts de transaction et à l’amélioration de la sécurité juridique pour les investisseurs et les autorités. Elle renforcera la capacité de l’Europe à fabriquer des produits bas carbone, attirera des investissements durables et accélérera le déploiement des projets. Des critères harmonisés, des outils numériques partagés et des principes cohérents en matière d’octroi de permis réduiront la charge administrative tout en garantissant des conditions de marché uniformes dans tous les États membres.</w:t>
      </w:r>
    </w:p>
    <w:p w14:paraId="0A84B564" w14:textId="3CF463D7" w:rsidR="00CA7C31" w:rsidRPr="00732D9A" w:rsidRDefault="00CA7C31" w:rsidP="00CA7C31">
      <w:pPr>
        <w:pStyle w:val="ManualHeading3"/>
        <w:rPr>
          <w:noProof/>
        </w:rPr>
      </w:pPr>
      <w:r w:rsidRPr="00732D9A">
        <w:rPr>
          <w:noProof/>
        </w:rPr>
        <w:t>1.5.3.</w:t>
      </w:r>
      <w:r w:rsidRPr="00732D9A">
        <w:rPr>
          <w:noProof/>
        </w:rPr>
        <w:tab/>
        <w:t>Leçons tirées d</w:t>
      </w:r>
      <w:r w:rsidR="00980FE6">
        <w:rPr>
          <w:noProof/>
        </w:rPr>
        <w:t>’</w:t>
      </w:r>
      <w:r w:rsidRPr="00732D9A">
        <w:rPr>
          <w:noProof/>
        </w:rPr>
        <w:t>expériences similaires</w:t>
      </w:r>
    </w:p>
    <w:p w14:paraId="202F7394"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L’expérience tirée du règlement pour une industrie «zéro net», du règlement sur les matières premières critiques et du règlement sur l’écoconception pour des produits durables (REPD) démontre que des instruments ciblés du marché unique combinant des définitions communes, des incitations axées sur la demande et une simplification administrative permettent une accélération mesurable des investissements. Ces derniers démontrent l’efficacité de cadres réglementaires clairs et d’une coordination structurée entre la Commission et les États membres. Le règlement relatif à l’accélération des capacités industrielles applique ces enseignements spécifiquement aux industries grandes consommatrices d’énergie et à la fabrication de technologies énergétiques propres, ainsi qu’aux composants de véhicules, en veillant à la cohérence avec les instruments existants et en évitant les chevauchements réglementaires.</w:t>
      </w:r>
    </w:p>
    <w:p w14:paraId="5771BBB9" w14:textId="77777777" w:rsidR="00CA7C31" w:rsidRPr="00732D9A" w:rsidRDefault="00CA7C31" w:rsidP="00CA7C31">
      <w:pPr>
        <w:pStyle w:val="ManualHeading3"/>
        <w:rPr>
          <w:noProof/>
        </w:rPr>
      </w:pPr>
      <w:r w:rsidRPr="00732D9A">
        <w:rPr>
          <w:noProof/>
        </w:rPr>
        <w:t>1.5.4.</w:t>
      </w:r>
      <w:r w:rsidRPr="00732D9A">
        <w:rPr>
          <w:noProof/>
        </w:rPr>
        <w:tab/>
        <w:t>Compatibilité avec le cadre financier pluriannuel et synergies éventuelles avec d’autres instruments appropriés</w:t>
      </w:r>
    </w:p>
    <w:p w14:paraId="413B8292"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proposition est pleinement cohérente avec le cadre financier pluriannuel (CFP) 2021-2027 et sera mise en œuvre au moyen de programmes existants de l’Union. Des synergies sont prévues avec le Fonds pour l’innovation, InvestEU, Horizon Europe, le mécanisme pour l’interconnexion en Europe dans le secteur de l’énergie, les fonds de la politique de cohésion et l’instrument d’appui technique. L’initiative complète le pacte pour une industrie propre, le règlement sur les matières premières critiques et le Fonds européen pour la compétitivité, sans créer de nouvelles enveloppes de dépenses ou obligations financières au-delà des ressources existantes.</w:t>
      </w:r>
    </w:p>
    <w:p w14:paraId="230CF721" w14:textId="77777777" w:rsidR="00CA7C31" w:rsidRPr="00732D9A" w:rsidRDefault="00CA7C31" w:rsidP="00CA7C31">
      <w:pPr>
        <w:pStyle w:val="ManualHeading3"/>
        <w:rPr>
          <w:noProof/>
        </w:rPr>
      </w:pPr>
      <w:r w:rsidRPr="00732D9A">
        <w:rPr>
          <w:noProof/>
        </w:rPr>
        <w:t>1.5.5.</w:t>
      </w:r>
      <w:r w:rsidRPr="00732D9A">
        <w:rPr>
          <w:noProof/>
        </w:rPr>
        <w:tab/>
        <w:t>Évaluation des différentes possibilités de financement disponibles, y compris des possibilités de redéploiement</w:t>
      </w:r>
    </w:p>
    <w:p w14:paraId="43716988" w14:textId="77777777" w:rsidR="00CA7C31" w:rsidRPr="00732D9A" w:rsidRDefault="001E3B22"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Tous les financements seront assurés par des redéploiements à partir des programmes. Sans préjudice de l’issue des négociations sur le prochain CFP, les crédits prévus à partir de 2028 sont strictement indicatifs.</w:t>
      </w:r>
    </w:p>
    <w:p w14:paraId="70EA5740" w14:textId="77777777" w:rsidR="00CA7C31" w:rsidRPr="00732D9A" w:rsidRDefault="00CA7C31" w:rsidP="00CA7C31">
      <w:pPr>
        <w:pStyle w:val="ManualHeading2"/>
        <w:rPr>
          <w:bCs/>
          <w:noProof/>
          <w:szCs w:val="24"/>
        </w:rPr>
      </w:pPr>
      <w:r w:rsidRPr="00732D9A">
        <w:rPr>
          <w:noProof/>
        </w:rPr>
        <w:br w:type="page"/>
        <w:t>1.6.</w:t>
      </w:r>
      <w:r w:rsidRPr="00732D9A">
        <w:rPr>
          <w:noProof/>
        </w:rPr>
        <w:tab/>
        <w:t>Durée de la proposition/de l’initiative et de son incidence financière</w:t>
      </w:r>
    </w:p>
    <w:p w14:paraId="69223213" w14:textId="77777777" w:rsidR="00CA7C31" w:rsidRPr="00732D9A" w:rsidRDefault="00CA7C31" w:rsidP="00CA7C31">
      <w:pPr>
        <w:pStyle w:val="Text1"/>
        <w:rPr>
          <w:noProof/>
        </w:rPr>
      </w:pPr>
      <w:r w:rsidRPr="00732D9A">
        <w:rPr>
          <w:rFonts w:ascii="Wingdings" w:hAnsi="Wingdings"/>
          <w:noProof/>
        </w:rPr>
        <w:t></w:t>
      </w:r>
      <w:r w:rsidRPr="00732D9A">
        <w:rPr>
          <w:b/>
          <w:i/>
          <w:noProof/>
        </w:rPr>
        <w:t xml:space="preserve"> </w:t>
      </w:r>
      <w:r w:rsidRPr="00732D9A">
        <w:rPr>
          <w:b/>
          <w:noProof/>
        </w:rPr>
        <w:t xml:space="preserve">durée limitée </w:t>
      </w:r>
    </w:p>
    <w:p w14:paraId="5FE7FE9B"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ab/>
        <w:t xml:space="preserve">En vigueur à partir de/du [JJ/MM]AAAA jusqu’en/au [JJ/MM]AAAA </w:t>
      </w:r>
    </w:p>
    <w:p w14:paraId="621F7C3D"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ab/>
        <w:t xml:space="preserve">Incidence financière de AAAA jusqu’en AAAA pour les crédits d’engagement et de AAAA jusqu’en AAAA pour les crédits de paiement </w:t>
      </w:r>
    </w:p>
    <w:p w14:paraId="6CEE1AA1" w14:textId="77777777" w:rsidR="00CA7C31" w:rsidRPr="00732D9A" w:rsidRDefault="00CA7C31" w:rsidP="00CA7C31">
      <w:pPr>
        <w:pStyle w:val="Text1"/>
        <w:rPr>
          <w:noProof/>
        </w:rPr>
      </w:pPr>
      <w:r w:rsidRPr="00732D9A">
        <w:rPr>
          <w:rFonts w:ascii="Wingdings" w:hAnsi="Wingdings"/>
          <w:noProof/>
        </w:rPr>
        <w:t></w:t>
      </w:r>
      <w:r w:rsidRPr="00732D9A">
        <w:rPr>
          <w:b/>
          <w:i/>
          <w:noProof/>
        </w:rPr>
        <w:t xml:space="preserve"> </w:t>
      </w:r>
      <w:r w:rsidRPr="00732D9A">
        <w:rPr>
          <w:b/>
          <w:noProof/>
        </w:rPr>
        <w:t>durée illimitée</w:t>
      </w:r>
    </w:p>
    <w:p w14:paraId="058096F7" w14:textId="4C9C499C" w:rsidR="00CA7C31" w:rsidRPr="00732D9A" w:rsidRDefault="00CA7C31" w:rsidP="00CA7C31">
      <w:pPr>
        <w:pStyle w:val="ListDash1"/>
        <w:ind w:left="1134" w:hanging="283"/>
        <w:rPr>
          <w:noProof/>
        </w:rPr>
      </w:pPr>
      <w:r w:rsidRPr="00732D9A">
        <w:rPr>
          <w:noProof/>
        </w:rPr>
        <w:t>Mise en œuvre avec une période de montée en puissance de AAAA jusqu</w:t>
      </w:r>
      <w:r w:rsidR="00980FE6">
        <w:rPr>
          <w:noProof/>
        </w:rPr>
        <w:t>’</w:t>
      </w:r>
      <w:r w:rsidRPr="00732D9A">
        <w:rPr>
          <w:noProof/>
        </w:rPr>
        <w:t>en AAAA,</w:t>
      </w:r>
    </w:p>
    <w:p w14:paraId="312C3A9A" w14:textId="77777777" w:rsidR="00CA7C31" w:rsidRPr="00732D9A" w:rsidRDefault="00CA7C31" w:rsidP="00CA7C31">
      <w:pPr>
        <w:pStyle w:val="ListDash1"/>
        <w:ind w:left="1134" w:hanging="283"/>
        <w:rPr>
          <w:noProof/>
        </w:rPr>
      </w:pPr>
      <w:r w:rsidRPr="00732D9A">
        <w:rPr>
          <w:noProof/>
        </w:rPr>
        <w:t>puis un fonctionnement en rythme de croisière au-delà.</w:t>
      </w:r>
    </w:p>
    <w:p w14:paraId="08D0FA9E" w14:textId="77777777" w:rsidR="00CA7C31" w:rsidRPr="00732D9A" w:rsidRDefault="00CA7C31" w:rsidP="00CA7C31">
      <w:pPr>
        <w:pStyle w:val="Text1"/>
        <w:rPr>
          <w:noProof/>
        </w:rPr>
      </w:pPr>
      <w:r w:rsidRPr="00732D9A">
        <w:rPr>
          <w:noProof/>
        </w:rPr>
        <w:t>Le règlement entrera en vigueur en 2027 et restera applicable au-delà de 2030, avec un réexamen tous les cinq ans afin d’évaluer les progrès accomplis et l’alignement sur les objectifs de l’Union en matière de climat et de sécurité économique.</w:t>
      </w:r>
    </w:p>
    <w:p w14:paraId="542B3C9D" w14:textId="77777777" w:rsidR="00CA7C31" w:rsidRPr="00732D9A" w:rsidRDefault="00CA7C31" w:rsidP="00CA7C31">
      <w:pPr>
        <w:pStyle w:val="ManualHeading2"/>
        <w:rPr>
          <w:bCs/>
          <w:noProof/>
          <w:szCs w:val="24"/>
        </w:rPr>
      </w:pPr>
      <w:r w:rsidRPr="00732D9A">
        <w:rPr>
          <w:noProof/>
        </w:rPr>
        <w:t>1.7.</w:t>
      </w:r>
      <w:r w:rsidRPr="00732D9A">
        <w:rPr>
          <w:noProof/>
        </w:rPr>
        <w:tab/>
        <w:t xml:space="preserve">Mode(s) d’exécution budgétaire prévu(s) </w:t>
      </w:r>
    </w:p>
    <w:p w14:paraId="19C13C3D" w14:textId="77777777" w:rsidR="00CA7C31" w:rsidRPr="00732D9A" w:rsidRDefault="00CA7C31" w:rsidP="00CA7C31">
      <w:pPr>
        <w:pStyle w:val="Text1"/>
        <w:rPr>
          <w:noProof/>
        </w:rPr>
      </w:pPr>
      <w:r w:rsidRPr="00732D9A">
        <w:rPr>
          <w:rFonts w:ascii="Wingdings" w:hAnsi="Wingdings"/>
          <w:noProof/>
        </w:rPr>
        <w:t></w:t>
      </w:r>
      <w:r w:rsidRPr="00732D9A">
        <w:rPr>
          <w:i/>
          <w:noProof/>
        </w:rPr>
        <w:t xml:space="preserve"> </w:t>
      </w:r>
      <w:r w:rsidRPr="00732D9A">
        <w:rPr>
          <w:b/>
          <w:noProof/>
        </w:rPr>
        <w:t>Gestion directe</w:t>
      </w:r>
      <w:r w:rsidRPr="00732D9A">
        <w:rPr>
          <w:noProof/>
        </w:rPr>
        <w:t xml:space="preserve"> par la Commission</w:t>
      </w:r>
    </w:p>
    <w:p w14:paraId="2530A489" w14:textId="77777777" w:rsidR="00CA7C31" w:rsidRPr="00732D9A" w:rsidRDefault="00255C35" w:rsidP="00CA7C31">
      <w:pPr>
        <w:pStyle w:val="ListDash2"/>
        <w:ind w:left="1134" w:hanging="283"/>
        <w:rPr>
          <w:rFonts w:cs="EUAlbertina"/>
          <w:noProof/>
        </w:rPr>
      </w:pPr>
      <w:r w:rsidRPr="00732D9A">
        <w:rPr>
          <w:noProof/>
        </w:rPr>
        <w:t xml:space="preserve"> </w:t>
      </w:r>
      <w:r w:rsidRPr="00732D9A">
        <w:rPr>
          <w:rFonts w:ascii="Wingdings" w:hAnsi="Wingdings"/>
          <w:noProof/>
        </w:rPr>
        <w:t></w:t>
      </w:r>
      <w:r w:rsidRPr="00732D9A">
        <w:rPr>
          <w:noProof/>
        </w:rPr>
        <w:t xml:space="preserve"> dans ses services, y compris par l’intermédiaire de son personnel dans les délégations de l’Union </w:t>
      </w:r>
    </w:p>
    <w:p w14:paraId="5624F455"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ab/>
        <w:t xml:space="preserve">par les agences exécutives </w:t>
      </w:r>
    </w:p>
    <w:p w14:paraId="62BE558A" w14:textId="77777777" w:rsidR="00CA7C31" w:rsidRPr="00732D9A" w:rsidRDefault="00CA7C31" w:rsidP="00CA7C31">
      <w:pPr>
        <w:pStyle w:val="Text1"/>
        <w:rPr>
          <w:noProof/>
        </w:rPr>
      </w:pPr>
      <w:r w:rsidRPr="00732D9A">
        <w:rPr>
          <w:rFonts w:ascii="Wingdings" w:hAnsi="Wingdings"/>
          <w:noProof/>
        </w:rPr>
        <w:t></w:t>
      </w:r>
      <w:r w:rsidRPr="00732D9A">
        <w:rPr>
          <w:b/>
          <w:i/>
          <w:noProof/>
        </w:rPr>
        <w:t xml:space="preserve"> </w:t>
      </w:r>
      <w:r w:rsidRPr="00732D9A">
        <w:rPr>
          <w:b/>
          <w:noProof/>
        </w:rPr>
        <w:t>Gestion partagée</w:t>
      </w:r>
      <w:r w:rsidRPr="00732D9A">
        <w:rPr>
          <w:noProof/>
        </w:rPr>
        <w:t xml:space="preserve"> avec les États membres </w:t>
      </w:r>
    </w:p>
    <w:p w14:paraId="3AE48838" w14:textId="77777777" w:rsidR="00CA7C31" w:rsidRPr="00732D9A" w:rsidRDefault="00CA7C31" w:rsidP="00CA7C31">
      <w:pPr>
        <w:pStyle w:val="Text1"/>
        <w:rPr>
          <w:noProof/>
        </w:rPr>
      </w:pPr>
      <w:r w:rsidRPr="00732D9A">
        <w:rPr>
          <w:rFonts w:ascii="Wingdings" w:hAnsi="Wingdings"/>
          <w:noProof/>
        </w:rPr>
        <w:t></w:t>
      </w:r>
      <w:r w:rsidRPr="00732D9A">
        <w:rPr>
          <w:i/>
          <w:noProof/>
        </w:rPr>
        <w:t xml:space="preserve"> </w:t>
      </w:r>
      <w:r w:rsidRPr="00732D9A">
        <w:rPr>
          <w:b/>
          <w:noProof/>
        </w:rPr>
        <w:t>Gestion indirecte</w:t>
      </w:r>
      <w:r w:rsidRPr="00732D9A">
        <w:rPr>
          <w:noProof/>
        </w:rPr>
        <w:t xml:space="preserve"> en confiant des tâches d’exécution budgétaire:</w:t>
      </w:r>
    </w:p>
    <w:p w14:paraId="6C4A9433"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pays tiers ou des organismes qu’ils ont désignés</w:t>
      </w:r>
    </w:p>
    <w:p w14:paraId="042449CA"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organisations internationales et à leurs agences (à préciser)</w:t>
      </w:r>
    </w:p>
    <w:p w14:paraId="7F2F752A"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la Banque européenne d’investissement et au Fonds européen d’investissement</w:t>
      </w:r>
    </w:p>
    <w:p w14:paraId="5AAEC198"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aux organismes visés aux articles 70 et 71 du règlement financier</w:t>
      </w:r>
    </w:p>
    <w:p w14:paraId="7D45CF70"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établissements de droit public</w:t>
      </w:r>
    </w:p>
    <w:p w14:paraId="7A33F91D"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entités de droit privé investies d’une mission de service public, pour autant qu’elles soient dotées de garanties financières suffisantes</w:t>
      </w:r>
    </w:p>
    <w:p w14:paraId="36E8D070"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entités de droit privé d’un État membre qui sont chargées de la mise en œuvre d’un partenariat public-privé et dotées de garanties financières suffisantes</w:t>
      </w:r>
    </w:p>
    <w:p w14:paraId="1C9118C1" w14:textId="77777777" w:rsidR="00CA7C31" w:rsidRPr="00732D9A" w:rsidRDefault="00CA7C31" w:rsidP="00CA7C31">
      <w:pPr>
        <w:pStyle w:val="ListDash2"/>
        <w:ind w:left="1134" w:hanging="283"/>
        <w:rPr>
          <w:noProof/>
        </w:rPr>
      </w:pPr>
      <w:r w:rsidRPr="00732D9A">
        <w:rPr>
          <w:rFonts w:ascii="Wingdings" w:hAnsi="Wingdings"/>
          <w:noProof/>
        </w:rPr>
        <w:t></w:t>
      </w:r>
      <w:r w:rsidRPr="00732D9A">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056F6335" w14:textId="77777777" w:rsidR="00CA7C31" w:rsidRPr="00732D9A" w:rsidRDefault="00CA7C31" w:rsidP="00CA7C31">
      <w:pPr>
        <w:pStyle w:val="ListDash2"/>
        <w:ind w:left="1134" w:hanging="283"/>
        <w:rPr>
          <w:noProof/>
        </w:rPr>
      </w:pPr>
      <w:r w:rsidRPr="00732D9A">
        <w:rPr>
          <w:rFonts w:ascii="Wingdings" w:hAnsi="Wingdings"/>
          <w:noProof/>
        </w:rPr>
        <w:t></w:t>
      </w:r>
      <w:r w:rsidRPr="00732D9A">
        <w:rPr>
          <w:rFonts w:ascii="Wingdings" w:hAnsi="Wingdings"/>
          <w:noProof/>
        </w:rPr>
        <w:t></w:t>
      </w:r>
      <w:r w:rsidRPr="00732D9A">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1D3D997C" w14:textId="77777777" w:rsidR="00CA7C31" w:rsidRPr="00732D9A" w:rsidRDefault="00CA7C31" w:rsidP="00CA7C31">
      <w:pPr>
        <w:rPr>
          <w:noProof/>
        </w:rPr>
        <w:sectPr w:rsidR="00CA7C31" w:rsidRPr="00732D9A" w:rsidSect="0017255A">
          <w:pgSz w:w="11907" w:h="16840" w:code="9"/>
          <w:pgMar w:top="1134" w:right="1418" w:bottom="1134" w:left="1418" w:header="709" w:footer="709" w:gutter="0"/>
          <w:cols w:space="708"/>
          <w:docGrid w:linePitch="360"/>
        </w:sectPr>
      </w:pPr>
    </w:p>
    <w:p w14:paraId="5F35EA7C" w14:textId="77777777" w:rsidR="00CA7C31" w:rsidRPr="00732D9A" w:rsidRDefault="00CA7C31" w:rsidP="00CA7C31">
      <w:pPr>
        <w:pStyle w:val="ManualHeading1"/>
        <w:rPr>
          <w:bCs/>
          <w:noProof/>
          <w:szCs w:val="24"/>
        </w:rPr>
      </w:pPr>
      <w:r w:rsidRPr="00732D9A">
        <w:rPr>
          <w:noProof/>
        </w:rPr>
        <w:t>2.</w:t>
      </w:r>
      <w:r w:rsidRPr="00732D9A">
        <w:rPr>
          <w:noProof/>
        </w:rPr>
        <w:tab/>
        <w:t xml:space="preserve">MESURES DE GESTION </w:t>
      </w:r>
    </w:p>
    <w:p w14:paraId="327178FB" w14:textId="77777777" w:rsidR="00CA7C31" w:rsidRPr="00732D9A" w:rsidRDefault="00CA7C31" w:rsidP="00CA7C31">
      <w:pPr>
        <w:pStyle w:val="ManualHeading2"/>
        <w:rPr>
          <w:noProof/>
        </w:rPr>
      </w:pPr>
      <w:r w:rsidRPr="00732D9A">
        <w:rPr>
          <w:noProof/>
        </w:rPr>
        <w:t>2.1.</w:t>
      </w:r>
      <w:r w:rsidRPr="00732D9A">
        <w:rPr>
          <w:noProof/>
        </w:rPr>
        <w:tab/>
        <w:t xml:space="preserve">Dispositions en matière de suivi et de compte rendu </w:t>
      </w:r>
    </w:p>
    <w:p w14:paraId="463AF82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présente fiche inclut les dépenses de personnel. Les règles standard pour ce type de dépenses s’appliquent. La Commission évaluera les réalisations, les résultats et l’impact de la présente proposition tous les trois ans après son entrée en application. L’évaluation portera sur la contribution du présent règlement au fonctionnement du marché unique, y compris les objectifs énoncés à l’article 1</w:t>
      </w:r>
      <w:r w:rsidRPr="00732D9A">
        <w:rPr>
          <w:noProof/>
          <w:vertAlign w:val="superscript"/>
        </w:rPr>
        <w:t>er</w:t>
      </w:r>
      <w:r w:rsidRPr="00732D9A">
        <w:rPr>
          <w:noProof/>
        </w:rPr>
        <w:t>, en particulier en ce qui concerne la résilience, la sécurité économique et la décarbonation de la production industrielle.</w:t>
      </w:r>
    </w:p>
    <w:p w14:paraId="5F4F724B" w14:textId="77777777" w:rsidR="00CA7C31" w:rsidRPr="00732D9A" w:rsidRDefault="00CA7C31" w:rsidP="00CA7C31">
      <w:pPr>
        <w:pStyle w:val="ManualHeading2"/>
        <w:rPr>
          <w:bCs/>
          <w:noProof/>
          <w:szCs w:val="24"/>
        </w:rPr>
      </w:pPr>
      <w:r w:rsidRPr="00732D9A">
        <w:rPr>
          <w:noProof/>
        </w:rPr>
        <w:t>2.2.</w:t>
      </w:r>
      <w:r w:rsidRPr="00732D9A">
        <w:rPr>
          <w:noProof/>
        </w:rPr>
        <w:tab/>
        <w:t xml:space="preserve">Système(s) de gestion et de contrôle </w:t>
      </w:r>
    </w:p>
    <w:p w14:paraId="05E09DF0" w14:textId="77777777" w:rsidR="00CA7C31" w:rsidRPr="00732D9A" w:rsidRDefault="00CA7C31" w:rsidP="00CA7C31">
      <w:pPr>
        <w:pStyle w:val="ManualHeading3"/>
        <w:rPr>
          <w:noProof/>
        </w:rPr>
      </w:pPr>
      <w:r w:rsidRPr="00732D9A">
        <w:rPr>
          <w:noProof/>
        </w:rPr>
        <w:t>2.2.1.</w:t>
      </w:r>
      <w:r w:rsidRPr="00732D9A">
        <w:rPr>
          <w:noProof/>
        </w:rPr>
        <w:tab/>
        <w:t>Justification du (des) mode(s) d’exécution budgétaire, du (des) mécanisme(s) de mise en œuvre du financement, des modalités de paiement et de la stratégie de contrôle proposée</w:t>
      </w:r>
    </w:p>
    <w:p w14:paraId="1517A8E0"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 mode de gestion de l’initiative est celui de la gestion directe par la Commission. Il s’agit de l’approche la plus appropriée compte tenu de la portée limitée des dépenses de l’Union, circonscrites aux coûts administratifs et aux coûts de suivi standard. L’utilisation de procédures internes établies garantit des contrôles efficaces et efficients, de faibles taux d’erreur, un traitement rapide des opérations et des coûts de contrôle minimaux.</w:t>
      </w:r>
    </w:p>
    <w:p w14:paraId="47B6650D" w14:textId="77777777" w:rsidR="00CA7C31" w:rsidRPr="00732D9A" w:rsidRDefault="00CA7C31" w:rsidP="00CA7C31">
      <w:pPr>
        <w:pStyle w:val="ManualHeading3"/>
        <w:rPr>
          <w:bCs/>
          <w:noProof/>
          <w:szCs w:val="24"/>
        </w:rPr>
      </w:pPr>
      <w:r w:rsidRPr="00732D9A">
        <w:rPr>
          <w:noProof/>
        </w:rPr>
        <w:t>2.2.2.</w:t>
      </w:r>
      <w:r w:rsidRPr="00732D9A">
        <w:rPr>
          <w:noProof/>
        </w:rPr>
        <w:tab/>
        <w:t>Informations sur les risques recensés et sur le(s) système(s) de contrôle interne mis en place pour les atténuer</w:t>
      </w:r>
    </w:p>
    <w:p w14:paraId="3B4F8F18"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Dans l’ensemble, l’initiative nécessite des dépenses de personnel. Les règles standard pour ce type de dépenses s’appliquent.</w:t>
      </w:r>
    </w:p>
    <w:p w14:paraId="763170B8"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plupart des aspects de l’initiative suivent des procédures établies pour dialoguer avec les parties prenantes par l’intermédiaire, par exemple, du forum industriel et pour mettre en œuvre des obligations de suivi. Le principal risque opérationnel est l’insuffisance des capacités administratives nécessaires à la mise en œuvre des plans de travail et des activités de surveillance prévus par le règlement.</w:t>
      </w:r>
    </w:p>
    <w:p w14:paraId="61BE3D5A"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La présente proposition est accompagnée d’un rapport d’analyse d’impact, qui fournit les analyses sous-tendant l’approche choisie. La préparation de l’initiative s’est également appuyée sur une consultation publique ainsi que sur des consultations ciblées avec les parties prenantes du secteur, les États membres et les associations professionnelles, qui ont permis de recueillir des données, des informations et des retours d’information pertinents. Néanmoins, des conséquences non intentionnelles ou des incidences imprévues peuvent encore survenir au cours de la mise en œuvre. Celles-ci seront recensées au moyen des procédures de surveillance définies dans le règlement, ce qui permettra à la Commission d’y remédier de manière appropriée et en temps utile.</w:t>
      </w:r>
    </w:p>
    <w:p w14:paraId="5A447EEF" w14:textId="77777777" w:rsidR="00CA7C31" w:rsidRPr="00732D9A" w:rsidRDefault="00CA7C31" w:rsidP="00CA7C31">
      <w:pPr>
        <w:pStyle w:val="ManualHeading3"/>
        <w:rPr>
          <w:noProof/>
        </w:rPr>
      </w:pPr>
      <w:r w:rsidRPr="00732D9A">
        <w:rPr>
          <w:noProof/>
        </w:rPr>
        <w:t>2.2.3.</w:t>
      </w:r>
      <w:r w:rsidRPr="00732D9A">
        <w:rPr>
          <w:noProof/>
        </w:rPr>
        <w:tab/>
        <w:t xml:space="preserve">Estimation et justification du rapport coût/efficacité des contrôles (rapport entre les coûts du contrôle et la valeur des fonds gérés concernés), et évaluation du niveau attendu de risque d’erreur (lors du paiement et lors de la clôture) </w:t>
      </w:r>
    </w:p>
    <w:p w14:paraId="10C67D7B"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L’initiative prévoit des dépenses administratives limitées. Les procédures de contrôle standard de la Commission s’appliquent. Étant donné qu’aucun programme de financement ni mécanisme de mise en œuvre à plusieurs niveaux n’est créé, les activités de contrôle restent simples et rentables.</w:t>
      </w:r>
    </w:p>
    <w:p w14:paraId="29C88551"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Les contrôles sont effectués entièrement en gestion directe, au moyen d’audits ex post standard au titre du cadre de contrôle interne de la Commission. Cela assure un juste équilibre entre l’effort de contrôle et la valeur limitée des fonds gérés.</w:t>
      </w:r>
    </w:p>
    <w:p w14:paraId="0CAF3FA8"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Compte tenu de la structure simplifiée et de l’absence d’opérations financières à haut risque, le taux d’erreur attendu au moment du paiement et à la clôture est faible et nettement inférieur au seuil de signification. Le système de contrôle offre donc un niveau élevé d’assurance à un coût proportionné.</w:t>
      </w:r>
    </w:p>
    <w:p w14:paraId="3A29D198" w14:textId="77777777" w:rsidR="00CA7C31" w:rsidRPr="00732D9A" w:rsidRDefault="00CA7C31" w:rsidP="00CA7C31">
      <w:pPr>
        <w:pStyle w:val="ManualHeading2"/>
        <w:rPr>
          <w:bCs/>
          <w:noProof/>
          <w:szCs w:val="24"/>
        </w:rPr>
      </w:pPr>
      <w:r w:rsidRPr="00732D9A">
        <w:rPr>
          <w:noProof/>
        </w:rPr>
        <w:t>2.3.</w:t>
      </w:r>
      <w:r w:rsidRPr="00732D9A">
        <w:rPr>
          <w:noProof/>
        </w:rPr>
        <w:tab/>
        <w:t xml:space="preserve">Mesures de prévention des fraudes et irrégularités </w:t>
      </w:r>
    </w:p>
    <w:p w14:paraId="715A8B95"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L’initiative n’établit pas de programmes de financement ou de régimes d’aide financière. Elle s’appuie donc sur le cadre de contrôle interne et la stratégie antifraude existants de la Commission. Des mesures standard de prévention et de détection s’appliquent, y compris des contrôles internes fondés sur les risques, la séparation des tâches et les flux de travail établis pour les dépenses administratives.</w:t>
      </w:r>
    </w:p>
    <w:p w14:paraId="39A9CB64"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 xml:space="preserve">La Commission veillera à ce que des mesures appropriées soient en place pour garantir la protection des intérêts financiers lors de l’exécution des tâches découlant du présent règlement. </w:t>
      </w:r>
    </w:p>
    <w:p w14:paraId="41EC8356" w14:textId="77777777" w:rsidR="00CA7C31" w:rsidRPr="00732D9A" w:rsidRDefault="00CA7C31" w:rsidP="00CA7C31">
      <w:pPr>
        <w:pStyle w:val="Text1"/>
        <w:pBdr>
          <w:top w:val="single" w:sz="4" w:space="1" w:color="auto"/>
          <w:left w:val="single" w:sz="4" w:space="4" w:color="auto"/>
          <w:bottom w:val="single" w:sz="4" w:space="1" w:color="auto"/>
          <w:right w:val="single" w:sz="4" w:space="4" w:color="auto"/>
        </w:pBdr>
        <w:rPr>
          <w:noProof/>
        </w:rPr>
      </w:pPr>
      <w:r w:rsidRPr="00732D9A">
        <w:rPr>
          <w:noProof/>
        </w:rPr>
        <w:t>Comme pour toutes les activités gérées par la Commission, l’Office européen de lutte antifraude (OLAF) et le Parquet européen peuvent exercer leurs pouvoirs conformément à leurs bases juridiques respectives pour enquêter sur la fraude, la corruption ou toute autre activité illégale portant atteinte aux intérêts financiers de l’UE. La Cour des comptes européenne conserve ses droits d’audit habituels sur les dépenses de la Commission.</w:t>
      </w:r>
    </w:p>
    <w:p w14:paraId="29774313" w14:textId="77777777" w:rsidR="00CA7C31" w:rsidRPr="00732D9A" w:rsidRDefault="00CA7C31" w:rsidP="00CA7C31">
      <w:pPr>
        <w:rPr>
          <w:noProof/>
        </w:rPr>
        <w:sectPr w:rsidR="00CA7C31" w:rsidRPr="00732D9A" w:rsidSect="0017255A">
          <w:pgSz w:w="11907" w:h="16840" w:code="9"/>
          <w:pgMar w:top="1134" w:right="1418" w:bottom="1134" w:left="1418" w:header="709" w:footer="709" w:gutter="0"/>
          <w:cols w:space="708"/>
          <w:docGrid w:linePitch="360"/>
        </w:sectPr>
      </w:pPr>
    </w:p>
    <w:p w14:paraId="5F54F8A8" w14:textId="23E8B70E" w:rsidR="00CA7C31" w:rsidRPr="00732D9A" w:rsidRDefault="00CA7C31" w:rsidP="00CA7C31">
      <w:pPr>
        <w:pStyle w:val="ManualHeading1"/>
        <w:rPr>
          <w:bCs/>
          <w:noProof/>
          <w:szCs w:val="24"/>
        </w:rPr>
      </w:pPr>
      <w:r w:rsidRPr="00732D9A">
        <w:rPr>
          <w:noProof/>
        </w:rPr>
        <w:t>3.</w:t>
      </w:r>
      <w:r w:rsidRPr="00732D9A">
        <w:rPr>
          <w:noProof/>
        </w:rPr>
        <w:tab/>
        <w:t>INCIDENCE FINANCIÈRE ESTIMÉE DE LA PROPOSITION/DE L</w:t>
      </w:r>
      <w:r w:rsidR="00980FE6">
        <w:rPr>
          <w:noProof/>
        </w:rPr>
        <w:t>’</w:t>
      </w:r>
      <w:r w:rsidRPr="00732D9A">
        <w:rPr>
          <w:noProof/>
        </w:rPr>
        <w:t xml:space="preserve">INITIATIVE </w:t>
      </w:r>
    </w:p>
    <w:p w14:paraId="59D42D2E" w14:textId="77777777" w:rsidR="00CA7C31" w:rsidRPr="00732D9A" w:rsidRDefault="00CA7C31" w:rsidP="00CA7C31">
      <w:pPr>
        <w:pStyle w:val="ManualHeading2"/>
        <w:rPr>
          <w:noProof/>
        </w:rPr>
      </w:pPr>
      <w:r w:rsidRPr="00732D9A">
        <w:rPr>
          <w:noProof/>
        </w:rPr>
        <w:t>3.1.</w:t>
      </w:r>
      <w:r w:rsidRPr="00732D9A">
        <w:rPr>
          <w:noProof/>
        </w:rPr>
        <w:tab/>
        <w:t>Rubrique(s) du cadre financier pluriannuel et ligne(s) budgétaire(s) de dépenses concernée(s)</w:t>
      </w:r>
    </w:p>
    <w:p w14:paraId="3BD629FC" w14:textId="77777777" w:rsidR="00CA7C31" w:rsidRPr="00732D9A" w:rsidRDefault="00CA7C31" w:rsidP="00CA7C31">
      <w:pPr>
        <w:pStyle w:val="ListBullet1"/>
        <w:rPr>
          <w:noProof/>
        </w:rPr>
      </w:pPr>
      <w:r w:rsidRPr="00732D9A">
        <w:rPr>
          <w:noProof/>
        </w:rPr>
        <w:t xml:space="preserve">Lignes budgétaires existantes </w:t>
      </w:r>
    </w:p>
    <w:p w14:paraId="22156E15" w14:textId="00E720FF" w:rsidR="00CA7C31" w:rsidRPr="00732D9A" w:rsidRDefault="00CA7C31" w:rsidP="00CA7C31">
      <w:pPr>
        <w:pStyle w:val="Text1"/>
        <w:rPr>
          <w:i/>
          <w:noProof/>
        </w:rPr>
      </w:pPr>
      <w:r w:rsidRPr="00732D9A">
        <w:rPr>
          <w:i/>
          <w:noProof/>
          <w:u w:val="single"/>
        </w:rPr>
        <w:t>Dans l</w:t>
      </w:r>
      <w:r w:rsidR="00980FE6">
        <w:rPr>
          <w:i/>
          <w:noProof/>
          <w:u w:val="single"/>
        </w:rPr>
        <w:t>’</w:t>
      </w:r>
      <w:r w:rsidRPr="00732D9A">
        <w:rPr>
          <w:i/>
          <w:noProof/>
          <w:u w:val="single"/>
        </w:rPr>
        <w:t>ordre</w:t>
      </w:r>
      <w:r w:rsidRPr="00732D9A">
        <w:rPr>
          <w:i/>
          <w:noProof/>
        </w:rPr>
        <w:t xml:space="preserve"> des rubriques du cadre financier pluriannuel et des lignes budgétaires.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332"/>
        <w:gridCol w:w="951"/>
        <w:gridCol w:w="841"/>
        <w:gridCol w:w="951"/>
        <w:gridCol w:w="841"/>
        <w:gridCol w:w="1269"/>
      </w:tblGrid>
      <w:tr w:rsidR="00CA7C31" w:rsidRPr="00732D9A" w14:paraId="55126AF5" w14:textId="77777777" w:rsidTr="00B41503">
        <w:trPr>
          <w:jc w:val="center"/>
        </w:trPr>
        <w:tc>
          <w:tcPr>
            <w:tcW w:w="593" w:type="pct"/>
            <w:vMerge w:val="restart"/>
            <w:vAlign w:val="center"/>
          </w:tcPr>
          <w:p w14:paraId="2B2CE4B0" w14:textId="77777777" w:rsidR="00CA7C31" w:rsidRPr="00732D9A" w:rsidRDefault="00CA7C31">
            <w:pPr>
              <w:spacing w:before="60" w:after="60"/>
              <w:jc w:val="center"/>
              <w:rPr>
                <w:noProof/>
              </w:rPr>
            </w:pPr>
            <w:r w:rsidRPr="00732D9A">
              <w:rPr>
                <w:noProof/>
                <w:sz w:val="18"/>
              </w:rPr>
              <w:t>Rubrique du cadre financier pluriannuel</w:t>
            </w:r>
          </w:p>
        </w:tc>
        <w:tc>
          <w:tcPr>
            <w:tcW w:w="1794" w:type="pct"/>
            <w:vAlign w:val="center"/>
          </w:tcPr>
          <w:p w14:paraId="744DEB3B" w14:textId="77777777" w:rsidR="00CA7C31" w:rsidRPr="00732D9A" w:rsidRDefault="00CA7C31">
            <w:pPr>
              <w:spacing w:before="60" w:after="60"/>
              <w:jc w:val="center"/>
              <w:rPr>
                <w:noProof/>
              </w:rPr>
            </w:pPr>
            <w:r w:rsidRPr="00732D9A">
              <w:rPr>
                <w:noProof/>
                <w:sz w:val="20"/>
              </w:rPr>
              <w:t>Ligne budgétaire</w:t>
            </w:r>
          </w:p>
        </w:tc>
        <w:tc>
          <w:tcPr>
            <w:tcW w:w="512" w:type="pct"/>
            <w:vAlign w:val="center"/>
          </w:tcPr>
          <w:p w14:paraId="6C463895" w14:textId="77777777" w:rsidR="00CA7C31" w:rsidRPr="00732D9A" w:rsidRDefault="00CA7C31">
            <w:pPr>
              <w:spacing w:before="60" w:after="60"/>
              <w:jc w:val="center"/>
              <w:rPr>
                <w:noProof/>
              </w:rPr>
            </w:pPr>
            <w:r w:rsidRPr="00732D9A">
              <w:rPr>
                <w:noProof/>
                <w:sz w:val="18"/>
              </w:rPr>
              <w:t>Nature de la dépense</w:t>
            </w:r>
          </w:p>
        </w:tc>
        <w:tc>
          <w:tcPr>
            <w:tcW w:w="2101" w:type="pct"/>
            <w:gridSpan w:val="4"/>
            <w:vAlign w:val="center"/>
          </w:tcPr>
          <w:p w14:paraId="5CF59999" w14:textId="77777777" w:rsidR="00CA7C31" w:rsidRPr="00732D9A" w:rsidRDefault="00CA7C31">
            <w:pPr>
              <w:spacing w:before="60" w:after="60"/>
              <w:jc w:val="center"/>
              <w:rPr>
                <w:noProof/>
              </w:rPr>
            </w:pPr>
            <w:r w:rsidRPr="00732D9A">
              <w:rPr>
                <w:noProof/>
                <w:sz w:val="20"/>
              </w:rPr>
              <w:t xml:space="preserve">Participation </w:t>
            </w:r>
          </w:p>
        </w:tc>
      </w:tr>
      <w:tr w:rsidR="00CA7C31" w:rsidRPr="00732D9A" w14:paraId="18842921" w14:textId="77777777" w:rsidTr="00B41503">
        <w:trPr>
          <w:cantSplit/>
          <w:jc w:val="center"/>
        </w:trPr>
        <w:tc>
          <w:tcPr>
            <w:tcW w:w="593" w:type="pct"/>
            <w:vMerge/>
            <w:vAlign w:val="center"/>
          </w:tcPr>
          <w:p w14:paraId="3E9E13D1" w14:textId="77777777" w:rsidR="00CA7C31" w:rsidRPr="00732D9A" w:rsidRDefault="00CA7C31">
            <w:pPr>
              <w:jc w:val="center"/>
              <w:rPr>
                <w:noProof/>
              </w:rPr>
            </w:pPr>
          </w:p>
        </w:tc>
        <w:tc>
          <w:tcPr>
            <w:tcW w:w="1794" w:type="pct"/>
            <w:vAlign w:val="center"/>
          </w:tcPr>
          <w:p w14:paraId="516B1875" w14:textId="77777777" w:rsidR="00CA7C31" w:rsidRPr="00732D9A" w:rsidRDefault="00CA7C31">
            <w:pPr>
              <w:rPr>
                <w:noProof/>
              </w:rPr>
            </w:pPr>
            <w:r w:rsidRPr="00732D9A">
              <w:rPr>
                <w:noProof/>
                <w:sz w:val="20"/>
              </w:rPr>
              <w:t xml:space="preserve">Numéro </w:t>
            </w:r>
            <w:r w:rsidRPr="00732D9A">
              <w:rPr>
                <w:noProof/>
              </w:rPr>
              <w:t xml:space="preserve"> </w:t>
            </w:r>
            <w:r w:rsidRPr="00732D9A">
              <w:rPr>
                <w:noProof/>
              </w:rPr>
              <w:cr/>
            </w:r>
            <w:r w:rsidRPr="00732D9A">
              <w:rPr>
                <w:noProof/>
              </w:rPr>
              <w:br/>
            </w:r>
          </w:p>
        </w:tc>
        <w:tc>
          <w:tcPr>
            <w:tcW w:w="512" w:type="pct"/>
            <w:vAlign w:val="center"/>
          </w:tcPr>
          <w:p w14:paraId="1496310D" w14:textId="77777777" w:rsidR="00CA7C31" w:rsidRPr="00732D9A" w:rsidRDefault="00CA7C31">
            <w:pPr>
              <w:jc w:val="center"/>
              <w:rPr>
                <w:noProof/>
              </w:rPr>
            </w:pPr>
            <w:r w:rsidRPr="00732D9A">
              <w:rPr>
                <w:noProof/>
                <w:sz w:val="18"/>
              </w:rPr>
              <w:t>CD/CND</w:t>
            </w:r>
            <w:r w:rsidRPr="00732D9A">
              <w:rPr>
                <w:rStyle w:val="FootnoteReference"/>
                <w:noProof/>
                <w:sz w:val="18"/>
                <w:szCs w:val="18"/>
              </w:rPr>
              <w:footnoteReference w:id="70"/>
            </w:r>
          </w:p>
        </w:tc>
        <w:tc>
          <w:tcPr>
            <w:tcW w:w="453" w:type="pct"/>
            <w:vAlign w:val="center"/>
          </w:tcPr>
          <w:p w14:paraId="60E46C74" w14:textId="77777777" w:rsidR="00CA7C31" w:rsidRPr="00732D9A" w:rsidRDefault="00CA7C31">
            <w:pPr>
              <w:jc w:val="center"/>
              <w:rPr>
                <w:b/>
                <w:noProof/>
                <w:sz w:val="18"/>
              </w:rPr>
            </w:pPr>
            <w:r w:rsidRPr="00732D9A">
              <w:rPr>
                <w:noProof/>
                <w:sz w:val="18"/>
              </w:rPr>
              <w:t>de pays AELE</w:t>
            </w:r>
            <w:r w:rsidRPr="00732D9A">
              <w:rPr>
                <w:rStyle w:val="FootnoteReference"/>
                <w:noProof/>
                <w:sz w:val="18"/>
                <w:szCs w:val="18"/>
              </w:rPr>
              <w:footnoteReference w:id="71"/>
            </w:r>
          </w:p>
        </w:tc>
        <w:tc>
          <w:tcPr>
            <w:tcW w:w="512" w:type="pct"/>
            <w:vAlign w:val="center"/>
          </w:tcPr>
          <w:p w14:paraId="362188D7" w14:textId="77777777" w:rsidR="00CA7C31" w:rsidRPr="00732D9A" w:rsidRDefault="00CA7C31">
            <w:pPr>
              <w:jc w:val="center"/>
              <w:rPr>
                <w:noProof/>
                <w:sz w:val="18"/>
              </w:rPr>
            </w:pPr>
            <w:r w:rsidRPr="00732D9A">
              <w:rPr>
                <w:noProof/>
                <w:sz w:val="18"/>
              </w:rPr>
              <w:t>de pays candidats et pays candidats potentiels</w:t>
            </w:r>
            <w:r w:rsidRPr="00732D9A">
              <w:rPr>
                <w:rStyle w:val="FootnoteReference"/>
                <w:noProof/>
                <w:sz w:val="18"/>
                <w:szCs w:val="18"/>
              </w:rPr>
              <w:footnoteReference w:id="72"/>
            </w:r>
          </w:p>
        </w:tc>
        <w:tc>
          <w:tcPr>
            <w:tcW w:w="453" w:type="pct"/>
            <w:vAlign w:val="center"/>
          </w:tcPr>
          <w:p w14:paraId="3F8B6CC2" w14:textId="77777777" w:rsidR="00CA7C31" w:rsidRPr="00732D9A" w:rsidRDefault="00CA7C31">
            <w:pPr>
              <w:jc w:val="center"/>
              <w:rPr>
                <w:noProof/>
                <w:sz w:val="18"/>
              </w:rPr>
            </w:pPr>
            <w:r w:rsidRPr="00732D9A">
              <w:rPr>
                <w:noProof/>
                <w:sz w:val="18"/>
              </w:rPr>
              <w:t>d’autres pays tiers</w:t>
            </w:r>
          </w:p>
        </w:tc>
        <w:tc>
          <w:tcPr>
            <w:tcW w:w="683" w:type="pct"/>
            <w:vAlign w:val="center"/>
          </w:tcPr>
          <w:p w14:paraId="62D82158" w14:textId="77777777" w:rsidR="00CA7C31" w:rsidRPr="00732D9A" w:rsidRDefault="00CA7C31">
            <w:pPr>
              <w:jc w:val="center"/>
              <w:rPr>
                <w:noProof/>
              </w:rPr>
            </w:pPr>
            <w:r w:rsidRPr="00732D9A">
              <w:rPr>
                <w:noProof/>
                <w:sz w:val="18"/>
              </w:rPr>
              <w:t>autres recettes affectées</w:t>
            </w:r>
          </w:p>
        </w:tc>
      </w:tr>
      <w:tr w:rsidR="00CE074D" w:rsidRPr="00732D9A" w14:paraId="513D82C0" w14:textId="77777777" w:rsidTr="00B41503">
        <w:trPr>
          <w:jc w:val="center"/>
        </w:trPr>
        <w:tc>
          <w:tcPr>
            <w:tcW w:w="593" w:type="pct"/>
            <w:vAlign w:val="center"/>
          </w:tcPr>
          <w:p w14:paraId="212A89A4" w14:textId="77777777" w:rsidR="00CE074D" w:rsidRPr="00732D9A" w:rsidRDefault="00CE074D" w:rsidP="00CE074D">
            <w:pPr>
              <w:jc w:val="center"/>
              <w:rPr>
                <w:noProof/>
                <w:color w:val="0000FF"/>
              </w:rPr>
            </w:pPr>
            <w:r w:rsidRPr="00732D9A">
              <w:rPr>
                <w:noProof/>
                <w:color w:val="0000FF"/>
              </w:rPr>
              <w:t>1</w:t>
            </w:r>
          </w:p>
        </w:tc>
        <w:tc>
          <w:tcPr>
            <w:tcW w:w="1794" w:type="pct"/>
            <w:vAlign w:val="center"/>
          </w:tcPr>
          <w:p w14:paraId="77EF2A52" w14:textId="77777777" w:rsidR="00CE074D" w:rsidRPr="00732D9A" w:rsidRDefault="00CE074D" w:rsidP="00CE074D">
            <w:pPr>
              <w:spacing w:before="60"/>
              <w:rPr>
                <w:rFonts w:eastAsia="Times New Roman"/>
                <w:noProof/>
                <w:sz w:val="20"/>
                <w:szCs w:val="20"/>
              </w:rPr>
            </w:pPr>
            <w:r w:rsidRPr="00732D9A">
              <w:rPr>
                <w:noProof/>
                <w:sz w:val="20"/>
              </w:rPr>
              <w:t>03 02 01 02</w:t>
            </w:r>
          </w:p>
        </w:tc>
        <w:tc>
          <w:tcPr>
            <w:tcW w:w="512" w:type="pct"/>
            <w:vAlign w:val="center"/>
          </w:tcPr>
          <w:p w14:paraId="2D379283" w14:textId="77777777" w:rsidR="00CE074D" w:rsidRPr="00732D9A" w:rsidRDefault="004D1CBA" w:rsidP="00CE074D">
            <w:pPr>
              <w:jc w:val="center"/>
              <w:rPr>
                <w:noProof/>
                <w:color w:val="0000FF"/>
              </w:rPr>
            </w:pPr>
            <w:r w:rsidRPr="00732D9A">
              <w:rPr>
                <w:noProof/>
                <w:color w:val="0000FF"/>
                <w:sz w:val="20"/>
              </w:rPr>
              <w:t>CD</w:t>
            </w:r>
          </w:p>
        </w:tc>
        <w:tc>
          <w:tcPr>
            <w:tcW w:w="453" w:type="pct"/>
            <w:vAlign w:val="center"/>
          </w:tcPr>
          <w:p w14:paraId="47FC75D8" w14:textId="10767CA3" w:rsidR="00CE074D" w:rsidRPr="00732D9A" w:rsidRDefault="002F0E59" w:rsidP="00CE074D">
            <w:pPr>
              <w:jc w:val="center"/>
              <w:rPr>
                <w:noProof/>
                <w:sz w:val="20"/>
                <w:szCs w:val="20"/>
              </w:rPr>
            </w:pPr>
            <w:r>
              <w:rPr>
                <w:noProof/>
                <w:sz w:val="20"/>
              </w:rPr>
              <w:t>O</w:t>
            </w:r>
            <w:r w:rsidR="004D1CBA" w:rsidRPr="00732D9A">
              <w:rPr>
                <w:noProof/>
                <w:sz w:val="20"/>
              </w:rPr>
              <w:t>ui</w:t>
            </w:r>
          </w:p>
        </w:tc>
        <w:tc>
          <w:tcPr>
            <w:tcW w:w="512" w:type="pct"/>
            <w:vAlign w:val="center"/>
          </w:tcPr>
          <w:p w14:paraId="3B41B988" w14:textId="77777777" w:rsidR="00CE074D" w:rsidRPr="00732D9A" w:rsidRDefault="004D1CBA" w:rsidP="00CE074D">
            <w:pPr>
              <w:jc w:val="center"/>
              <w:rPr>
                <w:noProof/>
                <w:sz w:val="20"/>
                <w:szCs w:val="20"/>
              </w:rPr>
            </w:pPr>
            <w:r w:rsidRPr="00732D9A">
              <w:rPr>
                <w:noProof/>
                <w:sz w:val="20"/>
              </w:rPr>
              <w:t>Non</w:t>
            </w:r>
          </w:p>
        </w:tc>
        <w:tc>
          <w:tcPr>
            <w:tcW w:w="453" w:type="pct"/>
            <w:vAlign w:val="center"/>
          </w:tcPr>
          <w:p w14:paraId="63777CFB" w14:textId="77777777" w:rsidR="00CE074D" w:rsidRPr="00732D9A" w:rsidRDefault="004D1CBA" w:rsidP="00CE074D">
            <w:pPr>
              <w:jc w:val="center"/>
              <w:rPr>
                <w:noProof/>
                <w:sz w:val="20"/>
                <w:szCs w:val="20"/>
              </w:rPr>
            </w:pPr>
            <w:r w:rsidRPr="00732D9A">
              <w:rPr>
                <w:noProof/>
                <w:sz w:val="20"/>
              </w:rPr>
              <w:t>Non</w:t>
            </w:r>
          </w:p>
        </w:tc>
        <w:tc>
          <w:tcPr>
            <w:tcW w:w="683" w:type="pct"/>
            <w:vAlign w:val="center"/>
          </w:tcPr>
          <w:p w14:paraId="7A029C92" w14:textId="77777777" w:rsidR="00CE074D" w:rsidRPr="00732D9A" w:rsidRDefault="004D1CBA" w:rsidP="00CE074D">
            <w:pPr>
              <w:jc w:val="center"/>
              <w:rPr>
                <w:noProof/>
                <w:sz w:val="20"/>
                <w:szCs w:val="20"/>
              </w:rPr>
            </w:pPr>
            <w:r w:rsidRPr="00732D9A">
              <w:rPr>
                <w:noProof/>
                <w:sz w:val="20"/>
              </w:rPr>
              <w:t>Non</w:t>
            </w:r>
          </w:p>
        </w:tc>
      </w:tr>
      <w:tr w:rsidR="00CA7C31" w:rsidRPr="00732D9A" w14:paraId="09C2A963" w14:textId="77777777" w:rsidTr="00B41503">
        <w:trPr>
          <w:jc w:val="center"/>
        </w:trPr>
        <w:tc>
          <w:tcPr>
            <w:tcW w:w="593" w:type="pct"/>
            <w:vAlign w:val="center"/>
          </w:tcPr>
          <w:p w14:paraId="3FCDE760" w14:textId="77777777" w:rsidR="00CA7C31" w:rsidRPr="00732D9A" w:rsidRDefault="00CA7C31">
            <w:pPr>
              <w:jc w:val="center"/>
              <w:rPr>
                <w:noProof/>
                <w:color w:val="0000FF"/>
              </w:rPr>
            </w:pPr>
            <w:r w:rsidRPr="00732D9A">
              <w:rPr>
                <w:noProof/>
                <w:color w:val="0000FF"/>
              </w:rPr>
              <w:t>7</w:t>
            </w:r>
          </w:p>
        </w:tc>
        <w:tc>
          <w:tcPr>
            <w:tcW w:w="1794" w:type="pct"/>
            <w:vAlign w:val="center"/>
          </w:tcPr>
          <w:p w14:paraId="59322FBB" w14:textId="77777777" w:rsidR="00CA7C31" w:rsidRPr="00732D9A" w:rsidRDefault="00CA7C31">
            <w:pPr>
              <w:spacing w:before="60"/>
              <w:rPr>
                <w:noProof/>
              </w:rPr>
            </w:pPr>
            <w:r w:rsidRPr="00732D9A">
              <w:rPr>
                <w:noProof/>
                <w:sz w:val="20"/>
              </w:rPr>
              <w:t>20 01 02 01</w:t>
            </w:r>
          </w:p>
        </w:tc>
        <w:tc>
          <w:tcPr>
            <w:tcW w:w="512" w:type="pct"/>
            <w:vAlign w:val="center"/>
          </w:tcPr>
          <w:p w14:paraId="755DFB50" w14:textId="77777777" w:rsidR="00CA7C31" w:rsidRPr="00732D9A" w:rsidRDefault="004D1CBA">
            <w:pPr>
              <w:jc w:val="center"/>
              <w:rPr>
                <w:noProof/>
                <w:color w:val="0000FF"/>
              </w:rPr>
            </w:pPr>
            <w:r w:rsidRPr="00732D9A">
              <w:rPr>
                <w:noProof/>
                <w:color w:val="0000FF"/>
                <w:sz w:val="20"/>
              </w:rPr>
              <w:t>CND</w:t>
            </w:r>
          </w:p>
        </w:tc>
        <w:tc>
          <w:tcPr>
            <w:tcW w:w="453" w:type="pct"/>
            <w:vAlign w:val="center"/>
          </w:tcPr>
          <w:p w14:paraId="317F18DC" w14:textId="77777777" w:rsidR="00CA7C31" w:rsidRPr="00732D9A" w:rsidRDefault="004D1CBA">
            <w:pPr>
              <w:jc w:val="center"/>
              <w:rPr>
                <w:noProof/>
                <w:sz w:val="20"/>
                <w:szCs w:val="20"/>
              </w:rPr>
            </w:pPr>
            <w:r w:rsidRPr="00732D9A">
              <w:rPr>
                <w:noProof/>
                <w:sz w:val="20"/>
              </w:rPr>
              <w:t>Non</w:t>
            </w:r>
          </w:p>
        </w:tc>
        <w:tc>
          <w:tcPr>
            <w:tcW w:w="512" w:type="pct"/>
            <w:vAlign w:val="center"/>
          </w:tcPr>
          <w:p w14:paraId="73E97FDE" w14:textId="77777777" w:rsidR="00CA7C31" w:rsidRPr="00732D9A" w:rsidRDefault="004D1CBA">
            <w:pPr>
              <w:jc w:val="center"/>
              <w:rPr>
                <w:noProof/>
                <w:sz w:val="20"/>
                <w:szCs w:val="20"/>
              </w:rPr>
            </w:pPr>
            <w:r w:rsidRPr="00732D9A">
              <w:rPr>
                <w:noProof/>
                <w:sz w:val="20"/>
              </w:rPr>
              <w:t>Non</w:t>
            </w:r>
          </w:p>
        </w:tc>
        <w:tc>
          <w:tcPr>
            <w:tcW w:w="453" w:type="pct"/>
            <w:vAlign w:val="center"/>
          </w:tcPr>
          <w:p w14:paraId="5FDB6095" w14:textId="77777777" w:rsidR="00CA7C31" w:rsidRPr="00732D9A" w:rsidRDefault="004D1CBA">
            <w:pPr>
              <w:jc w:val="center"/>
              <w:rPr>
                <w:noProof/>
                <w:sz w:val="20"/>
                <w:szCs w:val="20"/>
              </w:rPr>
            </w:pPr>
            <w:r w:rsidRPr="00732D9A">
              <w:rPr>
                <w:noProof/>
                <w:sz w:val="20"/>
              </w:rPr>
              <w:t>Non</w:t>
            </w:r>
          </w:p>
        </w:tc>
        <w:tc>
          <w:tcPr>
            <w:tcW w:w="683" w:type="pct"/>
            <w:vAlign w:val="center"/>
          </w:tcPr>
          <w:p w14:paraId="7E15148F" w14:textId="77777777" w:rsidR="00CA7C31" w:rsidRPr="00732D9A" w:rsidRDefault="004D1CBA">
            <w:pPr>
              <w:jc w:val="center"/>
              <w:rPr>
                <w:noProof/>
                <w:sz w:val="20"/>
                <w:szCs w:val="20"/>
              </w:rPr>
            </w:pPr>
            <w:r w:rsidRPr="00732D9A">
              <w:rPr>
                <w:noProof/>
                <w:sz w:val="20"/>
              </w:rPr>
              <w:t>Non</w:t>
            </w:r>
          </w:p>
        </w:tc>
      </w:tr>
    </w:tbl>
    <w:p w14:paraId="0BE90320" w14:textId="77777777" w:rsidR="00CA7C31" w:rsidRPr="00732D9A" w:rsidRDefault="00CA7C31" w:rsidP="00CA7C31">
      <w:pPr>
        <w:pStyle w:val="ListBullet1"/>
        <w:rPr>
          <w:noProof/>
        </w:rPr>
      </w:pPr>
      <w:r w:rsidRPr="00732D9A">
        <w:rPr>
          <w:noProof/>
        </w:rPr>
        <w:t xml:space="preserve">Nouvelles lignes budgétaires, dont la création est demandée </w:t>
      </w:r>
    </w:p>
    <w:p w14:paraId="05299308" w14:textId="120A5130" w:rsidR="00CA7C31" w:rsidRPr="00732D9A" w:rsidRDefault="00CA7C31" w:rsidP="00CA7C31">
      <w:pPr>
        <w:pStyle w:val="Text1"/>
        <w:rPr>
          <w:i/>
          <w:noProof/>
          <w:sz w:val="20"/>
        </w:rPr>
      </w:pPr>
      <w:r w:rsidRPr="00732D9A">
        <w:rPr>
          <w:i/>
          <w:noProof/>
          <w:u w:val="single"/>
        </w:rPr>
        <w:t>Dans l</w:t>
      </w:r>
      <w:r w:rsidR="00980FE6">
        <w:rPr>
          <w:i/>
          <w:noProof/>
          <w:u w:val="single"/>
        </w:rPr>
        <w:t>’</w:t>
      </w:r>
      <w:r w:rsidRPr="00732D9A">
        <w:rPr>
          <w:i/>
          <w:noProof/>
          <w:u w:val="single"/>
        </w:rPr>
        <w:t>ordre</w:t>
      </w:r>
      <w:r w:rsidRPr="00732D9A">
        <w:rPr>
          <w:i/>
          <w:noProof/>
        </w:rPr>
        <w:t xml:space="preserve"> des rubriques du cadre financier pluriannuel et des lignes budgétaires.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332"/>
        <w:gridCol w:w="951"/>
        <w:gridCol w:w="841"/>
        <w:gridCol w:w="951"/>
        <w:gridCol w:w="841"/>
        <w:gridCol w:w="1269"/>
      </w:tblGrid>
      <w:tr w:rsidR="00CA7C31" w:rsidRPr="00732D9A" w14:paraId="36652BC8" w14:textId="77777777" w:rsidTr="00B41503">
        <w:trPr>
          <w:jc w:val="center"/>
        </w:trPr>
        <w:tc>
          <w:tcPr>
            <w:tcW w:w="593" w:type="pct"/>
            <w:vMerge w:val="restart"/>
            <w:vAlign w:val="center"/>
          </w:tcPr>
          <w:p w14:paraId="26FA5A6C" w14:textId="77777777" w:rsidR="00CA7C31" w:rsidRPr="00732D9A" w:rsidRDefault="00CA7C31">
            <w:pPr>
              <w:spacing w:before="60" w:after="60"/>
              <w:jc w:val="center"/>
              <w:rPr>
                <w:noProof/>
                <w:sz w:val="18"/>
                <w:szCs w:val="18"/>
              </w:rPr>
            </w:pPr>
            <w:r w:rsidRPr="00732D9A">
              <w:rPr>
                <w:noProof/>
                <w:sz w:val="18"/>
              </w:rPr>
              <w:t>Rubrique du cadre financier pluriannuel</w:t>
            </w:r>
          </w:p>
        </w:tc>
        <w:tc>
          <w:tcPr>
            <w:tcW w:w="1794" w:type="pct"/>
            <w:vAlign w:val="center"/>
          </w:tcPr>
          <w:p w14:paraId="6D6BA3C5" w14:textId="77777777" w:rsidR="00CA7C31" w:rsidRPr="00732D9A" w:rsidRDefault="00CA7C31">
            <w:pPr>
              <w:spacing w:before="60" w:after="60"/>
              <w:jc w:val="center"/>
              <w:rPr>
                <w:noProof/>
              </w:rPr>
            </w:pPr>
            <w:r w:rsidRPr="00732D9A">
              <w:rPr>
                <w:noProof/>
                <w:sz w:val="20"/>
              </w:rPr>
              <w:t>Ligne budgétaire</w:t>
            </w:r>
          </w:p>
        </w:tc>
        <w:tc>
          <w:tcPr>
            <w:tcW w:w="512" w:type="pct"/>
            <w:vAlign w:val="center"/>
          </w:tcPr>
          <w:p w14:paraId="5576A1CB" w14:textId="77777777" w:rsidR="00CA7C31" w:rsidRPr="00732D9A" w:rsidRDefault="00CA7C31">
            <w:pPr>
              <w:spacing w:before="60" w:after="60"/>
              <w:jc w:val="center"/>
              <w:rPr>
                <w:noProof/>
              </w:rPr>
            </w:pPr>
            <w:r w:rsidRPr="00732D9A">
              <w:rPr>
                <w:noProof/>
                <w:sz w:val="18"/>
              </w:rPr>
              <w:t>Nature de la dépense</w:t>
            </w:r>
          </w:p>
        </w:tc>
        <w:tc>
          <w:tcPr>
            <w:tcW w:w="2101" w:type="pct"/>
            <w:gridSpan w:val="4"/>
            <w:vAlign w:val="center"/>
          </w:tcPr>
          <w:p w14:paraId="4329D1DF" w14:textId="77777777" w:rsidR="00CA7C31" w:rsidRPr="00732D9A" w:rsidRDefault="00CA7C31">
            <w:pPr>
              <w:spacing w:before="60" w:after="60"/>
              <w:jc w:val="center"/>
              <w:rPr>
                <w:noProof/>
              </w:rPr>
            </w:pPr>
            <w:r w:rsidRPr="00732D9A">
              <w:rPr>
                <w:noProof/>
                <w:sz w:val="20"/>
              </w:rPr>
              <w:t xml:space="preserve">Participation </w:t>
            </w:r>
          </w:p>
        </w:tc>
      </w:tr>
      <w:tr w:rsidR="00CA7C31" w:rsidRPr="00732D9A" w14:paraId="0B2458E8" w14:textId="77777777" w:rsidTr="00B41503">
        <w:trPr>
          <w:cantSplit/>
          <w:jc w:val="center"/>
        </w:trPr>
        <w:tc>
          <w:tcPr>
            <w:tcW w:w="593" w:type="pct"/>
            <w:vMerge/>
            <w:vAlign w:val="center"/>
          </w:tcPr>
          <w:p w14:paraId="624D7457" w14:textId="77777777" w:rsidR="00CA7C31" w:rsidRPr="00732D9A" w:rsidRDefault="00CA7C31">
            <w:pPr>
              <w:jc w:val="center"/>
              <w:rPr>
                <w:noProof/>
              </w:rPr>
            </w:pPr>
          </w:p>
        </w:tc>
        <w:tc>
          <w:tcPr>
            <w:tcW w:w="1794" w:type="pct"/>
            <w:vAlign w:val="center"/>
          </w:tcPr>
          <w:p w14:paraId="507521E5" w14:textId="77777777" w:rsidR="00CA7C31" w:rsidRPr="00732D9A" w:rsidRDefault="00CA7C31">
            <w:pPr>
              <w:rPr>
                <w:noProof/>
              </w:rPr>
            </w:pPr>
            <w:r w:rsidRPr="00732D9A">
              <w:rPr>
                <w:noProof/>
                <w:sz w:val="20"/>
              </w:rPr>
              <w:t xml:space="preserve">Numéro </w:t>
            </w:r>
            <w:r w:rsidRPr="00732D9A">
              <w:rPr>
                <w:noProof/>
              </w:rPr>
              <w:t xml:space="preserve"> </w:t>
            </w:r>
            <w:r w:rsidRPr="00732D9A">
              <w:rPr>
                <w:noProof/>
              </w:rPr>
              <w:cr/>
            </w:r>
            <w:r w:rsidRPr="00732D9A">
              <w:rPr>
                <w:noProof/>
              </w:rPr>
              <w:br/>
            </w:r>
          </w:p>
        </w:tc>
        <w:tc>
          <w:tcPr>
            <w:tcW w:w="512" w:type="pct"/>
            <w:vAlign w:val="center"/>
          </w:tcPr>
          <w:p w14:paraId="38A2246F" w14:textId="77777777" w:rsidR="00CA7C31" w:rsidRPr="00732D9A" w:rsidRDefault="00CA7C31">
            <w:pPr>
              <w:jc w:val="center"/>
              <w:rPr>
                <w:noProof/>
              </w:rPr>
            </w:pPr>
            <w:r w:rsidRPr="00732D9A">
              <w:rPr>
                <w:noProof/>
                <w:sz w:val="18"/>
              </w:rPr>
              <w:t>CD/CND</w:t>
            </w:r>
          </w:p>
        </w:tc>
        <w:tc>
          <w:tcPr>
            <w:tcW w:w="453" w:type="pct"/>
            <w:vAlign w:val="center"/>
          </w:tcPr>
          <w:p w14:paraId="3F5C92C9" w14:textId="77777777" w:rsidR="00CA7C31" w:rsidRPr="00732D9A" w:rsidRDefault="00CA7C31">
            <w:pPr>
              <w:jc w:val="center"/>
              <w:rPr>
                <w:noProof/>
                <w:sz w:val="18"/>
              </w:rPr>
            </w:pPr>
            <w:r w:rsidRPr="00732D9A">
              <w:rPr>
                <w:noProof/>
                <w:sz w:val="18"/>
              </w:rPr>
              <w:t>de pays AELE</w:t>
            </w:r>
          </w:p>
        </w:tc>
        <w:tc>
          <w:tcPr>
            <w:tcW w:w="512" w:type="pct"/>
            <w:vAlign w:val="center"/>
          </w:tcPr>
          <w:p w14:paraId="5D780867" w14:textId="77777777" w:rsidR="00CA7C31" w:rsidRPr="00732D9A" w:rsidRDefault="00CA7C31">
            <w:pPr>
              <w:jc w:val="center"/>
              <w:rPr>
                <w:noProof/>
                <w:sz w:val="18"/>
              </w:rPr>
            </w:pPr>
            <w:r w:rsidRPr="00732D9A">
              <w:rPr>
                <w:noProof/>
                <w:sz w:val="18"/>
              </w:rPr>
              <w:t>de pays candidats et pays candidats potentiels</w:t>
            </w:r>
          </w:p>
        </w:tc>
        <w:tc>
          <w:tcPr>
            <w:tcW w:w="453" w:type="pct"/>
            <w:vAlign w:val="center"/>
          </w:tcPr>
          <w:p w14:paraId="60E73A06" w14:textId="77777777" w:rsidR="00CA7C31" w:rsidRPr="00732D9A" w:rsidRDefault="00CA7C31">
            <w:pPr>
              <w:jc w:val="center"/>
              <w:rPr>
                <w:noProof/>
                <w:sz w:val="18"/>
              </w:rPr>
            </w:pPr>
            <w:r w:rsidRPr="00732D9A">
              <w:rPr>
                <w:noProof/>
                <w:sz w:val="18"/>
              </w:rPr>
              <w:t>d’autres pays tiers</w:t>
            </w:r>
          </w:p>
        </w:tc>
        <w:tc>
          <w:tcPr>
            <w:tcW w:w="683" w:type="pct"/>
            <w:vAlign w:val="center"/>
          </w:tcPr>
          <w:p w14:paraId="21A9D385" w14:textId="77777777" w:rsidR="00CA7C31" w:rsidRPr="00732D9A" w:rsidRDefault="00CA7C31">
            <w:pPr>
              <w:jc w:val="center"/>
              <w:rPr>
                <w:noProof/>
              </w:rPr>
            </w:pPr>
            <w:r w:rsidRPr="00732D9A">
              <w:rPr>
                <w:noProof/>
                <w:sz w:val="18"/>
              </w:rPr>
              <w:t xml:space="preserve">autres recettes affectées </w:t>
            </w:r>
          </w:p>
        </w:tc>
      </w:tr>
      <w:tr w:rsidR="00CA7C31" w:rsidRPr="00732D9A" w14:paraId="66DFD2A0" w14:textId="77777777" w:rsidTr="00B41503">
        <w:trPr>
          <w:cantSplit/>
          <w:jc w:val="center"/>
        </w:trPr>
        <w:tc>
          <w:tcPr>
            <w:tcW w:w="593" w:type="pct"/>
            <w:vAlign w:val="center"/>
          </w:tcPr>
          <w:p w14:paraId="0C73699E" w14:textId="77777777" w:rsidR="00CA7C31" w:rsidRPr="00732D9A" w:rsidRDefault="00CA7C31">
            <w:pPr>
              <w:jc w:val="center"/>
              <w:rPr>
                <w:noProof/>
                <w:color w:val="0000FF"/>
              </w:rPr>
            </w:pPr>
          </w:p>
        </w:tc>
        <w:tc>
          <w:tcPr>
            <w:tcW w:w="1794" w:type="pct"/>
            <w:vAlign w:val="center"/>
          </w:tcPr>
          <w:p w14:paraId="42A781C1" w14:textId="77777777" w:rsidR="00CA7C31" w:rsidRPr="00732D9A" w:rsidRDefault="00CA7C31">
            <w:pPr>
              <w:spacing w:before="60"/>
              <w:rPr>
                <w:noProof/>
              </w:rPr>
            </w:pPr>
            <w:r w:rsidRPr="00732D9A">
              <w:rPr>
                <w:noProof/>
                <w:sz w:val="20"/>
              </w:rPr>
              <w:t>s.o.</w:t>
            </w:r>
          </w:p>
        </w:tc>
        <w:tc>
          <w:tcPr>
            <w:tcW w:w="512" w:type="pct"/>
            <w:vAlign w:val="center"/>
          </w:tcPr>
          <w:p w14:paraId="2F299B29" w14:textId="77777777" w:rsidR="00CA7C31" w:rsidRPr="00732D9A" w:rsidRDefault="00CA7C31">
            <w:pPr>
              <w:jc w:val="center"/>
              <w:rPr>
                <w:noProof/>
                <w:color w:val="0000FF"/>
              </w:rPr>
            </w:pPr>
          </w:p>
        </w:tc>
        <w:tc>
          <w:tcPr>
            <w:tcW w:w="453" w:type="pct"/>
            <w:vAlign w:val="center"/>
          </w:tcPr>
          <w:p w14:paraId="6A3249C3" w14:textId="77777777" w:rsidR="00CA7C31" w:rsidRPr="00732D9A" w:rsidRDefault="00CA7C31">
            <w:pPr>
              <w:jc w:val="center"/>
              <w:rPr>
                <w:noProof/>
                <w:sz w:val="20"/>
                <w:szCs w:val="20"/>
              </w:rPr>
            </w:pPr>
          </w:p>
        </w:tc>
        <w:tc>
          <w:tcPr>
            <w:tcW w:w="512" w:type="pct"/>
            <w:vAlign w:val="center"/>
          </w:tcPr>
          <w:p w14:paraId="26449DD3" w14:textId="77777777" w:rsidR="00CA7C31" w:rsidRPr="00732D9A" w:rsidRDefault="00CA7C31">
            <w:pPr>
              <w:jc w:val="center"/>
              <w:rPr>
                <w:noProof/>
                <w:sz w:val="20"/>
                <w:szCs w:val="20"/>
              </w:rPr>
            </w:pPr>
          </w:p>
        </w:tc>
        <w:tc>
          <w:tcPr>
            <w:tcW w:w="453" w:type="pct"/>
            <w:vAlign w:val="center"/>
          </w:tcPr>
          <w:p w14:paraId="31677547" w14:textId="77777777" w:rsidR="00CA7C31" w:rsidRPr="00732D9A" w:rsidRDefault="00CA7C31">
            <w:pPr>
              <w:jc w:val="center"/>
              <w:rPr>
                <w:noProof/>
                <w:sz w:val="20"/>
                <w:szCs w:val="20"/>
              </w:rPr>
            </w:pPr>
          </w:p>
        </w:tc>
        <w:tc>
          <w:tcPr>
            <w:tcW w:w="683" w:type="pct"/>
            <w:vAlign w:val="center"/>
          </w:tcPr>
          <w:p w14:paraId="690B0586" w14:textId="77777777" w:rsidR="00CA7C31" w:rsidRPr="00732D9A" w:rsidRDefault="00CA7C31">
            <w:pPr>
              <w:jc w:val="center"/>
              <w:rPr>
                <w:noProof/>
                <w:sz w:val="20"/>
                <w:szCs w:val="20"/>
              </w:rPr>
            </w:pPr>
          </w:p>
        </w:tc>
      </w:tr>
    </w:tbl>
    <w:p w14:paraId="33A02203" w14:textId="77777777" w:rsidR="00CA7C31" w:rsidRPr="00732D9A" w:rsidRDefault="00CA7C31" w:rsidP="00CA7C31">
      <w:pPr>
        <w:rPr>
          <w:noProof/>
        </w:rPr>
        <w:sectPr w:rsidR="00CA7C31" w:rsidRPr="00732D9A" w:rsidSect="0017255A">
          <w:pgSz w:w="11907" w:h="16840" w:code="1"/>
          <w:pgMar w:top="1134" w:right="1418" w:bottom="1134" w:left="1418" w:header="709" w:footer="709" w:gutter="0"/>
          <w:cols w:space="708"/>
          <w:docGrid w:linePitch="360"/>
        </w:sectPr>
      </w:pPr>
    </w:p>
    <w:p w14:paraId="2145976C" w14:textId="77777777" w:rsidR="00CA7C31" w:rsidRPr="00732D9A" w:rsidRDefault="00CA7C31" w:rsidP="00CA7C31">
      <w:pPr>
        <w:pStyle w:val="ManualHeading2"/>
        <w:rPr>
          <w:bCs/>
          <w:noProof/>
          <w:szCs w:val="24"/>
        </w:rPr>
      </w:pPr>
      <w:r w:rsidRPr="00732D9A">
        <w:rPr>
          <w:noProof/>
        </w:rPr>
        <w:t>3.2.</w:t>
      </w:r>
      <w:r w:rsidRPr="00732D9A">
        <w:rPr>
          <w:noProof/>
        </w:rPr>
        <w:tab/>
        <w:t xml:space="preserve">Incidence financière estimée de la proposition sur les crédits </w:t>
      </w:r>
    </w:p>
    <w:p w14:paraId="05CEC4E8" w14:textId="77777777" w:rsidR="00CA7C31" w:rsidRPr="00732D9A" w:rsidRDefault="00CA7C31" w:rsidP="00CA7C31">
      <w:pPr>
        <w:pStyle w:val="ManualHeading3"/>
        <w:rPr>
          <w:noProof/>
        </w:rPr>
      </w:pPr>
      <w:r w:rsidRPr="00732D9A">
        <w:rPr>
          <w:noProof/>
        </w:rPr>
        <w:t>3.2.1.</w:t>
      </w:r>
      <w:r w:rsidRPr="00732D9A">
        <w:rPr>
          <w:noProof/>
        </w:rPr>
        <w:tab/>
        <w:t xml:space="preserve">Synthèse de l’incidence estimée sur les crédits opérationnels </w:t>
      </w:r>
    </w:p>
    <w:p w14:paraId="6864B45F" w14:textId="77777777" w:rsidR="00CA7C31" w:rsidRPr="00732D9A" w:rsidRDefault="00A80D28" w:rsidP="00CA7C31">
      <w:pPr>
        <w:pStyle w:val="ListDash1"/>
        <w:ind w:left="1134" w:hanging="283"/>
        <w:rPr>
          <w:noProof/>
        </w:rPr>
      </w:pPr>
      <w:r w:rsidRPr="00732D9A">
        <w:rPr>
          <w:rFonts w:ascii="Wingdings" w:hAnsi="Wingdings"/>
          <w:noProof/>
        </w:rPr>
        <w:t></w:t>
      </w:r>
      <w:r w:rsidRPr="00732D9A">
        <w:rPr>
          <w:noProof/>
        </w:rPr>
        <w:tab/>
        <w:t xml:space="preserve">La proposition/l’initiative n’engendre pas l’utilisation de crédits opérationnels </w:t>
      </w:r>
    </w:p>
    <w:p w14:paraId="7A689446" w14:textId="77777777" w:rsidR="00CA7C31" w:rsidRPr="00732D9A" w:rsidRDefault="00A80D28" w:rsidP="00CA7C31">
      <w:pPr>
        <w:pStyle w:val="ListDash1"/>
        <w:ind w:left="1134" w:hanging="283"/>
        <w:rPr>
          <w:noProof/>
        </w:rPr>
      </w:pPr>
      <w:r w:rsidRPr="00732D9A">
        <w:rPr>
          <w:rFonts w:ascii="Wingdings" w:hAnsi="Wingdings"/>
          <w:noProof/>
        </w:rPr>
        <w:t></w:t>
      </w:r>
      <w:r w:rsidRPr="00732D9A">
        <w:rPr>
          <w:noProof/>
        </w:rPr>
        <w:tab/>
        <w:t>La proposition/l’initiative engendre l’utilisation de crédits opérationnels, comme expliqué ci-après</w:t>
      </w:r>
    </w:p>
    <w:p w14:paraId="190D33A0" w14:textId="77777777" w:rsidR="00CA7C31" w:rsidRPr="00732D9A" w:rsidRDefault="00CA7C31" w:rsidP="00CA7C31">
      <w:pPr>
        <w:pStyle w:val="ManualHeading3"/>
        <w:rPr>
          <w:noProof/>
        </w:rPr>
      </w:pPr>
      <w:r w:rsidRPr="00732D9A">
        <w:rPr>
          <w:noProof/>
        </w:rPr>
        <w:t>3.2.1.1.</w:t>
      </w:r>
      <w:r w:rsidRPr="00732D9A">
        <w:rPr>
          <w:noProof/>
        </w:rPr>
        <w:tab/>
        <w:t>Crédits issus du budget voté</w:t>
      </w:r>
    </w:p>
    <w:p w14:paraId="2A822DB5" w14:textId="77777777" w:rsidR="00CA7C31" w:rsidRPr="00732D9A" w:rsidRDefault="00CA7C31" w:rsidP="00CA7C31">
      <w:pPr>
        <w:jc w:val="right"/>
        <w:rPr>
          <w:noProof/>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732D9A" w14:paraId="263DD07B" w14:textId="77777777">
        <w:tc>
          <w:tcPr>
            <w:tcW w:w="1739" w:type="pct"/>
            <w:shd w:val="thinDiagStripe" w:color="C0C0C0" w:fill="auto"/>
            <w:vAlign w:val="center"/>
          </w:tcPr>
          <w:p w14:paraId="5F205583" w14:textId="77777777" w:rsidR="00CA7C31" w:rsidRPr="00732D9A" w:rsidRDefault="00CA7C31">
            <w:pPr>
              <w:spacing w:before="60" w:after="60"/>
              <w:jc w:val="center"/>
              <w:rPr>
                <w:b/>
                <w:noProof/>
              </w:rPr>
            </w:pPr>
            <w:r w:rsidRPr="00732D9A">
              <w:rPr>
                <w:b/>
                <w:noProof/>
                <w:sz w:val="22"/>
              </w:rPr>
              <w:t xml:space="preserve">Rubrique du cadre financier pluriannuel </w:t>
            </w:r>
          </w:p>
        </w:tc>
        <w:tc>
          <w:tcPr>
            <w:tcW w:w="396" w:type="pct"/>
            <w:vAlign w:val="center"/>
          </w:tcPr>
          <w:p w14:paraId="767D7DD8" w14:textId="77777777" w:rsidR="00CA7C31" w:rsidRPr="00732D9A" w:rsidRDefault="00FF3B15">
            <w:pPr>
              <w:spacing w:before="60" w:after="60"/>
              <w:jc w:val="center"/>
              <w:rPr>
                <w:noProof/>
              </w:rPr>
            </w:pPr>
            <w:r w:rsidRPr="00732D9A">
              <w:rPr>
                <w:noProof/>
                <w:sz w:val="22"/>
              </w:rPr>
              <w:t>1</w:t>
            </w:r>
          </w:p>
        </w:tc>
        <w:tc>
          <w:tcPr>
            <w:tcW w:w="2865" w:type="pct"/>
            <w:vAlign w:val="center"/>
          </w:tcPr>
          <w:p w14:paraId="4751BFF4" w14:textId="77777777" w:rsidR="00CA7C31" w:rsidRPr="00732D9A" w:rsidRDefault="00FF3B15">
            <w:pPr>
              <w:spacing w:before="60" w:after="60"/>
              <w:rPr>
                <w:noProof/>
              </w:rPr>
            </w:pPr>
            <w:r w:rsidRPr="00732D9A">
              <w:rPr>
                <w:noProof/>
                <w:sz w:val="22"/>
              </w:rPr>
              <w:t>«Marché unique, innovation et numérique»</w:t>
            </w:r>
          </w:p>
        </w:tc>
      </w:tr>
    </w:tbl>
    <w:p w14:paraId="2C73B42F" w14:textId="3E0D78F0" w:rsidR="00D630EC" w:rsidRPr="00732D9A" w:rsidRDefault="00D630EC" w:rsidP="00D630EC">
      <w:pPr>
        <w:jc w:val="right"/>
        <w:rPr>
          <w:noProof/>
          <w:sz w:val="20"/>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608"/>
        <w:gridCol w:w="1345"/>
        <w:gridCol w:w="1263"/>
        <w:gridCol w:w="1263"/>
        <w:gridCol w:w="1263"/>
        <w:gridCol w:w="1263"/>
        <w:gridCol w:w="1214"/>
        <w:gridCol w:w="1502"/>
        <w:gridCol w:w="1499"/>
      </w:tblGrid>
      <w:tr w:rsidR="007D345D" w:rsidRPr="00732D9A" w14:paraId="6EB1D2FF" w14:textId="77777777" w:rsidTr="00963B95">
        <w:trPr>
          <w:trHeight w:val="420"/>
        </w:trPr>
        <w:tc>
          <w:tcPr>
            <w:tcW w:w="2186" w:type="pct"/>
            <w:gridSpan w:val="3"/>
            <w:vMerge w:val="restart"/>
            <w:tcBorders>
              <w:top w:val="single" w:sz="8" w:space="0" w:color="auto"/>
              <w:left w:val="single" w:sz="8" w:space="0" w:color="auto"/>
              <w:bottom w:val="single" w:sz="8" w:space="0" w:color="auto"/>
              <w:right w:val="single" w:sz="8" w:space="0" w:color="auto"/>
            </w:tcBorders>
            <w:vAlign w:val="center"/>
          </w:tcPr>
          <w:p w14:paraId="6DD43D12" w14:textId="77777777" w:rsidR="00577B55" w:rsidRPr="00732D9A" w:rsidRDefault="00577B55" w:rsidP="00577B55">
            <w:pPr>
              <w:spacing w:before="0" w:after="0"/>
              <w:jc w:val="center"/>
              <w:rPr>
                <w:noProof/>
                <w:color w:val="000000"/>
                <w:sz w:val="22"/>
              </w:rPr>
            </w:pPr>
            <w:r w:rsidRPr="00732D9A">
              <w:rPr>
                <w:noProof/>
                <w:color w:val="000000"/>
                <w:sz w:val="22"/>
              </w:rPr>
              <w:t>DG: GROW</w:t>
            </w:r>
          </w:p>
        </w:tc>
        <w:tc>
          <w:tcPr>
            <w:tcW w:w="444" w:type="pct"/>
            <w:tcBorders>
              <w:top w:val="single" w:sz="8" w:space="0" w:color="auto"/>
              <w:left w:val="nil"/>
              <w:bottom w:val="single" w:sz="8" w:space="0" w:color="auto"/>
              <w:right w:val="single" w:sz="8" w:space="0" w:color="auto"/>
            </w:tcBorders>
            <w:vAlign w:val="center"/>
          </w:tcPr>
          <w:p w14:paraId="0237DF1E" w14:textId="77777777" w:rsidR="00577B55" w:rsidRPr="00732D9A" w:rsidRDefault="00577B55" w:rsidP="00577B55">
            <w:pPr>
              <w:spacing w:before="0" w:after="0"/>
              <w:jc w:val="center"/>
              <w:rPr>
                <w:noProof/>
                <w:color w:val="000000"/>
                <w:sz w:val="20"/>
                <w:szCs w:val="20"/>
              </w:rPr>
            </w:pPr>
            <w:r w:rsidRPr="00732D9A">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tcPr>
          <w:p w14:paraId="347733E0" w14:textId="77777777" w:rsidR="00577B55" w:rsidRPr="00732D9A" w:rsidRDefault="00577B55" w:rsidP="00577B55">
            <w:pPr>
              <w:spacing w:before="0" w:after="0"/>
              <w:jc w:val="center"/>
              <w:rPr>
                <w:noProof/>
                <w:color w:val="000000"/>
                <w:sz w:val="20"/>
                <w:szCs w:val="20"/>
              </w:rPr>
            </w:pPr>
            <w:r w:rsidRPr="00732D9A">
              <w:rPr>
                <w:noProof/>
                <w:color w:val="000000"/>
                <w:sz w:val="20"/>
              </w:rPr>
              <w:t>Année</w:t>
            </w:r>
          </w:p>
        </w:tc>
        <w:tc>
          <w:tcPr>
            <w:tcW w:w="444" w:type="pct"/>
            <w:tcBorders>
              <w:top w:val="single" w:sz="8" w:space="0" w:color="auto"/>
              <w:left w:val="nil"/>
              <w:bottom w:val="single" w:sz="8" w:space="0" w:color="auto"/>
              <w:right w:val="single" w:sz="8" w:space="0" w:color="auto"/>
            </w:tcBorders>
            <w:vAlign w:val="center"/>
          </w:tcPr>
          <w:p w14:paraId="5C0DF822" w14:textId="77777777" w:rsidR="00577B55" w:rsidRPr="00732D9A" w:rsidRDefault="00577B55" w:rsidP="00577B55">
            <w:pPr>
              <w:spacing w:before="0" w:after="0"/>
              <w:jc w:val="center"/>
              <w:rPr>
                <w:noProof/>
                <w:color w:val="000000"/>
                <w:sz w:val="20"/>
                <w:szCs w:val="20"/>
              </w:rPr>
            </w:pPr>
            <w:r w:rsidRPr="00732D9A">
              <w:rPr>
                <w:noProof/>
                <w:color w:val="000000"/>
                <w:sz w:val="20"/>
              </w:rPr>
              <w:t>Année</w:t>
            </w:r>
          </w:p>
        </w:tc>
        <w:tc>
          <w:tcPr>
            <w:tcW w:w="427" w:type="pct"/>
            <w:tcBorders>
              <w:top w:val="single" w:sz="8" w:space="0" w:color="auto"/>
              <w:left w:val="nil"/>
              <w:bottom w:val="single" w:sz="8" w:space="0" w:color="auto"/>
              <w:right w:val="single" w:sz="4" w:space="0" w:color="auto"/>
            </w:tcBorders>
            <w:vAlign w:val="center"/>
          </w:tcPr>
          <w:p w14:paraId="1EF52671" w14:textId="77777777" w:rsidR="00577B55" w:rsidRPr="00732D9A" w:rsidRDefault="00577B55" w:rsidP="00577B55">
            <w:pPr>
              <w:spacing w:before="0" w:after="0"/>
              <w:jc w:val="center"/>
              <w:rPr>
                <w:noProof/>
                <w:color w:val="000000"/>
                <w:sz w:val="20"/>
                <w:szCs w:val="20"/>
              </w:rPr>
            </w:pPr>
            <w:r w:rsidRPr="00732D9A">
              <w:rPr>
                <w:noProof/>
                <w:color w:val="000000"/>
                <w:sz w:val="20"/>
              </w:rPr>
              <w:t>Année</w:t>
            </w:r>
          </w:p>
        </w:tc>
        <w:tc>
          <w:tcPr>
            <w:tcW w:w="528" w:type="pct"/>
            <w:vMerge w:val="restart"/>
            <w:tcBorders>
              <w:top w:val="single" w:sz="8" w:space="0" w:color="auto"/>
              <w:left w:val="single" w:sz="4" w:space="0" w:color="auto"/>
              <w:bottom w:val="single" w:sz="8" w:space="0" w:color="auto"/>
              <w:right w:val="single" w:sz="8" w:space="0" w:color="auto"/>
            </w:tcBorders>
            <w:vAlign w:val="center"/>
          </w:tcPr>
          <w:p w14:paraId="3DD07AB8" w14:textId="77777777" w:rsidR="00577B55" w:rsidRPr="00732D9A" w:rsidRDefault="00577B55" w:rsidP="00D76136">
            <w:pPr>
              <w:spacing w:before="0" w:after="0"/>
              <w:jc w:val="center"/>
              <w:rPr>
                <w:b/>
                <w:noProof/>
                <w:color w:val="000000"/>
                <w:sz w:val="20"/>
                <w:szCs w:val="20"/>
              </w:rPr>
            </w:pPr>
            <w:r w:rsidRPr="00732D9A">
              <w:rPr>
                <w:b/>
                <w:noProof/>
                <w:color w:val="000000"/>
                <w:sz w:val="20"/>
              </w:rPr>
              <w:t>TOTAL CFP 2021-2027</w:t>
            </w:r>
          </w:p>
        </w:tc>
        <w:tc>
          <w:tcPr>
            <w:tcW w:w="527" w:type="pct"/>
            <w:vMerge w:val="restart"/>
            <w:tcBorders>
              <w:top w:val="single" w:sz="8" w:space="0" w:color="auto"/>
              <w:left w:val="single" w:sz="8" w:space="0" w:color="auto"/>
              <w:right w:val="single" w:sz="8" w:space="0" w:color="auto"/>
            </w:tcBorders>
            <w:vAlign w:val="center"/>
          </w:tcPr>
          <w:p w14:paraId="0200AB21" w14:textId="77777777" w:rsidR="00577B55" w:rsidRPr="00732D9A" w:rsidRDefault="00577B55" w:rsidP="00D76136">
            <w:pPr>
              <w:spacing w:before="0" w:after="0"/>
              <w:jc w:val="center"/>
              <w:rPr>
                <w:b/>
                <w:noProof/>
                <w:color w:val="000000"/>
                <w:sz w:val="20"/>
                <w:szCs w:val="20"/>
              </w:rPr>
            </w:pPr>
            <w:r w:rsidRPr="00732D9A">
              <w:rPr>
                <w:b/>
                <w:noProof/>
                <w:color w:val="000000"/>
                <w:sz w:val="20"/>
              </w:rPr>
              <w:t>TOTAL CFP 2028-2034</w:t>
            </w:r>
            <w:r w:rsidRPr="00732D9A">
              <w:rPr>
                <w:rStyle w:val="FootnoteReference"/>
                <w:b/>
                <w:noProof/>
                <w:color w:val="000000"/>
                <w:sz w:val="20"/>
                <w:szCs w:val="20"/>
                <w:lang w:eastAsia="en-IE"/>
              </w:rPr>
              <w:footnoteReference w:id="73"/>
            </w:r>
          </w:p>
        </w:tc>
      </w:tr>
      <w:tr w:rsidR="00577B55" w:rsidRPr="00732D9A" w14:paraId="589C9E4C" w14:textId="77777777" w:rsidTr="00963B95">
        <w:trPr>
          <w:trHeight w:val="288"/>
        </w:trPr>
        <w:tc>
          <w:tcPr>
            <w:tcW w:w="2186" w:type="pct"/>
            <w:gridSpan w:val="3"/>
            <w:vMerge/>
            <w:tcBorders>
              <w:right w:val="single" w:sz="4" w:space="0" w:color="auto"/>
            </w:tcBorders>
            <w:vAlign w:val="center"/>
          </w:tcPr>
          <w:p w14:paraId="36F881D1" w14:textId="77777777" w:rsidR="00577B55" w:rsidRPr="00732D9A" w:rsidRDefault="00577B55" w:rsidP="00577B55">
            <w:pPr>
              <w:spacing w:before="0" w:after="0"/>
              <w:jc w:val="left"/>
              <w:rPr>
                <w:noProof/>
                <w:color w:val="000000"/>
                <w:sz w:val="22"/>
                <w:lang w:eastAsia="en-IE"/>
              </w:rPr>
            </w:pPr>
          </w:p>
        </w:tc>
        <w:tc>
          <w:tcPr>
            <w:tcW w:w="444" w:type="pct"/>
            <w:tcBorders>
              <w:top w:val="single" w:sz="8" w:space="0" w:color="auto"/>
              <w:left w:val="single" w:sz="4" w:space="0" w:color="auto"/>
              <w:bottom w:val="single" w:sz="8" w:space="0" w:color="auto"/>
              <w:right w:val="single" w:sz="8" w:space="0" w:color="auto"/>
            </w:tcBorders>
            <w:vAlign w:val="center"/>
          </w:tcPr>
          <w:p w14:paraId="7698FF2C" w14:textId="77777777" w:rsidR="00577B55" w:rsidRPr="00732D9A" w:rsidRDefault="00577B55" w:rsidP="00577B55">
            <w:pPr>
              <w:spacing w:before="0" w:after="0"/>
              <w:jc w:val="center"/>
              <w:rPr>
                <w:b/>
                <w:noProof/>
                <w:color w:val="000000"/>
                <w:sz w:val="20"/>
                <w:szCs w:val="20"/>
              </w:rPr>
            </w:pPr>
            <w:r w:rsidRPr="00732D9A">
              <w:rPr>
                <w:b/>
                <w:noProof/>
                <w:color w:val="000000"/>
                <w:sz w:val="20"/>
              </w:rPr>
              <w:t>2024</w:t>
            </w:r>
          </w:p>
        </w:tc>
        <w:tc>
          <w:tcPr>
            <w:tcW w:w="444" w:type="pct"/>
            <w:tcBorders>
              <w:top w:val="nil"/>
              <w:left w:val="nil"/>
              <w:bottom w:val="single" w:sz="8" w:space="0" w:color="auto"/>
              <w:right w:val="single" w:sz="8" w:space="0" w:color="auto"/>
            </w:tcBorders>
            <w:vAlign w:val="center"/>
          </w:tcPr>
          <w:p w14:paraId="6682296D" w14:textId="77777777" w:rsidR="00577B55" w:rsidRPr="00732D9A" w:rsidRDefault="00577B55" w:rsidP="00577B55">
            <w:pPr>
              <w:spacing w:before="0" w:after="0"/>
              <w:jc w:val="center"/>
              <w:rPr>
                <w:b/>
                <w:noProof/>
                <w:color w:val="000000"/>
                <w:sz w:val="20"/>
                <w:szCs w:val="20"/>
              </w:rPr>
            </w:pPr>
            <w:r w:rsidRPr="00732D9A">
              <w:rPr>
                <w:b/>
                <w:noProof/>
                <w:color w:val="000000"/>
                <w:sz w:val="20"/>
              </w:rPr>
              <w:t>2025</w:t>
            </w:r>
          </w:p>
        </w:tc>
        <w:tc>
          <w:tcPr>
            <w:tcW w:w="444" w:type="pct"/>
            <w:tcBorders>
              <w:top w:val="nil"/>
              <w:left w:val="nil"/>
              <w:bottom w:val="single" w:sz="8" w:space="0" w:color="auto"/>
              <w:right w:val="single" w:sz="8" w:space="0" w:color="auto"/>
            </w:tcBorders>
            <w:vAlign w:val="center"/>
          </w:tcPr>
          <w:p w14:paraId="2A7C30E9" w14:textId="77777777" w:rsidR="00577B55" w:rsidRPr="00732D9A" w:rsidRDefault="00577B55" w:rsidP="00577B55">
            <w:pPr>
              <w:spacing w:before="0" w:after="0"/>
              <w:jc w:val="center"/>
              <w:rPr>
                <w:b/>
                <w:noProof/>
                <w:color w:val="000000"/>
                <w:sz w:val="20"/>
                <w:szCs w:val="20"/>
              </w:rPr>
            </w:pPr>
            <w:r w:rsidRPr="00732D9A">
              <w:rPr>
                <w:b/>
                <w:noProof/>
                <w:color w:val="000000"/>
                <w:sz w:val="20"/>
              </w:rPr>
              <w:t>2026</w:t>
            </w:r>
          </w:p>
        </w:tc>
        <w:tc>
          <w:tcPr>
            <w:tcW w:w="427" w:type="pct"/>
            <w:tcBorders>
              <w:top w:val="nil"/>
              <w:left w:val="nil"/>
              <w:bottom w:val="single" w:sz="8" w:space="0" w:color="auto"/>
              <w:right w:val="single" w:sz="4" w:space="0" w:color="auto"/>
            </w:tcBorders>
            <w:vAlign w:val="center"/>
          </w:tcPr>
          <w:p w14:paraId="796D2D36" w14:textId="77777777" w:rsidR="00577B55" w:rsidRPr="00732D9A" w:rsidRDefault="00577B55" w:rsidP="00577B55">
            <w:pPr>
              <w:spacing w:before="0" w:after="0"/>
              <w:jc w:val="center"/>
              <w:rPr>
                <w:b/>
                <w:noProof/>
                <w:color w:val="000000"/>
                <w:sz w:val="20"/>
                <w:szCs w:val="20"/>
              </w:rPr>
            </w:pPr>
            <w:r w:rsidRPr="00732D9A">
              <w:rPr>
                <w:b/>
                <w:noProof/>
                <w:color w:val="000000"/>
                <w:sz w:val="20"/>
              </w:rPr>
              <w:t>2027</w:t>
            </w:r>
          </w:p>
        </w:tc>
        <w:tc>
          <w:tcPr>
            <w:tcW w:w="528" w:type="pct"/>
            <w:vMerge/>
            <w:tcBorders>
              <w:top w:val="single" w:sz="8" w:space="0" w:color="auto"/>
              <w:left w:val="single" w:sz="4" w:space="0" w:color="auto"/>
              <w:right w:val="single" w:sz="8" w:space="0" w:color="auto"/>
            </w:tcBorders>
            <w:vAlign w:val="center"/>
          </w:tcPr>
          <w:p w14:paraId="6C6C7743" w14:textId="77777777" w:rsidR="00577B55" w:rsidRPr="00732D9A" w:rsidRDefault="00577B55" w:rsidP="00577B55">
            <w:pPr>
              <w:spacing w:before="0" w:after="0"/>
              <w:jc w:val="left"/>
              <w:rPr>
                <w:b/>
                <w:noProof/>
                <w:color w:val="000000"/>
                <w:sz w:val="20"/>
                <w:szCs w:val="20"/>
                <w:lang w:eastAsia="en-IE"/>
              </w:rPr>
            </w:pPr>
          </w:p>
        </w:tc>
        <w:tc>
          <w:tcPr>
            <w:tcW w:w="527" w:type="pct"/>
            <w:vMerge/>
            <w:tcBorders>
              <w:top w:val="single" w:sz="8" w:space="0" w:color="auto"/>
              <w:left w:val="single" w:sz="8" w:space="0" w:color="auto"/>
              <w:right w:val="single" w:sz="8" w:space="0" w:color="auto"/>
            </w:tcBorders>
          </w:tcPr>
          <w:p w14:paraId="18282EEB" w14:textId="77777777" w:rsidR="00577B55" w:rsidRPr="00732D9A" w:rsidRDefault="00577B55" w:rsidP="00577B55">
            <w:pPr>
              <w:spacing w:before="0" w:after="0"/>
              <w:jc w:val="left"/>
              <w:rPr>
                <w:b/>
                <w:noProof/>
                <w:color w:val="000000"/>
                <w:sz w:val="20"/>
                <w:szCs w:val="20"/>
                <w:lang w:eastAsia="en-IE"/>
              </w:rPr>
            </w:pPr>
          </w:p>
        </w:tc>
      </w:tr>
      <w:tr w:rsidR="00577B55" w:rsidRPr="00732D9A" w14:paraId="251BFBF9" w14:textId="77777777" w:rsidTr="00577B55">
        <w:trPr>
          <w:trHeight w:val="300"/>
        </w:trPr>
        <w:tc>
          <w:tcPr>
            <w:tcW w:w="5000" w:type="pct"/>
            <w:gridSpan w:val="9"/>
            <w:tcBorders>
              <w:top w:val="single" w:sz="8" w:space="0" w:color="auto"/>
              <w:left w:val="single" w:sz="8" w:space="0" w:color="auto"/>
              <w:bottom w:val="single" w:sz="8" w:space="0" w:color="auto"/>
              <w:right w:val="single" w:sz="8" w:space="0" w:color="auto"/>
            </w:tcBorders>
            <w:vAlign w:val="center"/>
          </w:tcPr>
          <w:p w14:paraId="0B71BAE8" w14:textId="77777777" w:rsidR="00577B55" w:rsidRPr="00732D9A" w:rsidRDefault="00577B55" w:rsidP="00577B55">
            <w:pPr>
              <w:spacing w:before="0" w:after="0"/>
              <w:jc w:val="left"/>
              <w:rPr>
                <w:noProof/>
                <w:color w:val="000000"/>
                <w:sz w:val="21"/>
                <w:szCs w:val="21"/>
              </w:rPr>
            </w:pPr>
            <w:r w:rsidRPr="00732D9A">
              <w:rPr>
                <w:noProof/>
                <w:color w:val="000000"/>
                <w:sz w:val="21"/>
              </w:rPr>
              <w:t xml:space="preserve">Crédits opérationnels </w:t>
            </w:r>
          </w:p>
        </w:tc>
      </w:tr>
      <w:tr w:rsidR="00CC40F3" w:rsidRPr="00732D9A" w14:paraId="7EAE7846" w14:textId="77777777" w:rsidTr="00A86410">
        <w:trPr>
          <w:trHeight w:val="288"/>
        </w:trPr>
        <w:tc>
          <w:tcPr>
            <w:tcW w:w="1269" w:type="pct"/>
            <w:vMerge w:val="restart"/>
            <w:tcBorders>
              <w:top w:val="single" w:sz="4" w:space="0" w:color="auto"/>
              <w:left w:val="single" w:sz="4" w:space="0" w:color="auto"/>
              <w:bottom w:val="single" w:sz="4" w:space="0" w:color="auto"/>
              <w:right w:val="single" w:sz="4" w:space="0" w:color="auto"/>
            </w:tcBorders>
            <w:noWrap/>
            <w:vAlign w:val="center"/>
          </w:tcPr>
          <w:p w14:paraId="3D9E40F2" w14:textId="77777777" w:rsidR="00CC40F3" w:rsidRPr="00732D9A" w:rsidRDefault="00CC40F3" w:rsidP="00CC40F3">
            <w:pPr>
              <w:spacing w:before="0" w:after="0"/>
              <w:jc w:val="left"/>
              <w:rPr>
                <w:noProof/>
                <w:color w:val="000000"/>
                <w:sz w:val="22"/>
              </w:rPr>
            </w:pPr>
            <w:r w:rsidRPr="00732D9A">
              <w:rPr>
                <w:noProof/>
                <w:color w:val="000000"/>
                <w:sz w:val="22"/>
              </w:rPr>
              <w:t>03 02 01 02</w:t>
            </w:r>
          </w:p>
        </w:tc>
        <w:tc>
          <w:tcPr>
            <w:tcW w:w="473" w:type="pct"/>
            <w:tcBorders>
              <w:top w:val="nil"/>
              <w:left w:val="single" w:sz="4" w:space="0" w:color="auto"/>
              <w:bottom w:val="single" w:sz="8" w:space="0" w:color="auto"/>
              <w:right w:val="single" w:sz="8" w:space="0" w:color="auto"/>
            </w:tcBorders>
            <w:vAlign w:val="center"/>
          </w:tcPr>
          <w:p w14:paraId="7B2E544F" w14:textId="77777777" w:rsidR="00CC40F3" w:rsidRPr="00732D9A" w:rsidRDefault="00CC40F3" w:rsidP="00CC40F3">
            <w:pPr>
              <w:spacing w:before="0" w:after="0"/>
              <w:rPr>
                <w:noProof/>
                <w:color w:val="000000"/>
                <w:sz w:val="18"/>
                <w:szCs w:val="18"/>
              </w:rPr>
            </w:pPr>
            <w:r w:rsidRPr="00732D9A">
              <w:rPr>
                <w:noProof/>
                <w:color w:val="000000"/>
                <w:sz w:val="18"/>
              </w:rPr>
              <w:t>Engagements</w:t>
            </w:r>
          </w:p>
        </w:tc>
        <w:tc>
          <w:tcPr>
            <w:tcW w:w="444" w:type="pct"/>
            <w:tcBorders>
              <w:top w:val="single" w:sz="8" w:space="0" w:color="auto"/>
              <w:left w:val="nil"/>
              <w:bottom w:val="single" w:sz="8" w:space="0" w:color="auto"/>
              <w:right w:val="single" w:sz="8" w:space="0" w:color="auto"/>
            </w:tcBorders>
            <w:vAlign w:val="center"/>
          </w:tcPr>
          <w:p w14:paraId="3B655715" w14:textId="77777777" w:rsidR="00CC40F3" w:rsidRPr="00732D9A" w:rsidRDefault="00CC40F3" w:rsidP="00CC40F3">
            <w:pPr>
              <w:spacing w:before="0" w:after="0"/>
              <w:jc w:val="center"/>
              <w:rPr>
                <w:noProof/>
                <w:color w:val="000000"/>
                <w:sz w:val="14"/>
                <w:szCs w:val="14"/>
              </w:rPr>
            </w:pPr>
            <w:r w:rsidRPr="00732D9A">
              <w:rPr>
                <w:noProof/>
                <w:color w:val="000000"/>
                <w:sz w:val="14"/>
              </w:rPr>
              <w:t>(1a)</w:t>
            </w:r>
          </w:p>
        </w:tc>
        <w:tc>
          <w:tcPr>
            <w:tcW w:w="444" w:type="pct"/>
            <w:tcBorders>
              <w:top w:val="nil"/>
              <w:left w:val="nil"/>
              <w:bottom w:val="single" w:sz="8" w:space="0" w:color="auto"/>
              <w:right w:val="single" w:sz="8" w:space="0" w:color="auto"/>
            </w:tcBorders>
            <w:vAlign w:val="center"/>
          </w:tcPr>
          <w:p w14:paraId="39CA8830"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44" w:type="pct"/>
            <w:tcBorders>
              <w:top w:val="nil"/>
              <w:left w:val="nil"/>
              <w:bottom w:val="single" w:sz="8" w:space="0" w:color="auto"/>
              <w:right w:val="single" w:sz="8" w:space="0" w:color="auto"/>
            </w:tcBorders>
            <w:vAlign w:val="center"/>
          </w:tcPr>
          <w:p w14:paraId="29D75ED3"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44" w:type="pct"/>
            <w:tcBorders>
              <w:top w:val="nil"/>
              <w:left w:val="nil"/>
              <w:bottom w:val="single" w:sz="8" w:space="0" w:color="auto"/>
              <w:right w:val="single" w:sz="8" w:space="0" w:color="auto"/>
            </w:tcBorders>
            <w:vAlign w:val="center"/>
          </w:tcPr>
          <w:p w14:paraId="465D7FC5"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27" w:type="pct"/>
            <w:tcBorders>
              <w:top w:val="nil"/>
              <w:left w:val="nil"/>
              <w:bottom w:val="single" w:sz="8" w:space="0" w:color="auto"/>
              <w:right w:val="single" w:sz="8" w:space="0" w:color="auto"/>
            </w:tcBorders>
            <w:vAlign w:val="center"/>
          </w:tcPr>
          <w:p w14:paraId="0BFB8E79" w14:textId="77777777" w:rsidR="00CC40F3" w:rsidRPr="00732D9A" w:rsidRDefault="00CC40F3" w:rsidP="00CC40F3">
            <w:pPr>
              <w:spacing w:before="0" w:after="0"/>
              <w:jc w:val="right"/>
              <w:rPr>
                <w:noProof/>
                <w:color w:val="000000"/>
                <w:sz w:val="20"/>
                <w:szCs w:val="20"/>
              </w:rPr>
            </w:pPr>
            <w:r w:rsidRPr="00732D9A">
              <w:rPr>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C956CA2" w14:textId="77777777" w:rsidR="00CC40F3" w:rsidRPr="00732D9A" w:rsidRDefault="00CC40F3" w:rsidP="00CC40F3">
            <w:pPr>
              <w:spacing w:before="0" w:after="0"/>
              <w:jc w:val="right"/>
              <w:rPr>
                <w:b/>
                <w:noProof/>
                <w:color w:val="000000"/>
                <w:sz w:val="20"/>
                <w:szCs w:val="20"/>
              </w:rPr>
            </w:pPr>
            <w:r w:rsidRPr="00732D9A">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1B7550EE" w14:textId="77777777" w:rsidR="00CC40F3" w:rsidRPr="00732D9A" w:rsidRDefault="00CC40F3" w:rsidP="00CC40F3">
            <w:pPr>
              <w:spacing w:before="0" w:after="0"/>
              <w:jc w:val="right"/>
              <w:rPr>
                <w:b/>
                <w:bCs/>
                <w:noProof/>
                <w:color w:val="000000"/>
                <w:sz w:val="20"/>
                <w:szCs w:val="20"/>
              </w:rPr>
            </w:pPr>
            <w:r w:rsidRPr="00732D9A">
              <w:rPr>
                <w:b/>
                <w:noProof/>
                <w:color w:val="000000"/>
                <w:sz w:val="20"/>
              </w:rPr>
              <w:t>0,140</w:t>
            </w:r>
          </w:p>
        </w:tc>
      </w:tr>
      <w:tr w:rsidR="00CC40F3" w:rsidRPr="00732D9A" w14:paraId="4E4CC716"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06491004" w14:textId="77777777" w:rsidR="00CC40F3" w:rsidRPr="00732D9A" w:rsidRDefault="00CC40F3" w:rsidP="00CC40F3">
            <w:pPr>
              <w:spacing w:before="0" w:after="0"/>
              <w:jc w:val="left"/>
              <w:rPr>
                <w:noProof/>
                <w:color w:val="000000"/>
                <w:sz w:val="22"/>
                <w:lang w:eastAsia="en-IE"/>
              </w:rPr>
            </w:pPr>
          </w:p>
        </w:tc>
        <w:tc>
          <w:tcPr>
            <w:tcW w:w="473" w:type="pct"/>
            <w:tcBorders>
              <w:top w:val="nil"/>
              <w:left w:val="single" w:sz="4" w:space="0" w:color="auto"/>
              <w:bottom w:val="single" w:sz="8" w:space="0" w:color="auto"/>
              <w:right w:val="single" w:sz="8" w:space="0" w:color="auto"/>
            </w:tcBorders>
            <w:vAlign w:val="center"/>
          </w:tcPr>
          <w:p w14:paraId="3BF82339" w14:textId="77777777" w:rsidR="00CC40F3" w:rsidRPr="00732D9A" w:rsidRDefault="00CC40F3" w:rsidP="00CC40F3">
            <w:pPr>
              <w:spacing w:before="0" w:after="0"/>
              <w:rPr>
                <w:noProof/>
                <w:color w:val="000000"/>
                <w:sz w:val="18"/>
                <w:szCs w:val="18"/>
              </w:rPr>
            </w:pPr>
            <w:r w:rsidRPr="00732D9A">
              <w:rPr>
                <w:noProof/>
                <w:color w:val="000000"/>
                <w:sz w:val="18"/>
              </w:rPr>
              <w:t>Paiements</w:t>
            </w:r>
          </w:p>
        </w:tc>
        <w:tc>
          <w:tcPr>
            <w:tcW w:w="444" w:type="pct"/>
            <w:tcBorders>
              <w:top w:val="single" w:sz="8" w:space="0" w:color="auto"/>
              <w:left w:val="nil"/>
              <w:bottom w:val="single" w:sz="8" w:space="0" w:color="auto"/>
              <w:right w:val="single" w:sz="8" w:space="0" w:color="auto"/>
            </w:tcBorders>
            <w:vAlign w:val="center"/>
          </w:tcPr>
          <w:p w14:paraId="396C1D45" w14:textId="77777777" w:rsidR="00CC40F3" w:rsidRPr="00732D9A" w:rsidRDefault="00CC40F3" w:rsidP="00CC40F3">
            <w:pPr>
              <w:spacing w:before="0" w:after="0"/>
              <w:jc w:val="center"/>
              <w:rPr>
                <w:noProof/>
                <w:color w:val="000000"/>
                <w:sz w:val="14"/>
                <w:szCs w:val="14"/>
              </w:rPr>
            </w:pPr>
            <w:r w:rsidRPr="00732D9A">
              <w:rPr>
                <w:noProof/>
                <w:color w:val="000000"/>
                <w:sz w:val="14"/>
              </w:rPr>
              <w:t>(2a)</w:t>
            </w:r>
          </w:p>
        </w:tc>
        <w:tc>
          <w:tcPr>
            <w:tcW w:w="444" w:type="pct"/>
            <w:tcBorders>
              <w:top w:val="nil"/>
              <w:left w:val="nil"/>
              <w:bottom w:val="single" w:sz="8" w:space="0" w:color="auto"/>
              <w:right w:val="single" w:sz="8" w:space="0" w:color="auto"/>
            </w:tcBorders>
            <w:vAlign w:val="center"/>
          </w:tcPr>
          <w:p w14:paraId="03ABB890"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44" w:type="pct"/>
            <w:tcBorders>
              <w:top w:val="nil"/>
              <w:left w:val="nil"/>
              <w:bottom w:val="single" w:sz="8" w:space="0" w:color="auto"/>
              <w:right w:val="single" w:sz="8" w:space="0" w:color="auto"/>
            </w:tcBorders>
            <w:vAlign w:val="center"/>
          </w:tcPr>
          <w:p w14:paraId="6DD40D47"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44" w:type="pct"/>
            <w:tcBorders>
              <w:top w:val="nil"/>
              <w:left w:val="nil"/>
              <w:bottom w:val="single" w:sz="8" w:space="0" w:color="auto"/>
              <w:right w:val="single" w:sz="8" w:space="0" w:color="auto"/>
            </w:tcBorders>
            <w:vAlign w:val="center"/>
          </w:tcPr>
          <w:p w14:paraId="7B0E59FF" w14:textId="77777777" w:rsidR="00CC40F3" w:rsidRPr="00732D9A" w:rsidRDefault="00CC40F3" w:rsidP="00CC40F3">
            <w:pPr>
              <w:spacing w:before="0" w:after="0"/>
              <w:jc w:val="right"/>
              <w:rPr>
                <w:noProof/>
                <w:color w:val="000000"/>
                <w:sz w:val="20"/>
                <w:szCs w:val="20"/>
              </w:rPr>
            </w:pPr>
            <w:r w:rsidRPr="00732D9A">
              <w:rPr>
                <w:noProof/>
                <w:color w:val="000000"/>
                <w:sz w:val="20"/>
              </w:rPr>
              <w:t>0,000</w:t>
            </w:r>
          </w:p>
        </w:tc>
        <w:tc>
          <w:tcPr>
            <w:tcW w:w="427" w:type="pct"/>
            <w:tcBorders>
              <w:top w:val="nil"/>
              <w:left w:val="nil"/>
              <w:bottom w:val="single" w:sz="8" w:space="0" w:color="auto"/>
              <w:right w:val="single" w:sz="8" w:space="0" w:color="auto"/>
            </w:tcBorders>
            <w:vAlign w:val="center"/>
          </w:tcPr>
          <w:p w14:paraId="709F798E" w14:textId="77777777" w:rsidR="00CC40F3" w:rsidRPr="00732D9A" w:rsidRDefault="00CC40F3" w:rsidP="00CC40F3">
            <w:pPr>
              <w:spacing w:before="0" w:after="0"/>
              <w:jc w:val="right"/>
              <w:rPr>
                <w:noProof/>
                <w:color w:val="000000"/>
                <w:sz w:val="20"/>
                <w:szCs w:val="20"/>
              </w:rPr>
            </w:pPr>
            <w:r w:rsidRPr="00732D9A">
              <w:rPr>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31072869" w14:textId="77777777" w:rsidR="00CC40F3" w:rsidRPr="00732D9A" w:rsidRDefault="00CC40F3" w:rsidP="00CC40F3">
            <w:pPr>
              <w:spacing w:before="0" w:after="0"/>
              <w:jc w:val="right"/>
              <w:rPr>
                <w:b/>
                <w:noProof/>
                <w:color w:val="000000"/>
                <w:sz w:val="20"/>
                <w:szCs w:val="20"/>
              </w:rPr>
            </w:pPr>
            <w:r w:rsidRPr="00732D9A">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7AA6064E" w14:textId="77777777" w:rsidR="00CC40F3" w:rsidRPr="00732D9A" w:rsidRDefault="00CC40F3" w:rsidP="00CC40F3">
            <w:pPr>
              <w:spacing w:before="0" w:after="0"/>
              <w:jc w:val="right"/>
              <w:rPr>
                <w:b/>
                <w:bCs/>
                <w:noProof/>
                <w:color w:val="000000"/>
                <w:sz w:val="20"/>
                <w:szCs w:val="20"/>
              </w:rPr>
            </w:pPr>
            <w:r w:rsidRPr="00732D9A">
              <w:rPr>
                <w:b/>
                <w:noProof/>
                <w:color w:val="000000"/>
                <w:sz w:val="20"/>
              </w:rPr>
              <w:t>0,140</w:t>
            </w:r>
          </w:p>
        </w:tc>
      </w:tr>
      <w:tr w:rsidR="00B706A3" w:rsidRPr="00732D9A" w14:paraId="45DD76B4" w14:textId="77777777" w:rsidTr="00A86410">
        <w:trPr>
          <w:trHeight w:val="315"/>
        </w:trPr>
        <w:tc>
          <w:tcPr>
            <w:tcW w:w="1269" w:type="pct"/>
            <w:vMerge w:val="restart"/>
            <w:tcBorders>
              <w:top w:val="single" w:sz="4" w:space="0" w:color="auto"/>
              <w:left w:val="single" w:sz="4" w:space="0" w:color="auto"/>
              <w:bottom w:val="single" w:sz="4" w:space="0" w:color="auto"/>
              <w:right w:val="single" w:sz="4" w:space="0" w:color="auto"/>
            </w:tcBorders>
            <w:vAlign w:val="center"/>
          </w:tcPr>
          <w:p w14:paraId="727E6E6E" w14:textId="77777777" w:rsidR="00577B55" w:rsidRPr="00732D9A" w:rsidRDefault="00577B55" w:rsidP="00131EB6">
            <w:pPr>
              <w:spacing w:before="0" w:after="0"/>
              <w:rPr>
                <w:b/>
                <w:bCs/>
                <w:noProof/>
                <w:color w:val="000000"/>
                <w:sz w:val="22"/>
              </w:rPr>
            </w:pPr>
            <w:r w:rsidRPr="00732D9A">
              <w:rPr>
                <w:b/>
                <w:noProof/>
                <w:color w:val="000000"/>
                <w:sz w:val="22"/>
              </w:rPr>
              <w:t>TOTAL des crédits</w:t>
            </w:r>
          </w:p>
          <w:p w14:paraId="775F7130" w14:textId="77777777" w:rsidR="00577B55" w:rsidRPr="00732D9A" w:rsidRDefault="00577B55" w:rsidP="00577B55">
            <w:pPr>
              <w:spacing w:before="0" w:after="0"/>
              <w:rPr>
                <w:noProof/>
                <w:color w:val="000000"/>
                <w:sz w:val="20"/>
                <w:szCs w:val="20"/>
              </w:rPr>
            </w:pPr>
            <w:r w:rsidRPr="00732D9A">
              <w:rPr>
                <w:b/>
                <w:noProof/>
                <w:color w:val="000000"/>
                <w:sz w:val="22"/>
              </w:rPr>
              <w:t>pour la DG GROW</w:t>
            </w:r>
          </w:p>
        </w:tc>
        <w:tc>
          <w:tcPr>
            <w:tcW w:w="473" w:type="pct"/>
            <w:tcBorders>
              <w:top w:val="nil"/>
              <w:left w:val="single" w:sz="4" w:space="0" w:color="auto"/>
              <w:bottom w:val="single" w:sz="8" w:space="0" w:color="auto"/>
              <w:right w:val="single" w:sz="8" w:space="0" w:color="auto"/>
            </w:tcBorders>
            <w:vAlign w:val="center"/>
          </w:tcPr>
          <w:p w14:paraId="238628C3" w14:textId="77777777" w:rsidR="00577B55" w:rsidRPr="00732D9A" w:rsidRDefault="00577B55" w:rsidP="00577B55">
            <w:pPr>
              <w:spacing w:before="0" w:after="0"/>
              <w:rPr>
                <w:noProof/>
                <w:color w:val="000000"/>
                <w:sz w:val="18"/>
                <w:szCs w:val="18"/>
              </w:rPr>
            </w:pPr>
            <w:r w:rsidRPr="00732D9A">
              <w:rPr>
                <w:noProof/>
                <w:color w:val="000000"/>
                <w:sz w:val="18"/>
              </w:rPr>
              <w:t>Engagements</w:t>
            </w:r>
          </w:p>
        </w:tc>
        <w:tc>
          <w:tcPr>
            <w:tcW w:w="444" w:type="pct"/>
            <w:tcBorders>
              <w:top w:val="single" w:sz="8" w:space="0" w:color="auto"/>
              <w:left w:val="nil"/>
              <w:bottom w:val="single" w:sz="8" w:space="0" w:color="auto"/>
              <w:right w:val="single" w:sz="8" w:space="0" w:color="auto"/>
            </w:tcBorders>
            <w:vAlign w:val="center"/>
          </w:tcPr>
          <w:p w14:paraId="6CD69116" w14:textId="77777777" w:rsidR="00577B55" w:rsidRPr="00732D9A" w:rsidRDefault="00577B55" w:rsidP="00577B55">
            <w:pPr>
              <w:spacing w:before="0" w:after="0"/>
              <w:jc w:val="center"/>
              <w:rPr>
                <w:noProof/>
                <w:color w:val="000000"/>
                <w:sz w:val="14"/>
                <w:szCs w:val="14"/>
              </w:rPr>
            </w:pPr>
            <w:r w:rsidRPr="00732D9A">
              <w:rPr>
                <w:noProof/>
                <w:color w:val="000000"/>
                <w:sz w:val="14"/>
              </w:rPr>
              <w:t>=1a+1b</w:t>
            </w:r>
          </w:p>
        </w:tc>
        <w:tc>
          <w:tcPr>
            <w:tcW w:w="444" w:type="pct"/>
            <w:tcBorders>
              <w:top w:val="nil"/>
              <w:left w:val="nil"/>
              <w:bottom w:val="single" w:sz="8" w:space="0" w:color="auto"/>
              <w:right w:val="single" w:sz="8" w:space="0" w:color="auto"/>
            </w:tcBorders>
            <w:vAlign w:val="center"/>
          </w:tcPr>
          <w:p w14:paraId="7E88E76F"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44" w:type="pct"/>
            <w:tcBorders>
              <w:top w:val="nil"/>
              <w:left w:val="nil"/>
              <w:bottom w:val="single" w:sz="8" w:space="0" w:color="auto"/>
              <w:right w:val="single" w:sz="8" w:space="0" w:color="auto"/>
            </w:tcBorders>
            <w:vAlign w:val="center"/>
          </w:tcPr>
          <w:p w14:paraId="652383A2"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44" w:type="pct"/>
            <w:tcBorders>
              <w:top w:val="nil"/>
              <w:left w:val="nil"/>
              <w:bottom w:val="single" w:sz="8" w:space="0" w:color="auto"/>
              <w:right w:val="single" w:sz="8" w:space="0" w:color="auto"/>
            </w:tcBorders>
            <w:vAlign w:val="center"/>
          </w:tcPr>
          <w:p w14:paraId="1E7DD6DD"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27" w:type="pct"/>
            <w:tcBorders>
              <w:top w:val="nil"/>
              <w:left w:val="nil"/>
              <w:bottom w:val="single" w:sz="8" w:space="0" w:color="auto"/>
              <w:right w:val="single" w:sz="8" w:space="0" w:color="auto"/>
            </w:tcBorders>
            <w:vAlign w:val="center"/>
          </w:tcPr>
          <w:p w14:paraId="5CA89D2C" w14:textId="77777777" w:rsidR="00577B55" w:rsidRPr="00732D9A" w:rsidRDefault="00577B55" w:rsidP="00577B55">
            <w:pPr>
              <w:spacing w:before="0" w:after="0"/>
              <w:jc w:val="right"/>
              <w:rPr>
                <w:noProof/>
                <w:color w:val="000000"/>
                <w:sz w:val="20"/>
                <w:szCs w:val="20"/>
              </w:rPr>
            </w:pPr>
            <w:r w:rsidRPr="00732D9A">
              <w:rPr>
                <w:b/>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4BA2865D" w14:textId="77777777" w:rsidR="00577B55" w:rsidRPr="00732D9A" w:rsidRDefault="00577B55" w:rsidP="00577B55">
            <w:pPr>
              <w:spacing w:before="0" w:after="0"/>
              <w:jc w:val="right"/>
              <w:rPr>
                <w:b/>
                <w:noProof/>
                <w:color w:val="000000"/>
                <w:sz w:val="20"/>
                <w:szCs w:val="20"/>
              </w:rPr>
            </w:pPr>
            <w:r w:rsidRPr="00732D9A">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35096E69" w14:textId="77777777" w:rsidR="00577B55" w:rsidRPr="00732D9A" w:rsidRDefault="00352335" w:rsidP="00577B55">
            <w:pPr>
              <w:spacing w:before="0" w:after="0"/>
              <w:jc w:val="right"/>
              <w:rPr>
                <w:b/>
                <w:bCs/>
                <w:noProof/>
                <w:color w:val="000000"/>
                <w:sz w:val="20"/>
                <w:szCs w:val="20"/>
              </w:rPr>
            </w:pPr>
            <w:r w:rsidRPr="00732D9A">
              <w:rPr>
                <w:b/>
                <w:noProof/>
                <w:color w:val="000000" w:themeColor="text1"/>
                <w:sz w:val="20"/>
              </w:rPr>
              <w:t>0,140</w:t>
            </w:r>
          </w:p>
        </w:tc>
      </w:tr>
      <w:tr w:rsidR="00B706A3" w:rsidRPr="00732D9A" w14:paraId="150B2B9B" w14:textId="77777777" w:rsidTr="00A86410">
        <w:trPr>
          <w:trHeight w:val="315"/>
        </w:trPr>
        <w:tc>
          <w:tcPr>
            <w:tcW w:w="1269" w:type="pct"/>
            <w:vMerge/>
            <w:tcBorders>
              <w:top w:val="single" w:sz="4" w:space="0" w:color="auto"/>
              <w:left w:val="single" w:sz="4" w:space="0" w:color="auto"/>
              <w:bottom w:val="single" w:sz="4" w:space="0" w:color="auto"/>
              <w:right w:val="single" w:sz="4" w:space="0" w:color="auto"/>
            </w:tcBorders>
            <w:vAlign w:val="center"/>
          </w:tcPr>
          <w:p w14:paraId="5C1FB8F2" w14:textId="77777777" w:rsidR="00577B55" w:rsidRPr="00732D9A" w:rsidRDefault="00577B55" w:rsidP="00577B55">
            <w:pPr>
              <w:spacing w:before="0" w:after="0"/>
              <w:jc w:val="left"/>
              <w:rPr>
                <w:noProof/>
                <w:color w:val="000000"/>
                <w:sz w:val="20"/>
                <w:szCs w:val="20"/>
                <w:lang w:eastAsia="en-IE"/>
              </w:rPr>
            </w:pPr>
          </w:p>
        </w:tc>
        <w:tc>
          <w:tcPr>
            <w:tcW w:w="473" w:type="pct"/>
            <w:tcBorders>
              <w:top w:val="nil"/>
              <w:left w:val="single" w:sz="4" w:space="0" w:color="auto"/>
              <w:bottom w:val="single" w:sz="8" w:space="0" w:color="auto"/>
              <w:right w:val="single" w:sz="8" w:space="0" w:color="auto"/>
            </w:tcBorders>
            <w:vAlign w:val="center"/>
          </w:tcPr>
          <w:p w14:paraId="480708C9" w14:textId="77777777" w:rsidR="00577B55" w:rsidRPr="00732D9A" w:rsidRDefault="00577B55" w:rsidP="00577B55">
            <w:pPr>
              <w:spacing w:before="0" w:after="0"/>
              <w:rPr>
                <w:noProof/>
                <w:color w:val="000000"/>
                <w:sz w:val="18"/>
                <w:szCs w:val="18"/>
              </w:rPr>
            </w:pPr>
            <w:r w:rsidRPr="00732D9A">
              <w:rPr>
                <w:noProof/>
                <w:color w:val="000000"/>
                <w:sz w:val="18"/>
              </w:rPr>
              <w:t>Paiements</w:t>
            </w:r>
          </w:p>
        </w:tc>
        <w:tc>
          <w:tcPr>
            <w:tcW w:w="444" w:type="pct"/>
            <w:tcBorders>
              <w:top w:val="single" w:sz="8" w:space="0" w:color="auto"/>
              <w:left w:val="nil"/>
              <w:bottom w:val="single" w:sz="8" w:space="0" w:color="auto"/>
              <w:right w:val="single" w:sz="8" w:space="0" w:color="auto"/>
            </w:tcBorders>
            <w:vAlign w:val="center"/>
          </w:tcPr>
          <w:p w14:paraId="50E8DDF0" w14:textId="77777777" w:rsidR="00577B55" w:rsidRPr="00732D9A" w:rsidRDefault="00577B55" w:rsidP="00577B55">
            <w:pPr>
              <w:spacing w:before="0" w:after="0"/>
              <w:jc w:val="center"/>
              <w:rPr>
                <w:noProof/>
                <w:color w:val="000000"/>
                <w:sz w:val="14"/>
                <w:szCs w:val="14"/>
              </w:rPr>
            </w:pPr>
            <w:r w:rsidRPr="00732D9A">
              <w:rPr>
                <w:noProof/>
                <w:color w:val="000000"/>
                <w:sz w:val="14"/>
              </w:rPr>
              <w:t>=2a+2b</w:t>
            </w:r>
          </w:p>
        </w:tc>
        <w:tc>
          <w:tcPr>
            <w:tcW w:w="444" w:type="pct"/>
            <w:tcBorders>
              <w:top w:val="nil"/>
              <w:left w:val="nil"/>
              <w:bottom w:val="single" w:sz="8" w:space="0" w:color="auto"/>
              <w:right w:val="single" w:sz="8" w:space="0" w:color="auto"/>
            </w:tcBorders>
            <w:vAlign w:val="center"/>
          </w:tcPr>
          <w:p w14:paraId="10970EA4"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44" w:type="pct"/>
            <w:tcBorders>
              <w:top w:val="nil"/>
              <w:left w:val="nil"/>
              <w:bottom w:val="single" w:sz="8" w:space="0" w:color="auto"/>
              <w:right w:val="single" w:sz="8" w:space="0" w:color="auto"/>
            </w:tcBorders>
            <w:vAlign w:val="center"/>
          </w:tcPr>
          <w:p w14:paraId="0E1963E0"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44" w:type="pct"/>
            <w:tcBorders>
              <w:top w:val="nil"/>
              <w:left w:val="nil"/>
              <w:bottom w:val="single" w:sz="8" w:space="0" w:color="auto"/>
              <w:right w:val="single" w:sz="8" w:space="0" w:color="auto"/>
            </w:tcBorders>
            <w:vAlign w:val="center"/>
          </w:tcPr>
          <w:p w14:paraId="7F1947FC" w14:textId="77777777" w:rsidR="00577B55" w:rsidRPr="00732D9A" w:rsidRDefault="00577B55" w:rsidP="00577B55">
            <w:pPr>
              <w:spacing w:before="0" w:after="0"/>
              <w:jc w:val="right"/>
              <w:rPr>
                <w:noProof/>
                <w:color w:val="000000"/>
                <w:sz w:val="20"/>
                <w:szCs w:val="20"/>
              </w:rPr>
            </w:pPr>
            <w:r w:rsidRPr="00732D9A">
              <w:rPr>
                <w:b/>
                <w:noProof/>
                <w:color w:val="000000"/>
                <w:sz w:val="20"/>
              </w:rPr>
              <w:t>0,000</w:t>
            </w:r>
          </w:p>
        </w:tc>
        <w:tc>
          <w:tcPr>
            <w:tcW w:w="427" w:type="pct"/>
            <w:tcBorders>
              <w:top w:val="nil"/>
              <w:left w:val="nil"/>
              <w:bottom w:val="single" w:sz="8" w:space="0" w:color="auto"/>
              <w:right w:val="single" w:sz="8" w:space="0" w:color="auto"/>
            </w:tcBorders>
            <w:vAlign w:val="center"/>
          </w:tcPr>
          <w:p w14:paraId="07EB96EC" w14:textId="77777777" w:rsidR="00577B55" w:rsidRPr="00732D9A" w:rsidRDefault="00577B55" w:rsidP="00577B55">
            <w:pPr>
              <w:spacing w:before="0" w:after="0"/>
              <w:jc w:val="right"/>
              <w:rPr>
                <w:noProof/>
                <w:color w:val="000000"/>
                <w:sz w:val="20"/>
                <w:szCs w:val="20"/>
              </w:rPr>
            </w:pPr>
            <w:r w:rsidRPr="00732D9A">
              <w:rPr>
                <w:b/>
                <w:noProof/>
                <w:color w:val="000000"/>
                <w:sz w:val="20"/>
              </w:rPr>
              <w:t>0,040</w:t>
            </w:r>
          </w:p>
        </w:tc>
        <w:tc>
          <w:tcPr>
            <w:tcW w:w="528" w:type="pct"/>
            <w:tcBorders>
              <w:top w:val="nil"/>
              <w:left w:val="nil"/>
              <w:bottom w:val="single" w:sz="8" w:space="0" w:color="auto"/>
              <w:right w:val="single" w:sz="8" w:space="0" w:color="auto"/>
            </w:tcBorders>
            <w:shd w:val="clear" w:color="auto" w:fill="D9D9D9" w:themeFill="background1" w:themeFillShade="D9"/>
            <w:vAlign w:val="center"/>
          </w:tcPr>
          <w:p w14:paraId="74097F53" w14:textId="77777777" w:rsidR="00577B55" w:rsidRPr="00732D9A" w:rsidRDefault="00577B55" w:rsidP="00577B55">
            <w:pPr>
              <w:spacing w:before="0" w:after="0"/>
              <w:jc w:val="right"/>
              <w:rPr>
                <w:b/>
                <w:noProof/>
                <w:color w:val="000000"/>
                <w:sz w:val="20"/>
                <w:szCs w:val="20"/>
              </w:rPr>
            </w:pPr>
            <w:r w:rsidRPr="00732D9A">
              <w:rPr>
                <w:b/>
                <w:noProof/>
                <w:color w:val="000000"/>
                <w:sz w:val="20"/>
              </w:rPr>
              <w:t>0,040</w:t>
            </w:r>
          </w:p>
        </w:tc>
        <w:tc>
          <w:tcPr>
            <w:tcW w:w="527" w:type="pct"/>
            <w:tcBorders>
              <w:top w:val="nil"/>
              <w:left w:val="nil"/>
              <w:bottom w:val="single" w:sz="8" w:space="0" w:color="auto"/>
              <w:right w:val="single" w:sz="8" w:space="0" w:color="auto"/>
            </w:tcBorders>
            <w:shd w:val="clear" w:color="auto" w:fill="D9D9D9" w:themeFill="background1" w:themeFillShade="D9"/>
          </w:tcPr>
          <w:p w14:paraId="2B6677B5" w14:textId="77777777" w:rsidR="00577B55" w:rsidRPr="00732D9A" w:rsidRDefault="00352335" w:rsidP="00577B55">
            <w:pPr>
              <w:spacing w:before="0" w:after="0"/>
              <w:jc w:val="right"/>
              <w:rPr>
                <w:b/>
                <w:bCs/>
                <w:noProof/>
                <w:color w:val="000000"/>
                <w:sz w:val="20"/>
                <w:szCs w:val="20"/>
              </w:rPr>
            </w:pPr>
            <w:r w:rsidRPr="00732D9A">
              <w:rPr>
                <w:b/>
                <w:noProof/>
                <w:color w:val="000000"/>
                <w:sz w:val="20"/>
              </w:rPr>
              <w:t>0,140</w:t>
            </w:r>
          </w:p>
        </w:tc>
      </w:tr>
    </w:tbl>
    <w:p w14:paraId="68948C68" w14:textId="6D00C2F4" w:rsidR="001070C7" w:rsidRPr="00732D9A" w:rsidRDefault="001070C7" w:rsidP="001070C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149"/>
        <w:gridCol w:w="1237"/>
        <w:gridCol w:w="1064"/>
        <w:gridCol w:w="1106"/>
        <w:gridCol w:w="873"/>
        <w:gridCol w:w="1126"/>
        <w:gridCol w:w="1106"/>
        <w:gridCol w:w="1106"/>
        <w:gridCol w:w="1081"/>
        <w:gridCol w:w="1058"/>
        <w:gridCol w:w="1314"/>
      </w:tblGrid>
      <w:tr w:rsidR="00841BFE" w:rsidRPr="00732D9A" w14:paraId="2A6E59EC" w14:textId="77777777" w:rsidTr="00DC1AB1">
        <w:trPr>
          <w:trHeight w:val="420"/>
        </w:trPr>
        <w:tc>
          <w:tcPr>
            <w:tcW w:w="191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25DB6D57" w14:textId="77777777" w:rsidR="00841BFE" w:rsidRPr="00732D9A" w:rsidRDefault="00841BFE" w:rsidP="00841BFE">
            <w:pPr>
              <w:spacing w:before="0" w:after="0"/>
              <w:jc w:val="center"/>
              <w:rPr>
                <w:rFonts w:eastAsia="Times New Roman"/>
                <w:noProof/>
                <w:color w:val="000000"/>
                <w:sz w:val="22"/>
              </w:rPr>
            </w:pPr>
            <w:r w:rsidRPr="00732D9A">
              <w:rPr>
                <w:noProof/>
                <w:color w:val="000000"/>
                <w:sz w:val="22"/>
              </w:rPr>
              <w:t>DG: GROW</w:t>
            </w:r>
          </w:p>
        </w:tc>
        <w:tc>
          <w:tcPr>
            <w:tcW w:w="389" w:type="pct"/>
            <w:tcBorders>
              <w:top w:val="single" w:sz="8" w:space="0" w:color="auto"/>
              <w:left w:val="nil"/>
              <w:bottom w:val="single" w:sz="8" w:space="0" w:color="auto"/>
              <w:right w:val="single" w:sz="8" w:space="0" w:color="auto"/>
            </w:tcBorders>
            <w:vAlign w:val="center"/>
            <w:hideMark/>
          </w:tcPr>
          <w:p w14:paraId="6DFE6A3C"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07" w:type="pct"/>
            <w:tcBorders>
              <w:top w:val="single" w:sz="8" w:space="0" w:color="auto"/>
              <w:left w:val="nil"/>
              <w:bottom w:val="single" w:sz="8" w:space="0" w:color="auto"/>
              <w:right w:val="single" w:sz="8" w:space="0" w:color="auto"/>
            </w:tcBorders>
            <w:vAlign w:val="center"/>
            <w:hideMark/>
          </w:tcPr>
          <w:p w14:paraId="543E7283"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96" w:type="pct"/>
            <w:tcBorders>
              <w:top w:val="single" w:sz="8" w:space="0" w:color="auto"/>
              <w:left w:val="nil"/>
              <w:bottom w:val="single" w:sz="8" w:space="0" w:color="auto"/>
              <w:right w:val="single" w:sz="8" w:space="0" w:color="auto"/>
            </w:tcBorders>
            <w:vAlign w:val="center"/>
            <w:hideMark/>
          </w:tcPr>
          <w:p w14:paraId="7ABBE906"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89" w:type="pct"/>
            <w:tcBorders>
              <w:top w:val="single" w:sz="8" w:space="0" w:color="auto"/>
              <w:left w:val="nil"/>
              <w:bottom w:val="single" w:sz="8" w:space="0" w:color="auto"/>
              <w:right w:val="single" w:sz="8" w:space="0" w:color="auto"/>
            </w:tcBorders>
            <w:vAlign w:val="center"/>
            <w:hideMark/>
          </w:tcPr>
          <w:p w14:paraId="15E7786E"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89" w:type="pct"/>
            <w:tcBorders>
              <w:top w:val="single" w:sz="8" w:space="0" w:color="auto"/>
              <w:left w:val="nil"/>
              <w:bottom w:val="single" w:sz="8" w:space="0" w:color="auto"/>
              <w:right w:val="single" w:sz="8" w:space="0" w:color="auto"/>
            </w:tcBorders>
            <w:vAlign w:val="center"/>
            <w:hideMark/>
          </w:tcPr>
          <w:p w14:paraId="6C03C124"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80" w:type="pct"/>
            <w:tcBorders>
              <w:top w:val="single" w:sz="8" w:space="0" w:color="auto"/>
              <w:left w:val="nil"/>
              <w:bottom w:val="single" w:sz="8" w:space="0" w:color="auto"/>
              <w:right w:val="single" w:sz="8" w:space="0" w:color="auto"/>
            </w:tcBorders>
            <w:vAlign w:val="center"/>
            <w:hideMark/>
          </w:tcPr>
          <w:p w14:paraId="67157038"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372" w:type="pct"/>
            <w:tcBorders>
              <w:top w:val="single" w:sz="8" w:space="0" w:color="auto"/>
              <w:left w:val="nil"/>
              <w:bottom w:val="single" w:sz="8" w:space="0" w:color="auto"/>
              <w:right w:val="single" w:sz="8" w:space="0" w:color="auto"/>
            </w:tcBorders>
            <w:vAlign w:val="center"/>
            <w:hideMark/>
          </w:tcPr>
          <w:p w14:paraId="3C7F1525" w14:textId="77777777" w:rsidR="00841BFE" w:rsidRPr="00732D9A" w:rsidRDefault="00841BFE" w:rsidP="00841BFE">
            <w:pPr>
              <w:spacing w:before="0" w:after="0"/>
              <w:jc w:val="center"/>
              <w:rPr>
                <w:rFonts w:eastAsia="Times New Roman"/>
                <w:noProof/>
                <w:color w:val="000000"/>
                <w:sz w:val="20"/>
                <w:szCs w:val="20"/>
              </w:rPr>
            </w:pPr>
            <w:r w:rsidRPr="00732D9A">
              <w:rPr>
                <w:noProof/>
                <w:color w:val="000000"/>
                <w:sz w:val="20"/>
              </w:rPr>
              <w:t>Année</w:t>
            </w:r>
          </w:p>
        </w:tc>
        <w:tc>
          <w:tcPr>
            <w:tcW w:w="462" w:type="pct"/>
            <w:vMerge w:val="restart"/>
            <w:tcBorders>
              <w:top w:val="single" w:sz="8" w:space="0" w:color="auto"/>
              <w:left w:val="single" w:sz="8" w:space="0" w:color="auto"/>
              <w:bottom w:val="single" w:sz="8" w:space="0" w:color="auto"/>
              <w:right w:val="single" w:sz="8" w:space="0" w:color="auto"/>
            </w:tcBorders>
            <w:vAlign w:val="center"/>
            <w:hideMark/>
          </w:tcPr>
          <w:p w14:paraId="725B0F7E"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TOTAL CFP</w:t>
            </w:r>
            <w:r w:rsidRPr="00732D9A">
              <w:rPr>
                <w:noProof/>
              </w:rPr>
              <w:t xml:space="preserve"> </w:t>
            </w:r>
            <w:r w:rsidRPr="00732D9A">
              <w:rPr>
                <w:noProof/>
              </w:rPr>
              <w:cr/>
            </w:r>
            <w:r w:rsidRPr="00732D9A">
              <w:rPr>
                <w:noProof/>
              </w:rPr>
              <w:br/>
            </w:r>
            <w:r w:rsidRPr="00732D9A">
              <w:rPr>
                <w:b/>
                <w:noProof/>
                <w:color w:val="000000"/>
                <w:sz w:val="20"/>
              </w:rPr>
              <w:t>2028-2034</w:t>
            </w:r>
            <w:r w:rsidRPr="00732D9A">
              <w:rPr>
                <w:rStyle w:val="FootnoteReference"/>
                <w:rFonts w:eastAsia="Times New Roman"/>
                <w:b/>
                <w:bCs/>
                <w:noProof/>
                <w:color w:val="000000"/>
                <w:sz w:val="20"/>
                <w:szCs w:val="20"/>
                <w:lang w:eastAsia="en-IE"/>
              </w:rPr>
              <w:footnoteReference w:id="74"/>
            </w:r>
          </w:p>
        </w:tc>
      </w:tr>
      <w:tr w:rsidR="00841BFE" w:rsidRPr="00732D9A" w14:paraId="6EB7099F" w14:textId="77777777" w:rsidTr="00DC1AB1">
        <w:trPr>
          <w:trHeight w:val="315"/>
        </w:trPr>
        <w:tc>
          <w:tcPr>
            <w:tcW w:w="1916" w:type="pct"/>
            <w:gridSpan w:val="3"/>
            <w:vMerge/>
            <w:tcBorders>
              <w:top w:val="single" w:sz="8" w:space="0" w:color="auto"/>
              <w:left w:val="single" w:sz="8" w:space="0" w:color="auto"/>
              <w:bottom w:val="single" w:sz="8" w:space="0" w:color="auto"/>
              <w:right w:val="single" w:sz="8" w:space="0" w:color="auto"/>
            </w:tcBorders>
            <w:vAlign w:val="center"/>
            <w:hideMark/>
          </w:tcPr>
          <w:p w14:paraId="667C8408" w14:textId="77777777" w:rsidR="00841BFE" w:rsidRPr="00732D9A" w:rsidRDefault="00841BFE" w:rsidP="00841BFE">
            <w:pPr>
              <w:spacing w:before="0" w:after="0"/>
              <w:jc w:val="left"/>
              <w:rPr>
                <w:rFonts w:eastAsia="Times New Roman"/>
                <w:noProof/>
                <w:color w:val="000000"/>
                <w:sz w:val="22"/>
                <w:lang w:eastAsia="en-IE"/>
              </w:rPr>
            </w:pPr>
          </w:p>
        </w:tc>
        <w:tc>
          <w:tcPr>
            <w:tcW w:w="389" w:type="pct"/>
            <w:tcBorders>
              <w:top w:val="nil"/>
              <w:left w:val="nil"/>
              <w:bottom w:val="single" w:sz="8" w:space="0" w:color="auto"/>
              <w:right w:val="single" w:sz="8" w:space="0" w:color="auto"/>
            </w:tcBorders>
            <w:vAlign w:val="center"/>
            <w:hideMark/>
          </w:tcPr>
          <w:p w14:paraId="51E203D1"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2028</w:t>
            </w:r>
          </w:p>
        </w:tc>
        <w:tc>
          <w:tcPr>
            <w:tcW w:w="307" w:type="pct"/>
            <w:tcBorders>
              <w:top w:val="nil"/>
              <w:left w:val="nil"/>
              <w:bottom w:val="single" w:sz="8" w:space="0" w:color="auto"/>
              <w:right w:val="single" w:sz="8" w:space="0" w:color="auto"/>
            </w:tcBorders>
            <w:vAlign w:val="center"/>
            <w:hideMark/>
          </w:tcPr>
          <w:p w14:paraId="66B94BC1"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2029</w:t>
            </w:r>
          </w:p>
        </w:tc>
        <w:tc>
          <w:tcPr>
            <w:tcW w:w="396" w:type="pct"/>
            <w:tcBorders>
              <w:top w:val="nil"/>
              <w:left w:val="nil"/>
              <w:bottom w:val="single" w:sz="8" w:space="0" w:color="auto"/>
              <w:right w:val="single" w:sz="8" w:space="0" w:color="auto"/>
            </w:tcBorders>
            <w:vAlign w:val="center"/>
            <w:hideMark/>
          </w:tcPr>
          <w:p w14:paraId="6D9C1B5A"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2030</w:t>
            </w:r>
          </w:p>
        </w:tc>
        <w:tc>
          <w:tcPr>
            <w:tcW w:w="389" w:type="pct"/>
            <w:tcBorders>
              <w:top w:val="nil"/>
              <w:left w:val="nil"/>
              <w:bottom w:val="single" w:sz="8" w:space="0" w:color="auto"/>
              <w:right w:val="single" w:sz="8" w:space="0" w:color="auto"/>
            </w:tcBorders>
            <w:vAlign w:val="center"/>
            <w:hideMark/>
          </w:tcPr>
          <w:p w14:paraId="18D24FA6"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2031</w:t>
            </w:r>
          </w:p>
        </w:tc>
        <w:tc>
          <w:tcPr>
            <w:tcW w:w="389" w:type="pct"/>
            <w:tcBorders>
              <w:top w:val="nil"/>
              <w:left w:val="nil"/>
              <w:bottom w:val="single" w:sz="8" w:space="0" w:color="auto"/>
              <w:right w:val="single" w:sz="8" w:space="0" w:color="auto"/>
            </w:tcBorders>
            <w:vAlign w:val="center"/>
            <w:hideMark/>
          </w:tcPr>
          <w:p w14:paraId="574641D6"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2032</w:t>
            </w:r>
          </w:p>
        </w:tc>
        <w:tc>
          <w:tcPr>
            <w:tcW w:w="380" w:type="pct"/>
            <w:tcBorders>
              <w:top w:val="nil"/>
              <w:left w:val="nil"/>
              <w:bottom w:val="single" w:sz="8" w:space="0" w:color="auto"/>
              <w:right w:val="single" w:sz="8" w:space="0" w:color="auto"/>
            </w:tcBorders>
            <w:vAlign w:val="center"/>
            <w:hideMark/>
          </w:tcPr>
          <w:p w14:paraId="3D5880DD"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2033</w:t>
            </w:r>
          </w:p>
        </w:tc>
        <w:tc>
          <w:tcPr>
            <w:tcW w:w="372" w:type="pct"/>
            <w:tcBorders>
              <w:top w:val="nil"/>
              <w:left w:val="nil"/>
              <w:bottom w:val="single" w:sz="8" w:space="0" w:color="auto"/>
              <w:right w:val="single" w:sz="8" w:space="0" w:color="auto"/>
            </w:tcBorders>
            <w:vAlign w:val="center"/>
            <w:hideMark/>
          </w:tcPr>
          <w:p w14:paraId="07547B20" w14:textId="77777777" w:rsidR="00841BFE" w:rsidRPr="00732D9A" w:rsidRDefault="00841BFE" w:rsidP="00841BFE">
            <w:pPr>
              <w:spacing w:before="0" w:after="0"/>
              <w:jc w:val="center"/>
              <w:rPr>
                <w:rFonts w:eastAsia="Times New Roman"/>
                <w:b/>
                <w:bCs/>
                <w:noProof/>
                <w:color w:val="000000"/>
                <w:sz w:val="20"/>
                <w:szCs w:val="20"/>
              </w:rPr>
            </w:pPr>
            <w:r w:rsidRPr="00732D9A">
              <w:rPr>
                <w:b/>
                <w:noProof/>
                <w:color w:val="000000"/>
                <w:sz w:val="20"/>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14:paraId="4F043020" w14:textId="77777777" w:rsidR="00841BFE" w:rsidRPr="00732D9A" w:rsidRDefault="00841BFE" w:rsidP="00841BFE">
            <w:pPr>
              <w:spacing w:before="0" w:after="0"/>
              <w:jc w:val="left"/>
              <w:rPr>
                <w:rFonts w:eastAsia="Times New Roman"/>
                <w:b/>
                <w:bCs/>
                <w:noProof/>
                <w:color w:val="000000"/>
                <w:sz w:val="20"/>
                <w:szCs w:val="20"/>
                <w:lang w:eastAsia="en-IE"/>
              </w:rPr>
            </w:pPr>
          </w:p>
        </w:tc>
      </w:tr>
      <w:tr w:rsidR="00841BFE" w:rsidRPr="00732D9A" w14:paraId="35C0E795" w14:textId="77777777" w:rsidTr="00841BFE">
        <w:trPr>
          <w:trHeight w:val="300"/>
        </w:trPr>
        <w:tc>
          <w:tcPr>
            <w:tcW w:w="5000" w:type="pct"/>
            <w:gridSpan w:val="11"/>
            <w:tcBorders>
              <w:top w:val="single" w:sz="8" w:space="0" w:color="auto"/>
              <w:left w:val="single" w:sz="8" w:space="0" w:color="auto"/>
              <w:bottom w:val="single" w:sz="8" w:space="0" w:color="auto"/>
              <w:right w:val="single" w:sz="8" w:space="0" w:color="auto"/>
            </w:tcBorders>
            <w:vAlign w:val="center"/>
            <w:hideMark/>
          </w:tcPr>
          <w:p w14:paraId="7EF91C55" w14:textId="77777777" w:rsidR="00841BFE" w:rsidRPr="00732D9A" w:rsidRDefault="00841BFE" w:rsidP="00841BFE">
            <w:pPr>
              <w:spacing w:before="0" w:after="0"/>
              <w:jc w:val="left"/>
              <w:rPr>
                <w:rFonts w:eastAsia="Times New Roman"/>
                <w:noProof/>
                <w:color w:val="000000"/>
                <w:sz w:val="21"/>
                <w:szCs w:val="21"/>
              </w:rPr>
            </w:pPr>
            <w:r w:rsidRPr="00732D9A">
              <w:rPr>
                <w:noProof/>
                <w:color w:val="000000"/>
                <w:sz w:val="21"/>
              </w:rPr>
              <w:t xml:space="preserve">Crédits opérationnels </w:t>
            </w:r>
          </w:p>
        </w:tc>
      </w:tr>
      <w:tr w:rsidR="00A429A0" w:rsidRPr="00732D9A" w14:paraId="1A2EB048" w14:textId="77777777" w:rsidTr="00DC1AB1">
        <w:trPr>
          <w:trHeight w:val="315"/>
        </w:trPr>
        <w:tc>
          <w:tcPr>
            <w:tcW w:w="1107" w:type="pct"/>
            <w:vMerge w:val="restart"/>
            <w:tcBorders>
              <w:top w:val="nil"/>
              <w:left w:val="single" w:sz="8" w:space="0" w:color="auto"/>
              <w:bottom w:val="single" w:sz="8" w:space="0" w:color="auto"/>
              <w:right w:val="single" w:sz="8" w:space="0" w:color="auto"/>
            </w:tcBorders>
            <w:noWrap/>
            <w:vAlign w:val="center"/>
            <w:hideMark/>
          </w:tcPr>
          <w:p w14:paraId="44811EF6" w14:textId="77777777" w:rsidR="00841BFE" w:rsidRPr="00732D9A" w:rsidRDefault="00841BFE" w:rsidP="00841BFE">
            <w:pPr>
              <w:spacing w:before="0" w:after="0"/>
              <w:jc w:val="left"/>
              <w:rPr>
                <w:rFonts w:eastAsia="Times New Roman"/>
                <w:noProof/>
                <w:color w:val="000000"/>
                <w:sz w:val="22"/>
              </w:rPr>
            </w:pPr>
            <w:r w:rsidRPr="00732D9A">
              <w:rPr>
                <w:noProof/>
                <w:color w:val="000000"/>
                <w:sz w:val="22"/>
              </w:rPr>
              <w:t>03 02 01 02</w:t>
            </w:r>
          </w:p>
        </w:tc>
        <w:tc>
          <w:tcPr>
            <w:tcW w:w="435" w:type="pct"/>
            <w:tcBorders>
              <w:top w:val="nil"/>
              <w:left w:val="nil"/>
              <w:bottom w:val="single" w:sz="8" w:space="0" w:color="auto"/>
              <w:right w:val="single" w:sz="8" w:space="0" w:color="auto"/>
            </w:tcBorders>
            <w:vAlign w:val="center"/>
            <w:hideMark/>
          </w:tcPr>
          <w:p w14:paraId="288DA96C" w14:textId="77777777" w:rsidR="00841BFE" w:rsidRPr="00732D9A" w:rsidRDefault="00841BFE" w:rsidP="00841BFE">
            <w:pPr>
              <w:spacing w:before="0" w:after="0"/>
              <w:rPr>
                <w:rFonts w:eastAsia="Times New Roman"/>
                <w:noProof/>
                <w:color w:val="000000"/>
                <w:sz w:val="18"/>
                <w:szCs w:val="18"/>
              </w:rPr>
            </w:pPr>
            <w:r w:rsidRPr="00732D9A">
              <w:rPr>
                <w:noProof/>
                <w:color w:val="000000"/>
                <w:sz w:val="18"/>
              </w:rPr>
              <w:t>Engagements</w:t>
            </w:r>
          </w:p>
        </w:tc>
        <w:tc>
          <w:tcPr>
            <w:tcW w:w="374" w:type="pct"/>
            <w:tcBorders>
              <w:top w:val="single" w:sz="8" w:space="0" w:color="auto"/>
              <w:left w:val="nil"/>
              <w:bottom w:val="single" w:sz="8" w:space="0" w:color="auto"/>
              <w:right w:val="single" w:sz="8" w:space="0" w:color="auto"/>
            </w:tcBorders>
            <w:vAlign w:val="center"/>
            <w:hideMark/>
          </w:tcPr>
          <w:p w14:paraId="5DA956D8" w14:textId="77777777" w:rsidR="00841BFE" w:rsidRPr="00732D9A" w:rsidRDefault="00841BFE" w:rsidP="00841BFE">
            <w:pPr>
              <w:spacing w:before="0" w:after="0"/>
              <w:jc w:val="center"/>
              <w:rPr>
                <w:rFonts w:eastAsia="Times New Roman"/>
                <w:noProof/>
                <w:color w:val="000000"/>
                <w:sz w:val="14"/>
                <w:szCs w:val="14"/>
              </w:rPr>
            </w:pPr>
            <w:r w:rsidRPr="00732D9A">
              <w:rPr>
                <w:noProof/>
                <w:color w:val="000000"/>
                <w:sz w:val="14"/>
              </w:rPr>
              <w:t>(1a)</w:t>
            </w:r>
          </w:p>
        </w:tc>
        <w:tc>
          <w:tcPr>
            <w:tcW w:w="389" w:type="pct"/>
            <w:tcBorders>
              <w:top w:val="nil"/>
              <w:left w:val="nil"/>
              <w:bottom w:val="single" w:sz="8" w:space="0" w:color="auto"/>
              <w:right w:val="single" w:sz="8" w:space="0" w:color="auto"/>
            </w:tcBorders>
            <w:vAlign w:val="center"/>
            <w:hideMark/>
          </w:tcPr>
          <w:p w14:paraId="447588AA"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07" w:type="pct"/>
            <w:tcBorders>
              <w:top w:val="nil"/>
              <w:left w:val="nil"/>
              <w:bottom w:val="single" w:sz="8" w:space="0" w:color="auto"/>
              <w:right w:val="single" w:sz="8" w:space="0" w:color="auto"/>
            </w:tcBorders>
            <w:vAlign w:val="center"/>
            <w:hideMark/>
          </w:tcPr>
          <w:p w14:paraId="6C08C6AF"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96" w:type="pct"/>
            <w:tcBorders>
              <w:top w:val="nil"/>
              <w:left w:val="nil"/>
              <w:bottom w:val="single" w:sz="8" w:space="0" w:color="auto"/>
              <w:right w:val="single" w:sz="8" w:space="0" w:color="auto"/>
            </w:tcBorders>
            <w:vAlign w:val="center"/>
            <w:hideMark/>
          </w:tcPr>
          <w:p w14:paraId="27BB1B1E"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9" w:type="pct"/>
            <w:tcBorders>
              <w:top w:val="nil"/>
              <w:left w:val="nil"/>
              <w:bottom w:val="single" w:sz="8" w:space="0" w:color="auto"/>
              <w:right w:val="single" w:sz="8" w:space="0" w:color="auto"/>
            </w:tcBorders>
            <w:vAlign w:val="center"/>
            <w:hideMark/>
          </w:tcPr>
          <w:p w14:paraId="500C04F8"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9" w:type="pct"/>
            <w:tcBorders>
              <w:top w:val="nil"/>
              <w:left w:val="nil"/>
              <w:bottom w:val="single" w:sz="8" w:space="0" w:color="auto"/>
              <w:right w:val="single" w:sz="8" w:space="0" w:color="auto"/>
            </w:tcBorders>
            <w:vAlign w:val="center"/>
            <w:hideMark/>
          </w:tcPr>
          <w:p w14:paraId="78278B56"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0" w:type="pct"/>
            <w:tcBorders>
              <w:top w:val="nil"/>
              <w:left w:val="nil"/>
              <w:bottom w:val="single" w:sz="8" w:space="0" w:color="auto"/>
              <w:right w:val="single" w:sz="8" w:space="0" w:color="auto"/>
            </w:tcBorders>
            <w:vAlign w:val="center"/>
            <w:hideMark/>
          </w:tcPr>
          <w:p w14:paraId="20195C01"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72" w:type="pct"/>
            <w:tcBorders>
              <w:top w:val="nil"/>
              <w:left w:val="nil"/>
              <w:bottom w:val="single" w:sz="8" w:space="0" w:color="auto"/>
              <w:right w:val="single" w:sz="8" w:space="0" w:color="auto"/>
            </w:tcBorders>
            <w:vAlign w:val="center"/>
            <w:hideMark/>
          </w:tcPr>
          <w:p w14:paraId="07EB4C49"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68DA4FA7" w14:textId="77777777" w:rsidR="00841BFE" w:rsidRPr="00732D9A" w:rsidRDefault="00841BFE" w:rsidP="00841BFE">
            <w:pPr>
              <w:spacing w:before="0" w:after="0"/>
              <w:jc w:val="right"/>
              <w:rPr>
                <w:rFonts w:eastAsia="Times New Roman"/>
                <w:b/>
                <w:bCs/>
                <w:noProof/>
                <w:color w:val="000000"/>
                <w:sz w:val="20"/>
                <w:szCs w:val="20"/>
              </w:rPr>
            </w:pPr>
            <w:r w:rsidRPr="00732D9A">
              <w:rPr>
                <w:b/>
                <w:noProof/>
                <w:color w:val="000000"/>
                <w:sz w:val="20"/>
              </w:rPr>
              <w:t>0,140</w:t>
            </w:r>
          </w:p>
        </w:tc>
      </w:tr>
      <w:tr w:rsidR="00A429A0" w:rsidRPr="00732D9A" w14:paraId="52FBAC03" w14:textId="77777777" w:rsidTr="00DC1AB1">
        <w:trPr>
          <w:trHeight w:val="315"/>
        </w:trPr>
        <w:tc>
          <w:tcPr>
            <w:tcW w:w="1107" w:type="pct"/>
            <w:vMerge/>
            <w:tcBorders>
              <w:top w:val="nil"/>
              <w:left w:val="single" w:sz="8" w:space="0" w:color="auto"/>
              <w:bottom w:val="single" w:sz="8" w:space="0" w:color="auto"/>
              <w:right w:val="single" w:sz="8" w:space="0" w:color="auto"/>
            </w:tcBorders>
            <w:vAlign w:val="center"/>
            <w:hideMark/>
          </w:tcPr>
          <w:p w14:paraId="0C2D823E" w14:textId="77777777" w:rsidR="00841BFE" w:rsidRPr="00732D9A" w:rsidRDefault="00841BFE" w:rsidP="00841BFE">
            <w:pPr>
              <w:spacing w:before="0" w:after="0"/>
              <w:jc w:val="left"/>
              <w:rPr>
                <w:rFonts w:eastAsia="Times New Roman"/>
                <w:noProof/>
                <w:color w:val="000000"/>
                <w:sz w:val="22"/>
                <w:lang w:eastAsia="en-IE"/>
              </w:rPr>
            </w:pPr>
          </w:p>
        </w:tc>
        <w:tc>
          <w:tcPr>
            <w:tcW w:w="435" w:type="pct"/>
            <w:tcBorders>
              <w:top w:val="nil"/>
              <w:left w:val="nil"/>
              <w:bottom w:val="single" w:sz="8" w:space="0" w:color="auto"/>
              <w:right w:val="single" w:sz="8" w:space="0" w:color="auto"/>
            </w:tcBorders>
            <w:vAlign w:val="center"/>
            <w:hideMark/>
          </w:tcPr>
          <w:p w14:paraId="48EA2DF5" w14:textId="77777777" w:rsidR="00841BFE" w:rsidRPr="00732D9A" w:rsidRDefault="00841BFE" w:rsidP="00841BFE">
            <w:pPr>
              <w:spacing w:before="0" w:after="0"/>
              <w:rPr>
                <w:rFonts w:eastAsia="Times New Roman"/>
                <w:noProof/>
                <w:color w:val="000000"/>
                <w:sz w:val="18"/>
                <w:szCs w:val="18"/>
              </w:rPr>
            </w:pPr>
            <w:r w:rsidRPr="00732D9A">
              <w:rPr>
                <w:noProof/>
                <w:color w:val="000000"/>
                <w:sz w:val="18"/>
              </w:rPr>
              <w:t>Paiements</w:t>
            </w:r>
          </w:p>
        </w:tc>
        <w:tc>
          <w:tcPr>
            <w:tcW w:w="374" w:type="pct"/>
            <w:tcBorders>
              <w:top w:val="single" w:sz="8" w:space="0" w:color="auto"/>
              <w:left w:val="nil"/>
              <w:bottom w:val="single" w:sz="8" w:space="0" w:color="auto"/>
              <w:right w:val="single" w:sz="8" w:space="0" w:color="auto"/>
            </w:tcBorders>
            <w:vAlign w:val="center"/>
            <w:hideMark/>
          </w:tcPr>
          <w:p w14:paraId="5AF1FB00" w14:textId="77777777" w:rsidR="00841BFE" w:rsidRPr="00732D9A" w:rsidRDefault="00841BFE" w:rsidP="00841BFE">
            <w:pPr>
              <w:spacing w:before="0" w:after="0"/>
              <w:jc w:val="center"/>
              <w:rPr>
                <w:rFonts w:eastAsia="Times New Roman"/>
                <w:noProof/>
                <w:color w:val="000000"/>
                <w:sz w:val="14"/>
                <w:szCs w:val="14"/>
              </w:rPr>
            </w:pPr>
            <w:r w:rsidRPr="00732D9A">
              <w:rPr>
                <w:noProof/>
                <w:color w:val="000000"/>
                <w:sz w:val="14"/>
              </w:rPr>
              <w:t>(2a)</w:t>
            </w:r>
          </w:p>
        </w:tc>
        <w:tc>
          <w:tcPr>
            <w:tcW w:w="389" w:type="pct"/>
            <w:tcBorders>
              <w:top w:val="nil"/>
              <w:left w:val="nil"/>
              <w:bottom w:val="single" w:sz="8" w:space="0" w:color="auto"/>
              <w:right w:val="single" w:sz="8" w:space="0" w:color="auto"/>
            </w:tcBorders>
            <w:vAlign w:val="center"/>
            <w:hideMark/>
          </w:tcPr>
          <w:p w14:paraId="10371787"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07" w:type="pct"/>
            <w:tcBorders>
              <w:top w:val="nil"/>
              <w:left w:val="nil"/>
              <w:bottom w:val="single" w:sz="8" w:space="0" w:color="auto"/>
              <w:right w:val="single" w:sz="8" w:space="0" w:color="auto"/>
            </w:tcBorders>
            <w:vAlign w:val="center"/>
            <w:hideMark/>
          </w:tcPr>
          <w:p w14:paraId="2C8E586E"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96" w:type="pct"/>
            <w:tcBorders>
              <w:top w:val="nil"/>
              <w:left w:val="nil"/>
              <w:bottom w:val="single" w:sz="8" w:space="0" w:color="auto"/>
              <w:right w:val="single" w:sz="8" w:space="0" w:color="auto"/>
            </w:tcBorders>
            <w:vAlign w:val="center"/>
            <w:hideMark/>
          </w:tcPr>
          <w:p w14:paraId="6BE34B40"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9" w:type="pct"/>
            <w:tcBorders>
              <w:top w:val="nil"/>
              <w:left w:val="nil"/>
              <w:bottom w:val="single" w:sz="8" w:space="0" w:color="auto"/>
              <w:right w:val="single" w:sz="8" w:space="0" w:color="auto"/>
            </w:tcBorders>
            <w:vAlign w:val="center"/>
            <w:hideMark/>
          </w:tcPr>
          <w:p w14:paraId="09CAC78C"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9" w:type="pct"/>
            <w:tcBorders>
              <w:top w:val="nil"/>
              <w:left w:val="nil"/>
              <w:bottom w:val="single" w:sz="8" w:space="0" w:color="auto"/>
              <w:right w:val="single" w:sz="8" w:space="0" w:color="auto"/>
            </w:tcBorders>
            <w:vAlign w:val="center"/>
            <w:hideMark/>
          </w:tcPr>
          <w:p w14:paraId="4355EB8C"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80" w:type="pct"/>
            <w:tcBorders>
              <w:top w:val="nil"/>
              <w:left w:val="nil"/>
              <w:bottom w:val="single" w:sz="8" w:space="0" w:color="auto"/>
              <w:right w:val="single" w:sz="8" w:space="0" w:color="auto"/>
            </w:tcBorders>
            <w:vAlign w:val="center"/>
            <w:hideMark/>
          </w:tcPr>
          <w:p w14:paraId="523A41B6"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372" w:type="pct"/>
            <w:tcBorders>
              <w:top w:val="nil"/>
              <w:left w:val="nil"/>
              <w:bottom w:val="single" w:sz="8" w:space="0" w:color="auto"/>
              <w:right w:val="single" w:sz="8" w:space="0" w:color="auto"/>
            </w:tcBorders>
            <w:vAlign w:val="center"/>
            <w:hideMark/>
          </w:tcPr>
          <w:p w14:paraId="1FF7B384" w14:textId="77777777" w:rsidR="00841BFE" w:rsidRPr="00732D9A" w:rsidRDefault="00841BFE" w:rsidP="00841BFE">
            <w:pPr>
              <w:spacing w:before="0" w:after="0"/>
              <w:jc w:val="right"/>
              <w:rPr>
                <w:rFonts w:eastAsia="Times New Roman"/>
                <w:noProof/>
                <w:color w:val="000000"/>
                <w:sz w:val="20"/>
                <w:szCs w:val="20"/>
              </w:rPr>
            </w:pPr>
            <w:r w:rsidRPr="00732D9A">
              <w:rPr>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7CAEA4F8" w14:textId="77777777" w:rsidR="00841BFE" w:rsidRPr="00732D9A" w:rsidRDefault="00841BFE" w:rsidP="00841BFE">
            <w:pPr>
              <w:spacing w:before="0" w:after="0"/>
              <w:jc w:val="right"/>
              <w:rPr>
                <w:rFonts w:eastAsia="Times New Roman"/>
                <w:b/>
                <w:bCs/>
                <w:noProof/>
                <w:color w:val="000000"/>
                <w:sz w:val="20"/>
                <w:szCs w:val="20"/>
              </w:rPr>
            </w:pPr>
            <w:r w:rsidRPr="00732D9A">
              <w:rPr>
                <w:b/>
                <w:noProof/>
                <w:color w:val="000000"/>
                <w:sz w:val="20"/>
              </w:rPr>
              <w:t>0,140</w:t>
            </w:r>
          </w:p>
        </w:tc>
      </w:tr>
      <w:tr w:rsidR="000A5BC6" w:rsidRPr="00732D9A" w14:paraId="183C8EE7" w14:textId="77777777">
        <w:trPr>
          <w:trHeight w:val="315"/>
        </w:trPr>
        <w:tc>
          <w:tcPr>
            <w:tcW w:w="1107" w:type="pct"/>
            <w:vMerge w:val="restart"/>
            <w:tcBorders>
              <w:top w:val="nil"/>
              <w:left w:val="single" w:sz="8" w:space="0" w:color="auto"/>
              <w:right w:val="single" w:sz="8" w:space="0" w:color="auto"/>
            </w:tcBorders>
            <w:vAlign w:val="center"/>
            <w:hideMark/>
          </w:tcPr>
          <w:p w14:paraId="1C02DAEA" w14:textId="77777777" w:rsidR="000A5BC6" w:rsidRPr="00732D9A" w:rsidRDefault="000A5BC6" w:rsidP="000A5BC6">
            <w:pPr>
              <w:spacing w:before="0" w:after="0"/>
              <w:rPr>
                <w:b/>
                <w:bCs/>
                <w:noProof/>
                <w:color w:val="000000"/>
                <w:sz w:val="22"/>
              </w:rPr>
            </w:pPr>
            <w:r w:rsidRPr="00732D9A">
              <w:rPr>
                <w:b/>
                <w:noProof/>
                <w:color w:val="000000"/>
                <w:sz w:val="22"/>
              </w:rPr>
              <w:t xml:space="preserve">TOTAL des crédits </w:t>
            </w:r>
          </w:p>
          <w:p w14:paraId="34950518" w14:textId="77777777" w:rsidR="000A5BC6" w:rsidRPr="00732D9A" w:rsidRDefault="000A5BC6" w:rsidP="000A5BC6">
            <w:pPr>
              <w:spacing w:before="0" w:after="0"/>
              <w:rPr>
                <w:rFonts w:eastAsia="Times New Roman"/>
                <w:b/>
                <w:bCs/>
                <w:noProof/>
                <w:color w:val="000000"/>
                <w:sz w:val="22"/>
              </w:rPr>
            </w:pPr>
            <w:r w:rsidRPr="00732D9A">
              <w:rPr>
                <w:b/>
                <w:noProof/>
                <w:color w:val="000000"/>
                <w:sz w:val="22"/>
              </w:rPr>
              <w:t>pour la DG GROW</w:t>
            </w:r>
          </w:p>
        </w:tc>
        <w:tc>
          <w:tcPr>
            <w:tcW w:w="435" w:type="pct"/>
            <w:tcBorders>
              <w:top w:val="nil"/>
              <w:left w:val="nil"/>
              <w:bottom w:val="single" w:sz="8" w:space="0" w:color="auto"/>
              <w:right w:val="single" w:sz="8" w:space="0" w:color="auto"/>
            </w:tcBorders>
            <w:vAlign w:val="center"/>
            <w:hideMark/>
          </w:tcPr>
          <w:p w14:paraId="53F14B80" w14:textId="77777777" w:rsidR="000A5BC6" w:rsidRPr="00732D9A" w:rsidRDefault="000A5BC6" w:rsidP="00841BFE">
            <w:pPr>
              <w:spacing w:before="0" w:after="0"/>
              <w:rPr>
                <w:rFonts w:eastAsia="Times New Roman"/>
                <w:noProof/>
                <w:color w:val="000000"/>
                <w:sz w:val="18"/>
                <w:szCs w:val="18"/>
              </w:rPr>
            </w:pPr>
            <w:r w:rsidRPr="00732D9A">
              <w:rPr>
                <w:noProof/>
                <w:color w:val="000000"/>
                <w:sz w:val="18"/>
              </w:rPr>
              <w:t>Engagements</w:t>
            </w:r>
          </w:p>
        </w:tc>
        <w:tc>
          <w:tcPr>
            <w:tcW w:w="374" w:type="pct"/>
            <w:tcBorders>
              <w:top w:val="single" w:sz="8" w:space="0" w:color="auto"/>
              <w:left w:val="nil"/>
              <w:bottom w:val="single" w:sz="8" w:space="0" w:color="auto"/>
              <w:right w:val="single" w:sz="8" w:space="0" w:color="auto"/>
            </w:tcBorders>
            <w:vAlign w:val="center"/>
            <w:hideMark/>
          </w:tcPr>
          <w:p w14:paraId="6AEA48E9" w14:textId="77777777" w:rsidR="000A5BC6" w:rsidRPr="00732D9A" w:rsidRDefault="000A5BC6" w:rsidP="00841BFE">
            <w:pPr>
              <w:spacing w:before="0" w:after="0"/>
              <w:jc w:val="center"/>
              <w:rPr>
                <w:rFonts w:eastAsia="Times New Roman"/>
                <w:noProof/>
                <w:color w:val="000000"/>
                <w:sz w:val="14"/>
                <w:szCs w:val="14"/>
              </w:rPr>
            </w:pPr>
            <w:r w:rsidRPr="00732D9A">
              <w:rPr>
                <w:noProof/>
                <w:color w:val="000000"/>
                <w:sz w:val="14"/>
              </w:rPr>
              <w:t>=1a+1b</w:t>
            </w:r>
          </w:p>
        </w:tc>
        <w:tc>
          <w:tcPr>
            <w:tcW w:w="389" w:type="pct"/>
            <w:tcBorders>
              <w:top w:val="nil"/>
              <w:left w:val="nil"/>
              <w:bottom w:val="single" w:sz="8" w:space="0" w:color="auto"/>
              <w:right w:val="single" w:sz="8" w:space="0" w:color="auto"/>
            </w:tcBorders>
            <w:shd w:val="clear" w:color="000000" w:fill="D9D9D9"/>
            <w:vAlign w:val="center"/>
            <w:hideMark/>
          </w:tcPr>
          <w:p w14:paraId="38FC0390"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07" w:type="pct"/>
            <w:tcBorders>
              <w:top w:val="nil"/>
              <w:left w:val="nil"/>
              <w:bottom w:val="single" w:sz="8" w:space="0" w:color="auto"/>
              <w:right w:val="single" w:sz="8" w:space="0" w:color="auto"/>
            </w:tcBorders>
            <w:shd w:val="clear" w:color="000000" w:fill="D9D9D9"/>
            <w:vAlign w:val="center"/>
            <w:hideMark/>
          </w:tcPr>
          <w:p w14:paraId="37217AF6"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96" w:type="pct"/>
            <w:tcBorders>
              <w:top w:val="nil"/>
              <w:left w:val="nil"/>
              <w:bottom w:val="single" w:sz="8" w:space="0" w:color="auto"/>
              <w:right w:val="single" w:sz="8" w:space="0" w:color="auto"/>
            </w:tcBorders>
            <w:shd w:val="clear" w:color="000000" w:fill="D9D9D9"/>
            <w:vAlign w:val="center"/>
            <w:hideMark/>
          </w:tcPr>
          <w:p w14:paraId="1A770C6E"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6424A25D"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6C75B1C9"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0" w:type="pct"/>
            <w:tcBorders>
              <w:top w:val="nil"/>
              <w:left w:val="nil"/>
              <w:bottom w:val="single" w:sz="8" w:space="0" w:color="auto"/>
              <w:right w:val="single" w:sz="8" w:space="0" w:color="auto"/>
            </w:tcBorders>
            <w:shd w:val="clear" w:color="000000" w:fill="D9D9D9"/>
            <w:vAlign w:val="center"/>
            <w:hideMark/>
          </w:tcPr>
          <w:p w14:paraId="7A324A5A"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72" w:type="pct"/>
            <w:tcBorders>
              <w:top w:val="nil"/>
              <w:left w:val="nil"/>
              <w:bottom w:val="single" w:sz="8" w:space="0" w:color="auto"/>
              <w:right w:val="single" w:sz="8" w:space="0" w:color="auto"/>
            </w:tcBorders>
            <w:shd w:val="clear" w:color="000000" w:fill="D9D9D9"/>
            <w:vAlign w:val="center"/>
            <w:hideMark/>
          </w:tcPr>
          <w:p w14:paraId="765B52E8"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288883FF"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0,140</w:t>
            </w:r>
          </w:p>
        </w:tc>
      </w:tr>
      <w:tr w:rsidR="000A5BC6" w:rsidRPr="00732D9A" w14:paraId="78DBB134" w14:textId="77777777">
        <w:trPr>
          <w:trHeight w:val="315"/>
        </w:trPr>
        <w:tc>
          <w:tcPr>
            <w:tcW w:w="1107" w:type="pct"/>
            <w:vMerge/>
            <w:tcBorders>
              <w:left w:val="single" w:sz="8" w:space="0" w:color="auto"/>
              <w:bottom w:val="single" w:sz="8" w:space="0" w:color="auto"/>
              <w:right w:val="single" w:sz="8" w:space="0" w:color="auto"/>
            </w:tcBorders>
            <w:vAlign w:val="center"/>
            <w:hideMark/>
          </w:tcPr>
          <w:p w14:paraId="6642EF69" w14:textId="77777777" w:rsidR="000A5BC6" w:rsidRPr="00732D9A" w:rsidRDefault="000A5BC6" w:rsidP="00841BFE">
            <w:pPr>
              <w:spacing w:before="0" w:after="0"/>
              <w:jc w:val="center"/>
              <w:rPr>
                <w:rFonts w:eastAsia="Times New Roman"/>
                <w:b/>
                <w:bCs/>
                <w:noProof/>
                <w:color w:val="000000"/>
                <w:sz w:val="22"/>
                <w:lang w:eastAsia="en-IE"/>
              </w:rPr>
            </w:pPr>
          </w:p>
        </w:tc>
        <w:tc>
          <w:tcPr>
            <w:tcW w:w="435" w:type="pct"/>
            <w:tcBorders>
              <w:top w:val="nil"/>
              <w:left w:val="nil"/>
              <w:bottom w:val="single" w:sz="8" w:space="0" w:color="auto"/>
              <w:right w:val="single" w:sz="8" w:space="0" w:color="auto"/>
            </w:tcBorders>
            <w:vAlign w:val="center"/>
            <w:hideMark/>
          </w:tcPr>
          <w:p w14:paraId="30E77187" w14:textId="77777777" w:rsidR="000A5BC6" w:rsidRPr="00732D9A" w:rsidRDefault="000A5BC6" w:rsidP="00841BFE">
            <w:pPr>
              <w:spacing w:before="0" w:after="0"/>
              <w:rPr>
                <w:rFonts w:eastAsia="Times New Roman"/>
                <w:noProof/>
                <w:color w:val="000000"/>
                <w:sz w:val="18"/>
                <w:szCs w:val="18"/>
              </w:rPr>
            </w:pPr>
            <w:r w:rsidRPr="00732D9A">
              <w:rPr>
                <w:noProof/>
                <w:color w:val="000000"/>
                <w:sz w:val="18"/>
              </w:rPr>
              <w:t>Paiements</w:t>
            </w:r>
          </w:p>
        </w:tc>
        <w:tc>
          <w:tcPr>
            <w:tcW w:w="374" w:type="pct"/>
            <w:tcBorders>
              <w:top w:val="single" w:sz="8" w:space="0" w:color="auto"/>
              <w:left w:val="nil"/>
              <w:bottom w:val="single" w:sz="8" w:space="0" w:color="auto"/>
              <w:right w:val="single" w:sz="8" w:space="0" w:color="auto"/>
            </w:tcBorders>
            <w:vAlign w:val="center"/>
            <w:hideMark/>
          </w:tcPr>
          <w:p w14:paraId="39FB0E7A" w14:textId="77777777" w:rsidR="000A5BC6" w:rsidRPr="00732D9A" w:rsidRDefault="000A5BC6" w:rsidP="00841BFE">
            <w:pPr>
              <w:spacing w:before="0" w:after="0"/>
              <w:jc w:val="center"/>
              <w:rPr>
                <w:rFonts w:eastAsia="Times New Roman"/>
                <w:noProof/>
                <w:color w:val="000000"/>
                <w:sz w:val="14"/>
                <w:szCs w:val="14"/>
              </w:rPr>
            </w:pPr>
            <w:r w:rsidRPr="00732D9A">
              <w:rPr>
                <w:noProof/>
                <w:color w:val="000000"/>
                <w:sz w:val="14"/>
              </w:rPr>
              <w:t>=2a+2b</w:t>
            </w:r>
          </w:p>
        </w:tc>
        <w:tc>
          <w:tcPr>
            <w:tcW w:w="389" w:type="pct"/>
            <w:tcBorders>
              <w:top w:val="nil"/>
              <w:left w:val="nil"/>
              <w:bottom w:val="single" w:sz="8" w:space="0" w:color="auto"/>
              <w:right w:val="single" w:sz="8" w:space="0" w:color="auto"/>
            </w:tcBorders>
            <w:shd w:val="clear" w:color="000000" w:fill="D9D9D9"/>
            <w:vAlign w:val="center"/>
            <w:hideMark/>
          </w:tcPr>
          <w:p w14:paraId="6F672E44"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07" w:type="pct"/>
            <w:tcBorders>
              <w:top w:val="nil"/>
              <w:left w:val="nil"/>
              <w:bottom w:val="single" w:sz="8" w:space="0" w:color="auto"/>
              <w:right w:val="single" w:sz="8" w:space="0" w:color="auto"/>
            </w:tcBorders>
            <w:shd w:val="clear" w:color="000000" w:fill="D9D9D9"/>
            <w:vAlign w:val="center"/>
            <w:hideMark/>
          </w:tcPr>
          <w:p w14:paraId="6466DFA3"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96" w:type="pct"/>
            <w:tcBorders>
              <w:top w:val="nil"/>
              <w:left w:val="nil"/>
              <w:bottom w:val="single" w:sz="8" w:space="0" w:color="auto"/>
              <w:right w:val="single" w:sz="8" w:space="0" w:color="auto"/>
            </w:tcBorders>
            <w:shd w:val="clear" w:color="000000" w:fill="D9D9D9"/>
            <w:vAlign w:val="center"/>
            <w:hideMark/>
          </w:tcPr>
          <w:p w14:paraId="599E50A5"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2988C161"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9" w:type="pct"/>
            <w:tcBorders>
              <w:top w:val="nil"/>
              <w:left w:val="nil"/>
              <w:bottom w:val="single" w:sz="8" w:space="0" w:color="auto"/>
              <w:right w:val="single" w:sz="8" w:space="0" w:color="auto"/>
            </w:tcBorders>
            <w:shd w:val="clear" w:color="000000" w:fill="D9D9D9"/>
            <w:vAlign w:val="center"/>
            <w:hideMark/>
          </w:tcPr>
          <w:p w14:paraId="7E6F6E3E"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80" w:type="pct"/>
            <w:tcBorders>
              <w:top w:val="nil"/>
              <w:left w:val="nil"/>
              <w:bottom w:val="single" w:sz="8" w:space="0" w:color="auto"/>
              <w:right w:val="single" w:sz="8" w:space="0" w:color="auto"/>
            </w:tcBorders>
            <w:shd w:val="clear" w:color="000000" w:fill="D9D9D9"/>
            <w:vAlign w:val="center"/>
            <w:hideMark/>
          </w:tcPr>
          <w:p w14:paraId="13E52FB8"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372" w:type="pct"/>
            <w:tcBorders>
              <w:top w:val="nil"/>
              <w:left w:val="nil"/>
              <w:bottom w:val="single" w:sz="8" w:space="0" w:color="auto"/>
              <w:right w:val="single" w:sz="8" w:space="0" w:color="auto"/>
            </w:tcBorders>
            <w:shd w:val="clear" w:color="000000" w:fill="D9D9D9"/>
            <w:vAlign w:val="center"/>
            <w:hideMark/>
          </w:tcPr>
          <w:p w14:paraId="5A646E99"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0,020</w:t>
            </w:r>
          </w:p>
        </w:tc>
        <w:tc>
          <w:tcPr>
            <w:tcW w:w="462" w:type="pct"/>
            <w:tcBorders>
              <w:top w:val="nil"/>
              <w:left w:val="nil"/>
              <w:bottom w:val="single" w:sz="8" w:space="0" w:color="auto"/>
              <w:right w:val="single" w:sz="8" w:space="0" w:color="auto"/>
            </w:tcBorders>
            <w:shd w:val="clear" w:color="000000" w:fill="D9D9D9"/>
            <w:vAlign w:val="center"/>
            <w:hideMark/>
          </w:tcPr>
          <w:p w14:paraId="59F3CBBB" w14:textId="77777777" w:rsidR="000A5BC6" w:rsidRPr="00732D9A" w:rsidRDefault="000A5BC6" w:rsidP="00841BFE">
            <w:pPr>
              <w:spacing w:before="0" w:after="0"/>
              <w:jc w:val="right"/>
              <w:rPr>
                <w:rFonts w:eastAsia="Times New Roman"/>
                <w:b/>
                <w:bCs/>
                <w:noProof/>
                <w:color w:val="000000"/>
                <w:sz w:val="20"/>
                <w:szCs w:val="20"/>
              </w:rPr>
            </w:pPr>
            <w:r w:rsidRPr="00732D9A">
              <w:rPr>
                <w:b/>
                <w:noProof/>
                <w:color w:val="000000"/>
                <w:sz w:val="20"/>
              </w:rPr>
              <w:t>0,140</w:t>
            </w:r>
          </w:p>
        </w:tc>
      </w:tr>
    </w:tbl>
    <w:p w14:paraId="1F2A03CA" w14:textId="77777777" w:rsidR="001070C7" w:rsidRPr="00732D9A" w:rsidRDefault="001070C7" w:rsidP="001070C7">
      <w:pPr>
        <w:jc w:val="right"/>
        <w:rPr>
          <w:noProof/>
          <w:sz w:val="20"/>
        </w:rPr>
      </w:pPr>
    </w:p>
    <w:p w14:paraId="29E02571" w14:textId="39136138" w:rsidR="001070C7" w:rsidRPr="00732D9A" w:rsidRDefault="001070C7" w:rsidP="001070C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483"/>
        <w:gridCol w:w="2258"/>
        <w:gridCol w:w="1135"/>
        <w:gridCol w:w="1135"/>
        <w:gridCol w:w="1135"/>
        <w:gridCol w:w="1135"/>
        <w:gridCol w:w="1135"/>
        <w:gridCol w:w="1402"/>
        <w:gridCol w:w="1402"/>
      </w:tblGrid>
      <w:tr w:rsidR="007D345D" w:rsidRPr="00732D9A" w14:paraId="3DE1B757" w14:textId="77777777" w:rsidTr="00D76136">
        <w:trPr>
          <w:trHeight w:val="300"/>
        </w:trPr>
        <w:tc>
          <w:tcPr>
            <w:tcW w:w="241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709175A" w14:textId="77777777" w:rsidR="00850EF8" w:rsidRPr="00732D9A" w:rsidRDefault="00850EF8" w:rsidP="00850EF8">
            <w:pPr>
              <w:spacing w:before="0" w:after="0"/>
              <w:jc w:val="center"/>
              <w:rPr>
                <w:b/>
                <w:noProof/>
                <w:color w:val="000000"/>
                <w:sz w:val="22"/>
              </w:rPr>
            </w:pPr>
            <w:r w:rsidRPr="00732D9A">
              <w:rPr>
                <w:b/>
                <w:noProof/>
                <w:color w:val="000000"/>
                <w:sz w:val="22"/>
              </w:rPr>
              <w:t xml:space="preserve"> </w:t>
            </w:r>
          </w:p>
        </w:tc>
        <w:tc>
          <w:tcPr>
            <w:tcW w:w="399" w:type="pct"/>
            <w:tcBorders>
              <w:top w:val="single" w:sz="8" w:space="0" w:color="auto"/>
              <w:left w:val="nil"/>
              <w:bottom w:val="single" w:sz="8" w:space="0" w:color="auto"/>
              <w:right w:val="single" w:sz="8" w:space="0" w:color="auto"/>
            </w:tcBorders>
            <w:vAlign w:val="center"/>
            <w:hideMark/>
          </w:tcPr>
          <w:p w14:paraId="52D18D1E" w14:textId="77777777" w:rsidR="00850EF8" w:rsidRPr="00732D9A" w:rsidRDefault="00850EF8" w:rsidP="00850EF8">
            <w:pPr>
              <w:spacing w:before="0" w:after="0"/>
              <w:jc w:val="center"/>
              <w:rPr>
                <w:noProof/>
                <w:color w:val="000000"/>
                <w:sz w:val="20"/>
                <w:szCs w:val="20"/>
              </w:rPr>
            </w:pPr>
            <w:r w:rsidRPr="00732D9A">
              <w:rPr>
                <w:noProof/>
                <w:color w:val="000000"/>
                <w:sz w:val="20"/>
              </w:rPr>
              <w:t>Année</w:t>
            </w:r>
          </w:p>
        </w:tc>
        <w:tc>
          <w:tcPr>
            <w:tcW w:w="399" w:type="pct"/>
            <w:tcBorders>
              <w:top w:val="single" w:sz="8" w:space="0" w:color="auto"/>
              <w:left w:val="nil"/>
              <w:bottom w:val="single" w:sz="8" w:space="0" w:color="auto"/>
              <w:right w:val="single" w:sz="8" w:space="0" w:color="auto"/>
            </w:tcBorders>
            <w:vAlign w:val="center"/>
            <w:hideMark/>
          </w:tcPr>
          <w:p w14:paraId="4C1FA54B" w14:textId="77777777" w:rsidR="00850EF8" w:rsidRPr="00732D9A" w:rsidRDefault="00850EF8" w:rsidP="00850EF8">
            <w:pPr>
              <w:spacing w:before="0" w:after="0"/>
              <w:jc w:val="center"/>
              <w:rPr>
                <w:noProof/>
                <w:color w:val="000000"/>
                <w:sz w:val="20"/>
                <w:szCs w:val="20"/>
              </w:rPr>
            </w:pPr>
            <w:r w:rsidRPr="00732D9A">
              <w:rPr>
                <w:noProof/>
                <w:color w:val="000000"/>
                <w:sz w:val="20"/>
              </w:rPr>
              <w:t>Année</w:t>
            </w:r>
          </w:p>
        </w:tc>
        <w:tc>
          <w:tcPr>
            <w:tcW w:w="399" w:type="pct"/>
            <w:tcBorders>
              <w:top w:val="single" w:sz="8" w:space="0" w:color="auto"/>
              <w:left w:val="nil"/>
              <w:bottom w:val="single" w:sz="8" w:space="0" w:color="auto"/>
              <w:right w:val="single" w:sz="8" w:space="0" w:color="auto"/>
            </w:tcBorders>
            <w:vAlign w:val="center"/>
            <w:hideMark/>
          </w:tcPr>
          <w:p w14:paraId="75150F93" w14:textId="77777777" w:rsidR="00850EF8" w:rsidRPr="00732D9A" w:rsidRDefault="00850EF8" w:rsidP="00850EF8">
            <w:pPr>
              <w:spacing w:before="0" w:after="0"/>
              <w:jc w:val="center"/>
              <w:rPr>
                <w:noProof/>
                <w:color w:val="000000"/>
                <w:sz w:val="20"/>
                <w:szCs w:val="20"/>
              </w:rPr>
            </w:pPr>
            <w:r w:rsidRPr="00732D9A">
              <w:rPr>
                <w:noProof/>
                <w:color w:val="000000"/>
                <w:sz w:val="20"/>
              </w:rPr>
              <w:t>Année</w:t>
            </w:r>
          </w:p>
        </w:tc>
        <w:tc>
          <w:tcPr>
            <w:tcW w:w="399" w:type="pct"/>
            <w:tcBorders>
              <w:top w:val="single" w:sz="8" w:space="0" w:color="auto"/>
              <w:left w:val="nil"/>
              <w:bottom w:val="single" w:sz="8" w:space="0" w:color="auto"/>
              <w:right w:val="single" w:sz="8" w:space="0" w:color="auto"/>
            </w:tcBorders>
            <w:vAlign w:val="center"/>
            <w:hideMark/>
          </w:tcPr>
          <w:p w14:paraId="440378BB" w14:textId="77777777" w:rsidR="00850EF8" w:rsidRPr="00732D9A" w:rsidRDefault="00850EF8" w:rsidP="00850EF8">
            <w:pPr>
              <w:spacing w:before="0" w:after="0"/>
              <w:jc w:val="center"/>
              <w:rPr>
                <w:noProof/>
                <w:color w:val="000000"/>
                <w:sz w:val="20"/>
                <w:szCs w:val="20"/>
              </w:rPr>
            </w:pPr>
            <w:r w:rsidRPr="00732D9A">
              <w:rPr>
                <w:noProof/>
                <w:color w:val="000000"/>
                <w:sz w:val="20"/>
              </w:rPr>
              <w:t>Année</w:t>
            </w:r>
          </w:p>
        </w:tc>
        <w:tc>
          <w:tcPr>
            <w:tcW w:w="493" w:type="pct"/>
            <w:vMerge w:val="restart"/>
            <w:tcBorders>
              <w:top w:val="single" w:sz="8" w:space="0" w:color="auto"/>
              <w:left w:val="single" w:sz="8" w:space="0" w:color="auto"/>
              <w:bottom w:val="single" w:sz="8" w:space="0" w:color="auto"/>
              <w:right w:val="single" w:sz="8" w:space="0" w:color="auto"/>
            </w:tcBorders>
            <w:vAlign w:val="center"/>
            <w:hideMark/>
          </w:tcPr>
          <w:p w14:paraId="543B815D" w14:textId="77777777" w:rsidR="00850EF8" w:rsidRPr="00732D9A" w:rsidRDefault="00850EF8" w:rsidP="00D76136">
            <w:pPr>
              <w:spacing w:before="0" w:after="0"/>
              <w:jc w:val="center"/>
              <w:rPr>
                <w:b/>
                <w:noProof/>
                <w:color w:val="000000"/>
                <w:sz w:val="20"/>
                <w:szCs w:val="20"/>
              </w:rPr>
            </w:pPr>
            <w:r w:rsidRPr="00732D9A">
              <w:rPr>
                <w:b/>
                <w:noProof/>
                <w:color w:val="000000"/>
                <w:sz w:val="20"/>
              </w:rPr>
              <w:t>TOTAL CFP 2021-2027</w:t>
            </w:r>
          </w:p>
        </w:tc>
        <w:tc>
          <w:tcPr>
            <w:tcW w:w="493" w:type="pct"/>
            <w:vMerge w:val="restart"/>
            <w:tcBorders>
              <w:top w:val="single" w:sz="8" w:space="0" w:color="auto"/>
              <w:left w:val="single" w:sz="8" w:space="0" w:color="auto"/>
              <w:right w:val="single" w:sz="8" w:space="0" w:color="auto"/>
            </w:tcBorders>
            <w:vAlign w:val="center"/>
          </w:tcPr>
          <w:p w14:paraId="09DEA80D" w14:textId="77777777" w:rsidR="00850EF8" w:rsidRPr="00732D9A" w:rsidRDefault="00850EF8" w:rsidP="00D76136">
            <w:pPr>
              <w:spacing w:before="0" w:after="0"/>
              <w:jc w:val="center"/>
              <w:rPr>
                <w:b/>
                <w:noProof/>
                <w:color w:val="000000"/>
                <w:sz w:val="20"/>
                <w:szCs w:val="20"/>
              </w:rPr>
            </w:pPr>
            <w:r w:rsidRPr="00732D9A">
              <w:rPr>
                <w:b/>
                <w:noProof/>
                <w:color w:val="000000"/>
                <w:sz w:val="20"/>
              </w:rPr>
              <w:t>TOTAL CFP 2028-2034</w:t>
            </w:r>
            <w:r w:rsidRPr="00732D9A">
              <w:rPr>
                <w:rStyle w:val="FootnoteReference"/>
                <w:b/>
                <w:noProof/>
                <w:color w:val="000000"/>
                <w:sz w:val="20"/>
                <w:szCs w:val="20"/>
                <w:lang w:eastAsia="en-IE"/>
              </w:rPr>
              <w:footnoteReference w:id="75"/>
            </w:r>
          </w:p>
        </w:tc>
      </w:tr>
      <w:tr w:rsidR="00850EF8" w:rsidRPr="00732D9A" w14:paraId="1CF4DDD6" w14:textId="77777777">
        <w:trPr>
          <w:trHeight w:val="300"/>
        </w:trPr>
        <w:tc>
          <w:tcPr>
            <w:tcW w:w="2418" w:type="pct"/>
            <w:gridSpan w:val="3"/>
            <w:vMerge/>
            <w:tcBorders>
              <w:top w:val="single" w:sz="8" w:space="0" w:color="auto"/>
              <w:left w:val="single" w:sz="8" w:space="0" w:color="auto"/>
              <w:bottom w:val="single" w:sz="8" w:space="0" w:color="000000"/>
              <w:right w:val="single" w:sz="8" w:space="0" w:color="000000"/>
            </w:tcBorders>
            <w:vAlign w:val="center"/>
            <w:hideMark/>
          </w:tcPr>
          <w:p w14:paraId="17435C6D" w14:textId="77777777" w:rsidR="00850EF8" w:rsidRPr="00732D9A" w:rsidRDefault="00850EF8" w:rsidP="00850EF8">
            <w:pPr>
              <w:spacing w:before="0" w:after="0"/>
              <w:jc w:val="left"/>
              <w:rPr>
                <w:b/>
                <w:noProof/>
                <w:color w:val="000000"/>
                <w:sz w:val="22"/>
                <w:lang w:eastAsia="en-IE"/>
              </w:rPr>
            </w:pPr>
          </w:p>
        </w:tc>
        <w:tc>
          <w:tcPr>
            <w:tcW w:w="399" w:type="pct"/>
            <w:tcBorders>
              <w:top w:val="nil"/>
              <w:left w:val="nil"/>
              <w:bottom w:val="single" w:sz="8" w:space="0" w:color="auto"/>
              <w:right w:val="single" w:sz="8" w:space="0" w:color="auto"/>
            </w:tcBorders>
            <w:vAlign w:val="center"/>
            <w:hideMark/>
          </w:tcPr>
          <w:p w14:paraId="0E3D7095" w14:textId="77777777" w:rsidR="00850EF8" w:rsidRPr="00732D9A" w:rsidRDefault="00850EF8" w:rsidP="00850EF8">
            <w:pPr>
              <w:spacing w:before="0" w:after="0"/>
              <w:jc w:val="center"/>
              <w:rPr>
                <w:b/>
                <w:noProof/>
                <w:color w:val="000000"/>
                <w:sz w:val="20"/>
                <w:szCs w:val="20"/>
              </w:rPr>
            </w:pPr>
            <w:r w:rsidRPr="00732D9A">
              <w:rPr>
                <w:b/>
                <w:noProof/>
                <w:color w:val="000000"/>
                <w:sz w:val="20"/>
              </w:rPr>
              <w:t>2024</w:t>
            </w:r>
          </w:p>
        </w:tc>
        <w:tc>
          <w:tcPr>
            <w:tcW w:w="399" w:type="pct"/>
            <w:tcBorders>
              <w:top w:val="nil"/>
              <w:left w:val="nil"/>
              <w:bottom w:val="single" w:sz="8" w:space="0" w:color="auto"/>
              <w:right w:val="single" w:sz="8" w:space="0" w:color="auto"/>
            </w:tcBorders>
            <w:vAlign w:val="center"/>
            <w:hideMark/>
          </w:tcPr>
          <w:p w14:paraId="6614B355" w14:textId="77777777" w:rsidR="00850EF8" w:rsidRPr="00732D9A" w:rsidRDefault="00850EF8" w:rsidP="00850EF8">
            <w:pPr>
              <w:spacing w:before="0" w:after="0"/>
              <w:jc w:val="center"/>
              <w:rPr>
                <w:b/>
                <w:noProof/>
                <w:color w:val="000000"/>
                <w:sz w:val="20"/>
                <w:szCs w:val="20"/>
              </w:rPr>
            </w:pPr>
            <w:r w:rsidRPr="00732D9A">
              <w:rPr>
                <w:b/>
                <w:noProof/>
                <w:color w:val="000000"/>
                <w:sz w:val="20"/>
              </w:rPr>
              <w:t>2025</w:t>
            </w:r>
          </w:p>
        </w:tc>
        <w:tc>
          <w:tcPr>
            <w:tcW w:w="399" w:type="pct"/>
            <w:tcBorders>
              <w:top w:val="nil"/>
              <w:left w:val="nil"/>
              <w:bottom w:val="single" w:sz="8" w:space="0" w:color="auto"/>
              <w:right w:val="single" w:sz="8" w:space="0" w:color="auto"/>
            </w:tcBorders>
            <w:vAlign w:val="center"/>
            <w:hideMark/>
          </w:tcPr>
          <w:p w14:paraId="4330AE5A" w14:textId="77777777" w:rsidR="00850EF8" w:rsidRPr="00732D9A" w:rsidRDefault="00850EF8" w:rsidP="00850EF8">
            <w:pPr>
              <w:spacing w:before="0" w:after="0"/>
              <w:jc w:val="center"/>
              <w:rPr>
                <w:b/>
                <w:noProof/>
                <w:color w:val="000000"/>
                <w:sz w:val="20"/>
                <w:szCs w:val="20"/>
              </w:rPr>
            </w:pPr>
            <w:r w:rsidRPr="00732D9A">
              <w:rPr>
                <w:b/>
                <w:noProof/>
                <w:color w:val="000000"/>
                <w:sz w:val="20"/>
              </w:rPr>
              <w:t>2026</w:t>
            </w:r>
          </w:p>
        </w:tc>
        <w:tc>
          <w:tcPr>
            <w:tcW w:w="399" w:type="pct"/>
            <w:tcBorders>
              <w:top w:val="nil"/>
              <w:left w:val="nil"/>
              <w:bottom w:val="single" w:sz="8" w:space="0" w:color="auto"/>
              <w:right w:val="single" w:sz="8" w:space="0" w:color="auto"/>
            </w:tcBorders>
            <w:vAlign w:val="center"/>
            <w:hideMark/>
          </w:tcPr>
          <w:p w14:paraId="3D9D90CE" w14:textId="77777777" w:rsidR="00850EF8" w:rsidRPr="00732D9A" w:rsidRDefault="00850EF8" w:rsidP="00850EF8">
            <w:pPr>
              <w:spacing w:before="0" w:after="0"/>
              <w:jc w:val="center"/>
              <w:rPr>
                <w:b/>
                <w:noProof/>
                <w:color w:val="000000"/>
                <w:sz w:val="20"/>
                <w:szCs w:val="20"/>
              </w:rPr>
            </w:pPr>
            <w:r w:rsidRPr="00732D9A">
              <w:rPr>
                <w:b/>
                <w:noProof/>
                <w:color w:val="000000"/>
                <w:sz w:val="20"/>
              </w:rPr>
              <w:t>2027</w:t>
            </w:r>
          </w:p>
        </w:tc>
        <w:tc>
          <w:tcPr>
            <w:tcW w:w="493" w:type="pct"/>
            <w:vMerge/>
            <w:tcBorders>
              <w:top w:val="single" w:sz="8" w:space="0" w:color="auto"/>
              <w:left w:val="single" w:sz="8" w:space="0" w:color="auto"/>
              <w:bottom w:val="single" w:sz="8" w:space="0" w:color="auto"/>
              <w:right w:val="single" w:sz="8" w:space="0" w:color="auto"/>
            </w:tcBorders>
            <w:vAlign w:val="center"/>
            <w:hideMark/>
          </w:tcPr>
          <w:p w14:paraId="60C90E11" w14:textId="77777777" w:rsidR="00850EF8" w:rsidRPr="00732D9A" w:rsidRDefault="00850EF8" w:rsidP="00850EF8">
            <w:pPr>
              <w:spacing w:before="0" w:after="0"/>
              <w:jc w:val="left"/>
              <w:rPr>
                <w:b/>
                <w:noProof/>
                <w:color w:val="000000"/>
                <w:sz w:val="20"/>
                <w:szCs w:val="20"/>
                <w:lang w:eastAsia="en-IE"/>
              </w:rPr>
            </w:pPr>
          </w:p>
        </w:tc>
        <w:tc>
          <w:tcPr>
            <w:tcW w:w="493" w:type="pct"/>
            <w:vMerge/>
            <w:tcBorders>
              <w:left w:val="single" w:sz="8" w:space="0" w:color="auto"/>
              <w:bottom w:val="single" w:sz="8" w:space="0" w:color="auto"/>
              <w:right w:val="single" w:sz="8" w:space="0" w:color="auto"/>
            </w:tcBorders>
          </w:tcPr>
          <w:p w14:paraId="1C2D9D36" w14:textId="77777777" w:rsidR="00850EF8" w:rsidRPr="00732D9A" w:rsidRDefault="00850EF8" w:rsidP="00850EF8">
            <w:pPr>
              <w:spacing w:before="0" w:after="0"/>
              <w:jc w:val="left"/>
              <w:rPr>
                <w:b/>
                <w:noProof/>
                <w:color w:val="000000"/>
                <w:sz w:val="20"/>
                <w:szCs w:val="20"/>
                <w:lang w:eastAsia="en-IE"/>
              </w:rPr>
            </w:pPr>
          </w:p>
        </w:tc>
      </w:tr>
      <w:tr w:rsidR="006176CB" w:rsidRPr="00732D9A" w14:paraId="7264C7EB" w14:textId="77777777" w:rsidTr="006021A8">
        <w:trPr>
          <w:trHeight w:val="432"/>
        </w:trPr>
        <w:tc>
          <w:tcPr>
            <w:tcW w:w="1225" w:type="pct"/>
            <w:vMerge w:val="restart"/>
            <w:tcBorders>
              <w:top w:val="nil"/>
              <w:left w:val="single" w:sz="8" w:space="0" w:color="auto"/>
              <w:bottom w:val="single" w:sz="8" w:space="0" w:color="auto"/>
              <w:right w:val="single" w:sz="8" w:space="0" w:color="auto"/>
            </w:tcBorders>
            <w:vAlign w:val="center"/>
            <w:hideMark/>
          </w:tcPr>
          <w:p w14:paraId="78EF1D93" w14:textId="77777777" w:rsidR="006021A8" w:rsidRPr="00732D9A" w:rsidRDefault="006021A8" w:rsidP="006021A8">
            <w:pPr>
              <w:spacing w:before="0" w:after="0"/>
              <w:rPr>
                <w:noProof/>
                <w:color w:val="000000"/>
                <w:sz w:val="21"/>
                <w:szCs w:val="21"/>
              </w:rPr>
            </w:pPr>
            <w:r w:rsidRPr="00732D9A">
              <w:rPr>
                <w:noProof/>
                <w:color w:val="000000"/>
                <w:sz w:val="21"/>
              </w:rPr>
              <w:t xml:space="preserve">TOTAL des crédits opérationnels </w:t>
            </w:r>
            <w:r w:rsidRPr="00732D9A">
              <w:rPr>
                <w:noProof/>
              </w:rPr>
              <w:t xml:space="preserve"> </w:t>
            </w:r>
            <w:r w:rsidRPr="00732D9A">
              <w:rPr>
                <w:noProof/>
              </w:rPr>
              <w:cr/>
            </w:r>
            <w:r w:rsidRPr="00732D9A">
              <w:rPr>
                <w:noProof/>
              </w:rPr>
              <w:br/>
            </w:r>
          </w:p>
        </w:tc>
        <w:tc>
          <w:tcPr>
            <w:tcW w:w="794" w:type="pct"/>
            <w:tcBorders>
              <w:top w:val="nil"/>
              <w:left w:val="nil"/>
              <w:bottom w:val="single" w:sz="8" w:space="0" w:color="auto"/>
              <w:right w:val="single" w:sz="8" w:space="0" w:color="auto"/>
            </w:tcBorders>
            <w:vAlign w:val="center"/>
            <w:hideMark/>
          </w:tcPr>
          <w:p w14:paraId="084E9182" w14:textId="77777777" w:rsidR="006021A8" w:rsidRPr="00732D9A" w:rsidRDefault="006021A8" w:rsidP="006021A8">
            <w:pPr>
              <w:spacing w:before="0" w:after="0"/>
              <w:rPr>
                <w:noProof/>
                <w:color w:val="000000"/>
                <w:sz w:val="18"/>
                <w:szCs w:val="18"/>
              </w:rPr>
            </w:pPr>
            <w:r w:rsidRPr="00732D9A">
              <w:rPr>
                <w:noProof/>
                <w:color w:val="000000"/>
                <w:sz w:val="18"/>
              </w:rPr>
              <w:t>Engagements</w:t>
            </w:r>
          </w:p>
        </w:tc>
        <w:tc>
          <w:tcPr>
            <w:tcW w:w="399" w:type="pct"/>
            <w:tcBorders>
              <w:top w:val="single" w:sz="8" w:space="0" w:color="auto"/>
              <w:left w:val="nil"/>
              <w:bottom w:val="single" w:sz="8" w:space="0" w:color="auto"/>
              <w:right w:val="single" w:sz="8" w:space="0" w:color="auto"/>
            </w:tcBorders>
            <w:vAlign w:val="center"/>
            <w:hideMark/>
          </w:tcPr>
          <w:p w14:paraId="4930DA81" w14:textId="77777777" w:rsidR="006021A8" w:rsidRPr="00732D9A" w:rsidRDefault="006021A8" w:rsidP="006021A8">
            <w:pPr>
              <w:spacing w:before="0" w:after="0"/>
              <w:jc w:val="center"/>
              <w:rPr>
                <w:noProof/>
                <w:color w:val="000000"/>
                <w:sz w:val="14"/>
                <w:szCs w:val="14"/>
              </w:rPr>
            </w:pPr>
            <w:r w:rsidRPr="00732D9A">
              <w:rPr>
                <w:noProof/>
                <w:color w:val="000000"/>
                <w:sz w:val="14"/>
              </w:rPr>
              <w:t>(4)</w:t>
            </w:r>
          </w:p>
        </w:tc>
        <w:tc>
          <w:tcPr>
            <w:tcW w:w="399" w:type="pct"/>
            <w:tcBorders>
              <w:top w:val="nil"/>
              <w:left w:val="nil"/>
              <w:bottom w:val="single" w:sz="8" w:space="0" w:color="auto"/>
              <w:right w:val="single" w:sz="8" w:space="0" w:color="auto"/>
            </w:tcBorders>
            <w:shd w:val="clear" w:color="000000" w:fill="D9D9D9"/>
            <w:vAlign w:val="center"/>
            <w:hideMark/>
          </w:tcPr>
          <w:p w14:paraId="723B5C21"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6A4A52F3"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05D22F2"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012829E" w14:textId="77777777" w:rsidR="006021A8" w:rsidRPr="00732D9A" w:rsidRDefault="006021A8" w:rsidP="006021A8">
            <w:pPr>
              <w:spacing w:before="0" w:after="0"/>
              <w:jc w:val="right"/>
              <w:rPr>
                <w:noProof/>
                <w:color w:val="000000"/>
                <w:sz w:val="20"/>
                <w:szCs w:val="20"/>
              </w:rPr>
            </w:pPr>
            <w:r w:rsidRPr="00732D9A">
              <w:rPr>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7129C608" w14:textId="77777777" w:rsidR="006021A8" w:rsidRPr="00732D9A" w:rsidRDefault="006021A8" w:rsidP="006021A8">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6A9F0A8E" w14:textId="77777777" w:rsidR="006021A8" w:rsidRPr="00732D9A" w:rsidRDefault="006021A8" w:rsidP="006021A8">
            <w:pPr>
              <w:spacing w:before="0" w:after="0"/>
              <w:jc w:val="right"/>
              <w:rPr>
                <w:b/>
                <w:noProof/>
                <w:color w:val="000000"/>
                <w:sz w:val="20"/>
                <w:szCs w:val="20"/>
              </w:rPr>
            </w:pPr>
            <w:r w:rsidRPr="00732D9A">
              <w:rPr>
                <w:b/>
                <w:noProof/>
                <w:color w:val="000000"/>
                <w:sz w:val="20"/>
              </w:rPr>
              <w:t>0,140</w:t>
            </w:r>
          </w:p>
        </w:tc>
      </w:tr>
      <w:tr w:rsidR="006176CB" w:rsidRPr="00732D9A" w14:paraId="441A78AD" w14:textId="77777777" w:rsidTr="006021A8">
        <w:trPr>
          <w:trHeight w:val="456"/>
        </w:trPr>
        <w:tc>
          <w:tcPr>
            <w:tcW w:w="1225" w:type="pct"/>
            <w:vMerge/>
            <w:tcBorders>
              <w:top w:val="nil"/>
              <w:left w:val="single" w:sz="8" w:space="0" w:color="auto"/>
              <w:bottom w:val="single" w:sz="8" w:space="0" w:color="auto"/>
              <w:right w:val="single" w:sz="8" w:space="0" w:color="auto"/>
            </w:tcBorders>
            <w:vAlign w:val="center"/>
            <w:hideMark/>
          </w:tcPr>
          <w:p w14:paraId="1F567683" w14:textId="77777777" w:rsidR="006021A8" w:rsidRPr="00732D9A" w:rsidRDefault="006021A8" w:rsidP="006021A8">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530D480B" w14:textId="77777777" w:rsidR="006021A8" w:rsidRPr="00732D9A" w:rsidRDefault="006021A8" w:rsidP="006021A8">
            <w:pPr>
              <w:spacing w:before="0" w:after="0"/>
              <w:rPr>
                <w:noProof/>
                <w:color w:val="000000"/>
                <w:sz w:val="18"/>
                <w:szCs w:val="18"/>
              </w:rPr>
            </w:pPr>
            <w:r w:rsidRPr="00732D9A">
              <w:rPr>
                <w:noProof/>
                <w:color w:val="000000"/>
                <w:sz w:val="18"/>
              </w:rPr>
              <w:t>Paiements</w:t>
            </w:r>
          </w:p>
        </w:tc>
        <w:tc>
          <w:tcPr>
            <w:tcW w:w="399" w:type="pct"/>
            <w:tcBorders>
              <w:top w:val="single" w:sz="8" w:space="0" w:color="auto"/>
              <w:left w:val="nil"/>
              <w:bottom w:val="single" w:sz="8" w:space="0" w:color="auto"/>
              <w:right w:val="single" w:sz="8" w:space="0" w:color="auto"/>
            </w:tcBorders>
            <w:vAlign w:val="center"/>
            <w:hideMark/>
          </w:tcPr>
          <w:p w14:paraId="3F91C0A3" w14:textId="77777777" w:rsidR="006021A8" w:rsidRPr="00732D9A" w:rsidRDefault="006021A8" w:rsidP="006021A8">
            <w:pPr>
              <w:spacing w:before="0" w:after="0"/>
              <w:jc w:val="center"/>
              <w:rPr>
                <w:noProof/>
                <w:color w:val="000000"/>
                <w:sz w:val="14"/>
                <w:szCs w:val="14"/>
              </w:rPr>
            </w:pPr>
            <w:r w:rsidRPr="00732D9A">
              <w:rPr>
                <w:noProof/>
                <w:color w:val="000000"/>
                <w:sz w:val="14"/>
              </w:rPr>
              <w:t>(5)</w:t>
            </w:r>
          </w:p>
        </w:tc>
        <w:tc>
          <w:tcPr>
            <w:tcW w:w="399" w:type="pct"/>
            <w:tcBorders>
              <w:top w:val="nil"/>
              <w:left w:val="nil"/>
              <w:bottom w:val="single" w:sz="8" w:space="0" w:color="auto"/>
              <w:right w:val="single" w:sz="8" w:space="0" w:color="auto"/>
            </w:tcBorders>
            <w:shd w:val="clear" w:color="000000" w:fill="D9D9D9"/>
            <w:vAlign w:val="center"/>
            <w:hideMark/>
          </w:tcPr>
          <w:p w14:paraId="5598039B"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3CF3BB5"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003265E6" w14:textId="77777777" w:rsidR="006021A8" w:rsidRPr="00732D9A" w:rsidRDefault="006021A8" w:rsidP="006021A8">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287BE58C" w14:textId="77777777" w:rsidR="006021A8" w:rsidRPr="00732D9A" w:rsidRDefault="006021A8" w:rsidP="006021A8">
            <w:pPr>
              <w:spacing w:before="0" w:after="0"/>
              <w:jc w:val="right"/>
              <w:rPr>
                <w:noProof/>
                <w:color w:val="000000"/>
                <w:sz w:val="20"/>
                <w:szCs w:val="20"/>
              </w:rPr>
            </w:pPr>
            <w:r w:rsidRPr="00732D9A">
              <w:rPr>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34220028" w14:textId="77777777" w:rsidR="006021A8" w:rsidRPr="00732D9A" w:rsidRDefault="006021A8" w:rsidP="006021A8">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176CCDA9" w14:textId="77777777" w:rsidR="006021A8" w:rsidRPr="00732D9A" w:rsidRDefault="006021A8" w:rsidP="006021A8">
            <w:pPr>
              <w:spacing w:before="0" w:after="0"/>
              <w:jc w:val="right"/>
              <w:rPr>
                <w:b/>
                <w:noProof/>
                <w:color w:val="000000"/>
                <w:sz w:val="20"/>
                <w:szCs w:val="20"/>
              </w:rPr>
            </w:pPr>
            <w:r w:rsidRPr="00732D9A">
              <w:rPr>
                <w:b/>
                <w:noProof/>
                <w:color w:val="000000"/>
                <w:sz w:val="20"/>
              </w:rPr>
              <w:t>0,140</w:t>
            </w:r>
          </w:p>
        </w:tc>
      </w:tr>
      <w:tr w:rsidR="00F4211D" w:rsidRPr="00732D9A" w14:paraId="4C04564B" w14:textId="77777777">
        <w:trPr>
          <w:trHeight w:val="924"/>
        </w:trPr>
        <w:tc>
          <w:tcPr>
            <w:tcW w:w="2019" w:type="pct"/>
            <w:gridSpan w:val="2"/>
            <w:tcBorders>
              <w:top w:val="single" w:sz="8" w:space="0" w:color="auto"/>
              <w:left w:val="single" w:sz="8" w:space="0" w:color="auto"/>
              <w:bottom w:val="single" w:sz="8" w:space="0" w:color="auto"/>
              <w:right w:val="single" w:sz="8" w:space="0" w:color="auto"/>
            </w:tcBorders>
            <w:vAlign w:val="center"/>
            <w:hideMark/>
          </w:tcPr>
          <w:p w14:paraId="46946C19" w14:textId="77777777" w:rsidR="00F4211D" w:rsidRPr="00732D9A" w:rsidRDefault="00F4211D" w:rsidP="00F4211D">
            <w:pPr>
              <w:spacing w:before="0" w:after="0"/>
              <w:rPr>
                <w:noProof/>
                <w:color w:val="000000"/>
                <w:sz w:val="21"/>
                <w:szCs w:val="21"/>
              </w:rPr>
            </w:pPr>
            <w:r w:rsidRPr="00732D9A">
              <w:rPr>
                <w:noProof/>
                <w:color w:val="000000"/>
                <w:sz w:val="21"/>
              </w:rPr>
              <w:t xml:space="preserve">TOTAL des crédits de nature administrative financés par l’enveloppe de certains programmes spécifiques </w:t>
            </w:r>
          </w:p>
        </w:tc>
        <w:tc>
          <w:tcPr>
            <w:tcW w:w="399" w:type="pct"/>
            <w:tcBorders>
              <w:top w:val="single" w:sz="8" w:space="0" w:color="auto"/>
              <w:left w:val="nil"/>
              <w:bottom w:val="single" w:sz="8" w:space="0" w:color="auto"/>
              <w:right w:val="single" w:sz="8" w:space="0" w:color="auto"/>
            </w:tcBorders>
            <w:vAlign w:val="center"/>
            <w:hideMark/>
          </w:tcPr>
          <w:p w14:paraId="4703E076" w14:textId="77777777" w:rsidR="00F4211D" w:rsidRPr="00732D9A" w:rsidRDefault="00F4211D" w:rsidP="00F4211D">
            <w:pPr>
              <w:spacing w:before="0" w:after="0"/>
              <w:jc w:val="center"/>
              <w:rPr>
                <w:noProof/>
                <w:color w:val="000000"/>
                <w:sz w:val="14"/>
                <w:szCs w:val="14"/>
              </w:rPr>
            </w:pPr>
            <w:r w:rsidRPr="00732D9A">
              <w:rPr>
                <w:noProof/>
                <w:color w:val="000000"/>
                <w:sz w:val="14"/>
              </w:rPr>
              <w:t>(6)</w:t>
            </w:r>
          </w:p>
        </w:tc>
        <w:tc>
          <w:tcPr>
            <w:tcW w:w="399" w:type="pct"/>
            <w:tcBorders>
              <w:top w:val="nil"/>
              <w:left w:val="nil"/>
              <w:bottom w:val="single" w:sz="8" w:space="0" w:color="auto"/>
              <w:right w:val="single" w:sz="8" w:space="0" w:color="auto"/>
            </w:tcBorders>
            <w:shd w:val="clear" w:color="000000" w:fill="D9D9D9"/>
            <w:vAlign w:val="center"/>
            <w:hideMark/>
          </w:tcPr>
          <w:p w14:paraId="7AC6DF7D"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A78A955"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42050383"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5648611"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14:paraId="0C780CFA"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tcPr>
          <w:p w14:paraId="74967B47"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r>
      <w:tr w:rsidR="00F4211D" w:rsidRPr="00732D9A" w14:paraId="16487B2D" w14:textId="77777777" w:rsidTr="00622FD3">
        <w:trPr>
          <w:trHeight w:val="564"/>
        </w:trPr>
        <w:tc>
          <w:tcPr>
            <w:tcW w:w="1225" w:type="pct"/>
            <w:tcBorders>
              <w:top w:val="nil"/>
              <w:left w:val="single" w:sz="8" w:space="0" w:color="auto"/>
              <w:bottom w:val="nil"/>
              <w:right w:val="single" w:sz="8" w:space="0" w:color="auto"/>
            </w:tcBorders>
            <w:shd w:val="thinDiagStripe" w:color="C0C0C0" w:fill="F1F1F1"/>
            <w:vAlign w:val="center"/>
            <w:hideMark/>
          </w:tcPr>
          <w:p w14:paraId="5D6F4CB1" w14:textId="77777777" w:rsidR="00F4211D" w:rsidRPr="00732D9A" w:rsidRDefault="00F4211D" w:rsidP="00F4211D">
            <w:pPr>
              <w:spacing w:before="0" w:after="0"/>
              <w:jc w:val="center"/>
              <w:rPr>
                <w:b/>
                <w:noProof/>
                <w:color w:val="000000"/>
                <w:sz w:val="22"/>
              </w:rPr>
            </w:pPr>
            <w:r w:rsidRPr="00732D9A">
              <w:rPr>
                <w:b/>
                <w:noProof/>
                <w:color w:val="000000"/>
                <w:sz w:val="22"/>
              </w:rPr>
              <w:t>TOTAL des crédits pour la RUBRIQUE 1</w:t>
            </w:r>
          </w:p>
        </w:tc>
        <w:tc>
          <w:tcPr>
            <w:tcW w:w="794" w:type="pct"/>
            <w:tcBorders>
              <w:top w:val="nil"/>
              <w:left w:val="nil"/>
              <w:bottom w:val="single" w:sz="8" w:space="0" w:color="auto"/>
              <w:right w:val="single" w:sz="8" w:space="0" w:color="auto"/>
            </w:tcBorders>
            <w:vAlign w:val="center"/>
            <w:hideMark/>
          </w:tcPr>
          <w:p w14:paraId="11DE0D27" w14:textId="77777777" w:rsidR="00F4211D" w:rsidRPr="00732D9A" w:rsidRDefault="00F4211D" w:rsidP="00F4211D">
            <w:pPr>
              <w:spacing w:before="0" w:after="0"/>
              <w:rPr>
                <w:noProof/>
                <w:color w:val="000000"/>
                <w:sz w:val="18"/>
                <w:szCs w:val="18"/>
              </w:rPr>
            </w:pPr>
            <w:r w:rsidRPr="00732D9A">
              <w:rPr>
                <w:noProof/>
                <w:color w:val="000000"/>
                <w:sz w:val="18"/>
              </w:rPr>
              <w:t>Engagements</w:t>
            </w:r>
          </w:p>
        </w:tc>
        <w:tc>
          <w:tcPr>
            <w:tcW w:w="399" w:type="pct"/>
            <w:tcBorders>
              <w:top w:val="single" w:sz="8" w:space="0" w:color="auto"/>
              <w:left w:val="nil"/>
              <w:bottom w:val="single" w:sz="8" w:space="0" w:color="auto"/>
              <w:right w:val="single" w:sz="8" w:space="0" w:color="auto"/>
            </w:tcBorders>
            <w:vAlign w:val="center"/>
            <w:hideMark/>
          </w:tcPr>
          <w:p w14:paraId="0EAB4565" w14:textId="77777777" w:rsidR="00F4211D" w:rsidRPr="00732D9A" w:rsidRDefault="00F4211D" w:rsidP="00F4211D">
            <w:pPr>
              <w:spacing w:before="0" w:after="0"/>
              <w:jc w:val="center"/>
              <w:rPr>
                <w:noProof/>
                <w:color w:val="000000"/>
                <w:sz w:val="14"/>
                <w:szCs w:val="14"/>
              </w:rPr>
            </w:pPr>
            <w:r w:rsidRPr="00732D9A">
              <w:rPr>
                <w:noProof/>
                <w:color w:val="000000"/>
                <w:sz w:val="14"/>
              </w:rPr>
              <w:t>=4+6</w:t>
            </w:r>
          </w:p>
        </w:tc>
        <w:tc>
          <w:tcPr>
            <w:tcW w:w="399" w:type="pct"/>
            <w:tcBorders>
              <w:top w:val="nil"/>
              <w:left w:val="nil"/>
              <w:bottom w:val="single" w:sz="8" w:space="0" w:color="auto"/>
              <w:right w:val="single" w:sz="8" w:space="0" w:color="auto"/>
            </w:tcBorders>
            <w:shd w:val="clear" w:color="000000" w:fill="D9D9D9"/>
            <w:vAlign w:val="center"/>
            <w:hideMark/>
          </w:tcPr>
          <w:p w14:paraId="5B91FE52"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0AD66656"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5E209CD9"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242E2619"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19784AD3"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36DB4DE8" w14:textId="77777777" w:rsidR="00F4211D" w:rsidRPr="00732D9A" w:rsidRDefault="00F4211D" w:rsidP="00F4211D">
            <w:pPr>
              <w:spacing w:before="0" w:after="0"/>
              <w:jc w:val="right"/>
              <w:rPr>
                <w:b/>
                <w:noProof/>
                <w:color w:val="000000"/>
                <w:sz w:val="20"/>
                <w:szCs w:val="20"/>
              </w:rPr>
            </w:pPr>
            <w:r w:rsidRPr="00732D9A">
              <w:rPr>
                <w:b/>
                <w:noProof/>
                <w:color w:val="000000"/>
                <w:sz w:val="20"/>
              </w:rPr>
              <w:t>0,140</w:t>
            </w:r>
          </w:p>
        </w:tc>
      </w:tr>
      <w:tr w:rsidR="00F4211D" w:rsidRPr="00732D9A" w14:paraId="2D730456" w14:textId="77777777" w:rsidTr="00622FD3">
        <w:trPr>
          <w:trHeight w:val="528"/>
        </w:trPr>
        <w:tc>
          <w:tcPr>
            <w:tcW w:w="1225" w:type="pct"/>
            <w:tcBorders>
              <w:top w:val="nil"/>
              <w:left w:val="single" w:sz="8" w:space="0" w:color="auto"/>
              <w:bottom w:val="single" w:sz="8" w:space="0" w:color="auto"/>
              <w:right w:val="single" w:sz="8" w:space="0" w:color="auto"/>
            </w:tcBorders>
            <w:shd w:val="thinDiagStripe" w:color="C0C0C0" w:fill="F1F1F1"/>
            <w:vAlign w:val="center"/>
            <w:hideMark/>
          </w:tcPr>
          <w:p w14:paraId="75AA222B" w14:textId="77777777" w:rsidR="00F4211D" w:rsidRPr="00732D9A" w:rsidRDefault="00F4211D" w:rsidP="00F4211D">
            <w:pPr>
              <w:spacing w:before="0" w:after="0"/>
              <w:jc w:val="center"/>
              <w:rPr>
                <w:noProof/>
                <w:color w:val="000000"/>
                <w:sz w:val="22"/>
              </w:rPr>
            </w:pPr>
            <w:r w:rsidRPr="00732D9A">
              <w:rPr>
                <w:noProof/>
                <w:color w:val="000000"/>
                <w:sz w:val="22"/>
              </w:rPr>
              <w:t>du cadre financier pluriannuel</w:t>
            </w:r>
          </w:p>
        </w:tc>
        <w:tc>
          <w:tcPr>
            <w:tcW w:w="794" w:type="pct"/>
            <w:tcBorders>
              <w:top w:val="nil"/>
              <w:left w:val="nil"/>
              <w:bottom w:val="single" w:sz="8" w:space="0" w:color="auto"/>
              <w:right w:val="single" w:sz="8" w:space="0" w:color="auto"/>
            </w:tcBorders>
            <w:vAlign w:val="center"/>
            <w:hideMark/>
          </w:tcPr>
          <w:p w14:paraId="1AEDCE00" w14:textId="77777777" w:rsidR="00F4211D" w:rsidRPr="00732D9A" w:rsidRDefault="00F4211D" w:rsidP="00F4211D">
            <w:pPr>
              <w:spacing w:before="0" w:after="0"/>
              <w:rPr>
                <w:noProof/>
                <w:color w:val="000000"/>
                <w:sz w:val="18"/>
                <w:szCs w:val="18"/>
              </w:rPr>
            </w:pPr>
            <w:r w:rsidRPr="00732D9A">
              <w:rPr>
                <w:noProof/>
                <w:color w:val="000000"/>
                <w:sz w:val="18"/>
              </w:rPr>
              <w:t>Paiements</w:t>
            </w:r>
          </w:p>
        </w:tc>
        <w:tc>
          <w:tcPr>
            <w:tcW w:w="399" w:type="pct"/>
            <w:tcBorders>
              <w:top w:val="single" w:sz="8" w:space="0" w:color="auto"/>
              <w:left w:val="nil"/>
              <w:bottom w:val="single" w:sz="8" w:space="0" w:color="auto"/>
              <w:right w:val="single" w:sz="8" w:space="0" w:color="auto"/>
            </w:tcBorders>
            <w:vAlign w:val="center"/>
            <w:hideMark/>
          </w:tcPr>
          <w:p w14:paraId="30048B93" w14:textId="77777777" w:rsidR="00F4211D" w:rsidRPr="00732D9A" w:rsidRDefault="00F4211D" w:rsidP="00F4211D">
            <w:pPr>
              <w:spacing w:before="0" w:after="0"/>
              <w:jc w:val="center"/>
              <w:rPr>
                <w:noProof/>
                <w:color w:val="000000"/>
                <w:sz w:val="14"/>
                <w:szCs w:val="14"/>
              </w:rPr>
            </w:pPr>
            <w:r w:rsidRPr="00732D9A">
              <w:rPr>
                <w:noProof/>
                <w:color w:val="000000"/>
                <w:sz w:val="14"/>
              </w:rPr>
              <w:t>=5+6</w:t>
            </w:r>
          </w:p>
        </w:tc>
        <w:tc>
          <w:tcPr>
            <w:tcW w:w="399" w:type="pct"/>
            <w:tcBorders>
              <w:top w:val="nil"/>
              <w:left w:val="nil"/>
              <w:bottom w:val="single" w:sz="8" w:space="0" w:color="auto"/>
              <w:right w:val="single" w:sz="8" w:space="0" w:color="auto"/>
            </w:tcBorders>
            <w:shd w:val="clear" w:color="000000" w:fill="D9D9D9"/>
            <w:vAlign w:val="center"/>
            <w:hideMark/>
          </w:tcPr>
          <w:p w14:paraId="396B5B5F"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669D2499"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59200A9"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9" w:type="pct"/>
            <w:tcBorders>
              <w:top w:val="nil"/>
              <w:left w:val="nil"/>
              <w:bottom w:val="single" w:sz="8" w:space="0" w:color="auto"/>
              <w:right w:val="single" w:sz="8" w:space="0" w:color="auto"/>
            </w:tcBorders>
            <w:shd w:val="clear" w:color="000000" w:fill="D9D9D9"/>
            <w:vAlign w:val="center"/>
            <w:hideMark/>
          </w:tcPr>
          <w:p w14:paraId="3D302FA2"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hideMark/>
          </w:tcPr>
          <w:p w14:paraId="7CA02454"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93" w:type="pct"/>
            <w:tcBorders>
              <w:top w:val="nil"/>
              <w:left w:val="nil"/>
              <w:bottom w:val="single" w:sz="8" w:space="0" w:color="auto"/>
              <w:right w:val="single" w:sz="8" w:space="0" w:color="auto"/>
            </w:tcBorders>
            <w:shd w:val="clear" w:color="000000" w:fill="D9D9D9"/>
            <w:vAlign w:val="center"/>
          </w:tcPr>
          <w:p w14:paraId="269E997C" w14:textId="77777777" w:rsidR="00F4211D" w:rsidRPr="00732D9A" w:rsidRDefault="00F4211D" w:rsidP="00F4211D">
            <w:pPr>
              <w:spacing w:before="0" w:after="0"/>
              <w:jc w:val="right"/>
              <w:rPr>
                <w:b/>
                <w:noProof/>
                <w:color w:val="000000"/>
                <w:sz w:val="20"/>
                <w:szCs w:val="20"/>
              </w:rPr>
            </w:pPr>
            <w:r w:rsidRPr="00732D9A">
              <w:rPr>
                <w:b/>
                <w:noProof/>
                <w:color w:val="000000"/>
                <w:sz w:val="20"/>
              </w:rPr>
              <w:t>0,140</w:t>
            </w:r>
          </w:p>
        </w:tc>
      </w:tr>
    </w:tbl>
    <w:p w14:paraId="307A2C5D" w14:textId="77777777" w:rsidR="001070C7" w:rsidRPr="00732D9A" w:rsidRDefault="001070C7" w:rsidP="001070C7">
      <w:pPr>
        <w:jc w:val="right"/>
        <w:rPr>
          <w:noProof/>
          <w:sz w:val="20"/>
        </w:rPr>
      </w:pPr>
    </w:p>
    <w:p w14:paraId="5A04AC72" w14:textId="14B44431" w:rsidR="001070C7" w:rsidRPr="00732D9A" w:rsidRDefault="001070C7" w:rsidP="001070C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122"/>
        <w:gridCol w:w="1236"/>
        <w:gridCol w:w="1061"/>
        <w:gridCol w:w="1101"/>
        <w:gridCol w:w="870"/>
        <w:gridCol w:w="1118"/>
        <w:gridCol w:w="1101"/>
        <w:gridCol w:w="1101"/>
        <w:gridCol w:w="1101"/>
        <w:gridCol w:w="1101"/>
        <w:gridCol w:w="1308"/>
      </w:tblGrid>
      <w:tr w:rsidR="00D5566C" w:rsidRPr="00732D9A" w14:paraId="635A850D" w14:textId="77777777" w:rsidTr="00855F93">
        <w:trPr>
          <w:trHeight w:val="300"/>
        </w:trPr>
        <w:tc>
          <w:tcPr>
            <w:tcW w:w="1905"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0588841" w14:textId="77777777" w:rsidR="00D5566C" w:rsidRPr="00732D9A" w:rsidRDefault="00D5566C" w:rsidP="00D5566C">
            <w:pPr>
              <w:spacing w:before="0" w:after="0"/>
              <w:jc w:val="center"/>
              <w:rPr>
                <w:rFonts w:eastAsia="Times New Roman"/>
                <w:b/>
                <w:bCs/>
                <w:noProof/>
                <w:color w:val="000000"/>
                <w:sz w:val="22"/>
              </w:rPr>
            </w:pPr>
            <w:r w:rsidRPr="00732D9A">
              <w:rPr>
                <w:b/>
                <w:noProof/>
                <w:color w:val="000000"/>
                <w:sz w:val="22"/>
              </w:rPr>
              <w:t xml:space="preserve"> </w:t>
            </w:r>
          </w:p>
        </w:tc>
        <w:tc>
          <w:tcPr>
            <w:tcW w:w="387" w:type="pct"/>
            <w:tcBorders>
              <w:top w:val="single" w:sz="8" w:space="0" w:color="auto"/>
              <w:left w:val="nil"/>
              <w:bottom w:val="single" w:sz="8" w:space="0" w:color="auto"/>
              <w:right w:val="single" w:sz="8" w:space="0" w:color="auto"/>
            </w:tcBorders>
            <w:vAlign w:val="center"/>
            <w:hideMark/>
          </w:tcPr>
          <w:p w14:paraId="5F6FDC3C"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06" w:type="pct"/>
            <w:tcBorders>
              <w:top w:val="single" w:sz="8" w:space="0" w:color="auto"/>
              <w:left w:val="nil"/>
              <w:bottom w:val="single" w:sz="8" w:space="0" w:color="auto"/>
              <w:right w:val="single" w:sz="8" w:space="0" w:color="auto"/>
            </w:tcBorders>
            <w:vAlign w:val="center"/>
            <w:hideMark/>
          </w:tcPr>
          <w:p w14:paraId="6160D398"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93" w:type="pct"/>
            <w:tcBorders>
              <w:top w:val="single" w:sz="8" w:space="0" w:color="auto"/>
              <w:left w:val="nil"/>
              <w:bottom w:val="single" w:sz="8" w:space="0" w:color="auto"/>
              <w:right w:val="single" w:sz="8" w:space="0" w:color="auto"/>
            </w:tcBorders>
            <w:vAlign w:val="center"/>
            <w:hideMark/>
          </w:tcPr>
          <w:p w14:paraId="5AA268BA"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87" w:type="pct"/>
            <w:tcBorders>
              <w:top w:val="single" w:sz="8" w:space="0" w:color="auto"/>
              <w:left w:val="nil"/>
              <w:bottom w:val="single" w:sz="8" w:space="0" w:color="auto"/>
              <w:right w:val="single" w:sz="8" w:space="0" w:color="auto"/>
            </w:tcBorders>
            <w:vAlign w:val="center"/>
            <w:hideMark/>
          </w:tcPr>
          <w:p w14:paraId="239880BD"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87" w:type="pct"/>
            <w:tcBorders>
              <w:top w:val="single" w:sz="8" w:space="0" w:color="auto"/>
              <w:left w:val="nil"/>
              <w:bottom w:val="single" w:sz="8" w:space="0" w:color="auto"/>
              <w:right w:val="single" w:sz="8" w:space="0" w:color="auto"/>
            </w:tcBorders>
            <w:vAlign w:val="center"/>
            <w:hideMark/>
          </w:tcPr>
          <w:p w14:paraId="2C8F8BFB"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87" w:type="pct"/>
            <w:tcBorders>
              <w:top w:val="single" w:sz="8" w:space="0" w:color="auto"/>
              <w:left w:val="nil"/>
              <w:bottom w:val="single" w:sz="8" w:space="0" w:color="auto"/>
              <w:right w:val="single" w:sz="8" w:space="0" w:color="auto"/>
            </w:tcBorders>
            <w:vAlign w:val="center"/>
            <w:hideMark/>
          </w:tcPr>
          <w:p w14:paraId="19F9F44D"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387" w:type="pct"/>
            <w:tcBorders>
              <w:top w:val="single" w:sz="8" w:space="0" w:color="auto"/>
              <w:left w:val="nil"/>
              <w:bottom w:val="single" w:sz="8" w:space="0" w:color="auto"/>
              <w:right w:val="single" w:sz="8" w:space="0" w:color="auto"/>
            </w:tcBorders>
            <w:vAlign w:val="center"/>
            <w:hideMark/>
          </w:tcPr>
          <w:p w14:paraId="251DF8D4" w14:textId="77777777" w:rsidR="00D5566C" w:rsidRPr="00732D9A" w:rsidRDefault="00D5566C" w:rsidP="00D5566C">
            <w:pPr>
              <w:spacing w:before="0" w:after="0"/>
              <w:jc w:val="center"/>
              <w:rPr>
                <w:rFonts w:eastAsia="Times New Roman"/>
                <w:noProof/>
                <w:color w:val="000000"/>
                <w:sz w:val="20"/>
                <w:szCs w:val="20"/>
              </w:rPr>
            </w:pPr>
            <w:r w:rsidRPr="00732D9A">
              <w:rPr>
                <w:noProof/>
                <w:color w:val="000000"/>
                <w:sz w:val="20"/>
              </w:rPr>
              <w:t>Année</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9DFA21A"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TOTAL CFP</w:t>
            </w:r>
            <w:r w:rsidRPr="00732D9A">
              <w:rPr>
                <w:noProof/>
              </w:rPr>
              <w:t xml:space="preserve"> </w:t>
            </w:r>
            <w:r w:rsidRPr="00732D9A">
              <w:rPr>
                <w:noProof/>
              </w:rPr>
              <w:cr/>
            </w:r>
            <w:r w:rsidRPr="00732D9A">
              <w:rPr>
                <w:noProof/>
              </w:rPr>
              <w:br/>
            </w:r>
            <w:r w:rsidRPr="00732D9A">
              <w:rPr>
                <w:b/>
                <w:noProof/>
                <w:color w:val="000000"/>
                <w:sz w:val="20"/>
              </w:rPr>
              <w:t>2028-2034</w:t>
            </w:r>
            <w:r w:rsidRPr="00732D9A">
              <w:rPr>
                <w:rStyle w:val="FootnoteReference"/>
                <w:rFonts w:eastAsia="Times New Roman"/>
                <w:b/>
                <w:bCs/>
                <w:noProof/>
                <w:color w:val="000000"/>
                <w:sz w:val="20"/>
                <w:szCs w:val="20"/>
                <w:lang w:eastAsia="en-IE"/>
              </w:rPr>
              <w:footnoteReference w:id="76"/>
            </w:r>
          </w:p>
        </w:tc>
      </w:tr>
      <w:tr w:rsidR="00D5566C" w:rsidRPr="00732D9A" w14:paraId="530968E6" w14:textId="77777777" w:rsidTr="00855F93">
        <w:trPr>
          <w:trHeight w:val="300"/>
        </w:trPr>
        <w:tc>
          <w:tcPr>
            <w:tcW w:w="1905" w:type="pct"/>
            <w:gridSpan w:val="3"/>
            <w:vMerge/>
            <w:tcBorders>
              <w:top w:val="single" w:sz="8" w:space="0" w:color="auto"/>
              <w:left w:val="single" w:sz="8" w:space="0" w:color="auto"/>
              <w:bottom w:val="single" w:sz="8" w:space="0" w:color="000000"/>
              <w:right w:val="single" w:sz="8" w:space="0" w:color="000000"/>
            </w:tcBorders>
            <w:vAlign w:val="center"/>
            <w:hideMark/>
          </w:tcPr>
          <w:p w14:paraId="22AF3A1D" w14:textId="77777777" w:rsidR="00D5566C" w:rsidRPr="00732D9A" w:rsidRDefault="00D5566C" w:rsidP="00D5566C">
            <w:pPr>
              <w:spacing w:before="0" w:after="0"/>
              <w:jc w:val="left"/>
              <w:rPr>
                <w:rFonts w:eastAsia="Times New Roman"/>
                <w:b/>
                <w:bCs/>
                <w:noProof/>
                <w:color w:val="000000"/>
                <w:sz w:val="22"/>
                <w:lang w:eastAsia="en-IE"/>
              </w:rPr>
            </w:pPr>
          </w:p>
        </w:tc>
        <w:tc>
          <w:tcPr>
            <w:tcW w:w="387" w:type="pct"/>
            <w:tcBorders>
              <w:top w:val="nil"/>
              <w:left w:val="nil"/>
              <w:bottom w:val="single" w:sz="8" w:space="0" w:color="auto"/>
              <w:right w:val="single" w:sz="8" w:space="0" w:color="auto"/>
            </w:tcBorders>
            <w:vAlign w:val="center"/>
            <w:hideMark/>
          </w:tcPr>
          <w:p w14:paraId="37551DB6"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2028</w:t>
            </w:r>
          </w:p>
        </w:tc>
        <w:tc>
          <w:tcPr>
            <w:tcW w:w="306" w:type="pct"/>
            <w:tcBorders>
              <w:top w:val="nil"/>
              <w:left w:val="nil"/>
              <w:bottom w:val="single" w:sz="8" w:space="0" w:color="auto"/>
              <w:right w:val="single" w:sz="8" w:space="0" w:color="auto"/>
            </w:tcBorders>
            <w:vAlign w:val="center"/>
            <w:hideMark/>
          </w:tcPr>
          <w:p w14:paraId="5761AB47"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2029</w:t>
            </w:r>
          </w:p>
        </w:tc>
        <w:tc>
          <w:tcPr>
            <w:tcW w:w="393" w:type="pct"/>
            <w:tcBorders>
              <w:top w:val="nil"/>
              <w:left w:val="nil"/>
              <w:bottom w:val="single" w:sz="8" w:space="0" w:color="auto"/>
              <w:right w:val="single" w:sz="8" w:space="0" w:color="auto"/>
            </w:tcBorders>
            <w:vAlign w:val="center"/>
            <w:hideMark/>
          </w:tcPr>
          <w:p w14:paraId="58F4ACAA"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2030</w:t>
            </w:r>
          </w:p>
        </w:tc>
        <w:tc>
          <w:tcPr>
            <w:tcW w:w="387" w:type="pct"/>
            <w:tcBorders>
              <w:top w:val="nil"/>
              <w:left w:val="nil"/>
              <w:bottom w:val="single" w:sz="8" w:space="0" w:color="auto"/>
              <w:right w:val="single" w:sz="8" w:space="0" w:color="auto"/>
            </w:tcBorders>
            <w:vAlign w:val="center"/>
            <w:hideMark/>
          </w:tcPr>
          <w:p w14:paraId="3D90E8D9"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2031</w:t>
            </w:r>
          </w:p>
        </w:tc>
        <w:tc>
          <w:tcPr>
            <w:tcW w:w="387" w:type="pct"/>
            <w:tcBorders>
              <w:top w:val="nil"/>
              <w:left w:val="nil"/>
              <w:bottom w:val="single" w:sz="8" w:space="0" w:color="auto"/>
              <w:right w:val="single" w:sz="8" w:space="0" w:color="auto"/>
            </w:tcBorders>
            <w:vAlign w:val="center"/>
            <w:hideMark/>
          </w:tcPr>
          <w:p w14:paraId="7B41A6AB"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2032</w:t>
            </w:r>
          </w:p>
        </w:tc>
        <w:tc>
          <w:tcPr>
            <w:tcW w:w="387" w:type="pct"/>
            <w:tcBorders>
              <w:top w:val="nil"/>
              <w:left w:val="nil"/>
              <w:bottom w:val="single" w:sz="8" w:space="0" w:color="auto"/>
              <w:right w:val="single" w:sz="8" w:space="0" w:color="auto"/>
            </w:tcBorders>
            <w:vAlign w:val="center"/>
            <w:hideMark/>
          </w:tcPr>
          <w:p w14:paraId="20A3E629"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2033</w:t>
            </w:r>
          </w:p>
        </w:tc>
        <w:tc>
          <w:tcPr>
            <w:tcW w:w="387" w:type="pct"/>
            <w:tcBorders>
              <w:top w:val="nil"/>
              <w:left w:val="nil"/>
              <w:bottom w:val="single" w:sz="8" w:space="0" w:color="auto"/>
              <w:right w:val="single" w:sz="8" w:space="0" w:color="auto"/>
            </w:tcBorders>
            <w:vAlign w:val="center"/>
            <w:hideMark/>
          </w:tcPr>
          <w:p w14:paraId="4AC16612" w14:textId="77777777" w:rsidR="00D5566C" w:rsidRPr="00732D9A" w:rsidRDefault="00D5566C" w:rsidP="00D5566C">
            <w:pPr>
              <w:spacing w:before="0" w:after="0"/>
              <w:jc w:val="center"/>
              <w:rPr>
                <w:rFonts w:eastAsia="Times New Roman"/>
                <w:b/>
                <w:bCs/>
                <w:noProof/>
                <w:color w:val="000000"/>
                <w:sz w:val="20"/>
                <w:szCs w:val="20"/>
              </w:rPr>
            </w:pPr>
            <w:r w:rsidRPr="00732D9A">
              <w:rPr>
                <w:b/>
                <w:noProof/>
                <w:color w:val="000000"/>
                <w:sz w:val="20"/>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14:paraId="78759CB3" w14:textId="77777777" w:rsidR="00D5566C" w:rsidRPr="00732D9A" w:rsidRDefault="00D5566C" w:rsidP="00D5566C">
            <w:pPr>
              <w:spacing w:before="0" w:after="0"/>
              <w:jc w:val="left"/>
              <w:rPr>
                <w:rFonts w:eastAsia="Times New Roman"/>
                <w:b/>
                <w:bCs/>
                <w:noProof/>
                <w:color w:val="000000"/>
                <w:sz w:val="20"/>
                <w:szCs w:val="20"/>
                <w:lang w:eastAsia="en-IE"/>
              </w:rPr>
            </w:pPr>
          </w:p>
        </w:tc>
      </w:tr>
      <w:tr w:rsidR="00A429A0" w:rsidRPr="00732D9A" w14:paraId="4746F513" w14:textId="77777777" w:rsidTr="00855F93">
        <w:trPr>
          <w:trHeight w:val="432"/>
        </w:trPr>
        <w:tc>
          <w:tcPr>
            <w:tcW w:w="1098" w:type="pct"/>
            <w:vMerge w:val="restart"/>
            <w:tcBorders>
              <w:top w:val="nil"/>
              <w:left w:val="single" w:sz="8" w:space="0" w:color="auto"/>
              <w:bottom w:val="single" w:sz="8" w:space="0" w:color="auto"/>
              <w:right w:val="single" w:sz="8" w:space="0" w:color="auto"/>
            </w:tcBorders>
            <w:vAlign w:val="center"/>
            <w:hideMark/>
          </w:tcPr>
          <w:p w14:paraId="2B0A32B9" w14:textId="44246E74" w:rsidR="00D5566C" w:rsidRPr="00732D9A" w:rsidRDefault="00D5566C" w:rsidP="00D5566C">
            <w:pPr>
              <w:spacing w:before="0" w:after="0"/>
              <w:rPr>
                <w:rFonts w:eastAsia="Times New Roman"/>
                <w:noProof/>
                <w:color w:val="000000"/>
                <w:sz w:val="21"/>
                <w:szCs w:val="21"/>
              </w:rPr>
            </w:pPr>
            <w:r w:rsidRPr="00732D9A">
              <w:rPr>
                <w:noProof/>
                <w:color w:val="000000"/>
                <w:sz w:val="21"/>
              </w:rPr>
              <w:t>T</w:t>
            </w:r>
            <w:r w:rsidR="0028107E">
              <w:rPr>
                <w:noProof/>
                <w:color w:val="000000"/>
                <w:sz w:val="21"/>
              </w:rPr>
              <w:t>OTAL</w:t>
            </w:r>
            <w:r w:rsidRPr="00732D9A">
              <w:rPr>
                <w:noProof/>
                <w:color w:val="000000"/>
                <w:sz w:val="21"/>
              </w:rPr>
              <w:t xml:space="preserve"> des crédits opérationnels</w:t>
            </w:r>
            <w:r w:rsidRPr="00732D9A">
              <w:rPr>
                <w:noProof/>
              </w:rPr>
              <w:cr/>
            </w:r>
            <w:r w:rsidRPr="00732D9A">
              <w:rPr>
                <w:noProof/>
              </w:rPr>
              <w:br/>
            </w:r>
            <w:r w:rsidRPr="00732D9A">
              <w:rPr>
                <w:noProof/>
                <w:color w:val="000000"/>
                <w:sz w:val="21"/>
              </w:rPr>
              <w:t>(y compris la contribution à l’organisme décentralisé)</w:t>
            </w:r>
          </w:p>
        </w:tc>
        <w:tc>
          <w:tcPr>
            <w:tcW w:w="435" w:type="pct"/>
            <w:tcBorders>
              <w:top w:val="nil"/>
              <w:left w:val="nil"/>
              <w:bottom w:val="single" w:sz="8" w:space="0" w:color="auto"/>
              <w:right w:val="single" w:sz="8" w:space="0" w:color="auto"/>
            </w:tcBorders>
            <w:vAlign w:val="center"/>
            <w:hideMark/>
          </w:tcPr>
          <w:p w14:paraId="41489DA7" w14:textId="77777777" w:rsidR="00D5566C" w:rsidRPr="00732D9A" w:rsidRDefault="00D5566C" w:rsidP="00D5566C">
            <w:pPr>
              <w:spacing w:before="0" w:after="0"/>
              <w:rPr>
                <w:rFonts w:eastAsia="Times New Roman"/>
                <w:noProof/>
                <w:color w:val="000000"/>
                <w:sz w:val="18"/>
                <w:szCs w:val="18"/>
              </w:rPr>
            </w:pPr>
            <w:r w:rsidRPr="00732D9A">
              <w:rPr>
                <w:noProof/>
                <w:color w:val="000000"/>
                <w:sz w:val="18"/>
              </w:rPr>
              <w:t>Engagements</w:t>
            </w:r>
          </w:p>
        </w:tc>
        <w:tc>
          <w:tcPr>
            <w:tcW w:w="373" w:type="pct"/>
            <w:tcBorders>
              <w:top w:val="single" w:sz="8" w:space="0" w:color="auto"/>
              <w:left w:val="nil"/>
              <w:bottom w:val="single" w:sz="8" w:space="0" w:color="auto"/>
              <w:right w:val="single" w:sz="8" w:space="0" w:color="auto"/>
            </w:tcBorders>
            <w:vAlign w:val="center"/>
            <w:hideMark/>
          </w:tcPr>
          <w:p w14:paraId="19D4DD39" w14:textId="77777777" w:rsidR="00D5566C" w:rsidRPr="00732D9A" w:rsidRDefault="00D5566C" w:rsidP="00D5566C">
            <w:pPr>
              <w:spacing w:before="0" w:after="0"/>
              <w:jc w:val="center"/>
              <w:rPr>
                <w:rFonts w:eastAsia="Times New Roman"/>
                <w:noProof/>
                <w:color w:val="000000"/>
                <w:sz w:val="14"/>
                <w:szCs w:val="14"/>
              </w:rPr>
            </w:pPr>
            <w:r w:rsidRPr="00732D9A">
              <w:rPr>
                <w:noProof/>
                <w:color w:val="000000"/>
                <w:sz w:val="14"/>
              </w:rPr>
              <w:t>(4)</w:t>
            </w:r>
          </w:p>
        </w:tc>
        <w:tc>
          <w:tcPr>
            <w:tcW w:w="387" w:type="pct"/>
            <w:tcBorders>
              <w:top w:val="nil"/>
              <w:left w:val="nil"/>
              <w:bottom w:val="single" w:sz="8" w:space="0" w:color="auto"/>
              <w:right w:val="single" w:sz="8" w:space="0" w:color="auto"/>
            </w:tcBorders>
            <w:shd w:val="clear" w:color="000000" w:fill="D9D9D9"/>
            <w:vAlign w:val="center"/>
            <w:hideMark/>
          </w:tcPr>
          <w:p w14:paraId="1637871C"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6B4707E0"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1F05F9E3"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43504751"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79CCBDB2"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3E965C9C"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296BABC2"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22A8F836"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0,140</w:t>
            </w:r>
          </w:p>
        </w:tc>
      </w:tr>
      <w:tr w:rsidR="00A429A0" w:rsidRPr="00732D9A" w14:paraId="6432AA1D" w14:textId="77777777" w:rsidTr="00855F93">
        <w:trPr>
          <w:trHeight w:val="462"/>
        </w:trPr>
        <w:tc>
          <w:tcPr>
            <w:tcW w:w="1098" w:type="pct"/>
            <w:vMerge/>
            <w:tcBorders>
              <w:top w:val="nil"/>
              <w:left w:val="single" w:sz="8" w:space="0" w:color="auto"/>
              <w:bottom w:val="single" w:sz="8" w:space="0" w:color="auto"/>
              <w:right w:val="single" w:sz="8" w:space="0" w:color="auto"/>
            </w:tcBorders>
            <w:vAlign w:val="center"/>
            <w:hideMark/>
          </w:tcPr>
          <w:p w14:paraId="0834C25B" w14:textId="77777777" w:rsidR="00D5566C" w:rsidRPr="00732D9A" w:rsidRDefault="00D5566C" w:rsidP="00D5566C">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14:paraId="6B10D879" w14:textId="77777777" w:rsidR="00D5566C" w:rsidRPr="00732D9A" w:rsidRDefault="00D5566C" w:rsidP="00D5566C">
            <w:pPr>
              <w:spacing w:before="0" w:after="0"/>
              <w:rPr>
                <w:rFonts w:eastAsia="Times New Roman"/>
                <w:noProof/>
                <w:color w:val="000000"/>
                <w:sz w:val="18"/>
                <w:szCs w:val="18"/>
              </w:rPr>
            </w:pPr>
            <w:r w:rsidRPr="00732D9A">
              <w:rPr>
                <w:noProof/>
                <w:color w:val="000000"/>
                <w:sz w:val="18"/>
              </w:rPr>
              <w:t>Paiements</w:t>
            </w:r>
          </w:p>
        </w:tc>
        <w:tc>
          <w:tcPr>
            <w:tcW w:w="373" w:type="pct"/>
            <w:tcBorders>
              <w:top w:val="single" w:sz="8" w:space="0" w:color="auto"/>
              <w:left w:val="nil"/>
              <w:bottom w:val="single" w:sz="8" w:space="0" w:color="auto"/>
              <w:right w:val="single" w:sz="8" w:space="0" w:color="auto"/>
            </w:tcBorders>
            <w:vAlign w:val="center"/>
            <w:hideMark/>
          </w:tcPr>
          <w:p w14:paraId="004D9BBD" w14:textId="77777777" w:rsidR="00D5566C" w:rsidRPr="00732D9A" w:rsidRDefault="00D5566C" w:rsidP="00D5566C">
            <w:pPr>
              <w:spacing w:before="0" w:after="0"/>
              <w:jc w:val="center"/>
              <w:rPr>
                <w:rFonts w:eastAsia="Times New Roman"/>
                <w:noProof/>
                <w:color w:val="000000"/>
                <w:sz w:val="14"/>
                <w:szCs w:val="14"/>
              </w:rPr>
            </w:pPr>
            <w:r w:rsidRPr="00732D9A">
              <w:rPr>
                <w:noProof/>
                <w:color w:val="000000"/>
                <w:sz w:val="14"/>
              </w:rPr>
              <w:t>(5)</w:t>
            </w:r>
          </w:p>
        </w:tc>
        <w:tc>
          <w:tcPr>
            <w:tcW w:w="387" w:type="pct"/>
            <w:tcBorders>
              <w:top w:val="nil"/>
              <w:left w:val="nil"/>
              <w:bottom w:val="single" w:sz="8" w:space="0" w:color="auto"/>
              <w:right w:val="single" w:sz="8" w:space="0" w:color="auto"/>
            </w:tcBorders>
            <w:shd w:val="clear" w:color="000000" w:fill="D9D9D9"/>
            <w:vAlign w:val="center"/>
            <w:hideMark/>
          </w:tcPr>
          <w:p w14:paraId="3C5C45DA"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3AF08BC5"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392EE90C"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7AF3B16"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787AB100"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5E5506D"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94B3027"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748317BD"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0,140</w:t>
            </w:r>
          </w:p>
        </w:tc>
      </w:tr>
      <w:tr w:rsidR="00D5566C" w:rsidRPr="00732D9A" w14:paraId="644AB52B" w14:textId="77777777" w:rsidTr="00855F93">
        <w:trPr>
          <w:trHeight w:val="927"/>
        </w:trPr>
        <w:tc>
          <w:tcPr>
            <w:tcW w:w="1533" w:type="pct"/>
            <w:gridSpan w:val="2"/>
            <w:tcBorders>
              <w:top w:val="single" w:sz="8" w:space="0" w:color="auto"/>
              <w:left w:val="single" w:sz="8" w:space="0" w:color="auto"/>
              <w:bottom w:val="single" w:sz="8" w:space="0" w:color="auto"/>
              <w:right w:val="single" w:sz="8" w:space="0" w:color="auto"/>
            </w:tcBorders>
            <w:vAlign w:val="center"/>
            <w:hideMark/>
          </w:tcPr>
          <w:p w14:paraId="06B50F81" w14:textId="77777777" w:rsidR="00D5566C" w:rsidRPr="00732D9A" w:rsidRDefault="00D5566C" w:rsidP="00D5566C">
            <w:pPr>
              <w:spacing w:before="0" w:after="0"/>
              <w:rPr>
                <w:rFonts w:eastAsia="Times New Roman"/>
                <w:noProof/>
                <w:color w:val="000000"/>
                <w:sz w:val="21"/>
                <w:szCs w:val="21"/>
              </w:rPr>
            </w:pPr>
            <w:r w:rsidRPr="00732D9A">
              <w:rPr>
                <w:noProof/>
                <w:color w:val="000000"/>
                <w:sz w:val="21"/>
              </w:rPr>
              <w:t xml:space="preserve">TOTAL des crédits de nature administrative financés par l’enveloppe de certains programmes spécifiques </w:t>
            </w:r>
          </w:p>
        </w:tc>
        <w:tc>
          <w:tcPr>
            <w:tcW w:w="373" w:type="pct"/>
            <w:tcBorders>
              <w:top w:val="single" w:sz="8" w:space="0" w:color="auto"/>
              <w:left w:val="nil"/>
              <w:bottom w:val="single" w:sz="8" w:space="0" w:color="auto"/>
              <w:right w:val="single" w:sz="8" w:space="0" w:color="auto"/>
            </w:tcBorders>
            <w:vAlign w:val="center"/>
            <w:hideMark/>
          </w:tcPr>
          <w:p w14:paraId="6B2069BB" w14:textId="77777777" w:rsidR="00D5566C" w:rsidRPr="00732D9A" w:rsidRDefault="00D5566C" w:rsidP="00D5566C">
            <w:pPr>
              <w:spacing w:before="0" w:after="0"/>
              <w:jc w:val="center"/>
              <w:rPr>
                <w:rFonts w:eastAsia="Times New Roman"/>
                <w:noProof/>
                <w:color w:val="000000"/>
                <w:sz w:val="14"/>
                <w:szCs w:val="14"/>
              </w:rPr>
            </w:pPr>
            <w:r w:rsidRPr="00732D9A">
              <w:rPr>
                <w:noProof/>
                <w:color w:val="000000"/>
                <w:sz w:val="14"/>
              </w:rPr>
              <w:t>(6)</w:t>
            </w:r>
          </w:p>
        </w:tc>
        <w:tc>
          <w:tcPr>
            <w:tcW w:w="387" w:type="pct"/>
            <w:tcBorders>
              <w:top w:val="nil"/>
              <w:left w:val="nil"/>
              <w:bottom w:val="single" w:sz="8" w:space="0" w:color="auto"/>
              <w:right w:val="single" w:sz="8" w:space="0" w:color="auto"/>
            </w:tcBorders>
            <w:shd w:val="clear" w:color="000000" w:fill="D9D9D9"/>
            <w:vAlign w:val="center"/>
            <w:hideMark/>
          </w:tcPr>
          <w:p w14:paraId="558508AB"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06" w:type="pct"/>
            <w:tcBorders>
              <w:top w:val="nil"/>
              <w:left w:val="nil"/>
              <w:bottom w:val="single" w:sz="8" w:space="0" w:color="auto"/>
              <w:right w:val="single" w:sz="8" w:space="0" w:color="auto"/>
            </w:tcBorders>
            <w:shd w:val="clear" w:color="000000" w:fill="D9D9D9"/>
            <w:vAlign w:val="center"/>
            <w:hideMark/>
          </w:tcPr>
          <w:p w14:paraId="6BAA6AF3"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93" w:type="pct"/>
            <w:tcBorders>
              <w:top w:val="nil"/>
              <w:left w:val="nil"/>
              <w:bottom w:val="single" w:sz="8" w:space="0" w:color="auto"/>
              <w:right w:val="single" w:sz="8" w:space="0" w:color="auto"/>
            </w:tcBorders>
            <w:shd w:val="clear" w:color="000000" w:fill="D9D9D9"/>
            <w:vAlign w:val="center"/>
            <w:hideMark/>
          </w:tcPr>
          <w:p w14:paraId="03D5DC86"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3E79B80D"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5E96AD7A"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558A0A98"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387" w:type="pct"/>
            <w:tcBorders>
              <w:top w:val="nil"/>
              <w:left w:val="nil"/>
              <w:bottom w:val="single" w:sz="8" w:space="0" w:color="auto"/>
              <w:right w:val="single" w:sz="8" w:space="0" w:color="auto"/>
            </w:tcBorders>
            <w:shd w:val="clear" w:color="000000" w:fill="D9D9D9"/>
            <w:vAlign w:val="center"/>
            <w:hideMark/>
          </w:tcPr>
          <w:p w14:paraId="2BC54AED" w14:textId="77777777" w:rsidR="00D5566C" w:rsidRPr="00732D9A" w:rsidRDefault="00D5566C" w:rsidP="00D5566C">
            <w:pPr>
              <w:spacing w:before="0" w:after="0"/>
              <w:jc w:val="right"/>
              <w:rPr>
                <w:rFonts w:eastAsia="Times New Roman"/>
                <w:noProof/>
                <w:color w:val="000000"/>
                <w:sz w:val="20"/>
                <w:szCs w:val="20"/>
              </w:rPr>
            </w:pPr>
            <w:r w:rsidRPr="00732D9A">
              <w:rPr>
                <w:noProof/>
                <w:color w:val="000000"/>
                <w:sz w:val="20"/>
              </w:rPr>
              <w:t>0,000</w:t>
            </w:r>
          </w:p>
        </w:tc>
        <w:tc>
          <w:tcPr>
            <w:tcW w:w="460" w:type="pct"/>
            <w:tcBorders>
              <w:top w:val="nil"/>
              <w:left w:val="nil"/>
              <w:bottom w:val="single" w:sz="8" w:space="0" w:color="auto"/>
              <w:right w:val="single" w:sz="8" w:space="0" w:color="auto"/>
            </w:tcBorders>
            <w:shd w:val="clear" w:color="000000" w:fill="D9D9D9"/>
            <w:vAlign w:val="center"/>
            <w:hideMark/>
          </w:tcPr>
          <w:p w14:paraId="4AD83A8B"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0,000</w:t>
            </w:r>
          </w:p>
        </w:tc>
      </w:tr>
      <w:tr w:rsidR="00A429A0" w:rsidRPr="00732D9A" w14:paraId="6807C9F2" w14:textId="77777777" w:rsidTr="00855F93">
        <w:trPr>
          <w:trHeight w:val="585"/>
        </w:trPr>
        <w:tc>
          <w:tcPr>
            <w:tcW w:w="1098" w:type="pct"/>
            <w:tcBorders>
              <w:top w:val="nil"/>
              <w:left w:val="single" w:sz="8" w:space="0" w:color="auto"/>
              <w:bottom w:val="nil"/>
              <w:right w:val="single" w:sz="8" w:space="0" w:color="auto"/>
            </w:tcBorders>
            <w:shd w:val="thinDiagStripe" w:color="C0C0C0" w:fill="F1F1F1"/>
            <w:vAlign w:val="center"/>
            <w:hideMark/>
          </w:tcPr>
          <w:p w14:paraId="21152830" w14:textId="77777777" w:rsidR="00D5566C" w:rsidRPr="00732D9A" w:rsidRDefault="00D5566C" w:rsidP="00D5566C">
            <w:pPr>
              <w:spacing w:before="0" w:after="0"/>
              <w:jc w:val="center"/>
              <w:rPr>
                <w:rFonts w:eastAsia="Times New Roman"/>
                <w:b/>
                <w:bCs/>
                <w:noProof/>
                <w:color w:val="000000"/>
                <w:sz w:val="22"/>
              </w:rPr>
            </w:pPr>
            <w:r w:rsidRPr="00732D9A">
              <w:rPr>
                <w:b/>
                <w:noProof/>
                <w:color w:val="000000"/>
                <w:sz w:val="22"/>
              </w:rPr>
              <w:t>TOTAL des crédits pour la RUBRIQUE 1</w:t>
            </w:r>
          </w:p>
        </w:tc>
        <w:tc>
          <w:tcPr>
            <w:tcW w:w="435" w:type="pct"/>
            <w:tcBorders>
              <w:top w:val="nil"/>
              <w:left w:val="nil"/>
              <w:bottom w:val="single" w:sz="8" w:space="0" w:color="auto"/>
              <w:right w:val="single" w:sz="8" w:space="0" w:color="auto"/>
            </w:tcBorders>
            <w:vAlign w:val="center"/>
            <w:hideMark/>
          </w:tcPr>
          <w:p w14:paraId="43B36CB0" w14:textId="77777777" w:rsidR="00D5566C" w:rsidRPr="00732D9A" w:rsidRDefault="00D5566C" w:rsidP="00D5566C">
            <w:pPr>
              <w:spacing w:before="0" w:after="0"/>
              <w:rPr>
                <w:rFonts w:eastAsia="Times New Roman"/>
                <w:noProof/>
                <w:color w:val="000000"/>
                <w:sz w:val="18"/>
                <w:szCs w:val="18"/>
              </w:rPr>
            </w:pPr>
            <w:r w:rsidRPr="00732D9A">
              <w:rPr>
                <w:noProof/>
                <w:color w:val="000000"/>
                <w:sz w:val="18"/>
              </w:rPr>
              <w:t>Engagements</w:t>
            </w:r>
          </w:p>
        </w:tc>
        <w:tc>
          <w:tcPr>
            <w:tcW w:w="373" w:type="pct"/>
            <w:tcBorders>
              <w:top w:val="single" w:sz="8" w:space="0" w:color="auto"/>
              <w:left w:val="nil"/>
              <w:bottom w:val="single" w:sz="8" w:space="0" w:color="auto"/>
              <w:right w:val="single" w:sz="8" w:space="0" w:color="auto"/>
            </w:tcBorders>
            <w:vAlign w:val="center"/>
            <w:hideMark/>
          </w:tcPr>
          <w:p w14:paraId="555D7F11" w14:textId="77777777" w:rsidR="00D5566C" w:rsidRPr="00732D9A" w:rsidRDefault="00D5566C" w:rsidP="00D5566C">
            <w:pPr>
              <w:spacing w:before="0" w:after="0"/>
              <w:jc w:val="center"/>
              <w:rPr>
                <w:rFonts w:eastAsia="Times New Roman"/>
                <w:noProof/>
                <w:color w:val="000000"/>
                <w:sz w:val="14"/>
                <w:szCs w:val="14"/>
              </w:rPr>
            </w:pPr>
            <w:r w:rsidRPr="00732D9A">
              <w:rPr>
                <w:noProof/>
                <w:color w:val="000000"/>
                <w:sz w:val="14"/>
              </w:rPr>
              <w:t>=4+6</w:t>
            </w:r>
          </w:p>
        </w:tc>
        <w:tc>
          <w:tcPr>
            <w:tcW w:w="387" w:type="pct"/>
            <w:tcBorders>
              <w:top w:val="nil"/>
              <w:left w:val="nil"/>
              <w:bottom w:val="single" w:sz="8" w:space="0" w:color="auto"/>
              <w:right w:val="single" w:sz="8" w:space="0" w:color="auto"/>
            </w:tcBorders>
            <w:shd w:val="clear" w:color="000000" w:fill="D9D9D9"/>
            <w:vAlign w:val="center"/>
            <w:hideMark/>
          </w:tcPr>
          <w:p w14:paraId="7EE094ED"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08BE3B91"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04FFD9B5"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664FB8C9"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B70F487"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7619C09"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6ABD990"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19C6506B"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0,140</w:t>
            </w:r>
          </w:p>
        </w:tc>
      </w:tr>
      <w:tr w:rsidR="00A429A0" w:rsidRPr="00732D9A" w14:paraId="1BCCF4DE" w14:textId="77777777" w:rsidTr="00855F93">
        <w:trPr>
          <w:trHeight w:val="529"/>
        </w:trPr>
        <w:tc>
          <w:tcPr>
            <w:tcW w:w="1098" w:type="pct"/>
            <w:tcBorders>
              <w:top w:val="nil"/>
              <w:left w:val="single" w:sz="8" w:space="0" w:color="auto"/>
              <w:bottom w:val="single" w:sz="8" w:space="0" w:color="auto"/>
              <w:right w:val="single" w:sz="8" w:space="0" w:color="auto"/>
            </w:tcBorders>
            <w:shd w:val="thinDiagStripe" w:color="C0C0C0" w:fill="F1F1F1"/>
            <w:vAlign w:val="center"/>
            <w:hideMark/>
          </w:tcPr>
          <w:p w14:paraId="0DDB4825" w14:textId="77777777" w:rsidR="00D5566C" w:rsidRPr="00732D9A" w:rsidRDefault="00D5566C" w:rsidP="00D5566C">
            <w:pPr>
              <w:spacing w:before="0" w:after="0"/>
              <w:jc w:val="center"/>
              <w:rPr>
                <w:rFonts w:eastAsia="Times New Roman"/>
                <w:noProof/>
                <w:color w:val="000000"/>
                <w:sz w:val="22"/>
              </w:rPr>
            </w:pPr>
            <w:r w:rsidRPr="00732D9A">
              <w:rPr>
                <w:noProof/>
                <w:color w:val="000000"/>
                <w:sz w:val="22"/>
              </w:rPr>
              <w:t>du cadre financier pluriannuel</w:t>
            </w:r>
          </w:p>
        </w:tc>
        <w:tc>
          <w:tcPr>
            <w:tcW w:w="435" w:type="pct"/>
            <w:tcBorders>
              <w:top w:val="nil"/>
              <w:left w:val="nil"/>
              <w:bottom w:val="single" w:sz="8" w:space="0" w:color="auto"/>
              <w:right w:val="single" w:sz="8" w:space="0" w:color="auto"/>
            </w:tcBorders>
            <w:vAlign w:val="center"/>
            <w:hideMark/>
          </w:tcPr>
          <w:p w14:paraId="306B7741" w14:textId="77777777" w:rsidR="00D5566C" w:rsidRPr="00732D9A" w:rsidRDefault="00D5566C" w:rsidP="00D5566C">
            <w:pPr>
              <w:spacing w:before="0" w:after="0"/>
              <w:rPr>
                <w:rFonts w:eastAsia="Times New Roman"/>
                <w:noProof/>
                <w:color w:val="000000"/>
                <w:sz w:val="18"/>
                <w:szCs w:val="18"/>
              </w:rPr>
            </w:pPr>
            <w:r w:rsidRPr="00732D9A">
              <w:rPr>
                <w:noProof/>
                <w:color w:val="000000"/>
                <w:sz w:val="18"/>
              </w:rPr>
              <w:t>Paiements</w:t>
            </w:r>
          </w:p>
        </w:tc>
        <w:tc>
          <w:tcPr>
            <w:tcW w:w="373" w:type="pct"/>
            <w:tcBorders>
              <w:top w:val="single" w:sz="8" w:space="0" w:color="auto"/>
              <w:left w:val="nil"/>
              <w:bottom w:val="single" w:sz="8" w:space="0" w:color="auto"/>
              <w:right w:val="single" w:sz="8" w:space="0" w:color="auto"/>
            </w:tcBorders>
            <w:vAlign w:val="center"/>
            <w:hideMark/>
          </w:tcPr>
          <w:p w14:paraId="25CABADA" w14:textId="77777777" w:rsidR="00D5566C" w:rsidRPr="00732D9A" w:rsidRDefault="00D5566C" w:rsidP="00D5566C">
            <w:pPr>
              <w:spacing w:before="0" w:after="0"/>
              <w:jc w:val="center"/>
              <w:rPr>
                <w:rFonts w:eastAsia="Times New Roman"/>
                <w:noProof/>
                <w:color w:val="000000"/>
                <w:sz w:val="14"/>
                <w:szCs w:val="14"/>
              </w:rPr>
            </w:pPr>
            <w:r w:rsidRPr="00732D9A">
              <w:rPr>
                <w:noProof/>
                <w:color w:val="000000"/>
                <w:sz w:val="14"/>
              </w:rPr>
              <w:t>=5+6</w:t>
            </w:r>
          </w:p>
        </w:tc>
        <w:tc>
          <w:tcPr>
            <w:tcW w:w="387" w:type="pct"/>
            <w:tcBorders>
              <w:top w:val="nil"/>
              <w:left w:val="nil"/>
              <w:bottom w:val="single" w:sz="8" w:space="0" w:color="auto"/>
              <w:right w:val="single" w:sz="8" w:space="0" w:color="auto"/>
            </w:tcBorders>
            <w:shd w:val="clear" w:color="000000" w:fill="D9D9D9"/>
            <w:vAlign w:val="center"/>
            <w:hideMark/>
          </w:tcPr>
          <w:p w14:paraId="6D6F068C"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06" w:type="pct"/>
            <w:tcBorders>
              <w:top w:val="nil"/>
              <w:left w:val="nil"/>
              <w:bottom w:val="single" w:sz="8" w:space="0" w:color="auto"/>
              <w:right w:val="single" w:sz="8" w:space="0" w:color="auto"/>
            </w:tcBorders>
            <w:shd w:val="clear" w:color="000000" w:fill="D9D9D9"/>
            <w:vAlign w:val="center"/>
            <w:hideMark/>
          </w:tcPr>
          <w:p w14:paraId="575B2264"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93" w:type="pct"/>
            <w:tcBorders>
              <w:top w:val="nil"/>
              <w:left w:val="nil"/>
              <w:bottom w:val="single" w:sz="8" w:space="0" w:color="auto"/>
              <w:right w:val="single" w:sz="8" w:space="0" w:color="auto"/>
            </w:tcBorders>
            <w:shd w:val="clear" w:color="000000" w:fill="D9D9D9"/>
            <w:vAlign w:val="center"/>
            <w:hideMark/>
          </w:tcPr>
          <w:p w14:paraId="5E434825"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563389E8"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123E7AA7"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01F40554"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387" w:type="pct"/>
            <w:tcBorders>
              <w:top w:val="nil"/>
              <w:left w:val="nil"/>
              <w:bottom w:val="single" w:sz="8" w:space="0" w:color="auto"/>
              <w:right w:val="single" w:sz="8" w:space="0" w:color="auto"/>
            </w:tcBorders>
            <w:shd w:val="clear" w:color="000000" w:fill="D9D9D9"/>
            <w:vAlign w:val="center"/>
            <w:hideMark/>
          </w:tcPr>
          <w:p w14:paraId="097D24E3"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0,020</w:t>
            </w:r>
          </w:p>
        </w:tc>
        <w:tc>
          <w:tcPr>
            <w:tcW w:w="460" w:type="pct"/>
            <w:tcBorders>
              <w:top w:val="nil"/>
              <w:left w:val="nil"/>
              <w:bottom w:val="single" w:sz="8" w:space="0" w:color="auto"/>
              <w:right w:val="single" w:sz="8" w:space="0" w:color="auto"/>
            </w:tcBorders>
            <w:shd w:val="clear" w:color="000000" w:fill="D9D9D9"/>
            <w:vAlign w:val="center"/>
            <w:hideMark/>
          </w:tcPr>
          <w:p w14:paraId="20FCC2E1" w14:textId="77777777" w:rsidR="00D5566C" w:rsidRPr="00732D9A" w:rsidRDefault="00D5566C" w:rsidP="00D5566C">
            <w:pPr>
              <w:spacing w:before="0" w:after="0"/>
              <w:jc w:val="right"/>
              <w:rPr>
                <w:rFonts w:eastAsia="Times New Roman"/>
                <w:b/>
                <w:bCs/>
                <w:noProof/>
                <w:color w:val="000000"/>
                <w:sz w:val="20"/>
                <w:szCs w:val="20"/>
              </w:rPr>
            </w:pPr>
            <w:r w:rsidRPr="00732D9A">
              <w:rPr>
                <w:b/>
                <w:noProof/>
                <w:color w:val="000000"/>
                <w:sz w:val="20"/>
              </w:rPr>
              <w:t>0,140</w:t>
            </w:r>
          </w:p>
        </w:tc>
      </w:tr>
    </w:tbl>
    <w:p w14:paraId="20DAA9A7" w14:textId="77777777" w:rsidR="001070C7" w:rsidRPr="00732D9A" w:rsidRDefault="001070C7" w:rsidP="001070C7">
      <w:pPr>
        <w:jc w:val="right"/>
        <w:rPr>
          <w:noProof/>
          <w:sz w:val="20"/>
        </w:rPr>
      </w:pPr>
    </w:p>
    <w:p w14:paraId="7FAB21F3" w14:textId="006B2533" w:rsidR="00D5566C" w:rsidRPr="00732D9A" w:rsidRDefault="001070C7" w:rsidP="001070C7">
      <w:pPr>
        <w:jc w:val="right"/>
        <w:rPr>
          <w:noProof/>
          <w:sz w:val="20"/>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733"/>
        <w:gridCol w:w="2258"/>
        <w:gridCol w:w="734"/>
        <w:gridCol w:w="737"/>
        <w:gridCol w:w="1115"/>
        <w:gridCol w:w="1115"/>
        <w:gridCol w:w="1115"/>
        <w:gridCol w:w="1115"/>
        <w:gridCol w:w="1149"/>
        <w:gridCol w:w="1149"/>
      </w:tblGrid>
      <w:tr w:rsidR="00850EF8" w:rsidRPr="00732D9A" w14:paraId="06B0726A" w14:textId="77777777">
        <w:trPr>
          <w:trHeight w:val="288"/>
        </w:trPr>
        <w:tc>
          <w:tcPr>
            <w:tcW w:w="1313" w:type="pct"/>
            <w:tcBorders>
              <w:top w:val="nil"/>
              <w:left w:val="nil"/>
              <w:bottom w:val="nil"/>
              <w:right w:val="nil"/>
            </w:tcBorders>
            <w:noWrap/>
            <w:vAlign w:val="bottom"/>
            <w:hideMark/>
          </w:tcPr>
          <w:p w14:paraId="63426B43" w14:textId="77777777" w:rsidR="00850EF8" w:rsidRPr="00732D9A" w:rsidRDefault="00850EF8">
            <w:pPr>
              <w:spacing w:before="0" w:after="0"/>
              <w:jc w:val="left"/>
              <w:rPr>
                <w:noProof/>
                <w:sz w:val="20"/>
                <w:szCs w:val="24"/>
                <w:lang w:eastAsia="en-IE"/>
              </w:rPr>
            </w:pPr>
          </w:p>
        </w:tc>
        <w:tc>
          <w:tcPr>
            <w:tcW w:w="794" w:type="pct"/>
            <w:tcBorders>
              <w:top w:val="nil"/>
              <w:left w:val="nil"/>
              <w:bottom w:val="nil"/>
              <w:right w:val="nil"/>
            </w:tcBorders>
            <w:noWrap/>
            <w:vAlign w:val="bottom"/>
            <w:hideMark/>
          </w:tcPr>
          <w:p w14:paraId="0619D4DE" w14:textId="77777777" w:rsidR="00850EF8" w:rsidRPr="00732D9A"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2807EEDD" w14:textId="77777777" w:rsidR="00850EF8" w:rsidRPr="00732D9A"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53636030" w14:textId="77777777" w:rsidR="00850EF8" w:rsidRPr="00732D9A" w:rsidRDefault="00850EF8">
            <w:pPr>
              <w:spacing w:before="0" w:after="0"/>
              <w:jc w:val="left"/>
              <w:rPr>
                <w:noProof/>
                <w:sz w:val="20"/>
                <w:szCs w:val="20"/>
                <w:lang w:eastAsia="en-IE"/>
              </w:rPr>
            </w:pPr>
          </w:p>
        </w:tc>
        <w:tc>
          <w:tcPr>
            <w:tcW w:w="392" w:type="pct"/>
            <w:tcBorders>
              <w:top w:val="single" w:sz="8" w:space="0" w:color="auto"/>
              <w:left w:val="single" w:sz="4" w:space="0" w:color="auto"/>
              <w:bottom w:val="nil"/>
              <w:right w:val="single" w:sz="8" w:space="0" w:color="auto"/>
            </w:tcBorders>
            <w:vAlign w:val="center"/>
            <w:hideMark/>
          </w:tcPr>
          <w:p w14:paraId="266DEB5A" w14:textId="77777777" w:rsidR="00850EF8" w:rsidRPr="00732D9A" w:rsidRDefault="00850EF8">
            <w:pPr>
              <w:spacing w:before="0" w:after="0"/>
              <w:jc w:val="center"/>
              <w:rPr>
                <w:noProof/>
                <w:color w:val="000000"/>
                <w:sz w:val="20"/>
                <w:szCs w:val="20"/>
              </w:rPr>
            </w:pPr>
            <w:r w:rsidRPr="00732D9A">
              <w:rPr>
                <w:noProof/>
                <w:color w:val="000000"/>
                <w:sz w:val="20"/>
              </w:rPr>
              <w:t>Année</w:t>
            </w:r>
          </w:p>
        </w:tc>
        <w:tc>
          <w:tcPr>
            <w:tcW w:w="392" w:type="pct"/>
            <w:tcBorders>
              <w:top w:val="single" w:sz="8" w:space="0" w:color="auto"/>
              <w:left w:val="nil"/>
              <w:bottom w:val="nil"/>
              <w:right w:val="single" w:sz="8" w:space="0" w:color="auto"/>
            </w:tcBorders>
            <w:vAlign w:val="center"/>
            <w:hideMark/>
          </w:tcPr>
          <w:p w14:paraId="61EAB455" w14:textId="77777777" w:rsidR="00850EF8" w:rsidRPr="00732D9A" w:rsidRDefault="00850EF8">
            <w:pPr>
              <w:spacing w:before="0" w:after="0"/>
              <w:jc w:val="center"/>
              <w:rPr>
                <w:noProof/>
                <w:color w:val="000000"/>
                <w:sz w:val="20"/>
                <w:szCs w:val="20"/>
              </w:rPr>
            </w:pPr>
            <w:r w:rsidRPr="00732D9A">
              <w:rPr>
                <w:noProof/>
                <w:color w:val="000000"/>
                <w:sz w:val="20"/>
              </w:rPr>
              <w:t>Année</w:t>
            </w:r>
          </w:p>
        </w:tc>
        <w:tc>
          <w:tcPr>
            <w:tcW w:w="392" w:type="pct"/>
            <w:tcBorders>
              <w:top w:val="single" w:sz="8" w:space="0" w:color="auto"/>
              <w:left w:val="nil"/>
              <w:bottom w:val="nil"/>
              <w:right w:val="single" w:sz="8" w:space="0" w:color="auto"/>
            </w:tcBorders>
            <w:vAlign w:val="center"/>
            <w:hideMark/>
          </w:tcPr>
          <w:p w14:paraId="04151C84" w14:textId="77777777" w:rsidR="00850EF8" w:rsidRPr="00732D9A" w:rsidRDefault="00850EF8">
            <w:pPr>
              <w:spacing w:before="0" w:after="0"/>
              <w:jc w:val="center"/>
              <w:rPr>
                <w:noProof/>
                <w:color w:val="000000"/>
                <w:sz w:val="20"/>
                <w:szCs w:val="20"/>
              </w:rPr>
            </w:pPr>
            <w:r w:rsidRPr="00732D9A">
              <w:rPr>
                <w:noProof/>
                <w:color w:val="000000"/>
                <w:sz w:val="20"/>
              </w:rPr>
              <w:t>Année</w:t>
            </w:r>
          </w:p>
        </w:tc>
        <w:tc>
          <w:tcPr>
            <w:tcW w:w="392" w:type="pct"/>
            <w:tcBorders>
              <w:top w:val="single" w:sz="8" w:space="0" w:color="auto"/>
              <w:left w:val="nil"/>
              <w:bottom w:val="nil"/>
              <w:right w:val="single" w:sz="8" w:space="0" w:color="auto"/>
            </w:tcBorders>
            <w:vAlign w:val="center"/>
            <w:hideMark/>
          </w:tcPr>
          <w:p w14:paraId="38F39C31" w14:textId="77777777" w:rsidR="00850EF8" w:rsidRPr="00732D9A" w:rsidRDefault="00850EF8">
            <w:pPr>
              <w:spacing w:before="0" w:after="0"/>
              <w:jc w:val="center"/>
              <w:rPr>
                <w:noProof/>
                <w:color w:val="000000"/>
                <w:sz w:val="20"/>
                <w:szCs w:val="20"/>
              </w:rPr>
            </w:pPr>
            <w:r w:rsidRPr="00732D9A">
              <w:rPr>
                <w:noProof/>
                <w:color w:val="000000"/>
                <w:sz w:val="20"/>
              </w:rPr>
              <w:t>Année</w:t>
            </w:r>
          </w:p>
        </w:tc>
        <w:tc>
          <w:tcPr>
            <w:tcW w:w="404" w:type="pct"/>
            <w:vMerge w:val="restart"/>
            <w:tcBorders>
              <w:top w:val="single" w:sz="8" w:space="0" w:color="auto"/>
              <w:left w:val="single" w:sz="8" w:space="0" w:color="auto"/>
              <w:bottom w:val="single" w:sz="8" w:space="0" w:color="000000"/>
              <w:right w:val="single" w:sz="8" w:space="0" w:color="auto"/>
            </w:tcBorders>
            <w:vAlign w:val="center"/>
            <w:hideMark/>
          </w:tcPr>
          <w:p w14:paraId="74BBCC07" w14:textId="77777777" w:rsidR="00850EF8" w:rsidRPr="00732D9A" w:rsidRDefault="00850EF8">
            <w:pPr>
              <w:spacing w:before="0" w:after="0"/>
              <w:jc w:val="center"/>
              <w:rPr>
                <w:b/>
                <w:noProof/>
                <w:color w:val="000000"/>
                <w:sz w:val="20"/>
                <w:szCs w:val="20"/>
              </w:rPr>
            </w:pPr>
            <w:r w:rsidRPr="00732D9A">
              <w:rPr>
                <w:b/>
                <w:noProof/>
                <w:color w:val="000000"/>
                <w:sz w:val="20"/>
              </w:rPr>
              <w:t>TOTAL CFP 2021-2027</w:t>
            </w:r>
          </w:p>
        </w:tc>
        <w:tc>
          <w:tcPr>
            <w:tcW w:w="404" w:type="pct"/>
            <w:vMerge w:val="restart"/>
            <w:tcBorders>
              <w:top w:val="single" w:sz="8" w:space="0" w:color="auto"/>
              <w:left w:val="single" w:sz="8" w:space="0" w:color="auto"/>
              <w:right w:val="single" w:sz="8" w:space="0" w:color="auto"/>
            </w:tcBorders>
          </w:tcPr>
          <w:p w14:paraId="638F2CA4" w14:textId="77777777" w:rsidR="00850EF8" w:rsidRPr="00732D9A" w:rsidRDefault="00850EF8">
            <w:pPr>
              <w:spacing w:before="0" w:after="0"/>
              <w:jc w:val="center"/>
              <w:rPr>
                <w:b/>
                <w:noProof/>
                <w:color w:val="000000"/>
                <w:sz w:val="20"/>
                <w:szCs w:val="20"/>
              </w:rPr>
            </w:pPr>
            <w:r w:rsidRPr="00732D9A">
              <w:rPr>
                <w:b/>
                <w:noProof/>
                <w:color w:val="000000"/>
                <w:sz w:val="20"/>
              </w:rPr>
              <w:t>TOTAL CFP 2028-2034</w:t>
            </w:r>
            <w:r w:rsidRPr="00732D9A">
              <w:rPr>
                <w:rStyle w:val="FootnoteReference"/>
                <w:b/>
                <w:noProof/>
                <w:color w:val="000000"/>
                <w:sz w:val="20"/>
                <w:szCs w:val="20"/>
                <w:lang w:eastAsia="en-IE"/>
              </w:rPr>
              <w:footnoteReference w:id="77"/>
            </w:r>
          </w:p>
        </w:tc>
      </w:tr>
      <w:tr w:rsidR="00850EF8" w:rsidRPr="00732D9A" w14:paraId="7E7885E3" w14:textId="77777777">
        <w:trPr>
          <w:trHeight w:val="300"/>
        </w:trPr>
        <w:tc>
          <w:tcPr>
            <w:tcW w:w="1313" w:type="pct"/>
            <w:tcBorders>
              <w:top w:val="nil"/>
              <w:left w:val="nil"/>
              <w:bottom w:val="nil"/>
              <w:right w:val="nil"/>
            </w:tcBorders>
            <w:noWrap/>
            <w:vAlign w:val="bottom"/>
            <w:hideMark/>
          </w:tcPr>
          <w:p w14:paraId="3A21F006" w14:textId="77777777" w:rsidR="00850EF8" w:rsidRPr="00732D9A" w:rsidRDefault="00850EF8">
            <w:pPr>
              <w:spacing w:before="0" w:after="0"/>
              <w:jc w:val="center"/>
              <w:rPr>
                <w:b/>
                <w:noProof/>
                <w:color w:val="000000"/>
                <w:sz w:val="20"/>
                <w:szCs w:val="20"/>
                <w:lang w:eastAsia="en-IE"/>
              </w:rPr>
            </w:pPr>
          </w:p>
        </w:tc>
        <w:tc>
          <w:tcPr>
            <w:tcW w:w="794" w:type="pct"/>
            <w:tcBorders>
              <w:top w:val="nil"/>
              <w:left w:val="nil"/>
              <w:bottom w:val="nil"/>
              <w:right w:val="nil"/>
            </w:tcBorders>
            <w:noWrap/>
            <w:vAlign w:val="bottom"/>
            <w:hideMark/>
          </w:tcPr>
          <w:p w14:paraId="4301F3C4" w14:textId="77777777" w:rsidR="00850EF8" w:rsidRPr="00732D9A" w:rsidRDefault="00850EF8">
            <w:pPr>
              <w:spacing w:before="0" w:after="0"/>
              <w:jc w:val="left"/>
              <w:rPr>
                <w:noProof/>
                <w:sz w:val="20"/>
                <w:szCs w:val="20"/>
                <w:lang w:eastAsia="en-IE"/>
              </w:rPr>
            </w:pPr>
          </w:p>
        </w:tc>
        <w:tc>
          <w:tcPr>
            <w:tcW w:w="258" w:type="pct"/>
            <w:tcBorders>
              <w:top w:val="nil"/>
              <w:left w:val="nil"/>
              <w:bottom w:val="nil"/>
              <w:right w:val="nil"/>
            </w:tcBorders>
            <w:noWrap/>
            <w:vAlign w:val="bottom"/>
            <w:hideMark/>
          </w:tcPr>
          <w:p w14:paraId="3CF17B06" w14:textId="77777777" w:rsidR="00850EF8" w:rsidRPr="00732D9A" w:rsidRDefault="00850EF8">
            <w:pPr>
              <w:spacing w:before="0" w:after="0"/>
              <w:jc w:val="left"/>
              <w:rPr>
                <w:noProof/>
                <w:sz w:val="20"/>
                <w:szCs w:val="20"/>
                <w:lang w:eastAsia="en-IE"/>
              </w:rPr>
            </w:pPr>
          </w:p>
        </w:tc>
        <w:tc>
          <w:tcPr>
            <w:tcW w:w="259" w:type="pct"/>
            <w:tcBorders>
              <w:top w:val="nil"/>
              <w:left w:val="nil"/>
              <w:bottom w:val="nil"/>
              <w:right w:val="single" w:sz="4" w:space="0" w:color="auto"/>
            </w:tcBorders>
            <w:noWrap/>
            <w:vAlign w:val="bottom"/>
            <w:hideMark/>
          </w:tcPr>
          <w:p w14:paraId="17096056" w14:textId="77777777" w:rsidR="00850EF8" w:rsidRPr="00732D9A" w:rsidRDefault="00850EF8">
            <w:pPr>
              <w:spacing w:before="0" w:after="0"/>
              <w:jc w:val="left"/>
              <w:rPr>
                <w:noProof/>
                <w:sz w:val="20"/>
                <w:szCs w:val="20"/>
                <w:lang w:eastAsia="en-IE"/>
              </w:rPr>
            </w:pPr>
          </w:p>
        </w:tc>
        <w:tc>
          <w:tcPr>
            <w:tcW w:w="392" w:type="pct"/>
            <w:tcBorders>
              <w:top w:val="nil"/>
              <w:left w:val="single" w:sz="4" w:space="0" w:color="auto"/>
              <w:bottom w:val="single" w:sz="8" w:space="0" w:color="auto"/>
              <w:right w:val="single" w:sz="8" w:space="0" w:color="auto"/>
            </w:tcBorders>
            <w:vAlign w:val="center"/>
            <w:hideMark/>
          </w:tcPr>
          <w:p w14:paraId="5DC17DD6" w14:textId="77777777" w:rsidR="00850EF8" w:rsidRPr="00732D9A" w:rsidRDefault="00850EF8">
            <w:pPr>
              <w:spacing w:before="0" w:after="0"/>
              <w:jc w:val="center"/>
              <w:rPr>
                <w:b/>
                <w:noProof/>
                <w:color w:val="000000"/>
                <w:sz w:val="20"/>
                <w:szCs w:val="20"/>
              </w:rPr>
            </w:pPr>
            <w:r w:rsidRPr="00732D9A">
              <w:rPr>
                <w:b/>
                <w:noProof/>
                <w:color w:val="000000"/>
                <w:sz w:val="20"/>
              </w:rPr>
              <w:t>2024</w:t>
            </w:r>
          </w:p>
        </w:tc>
        <w:tc>
          <w:tcPr>
            <w:tcW w:w="392" w:type="pct"/>
            <w:tcBorders>
              <w:top w:val="nil"/>
              <w:left w:val="nil"/>
              <w:bottom w:val="single" w:sz="8" w:space="0" w:color="auto"/>
              <w:right w:val="single" w:sz="8" w:space="0" w:color="auto"/>
            </w:tcBorders>
            <w:vAlign w:val="center"/>
            <w:hideMark/>
          </w:tcPr>
          <w:p w14:paraId="6305563A" w14:textId="77777777" w:rsidR="00850EF8" w:rsidRPr="00732D9A" w:rsidRDefault="00850EF8">
            <w:pPr>
              <w:spacing w:before="0" w:after="0"/>
              <w:jc w:val="center"/>
              <w:rPr>
                <w:b/>
                <w:noProof/>
                <w:color w:val="000000"/>
                <w:sz w:val="20"/>
                <w:szCs w:val="20"/>
              </w:rPr>
            </w:pPr>
            <w:r w:rsidRPr="00732D9A">
              <w:rPr>
                <w:b/>
                <w:noProof/>
                <w:color w:val="000000"/>
                <w:sz w:val="20"/>
              </w:rPr>
              <w:t>2025</w:t>
            </w:r>
          </w:p>
        </w:tc>
        <w:tc>
          <w:tcPr>
            <w:tcW w:w="392" w:type="pct"/>
            <w:tcBorders>
              <w:top w:val="nil"/>
              <w:left w:val="nil"/>
              <w:bottom w:val="single" w:sz="8" w:space="0" w:color="auto"/>
              <w:right w:val="single" w:sz="8" w:space="0" w:color="auto"/>
            </w:tcBorders>
            <w:vAlign w:val="center"/>
            <w:hideMark/>
          </w:tcPr>
          <w:p w14:paraId="5EC9E6F4" w14:textId="77777777" w:rsidR="00850EF8" w:rsidRPr="00732D9A" w:rsidRDefault="00850EF8">
            <w:pPr>
              <w:spacing w:before="0" w:after="0"/>
              <w:jc w:val="center"/>
              <w:rPr>
                <w:b/>
                <w:noProof/>
                <w:color w:val="000000"/>
                <w:sz w:val="20"/>
                <w:szCs w:val="20"/>
              </w:rPr>
            </w:pPr>
            <w:r w:rsidRPr="00732D9A">
              <w:rPr>
                <w:b/>
                <w:noProof/>
                <w:color w:val="000000"/>
                <w:sz w:val="20"/>
              </w:rPr>
              <w:t>2026</w:t>
            </w:r>
          </w:p>
        </w:tc>
        <w:tc>
          <w:tcPr>
            <w:tcW w:w="392" w:type="pct"/>
            <w:tcBorders>
              <w:top w:val="nil"/>
              <w:left w:val="nil"/>
              <w:bottom w:val="single" w:sz="8" w:space="0" w:color="auto"/>
              <w:right w:val="single" w:sz="8" w:space="0" w:color="auto"/>
            </w:tcBorders>
            <w:vAlign w:val="center"/>
            <w:hideMark/>
          </w:tcPr>
          <w:p w14:paraId="02AE1076" w14:textId="77777777" w:rsidR="00850EF8" w:rsidRPr="00732D9A" w:rsidRDefault="00850EF8">
            <w:pPr>
              <w:spacing w:before="0" w:after="0"/>
              <w:jc w:val="center"/>
              <w:rPr>
                <w:b/>
                <w:noProof/>
                <w:color w:val="000000"/>
                <w:sz w:val="20"/>
                <w:szCs w:val="20"/>
              </w:rPr>
            </w:pPr>
            <w:r w:rsidRPr="00732D9A">
              <w:rPr>
                <w:b/>
                <w:noProof/>
                <w:color w:val="000000"/>
                <w:sz w:val="20"/>
              </w:rPr>
              <w:t>2027</w:t>
            </w:r>
          </w:p>
        </w:tc>
        <w:tc>
          <w:tcPr>
            <w:tcW w:w="404" w:type="pct"/>
            <w:vMerge/>
            <w:tcBorders>
              <w:top w:val="single" w:sz="8" w:space="0" w:color="auto"/>
              <w:left w:val="single" w:sz="8" w:space="0" w:color="auto"/>
              <w:bottom w:val="single" w:sz="8" w:space="0" w:color="000000"/>
              <w:right w:val="single" w:sz="8" w:space="0" w:color="auto"/>
            </w:tcBorders>
            <w:vAlign w:val="center"/>
            <w:hideMark/>
          </w:tcPr>
          <w:p w14:paraId="6ABA2EF8" w14:textId="77777777" w:rsidR="00850EF8" w:rsidRPr="00732D9A" w:rsidRDefault="00850EF8">
            <w:pPr>
              <w:spacing w:before="0" w:after="0"/>
              <w:jc w:val="left"/>
              <w:rPr>
                <w:b/>
                <w:noProof/>
                <w:color w:val="000000"/>
                <w:sz w:val="20"/>
                <w:szCs w:val="20"/>
                <w:lang w:eastAsia="en-IE"/>
              </w:rPr>
            </w:pPr>
          </w:p>
        </w:tc>
        <w:tc>
          <w:tcPr>
            <w:tcW w:w="404" w:type="pct"/>
            <w:vMerge/>
            <w:tcBorders>
              <w:left w:val="single" w:sz="8" w:space="0" w:color="auto"/>
              <w:bottom w:val="single" w:sz="8" w:space="0" w:color="000000"/>
              <w:right w:val="single" w:sz="8" w:space="0" w:color="auto"/>
            </w:tcBorders>
          </w:tcPr>
          <w:p w14:paraId="03A8D177" w14:textId="77777777" w:rsidR="00850EF8" w:rsidRPr="00732D9A" w:rsidRDefault="00850EF8">
            <w:pPr>
              <w:spacing w:before="0" w:after="0"/>
              <w:jc w:val="left"/>
              <w:rPr>
                <w:b/>
                <w:noProof/>
                <w:color w:val="000000"/>
                <w:sz w:val="20"/>
                <w:szCs w:val="20"/>
                <w:lang w:eastAsia="en-IE"/>
              </w:rPr>
            </w:pPr>
          </w:p>
        </w:tc>
      </w:tr>
      <w:tr w:rsidR="006176CB" w:rsidRPr="00732D9A" w14:paraId="646FB313" w14:textId="77777777">
        <w:trPr>
          <w:trHeight w:val="300"/>
        </w:trPr>
        <w:tc>
          <w:tcPr>
            <w:tcW w:w="1313" w:type="pct"/>
            <w:vMerge w:val="restart"/>
            <w:tcBorders>
              <w:top w:val="single" w:sz="8" w:space="0" w:color="auto"/>
              <w:left w:val="single" w:sz="8" w:space="0" w:color="auto"/>
              <w:bottom w:val="single" w:sz="8" w:space="0" w:color="auto"/>
              <w:right w:val="single" w:sz="8" w:space="0" w:color="auto"/>
            </w:tcBorders>
            <w:vAlign w:val="center"/>
            <w:hideMark/>
          </w:tcPr>
          <w:p w14:paraId="70B5567D" w14:textId="77777777" w:rsidR="00E75E53" w:rsidRPr="00732D9A" w:rsidRDefault="00E75E53" w:rsidP="00E75E53">
            <w:pPr>
              <w:spacing w:before="0" w:after="0"/>
              <w:rPr>
                <w:noProof/>
                <w:color w:val="000000"/>
                <w:sz w:val="21"/>
                <w:szCs w:val="21"/>
              </w:rPr>
            </w:pPr>
            <w:r w:rsidRPr="00732D9A">
              <w:rPr>
                <w:rFonts w:ascii="Calibri" w:hAnsi="Calibri"/>
                <w:noProof/>
                <w:color w:val="000000"/>
                <w:sz w:val="21"/>
              </w:rPr>
              <w:t xml:space="preserve">• </w:t>
            </w:r>
            <w:r w:rsidRPr="00732D9A">
              <w:rPr>
                <w:noProof/>
                <w:color w:val="000000"/>
                <w:sz w:val="21"/>
              </w:rPr>
              <w:t>TOTAL des crédits opérationnels (toutes les rubriques opérationnelles)</w:t>
            </w:r>
          </w:p>
        </w:tc>
        <w:tc>
          <w:tcPr>
            <w:tcW w:w="794" w:type="pct"/>
            <w:tcBorders>
              <w:top w:val="single" w:sz="8" w:space="0" w:color="auto"/>
              <w:left w:val="nil"/>
              <w:bottom w:val="single" w:sz="8" w:space="0" w:color="auto"/>
              <w:right w:val="single" w:sz="8" w:space="0" w:color="auto"/>
            </w:tcBorders>
            <w:vAlign w:val="center"/>
            <w:hideMark/>
          </w:tcPr>
          <w:p w14:paraId="77C3F184" w14:textId="77777777" w:rsidR="00E75E53" w:rsidRPr="00732D9A" w:rsidRDefault="00E75E53" w:rsidP="00E75E53">
            <w:pPr>
              <w:spacing w:before="0" w:after="0"/>
              <w:rPr>
                <w:noProof/>
                <w:color w:val="000000"/>
                <w:sz w:val="18"/>
                <w:szCs w:val="18"/>
              </w:rPr>
            </w:pPr>
            <w:r w:rsidRPr="00732D9A">
              <w:rPr>
                <w:noProof/>
                <w:color w:val="000000"/>
                <w:sz w:val="18"/>
              </w:rPr>
              <w:t>Engagements</w:t>
            </w:r>
          </w:p>
        </w:tc>
        <w:tc>
          <w:tcPr>
            <w:tcW w:w="517" w:type="pct"/>
            <w:gridSpan w:val="2"/>
            <w:tcBorders>
              <w:top w:val="single" w:sz="8" w:space="0" w:color="auto"/>
              <w:left w:val="nil"/>
              <w:bottom w:val="single" w:sz="8" w:space="0" w:color="auto"/>
              <w:right w:val="single" w:sz="8" w:space="0" w:color="000000"/>
            </w:tcBorders>
            <w:vAlign w:val="center"/>
            <w:hideMark/>
          </w:tcPr>
          <w:p w14:paraId="33155BC0" w14:textId="77777777" w:rsidR="00E75E53" w:rsidRPr="00732D9A" w:rsidRDefault="00E75E53" w:rsidP="00E75E53">
            <w:pPr>
              <w:spacing w:before="0" w:after="0"/>
              <w:jc w:val="center"/>
              <w:rPr>
                <w:noProof/>
                <w:color w:val="000000"/>
                <w:sz w:val="14"/>
                <w:szCs w:val="14"/>
              </w:rPr>
            </w:pPr>
            <w:r w:rsidRPr="00732D9A">
              <w:rPr>
                <w:noProof/>
                <w:color w:val="000000"/>
                <w:sz w:val="14"/>
              </w:rPr>
              <w:t>(4)</w:t>
            </w:r>
          </w:p>
        </w:tc>
        <w:tc>
          <w:tcPr>
            <w:tcW w:w="392" w:type="pct"/>
            <w:tcBorders>
              <w:top w:val="nil"/>
              <w:left w:val="nil"/>
              <w:bottom w:val="single" w:sz="8" w:space="0" w:color="auto"/>
              <w:right w:val="single" w:sz="8" w:space="0" w:color="auto"/>
            </w:tcBorders>
            <w:shd w:val="clear" w:color="000000" w:fill="D9D9D9"/>
            <w:vAlign w:val="center"/>
            <w:hideMark/>
          </w:tcPr>
          <w:p w14:paraId="556DA5E5"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A823787"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099211E"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D984508" w14:textId="77777777" w:rsidR="00E75E53" w:rsidRPr="00732D9A" w:rsidRDefault="00E75E53" w:rsidP="00E75E53">
            <w:pPr>
              <w:spacing w:before="0" w:after="0"/>
              <w:jc w:val="right"/>
              <w:rPr>
                <w:noProof/>
                <w:color w:val="000000"/>
                <w:sz w:val="20"/>
                <w:szCs w:val="20"/>
              </w:rPr>
            </w:pPr>
            <w:r w:rsidRPr="00732D9A">
              <w:rPr>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459D022C" w14:textId="77777777" w:rsidR="00E75E53" w:rsidRPr="00732D9A" w:rsidRDefault="00E75E53" w:rsidP="00E75E53">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336929A7" w14:textId="77777777" w:rsidR="00E75E53" w:rsidRPr="00732D9A" w:rsidRDefault="00E75E53" w:rsidP="00E75E53">
            <w:pPr>
              <w:spacing w:before="0" w:after="0"/>
              <w:jc w:val="right"/>
              <w:rPr>
                <w:b/>
                <w:noProof/>
                <w:color w:val="000000"/>
                <w:sz w:val="20"/>
                <w:szCs w:val="20"/>
              </w:rPr>
            </w:pPr>
            <w:r w:rsidRPr="00732D9A">
              <w:rPr>
                <w:b/>
                <w:noProof/>
                <w:color w:val="000000"/>
                <w:sz w:val="20"/>
              </w:rPr>
              <w:t>0,140</w:t>
            </w:r>
          </w:p>
        </w:tc>
      </w:tr>
      <w:tr w:rsidR="006176CB" w:rsidRPr="00732D9A" w14:paraId="2ECE2BA6" w14:textId="77777777">
        <w:trPr>
          <w:trHeight w:val="300"/>
        </w:trPr>
        <w:tc>
          <w:tcPr>
            <w:tcW w:w="1313" w:type="pct"/>
            <w:vMerge/>
            <w:tcBorders>
              <w:top w:val="single" w:sz="8" w:space="0" w:color="auto"/>
              <w:left w:val="single" w:sz="8" w:space="0" w:color="auto"/>
              <w:bottom w:val="single" w:sz="8" w:space="0" w:color="auto"/>
              <w:right w:val="single" w:sz="8" w:space="0" w:color="auto"/>
            </w:tcBorders>
            <w:vAlign w:val="center"/>
            <w:hideMark/>
          </w:tcPr>
          <w:p w14:paraId="2C35BDB7" w14:textId="77777777" w:rsidR="00E75E53" w:rsidRPr="00732D9A" w:rsidRDefault="00E75E53" w:rsidP="00E75E53">
            <w:pPr>
              <w:spacing w:before="0" w:after="0"/>
              <w:jc w:val="left"/>
              <w:rPr>
                <w:noProof/>
                <w:color w:val="000000"/>
                <w:sz w:val="21"/>
                <w:szCs w:val="21"/>
                <w:lang w:eastAsia="en-IE"/>
              </w:rPr>
            </w:pPr>
          </w:p>
        </w:tc>
        <w:tc>
          <w:tcPr>
            <w:tcW w:w="794" w:type="pct"/>
            <w:tcBorders>
              <w:top w:val="nil"/>
              <w:left w:val="nil"/>
              <w:bottom w:val="single" w:sz="8" w:space="0" w:color="auto"/>
              <w:right w:val="single" w:sz="8" w:space="0" w:color="auto"/>
            </w:tcBorders>
            <w:vAlign w:val="center"/>
            <w:hideMark/>
          </w:tcPr>
          <w:p w14:paraId="24BBD8D8" w14:textId="77777777" w:rsidR="00E75E53" w:rsidRPr="00732D9A" w:rsidRDefault="00E75E53" w:rsidP="00E75E53">
            <w:pPr>
              <w:spacing w:before="0" w:after="0"/>
              <w:rPr>
                <w:noProof/>
                <w:color w:val="000000"/>
                <w:sz w:val="18"/>
                <w:szCs w:val="18"/>
              </w:rPr>
            </w:pPr>
            <w:r w:rsidRPr="00732D9A">
              <w:rPr>
                <w:noProof/>
                <w:color w:val="000000"/>
                <w:sz w:val="18"/>
              </w:rPr>
              <w:t>Paiements</w:t>
            </w:r>
          </w:p>
        </w:tc>
        <w:tc>
          <w:tcPr>
            <w:tcW w:w="517" w:type="pct"/>
            <w:gridSpan w:val="2"/>
            <w:tcBorders>
              <w:top w:val="single" w:sz="8" w:space="0" w:color="auto"/>
              <w:left w:val="nil"/>
              <w:bottom w:val="single" w:sz="8" w:space="0" w:color="auto"/>
              <w:right w:val="single" w:sz="8" w:space="0" w:color="000000"/>
            </w:tcBorders>
            <w:vAlign w:val="center"/>
            <w:hideMark/>
          </w:tcPr>
          <w:p w14:paraId="557A9542" w14:textId="77777777" w:rsidR="00E75E53" w:rsidRPr="00732D9A" w:rsidRDefault="00E75E53" w:rsidP="00E75E53">
            <w:pPr>
              <w:spacing w:before="0" w:after="0"/>
              <w:jc w:val="center"/>
              <w:rPr>
                <w:noProof/>
                <w:color w:val="000000"/>
                <w:sz w:val="14"/>
                <w:szCs w:val="14"/>
              </w:rPr>
            </w:pPr>
            <w:r w:rsidRPr="00732D9A">
              <w:rPr>
                <w:noProof/>
                <w:color w:val="000000"/>
                <w:sz w:val="14"/>
              </w:rPr>
              <w:t>(5)</w:t>
            </w:r>
          </w:p>
        </w:tc>
        <w:tc>
          <w:tcPr>
            <w:tcW w:w="392" w:type="pct"/>
            <w:tcBorders>
              <w:top w:val="nil"/>
              <w:left w:val="nil"/>
              <w:bottom w:val="single" w:sz="8" w:space="0" w:color="auto"/>
              <w:right w:val="single" w:sz="8" w:space="0" w:color="auto"/>
            </w:tcBorders>
            <w:shd w:val="clear" w:color="000000" w:fill="D9D9D9"/>
            <w:vAlign w:val="center"/>
            <w:hideMark/>
          </w:tcPr>
          <w:p w14:paraId="5ABCE70E"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BF8FB60"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39D04BF2" w14:textId="77777777" w:rsidR="00E75E53" w:rsidRPr="00732D9A" w:rsidRDefault="00E75E53" w:rsidP="00E75E53">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06FE53FE" w14:textId="77777777" w:rsidR="00E75E53" w:rsidRPr="00732D9A" w:rsidRDefault="00E75E53" w:rsidP="00E75E53">
            <w:pPr>
              <w:spacing w:before="0" w:after="0"/>
              <w:jc w:val="right"/>
              <w:rPr>
                <w:noProof/>
                <w:color w:val="000000"/>
                <w:sz w:val="20"/>
                <w:szCs w:val="20"/>
              </w:rPr>
            </w:pPr>
            <w:r w:rsidRPr="00732D9A">
              <w:rPr>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65E8D8EA" w14:textId="77777777" w:rsidR="00E75E53" w:rsidRPr="00732D9A" w:rsidRDefault="00E75E53" w:rsidP="00E75E53">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30D67834" w14:textId="77777777" w:rsidR="00E75E53" w:rsidRPr="00732D9A" w:rsidRDefault="00E75E53" w:rsidP="00E75E53">
            <w:pPr>
              <w:spacing w:before="0" w:after="0"/>
              <w:jc w:val="right"/>
              <w:rPr>
                <w:b/>
                <w:noProof/>
                <w:color w:val="000000"/>
                <w:sz w:val="20"/>
                <w:szCs w:val="20"/>
              </w:rPr>
            </w:pPr>
            <w:r w:rsidRPr="00732D9A">
              <w:rPr>
                <w:b/>
                <w:noProof/>
                <w:color w:val="000000"/>
                <w:sz w:val="20"/>
              </w:rPr>
              <w:t>0,140</w:t>
            </w:r>
          </w:p>
        </w:tc>
      </w:tr>
      <w:tr w:rsidR="00F4211D" w:rsidRPr="00732D9A" w14:paraId="46AE517B" w14:textId="77777777" w:rsidTr="00F4211D">
        <w:trPr>
          <w:trHeight w:val="990"/>
        </w:trPr>
        <w:tc>
          <w:tcPr>
            <w:tcW w:w="2107" w:type="pct"/>
            <w:gridSpan w:val="2"/>
            <w:tcBorders>
              <w:top w:val="single" w:sz="8" w:space="0" w:color="auto"/>
              <w:left w:val="single" w:sz="8" w:space="0" w:color="auto"/>
              <w:bottom w:val="single" w:sz="8" w:space="0" w:color="auto"/>
              <w:right w:val="single" w:sz="8" w:space="0" w:color="000000"/>
            </w:tcBorders>
            <w:vAlign w:val="center"/>
            <w:hideMark/>
          </w:tcPr>
          <w:p w14:paraId="366D4118" w14:textId="77777777" w:rsidR="00F4211D" w:rsidRPr="00732D9A" w:rsidRDefault="00F4211D" w:rsidP="00F4211D">
            <w:pPr>
              <w:spacing w:before="0" w:after="0"/>
              <w:rPr>
                <w:noProof/>
                <w:color w:val="000000"/>
                <w:sz w:val="21"/>
                <w:szCs w:val="21"/>
              </w:rPr>
            </w:pPr>
            <w:r w:rsidRPr="00732D9A">
              <w:rPr>
                <w:rFonts w:ascii="Calibri" w:hAnsi="Calibri"/>
                <w:noProof/>
                <w:color w:val="000000"/>
                <w:sz w:val="21"/>
              </w:rPr>
              <w:t>•</w:t>
            </w:r>
            <w:r w:rsidRPr="00732D9A">
              <w:rPr>
                <w:noProof/>
                <w:color w:val="000000"/>
                <w:sz w:val="21"/>
              </w:rPr>
              <w:t xml:space="preserve"> TOTAL des crédits de nature administrative financés par l’enveloppe de certains programmes spécifiques (toutes les rubriques opérationnelles)</w:t>
            </w:r>
          </w:p>
        </w:tc>
        <w:tc>
          <w:tcPr>
            <w:tcW w:w="517" w:type="pct"/>
            <w:gridSpan w:val="2"/>
            <w:tcBorders>
              <w:top w:val="single" w:sz="8" w:space="0" w:color="auto"/>
              <w:left w:val="nil"/>
              <w:bottom w:val="single" w:sz="8" w:space="0" w:color="auto"/>
              <w:right w:val="single" w:sz="8" w:space="0" w:color="000000"/>
            </w:tcBorders>
            <w:vAlign w:val="center"/>
            <w:hideMark/>
          </w:tcPr>
          <w:p w14:paraId="1866FBA1" w14:textId="77777777" w:rsidR="00F4211D" w:rsidRPr="00732D9A" w:rsidRDefault="00F4211D" w:rsidP="00F4211D">
            <w:pPr>
              <w:spacing w:before="0" w:after="0"/>
              <w:jc w:val="center"/>
              <w:rPr>
                <w:noProof/>
                <w:color w:val="000000"/>
                <w:sz w:val="14"/>
                <w:szCs w:val="14"/>
              </w:rPr>
            </w:pPr>
            <w:r w:rsidRPr="00732D9A">
              <w:rPr>
                <w:noProof/>
                <w:color w:val="000000"/>
                <w:sz w:val="14"/>
              </w:rPr>
              <w:t>(6)</w:t>
            </w:r>
          </w:p>
        </w:tc>
        <w:tc>
          <w:tcPr>
            <w:tcW w:w="392" w:type="pct"/>
            <w:tcBorders>
              <w:top w:val="nil"/>
              <w:left w:val="nil"/>
              <w:bottom w:val="single" w:sz="8" w:space="0" w:color="auto"/>
              <w:right w:val="single" w:sz="8" w:space="0" w:color="auto"/>
            </w:tcBorders>
            <w:shd w:val="clear" w:color="000000" w:fill="D9D9D9"/>
            <w:vAlign w:val="center"/>
            <w:hideMark/>
          </w:tcPr>
          <w:p w14:paraId="41D01506"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6C3503C"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6DE9EB74"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41FAC34B" w14:textId="77777777" w:rsidR="00F4211D" w:rsidRPr="00732D9A" w:rsidRDefault="00F4211D" w:rsidP="00F4211D">
            <w:pPr>
              <w:spacing w:before="0" w:after="0"/>
              <w:jc w:val="right"/>
              <w:rPr>
                <w:noProof/>
                <w:color w:val="000000"/>
                <w:sz w:val="20"/>
                <w:szCs w:val="20"/>
              </w:rPr>
            </w:pPr>
            <w:r w:rsidRPr="00732D9A">
              <w:rPr>
                <w:noProof/>
                <w:color w:val="000000"/>
                <w:sz w:val="20"/>
              </w:rPr>
              <w:t>0,000</w:t>
            </w:r>
          </w:p>
        </w:tc>
        <w:tc>
          <w:tcPr>
            <w:tcW w:w="404" w:type="pct"/>
            <w:tcBorders>
              <w:top w:val="nil"/>
              <w:left w:val="nil"/>
              <w:bottom w:val="single" w:sz="8" w:space="0" w:color="auto"/>
              <w:right w:val="single" w:sz="8" w:space="0" w:color="auto"/>
            </w:tcBorders>
            <w:shd w:val="clear" w:color="000000" w:fill="D9D9D9"/>
            <w:vAlign w:val="center"/>
            <w:hideMark/>
          </w:tcPr>
          <w:p w14:paraId="4C22DB5A" w14:textId="77777777" w:rsidR="00F4211D" w:rsidRPr="00732D9A" w:rsidRDefault="00F4211D" w:rsidP="00F4211D">
            <w:pPr>
              <w:spacing w:before="0" w:after="0"/>
              <w:jc w:val="right"/>
              <w:rPr>
                <w:b/>
                <w:bCs/>
                <w:noProof/>
                <w:color w:val="000000"/>
                <w:sz w:val="20"/>
                <w:szCs w:val="20"/>
              </w:rPr>
            </w:pPr>
            <w:r w:rsidRPr="00732D9A">
              <w:rPr>
                <w:b/>
                <w:noProof/>
                <w:color w:val="000000"/>
                <w:sz w:val="20"/>
              </w:rPr>
              <w:t>0,000</w:t>
            </w:r>
          </w:p>
        </w:tc>
        <w:tc>
          <w:tcPr>
            <w:tcW w:w="404" w:type="pct"/>
            <w:tcBorders>
              <w:top w:val="nil"/>
              <w:left w:val="nil"/>
              <w:bottom w:val="single" w:sz="8" w:space="0" w:color="auto"/>
              <w:right w:val="single" w:sz="8" w:space="0" w:color="auto"/>
            </w:tcBorders>
            <w:shd w:val="clear" w:color="000000" w:fill="D9D9D9"/>
            <w:vAlign w:val="center"/>
          </w:tcPr>
          <w:p w14:paraId="7045F3FE" w14:textId="77777777" w:rsidR="00F4211D" w:rsidRPr="00732D9A" w:rsidRDefault="00F4211D" w:rsidP="00F4211D">
            <w:pPr>
              <w:spacing w:before="0" w:after="0"/>
              <w:jc w:val="right"/>
              <w:rPr>
                <w:noProof/>
                <w:color w:val="000000"/>
                <w:sz w:val="20"/>
                <w:szCs w:val="20"/>
              </w:rPr>
            </w:pPr>
            <w:r w:rsidRPr="00732D9A">
              <w:rPr>
                <w:b/>
                <w:noProof/>
                <w:color w:val="000000"/>
                <w:sz w:val="20"/>
              </w:rPr>
              <w:t>0,000</w:t>
            </w:r>
          </w:p>
        </w:tc>
      </w:tr>
      <w:tr w:rsidR="00F4211D" w:rsidRPr="00732D9A" w14:paraId="616DF5DC" w14:textId="77777777">
        <w:trPr>
          <w:trHeight w:val="564"/>
        </w:trPr>
        <w:tc>
          <w:tcPr>
            <w:tcW w:w="1313" w:type="pct"/>
            <w:tcBorders>
              <w:top w:val="nil"/>
              <w:left w:val="single" w:sz="8" w:space="0" w:color="auto"/>
              <w:bottom w:val="nil"/>
              <w:right w:val="single" w:sz="8" w:space="0" w:color="auto"/>
            </w:tcBorders>
            <w:shd w:val="thinDiagStripe" w:color="C0C0C0" w:fill="F1F1F1"/>
            <w:vAlign w:val="center"/>
            <w:hideMark/>
          </w:tcPr>
          <w:p w14:paraId="2878BF6A" w14:textId="77777777" w:rsidR="00F4211D" w:rsidRPr="00732D9A" w:rsidRDefault="00F4211D" w:rsidP="00F4211D">
            <w:pPr>
              <w:spacing w:before="0" w:after="0"/>
              <w:jc w:val="center"/>
              <w:rPr>
                <w:b/>
                <w:noProof/>
                <w:color w:val="000000"/>
                <w:sz w:val="22"/>
              </w:rPr>
            </w:pPr>
            <w:r w:rsidRPr="00732D9A">
              <w:rPr>
                <w:b/>
                <w:noProof/>
                <w:color w:val="000000"/>
                <w:sz w:val="22"/>
              </w:rPr>
              <w:t>TOTAL des crédits pour les            rubriques 1 à 6</w:t>
            </w:r>
          </w:p>
        </w:tc>
        <w:tc>
          <w:tcPr>
            <w:tcW w:w="794" w:type="pct"/>
            <w:tcBorders>
              <w:top w:val="nil"/>
              <w:left w:val="nil"/>
              <w:bottom w:val="nil"/>
              <w:right w:val="single" w:sz="8" w:space="0" w:color="auto"/>
            </w:tcBorders>
            <w:vAlign w:val="center"/>
            <w:hideMark/>
          </w:tcPr>
          <w:p w14:paraId="3B541648" w14:textId="77777777" w:rsidR="00F4211D" w:rsidRPr="00732D9A" w:rsidRDefault="00F4211D" w:rsidP="00F4211D">
            <w:pPr>
              <w:spacing w:before="0" w:after="0"/>
              <w:rPr>
                <w:noProof/>
                <w:color w:val="000000"/>
                <w:sz w:val="18"/>
                <w:szCs w:val="18"/>
              </w:rPr>
            </w:pPr>
            <w:r w:rsidRPr="00732D9A">
              <w:rPr>
                <w:noProof/>
                <w:color w:val="000000"/>
                <w:sz w:val="18"/>
              </w:rPr>
              <w:t>Engagements</w:t>
            </w:r>
          </w:p>
        </w:tc>
        <w:tc>
          <w:tcPr>
            <w:tcW w:w="517" w:type="pct"/>
            <w:gridSpan w:val="2"/>
            <w:tcBorders>
              <w:top w:val="single" w:sz="8" w:space="0" w:color="auto"/>
              <w:left w:val="nil"/>
              <w:bottom w:val="nil"/>
              <w:right w:val="single" w:sz="8" w:space="0" w:color="000000"/>
            </w:tcBorders>
            <w:vAlign w:val="center"/>
            <w:hideMark/>
          </w:tcPr>
          <w:p w14:paraId="23E79AA8" w14:textId="77777777" w:rsidR="00F4211D" w:rsidRPr="00732D9A" w:rsidRDefault="00F4211D" w:rsidP="00F4211D">
            <w:pPr>
              <w:spacing w:before="0" w:after="0"/>
              <w:jc w:val="center"/>
              <w:rPr>
                <w:noProof/>
                <w:color w:val="000000"/>
                <w:sz w:val="14"/>
                <w:szCs w:val="14"/>
              </w:rPr>
            </w:pPr>
            <w:r w:rsidRPr="00732D9A">
              <w:rPr>
                <w:noProof/>
                <w:color w:val="000000"/>
                <w:sz w:val="14"/>
              </w:rPr>
              <w:t>=4+6</w:t>
            </w:r>
          </w:p>
        </w:tc>
        <w:tc>
          <w:tcPr>
            <w:tcW w:w="392" w:type="pct"/>
            <w:tcBorders>
              <w:top w:val="nil"/>
              <w:left w:val="nil"/>
              <w:bottom w:val="single" w:sz="8" w:space="0" w:color="auto"/>
              <w:right w:val="single" w:sz="8" w:space="0" w:color="auto"/>
            </w:tcBorders>
            <w:shd w:val="clear" w:color="000000" w:fill="D9D9D9"/>
            <w:vAlign w:val="center"/>
            <w:hideMark/>
          </w:tcPr>
          <w:p w14:paraId="0724D1FC"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A9877CE"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3638E9B6"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406AB6B8"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58F0953F"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209A7B03" w14:textId="77777777" w:rsidR="00F4211D" w:rsidRPr="00732D9A" w:rsidRDefault="00F4211D" w:rsidP="00F4211D">
            <w:pPr>
              <w:spacing w:before="0" w:after="0"/>
              <w:jc w:val="right"/>
              <w:rPr>
                <w:b/>
                <w:noProof/>
                <w:color w:val="000000"/>
                <w:sz w:val="20"/>
                <w:szCs w:val="20"/>
              </w:rPr>
            </w:pPr>
            <w:r w:rsidRPr="00732D9A">
              <w:rPr>
                <w:b/>
                <w:noProof/>
                <w:color w:val="000000"/>
                <w:sz w:val="20"/>
              </w:rPr>
              <w:t>0,140</w:t>
            </w:r>
          </w:p>
        </w:tc>
      </w:tr>
      <w:tr w:rsidR="00F4211D" w:rsidRPr="00732D9A" w14:paraId="19BFE5C6" w14:textId="77777777">
        <w:trPr>
          <w:trHeight w:val="588"/>
        </w:trPr>
        <w:tc>
          <w:tcPr>
            <w:tcW w:w="1313" w:type="pct"/>
            <w:tcBorders>
              <w:top w:val="nil"/>
              <w:left w:val="single" w:sz="8" w:space="0" w:color="auto"/>
              <w:bottom w:val="single" w:sz="8" w:space="0" w:color="auto"/>
              <w:right w:val="single" w:sz="8" w:space="0" w:color="auto"/>
            </w:tcBorders>
            <w:shd w:val="thinDiagStripe" w:color="C0C0C0" w:fill="F1F1F1"/>
            <w:vAlign w:val="center"/>
            <w:hideMark/>
          </w:tcPr>
          <w:p w14:paraId="527DD59B" w14:textId="3D8C35C9" w:rsidR="00F4211D" w:rsidRPr="00732D9A" w:rsidRDefault="00F4211D" w:rsidP="00F4211D">
            <w:pPr>
              <w:spacing w:before="0" w:after="0"/>
              <w:jc w:val="center"/>
              <w:rPr>
                <w:noProof/>
                <w:color w:val="000000"/>
                <w:sz w:val="20"/>
                <w:szCs w:val="20"/>
              </w:rPr>
            </w:pPr>
            <w:r w:rsidRPr="00732D9A">
              <w:rPr>
                <w:noProof/>
                <w:color w:val="000000"/>
                <w:sz w:val="20"/>
              </w:rPr>
              <w:t>du cadre financier pluriannuel</w:t>
            </w:r>
            <w:r w:rsidRPr="00732D9A">
              <w:rPr>
                <w:noProof/>
              </w:rPr>
              <w:t xml:space="preserve"> </w:t>
            </w:r>
            <w:r w:rsidRPr="00732D9A">
              <w:rPr>
                <w:noProof/>
              </w:rPr>
              <w:br/>
            </w:r>
            <w:r w:rsidRPr="00732D9A">
              <w:rPr>
                <w:noProof/>
                <w:color w:val="000000"/>
                <w:sz w:val="20"/>
              </w:rPr>
              <w:t>(Montant de référence)</w:t>
            </w:r>
          </w:p>
        </w:tc>
        <w:tc>
          <w:tcPr>
            <w:tcW w:w="794" w:type="pct"/>
            <w:tcBorders>
              <w:top w:val="nil"/>
              <w:left w:val="nil"/>
              <w:bottom w:val="single" w:sz="8" w:space="0" w:color="auto"/>
              <w:right w:val="single" w:sz="8" w:space="0" w:color="auto"/>
            </w:tcBorders>
            <w:vAlign w:val="center"/>
            <w:hideMark/>
          </w:tcPr>
          <w:p w14:paraId="40788F99" w14:textId="77777777" w:rsidR="00F4211D" w:rsidRPr="00732D9A" w:rsidRDefault="00F4211D" w:rsidP="00F4211D">
            <w:pPr>
              <w:spacing w:before="0" w:after="0"/>
              <w:rPr>
                <w:noProof/>
                <w:color w:val="000000"/>
                <w:sz w:val="18"/>
                <w:szCs w:val="18"/>
              </w:rPr>
            </w:pPr>
            <w:r w:rsidRPr="00732D9A">
              <w:rPr>
                <w:noProof/>
                <w:color w:val="000000"/>
                <w:sz w:val="18"/>
              </w:rPr>
              <w:t>Paiements</w:t>
            </w:r>
          </w:p>
        </w:tc>
        <w:tc>
          <w:tcPr>
            <w:tcW w:w="517" w:type="pct"/>
            <w:gridSpan w:val="2"/>
            <w:tcBorders>
              <w:top w:val="single" w:sz="8" w:space="0" w:color="auto"/>
              <w:left w:val="nil"/>
              <w:bottom w:val="single" w:sz="8" w:space="0" w:color="auto"/>
              <w:right w:val="single" w:sz="8" w:space="0" w:color="000000"/>
            </w:tcBorders>
            <w:vAlign w:val="center"/>
            <w:hideMark/>
          </w:tcPr>
          <w:p w14:paraId="6C29B6D2" w14:textId="77777777" w:rsidR="00F4211D" w:rsidRPr="00732D9A" w:rsidRDefault="00F4211D" w:rsidP="00F4211D">
            <w:pPr>
              <w:spacing w:before="0" w:after="0"/>
              <w:jc w:val="center"/>
              <w:rPr>
                <w:noProof/>
                <w:color w:val="000000"/>
                <w:sz w:val="14"/>
                <w:szCs w:val="14"/>
              </w:rPr>
            </w:pPr>
            <w:r w:rsidRPr="00732D9A">
              <w:rPr>
                <w:noProof/>
                <w:color w:val="000000"/>
                <w:sz w:val="14"/>
              </w:rPr>
              <w:t>=5+6</w:t>
            </w:r>
          </w:p>
        </w:tc>
        <w:tc>
          <w:tcPr>
            <w:tcW w:w="392" w:type="pct"/>
            <w:tcBorders>
              <w:top w:val="nil"/>
              <w:left w:val="nil"/>
              <w:bottom w:val="single" w:sz="8" w:space="0" w:color="auto"/>
              <w:right w:val="single" w:sz="8" w:space="0" w:color="auto"/>
            </w:tcBorders>
            <w:shd w:val="clear" w:color="000000" w:fill="D9D9D9"/>
            <w:vAlign w:val="center"/>
            <w:hideMark/>
          </w:tcPr>
          <w:p w14:paraId="1757991E"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699CD12"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255CF5B8" w14:textId="77777777" w:rsidR="00F4211D" w:rsidRPr="00732D9A" w:rsidRDefault="00F4211D" w:rsidP="00F4211D">
            <w:pPr>
              <w:spacing w:before="0" w:after="0"/>
              <w:jc w:val="right"/>
              <w:rPr>
                <w:b/>
                <w:noProof/>
                <w:color w:val="000000"/>
                <w:sz w:val="20"/>
                <w:szCs w:val="20"/>
              </w:rPr>
            </w:pPr>
            <w:r w:rsidRPr="00732D9A">
              <w:rPr>
                <w:b/>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7A4B66F0"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hideMark/>
          </w:tcPr>
          <w:p w14:paraId="39B8EFE3" w14:textId="77777777" w:rsidR="00F4211D" w:rsidRPr="00732D9A" w:rsidRDefault="00F4211D" w:rsidP="00F4211D">
            <w:pPr>
              <w:spacing w:before="0" w:after="0"/>
              <w:jc w:val="right"/>
              <w:rPr>
                <w:b/>
                <w:noProof/>
                <w:color w:val="000000"/>
                <w:sz w:val="20"/>
                <w:szCs w:val="20"/>
              </w:rPr>
            </w:pPr>
            <w:r w:rsidRPr="00732D9A">
              <w:rPr>
                <w:b/>
                <w:noProof/>
                <w:color w:val="000000"/>
                <w:sz w:val="20"/>
              </w:rPr>
              <w:t>0,040</w:t>
            </w:r>
          </w:p>
        </w:tc>
        <w:tc>
          <w:tcPr>
            <w:tcW w:w="404" w:type="pct"/>
            <w:tcBorders>
              <w:top w:val="nil"/>
              <w:left w:val="nil"/>
              <w:bottom w:val="single" w:sz="8" w:space="0" w:color="auto"/>
              <w:right w:val="single" w:sz="8" w:space="0" w:color="auto"/>
            </w:tcBorders>
            <w:shd w:val="clear" w:color="000000" w:fill="D9D9D9"/>
            <w:vAlign w:val="center"/>
          </w:tcPr>
          <w:p w14:paraId="06D7A41F" w14:textId="77777777" w:rsidR="00F4211D" w:rsidRPr="00732D9A" w:rsidRDefault="00F4211D" w:rsidP="00F4211D">
            <w:pPr>
              <w:spacing w:before="0" w:after="0"/>
              <w:jc w:val="right"/>
              <w:rPr>
                <w:b/>
                <w:noProof/>
                <w:color w:val="000000"/>
                <w:sz w:val="20"/>
                <w:szCs w:val="20"/>
              </w:rPr>
            </w:pPr>
            <w:r w:rsidRPr="00732D9A">
              <w:rPr>
                <w:b/>
                <w:noProof/>
                <w:color w:val="000000"/>
                <w:sz w:val="20"/>
              </w:rPr>
              <w:t>0,140</w:t>
            </w:r>
          </w:p>
        </w:tc>
      </w:tr>
    </w:tbl>
    <w:p w14:paraId="71DE8C5B" w14:textId="77777777" w:rsidR="001070C7" w:rsidRPr="00732D9A" w:rsidRDefault="001070C7" w:rsidP="001070C7">
      <w:pPr>
        <w:jc w:val="right"/>
        <w:rPr>
          <w:noProof/>
          <w:sz w:val="20"/>
        </w:rPr>
      </w:pPr>
    </w:p>
    <w:p w14:paraId="01BB7E71" w14:textId="7FD81E32" w:rsidR="001070C7" w:rsidRPr="00732D9A" w:rsidRDefault="001070C7" w:rsidP="001070C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148"/>
        <w:gridCol w:w="1240"/>
        <w:gridCol w:w="620"/>
        <w:gridCol w:w="444"/>
        <w:gridCol w:w="1095"/>
        <w:gridCol w:w="867"/>
        <w:gridCol w:w="1115"/>
        <w:gridCol w:w="1095"/>
        <w:gridCol w:w="1095"/>
        <w:gridCol w:w="1095"/>
        <w:gridCol w:w="1095"/>
        <w:gridCol w:w="1311"/>
      </w:tblGrid>
      <w:tr w:rsidR="009D2BDE" w:rsidRPr="00732D9A" w14:paraId="7EDF9A46" w14:textId="77777777" w:rsidTr="00DD5867">
        <w:trPr>
          <w:trHeight w:val="300"/>
        </w:trPr>
        <w:tc>
          <w:tcPr>
            <w:tcW w:w="1107" w:type="pct"/>
            <w:tcBorders>
              <w:top w:val="nil"/>
              <w:left w:val="nil"/>
              <w:bottom w:val="nil"/>
              <w:right w:val="nil"/>
            </w:tcBorders>
            <w:noWrap/>
            <w:vAlign w:val="bottom"/>
            <w:hideMark/>
          </w:tcPr>
          <w:p w14:paraId="10EE6070" w14:textId="77777777" w:rsidR="009D2BDE" w:rsidRPr="00732D9A" w:rsidRDefault="009D2BDE" w:rsidP="009D2BDE">
            <w:pPr>
              <w:spacing w:before="0" w:after="0"/>
              <w:jc w:val="left"/>
              <w:rPr>
                <w:rFonts w:eastAsia="Times New Roman"/>
                <w:noProof/>
                <w:sz w:val="20"/>
                <w:szCs w:val="24"/>
                <w:lang w:eastAsia="en-IE"/>
              </w:rPr>
            </w:pPr>
          </w:p>
        </w:tc>
        <w:tc>
          <w:tcPr>
            <w:tcW w:w="435" w:type="pct"/>
            <w:tcBorders>
              <w:top w:val="nil"/>
              <w:left w:val="nil"/>
              <w:bottom w:val="nil"/>
              <w:right w:val="nil"/>
            </w:tcBorders>
            <w:noWrap/>
            <w:vAlign w:val="bottom"/>
            <w:hideMark/>
          </w:tcPr>
          <w:p w14:paraId="23F662B0" w14:textId="77777777" w:rsidR="009D2BDE" w:rsidRPr="00732D9A" w:rsidRDefault="009D2BDE" w:rsidP="009D2BDE">
            <w:pPr>
              <w:spacing w:before="0" w:after="0"/>
              <w:jc w:val="left"/>
              <w:rPr>
                <w:rFonts w:eastAsia="Times New Roman"/>
                <w:noProof/>
                <w:sz w:val="20"/>
                <w:szCs w:val="20"/>
                <w:lang w:eastAsia="en-IE"/>
              </w:rPr>
            </w:pPr>
          </w:p>
        </w:tc>
        <w:tc>
          <w:tcPr>
            <w:tcW w:w="218" w:type="pct"/>
            <w:tcBorders>
              <w:top w:val="nil"/>
              <w:left w:val="nil"/>
              <w:bottom w:val="nil"/>
              <w:right w:val="nil"/>
            </w:tcBorders>
            <w:noWrap/>
            <w:vAlign w:val="bottom"/>
            <w:hideMark/>
          </w:tcPr>
          <w:p w14:paraId="3E34B4AF" w14:textId="77777777" w:rsidR="009D2BDE" w:rsidRPr="00732D9A" w:rsidRDefault="009D2BDE" w:rsidP="009D2BDE">
            <w:pPr>
              <w:spacing w:before="0" w:after="0"/>
              <w:jc w:val="left"/>
              <w:rPr>
                <w:rFonts w:eastAsia="Times New Roman"/>
                <w:noProof/>
                <w:sz w:val="20"/>
                <w:szCs w:val="20"/>
                <w:lang w:eastAsia="en-IE"/>
              </w:rPr>
            </w:pPr>
          </w:p>
        </w:tc>
        <w:tc>
          <w:tcPr>
            <w:tcW w:w="156" w:type="pct"/>
            <w:tcBorders>
              <w:top w:val="nil"/>
              <w:left w:val="nil"/>
              <w:bottom w:val="nil"/>
              <w:right w:val="nil"/>
            </w:tcBorders>
            <w:noWrap/>
            <w:vAlign w:val="bottom"/>
            <w:hideMark/>
          </w:tcPr>
          <w:p w14:paraId="070460A4" w14:textId="77777777" w:rsidR="009D2BDE" w:rsidRPr="00732D9A" w:rsidRDefault="009D2BDE" w:rsidP="009D2BDE">
            <w:pPr>
              <w:spacing w:before="0" w:after="0"/>
              <w:jc w:val="left"/>
              <w:rPr>
                <w:rFonts w:eastAsia="Times New Roman"/>
                <w:noProof/>
                <w:sz w:val="20"/>
                <w:szCs w:val="20"/>
                <w:lang w:eastAsia="en-IE"/>
              </w:rPr>
            </w:pPr>
          </w:p>
        </w:tc>
        <w:tc>
          <w:tcPr>
            <w:tcW w:w="385" w:type="pct"/>
            <w:tcBorders>
              <w:top w:val="single" w:sz="8" w:space="0" w:color="auto"/>
              <w:left w:val="nil"/>
              <w:bottom w:val="nil"/>
              <w:right w:val="single" w:sz="8" w:space="0" w:color="auto"/>
            </w:tcBorders>
            <w:vAlign w:val="center"/>
            <w:hideMark/>
          </w:tcPr>
          <w:p w14:paraId="4DFC167F"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05" w:type="pct"/>
            <w:tcBorders>
              <w:top w:val="single" w:sz="8" w:space="0" w:color="auto"/>
              <w:left w:val="nil"/>
              <w:bottom w:val="nil"/>
              <w:right w:val="single" w:sz="8" w:space="0" w:color="auto"/>
            </w:tcBorders>
            <w:vAlign w:val="center"/>
            <w:hideMark/>
          </w:tcPr>
          <w:p w14:paraId="5AF7D256"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92" w:type="pct"/>
            <w:tcBorders>
              <w:top w:val="single" w:sz="8" w:space="0" w:color="auto"/>
              <w:left w:val="nil"/>
              <w:bottom w:val="nil"/>
              <w:right w:val="single" w:sz="8" w:space="0" w:color="auto"/>
            </w:tcBorders>
            <w:vAlign w:val="center"/>
            <w:hideMark/>
          </w:tcPr>
          <w:p w14:paraId="704D2307"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85" w:type="pct"/>
            <w:tcBorders>
              <w:top w:val="single" w:sz="8" w:space="0" w:color="auto"/>
              <w:left w:val="nil"/>
              <w:bottom w:val="nil"/>
              <w:right w:val="single" w:sz="8" w:space="0" w:color="auto"/>
            </w:tcBorders>
            <w:vAlign w:val="center"/>
            <w:hideMark/>
          </w:tcPr>
          <w:p w14:paraId="5A45B210"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85" w:type="pct"/>
            <w:tcBorders>
              <w:top w:val="single" w:sz="8" w:space="0" w:color="auto"/>
              <w:left w:val="nil"/>
              <w:bottom w:val="nil"/>
              <w:right w:val="single" w:sz="8" w:space="0" w:color="auto"/>
            </w:tcBorders>
            <w:vAlign w:val="center"/>
            <w:hideMark/>
          </w:tcPr>
          <w:p w14:paraId="3ECCE6A8"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85" w:type="pct"/>
            <w:tcBorders>
              <w:top w:val="single" w:sz="8" w:space="0" w:color="auto"/>
              <w:left w:val="nil"/>
              <w:bottom w:val="nil"/>
              <w:right w:val="single" w:sz="8" w:space="0" w:color="auto"/>
            </w:tcBorders>
            <w:vAlign w:val="center"/>
            <w:hideMark/>
          </w:tcPr>
          <w:p w14:paraId="55B98283"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385" w:type="pct"/>
            <w:tcBorders>
              <w:top w:val="single" w:sz="8" w:space="0" w:color="auto"/>
              <w:left w:val="nil"/>
              <w:bottom w:val="nil"/>
              <w:right w:val="single" w:sz="8" w:space="0" w:color="auto"/>
            </w:tcBorders>
            <w:vAlign w:val="center"/>
            <w:hideMark/>
          </w:tcPr>
          <w:p w14:paraId="48D0C05E" w14:textId="77777777"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Année</w:t>
            </w:r>
          </w:p>
        </w:tc>
        <w:tc>
          <w:tcPr>
            <w:tcW w:w="461" w:type="pct"/>
            <w:vMerge w:val="restart"/>
            <w:tcBorders>
              <w:top w:val="single" w:sz="8" w:space="0" w:color="auto"/>
              <w:left w:val="single" w:sz="8" w:space="0" w:color="auto"/>
              <w:bottom w:val="single" w:sz="8" w:space="0" w:color="000000"/>
              <w:right w:val="single" w:sz="8" w:space="0" w:color="auto"/>
            </w:tcBorders>
            <w:vAlign w:val="center"/>
            <w:hideMark/>
          </w:tcPr>
          <w:p w14:paraId="0B70BBC1"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TOTAL CFP</w:t>
            </w:r>
            <w:r w:rsidRPr="00732D9A">
              <w:rPr>
                <w:noProof/>
              </w:rPr>
              <w:t xml:space="preserve"> </w:t>
            </w:r>
            <w:r w:rsidRPr="00732D9A">
              <w:rPr>
                <w:noProof/>
              </w:rPr>
              <w:cr/>
            </w:r>
            <w:r w:rsidRPr="00732D9A">
              <w:rPr>
                <w:noProof/>
              </w:rPr>
              <w:br/>
            </w:r>
            <w:r w:rsidRPr="00732D9A">
              <w:rPr>
                <w:b/>
                <w:noProof/>
                <w:color w:val="000000"/>
                <w:sz w:val="20"/>
              </w:rPr>
              <w:t>2028-2034</w:t>
            </w:r>
            <w:r w:rsidRPr="00732D9A">
              <w:rPr>
                <w:rStyle w:val="FootnoteReference"/>
                <w:rFonts w:eastAsia="Times New Roman"/>
                <w:b/>
                <w:bCs/>
                <w:noProof/>
                <w:color w:val="000000"/>
                <w:sz w:val="20"/>
                <w:szCs w:val="20"/>
                <w:lang w:eastAsia="en-IE"/>
              </w:rPr>
              <w:footnoteReference w:id="78"/>
            </w:r>
          </w:p>
        </w:tc>
      </w:tr>
      <w:tr w:rsidR="009D2BDE" w:rsidRPr="00732D9A" w14:paraId="55C53EA8" w14:textId="77777777" w:rsidTr="00DD5867">
        <w:trPr>
          <w:trHeight w:val="315"/>
        </w:trPr>
        <w:tc>
          <w:tcPr>
            <w:tcW w:w="1107" w:type="pct"/>
            <w:tcBorders>
              <w:top w:val="nil"/>
              <w:left w:val="nil"/>
              <w:bottom w:val="nil"/>
              <w:right w:val="nil"/>
            </w:tcBorders>
            <w:noWrap/>
            <w:vAlign w:val="bottom"/>
            <w:hideMark/>
          </w:tcPr>
          <w:p w14:paraId="632E745A" w14:textId="77777777" w:rsidR="009D2BDE" w:rsidRPr="00732D9A" w:rsidRDefault="009D2BDE" w:rsidP="009D2BDE">
            <w:pPr>
              <w:spacing w:before="0" w:after="0"/>
              <w:jc w:val="center"/>
              <w:rPr>
                <w:rFonts w:eastAsia="Times New Roman"/>
                <w:b/>
                <w:bCs/>
                <w:noProof/>
                <w:color w:val="000000"/>
                <w:sz w:val="20"/>
                <w:szCs w:val="20"/>
                <w:lang w:eastAsia="en-IE"/>
              </w:rPr>
            </w:pPr>
          </w:p>
        </w:tc>
        <w:tc>
          <w:tcPr>
            <w:tcW w:w="435" w:type="pct"/>
            <w:tcBorders>
              <w:top w:val="nil"/>
              <w:left w:val="nil"/>
              <w:bottom w:val="nil"/>
              <w:right w:val="nil"/>
            </w:tcBorders>
            <w:noWrap/>
            <w:vAlign w:val="bottom"/>
            <w:hideMark/>
          </w:tcPr>
          <w:p w14:paraId="08328388" w14:textId="77777777" w:rsidR="009D2BDE" w:rsidRPr="00732D9A" w:rsidRDefault="009D2BDE" w:rsidP="009D2BDE">
            <w:pPr>
              <w:spacing w:before="0" w:after="0"/>
              <w:jc w:val="left"/>
              <w:rPr>
                <w:rFonts w:eastAsia="Times New Roman"/>
                <w:noProof/>
                <w:sz w:val="20"/>
                <w:szCs w:val="20"/>
                <w:lang w:eastAsia="en-IE"/>
              </w:rPr>
            </w:pPr>
          </w:p>
        </w:tc>
        <w:tc>
          <w:tcPr>
            <w:tcW w:w="218" w:type="pct"/>
            <w:tcBorders>
              <w:top w:val="nil"/>
              <w:left w:val="nil"/>
              <w:bottom w:val="nil"/>
              <w:right w:val="nil"/>
            </w:tcBorders>
            <w:noWrap/>
            <w:vAlign w:val="bottom"/>
            <w:hideMark/>
          </w:tcPr>
          <w:p w14:paraId="14EC9BED" w14:textId="77777777" w:rsidR="009D2BDE" w:rsidRPr="00732D9A" w:rsidRDefault="009D2BDE" w:rsidP="009D2BDE">
            <w:pPr>
              <w:spacing w:before="0" w:after="0"/>
              <w:jc w:val="left"/>
              <w:rPr>
                <w:rFonts w:eastAsia="Times New Roman"/>
                <w:noProof/>
                <w:sz w:val="20"/>
                <w:szCs w:val="20"/>
                <w:lang w:eastAsia="en-IE"/>
              </w:rPr>
            </w:pPr>
          </w:p>
        </w:tc>
        <w:tc>
          <w:tcPr>
            <w:tcW w:w="156" w:type="pct"/>
            <w:tcBorders>
              <w:top w:val="nil"/>
              <w:left w:val="nil"/>
              <w:bottom w:val="nil"/>
              <w:right w:val="nil"/>
            </w:tcBorders>
            <w:noWrap/>
            <w:vAlign w:val="bottom"/>
            <w:hideMark/>
          </w:tcPr>
          <w:p w14:paraId="54268A52" w14:textId="77777777" w:rsidR="009D2BDE" w:rsidRPr="00732D9A" w:rsidRDefault="009D2BDE" w:rsidP="009D2BDE">
            <w:pPr>
              <w:spacing w:before="0" w:after="0"/>
              <w:jc w:val="left"/>
              <w:rPr>
                <w:rFonts w:eastAsia="Times New Roman"/>
                <w:noProof/>
                <w:sz w:val="20"/>
                <w:szCs w:val="20"/>
                <w:lang w:eastAsia="en-IE"/>
              </w:rPr>
            </w:pPr>
          </w:p>
        </w:tc>
        <w:tc>
          <w:tcPr>
            <w:tcW w:w="385" w:type="pct"/>
            <w:tcBorders>
              <w:top w:val="nil"/>
              <w:left w:val="nil"/>
              <w:bottom w:val="single" w:sz="8" w:space="0" w:color="auto"/>
              <w:right w:val="single" w:sz="8" w:space="0" w:color="auto"/>
            </w:tcBorders>
            <w:vAlign w:val="center"/>
            <w:hideMark/>
          </w:tcPr>
          <w:p w14:paraId="6595409B"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2028</w:t>
            </w:r>
          </w:p>
        </w:tc>
        <w:tc>
          <w:tcPr>
            <w:tcW w:w="305" w:type="pct"/>
            <w:tcBorders>
              <w:top w:val="nil"/>
              <w:left w:val="nil"/>
              <w:bottom w:val="single" w:sz="8" w:space="0" w:color="auto"/>
              <w:right w:val="single" w:sz="8" w:space="0" w:color="auto"/>
            </w:tcBorders>
            <w:vAlign w:val="center"/>
            <w:hideMark/>
          </w:tcPr>
          <w:p w14:paraId="29DC6BD4"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2029</w:t>
            </w:r>
          </w:p>
        </w:tc>
        <w:tc>
          <w:tcPr>
            <w:tcW w:w="392" w:type="pct"/>
            <w:tcBorders>
              <w:top w:val="nil"/>
              <w:left w:val="nil"/>
              <w:bottom w:val="single" w:sz="8" w:space="0" w:color="auto"/>
              <w:right w:val="single" w:sz="8" w:space="0" w:color="auto"/>
            </w:tcBorders>
            <w:vAlign w:val="center"/>
            <w:hideMark/>
          </w:tcPr>
          <w:p w14:paraId="08215E9D"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2030</w:t>
            </w:r>
          </w:p>
        </w:tc>
        <w:tc>
          <w:tcPr>
            <w:tcW w:w="385" w:type="pct"/>
            <w:tcBorders>
              <w:top w:val="nil"/>
              <w:left w:val="nil"/>
              <w:bottom w:val="single" w:sz="8" w:space="0" w:color="auto"/>
              <w:right w:val="single" w:sz="8" w:space="0" w:color="auto"/>
            </w:tcBorders>
            <w:vAlign w:val="center"/>
            <w:hideMark/>
          </w:tcPr>
          <w:p w14:paraId="0337622A"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2031</w:t>
            </w:r>
          </w:p>
        </w:tc>
        <w:tc>
          <w:tcPr>
            <w:tcW w:w="385" w:type="pct"/>
            <w:tcBorders>
              <w:top w:val="nil"/>
              <w:left w:val="nil"/>
              <w:bottom w:val="single" w:sz="8" w:space="0" w:color="auto"/>
              <w:right w:val="single" w:sz="8" w:space="0" w:color="auto"/>
            </w:tcBorders>
            <w:vAlign w:val="center"/>
            <w:hideMark/>
          </w:tcPr>
          <w:p w14:paraId="7EBD906A"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2032</w:t>
            </w:r>
          </w:p>
        </w:tc>
        <w:tc>
          <w:tcPr>
            <w:tcW w:w="385" w:type="pct"/>
            <w:tcBorders>
              <w:top w:val="nil"/>
              <w:left w:val="nil"/>
              <w:bottom w:val="single" w:sz="8" w:space="0" w:color="auto"/>
              <w:right w:val="single" w:sz="8" w:space="0" w:color="auto"/>
            </w:tcBorders>
            <w:vAlign w:val="center"/>
            <w:hideMark/>
          </w:tcPr>
          <w:p w14:paraId="495A2453"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2033</w:t>
            </w:r>
          </w:p>
        </w:tc>
        <w:tc>
          <w:tcPr>
            <w:tcW w:w="385" w:type="pct"/>
            <w:tcBorders>
              <w:top w:val="nil"/>
              <w:left w:val="nil"/>
              <w:bottom w:val="single" w:sz="8" w:space="0" w:color="auto"/>
              <w:right w:val="single" w:sz="8" w:space="0" w:color="auto"/>
            </w:tcBorders>
            <w:vAlign w:val="center"/>
            <w:hideMark/>
          </w:tcPr>
          <w:p w14:paraId="223071A0" w14:textId="77777777" w:rsidR="009D2BDE" w:rsidRPr="00732D9A" w:rsidRDefault="009D2BDE" w:rsidP="009D2BDE">
            <w:pPr>
              <w:spacing w:before="0" w:after="0"/>
              <w:jc w:val="center"/>
              <w:rPr>
                <w:rFonts w:eastAsia="Times New Roman"/>
                <w:b/>
                <w:bCs/>
                <w:noProof/>
                <w:color w:val="000000"/>
                <w:sz w:val="20"/>
                <w:szCs w:val="20"/>
              </w:rPr>
            </w:pPr>
            <w:r w:rsidRPr="00732D9A">
              <w:rPr>
                <w:b/>
                <w:noProof/>
                <w:color w:val="000000"/>
                <w:sz w:val="20"/>
              </w:rPr>
              <w:t>2034</w:t>
            </w:r>
          </w:p>
        </w:tc>
        <w:tc>
          <w:tcPr>
            <w:tcW w:w="461" w:type="pct"/>
            <w:vMerge/>
            <w:tcBorders>
              <w:top w:val="single" w:sz="8" w:space="0" w:color="auto"/>
              <w:left w:val="single" w:sz="8" w:space="0" w:color="auto"/>
              <w:bottom w:val="single" w:sz="8" w:space="0" w:color="000000"/>
              <w:right w:val="single" w:sz="8" w:space="0" w:color="auto"/>
            </w:tcBorders>
            <w:vAlign w:val="center"/>
            <w:hideMark/>
          </w:tcPr>
          <w:p w14:paraId="3783C910" w14:textId="77777777" w:rsidR="009D2BDE" w:rsidRPr="00732D9A" w:rsidRDefault="009D2BDE" w:rsidP="009D2BDE">
            <w:pPr>
              <w:spacing w:before="0" w:after="0"/>
              <w:jc w:val="left"/>
              <w:rPr>
                <w:rFonts w:eastAsia="Times New Roman"/>
                <w:b/>
                <w:bCs/>
                <w:noProof/>
                <w:color w:val="000000"/>
                <w:sz w:val="20"/>
                <w:szCs w:val="20"/>
                <w:lang w:eastAsia="en-IE"/>
              </w:rPr>
            </w:pPr>
          </w:p>
        </w:tc>
      </w:tr>
      <w:tr w:rsidR="00A429A0" w:rsidRPr="00732D9A" w14:paraId="764BF32F" w14:textId="77777777" w:rsidTr="00DD5867">
        <w:trPr>
          <w:trHeight w:val="315"/>
        </w:trPr>
        <w:tc>
          <w:tcPr>
            <w:tcW w:w="1107" w:type="pct"/>
            <w:vMerge w:val="restart"/>
            <w:tcBorders>
              <w:top w:val="single" w:sz="8" w:space="0" w:color="auto"/>
              <w:left w:val="single" w:sz="8" w:space="0" w:color="auto"/>
              <w:bottom w:val="single" w:sz="8" w:space="0" w:color="auto"/>
              <w:right w:val="single" w:sz="8" w:space="0" w:color="auto"/>
            </w:tcBorders>
            <w:vAlign w:val="center"/>
            <w:hideMark/>
          </w:tcPr>
          <w:p w14:paraId="0B0196B0" w14:textId="77777777" w:rsidR="009D2BDE" w:rsidRPr="00732D9A" w:rsidRDefault="009D2BDE" w:rsidP="009D2BDE">
            <w:pPr>
              <w:spacing w:before="0" w:after="0"/>
              <w:rPr>
                <w:rFonts w:eastAsia="Times New Roman"/>
                <w:noProof/>
                <w:color w:val="000000"/>
                <w:sz w:val="21"/>
                <w:szCs w:val="21"/>
              </w:rPr>
            </w:pPr>
            <w:r w:rsidRPr="00732D9A">
              <w:rPr>
                <w:noProof/>
                <w:color w:val="000000"/>
                <w:sz w:val="21"/>
              </w:rPr>
              <w:t>• TOTAL des crédits opérationnels (toutes les rubriques opérationnelles)</w:t>
            </w:r>
          </w:p>
        </w:tc>
        <w:tc>
          <w:tcPr>
            <w:tcW w:w="435" w:type="pct"/>
            <w:tcBorders>
              <w:top w:val="single" w:sz="8" w:space="0" w:color="auto"/>
              <w:left w:val="nil"/>
              <w:bottom w:val="single" w:sz="8" w:space="0" w:color="auto"/>
              <w:right w:val="single" w:sz="8" w:space="0" w:color="auto"/>
            </w:tcBorders>
            <w:vAlign w:val="center"/>
            <w:hideMark/>
          </w:tcPr>
          <w:p w14:paraId="56FEA7BE" w14:textId="77777777" w:rsidR="009D2BDE" w:rsidRPr="00732D9A" w:rsidRDefault="009D2BDE" w:rsidP="009D2BDE">
            <w:pPr>
              <w:spacing w:before="0" w:after="0"/>
              <w:rPr>
                <w:rFonts w:eastAsia="Times New Roman"/>
                <w:noProof/>
                <w:color w:val="000000"/>
                <w:sz w:val="18"/>
                <w:szCs w:val="18"/>
              </w:rPr>
            </w:pPr>
            <w:r w:rsidRPr="00732D9A">
              <w:rPr>
                <w:noProof/>
                <w:color w:val="000000"/>
                <w:sz w:val="18"/>
              </w:rPr>
              <w:t>Engagements</w:t>
            </w:r>
          </w:p>
        </w:tc>
        <w:tc>
          <w:tcPr>
            <w:tcW w:w="374" w:type="pct"/>
            <w:gridSpan w:val="2"/>
            <w:tcBorders>
              <w:top w:val="single" w:sz="8" w:space="0" w:color="auto"/>
              <w:left w:val="nil"/>
              <w:bottom w:val="single" w:sz="8" w:space="0" w:color="auto"/>
              <w:right w:val="single" w:sz="8" w:space="0" w:color="000000"/>
            </w:tcBorders>
            <w:vAlign w:val="center"/>
            <w:hideMark/>
          </w:tcPr>
          <w:p w14:paraId="0275FAA5" w14:textId="77777777" w:rsidR="009D2BDE" w:rsidRPr="00732D9A" w:rsidRDefault="009D2BDE" w:rsidP="009D2BDE">
            <w:pPr>
              <w:spacing w:before="0" w:after="0"/>
              <w:jc w:val="center"/>
              <w:rPr>
                <w:rFonts w:eastAsia="Times New Roman"/>
                <w:noProof/>
                <w:color w:val="000000"/>
                <w:sz w:val="14"/>
                <w:szCs w:val="14"/>
              </w:rPr>
            </w:pPr>
            <w:r w:rsidRPr="00732D9A">
              <w:rPr>
                <w:noProof/>
                <w:color w:val="000000"/>
                <w:sz w:val="14"/>
              </w:rPr>
              <w:t>(4)</w:t>
            </w:r>
          </w:p>
        </w:tc>
        <w:tc>
          <w:tcPr>
            <w:tcW w:w="385" w:type="pct"/>
            <w:tcBorders>
              <w:top w:val="nil"/>
              <w:left w:val="nil"/>
              <w:bottom w:val="single" w:sz="8" w:space="0" w:color="auto"/>
              <w:right w:val="single" w:sz="8" w:space="0" w:color="auto"/>
            </w:tcBorders>
            <w:shd w:val="clear" w:color="000000" w:fill="D9D9D9"/>
            <w:vAlign w:val="center"/>
            <w:hideMark/>
          </w:tcPr>
          <w:p w14:paraId="031D3E86"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13F43F1A"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1C257733"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45A9891"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029BCD6B"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E243413"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DEE8B35"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035F339E"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0,140</w:t>
            </w:r>
          </w:p>
        </w:tc>
      </w:tr>
      <w:tr w:rsidR="008E7258" w:rsidRPr="00732D9A" w14:paraId="5DD324E6" w14:textId="77777777" w:rsidTr="00DD5867">
        <w:trPr>
          <w:trHeight w:val="315"/>
        </w:trPr>
        <w:tc>
          <w:tcPr>
            <w:tcW w:w="1107" w:type="pct"/>
            <w:vMerge/>
            <w:tcBorders>
              <w:top w:val="single" w:sz="8" w:space="0" w:color="auto"/>
              <w:left w:val="single" w:sz="8" w:space="0" w:color="auto"/>
              <w:bottom w:val="single" w:sz="8" w:space="0" w:color="auto"/>
              <w:right w:val="single" w:sz="8" w:space="0" w:color="auto"/>
            </w:tcBorders>
            <w:vAlign w:val="center"/>
            <w:hideMark/>
          </w:tcPr>
          <w:p w14:paraId="5ABD5A84" w14:textId="77777777" w:rsidR="009D2BDE" w:rsidRPr="00732D9A" w:rsidRDefault="009D2BDE" w:rsidP="009D2BDE">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14:paraId="2D467151" w14:textId="77777777" w:rsidR="009D2BDE" w:rsidRPr="00732D9A" w:rsidRDefault="009D2BDE" w:rsidP="009D2BDE">
            <w:pPr>
              <w:spacing w:before="0" w:after="0"/>
              <w:rPr>
                <w:rFonts w:eastAsia="Times New Roman"/>
                <w:noProof/>
                <w:color w:val="000000"/>
                <w:sz w:val="18"/>
                <w:szCs w:val="18"/>
              </w:rPr>
            </w:pPr>
            <w:r w:rsidRPr="00732D9A">
              <w:rPr>
                <w:noProof/>
                <w:color w:val="000000"/>
                <w:sz w:val="18"/>
              </w:rPr>
              <w:t>Paiements</w:t>
            </w:r>
          </w:p>
        </w:tc>
        <w:tc>
          <w:tcPr>
            <w:tcW w:w="374" w:type="pct"/>
            <w:gridSpan w:val="2"/>
            <w:tcBorders>
              <w:top w:val="single" w:sz="8" w:space="0" w:color="auto"/>
              <w:left w:val="nil"/>
              <w:bottom w:val="single" w:sz="8" w:space="0" w:color="auto"/>
              <w:right w:val="single" w:sz="8" w:space="0" w:color="000000"/>
            </w:tcBorders>
            <w:vAlign w:val="center"/>
            <w:hideMark/>
          </w:tcPr>
          <w:p w14:paraId="0275F178" w14:textId="77777777" w:rsidR="009D2BDE" w:rsidRPr="00732D9A" w:rsidRDefault="009D2BDE" w:rsidP="009D2BDE">
            <w:pPr>
              <w:spacing w:before="0" w:after="0"/>
              <w:jc w:val="center"/>
              <w:rPr>
                <w:rFonts w:eastAsia="Times New Roman"/>
                <w:noProof/>
                <w:color w:val="000000"/>
                <w:sz w:val="14"/>
                <w:szCs w:val="14"/>
              </w:rPr>
            </w:pPr>
            <w:r w:rsidRPr="00732D9A">
              <w:rPr>
                <w:noProof/>
                <w:color w:val="000000"/>
                <w:sz w:val="14"/>
              </w:rPr>
              <w:t>(5)</w:t>
            </w:r>
          </w:p>
        </w:tc>
        <w:tc>
          <w:tcPr>
            <w:tcW w:w="385" w:type="pct"/>
            <w:tcBorders>
              <w:top w:val="nil"/>
              <w:left w:val="nil"/>
              <w:bottom w:val="single" w:sz="8" w:space="0" w:color="auto"/>
              <w:right w:val="single" w:sz="8" w:space="0" w:color="auto"/>
            </w:tcBorders>
            <w:shd w:val="clear" w:color="000000" w:fill="D9D9D9"/>
            <w:vAlign w:val="center"/>
            <w:hideMark/>
          </w:tcPr>
          <w:p w14:paraId="01BD2F30"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51C7E675"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7CE0F2CF"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5CCFDF5E"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DB8EFD8"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2AD5EB04"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BA5BF1C"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50A17A06"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0,140</w:t>
            </w:r>
          </w:p>
        </w:tc>
      </w:tr>
      <w:tr w:rsidR="00A429A0" w:rsidRPr="00732D9A" w14:paraId="77C78906" w14:textId="77777777" w:rsidTr="001070C7">
        <w:trPr>
          <w:trHeight w:val="990"/>
        </w:trPr>
        <w:tc>
          <w:tcPr>
            <w:tcW w:w="1543" w:type="pct"/>
            <w:gridSpan w:val="2"/>
            <w:tcBorders>
              <w:top w:val="single" w:sz="8" w:space="0" w:color="auto"/>
              <w:left w:val="single" w:sz="8" w:space="0" w:color="auto"/>
              <w:bottom w:val="single" w:sz="8" w:space="0" w:color="auto"/>
              <w:right w:val="single" w:sz="8" w:space="0" w:color="000000"/>
            </w:tcBorders>
            <w:vAlign w:val="center"/>
            <w:hideMark/>
          </w:tcPr>
          <w:p w14:paraId="083B7AE7" w14:textId="77777777" w:rsidR="009D2BDE" w:rsidRPr="00732D9A" w:rsidRDefault="009D2BDE" w:rsidP="009D2BDE">
            <w:pPr>
              <w:spacing w:before="0" w:after="0"/>
              <w:rPr>
                <w:rFonts w:eastAsia="Times New Roman"/>
                <w:noProof/>
                <w:color w:val="000000"/>
                <w:sz w:val="21"/>
                <w:szCs w:val="21"/>
              </w:rPr>
            </w:pPr>
            <w:r w:rsidRPr="00732D9A">
              <w:rPr>
                <w:noProof/>
                <w:color w:val="000000"/>
                <w:sz w:val="21"/>
              </w:rPr>
              <w:t>• TOTAL des crédits de nature administrative financés par l’enveloppe de certains programmes spécifiques (toutes les rubriques opérationnelles)</w:t>
            </w:r>
          </w:p>
        </w:tc>
        <w:tc>
          <w:tcPr>
            <w:tcW w:w="374" w:type="pct"/>
            <w:gridSpan w:val="2"/>
            <w:tcBorders>
              <w:top w:val="single" w:sz="8" w:space="0" w:color="auto"/>
              <w:left w:val="nil"/>
              <w:bottom w:val="single" w:sz="8" w:space="0" w:color="auto"/>
              <w:right w:val="single" w:sz="8" w:space="0" w:color="000000"/>
            </w:tcBorders>
            <w:vAlign w:val="center"/>
            <w:hideMark/>
          </w:tcPr>
          <w:p w14:paraId="6CE6A03F" w14:textId="77777777" w:rsidR="009D2BDE" w:rsidRPr="00732D9A" w:rsidRDefault="009D2BDE" w:rsidP="009D2BDE">
            <w:pPr>
              <w:spacing w:before="0" w:after="0"/>
              <w:jc w:val="center"/>
              <w:rPr>
                <w:rFonts w:eastAsia="Times New Roman"/>
                <w:noProof/>
                <w:color w:val="000000"/>
                <w:sz w:val="14"/>
                <w:szCs w:val="14"/>
              </w:rPr>
            </w:pPr>
            <w:r w:rsidRPr="00732D9A">
              <w:rPr>
                <w:noProof/>
                <w:color w:val="000000"/>
                <w:sz w:val="14"/>
              </w:rPr>
              <w:t>(6)</w:t>
            </w:r>
          </w:p>
        </w:tc>
        <w:tc>
          <w:tcPr>
            <w:tcW w:w="385" w:type="pct"/>
            <w:tcBorders>
              <w:top w:val="nil"/>
              <w:left w:val="nil"/>
              <w:bottom w:val="single" w:sz="8" w:space="0" w:color="auto"/>
              <w:right w:val="single" w:sz="8" w:space="0" w:color="auto"/>
            </w:tcBorders>
            <w:shd w:val="clear" w:color="000000" w:fill="D9D9D9"/>
            <w:vAlign w:val="center"/>
            <w:hideMark/>
          </w:tcPr>
          <w:p w14:paraId="669E70CB"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05" w:type="pct"/>
            <w:tcBorders>
              <w:top w:val="nil"/>
              <w:left w:val="nil"/>
              <w:bottom w:val="single" w:sz="8" w:space="0" w:color="auto"/>
              <w:right w:val="single" w:sz="8" w:space="0" w:color="auto"/>
            </w:tcBorders>
            <w:shd w:val="clear" w:color="000000" w:fill="D9D9D9"/>
            <w:vAlign w:val="center"/>
            <w:hideMark/>
          </w:tcPr>
          <w:p w14:paraId="675A08C4"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040F2C10"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551A01A8"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61BE6B70"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612C869F"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385" w:type="pct"/>
            <w:tcBorders>
              <w:top w:val="nil"/>
              <w:left w:val="nil"/>
              <w:bottom w:val="single" w:sz="8" w:space="0" w:color="auto"/>
              <w:right w:val="single" w:sz="8" w:space="0" w:color="auto"/>
            </w:tcBorders>
            <w:shd w:val="clear" w:color="000000" w:fill="D9D9D9"/>
            <w:vAlign w:val="center"/>
            <w:hideMark/>
          </w:tcPr>
          <w:p w14:paraId="043560ED" w14:textId="77777777" w:rsidR="009D2BDE" w:rsidRPr="00732D9A" w:rsidRDefault="009D2BDE" w:rsidP="009D2BDE">
            <w:pPr>
              <w:spacing w:before="0" w:after="0"/>
              <w:jc w:val="right"/>
              <w:rPr>
                <w:rFonts w:eastAsia="Times New Roman"/>
                <w:noProof/>
                <w:color w:val="000000"/>
                <w:sz w:val="20"/>
                <w:szCs w:val="20"/>
              </w:rPr>
            </w:pPr>
            <w:r w:rsidRPr="00732D9A">
              <w:rPr>
                <w:noProof/>
                <w:color w:val="000000"/>
                <w:sz w:val="20"/>
              </w:rPr>
              <w:t>0,000</w:t>
            </w:r>
          </w:p>
        </w:tc>
        <w:tc>
          <w:tcPr>
            <w:tcW w:w="461" w:type="pct"/>
            <w:tcBorders>
              <w:top w:val="nil"/>
              <w:left w:val="nil"/>
              <w:bottom w:val="single" w:sz="8" w:space="0" w:color="auto"/>
              <w:right w:val="single" w:sz="8" w:space="0" w:color="auto"/>
            </w:tcBorders>
            <w:shd w:val="clear" w:color="000000" w:fill="D9D9D9"/>
            <w:vAlign w:val="center"/>
            <w:hideMark/>
          </w:tcPr>
          <w:p w14:paraId="0ED40B70"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0,000</w:t>
            </w:r>
          </w:p>
        </w:tc>
      </w:tr>
      <w:tr w:rsidR="00A429A0" w:rsidRPr="00732D9A" w14:paraId="65AA3F83" w14:textId="77777777" w:rsidTr="00DD5867">
        <w:trPr>
          <w:trHeight w:val="585"/>
        </w:trPr>
        <w:tc>
          <w:tcPr>
            <w:tcW w:w="1107" w:type="pct"/>
            <w:tcBorders>
              <w:top w:val="nil"/>
              <w:left w:val="single" w:sz="8" w:space="0" w:color="auto"/>
              <w:bottom w:val="nil"/>
              <w:right w:val="single" w:sz="8" w:space="0" w:color="auto"/>
            </w:tcBorders>
            <w:shd w:val="thinDiagStripe" w:color="C0C0C0" w:fill="F1F1F1"/>
            <w:vAlign w:val="center"/>
            <w:hideMark/>
          </w:tcPr>
          <w:p w14:paraId="3CE09401" w14:textId="67842599" w:rsidR="009D2BDE" w:rsidRPr="00732D9A" w:rsidRDefault="009D2BDE" w:rsidP="009D2BDE">
            <w:pPr>
              <w:spacing w:before="0" w:after="0"/>
              <w:jc w:val="center"/>
              <w:rPr>
                <w:rFonts w:eastAsia="Times New Roman"/>
                <w:b/>
                <w:bCs/>
                <w:noProof/>
                <w:color w:val="000000"/>
                <w:sz w:val="22"/>
              </w:rPr>
            </w:pPr>
            <w:r w:rsidRPr="00732D9A">
              <w:rPr>
                <w:b/>
                <w:noProof/>
                <w:color w:val="000000"/>
                <w:sz w:val="22"/>
              </w:rPr>
              <w:t>TOTAL des crédits</w:t>
            </w:r>
            <w:r w:rsidRPr="00732D9A">
              <w:rPr>
                <w:noProof/>
              </w:rPr>
              <w:t xml:space="preserve"> </w:t>
            </w:r>
            <w:r w:rsidRPr="00732D9A">
              <w:rPr>
                <w:noProof/>
              </w:rPr>
              <w:br/>
            </w:r>
            <w:r w:rsidRPr="00732D9A">
              <w:rPr>
                <w:b/>
                <w:noProof/>
                <w:color w:val="000000"/>
                <w:sz w:val="22"/>
              </w:rPr>
              <w:t>pour les rubriques 1 à 6</w:t>
            </w:r>
          </w:p>
        </w:tc>
        <w:tc>
          <w:tcPr>
            <w:tcW w:w="435" w:type="pct"/>
            <w:tcBorders>
              <w:top w:val="nil"/>
              <w:left w:val="nil"/>
              <w:bottom w:val="nil"/>
              <w:right w:val="single" w:sz="8" w:space="0" w:color="auto"/>
            </w:tcBorders>
            <w:vAlign w:val="center"/>
            <w:hideMark/>
          </w:tcPr>
          <w:p w14:paraId="0E9AC8B4" w14:textId="77777777" w:rsidR="009D2BDE" w:rsidRPr="00732D9A" w:rsidRDefault="009D2BDE" w:rsidP="009D2BDE">
            <w:pPr>
              <w:spacing w:before="0" w:after="0"/>
              <w:rPr>
                <w:rFonts w:eastAsia="Times New Roman"/>
                <w:noProof/>
                <w:color w:val="000000"/>
                <w:sz w:val="18"/>
                <w:szCs w:val="18"/>
              </w:rPr>
            </w:pPr>
            <w:r w:rsidRPr="00732D9A">
              <w:rPr>
                <w:noProof/>
                <w:color w:val="000000"/>
                <w:sz w:val="18"/>
              </w:rPr>
              <w:t>Engagements</w:t>
            </w:r>
          </w:p>
        </w:tc>
        <w:tc>
          <w:tcPr>
            <w:tcW w:w="374" w:type="pct"/>
            <w:gridSpan w:val="2"/>
            <w:tcBorders>
              <w:top w:val="single" w:sz="8" w:space="0" w:color="auto"/>
              <w:left w:val="nil"/>
              <w:bottom w:val="nil"/>
              <w:right w:val="single" w:sz="8" w:space="0" w:color="000000"/>
            </w:tcBorders>
            <w:vAlign w:val="center"/>
            <w:hideMark/>
          </w:tcPr>
          <w:p w14:paraId="631248CD" w14:textId="77777777" w:rsidR="009D2BDE" w:rsidRPr="00732D9A" w:rsidRDefault="009D2BDE" w:rsidP="009D2BDE">
            <w:pPr>
              <w:spacing w:before="0" w:after="0"/>
              <w:jc w:val="center"/>
              <w:rPr>
                <w:rFonts w:eastAsia="Times New Roman"/>
                <w:noProof/>
                <w:color w:val="000000"/>
                <w:sz w:val="14"/>
                <w:szCs w:val="14"/>
              </w:rPr>
            </w:pPr>
            <w:r w:rsidRPr="00732D9A">
              <w:rPr>
                <w:noProof/>
                <w:color w:val="000000"/>
                <w:sz w:val="14"/>
              </w:rPr>
              <w:t>=4+6</w:t>
            </w:r>
          </w:p>
        </w:tc>
        <w:tc>
          <w:tcPr>
            <w:tcW w:w="385" w:type="pct"/>
            <w:tcBorders>
              <w:top w:val="nil"/>
              <w:left w:val="nil"/>
              <w:bottom w:val="single" w:sz="8" w:space="0" w:color="auto"/>
              <w:right w:val="single" w:sz="8" w:space="0" w:color="auto"/>
            </w:tcBorders>
            <w:shd w:val="clear" w:color="000000" w:fill="D9D9D9"/>
            <w:vAlign w:val="center"/>
            <w:hideMark/>
          </w:tcPr>
          <w:p w14:paraId="4F7FCF24"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753A7CC7"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5FD1E34A"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1209779C"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103E5A77"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432142F3"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6E123533"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4B8FC5F6"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0,140</w:t>
            </w:r>
          </w:p>
        </w:tc>
      </w:tr>
      <w:tr w:rsidR="00A429A0" w:rsidRPr="00732D9A" w14:paraId="0EC216B1" w14:textId="77777777" w:rsidTr="00DD5867">
        <w:trPr>
          <w:trHeight w:val="589"/>
        </w:trPr>
        <w:tc>
          <w:tcPr>
            <w:tcW w:w="1107" w:type="pct"/>
            <w:tcBorders>
              <w:top w:val="nil"/>
              <w:left w:val="single" w:sz="8" w:space="0" w:color="auto"/>
              <w:bottom w:val="single" w:sz="8" w:space="0" w:color="auto"/>
              <w:right w:val="single" w:sz="8" w:space="0" w:color="auto"/>
            </w:tcBorders>
            <w:shd w:val="thinDiagStripe" w:color="C0C0C0" w:fill="F1F1F1"/>
            <w:vAlign w:val="center"/>
            <w:hideMark/>
          </w:tcPr>
          <w:p w14:paraId="4F5379ED" w14:textId="53A35F4F" w:rsidR="009D2BDE" w:rsidRPr="00732D9A" w:rsidRDefault="009D2BDE" w:rsidP="009D2BDE">
            <w:pPr>
              <w:spacing w:before="0" w:after="0"/>
              <w:jc w:val="center"/>
              <w:rPr>
                <w:rFonts w:eastAsia="Times New Roman"/>
                <w:noProof/>
                <w:color w:val="000000"/>
                <w:sz w:val="20"/>
                <w:szCs w:val="20"/>
              </w:rPr>
            </w:pPr>
            <w:r w:rsidRPr="00732D9A">
              <w:rPr>
                <w:noProof/>
                <w:color w:val="000000"/>
                <w:sz w:val="20"/>
              </w:rPr>
              <w:t>du cadre financier pluriannuel</w:t>
            </w:r>
            <w:r w:rsidRPr="00732D9A">
              <w:rPr>
                <w:noProof/>
              </w:rPr>
              <w:t xml:space="preserve"> </w:t>
            </w:r>
            <w:r w:rsidRPr="00732D9A">
              <w:rPr>
                <w:noProof/>
              </w:rPr>
              <w:br/>
            </w:r>
            <w:r w:rsidRPr="00732D9A">
              <w:rPr>
                <w:noProof/>
                <w:color w:val="000000"/>
                <w:sz w:val="20"/>
              </w:rPr>
              <w:t>(Montant de référence)</w:t>
            </w:r>
          </w:p>
        </w:tc>
        <w:tc>
          <w:tcPr>
            <w:tcW w:w="435" w:type="pct"/>
            <w:tcBorders>
              <w:top w:val="nil"/>
              <w:left w:val="nil"/>
              <w:bottom w:val="single" w:sz="8" w:space="0" w:color="auto"/>
              <w:right w:val="single" w:sz="8" w:space="0" w:color="auto"/>
            </w:tcBorders>
            <w:vAlign w:val="center"/>
            <w:hideMark/>
          </w:tcPr>
          <w:p w14:paraId="5079642B" w14:textId="77777777" w:rsidR="009D2BDE" w:rsidRPr="00732D9A" w:rsidRDefault="009D2BDE" w:rsidP="009D2BDE">
            <w:pPr>
              <w:spacing w:before="0" w:after="0"/>
              <w:rPr>
                <w:rFonts w:eastAsia="Times New Roman"/>
                <w:noProof/>
                <w:color w:val="000000"/>
                <w:sz w:val="18"/>
                <w:szCs w:val="18"/>
              </w:rPr>
            </w:pPr>
            <w:r w:rsidRPr="00732D9A">
              <w:rPr>
                <w:noProof/>
                <w:color w:val="000000"/>
                <w:sz w:val="18"/>
              </w:rPr>
              <w:t>Paiements</w:t>
            </w:r>
          </w:p>
        </w:tc>
        <w:tc>
          <w:tcPr>
            <w:tcW w:w="374" w:type="pct"/>
            <w:gridSpan w:val="2"/>
            <w:tcBorders>
              <w:top w:val="single" w:sz="8" w:space="0" w:color="auto"/>
              <w:left w:val="nil"/>
              <w:bottom w:val="single" w:sz="8" w:space="0" w:color="auto"/>
              <w:right w:val="single" w:sz="8" w:space="0" w:color="000000"/>
            </w:tcBorders>
            <w:vAlign w:val="center"/>
            <w:hideMark/>
          </w:tcPr>
          <w:p w14:paraId="5C04B51D" w14:textId="77777777" w:rsidR="009D2BDE" w:rsidRPr="00732D9A" w:rsidRDefault="009D2BDE" w:rsidP="009D2BDE">
            <w:pPr>
              <w:spacing w:before="0" w:after="0"/>
              <w:jc w:val="center"/>
              <w:rPr>
                <w:rFonts w:eastAsia="Times New Roman"/>
                <w:noProof/>
                <w:color w:val="000000"/>
                <w:sz w:val="14"/>
                <w:szCs w:val="14"/>
              </w:rPr>
            </w:pPr>
            <w:r w:rsidRPr="00732D9A">
              <w:rPr>
                <w:noProof/>
                <w:color w:val="000000"/>
                <w:sz w:val="14"/>
              </w:rPr>
              <w:t>=5+6</w:t>
            </w:r>
          </w:p>
        </w:tc>
        <w:tc>
          <w:tcPr>
            <w:tcW w:w="385" w:type="pct"/>
            <w:tcBorders>
              <w:top w:val="nil"/>
              <w:left w:val="nil"/>
              <w:bottom w:val="single" w:sz="8" w:space="0" w:color="auto"/>
              <w:right w:val="single" w:sz="8" w:space="0" w:color="auto"/>
            </w:tcBorders>
            <w:shd w:val="clear" w:color="000000" w:fill="D9D9D9"/>
            <w:vAlign w:val="center"/>
            <w:hideMark/>
          </w:tcPr>
          <w:p w14:paraId="3BA4FE2A"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05" w:type="pct"/>
            <w:tcBorders>
              <w:top w:val="nil"/>
              <w:left w:val="nil"/>
              <w:bottom w:val="single" w:sz="8" w:space="0" w:color="auto"/>
              <w:right w:val="single" w:sz="8" w:space="0" w:color="auto"/>
            </w:tcBorders>
            <w:shd w:val="clear" w:color="000000" w:fill="D9D9D9"/>
            <w:vAlign w:val="center"/>
            <w:hideMark/>
          </w:tcPr>
          <w:p w14:paraId="43B768ED"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92" w:type="pct"/>
            <w:tcBorders>
              <w:top w:val="nil"/>
              <w:left w:val="nil"/>
              <w:bottom w:val="single" w:sz="8" w:space="0" w:color="auto"/>
              <w:right w:val="single" w:sz="8" w:space="0" w:color="auto"/>
            </w:tcBorders>
            <w:shd w:val="clear" w:color="000000" w:fill="D9D9D9"/>
            <w:vAlign w:val="center"/>
            <w:hideMark/>
          </w:tcPr>
          <w:p w14:paraId="6E411380"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519619AC"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0663C536"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C916768"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385" w:type="pct"/>
            <w:tcBorders>
              <w:top w:val="nil"/>
              <w:left w:val="nil"/>
              <w:bottom w:val="single" w:sz="8" w:space="0" w:color="auto"/>
              <w:right w:val="single" w:sz="8" w:space="0" w:color="auto"/>
            </w:tcBorders>
            <w:shd w:val="clear" w:color="000000" w:fill="D9D9D9"/>
            <w:vAlign w:val="center"/>
            <w:hideMark/>
          </w:tcPr>
          <w:p w14:paraId="3138E2DD"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0,020</w:t>
            </w:r>
          </w:p>
        </w:tc>
        <w:tc>
          <w:tcPr>
            <w:tcW w:w="461" w:type="pct"/>
            <w:tcBorders>
              <w:top w:val="nil"/>
              <w:left w:val="nil"/>
              <w:bottom w:val="single" w:sz="8" w:space="0" w:color="auto"/>
              <w:right w:val="single" w:sz="8" w:space="0" w:color="auto"/>
            </w:tcBorders>
            <w:shd w:val="clear" w:color="000000" w:fill="D9D9D9"/>
            <w:vAlign w:val="center"/>
            <w:hideMark/>
          </w:tcPr>
          <w:p w14:paraId="6E640935" w14:textId="77777777" w:rsidR="009D2BDE" w:rsidRPr="00732D9A" w:rsidRDefault="009D2BDE" w:rsidP="009D2BDE">
            <w:pPr>
              <w:spacing w:before="0" w:after="0"/>
              <w:jc w:val="right"/>
              <w:rPr>
                <w:rFonts w:eastAsia="Times New Roman"/>
                <w:b/>
                <w:bCs/>
                <w:noProof/>
                <w:color w:val="000000"/>
                <w:sz w:val="20"/>
                <w:szCs w:val="20"/>
              </w:rPr>
            </w:pPr>
            <w:r w:rsidRPr="00732D9A">
              <w:rPr>
                <w:b/>
                <w:noProof/>
                <w:color w:val="000000"/>
                <w:sz w:val="20"/>
              </w:rPr>
              <w:t>0,140</w:t>
            </w:r>
          </w:p>
        </w:tc>
      </w:tr>
    </w:tbl>
    <w:p w14:paraId="46ED2F16" w14:textId="77777777" w:rsidR="00DD5867" w:rsidRPr="00732D9A" w:rsidRDefault="00DD5867" w:rsidP="00CA7C31">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A7C31" w:rsidRPr="00732D9A" w14:paraId="7CEE525B" w14:textId="77777777">
        <w:trPr>
          <w:jc w:val="center"/>
        </w:trPr>
        <w:tc>
          <w:tcPr>
            <w:tcW w:w="1739" w:type="pct"/>
            <w:shd w:val="thinDiagStripe" w:color="C0C0C0" w:fill="auto"/>
            <w:vAlign w:val="center"/>
          </w:tcPr>
          <w:p w14:paraId="14342DF8" w14:textId="77777777" w:rsidR="00CA7C31" w:rsidRPr="00732D9A" w:rsidRDefault="00CA7C31">
            <w:pPr>
              <w:spacing w:before="60" w:after="60"/>
              <w:jc w:val="center"/>
              <w:rPr>
                <w:b/>
                <w:noProof/>
              </w:rPr>
            </w:pPr>
            <w:r w:rsidRPr="00732D9A">
              <w:rPr>
                <w:noProof/>
              </w:rPr>
              <w:br w:type="page"/>
            </w:r>
            <w:r w:rsidRPr="00732D9A">
              <w:rPr>
                <w:b/>
                <w:noProof/>
                <w:sz w:val="22"/>
              </w:rPr>
              <w:t xml:space="preserve">Rubrique du cadre financier pluriannuel </w:t>
            </w:r>
          </w:p>
        </w:tc>
        <w:tc>
          <w:tcPr>
            <w:tcW w:w="396" w:type="pct"/>
            <w:shd w:val="thinDiagStripe" w:color="C0C0C0" w:fill="auto"/>
            <w:vAlign w:val="center"/>
          </w:tcPr>
          <w:p w14:paraId="30D447CE" w14:textId="77777777" w:rsidR="00CA7C31" w:rsidRPr="00732D9A" w:rsidRDefault="00CA7C31">
            <w:pPr>
              <w:spacing w:before="60" w:after="60"/>
              <w:jc w:val="center"/>
              <w:rPr>
                <w:noProof/>
              </w:rPr>
            </w:pPr>
            <w:r w:rsidRPr="00732D9A">
              <w:rPr>
                <w:noProof/>
                <w:sz w:val="22"/>
              </w:rPr>
              <w:t>7</w:t>
            </w:r>
          </w:p>
        </w:tc>
        <w:tc>
          <w:tcPr>
            <w:tcW w:w="2865" w:type="pct"/>
            <w:vAlign w:val="center"/>
          </w:tcPr>
          <w:p w14:paraId="5AD372F7" w14:textId="77777777" w:rsidR="00CA7C31" w:rsidRPr="00732D9A" w:rsidRDefault="00CA7C31">
            <w:pPr>
              <w:spacing w:before="60" w:after="60"/>
              <w:rPr>
                <w:noProof/>
              </w:rPr>
            </w:pPr>
            <w:r w:rsidRPr="00732D9A">
              <w:rPr>
                <w:noProof/>
                <w:sz w:val="22"/>
              </w:rPr>
              <w:t>«Dépenses administratives»</w:t>
            </w:r>
            <w:r w:rsidRPr="00732D9A">
              <w:rPr>
                <w:noProof/>
              </w:rPr>
              <w:t xml:space="preserve"> </w:t>
            </w:r>
          </w:p>
        </w:tc>
      </w:tr>
    </w:tbl>
    <w:p w14:paraId="5DDA6B16" w14:textId="4E8D5AFB" w:rsidR="00CA7C31" w:rsidRPr="00732D9A" w:rsidRDefault="001070C7" w:rsidP="001070C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4301"/>
        <w:gridCol w:w="2435"/>
        <w:gridCol w:w="598"/>
        <w:gridCol w:w="606"/>
        <w:gridCol w:w="975"/>
        <w:gridCol w:w="975"/>
        <w:gridCol w:w="975"/>
        <w:gridCol w:w="975"/>
        <w:gridCol w:w="139"/>
        <w:gridCol w:w="1186"/>
        <w:gridCol w:w="1055"/>
      </w:tblGrid>
      <w:tr w:rsidR="00395C70" w:rsidRPr="00732D9A" w14:paraId="1BC4BF2A" w14:textId="77777777" w:rsidTr="00AC046C">
        <w:trPr>
          <w:trHeight w:val="288"/>
        </w:trPr>
        <w:tc>
          <w:tcPr>
            <w:tcW w:w="277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1F4B18EA" w14:textId="77777777" w:rsidR="00395C70" w:rsidRPr="00732D9A" w:rsidRDefault="00395C70" w:rsidP="00B065D6">
            <w:pPr>
              <w:spacing w:before="0" w:after="0"/>
              <w:jc w:val="center"/>
              <w:rPr>
                <w:noProof/>
                <w:color w:val="000000"/>
                <w:szCs w:val="24"/>
              </w:rPr>
            </w:pPr>
            <w:r w:rsidRPr="00732D9A">
              <w:rPr>
                <w:noProof/>
                <w:color w:val="000000"/>
              </w:rPr>
              <w:t>DG: GROW</w:t>
            </w:r>
          </w:p>
        </w:tc>
        <w:tc>
          <w:tcPr>
            <w:tcW w:w="336" w:type="pct"/>
            <w:tcBorders>
              <w:top w:val="single" w:sz="8" w:space="0" w:color="auto"/>
              <w:left w:val="nil"/>
              <w:bottom w:val="nil"/>
              <w:right w:val="single" w:sz="8" w:space="0" w:color="auto"/>
            </w:tcBorders>
            <w:vAlign w:val="center"/>
            <w:hideMark/>
          </w:tcPr>
          <w:p w14:paraId="1F078E65" w14:textId="77777777" w:rsidR="00395C70" w:rsidRPr="00732D9A" w:rsidRDefault="00395C70" w:rsidP="00B065D6">
            <w:pPr>
              <w:spacing w:before="0" w:after="0"/>
              <w:jc w:val="center"/>
              <w:rPr>
                <w:noProof/>
                <w:color w:val="000000"/>
                <w:sz w:val="20"/>
                <w:szCs w:val="20"/>
              </w:rPr>
            </w:pPr>
            <w:r w:rsidRPr="00732D9A">
              <w:rPr>
                <w:noProof/>
                <w:color w:val="000000"/>
                <w:sz w:val="20"/>
              </w:rPr>
              <w:t>Année</w:t>
            </w:r>
          </w:p>
        </w:tc>
        <w:tc>
          <w:tcPr>
            <w:tcW w:w="336" w:type="pct"/>
            <w:tcBorders>
              <w:top w:val="single" w:sz="8" w:space="0" w:color="auto"/>
              <w:left w:val="nil"/>
              <w:bottom w:val="nil"/>
              <w:right w:val="single" w:sz="8" w:space="0" w:color="auto"/>
            </w:tcBorders>
            <w:vAlign w:val="center"/>
            <w:hideMark/>
          </w:tcPr>
          <w:p w14:paraId="7FEE73CE" w14:textId="77777777" w:rsidR="00395C70" w:rsidRPr="00732D9A" w:rsidRDefault="00395C70" w:rsidP="00B065D6">
            <w:pPr>
              <w:spacing w:before="0" w:after="0"/>
              <w:jc w:val="center"/>
              <w:rPr>
                <w:noProof/>
                <w:color w:val="000000"/>
                <w:sz w:val="20"/>
                <w:szCs w:val="20"/>
              </w:rPr>
            </w:pPr>
            <w:r w:rsidRPr="00732D9A">
              <w:rPr>
                <w:noProof/>
                <w:color w:val="000000"/>
                <w:sz w:val="20"/>
              </w:rPr>
              <w:t>Année</w:t>
            </w:r>
          </w:p>
        </w:tc>
        <w:tc>
          <w:tcPr>
            <w:tcW w:w="336" w:type="pct"/>
            <w:tcBorders>
              <w:top w:val="single" w:sz="8" w:space="0" w:color="auto"/>
              <w:left w:val="nil"/>
              <w:bottom w:val="nil"/>
              <w:right w:val="single" w:sz="8" w:space="0" w:color="auto"/>
            </w:tcBorders>
            <w:vAlign w:val="center"/>
            <w:hideMark/>
          </w:tcPr>
          <w:p w14:paraId="79DDB219" w14:textId="77777777" w:rsidR="00395C70" w:rsidRPr="00732D9A" w:rsidRDefault="00395C70" w:rsidP="00B065D6">
            <w:pPr>
              <w:spacing w:before="0" w:after="0"/>
              <w:jc w:val="center"/>
              <w:rPr>
                <w:noProof/>
                <w:color w:val="000000"/>
                <w:sz w:val="20"/>
                <w:szCs w:val="20"/>
              </w:rPr>
            </w:pPr>
            <w:r w:rsidRPr="00732D9A">
              <w:rPr>
                <w:noProof/>
                <w:color w:val="000000"/>
                <w:sz w:val="20"/>
              </w:rPr>
              <w:t>Année</w:t>
            </w:r>
          </w:p>
        </w:tc>
        <w:tc>
          <w:tcPr>
            <w:tcW w:w="392" w:type="pct"/>
            <w:gridSpan w:val="2"/>
            <w:tcBorders>
              <w:top w:val="single" w:sz="8" w:space="0" w:color="auto"/>
              <w:left w:val="nil"/>
              <w:bottom w:val="nil"/>
              <w:right w:val="single" w:sz="8" w:space="0" w:color="auto"/>
            </w:tcBorders>
            <w:vAlign w:val="center"/>
            <w:hideMark/>
          </w:tcPr>
          <w:p w14:paraId="49066A7C" w14:textId="77777777" w:rsidR="00395C70" w:rsidRPr="00732D9A" w:rsidRDefault="00395C70" w:rsidP="00B065D6">
            <w:pPr>
              <w:spacing w:before="0" w:after="0"/>
              <w:jc w:val="center"/>
              <w:rPr>
                <w:noProof/>
                <w:color w:val="000000"/>
                <w:sz w:val="20"/>
                <w:szCs w:val="20"/>
              </w:rPr>
            </w:pPr>
            <w:r w:rsidRPr="00732D9A">
              <w:rPr>
                <w:noProof/>
                <w:color w:val="000000"/>
                <w:sz w:val="20"/>
              </w:rPr>
              <w:t>Année</w:t>
            </w:r>
          </w:p>
        </w:tc>
        <w:tc>
          <w:tcPr>
            <w:tcW w:w="417" w:type="pct"/>
            <w:vMerge w:val="restart"/>
            <w:tcBorders>
              <w:top w:val="single" w:sz="8" w:space="0" w:color="auto"/>
              <w:left w:val="single" w:sz="8" w:space="0" w:color="auto"/>
              <w:bottom w:val="single" w:sz="8" w:space="0" w:color="000000"/>
              <w:right w:val="single" w:sz="8" w:space="0" w:color="auto"/>
            </w:tcBorders>
            <w:vAlign w:val="center"/>
            <w:hideMark/>
          </w:tcPr>
          <w:p w14:paraId="162FE533" w14:textId="77777777" w:rsidR="00395C70" w:rsidRPr="00732D9A" w:rsidRDefault="00395C70" w:rsidP="00B065D6">
            <w:pPr>
              <w:spacing w:before="0" w:after="0"/>
              <w:jc w:val="center"/>
              <w:rPr>
                <w:b/>
                <w:noProof/>
                <w:color w:val="000000"/>
                <w:sz w:val="20"/>
                <w:szCs w:val="20"/>
              </w:rPr>
            </w:pPr>
            <w:r w:rsidRPr="00732D9A">
              <w:rPr>
                <w:b/>
                <w:noProof/>
                <w:color w:val="000000"/>
                <w:sz w:val="20"/>
              </w:rPr>
              <w:t>TOTAL CFP 2021-2027</w:t>
            </w:r>
          </w:p>
        </w:tc>
        <w:tc>
          <w:tcPr>
            <w:tcW w:w="406" w:type="pct"/>
            <w:vMerge w:val="restart"/>
            <w:tcBorders>
              <w:top w:val="single" w:sz="8" w:space="0" w:color="auto"/>
              <w:left w:val="single" w:sz="8" w:space="0" w:color="auto"/>
              <w:right w:val="single" w:sz="8" w:space="0" w:color="auto"/>
            </w:tcBorders>
          </w:tcPr>
          <w:p w14:paraId="46789A50" w14:textId="77777777" w:rsidR="00395C70" w:rsidRPr="00732D9A" w:rsidRDefault="00395C70" w:rsidP="00B065D6">
            <w:pPr>
              <w:spacing w:before="0" w:after="0"/>
              <w:jc w:val="center"/>
              <w:rPr>
                <w:b/>
                <w:noProof/>
                <w:color w:val="000000"/>
                <w:sz w:val="20"/>
                <w:szCs w:val="20"/>
              </w:rPr>
            </w:pPr>
            <w:r w:rsidRPr="00732D9A">
              <w:rPr>
                <w:b/>
                <w:noProof/>
                <w:color w:val="000000"/>
                <w:sz w:val="20"/>
              </w:rPr>
              <w:t>TOTAL CFP 2028-2034</w:t>
            </w:r>
            <w:r w:rsidRPr="00732D9A">
              <w:rPr>
                <w:rStyle w:val="FootnoteReference"/>
                <w:b/>
                <w:noProof/>
                <w:color w:val="000000"/>
                <w:sz w:val="20"/>
                <w:szCs w:val="20"/>
                <w:lang w:eastAsia="en-IE"/>
              </w:rPr>
              <w:footnoteReference w:id="79"/>
            </w:r>
          </w:p>
        </w:tc>
      </w:tr>
      <w:tr w:rsidR="00395C70" w:rsidRPr="00732D9A" w14:paraId="607253FB" w14:textId="77777777" w:rsidTr="00AC046C">
        <w:trPr>
          <w:trHeight w:val="300"/>
        </w:trPr>
        <w:tc>
          <w:tcPr>
            <w:tcW w:w="2776" w:type="pct"/>
            <w:gridSpan w:val="4"/>
            <w:vMerge/>
            <w:tcBorders>
              <w:top w:val="single" w:sz="8" w:space="0" w:color="auto"/>
              <w:left w:val="single" w:sz="8" w:space="0" w:color="auto"/>
              <w:bottom w:val="single" w:sz="8" w:space="0" w:color="auto"/>
              <w:right w:val="single" w:sz="8" w:space="0" w:color="auto"/>
            </w:tcBorders>
            <w:vAlign w:val="center"/>
            <w:hideMark/>
          </w:tcPr>
          <w:p w14:paraId="65E66866" w14:textId="77777777" w:rsidR="00395C70" w:rsidRPr="00732D9A" w:rsidRDefault="00395C70" w:rsidP="00B065D6">
            <w:pPr>
              <w:spacing w:before="0" w:after="0"/>
              <w:jc w:val="left"/>
              <w:rPr>
                <w:noProof/>
                <w:color w:val="000000"/>
                <w:szCs w:val="24"/>
                <w:lang w:eastAsia="en-IE"/>
              </w:rPr>
            </w:pPr>
          </w:p>
        </w:tc>
        <w:tc>
          <w:tcPr>
            <w:tcW w:w="336" w:type="pct"/>
            <w:tcBorders>
              <w:top w:val="nil"/>
              <w:left w:val="nil"/>
              <w:bottom w:val="single" w:sz="8" w:space="0" w:color="auto"/>
              <w:right w:val="single" w:sz="8" w:space="0" w:color="auto"/>
            </w:tcBorders>
            <w:vAlign w:val="center"/>
            <w:hideMark/>
          </w:tcPr>
          <w:p w14:paraId="53400F75" w14:textId="77777777" w:rsidR="00395C70" w:rsidRPr="00732D9A" w:rsidRDefault="00395C70" w:rsidP="00B065D6">
            <w:pPr>
              <w:spacing w:before="0" w:after="0"/>
              <w:jc w:val="center"/>
              <w:rPr>
                <w:b/>
                <w:noProof/>
                <w:color w:val="000000"/>
                <w:sz w:val="20"/>
                <w:szCs w:val="20"/>
              </w:rPr>
            </w:pPr>
            <w:r w:rsidRPr="00732D9A">
              <w:rPr>
                <w:b/>
                <w:noProof/>
                <w:color w:val="000000"/>
                <w:sz w:val="20"/>
              </w:rPr>
              <w:t>2024</w:t>
            </w:r>
          </w:p>
        </w:tc>
        <w:tc>
          <w:tcPr>
            <w:tcW w:w="336" w:type="pct"/>
            <w:tcBorders>
              <w:top w:val="nil"/>
              <w:left w:val="nil"/>
              <w:bottom w:val="single" w:sz="8" w:space="0" w:color="auto"/>
              <w:right w:val="single" w:sz="8" w:space="0" w:color="auto"/>
            </w:tcBorders>
            <w:vAlign w:val="center"/>
            <w:hideMark/>
          </w:tcPr>
          <w:p w14:paraId="5B9DE5C0" w14:textId="77777777" w:rsidR="00395C70" w:rsidRPr="00732D9A" w:rsidRDefault="00395C70" w:rsidP="00B065D6">
            <w:pPr>
              <w:spacing w:before="0" w:after="0"/>
              <w:jc w:val="center"/>
              <w:rPr>
                <w:b/>
                <w:noProof/>
                <w:color w:val="000000"/>
                <w:sz w:val="20"/>
                <w:szCs w:val="20"/>
              </w:rPr>
            </w:pPr>
            <w:r w:rsidRPr="00732D9A">
              <w:rPr>
                <w:b/>
                <w:noProof/>
                <w:color w:val="000000"/>
                <w:sz w:val="20"/>
              </w:rPr>
              <w:t>2025</w:t>
            </w:r>
          </w:p>
        </w:tc>
        <w:tc>
          <w:tcPr>
            <w:tcW w:w="336" w:type="pct"/>
            <w:tcBorders>
              <w:top w:val="nil"/>
              <w:left w:val="nil"/>
              <w:bottom w:val="single" w:sz="8" w:space="0" w:color="auto"/>
              <w:right w:val="single" w:sz="8" w:space="0" w:color="auto"/>
            </w:tcBorders>
            <w:vAlign w:val="center"/>
            <w:hideMark/>
          </w:tcPr>
          <w:p w14:paraId="5383E651" w14:textId="77777777" w:rsidR="00395C70" w:rsidRPr="00732D9A" w:rsidRDefault="00395C70" w:rsidP="00B065D6">
            <w:pPr>
              <w:spacing w:before="0" w:after="0"/>
              <w:jc w:val="center"/>
              <w:rPr>
                <w:b/>
                <w:noProof/>
                <w:color w:val="000000"/>
                <w:sz w:val="20"/>
                <w:szCs w:val="20"/>
              </w:rPr>
            </w:pPr>
            <w:r w:rsidRPr="00732D9A">
              <w:rPr>
                <w:b/>
                <w:noProof/>
                <w:color w:val="000000"/>
                <w:sz w:val="20"/>
              </w:rPr>
              <w:t>2026</w:t>
            </w:r>
          </w:p>
        </w:tc>
        <w:tc>
          <w:tcPr>
            <w:tcW w:w="392" w:type="pct"/>
            <w:gridSpan w:val="2"/>
            <w:tcBorders>
              <w:top w:val="nil"/>
              <w:left w:val="nil"/>
              <w:bottom w:val="single" w:sz="8" w:space="0" w:color="auto"/>
              <w:right w:val="single" w:sz="8" w:space="0" w:color="auto"/>
            </w:tcBorders>
            <w:vAlign w:val="center"/>
            <w:hideMark/>
          </w:tcPr>
          <w:p w14:paraId="06279D07" w14:textId="77777777" w:rsidR="00395C70" w:rsidRPr="00732D9A" w:rsidRDefault="00395C70" w:rsidP="00B065D6">
            <w:pPr>
              <w:spacing w:before="0" w:after="0"/>
              <w:jc w:val="center"/>
              <w:rPr>
                <w:b/>
                <w:noProof/>
                <w:color w:val="000000"/>
                <w:sz w:val="20"/>
                <w:szCs w:val="20"/>
              </w:rPr>
            </w:pPr>
            <w:r w:rsidRPr="00732D9A">
              <w:rPr>
                <w:b/>
                <w:noProof/>
                <w:color w:val="000000"/>
                <w:sz w:val="20"/>
              </w:rPr>
              <w:t>2027</w:t>
            </w:r>
          </w:p>
        </w:tc>
        <w:tc>
          <w:tcPr>
            <w:tcW w:w="417" w:type="pct"/>
            <w:vMerge/>
            <w:tcBorders>
              <w:top w:val="single" w:sz="8" w:space="0" w:color="auto"/>
              <w:left w:val="single" w:sz="8" w:space="0" w:color="auto"/>
              <w:bottom w:val="single" w:sz="8" w:space="0" w:color="000000"/>
              <w:right w:val="single" w:sz="8" w:space="0" w:color="auto"/>
            </w:tcBorders>
            <w:vAlign w:val="center"/>
            <w:hideMark/>
          </w:tcPr>
          <w:p w14:paraId="38BFC2BA" w14:textId="77777777" w:rsidR="00395C70" w:rsidRPr="00732D9A" w:rsidRDefault="00395C70" w:rsidP="00B065D6">
            <w:pPr>
              <w:spacing w:before="0" w:after="0"/>
              <w:jc w:val="left"/>
              <w:rPr>
                <w:b/>
                <w:noProof/>
                <w:color w:val="000000"/>
                <w:sz w:val="20"/>
                <w:szCs w:val="20"/>
                <w:lang w:eastAsia="en-IE"/>
              </w:rPr>
            </w:pPr>
          </w:p>
        </w:tc>
        <w:tc>
          <w:tcPr>
            <w:tcW w:w="406" w:type="pct"/>
            <w:vMerge/>
            <w:tcBorders>
              <w:left w:val="single" w:sz="8" w:space="0" w:color="auto"/>
              <w:bottom w:val="single" w:sz="8" w:space="0" w:color="000000"/>
              <w:right w:val="single" w:sz="8" w:space="0" w:color="auto"/>
            </w:tcBorders>
          </w:tcPr>
          <w:p w14:paraId="2F9E215A" w14:textId="77777777" w:rsidR="00395C70" w:rsidRPr="00732D9A" w:rsidRDefault="00395C70" w:rsidP="00B065D6">
            <w:pPr>
              <w:spacing w:before="0" w:after="0"/>
              <w:jc w:val="left"/>
              <w:rPr>
                <w:b/>
                <w:noProof/>
                <w:color w:val="000000"/>
                <w:sz w:val="20"/>
                <w:szCs w:val="20"/>
                <w:lang w:eastAsia="en-IE"/>
              </w:rPr>
            </w:pPr>
          </w:p>
        </w:tc>
      </w:tr>
      <w:tr w:rsidR="00AC046C" w:rsidRPr="00732D9A" w14:paraId="403B488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1D0CBFAB" w14:textId="77777777" w:rsidR="00AC046C" w:rsidRPr="00732D9A" w:rsidRDefault="00AC046C" w:rsidP="00AC046C">
            <w:pPr>
              <w:spacing w:before="0" w:after="0"/>
              <w:jc w:val="left"/>
              <w:rPr>
                <w:rFonts w:ascii="Wingdings" w:hAnsi="Wingdings" w:cs="Calibri"/>
                <w:noProof/>
                <w:color w:val="000000"/>
                <w:sz w:val="22"/>
              </w:rPr>
            </w:pPr>
            <w:r w:rsidRPr="00732D9A">
              <w:rPr>
                <w:rFonts w:ascii="Wingdings" w:hAnsi="Wingdings"/>
                <w:noProof/>
                <w:color w:val="000000"/>
                <w:sz w:val="22"/>
              </w:rPr>
              <w:t></w:t>
            </w:r>
            <w:r w:rsidRPr="00732D9A">
              <w:rPr>
                <w:noProof/>
                <w:color w:val="000000"/>
                <w:sz w:val="22"/>
              </w:rPr>
              <w:t xml:space="preserve"> Ressources humaines </w:t>
            </w:r>
          </w:p>
        </w:tc>
        <w:tc>
          <w:tcPr>
            <w:tcW w:w="336" w:type="pct"/>
            <w:tcBorders>
              <w:top w:val="nil"/>
              <w:left w:val="nil"/>
              <w:bottom w:val="single" w:sz="8" w:space="0" w:color="auto"/>
              <w:right w:val="single" w:sz="8" w:space="0" w:color="auto"/>
            </w:tcBorders>
            <w:shd w:val="clear" w:color="000000" w:fill="D9D9D9"/>
            <w:vAlign w:val="center"/>
            <w:hideMark/>
          </w:tcPr>
          <w:p w14:paraId="0D21C3CA" w14:textId="77777777" w:rsidR="00AC046C" w:rsidRPr="00732D9A" w:rsidRDefault="00AC046C" w:rsidP="00AC046C">
            <w:pPr>
              <w:spacing w:before="0" w:after="0"/>
              <w:jc w:val="right"/>
              <w:rPr>
                <w:noProof/>
                <w:color w:val="000000"/>
                <w:sz w:val="20"/>
                <w:szCs w:val="20"/>
              </w:rPr>
            </w:pPr>
            <w:r w:rsidRPr="00732D9A">
              <w:rPr>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6360C67E" w14:textId="77777777" w:rsidR="00AC046C" w:rsidRPr="00732D9A" w:rsidRDefault="00AC046C" w:rsidP="00AC046C">
            <w:pPr>
              <w:spacing w:before="0" w:after="0"/>
              <w:jc w:val="right"/>
              <w:rPr>
                <w:noProof/>
                <w:color w:val="000000"/>
                <w:sz w:val="20"/>
                <w:szCs w:val="20"/>
              </w:rPr>
            </w:pPr>
            <w:r w:rsidRPr="00732D9A">
              <w:rPr>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12ABACC3" w14:textId="77777777" w:rsidR="00AC046C" w:rsidRPr="00732D9A" w:rsidRDefault="00AC046C" w:rsidP="00AC046C">
            <w:pPr>
              <w:spacing w:before="0" w:after="0"/>
              <w:jc w:val="right"/>
              <w:rPr>
                <w:noProof/>
                <w:color w:val="000000"/>
                <w:sz w:val="20"/>
                <w:szCs w:val="20"/>
              </w:rPr>
            </w:pPr>
            <w:r w:rsidRPr="00732D9A">
              <w:rPr>
                <w:noProof/>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F0F7846" w14:textId="77777777" w:rsidR="00AC046C" w:rsidRPr="00732D9A" w:rsidRDefault="00E2196F" w:rsidP="00AC046C">
            <w:pPr>
              <w:jc w:val="right"/>
              <w:rPr>
                <w:noProof/>
                <w:color w:val="000000"/>
                <w:sz w:val="20"/>
                <w:szCs w:val="20"/>
              </w:rPr>
            </w:pPr>
            <w:r w:rsidRPr="00732D9A">
              <w:rPr>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6F86018C" w14:textId="77777777" w:rsidR="00AC046C" w:rsidRPr="00732D9A" w:rsidRDefault="00E2196F" w:rsidP="00AC046C">
            <w:pPr>
              <w:spacing w:before="0" w:after="0"/>
              <w:jc w:val="right"/>
              <w:rPr>
                <w:b/>
                <w:noProof/>
                <w:sz w:val="20"/>
                <w:szCs w:val="20"/>
              </w:rPr>
            </w:pPr>
            <w:r w:rsidRPr="00732D9A">
              <w:rPr>
                <w:b/>
                <w:noProof/>
                <w:color w:val="000000"/>
                <w:sz w:val="20"/>
              </w:rPr>
              <w:t>1,164</w:t>
            </w:r>
          </w:p>
        </w:tc>
        <w:tc>
          <w:tcPr>
            <w:tcW w:w="406" w:type="pct"/>
            <w:tcBorders>
              <w:top w:val="nil"/>
              <w:left w:val="nil"/>
              <w:bottom w:val="single" w:sz="8" w:space="0" w:color="auto"/>
              <w:right w:val="single" w:sz="8" w:space="0" w:color="auto"/>
            </w:tcBorders>
            <w:shd w:val="clear" w:color="000000" w:fill="D9D9D9"/>
            <w:vAlign w:val="center"/>
          </w:tcPr>
          <w:p w14:paraId="02F65C30" w14:textId="77777777" w:rsidR="00AC046C" w:rsidRPr="00732D9A" w:rsidRDefault="00F606C9" w:rsidP="00AC046C">
            <w:pPr>
              <w:spacing w:before="0" w:after="0"/>
              <w:jc w:val="right"/>
              <w:rPr>
                <w:b/>
                <w:bCs/>
                <w:noProof/>
                <w:sz w:val="20"/>
                <w:szCs w:val="20"/>
              </w:rPr>
            </w:pPr>
            <w:r w:rsidRPr="00732D9A">
              <w:rPr>
                <w:b/>
                <w:noProof/>
                <w:color w:val="000000"/>
                <w:sz w:val="20"/>
              </w:rPr>
              <w:t>8,148</w:t>
            </w:r>
          </w:p>
        </w:tc>
      </w:tr>
      <w:tr w:rsidR="00B065D6" w:rsidRPr="00732D9A" w14:paraId="4835FDA6" w14:textId="77777777" w:rsidTr="00AC046C">
        <w:trPr>
          <w:trHeight w:val="300"/>
        </w:trPr>
        <w:tc>
          <w:tcPr>
            <w:tcW w:w="2776" w:type="pct"/>
            <w:gridSpan w:val="4"/>
            <w:tcBorders>
              <w:top w:val="single" w:sz="8" w:space="0" w:color="auto"/>
              <w:left w:val="single" w:sz="8" w:space="0" w:color="auto"/>
              <w:bottom w:val="single" w:sz="8" w:space="0" w:color="auto"/>
              <w:right w:val="single" w:sz="8" w:space="0" w:color="auto"/>
            </w:tcBorders>
            <w:vAlign w:val="center"/>
            <w:hideMark/>
          </w:tcPr>
          <w:p w14:paraId="3D5A012B" w14:textId="77777777" w:rsidR="00B065D6" w:rsidRPr="00732D9A" w:rsidRDefault="00B065D6" w:rsidP="00B065D6">
            <w:pPr>
              <w:spacing w:before="0" w:after="0"/>
              <w:jc w:val="left"/>
              <w:rPr>
                <w:rFonts w:ascii="Wingdings" w:hAnsi="Wingdings" w:cs="Calibri"/>
                <w:noProof/>
                <w:color w:val="000000"/>
                <w:sz w:val="22"/>
              </w:rPr>
            </w:pPr>
            <w:r w:rsidRPr="00732D9A">
              <w:rPr>
                <w:rFonts w:ascii="Wingdings" w:hAnsi="Wingdings"/>
                <w:noProof/>
                <w:color w:val="000000"/>
                <w:sz w:val="22"/>
              </w:rPr>
              <w:t></w:t>
            </w:r>
            <w:r w:rsidRPr="00732D9A">
              <w:rPr>
                <w:noProof/>
                <w:color w:val="000000"/>
                <w:sz w:val="22"/>
              </w:rPr>
              <w:t xml:space="preserve"> Autres dépenses administratives </w:t>
            </w:r>
          </w:p>
        </w:tc>
        <w:tc>
          <w:tcPr>
            <w:tcW w:w="336" w:type="pct"/>
            <w:tcBorders>
              <w:top w:val="nil"/>
              <w:left w:val="nil"/>
              <w:bottom w:val="single" w:sz="8" w:space="0" w:color="auto"/>
              <w:right w:val="single" w:sz="8" w:space="0" w:color="auto"/>
            </w:tcBorders>
            <w:shd w:val="clear" w:color="000000" w:fill="D9D9D9"/>
            <w:vAlign w:val="center"/>
            <w:hideMark/>
          </w:tcPr>
          <w:p w14:paraId="40EB99D9" w14:textId="77777777" w:rsidR="00B065D6" w:rsidRPr="00732D9A" w:rsidRDefault="00B065D6" w:rsidP="00B065D6">
            <w:pPr>
              <w:spacing w:before="0" w:after="0"/>
              <w:jc w:val="right"/>
              <w:rPr>
                <w:noProof/>
                <w:color w:val="000000"/>
                <w:sz w:val="20"/>
                <w:szCs w:val="20"/>
              </w:rPr>
            </w:pPr>
            <w:r w:rsidRPr="00732D9A">
              <w:rPr>
                <w:noProof/>
                <w:color w:val="000000"/>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297A01C2" w14:textId="77777777" w:rsidR="00B065D6" w:rsidRPr="00732D9A" w:rsidRDefault="00B065D6" w:rsidP="00B065D6">
            <w:pPr>
              <w:spacing w:before="0" w:after="0"/>
              <w:jc w:val="right"/>
              <w:rPr>
                <w:noProof/>
                <w:color w:val="000000"/>
                <w:sz w:val="20"/>
                <w:szCs w:val="20"/>
              </w:rPr>
            </w:pPr>
            <w:r w:rsidRPr="00732D9A">
              <w:rPr>
                <w:noProof/>
                <w:color w:val="000000"/>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48A246D8" w14:textId="77777777" w:rsidR="00B065D6" w:rsidRPr="00732D9A" w:rsidRDefault="00B065D6" w:rsidP="00B065D6">
            <w:pPr>
              <w:spacing w:before="0" w:after="0"/>
              <w:jc w:val="right"/>
              <w:rPr>
                <w:noProof/>
                <w:color w:val="000000"/>
                <w:sz w:val="20"/>
                <w:szCs w:val="20"/>
              </w:rPr>
            </w:pPr>
            <w:r w:rsidRPr="00732D9A">
              <w:rPr>
                <w:noProof/>
                <w:color w:val="000000"/>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849E5E" w14:textId="77777777" w:rsidR="00B065D6" w:rsidRPr="00732D9A" w:rsidRDefault="00B065D6" w:rsidP="00B065D6">
            <w:pPr>
              <w:spacing w:before="0" w:after="0"/>
              <w:jc w:val="right"/>
              <w:rPr>
                <w:noProof/>
                <w:color w:val="000000"/>
                <w:sz w:val="20"/>
                <w:szCs w:val="20"/>
              </w:rPr>
            </w:pPr>
            <w:r w:rsidRPr="00732D9A">
              <w:rPr>
                <w:noProof/>
                <w:color w:val="000000"/>
                <w:sz w:val="20"/>
              </w:rPr>
              <w:t>0,000</w:t>
            </w:r>
          </w:p>
        </w:tc>
        <w:tc>
          <w:tcPr>
            <w:tcW w:w="417" w:type="pct"/>
            <w:tcBorders>
              <w:top w:val="nil"/>
              <w:left w:val="nil"/>
              <w:bottom w:val="single" w:sz="8" w:space="0" w:color="auto"/>
              <w:right w:val="single" w:sz="8" w:space="0" w:color="auto"/>
            </w:tcBorders>
            <w:shd w:val="clear" w:color="000000" w:fill="D9D9D9"/>
            <w:vAlign w:val="center"/>
            <w:hideMark/>
          </w:tcPr>
          <w:p w14:paraId="3EBC4414" w14:textId="77777777" w:rsidR="00B065D6" w:rsidRPr="00732D9A" w:rsidRDefault="00B065D6" w:rsidP="00B065D6">
            <w:pPr>
              <w:spacing w:before="0" w:after="0"/>
              <w:jc w:val="right"/>
              <w:rPr>
                <w:b/>
                <w:noProof/>
                <w:color w:val="000000"/>
                <w:sz w:val="20"/>
                <w:szCs w:val="20"/>
              </w:rPr>
            </w:pPr>
            <w:r w:rsidRPr="00732D9A">
              <w:rPr>
                <w:b/>
                <w:noProof/>
                <w:color w:val="000000"/>
                <w:sz w:val="20"/>
              </w:rPr>
              <w:t>0,000</w:t>
            </w:r>
          </w:p>
        </w:tc>
        <w:tc>
          <w:tcPr>
            <w:tcW w:w="406" w:type="pct"/>
            <w:tcBorders>
              <w:top w:val="nil"/>
              <w:left w:val="nil"/>
              <w:bottom w:val="single" w:sz="8" w:space="0" w:color="auto"/>
              <w:right w:val="single" w:sz="8" w:space="0" w:color="auto"/>
            </w:tcBorders>
            <w:shd w:val="clear" w:color="000000" w:fill="D9D9D9"/>
            <w:vAlign w:val="center"/>
          </w:tcPr>
          <w:p w14:paraId="578C9B7D" w14:textId="77777777" w:rsidR="00B065D6" w:rsidRPr="00732D9A" w:rsidRDefault="007340B3" w:rsidP="00C90A84">
            <w:pPr>
              <w:spacing w:before="0" w:after="0"/>
              <w:jc w:val="right"/>
              <w:rPr>
                <w:b/>
                <w:noProof/>
                <w:sz w:val="20"/>
                <w:szCs w:val="20"/>
              </w:rPr>
            </w:pPr>
            <w:r w:rsidRPr="00732D9A">
              <w:rPr>
                <w:b/>
                <w:noProof/>
                <w:sz w:val="20"/>
              </w:rPr>
              <w:t>0,000</w:t>
            </w:r>
          </w:p>
        </w:tc>
      </w:tr>
      <w:tr w:rsidR="00AC046C" w:rsidRPr="00732D9A" w14:paraId="2AC48D17" w14:textId="77777777" w:rsidTr="00AC046C">
        <w:trPr>
          <w:trHeight w:val="300"/>
        </w:trPr>
        <w:tc>
          <w:tcPr>
            <w:tcW w:w="1505" w:type="pct"/>
            <w:tcBorders>
              <w:top w:val="nil"/>
              <w:left w:val="single" w:sz="8" w:space="0" w:color="auto"/>
              <w:bottom w:val="single" w:sz="8" w:space="0" w:color="auto"/>
              <w:right w:val="single" w:sz="8" w:space="0" w:color="auto"/>
            </w:tcBorders>
            <w:vAlign w:val="center"/>
            <w:hideMark/>
          </w:tcPr>
          <w:p w14:paraId="5A50B114" w14:textId="77777777" w:rsidR="00AC046C" w:rsidRPr="00732D9A" w:rsidRDefault="00AC046C" w:rsidP="00AC046C">
            <w:pPr>
              <w:spacing w:before="0" w:after="0"/>
              <w:jc w:val="center"/>
              <w:rPr>
                <w:b/>
                <w:noProof/>
                <w:color w:val="000000"/>
                <w:sz w:val="22"/>
              </w:rPr>
            </w:pPr>
            <w:r w:rsidRPr="00732D9A">
              <w:rPr>
                <w:b/>
                <w:noProof/>
                <w:color w:val="000000"/>
                <w:sz w:val="22"/>
              </w:rPr>
              <w:t>TOTAL pour la DG GROW</w:t>
            </w:r>
          </w:p>
        </w:tc>
        <w:tc>
          <w:tcPr>
            <w:tcW w:w="1272" w:type="pct"/>
            <w:gridSpan w:val="3"/>
            <w:tcBorders>
              <w:top w:val="single" w:sz="8" w:space="0" w:color="auto"/>
              <w:left w:val="nil"/>
              <w:bottom w:val="single" w:sz="8" w:space="0" w:color="auto"/>
              <w:right w:val="single" w:sz="8" w:space="0" w:color="auto"/>
            </w:tcBorders>
            <w:vAlign w:val="center"/>
            <w:hideMark/>
          </w:tcPr>
          <w:p w14:paraId="64A63C0F" w14:textId="77777777" w:rsidR="00AC046C" w:rsidRPr="00732D9A" w:rsidRDefault="00AC046C" w:rsidP="00AC046C">
            <w:pPr>
              <w:spacing w:before="0" w:after="0"/>
              <w:jc w:val="left"/>
              <w:rPr>
                <w:noProof/>
                <w:color w:val="000000"/>
                <w:sz w:val="18"/>
                <w:szCs w:val="18"/>
              </w:rPr>
            </w:pPr>
            <w:r w:rsidRPr="00732D9A">
              <w:rPr>
                <w:noProof/>
                <w:color w:val="000000"/>
                <w:sz w:val="18"/>
              </w:rPr>
              <w:t xml:space="preserve">Crédits </w:t>
            </w:r>
          </w:p>
        </w:tc>
        <w:tc>
          <w:tcPr>
            <w:tcW w:w="336" w:type="pct"/>
            <w:tcBorders>
              <w:top w:val="nil"/>
              <w:left w:val="nil"/>
              <w:bottom w:val="single" w:sz="8" w:space="0" w:color="auto"/>
              <w:right w:val="single" w:sz="8" w:space="0" w:color="auto"/>
            </w:tcBorders>
            <w:shd w:val="clear" w:color="000000" w:fill="D9D9D9"/>
            <w:vAlign w:val="center"/>
            <w:hideMark/>
          </w:tcPr>
          <w:p w14:paraId="585AE596" w14:textId="77777777" w:rsidR="00AC046C" w:rsidRPr="00732D9A" w:rsidRDefault="00AC046C" w:rsidP="00AC046C">
            <w:pPr>
              <w:spacing w:before="0" w:after="0"/>
              <w:jc w:val="right"/>
              <w:rPr>
                <w:b/>
                <w:noProof/>
                <w:color w:val="000000"/>
                <w:sz w:val="20"/>
                <w:szCs w:val="20"/>
              </w:rPr>
            </w:pPr>
            <w:r w:rsidRPr="00732D9A">
              <w:rPr>
                <w:b/>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3226990A" w14:textId="77777777" w:rsidR="00AC046C" w:rsidRPr="00732D9A" w:rsidRDefault="00AC046C" w:rsidP="00AC046C">
            <w:pPr>
              <w:spacing w:before="0" w:after="0"/>
              <w:jc w:val="right"/>
              <w:rPr>
                <w:b/>
                <w:noProof/>
                <w:color w:val="000000"/>
                <w:sz w:val="20"/>
                <w:szCs w:val="20"/>
              </w:rPr>
            </w:pPr>
            <w:r w:rsidRPr="00732D9A">
              <w:rPr>
                <w:b/>
                <w:noProof/>
                <w:sz w:val="20"/>
              </w:rPr>
              <w:t>0,000</w:t>
            </w:r>
          </w:p>
        </w:tc>
        <w:tc>
          <w:tcPr>
            <w:tcW w:w="336" w:type="pct"/>
            <w:tcBorders>
              <w:top w:val="nil"/>
              <w:left w:val="nil"/>
              <w:bottom w:val="single" w:sz="8" w:space="0" w:color="auto"/>
              <w:right w:val="single" w:sz="8" w:space="0" w:color="auto"/>
            </w:tcBorders>
            <w:shd w:val="clear" w:color="000000" w:fill="D9D9D9"/>
            <w:vAlign w:val="center"/>
            <w:hideMark/>
          </w:tcPr>
          <w:p w14:paraId="0DC9DD8B" w14:textId="77777777" w:rsidR="00AC046C" w:rsidRPr="00732D9A" w:rsidRDefault="00AC046C" w:rsidP="00AC046C">
            <w:pPr>
              <w:spacing w:before="0" w:after="0"/>
              <w:jc w:val="right"/>
              <w:rPr>
                <w:b/>
                <w:noProof/>
                <w:color w:val="000000"/>
                <w:sz w:val="20"/>
                <w:szCs w:val="20"/>
              </w:rPr>
            </w:pPr>
            <w:r w:rsidRPr="00732D9A">
              <w:rPr>
                <w:b/>
                <w:noProof/>
                <w:sz w:val="20"/>
              </w:rPr>
              <w:t>0,000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444C6DC" w14:textId="77777777" w:rsidR="00AC046C" w:rsidRPr="00732D9A" w:rsidRDefault="00E2196F" w:rsidP="00AC046C">
            <w:pPr>
              <w:spacing w:before="0" w:after="0"/>
              <w:jc w:val="right"/>
              <w:rPr>
                <w:b/>
                <w:noProof/>
                <w:color w:val="000000"/>
                <w:sz w:val="20"/>
                <w:szCs w:val="20"/>
              </w:rPr>
            </w:pPr>
            <w:r w:rsidRPr="00732D9A">
              <w:rPr>
                <w:b/>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2D8DA397" w14:textId="77777777" w:rsidR="00AC046C" w:rsidRPr="00732D9A" w:rsidRDefault="00E2196F" w:rsidP="00AC046C">
            <w:pPr>
              <w:spacing w:before="0" w:after="0"/>
              <w:jc w:val="right"/>
              <w:rPr>
                <w:b/>
                <w:bCs/>
                <w:noProof/>
                <w:sz w:val="20"/>
                <w:szCs w:val="20"/>
              </w:rPr>
            </w:pPr>
            <w:r w:rsidRPr="00732D9A">
              <w:rPr>
                <w:b/>
                <w:noProof/>
                <w:color w:val="000000"/>
                <w:sz w:val="20"/>
              </w:rPr>
              <w:t>1,164</w:t>
            </w:r>
          </w:p>
        </w:tc>
        <w:tc>
          <w:tcPr>
            <w:tcW w:w="406" w:type="pct"/>
            <w:tcBorders>
              <w:top w:val="nil"/>
              <w:left w:val="nil"/>
              <w:bottom w:val="single" w:sz="8" w:space="0" w:color="auto"/>
              <w:right w:val="single" w:sz="8" w:space="0" w:color="auto"/>
            </w:tcBorders>
            <w:shd w:val="clear" w:color="000000" w:fill="D9D9D9"/>
            <w:vAlign w:val="center"/>
          </w:tcPr>
          <w:p w14:paraId="2DC99E24" w14:textId="77777777" w:rsidR="00AC046C" w:rsidRPr="00732D9A" w:rsidRDefault="00F606C9" w:rsidP="00AC046C">
            <w:pPr>
              <w:spacing w:before="0" w:after="0"/>
              <w:jc w:val="right"/>
              <w:rPr>
                <w:b/>
                <w:bCs/>
                <w:noProof/>
                <w:sz w:val="20"/>
                <w:szCs w:val="20"/>
              </w:rPr>
            </w:pPr>
            <w:r w:rsidRPr="00732D9A">
              <w:rPr>
                <w:b/>
                <w:noProof/>
                <w:color w:val="000000"/>
                <w:sz w:val="20"/>
              </w:rPr>
              <w:t>8,148</w:t>
            </w:r>
          </w:p>
        </w:tc>
      </w:tr>
      <w:tr w:rsidR="00D245AF" w:rsidRPr="00732D9A" w14:paraId="6E00E76C" w14:textId="77777777" w:rsidTr="003829E9">
        <w:trPr>
          <w:trHeight w:val="300"/>
        </w:trPr>
        <w:tc>
          <w:tcPr>
            <w:tcW w:w="1512" w:type="pct"/>
            <w:tcBorders>
              <w:top w:val="nil"/>
              <w:left w:val="nil"/>
              <w:bottom w:val="nil"/>
              <w:right w:val="nil"/>
            </w:tcBorders>
            <w:noWrap/>
            <w:vAlign w:val="bottom"/>
            <w:hideMark/>
          </w:tcPr>
          <w:p w14:paraId="5165862B" w14:textId="77777777" w:rsidR="00D245AF" w:rsidRPr="00732D9A" w:rsidRDefault="00D245AF" w:rsidP="00F606C9">
            <w:pPr>
              <w:spacing w:before="0" w:after="200" w:line="276" w:lineRule="auto"/>
              <w:jc w:val="left"/>
              <w:rPr>
                <w:b/>
                <w:noProof/>
                <w:color w:val="000000"/>
                <w:sz w:val="20"/>
                <w:szCs w:val="20"/>
                <w:lang w:eastAsia="en-IE"/>
              </w:rPr>
            </w:pPr>
          </w:p>
        </w:tc>
        <w:tc>
          <w:tcPr>
            <w:tcW w:w="856" w:type="pct"/>
            <w:tcBorders>
              <w:top w:val="nil"/>
              <w:left w:val="nil"/>
              <w:bottom w:val="nil"/>
              <w:right w:val="nil"/>
            </w:tcBorders>
            <w:noWrap/>
            <w:vAlign w:val="bottom"/>
            <w:hideMark/>
          </w:tcPr>
          <w:p w14:paraId="3ED8FF28" w14:textId="77777777" w:rsidR="00D245AF" w:rsidRPr="00732D9A" w:rsidRDefault="00D245AF">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25C16BB6" w14:textId="77777777" w:rsidR="00D245AF" w:rsidRPr="00732D9A" w:rsidRDefault="00D245AF">
            <w:pPr>
              <w:spacing w:before="0" w:after="0"/>
              <w:jc w:val="left"/>
              <w:rPr>
                <w:noProof/>
                <w:sz w:val="20"/>
                <w:szCs w:val="20"/>
                <w:lang w:eastAsia="en-IE"/>
              </w:rPr>
            </w:pPr>
          </w:p>
        </w:tc>
        <w:tc>
          <w:tcPr>
            <w:tcW w:w="213" w:type="pct"/>
            <w:tcBorders>
              <w:top w:val="nil"/>
              <w:left w:val="nil"/>
              <w:bottom w:val="nil"/>
              <w:right w:val="nil"/>
            </w:tcBorders>
            <w:noWrap/>
            <w:vAlign w:val="bottom"/>
            <w:hideMark/>
          </w:tcPr>
          <w:p w14:paraId="084DF837" w14:textId="77777777" w:rsidR="00D245AF" w:rsidRPr="00732D9A"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32381A51" w14:textId="77777777" w:rsidR="00D245AF" w:rsidRPr="00732D9A"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D566214" w14:textId="77777777" w:rsidR="00D245AF" w:rsidRPr="00732D9A"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65FD6C22" w14:textId="77777777" w:rsidR="00D245AF" w:rsidRPr="00732D9A" w:rsidRDefault="00D245AF">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462A5082" w14:textId="77777777" w:rsidR="00D245AF" w:rsidRPr="00732D9A" w:rsidRDefault="00D245A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605F643D" w14:textId="77777777" w:rsidR="00D245AF" w:rsidRPr="00732D9A" w:rsidRDefault="00D245AF">
            <w:pPr>
              <w:spacing w:before="0" w:after="0"/>
              <w:jc w:val="left"/>
              <w:rPr>
                <w:noProof/>
                <w:sz w:val="20"/>
                <w:szCs w:val="20"/>
                <w:lang w:eastAsia="en-IE"/>
              </w:rPr>
            </w:pPr>
          </w:p>
        </w:tc>
        <w:tc>
          <w:tcPr>
            <w:tcW w:w="413" w:type="pct"/>
            <w:tcBorders>
              <w:top w:val="nil"/>
              <w:left w:val="nil"/>
              <w:bottom w:val="nil"/>
              <w:right w:val="nil"/>
            </w:tcBorders>
          </w:tcPr>
          <w:p w14:paraId="46957045" w14:textId="77777777" w:rsidR="00D245AF" w:rsidRPr="00732D9A" w:rsidRDefault="00D245AF">
            <w:pPr>
              <w:spacing w:before="0" w:after="0"/>
              <w:jc w:val="left"/>
              <w:rPr>
                <w:noProof/>
                <w:sz w:val="20"/>
                <w:szCs w:val="20"/>
                <w:lang w:eastAsia="en-IE"/>
              </w:rPr>
            </w:pPr>
          </w:p>
        </w:tc>
      </w:tr>
      <w:tr w:rsidR="00FE020D" w:rsidRPr="00732D9A" w14:paraId="64D0103D" w14:textId="77777777" w:rsidTr="003829E9">
        <w:trPr>
          <w:trHeight w:val="900"/>
        </w:trPr>
        <w:tc>
          <w:tcPr>
            <w:tcW w:w="2368"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3BB0AB4" w14:textId="77777777" w:rsidR="00FE020D" w:rsidRPr="00732D9A" w:rsidRDefault="00FE020D" w:rsidP="00FE020D">
            <w:pPr>
              <w:spacing w:before="0" w:after="0"/>
              <w:jc w:val="center"/>
              <w:rPr>
                <w:b/>
                <w:noProof/>
                <w:color w:val="000000"/>
                <w:sz w:val="22"/>
              </w:rPr>
            </w:pPr>
            <w:r w:rsidRPr="00732D9A">
              <w:rPr>
                <w:b/>
                <w:noProof/>
                <w:color w:val="000000"/>
                <w:sz w:val="22"/>
              </w:rPr>
              <w:t xml:space="preserve">TOTAL des crédits pour la RUBRIQUE 7 du cadre financier pluriannuel </w:t>
            </w:r>
          </w:p>
        </w:tc>
        <w:tc>
          <w:tcPr>
            <w:tcW w:w="423" w:type="pct"/>
            <w:gridSpan w:val="2"/>
            <w:tcBorders>
              <w:top w:val="single" w:sz="8" w:space="0" w:color="auto"/>
              <w:left w:val="nil"/>
              <w:bottom w:val="single" w:sz="8" w:space="0" w:color="auto"/>
              <w:right w:val="single" w:sz="8" w:space="0" w:color="auto"/>
            </w:tcBorders>
            <w:vAlign w:val="center"/>
            <w:hideMark/>
          </w:tcPr>
          <w:p w14:paraId="29966798" w14:textId="77777777" w:rsidR="00FE020D" w:rsidRPr="00732D9A" w:rsidRDefault="00FE020D" w:rsidP="00FE020D">
            <w:pPr>
              <w:spacing w:before="0" w:after="0"/>
              <w:jc w:val="center"/>
              <w:rPr>
                <w:noProof/>
                <w:color w:val="000000"/>
                <w:sz w:val="18"/>
                <w:szCs w:val="18"/>
              </w:rPr>
            </w:pPr>
            <w:r w:rsidRPr="00732D9A">
              <w:rPr>
                <w:noProof/>
                <w:color w:val="000000"/>
                <w:sz w:val="18"/>
              </w:rPr>
              <w:t>(Total engagements = Total paiements)</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0A1101A5" w14:textId="77777777" w:rsidR="00FE020D" w:rsidRPr="00732D9A" w:rsidRDefault="00FE020D" w:rsidP="00FE020D">
            <w:pPr>
              <w:spacing w:before="0" w:after="0"/>
              <w:jc w:val="right"/>
              <w:rPr>
                <w:b/>
                <w:noProof/>
                <w:color w:val="000000"/>
                <w:sz w:val="20"/>
                <w:szCs w:val="20"/>
              </w:rPr>
            </w:pPr>
            <w:r w:rsidRPr="00732D9A">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4978DF19" w14:textId="77777777" w:rsidR="00FE020D" w:rsidRPr="00732D9A" w:rsidRDefault="00FE020D" w:rsidP="00FE020D">
            <w:pPr>
              <w:spacing w:before="0" w:after="0"/>
              <w:jc w:val="right"/>
              <w:rPr>
                <w:b/>
                <w:noProof/>
                <w:color w:val="000000"/>
                <w:sz w:val="20"/>
                <w:szCs w:val="20"/>
              </w:rPr>
            </w:pPr>
            <w:r w:rsidRPr="00732D9A">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D1398D9" w14:textId="77777777" w:rsidR="00FE020D" w:rsidRPr="00732D9A" w:rsidRDefault="00FE020D" w:rsidP="00FE020D">
            <w:pPr>
              <w:spacing w:before="0" w:after="0"/>
              <w:jc w:val="right"/>
              <w:rPr>
                <w:b/>
                <w:noProof/>
                <w:color w:val="000000"/>
                <w:sz w:val="20"/>
                <w:szCs w:val="20"/>
              </w:rPr>
            </w:pPr>
            <w:r w:rsidRPr="00732D9A">
              <w:rPr>
                <w:b/>
                <w:noProof/>
                <w:color w:val="000000"/>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3DBA3B6" w14:textId="77777777" w:rsidR="00FE020D" w:rsidRPr="00732D9A" w:rsidRDefault="00C75E0B" w:rsidP="00FE020D">
            <w:pPr>
              <w:jc w:val="right"/>
              <w:rPr>
                <w:b/>
                <w:noProof/>
                <w:color w:val="000000"/>
                <w:sz w:val="20"/>
                <w:szCs w:val="20"/>
              </w:rPr>
            </w:pPr>
            <w:r w:rsidRPr="00732D9A">
              <w:rPr>
                <w:b/>
                <w:noProof/>
                <w:color w:val="000000"/>
                <w:sz w:val="20"/>
              </w:rPr>
              <w:t>1,164</w:t>
            </w:r>
          </w:p>
        </w:tc>
        <w:tc>
          <w:tcPr>
            <w:tcW w:w="424" w:type="pct"/>
            <w:gridSpan w:val="2"/>
            <w:tcBorders>
              <w:top w:val="single" w:sz="8" w:space="0" w:color="auto"/>
              <w:left w:val="nil"/>
              <w:bottom w:val="single" w:sz="8" w:space="0" w:color="auto"/>
              <w:right w:val="single" w:sz="8" w:space="0" w:color="auto"/>
            </w:tcBorders>
            <w:shd w:val="clear" w:color="000000" w:fill="D9D9D9"/>
            <w:vAlign w:val="center"/>
            <w:hideMark/>
          </w:tcPr>
          <w:p w14:paraId="0C243FA8" w14:textId="77777777" w:rsidR="00FE020D" w:rsidRPr="00732D9A" w:rsidRDefault="00C75E0B" w:rsidP="00FE020D">
            <w:pPr>
              <w:spacing w:before="0" w:after="0"/>
              <w:jc w:val="right"/>
              <w:rPr>
                <w:b/>
                <w:noProof/>
                <w:color w:val="000000"/>
                <w:sz w:val="20"/>
                <w:szCs w:val="20"/>
              </w:rPr>
            </w:pPr>
            <w:r w:rsidRPr="00732D9A">
              <w:rPr>
                <w:b/>
                <w:noProof/>
                <w:color w:val="000000"/>
                <w:sz w:val="20"/>
              </w:rPr>
              <w:t>1,164</w:t>
            </w:r>
          </w:p>
        </w:tc>
        <w:tc>
          <w:tcPr>
            <w:tcW w:w="413" w:type="pct"/>
            <w:tcBorders>
              <w:top w:val="single" w:sz="8" w:space="0" w:color="auto"/>
              <w:left w:val="nil"/>
              <w:bottom w:val="single" w:sz="8" w:space="0" w:color="auto"/>
              <w:right w:val="single" w:sz="8" w:space="0" w:color="auto"/>
            </w:tcBorders>
            <w:shd w:val="clear" w:color="000000" w:fill="D9D9D9"/>
            <w:vAlign w:val="center"/>
          </w:tcPr>
          <w:p w14:paraId="65AACEE5" w14:textId="77777777" w:rsidR="00FE020D" w:rsidRPr="00732D9A" w:rsidRDefault="00C75E0B" w:rsidP="00FE020D">
            <w:pPr>
              <w:spacing w:before="0" w:after="0"/>
              <w:jc w:val="right"/>
              <w:rPr>
                <w:b/>
                <w:noProof/>
                <w:color w:val="000000"/>
                <w:sz w:val="20"/>
                <w:szCs w:val="20"/>
              </w:rPr>
            </w:pPr>
            <w:r w:rsidRPr="00732D9A">
              <w:rPr>
                <w:b/>
                <w:noProof/>
                <w:color w:val="000000"/>
                <w:sz w:val="20"/>
              </w:rPr>
              <w:t>8,148</w:t>
            </w:r>
          </w:p>
        </w:tc>
      </w:tr>
    </w:tbl>
    <w:p w14:paraId="1D0BE754" w14:textId="77777777" w:rsidR="001070C7" w:rsidRPr="00732D9A" w:rsidRDefault="001070C7" w:rsidP="00CA7C31">
      <w:pPr>
        <w:jc w:val="right"/>
        <w:rPr>
          <w:noProof/>
          <w:sz w:val="20"/>
        </w:rPr>
      </w:pPr>
    </w:p>
    <w:p w14:paraId="6CB63BF5" w14:textId="28D3B8D8" w:rsidR="00CA7C31" w:rsidRPr="00732D9A" w:rsidRDefault="00CA7C31" w:rsidP="00CA7C31">
      <w:pPr>
        <w:jc w:val="right"/>
        <w:rPr>
          <w:noProof/>
          <w:sz w:val="20"/>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5067"/>
        <w:gridCol w:w="1883"/>
        <w:gridCol w:w="1132"/>
        <w:gridCol w:w="1132"/>
        <w:gridCol w:w="1132"/>
        <w:gridCol w:w="1132"/>
        <w:gridCol w:w="1371"/>
        <w:gridCol w:w="1371"/>
      </w:tblGrid>
      <w:tr w:rsidR="007340B3" w:rsidRPr="00732D9A" w14:paraId="0C7AA386" w14:textId="77777777">
        <w:trPr>
          <w:trHeight w:val="288"/>
        </w:trPr>
        <w:tc>
          <w:tcPr>
            <w:tcW w:w="2444" w:type="pct"/>
            <w:gridSpan w:val="2"/>
            <w:vMerge w:val="restart"/>
            <w:tcBorders>
              <w:top w:val="single" w:sz="8" w:space="0" w:color="auto"/>
              <w:left w:val="single" w:sz="8" w:space="0" w:color="auto"/>
              <w:bottom w:val="single" w:sz="8" w:space="0" w:color="auto"/>
              <w:right w:val="single" w:sz="4" w:space="0" w:color="auto"/>
            </w:tcBorders>
            <w:vAlign w:val="center"/>
            <w:hideMark/>
          </w:tcPr>
          <w:p w14:paraId="262719EB" w14:textId="77777777" w:rsidR="007340B3" w:rsidRPr="00732D9A" w:rsidRDefault="007340B3" w:rsidP="007340B3">
            <w:pPr>
              <w:spacing w:before="0" w:after="0"/>
              <w:jc w:val="center"/>
              <w:rPr>
                <w:noProof/>
                <w:color w:val="000000"/>
                <w:szCs w:val="24"/>
              </w:rPr>
            </w:pPr>
            <w:r w:rsidRPr="00732D9A">
              <w:rPr>
                <w:noProof/>
                <w:color w:val="000000"/>
              </w:rPr>
              <w:t xml:space="preserve"> </w:t>
            </w:r>
          </w:p>
        </w:tc>
        <w:tc>
          <w:tcPr>
            <w:tcW w:w="398" w:type="pct"/>
            <w:tcBorders>
              <w:top w:val="single" w:sz="4" w:space="0" w:color="auto"/>
              <w:left w:val="single" w:sz="4" w:space="0" w:color="auto"/>
              <w:right w:val="single" w:sz="4" w:space="0" w:color="auto"/>
            </w:tcBorders>
            <w:vAlign w:val="center"/>
            <w:hideMark/>
          </w:tcPr>
          <w:p w14:paraId="451A2636" w14:textId="77777777" w:rsidR="007340B3" w:rsidRPr="00732D9A" w:rsidRDefault="007340B3" w:rsidP="007340B3">
            <w:pPr>
              <w:spacing w:before="0" w:after="0"/>
              <w:jc w:val="center"/>
              <w:rPr>
                <w:noProof/>
                <w:color w:val="000000"/>
                <w:sz w:val="20"/>
                <w:szCs w:val="20"/>
              </w:rPr>
            </w:pPr>
            <w:r w:rsidRPr="00732D9A">
              <w:rPr>
                <w:noProof/>
                <w:color w:val="000000"/>
                <w:sz w:val="20"/>
              </w:rPr>
              <w:t>Année</w:t>
            </w:r>
          </w:p>
        </w:tc>
        <w:tc>
          <w:tcPr>
            <w:tcW w:w="398" w:type="pct"/>
            <w:tcBorders>
              <w:top w:val="single" w:sz="8" w:space="0" w:color="auto"/>
              <w:left w:val="single" w:sz="4" w:space="0" w:color="auto"/>
              <w:bottom w:val="nil"/>
              <w:right w:val="single" w:sz="8" w:space="0" w:color="auto"/>
            </w:tcBorders>
            <w:vAlign w:val="center"/>
            <w:hideMark/>
          </w:tcPr>
          <w:p w14:paraId="1738B74B" w14:textId="77777777" w:rsidR="007340B3" w:rsidRPr="00732D9A" w:rsidRDefault="007340B3" w:rsidP="007340B3">
            <w:pPr>
              <w:spacing w:before="0" w:after="0"/>
              <w:jc w:val="center"/>
              <w:rPr>
                <w:noProof/>
                <w:color w:val="000000"/>
                <w:sz w:val="20"/>
                <w:szCs w:val="20"/>
              </w:rPr>
            </w:pPr>
            <w:r w:rsidRPr="00732D9A">
              <w:rPr>
                <w:noProof/>
                <w:color w:val="000000"/>
                <w:sz w:val="20"/>
              </w:rPr>
              <w:t>Année</w:t>
            </w:r>
          </w:p>
        </w:tc>
        <w:tc>
          <w:tcPr>
            <w:tcW w:w="398" w:type="pct"/>
            <w:tcBorders>
              <w:top w:val="single" w:sz="8" w:space="0" w:color="auto"/>
              <w:left w:val="nil"/>
              <w:bottom w:val="nil"/>
              <w:right w:val="single" w:sz="8" w:space="0" w:color="auto"/>
            </w:tcBorders>
            <w:vAlign w:val="center"/>
            <w:hideMark/>
          </w:tcPr>
          <w:p w14:paraId="75DC6B45" w14:textId="77777777" w:rsidR="007340B3" w:rsidRPr="00732D9A" w:rsidRDefault="007340B3" w:rsidP="007340B3">
            <w:pPr>
              <w:spacing w:before="0" w:after="0"/>
              <w:jc w:val="center"/>
              <w:rPr>
                <w:noProof/>
                <w:color w:val="000000"/>
                <w:sz w:val="20"/>
                <w:szCs w:val="20"/>
              </w:rPr>
            </w:pPr>
            <w:r w:rsidRPr="00732D9A">
              <w:rPr>
                <w:noProof/>
                <w:color w:val="000000"/>
                <w:sz w:val="20"/>
              </w:rPr>
              <w:t>Année</w:t>
            </w:r>
          </w:p>
        </w:tc>
        <w:tc>
          <w:tcPr>
            <w:tcW w:w="398" w:type="pct"/>
            <w:tcBorders>
              <w:top w:val="single" w:sz="8" w:space="0" w:color="auto"/>
              <w:left w:val="nil"/>
              <w:bottom w:val="nil"/>
              <w:right w:val="single" w:sz="4" w:space="0" w:color="auto"/>
            </w:tcBorders>
            <w:vAlign w:val="center"/>
            <w:hideMark/>
          </w:tcPr>
          <w:p w14:paraId="240C2AA8" w14:textId="77777777" w:rsidR="007340B3" w:rsidRPr="00732D9A" w:rsidRDefault="007340B3" w:rsidP="007340B3">
            <w:pPr>
              <w:spacing w:before="0" w:after="0"/>
              <w:jc w:val="center"/>
              <w:rPr>
                <w:noProof/>
                <w:color w:val="000000"/>
                <w:sz w:val="20"/>
                <w:szCs w:val="20"/>
              </w:rPr>
            </w:pPr>
            <w:r w:rsidRPr="00732D9A">
              <w:rPr>
                <w:noProof/>
                <w:color w:val="000000"/>
                <w:sz w:val="20"/>
              </w:rPr>
              <w:t>Année</w:t>
            </w:r>
          </w:p>
        </w:tc>
        <w:tc>
          <w:tcPr>
            <w:tcW w:w="482" w:type="pct"/>
            <w:vMerge w:val="restart"/>
            <w:tcBorders>
              <w:top w:val="single" w:sz="4" w:space="0" w:color="auto"/>
              <w:left w:val="single" w:sz="4" w:space="0" w:color="auto"/>
              <w:bottom w:val="single" w:sz="4" w:space="0" w:color="auto"/>
              <w:right w:val="single" w:sz="4" w:space="0" w:color="auto"/>
            </w:tcBorders>
            <w:vAlign w:val="center"/>
            <w:hideMark/>
          </w:tcPr>
          <w:p w14:paraId="01CD3ACA" w14:textId="77777777" w:rsidR="007340B3" w:rsidRPr="00732D9A" w:rsidRDefault="007340B3" w:rsidP="007340B3">
            <w:pPr>
              <w:spacing w:before="0" w:after="0"/>
              <w:jc w:val="center"/>
              <w:rPr>
                <w:b/>
                <w:noProof/>
                <w:color w:val="000000"/>
                <w:sz w:val="20"/>
                <w:szCs w:val="20"/>
              </w:rPr>
            </w:pPr>
            <w:r w:rsidRPr="00732D9A">
              <w:rPr>
                <w:b/>
                <w:noProof/>
                <w:color w:val="000000"/>
                <w:sz w:val="20"/>
              </w:rPr>
              <w:t>TOTAL CFP 2021-2027</w:t>
            </w:r>
          </w:p>
        </w:tc>
        <w:tc>
          <w:tcPr>
            <w:tcW w:w="482" w:type="pct"/>
            <w:vMerge w:val="restart"/>
            <w:tcBorders>
              <w:top w:val="single" w:sz="4" w:space="0" w:color="auto"/>
              <w:left w:val="single" w:sz="4" w:space="0" w:color="auto"/>
              <w:right w:val="single" w:sz="4" w:space="0" w:color="auto"/>
            </w:tcBorders>
          </w:tcPr>
          <w:p w14:paraId="3954FCFF" w14:textId="77777777" w:rsidR="007340B3" w:rsidRPr="00732D9A" w:rsidRDefault="007340B3" w:rsidP="007340B3">
            <w:pPr>
              <w:spacing w:before="0" w:after="0"/>
              <w:jc w:val="center"/>
              <w:rPr>
                <w:b/>
                <w:noProof/>
                <w:color w:val="000000"/>
                <w:sz w:val="20"/>
                <w:szCs w:val="20"/>
              </w:rPr>
            </w:pPr>
            <w:r w:rsidRPr="00732D9A">
              <w:rPr>
                <w:b/>
                <w:noProof/>
                <w:color w:val="000000"/>
                <w:sz w:val="20"/>
              </w:rPr>
              <w:t>TOTAL CFP 2028-2034</w:t>
            </w:r>
            <w:r w:rsidRPr="00732D9A">
              <w:rPr>
                <w:rStyle w:val="FootnoteReference"/>
                <w:b/>
                <w:noProof/>
                <w:color w:val="000000"/>
                <w:sz w:val="20"/>
                <w:szCs w:val="20"/>
                <w:lang w:eastAsia="en-IE"/>
              </w:rPr>
              <w:footnoteReference w:id="80"/>
            </w:r>
          </w:p>
        </w:tc>
      </w:tr>
      <w:tr w:rsidR="007340B3" w:rsidRPr="00732D9A" w14:paraId="5D80DD8A" w14:textId="77777777">
        <w:trPr>
          <w:trHeight w:val="300"/>
        </w:trPr>
        <w:tc>
          <w:tcPr>
            <w:tcW w:w="2444" w:type="pct"/>
            <w:gridSpan w:val="2"/>
            <w:vMerge/>
            <w:tcBorders>
              <w:right w:val="single" w:sz="4" w:space="0" w:color="auto"/>
            </w:tcBorders>
            <w:vAlign w:val="center"/>
            <w:hideMark/>
          </w:tcPr>
          <w:p w14:paraId="57E010D6" w14:textId="77777777" w:rsidR="007340B3" w:rsidRPr="00732D9A" w:rsidRDefault="007340B3" w:rsidP="007340B3">
            <w:pPr>
              <w:spacing w:before="0" w:after="0"/>
              <w:jc w:val="left"/>
              <w:rPr>
                <w:noProof/>
                <w:color w:val="000000"/>
                <w:szCs w:val="24"/>
                <w:lang w:eastAsia="en-IE"/>
              </w:rPr>
            </w:pPr>
          </w:p>
        </w:tc>
        <w:tc>
          <w:tcPr>
            <w:tcW w:w="398" w:type="pct"/>
            <w:tcBorders>
              <w:left w:val="single" w:sz="4" w:space="0" w:color="auto"/>
              <w:bottom w:val="single" w:sz="4" w:space="0" w:color="auto"/>
              <w:right w:val="single" w:sz="4" w:space="0" w:color="auto"/>
            </w:tcBorders>
            <w:vAlign w:val="center"/>
            <w:hideMark/>
          </w:tcPr>
          <w:p w14:paraId="49F2D4AF" w14:textId="77777777" w:rsidR="007340B3" w:rsidRPr="00732D9A" w:rsidRDefault="007340B3" w:rsidP="007340B3">
            <w:pPr>
              <w:spacing w:before="0" w:after="0"/>
              <w:jc w:val="center"/>
              <w:rPr>
                <w:b/>
                <w:noProof/>
                <w:color w:val="000000"/>
                <w:sz w:val="20"/>
                <w:szCs w:val="20"/>
              </w:rPr>
            </w:pPr>
            <w:r w:rsidRPr="00732D9A">
              <w:rPr>
                <w:b/>
                <w:noProof/>
                <w:color w:val="000000"/>
                <w:sz w:val="20"/>
              </w:rPr>
              <w:t>2024</w:t>
            </w:r>
          </w:p>
        </w:tc>
        <w:tc>
          <w:tcPr>
            <w:tcW w:w="398" w:type="pct"/>
            <w:tcBorders>
              <w:top w:val="nil"/>
              <w:left w:val="single" w:sz="4" w:space="0" w:color="auto"/>
              <w:bottom w:val="single" w:sz="8" w:space="0" w:color="auto"/>
              <w:right w:val="single" w:sz="8" w:space="0" w:color="auto"/>
            </w:tcBorders>
            <w:vAlign w:val="center"/>
            <w:hideMark/>
          </w:tcPr>
          <w:p w14:paraId="03D6097B" w14:textId="77777777" w:rsidR="007340B3" w:rsidRPr="00732D9A" w:rsidRDefault="007340B3" w:rsidP="007340B3">
            <w:pPr>
              <w:spacing w:before="0" w:after="0"/>
              <w:jc w:val="center"/>
              <w:rPr>
                <w:b/>
                <w:noProof/>
                <w:color w:val="000000"/>
                <w:sz w:val="20"/>
                <w:szCs w:val="20"/>
              </w:rPr>
            </w:pPr>
            <w:r w:rsidRPr="00732D9A">
              <w:rPr>
                <w:b/>
                <w:noProof/>
                <w:color w:val="000000"/>
                <w:sz w:val="20"/>
              </w:rPr>
              <w:t>2025</w:t>
            </w:r>
          </w:p>
        </w:tc>
        <w:tc>
          <w:tcPr>
            <w:tcW w:w="398" w:type="pct"/>
            <w:tcBorders>
              <w:top w:val="nil"/>
              <w:left w:val="nil"/>
              <w:bottom w:val="single" w:sz="8" w:space="0" w:color="auto"/>
              <w:right w:val="single" w:sz="8" w:space="0" w:color="auto"/>
            </w:tcBorders>
            <w:vAlign w:val="center"/>
            <w:hideMark/>
          </w:tcPr>
          <w:p w14:paraId="4536673C" w14:textId="77777777" w:rsidR="007340B3" w:rsidRPr="00732D9A" w:rsidRDefault="007340B3" w:rsidP="007340B3">
            <w:pPr>
              <w:spacing w:before="0" w:after="0"/>
              <w:jc w:val="center"/>
              <w:rPr>
                <w:b/>
                <w:noProof/>
                <w:color w:val="000000"/>
                <w:sz w:val="20"/>
                <w:szCs w:val="20"/>
              </w:rPr>
            </w:pPr>
            <w:r w:rsidRPr="00732D9A">
              <w:rPr>
                <w:b/>
                <w:noProof/>
                <w:color w:val="000000"/>
                <w:sz w:val="20"/>
              </w:rPr>
              <w:t>2026</w:t>
            </w:r>
          </w:p>
        </w:tc>
        <w:tc>
          <w:tcPr>
            <w:tcW w:w="398" w:type="pct"/>
            <w:tcBorders>
              <w:top w:val="nil"/>
              <w:left w:val="nil"/>
              <w:bottom w:val="single" w:sz="8" w:space="0" w:color="auto"/>
              <w:right w:val="single" w:sz="4" w:space="0" w:color="auto"/>
            </w:tcBorders>
            <w:vAlign w:val="center"/>
            <w:hideMark/>
          </w:tcPr>
          <w:p w14:paraId="53234170" w14:textId="77777777" w:rsidR="007340B3" w:rsidRPr="00732D9A" w:rsidRDefault="007340B3" w:rsidP="007340B3">
            <w:pPr>
              <w:spacing w:before="0" w:after="0"/>
              <w:jc w:val="center"/>
              <w:rPr>
                <w:b/>
                <w:noProof/>
                <w:color w:val="000000"/>
                <w:sz w:val="20"/>
                <w:szCs w:val="20"/>
              </w:rPr>
            </w:pPr>
            <w:r w:rsidRPr="00732D9A">
              <w:rPr>
                <w:b/>
                <w:noProof/>
                <w:color w:val="000000"/>
                <w:sz w:val="20"/>
              </w:rPr>
              <w:t>2027</w:t>
            </w:r>
          </w:p>
        </w:tc>
        <w:tc>
          <w:tcPr>
            <w:tcW w:w="482" w:type="pct"/>
            <w:vMerge/>
            <w:tcBorders>
              <w:top w:val="single" w:sz="4" w:space="0" w:color="auto"/>
              <w:left w:val="single" w:sz="4" w:space="0" w:color="auto"/>
              <w:bottom w:val="single" w:sz="4" w:space="0" w:color="auto"/>
              <w:right w:val="single" w:sz="4" w:space="0" w:color="auto"/>
            </w:tcBorders>
            <w:vAlign w:val="center"/>
            <w:hideMark/>
          </w:tcPr>
          <w:p w14:paraId="0A923AF6" w14:textId="77777777" w:rsidR="007340B3" w:rsidRPr="00732D9A" w:rsidRDefault="007340B3" w:rsidP="007340B3">
            <w:pPr>
              <w:spacing w:before="0" w:after="0"/>
              <w:jc w:val="left"/>
              <w:rPr>
                <w:b/>
                <w:noProof/>
                <w:color w:val="000000"/>
                <w:sz w:val="20"/>
                <w:szCs w:val="20"/>
                <w:lang w:eastAsia="en-IE"/>
              </w:rPr>
            </w:pPr>
          </w:p>
        </w:tc>
        <w:tc>
          <w:tcPr>
            <w:tcW w:w="482" w:type="pct"/>
            <w:vMerge/>
            <w:tcBorders>
              <w:left w:val="single" w:sz="4" w:space="0" w:color="auto"/>
              <w:bottom w:val="single" w:sz="4" w:space="0" w:color="auto"/>
              <w:right w:val="single" w:sz="4" w:space="0" w:color="auto"/>
            </w:tcBorders>
          </w:tcPr>
          <w:p w14:paraId="26EC979B" w14:textId="77777777" w:rsidR="007340B3" w:rsidRPr="00732D9A" w:rsidRDefault="007340B3" w:rsidP="007340B3">
            <w:pPr>
              <w:spacing w:before="0" w:after="0"/>
              <w:jc w:val="left"/>
              <w:rPr>
                <w:b/>
                <w:noProof/>
                <w:color w:val="000000"/>
                <w:sz w:val="20"/>
                <w:szCs w:val="20"/>
                <w:lang w:eastAsia="en-IE"/>
              </w:rPr>
            </w:pPr>
          </w:p>
        </w:tc>
      </w:tr>
      <w:tr w:rsidR="007340B3" w:rsidRPr="00732D9A" w14:paraId="126EF683" w14:textId="77777777" w:rsidTr="007115F0">
        <w:trPr>
          <w:trHeight w:val="564"/>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3BFD4DF" w14:textId="77777777" w:rsidR="007340B3" w:rsidRPr="00732D9A" w:rsidRDefault="007340B3" w:rsidP="007340B3">
            <w:pPr>
              <w:spacing w:before="0" w:after="0"/>
              <w:jc w:val="center"/>
              <w:rPr>
                <w:b/>
                <w:noProof/>
                <w:color w:val="000000"/>
                <w:sz w:val="22"/>
              </w:rPr>
            </w:pPr>
            <w:r w:rsidRPr="00732D9A">
              <w:rPr>
                <w:b/>
                <w:noProof/>
                <w:color w:val="000000"/>
                <w:sz w:val="22"/>
              </w:rPr>
              <w:t>TOTAL des crédits pour les RUBRIQUES 1 à 7</w:t>
            </w:r>
          </w:p>
        </w:tc>
        <w:tc>
          <w:tcPr>
            <w:tcW w:w="662" w:type="pct"/>
            <w:tcBorders>
              <w:top w:val="single" w:sz="8" w:space="0" w:color="auto"/>
              <w:left w:val="nil"/>
              <w:bottom w:val="single" w:sz="8" w:space="0" w:color="auto"/>
              <w:right w:val="single" w:sz="8" w:space="0" w:color="auto"/>
            </w:tcBorders>
            <w:vAlign w:val="center"/>
            <w:hideMark/>
          </w:tcPr>
          <w:p w14:paraId="61562B67" w14:textId="77777777" w:rsidR="007340B3" w:rsidRPr="00732D9A" w:rsidRDefault="007340B3" w:rsidP="007340B3">
            <w:pPr>
              <w:spacing w:before="0" w:after="0"/>
              <w:rPr>
                <w:noProof/>
                <w:color w:val="000000"/>
                <w:sz w:val="18"/>
                <w:szCs w:val="18"/>
              </w:rPr>
            </w:pPr>
            <w:r w:rsidRPr="00732D9A">
              <w:rPr>
                <w:noProof/>
                <w:color w:val="000000"/>
                <w:sz w:val="18"/>
              </w:rPr>
              <w:t>Engagements</w:t>
            </w:r>
          </w:p>
        </w:tc>
        <w:tc>
          <w:tcPr>
            <w:tcW w:w="398"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1CBF7B1" w14:textId="77777777" w:rsidR="007340B3" w:rsidRPr="00732D9A" w:rsidRDefault="007340B3" w:rsidP="007340B3">
            <w:pPr>
              <w:spacing w:before="0" w:after="0"/>
              <w:jc w:val="right"/>
              <w:rPr>
                <w:b/>
                <w:noProof/>
                <w:color w:val="000000"/>
                <w:szCs w:val="24"/>
              </w:rPr>
            </w:pPr>
            <w:r w:rsidRPr="00732D9A">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8EA2302" w14:textId="77777777" w:rsidR="007340B3" w:rsidRPr="00732D9A" w:rsidRDefault="007340B3" w:rsidP="007340B3">
            <w:pPr>
              <w:spacing w:before="0" w:after="0"/>
              <w:jc w:val="right"/>
              <w:rPr>
                <w:b/>
                <w:noProof/>
                <w:color w:val="000000"/>
                <w:szCs w:val="24"/>
              </w:rPr>
            </w:pPr>
            <w:r w:rsidRPr="00732D9A">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594DD82B" w14:textId="77777777" w:rsidR="007340B3" w:rsidRPr="00732D9A" w:rsidRDefault="007340B3" w:rsidP="007340B3">
            <w:pPr>
              <w:spacing w:before="0" w:after="0"/>
              <w:jc w:val="right"/>
              <w:rPr>
                <w:b/>
                <w:noProof/>
                <w:color w:val="000000"/>
                <w:szCs w:val="24"/>
              </w:rPr>
            </w:pPr>
            <w:r w:rsidRPr="00732D9A">
              <w:rPr>
                <w:b/>
                <w:noProof/>
                <w:sz w:val="20"/>
              </w:rPr>
              <w:t>0,000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1A6ADEA9" w14:textId="77777777" w:rsidR="007340B3" w:rsidRPr="00732D9A" w:rsidRDefault="007340B3" w:rsidP="007340B3">
            <w:pPr>
              <w:spacing w:before="0" w:after="0"/>
              <w:jc w:val="right"/>
              <w:rPr>
                <w:b/>
                <w:noProof/>
                <w:color w:val="000000"/>
                <w:szCs w:val="24"/>
              </w:rPr>
            </w:pPr>
            <w:r w:rsidRPr="00732D9A">
              <w:rPr>
                <w:b/>
                <w:noProof/>
                <w:sz w:val="20"/>
              </w:rPr>
              <w:t>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10ECC899" w14:textId="77777777" w:rsidR="007340B3" w:rsidRPr="00732D9A" w:rsidRDefault="007340B3" w:rsidP="007340B3">
            <w:pPr>
              <w:spacing w:before="0" w:after="0"/>
              <w:jc w:val="right"/>
              <w:rPr>
                <w:b/>
                <w:noProof/>
                <w:color w:val="000000"/>
                <w:szCs w:val="24"/>
              </w:rPr>
            </w:pPr>
            <w:r w:rsidRPr="00732D9A">
              <w:rPr>
                <w:b/>
                <w:noProof/>
                <w:sz w:val="20"/>
              </w:rPr>
              <w:t xml:space="preserve"> 1,204</w:t>
            </w:r>
          </w:p>
        </w:tc>
        <w:tc>
          <w:tcPr>
            <w:tcW w:w="482" w:type="pct"/>
            <w:tcBorders>
              <w:top w:val="single" w:sz="4" w:space="0" w:color="auto"/>
              <w:left w:val="nil"/>
              <w:bottom w:val="single" w:sz="8" w:space="0" w:color="auto"/>
              <w:right w:val="single" w:sz="8" w:space="0" w:color="auto"/>
            </w:tcBorders>
            <w:shd w:val="clear" w:color="auto" w:fill="D9D9D9" w:themeFill="background1" w:themeFillShade="D9"/>
            <w:vAlign w:val="center"/>
          </w:tcPr>
          <w:p w14:paraId="66D848D5" w14:textId="77777777" w:rsidR="007340B3" w:rsidRPr="00732D9A" w:rsidRDefault="002D4B09" w:rsidP="007115F0">
            <w:pPr>
              <w:spacing w:before="0" w:after="0"/>
              <w:jc w:val="right"/>
              <w:rPr>
                <w:b/>
                <w:bCs/>
                <w:noProof/>
                <w:sz w:val="20"/>
                <w:szCs w:val="20"/>
              </w:rPr>
            </w:pPr>
            <w:r w:rsidRPr="00732D9A">
              <w:rPr>
                <w:b/>
                <w:noProof/>
                <w:sz w:val="20"/>
              </w:rPr>
              <w:t>8,288</w:t>
            </w:r>
          </w:p>
        </w:tc>
      </w:tr>
      <w:tr w:rsidR="002D4B09" w:rsidRPr="00732D9A" w14:paraId="7D0073F8" w14:textId="77777777" w:rsidTr="00A766D7">
        <w:trPr>
          <w:trHeight w:val="540"/>
        </w:trPr>
        <w:tc>
          <w:tcPr>
            <w:tcW w:w="1782"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45F3BEFB" w14:textId="77777777" w:rsidR="002D4B09" w:rsidRPr="00732D9A" w:rsidRDefault="002D4B09" w:rsidP="002D4B09">
            <w:pPr>
              <w:spacing w:before="0" w:after="0"/>
              <w:jc w:val="center"/>
              <w:rPr>
                <w:noProof/>
                <w:color w:val="000000"/>
                <w:sz w:val="22"/>
              </w:rPr>
            </w:pPr>
            <w:r w:rsidRPr="00732D9A">
              <w:rPr>
                <w:noProof/>
                <w:color w:val="000000"/>
                <w:sz w:val="22"/>
              </w:rPr>
              <w:t>du cadre financier pluriannuel</w:t>
            </w:r>
            <w:r w:rsidRPr="00732D9A">
              <w:rPr>
                <w:b/>
                <w:noProof/>
                <w:color w:val="000000"/>
                <w:sz w:val="22"/>
              </w:rPr>
              <w:t xml:space="preserve"> </w:t>
            </w:r>
          </w:p>
        </w:tc>
        <w:tc>
          <w:tcPr>
            <w:tcW w:w="662" w:type="pct"/>
            <w:tcBorders>
              <w:top w:val="single" w:sz="8" w:space="0" w:color="auto"/>
              <w:left w:val="nil"/>
              <w:bottom w:val="single" w:sz="8" w:space="0" w:color="auto"/>
              <w:right w:val="single" w:sz="8" w:space="0" w:color="auto"/>
            </w:tcBorders>
            <w:vAlign w:val="center"/>
            <w:hideMark/>
          </w:tcPr>
          <w:p w14:paraId="32F27049" w14:textId="77777777" w:rsidR="002D4B09" w:rsidRPr="00732D9A" w:rsidRDefault="002D4B09" w:rsidP="002D4B09">
            <w:pPr>
              <w:spacing w:before="0" w:after="0"/>
              <w:rPr>
                <w:noProof/>
                <w:color w:val="000000"/>
                <w:sz w:val="18"/>
                <w:szCs w:val="18"/>
              </w:rPr>
            </w:pPr>
            <w:r w:rsidRPr="00732D9A">
              <w:rPr>
                <w:noProof/>
                <w:color w:val="000000"/>
                <w:sz w:val="18"/>
              </w:rPr>
              <w:t>Paiements</w:t>
            </w:r>
          </w:p>
        </w:tc>
        <w:tc>
          <w:tcPr>
            <w:tcW w:w="398" w:type="pct"/>
            <w:tcBorders>
              <w:top w:val="nil"/>
              <w:left w:val="nil"/>
              <w:bottom w:val="nil"/>
              <w:right w:val="single" w:sz="8" w:space="0" w:color="auto"/>
            </w:tcBorders>
            <w:shd w:val="clear" w:color="auto" w:fill="D9D9D9" w:themeFill="background1" w:themeFillShade="D9"/>
            <w:vAlign w:val="center"/>
            <w:hideMark/>
          </w:tcPr>
          <w:p w14:paraId="19CA76D7" w14:textId="77777777" w:rsidR="002D4B09" w:rsidRPr="00732D9A" w:rsidRDefault="002D4B09" w:rsidP="002D4B09">
            <w:pPr>
              <w:spacing w:before="0" w:after="0"/>
              <w:jc w:val="right"/>
              <w:rPr>
                <w:b/>
                <w:noProof/>
                <w:color w:val="000000"/>
                <w:szCs w:val="24"/>
              </w:rPr>
            </w:pPr>
            <w:r w:rsidRPr="00732D9A">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073DD32D" w14:textId="77777777" w:rsidR="002D4B09" w:rsidRPr="00732D9A" w:rsidRDefault="002D4B09" w:rsidP="002D4B09">
            <w:pPr>
              <w:spacing w:before="0" w:after="0"/>
              <w:jc w:val="right"/>
              <w:rPr>
                <w:b/>
                <w:noProof/>
                <w:color w:val="000000"/>
                <w:szCs w:val="24"/>
              </w:rPr>
            </w:pPr>
            <w:r w:rsidRPr="00732D9A">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69DB1A3F" w14:textId="77777777" w:rsidR="002D4B09" w:rsidRPr="00732D9A" w:rsidRDefault="002D4B09" w:rsidP="002D4B09">
            <w:pPr>
              <w:spacing w:before="0" w:after="0"/>
              <w:jc w:val="right"/>
              <w:rPr>
                <w:b/>
                <w:noProof/>
                <w:color w:val="000000"/>
                <w:szCs w:val="24"/>
              </w:rPr>
            </w:pPr>
            <w:r w:rsidRPr="00732D9A">
              <w:rPr>
                <w:b/>
                <w:noProof/>
                <w:sz w:val="20"/>
              </w:rPr>
              <w:t>0,000</w:t>
            </w:r>
          </w:p>
        </w:tc>
        <w:tc>
          <w:tcPr>
            <w:tcW w:w="398" w:type="pct"/>
            <w:tcBorders>
              <w:top w:val="nil"/>
              <w:left w:val="nil"/>
              <w:bottom w:val="nil"/>
              <w:right w:val="single" w:sz="8" w:space="0" w:color="auto"/>
            </w:tcBorders>
            <w:shd w:val="clear" w:color="auto" w:fill="D9D9D9" w:themeFill="background1" w:themeFillShade="D9"/>
            <w:vAlign w:val="center"/>
            <w:hideMark/>
          </w:tcPr>
          <w:p w14:paraId="158AC5DF" w14:textId="77777777" w:rsidR="002D4B09" w:rsidRPr="00732D9A" w:rsidRDefault="002D4B09" w:rsidP="002D4B09">
            <w:pPr>
              <w:spacing w:before="0" w:after="0"/>
              <w:jc w:val="right"/>
              <w:rPr>
                <w:b/>
                <w:noProof/>
                <w:color w:val="000000"/>
                <w:szCs w:val="24"/>
              </w:rPr>
            </w:pPr>
            <w:r w:rsidRPr="00732D9A">
              <w:rPr>
                <w:b/>
                <w:noProof/>
                <w:sz w:val="20"/>
              </w:rPr>
              <w:t>1,204</w:t>
            </w:r>
          </w:p>
        </w:tc>
        <w:tc>
          <w:tcPr>
            <w:tcW w:w="482" w:type="pct"/>
            <w:tcBorders>
              <w:top w:val="nil"/>
              <w:left w:val="nil"/>
              <w:bottom w:val="nil"/>
              <w:right w:val="single" w:sz="8" w:space="0" w:color="auto"/>
            </w:tcBorders>
            <w:shd w:val="clear" w:color="auto" w:fill="D9D9D9" w:themeFill="background1" w:themeFillShade="D9"/>
            <w:vAlign w:val="center"/>
            <w:hideMark/>
          </w:tcPr>
          <w:p w14:paraId="07D5AD78" w14:textId="77777777" w:rsidR="002D4B09" w:rsidRPr="00732D9A" w:rsidRDefault="002D4B09" w:rsidP="002D4B09">
            <w:pPr>
              <w:spacing w:before="0" w:after="0"/>
              <w:jc w:val="right"/>
              <w:rPr>
                <w:noProof/>
                <w:color w:val="000000"/>
                <w:sz w:val="16"/>
                <w:szCs w:val="16"/>
              </w:rPr>
            </w:pPr>
            <w:r w:rsidRPr="00732D9A">
              <w:rPr>
                <w:b/>
                <w:noProof/>
                <w:sz w:val="20"/>
              </w:rPr>
              <w:t>1,204</w:t>
            </w:r>
          </w:p>
        </w:tc>
        <w:tc>
          <w:tcPr>
            <w:tcW w:w="482" w:type="pct"/>
            <w:tcBorders>
              <w:top w:val="nil"/>
              <w:left w:val="nil"/>
              <w:bottom w:val="nil"/>
              <w:right w:val="single" w:sz="8" w:space="0" w:color="auto"/>
            </w:tcBorders>
            <w:shd w:val="clear" w:color="auto" w:fill="D9D9D9" w:themeFill="background1" w:themeFillShade="D9"/>
            <w:vAlign w:val="center"/>
          </w:tcPr>
          <w:p w14:paraId="2B6C8393" w14:textId="77777777" w:rsidR="002D4B09" w:rsidRPr="00732D9A" w:rsidRDefault="002D4B09" w:rsidP="002D4B09">
            <w:pPr>
              <w:spacing w:before="0" w:after="0"/>
              <w:jc w:val="right"/>
              <w:rPr>
                <w:b/>
                <w:noProof/>
                <w:sz w:val="20"/>
                <w:szCs w:val="20"/>
              </w:rPr>
            </w:pPr>
            <w:r w:rsidRPr="00732D9A">
              <w:rPr>
                <w:b/>
                <w:noProof/>
                <w:sz w:val="20"/>
              </w:rPr>
              <w:t>8,288</w:t>
            </w:r>
          </w:p>
        </w:tc>
      </w:tr>
    </w:tbl>
    <w:p w14:paraId="156DDB92" w14:textId="77777777" w:rsidR="00665A0E" w:rsidRPr="00732D9A" w:rsidRDefault="00665A0E">
      <w:pPr>
        <w:rPr>
          <w:noProof/>
        </w:rPr>
      </w:pPr>
    </w:p>
    <w:tbl>
      <w:tblPr>
        <w:tblW w:w="5000" w:type="pct"/>
        <w:tblLook w:val="04A0" w:firstRow="1" w:lastRow="0" w:firstColumn="1" w:lastColumn="0" w:noHBand="0" w:noVBand="1"/>
      </w:tblPr>
      <w:tblGrid>
        <w:gridCol w:w="4929"/>
        <w:gridCol w:w="1132"/>
        <w:gridCol w:w="8159"/>
      </w:tblGrid>
      <w:tr w:rsidR="00665A0E" w:rsidRPr="00732D9A" w14:paraId="4BC43903" w14:textId="77777777" w:rsidTr="17A5AC17">
        <w:trPr>
          <w:trHeight w:val="406"/>
        </w:trPr>
        <w:tc>
          <w:tcPr>
            <w:tcW w:w="1733" w:type="pct"/>
            <w:tcBorders>
              <w:top w:val="single" w:sz="8" w:space="0" w:color="auto"/>
              <w:left w:val="single" w:sz="8" w:space="0" w:color="auto"/>
              <w:bottom w:val="single" w:sz="8" w:space="0" w:color="auto"/>
              <w:right w:val="single" w:sz="8" w:space="0" w:color="auto"/>
            </w:tcBorders>
            <w:shd w:val="clear" w:color="auto" w:fill="F1F1F1"/>
            <w:vAlign w:val="center"/>
            <w:hideMark/>
          </w:tcPr>
          <w:p w14:paraId="328D27DD" w14:textId="77777777" w:rsidR="003313E5" w:rsidRPr="00732D9A" w:rsidRDefault="003313E5" w:rsidP="003313E5">
            <w:pPr>
              <w:spacing w:before="0" w:after="0"/>
              <w:jc w:val="center"/>
              <w:rPr>
                <w:rFonts w:eastAsia="Times New Roman"/>
                <w:b/>
                <w:bCs/>
                <w:noProof/>
                <w:color w:val="000000"/>
                <w:sz w:val="22"/>
              </w:rPr>
            </w:pPr>
            <w:r w:rsidRPr="00732D9A">
              <w:rPr>
                <w:b/>
                <w:noProof/>
                <w:color w:val="000000"/>
                <w:sz w:val="22"/>
              </w:rPr>
              <w:t>Rubrique du cadre financier pluriannuel</w:t>
            </w:r>
          </w:p>
        </w:tc>
        <w:tc>
          <w:tcPr>
            <w:tcW w:w="398" w:type="pct"/>
            <w:tcBorders>
              <w:top w:val="single" w:sz="8" w:space="0" w:color="auto"/>
              <w:left w:val="nil"/>
              <w:bottom w:val="single" w:sz="8" w:space="0" w:color="auto"/>
              <w:right w:val="single" w:sz="8" w:space="0" w:color="auto"/>
            </w:tcBorders>
            <w:shd w:val="clear" w:color="auto" w:fill="F1F1F1"/>
            <w:vAlign w:val="center"/>
            <w:hideMark/>
          </w:tcPr>
          <w:p w14:paraId="6C3F091F" w14:textId="77777777" w:rsidR="003313E5" w:rsidRPr="00732D9A" w:rsidRDefault="003313E5" w:rsidP="003313E5">
            <w:pPr>
              <w:spacing w:before="0" w:after="0"/>
              <w:jc w:val="center"/>
              <w:rPr>
                <w:rFonts w:eastAsia="Times New Roman"/>
                <w:b/>
                <w:bCs/>
                <w:noProof/>
                <w:color w:val="000000"/>
                <w:sz w:val="22"/>
              </w:rPr>
            </w:pPr>
            <w:r w:rsidRPr="00732D9A">
              <w:rPr>
                <w:b/>
                <w:noProof/>
                <w:color w:val="000000"/>
                <w:sz w:val="22"/>
              </w:rPr>
              <w:t>7</w:t>
            </w:r>
          </w:p>
        </w:tc>
        <w:tc>
          <w:tcPr>
            <w:tcW w:w="2869" w:type="pct"/>
            <w:tcBorders>
              <w:top w:val="nil"/>
              <w:left w:val="nil"/>
              <w:bottom w:val="nil"/>
              <w:right w:val="nil"/>
            </w:tcBorders>
            <w:noWrap/>
            <w:vAlign w:val="center"/>
            <w:hideMark/>
          </w:tcPr>
          <w:p w14:paraId="494DE12C" w14:textId="77777777" w:rsidR="003313E5" w:rsidRPr="00732D9A" w:rsidRDefault="003313E5" w:rsidP="17A5AC17">
            <w:pPr>
              <w:spacing w:before="0" w:after="0"/>
              <w:jc w:val="left"/>
              <w:rPr>
                <w:rFonts w:eastAsia="Times New Roman"/>
                <w:noProof/>
                <w:color w:val="000000"/>
                <w:sz w:val="22"/>
              </w:rPr>
            </w:pPr>
            <w:r w:rsidRPr="00732D9A">
              <w:rPr>
                <w:noProof/>
                <w:color w:val="000000" w:themeColor="text1"/>
                <w:sz w:val="22"/>
              </w:rPr>
              <w:t>«Dépenses administratives» [1]</w:t>
            </w:r>
          </w:p>
        </w:tc>
      </w:tr>
    </w:tbl>
    <w:p w14:paraId="41CC14BC" w14:textId="53F26F01" w:rsidR="00665A0E" w:rsidRPr="00732D9A" w:rsidRDefault="00665A0E" w:rsidP="00665A0E">
      <w:pPr>
        <w:jc w:val="right"/>
        <w:rPr>
          <w:noProof/>
          <w:sz w:val="20"/>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2936"/>
        <w:gridCol w:w="1508"/>
        <w:gridCol w:w="1186"/>
        <w:gridCol w:w="1115"/>
        <w:gridCol w:w="1200"/>
        <w:gridCol w:w="1186"/>
        <w:gridCol w:w="1189"/>
        <w:gridCol w:w="1189"/>
        <w:gridCol w:w="1189"/>
        <w:gridCol w:w="1522"/>
      </w:tblGrid>
      <w:tr w:rsidR="001C6022" w:rsidRPr="00732D9A" w14:paraId="4D3AA12D" w14:textId="77777777" w:rsidTr="005B18E8">
        <w:trPr>
          <w:trHeight w:val="289"/>
        </w:trPr>
        <w:tc>
          <w:tcPr>
            <w:tcW w:w="156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D4458AC" w14:textId="77777777" w:rsidR="003313E5" w:rsidRPr="00732D9A" w:rsidRDefault="003313E5" w:rsidP="003313E5">
            <w:pPr>
              <w:spacing w:before="0" w:after="0"/>
              <w:jc w:val="center"/>
              <w:rPr>
                <w:rFonts w:eastAsia="Times New Roman"/>
                <w:noProof/>
                <w:color w:val="000000"/>
                <w:szCs w:val="24"/>
              </w:rPr>
            </w:pPr>
            <w:r w:rsidRPr="00732D9A">
              <w:rPr>
                <w:noProof/>
                <w:color w:val="000000"/>
              </w:rPr>
              <w:t>DG: GROW</w:t>
            </w:r>
          </w:p>
        </w:tc>
        <w:tc>
          <w:tcPr>
            <w:tcW w:w="417" w:type="pct"/>
            <w:tcBorders>
              <w:top w:val="single" w:sz="8" w:space="0" w:color="auto"/>
              <w:left w:val="nil"/>
              <w:bottom w:val="nil"/>
              <w:right w:val="single" w:sz="8" w:space="0" w:color="auto"/>
            </w:tcBorders>
            <w:vAlign w:val="center"/>
            <w:hideMark/>
          </w:tcPr>
          <w:p w14:paraId="520A994C"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392" w:type="pct"/>
            <w:tcBorders>
              <w:top w:val="single" w:sz="8" w:space="0" w:color="auto"/>
              <w:left w:val="nil"/>
              <w:bottom w:val="nil"/>
              <w:right w:val="single" w:sz="8" w:space="0" w:color="auto"/>
            </w:tcBorders>
            <w:vAlign w:val="center"/>
            <w:hideMark/>
          </w:tcPr>
          <w:p w14:paraId="7BA7D824"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422" w:type="pct"/>
            <w:tcBorders>
              <w:top w:val="single" w:sz="8" w:space="0" w:color="auto"/>
              <w:left w:val="nil"/>
              <w:bottom w:val="nil"/>
              <w:right w:val="single" w:sz="8" w:space="0" w:color="auto"/>
            </w:tcBorders>
            <w:vAlign w:val="center"/>
            <w:hideMark/>
          </w:tcPr>
          <w:p w14:paraId="711BCD9E"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417" w:type="pct"/>
            <w:tcBorders>
              <w:top w:val="single" w:sz="8" w:space="0" w:color="auto"/>
              <w:left w:val="nil"/>
              <w:bottom w:val="nil"/>
              <w:right w:val="single" w:sz="8" w:space="0" w:color="auto"/>
            </w:tcBorders>
            <w:vAlign w:val="center"/>
            <w:hideMark/>
          </w:tcPr>
          <w:p w14:paraId="52AC2002"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418" w:type="pct"/>
            <w:tcBorders>
              <w:top w:val="single" w:sz="8" w:space="0" w:color="auto"/>
              <w:left w:val="nil"/>
              <w:bottom w:val="nil"/>
              <w:right w:val="single" w:sz="8" w:space="0" w:color="auto"/>
            </w:tcBorders>
            <w:vAlign w:val="center"/>
            <w:hideMark/>
          </w:tcPr>
          <w:p w14:paraId="3054BF13"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418" w:type="pct"/>
            <w:tcBorders>
              <w:top w:val="single" w:sz="8" w:space="0" w:color="auto"/>
              <w:left w:val="nil"/>
              <w:bottom w:val="nil"/>
              <w:right w:val="single" w:sz="8" w:space="0" w:color="auto"/>
            </w:tcBorders>
            <w:vAlign w:val="center"/>
            <w:hideMark/>
          </w:tcPr>
          <w:p w14:paraId="3E330748"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418" w:type="pct"/>
            <w:tcBorders>
              <w:top w:val="single" w:sz="8" w:space="0" w:color="auto"/>
              <w:left w:val="nil"/>
              <w:bottom w:val="nil"/>
              <w:right w:val="single" w:sz="8" w:space="0" w:color="auto"/>
            </w:tcBorders>
            <w:vAlign w:val="center"/>
            <w:hideMark/>
          </w:tcPr>
          <w:p w14:paraId="46AB24A8" w14:textId="77777777" w:rsidR="003313E5" w:rsidRPr="00732D9A" w:rsidRDefault="003313E5" w:rsidP="003313E5">
            <w:pPr>
              <w:spacing w:before="0" w:after="0"/>
              <w:jc w:val="center"/>
              <w:rPr>
                <w:rFonts w:eastAsia="Times New Roman"/>
                <w:noProof/>
                <w:color w:val="000000"/>
                <w:sz w:val="20"/>
                <w:szCs w:val="20"/>
              </w:rPr>
            </w:pPr>
            <w:r w:rsidRPr="00732D9A">
              <w:rPr>
                <w:noProof/>
                <w:color w:val="000000"/>
                <w:sz w:val="20"/>
              </w:rPr>
              <w:t>Année</w:t>
            </w:r>
          </w:p>
        </w:tc>
        <w:tc>
          <w:tcPr>
            <w:tcW w:w="535" w:type="pct"/>
            <w:vMerge w:val="restart"/>
            <w:tcBorders>
              <w:top w:val="single" w:sz="8" w:space="0" w:color="auto"/>
              <w:left w:val="single" w:sz="8" w:space="0" w:color="auto"/>
              <w:bottom w:val="single" w:sz="8" w:space="0" w:color="000000"/>
              <w:right w:val="single" w:sz="8" w:space="0" w:color="auto"/>
            </w:tcBorders>
            <w:vAlign w:val="center"/>
            <w:hideMark/>
          </w:tcPr>
          <w:p w14:paraId="2EAA1028"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TOTAL CFP</w:t>
            </w:r>
            <w:r w:rsidRPr="00732D9A">
              <w:rPr>
                <w:noProof/>
              </w:rPr>
              <w:t xml:space="preserve"> </w:t>
            </w:r>
            <w:r w:rsidRPr="00732D9A">
              <w:rPr>
                <w:noProof/>
              </w:rPr>
              <w:cr/>
            </w:r>
            <w:r w:rsidRPr="00732D9A">
              <w:rPr>
                <w:noProof/>
              </w:rPr>
              <w:br/>
            </w:r>
            <w:r w:rsidRPr="00732D9A">
              <w:rPr>
                <w:b/>
                <w:noProof/>
                <w:color w:val="000000"/>
                <w:sz w:val="20"/>
              </w:rPr>
              <w:t>2028-2034</w:t>
            </w:r>
            <w:r w:rsidRPr="00732D9A">
              <w:rPr>
                <w:rStyle w:val="FootnoteReference"/>
                <w:rFonts w:eastAsia="Times New Roman"/>
                <w:b/>
                <w:bCs/>
                <w:noProof/>
                <w:color w:val="000000"/>
                <w:sz w:val="20"/>
                <w:szCs w:val="20"/>
                <w:lang w:eastAsia="en-IE"/>
              </w:rPr>
              <w:footnoteReference w:id="81"/>
            </w:r>
          </w:p>
        </w:tc>
      </w:tr>
      <w:tr w:rsidR="001C6022" w:rsidRPr="00732D9A" w14:paraId="72ECD4F2" w14:textId="77777777" w:rsidTr="005B18E8">
        <w:trPr>
          <w:trHeight w:val="300"/>
        </w:trPr>
        <w:tc>
          <w:tcPr>
            <w:tcW w:w="1562" w:type="pct"/>
            <w:gridSpan w:val="2"/>
            <w:vMerge/>
            <w:tcBorders>
              <w:top w:val="single" w:sz="8" w:space="0" w:color="auto"/>
              <w:left w:val="single" w:sz="8" w:space="0" w:color="auto"/>
              <w:bottom w:val="single" w:sz="8" w:space="0" w:color="auto"/>
              <w:right w:val="single" w:sz="8" w:space="0" w:color="auto"/>
            </w:tcBorders>
            <w:vAlign w:val="center"/>
            <w:hideMark/>
          </w:tcPr>
          <w:p w14:paraId="5D462299" w14:textId="77777777" w:rsidR="003313E5" w:rsidRPr="00732D9A" w:rsidRDefault="003313E5" w:rsidP="003313E5">
            <w:pPr>
              <w:spacing w:before="0" w:after="0"/>
              <w:jc w:val="left"/>
              <w:rPr>
                <w:rFonts w:eastAsia="Times New Roman"/>
                <w:noProof/>
                <w:color w:val="000000"/>
                <w:szCs w:val="24"/>
                <w:lang w:eastAsia="en-IE"/>
              </w:rPr>
            </w:pPr>
          </w:p>
        </w:tc>
        <w:tc>
          <w:tcPr>
            <w:tcW w:w="417" w:type="pct"/>
            <w:tcBorders>
              <w:top w:val="nil"/>
              <w:left w:val="nil"/>
              <w:bottom w:val="single" w:sz="8" w:space="0" w:color="auto"/>
              <w:right w:val="single" w:sz="8" w:space="0" w:color="auto"/>
            </w:tcBorders>
            <w:vAlign w:val="center"/>
            <w:hideMark/>
          </w:tcPr>
          <w:p w14:paraId="66AA2CF5"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2028</w:t>
            </w:r>
          </w:p>
        </w:tc>
        <w:tc>
          <w:tcPr>
            <w:tcW w:w="392" w:type="pct"/>
            <w:tcBorders>
              <w:top w:val="nil"/>
              <w:left w:val="nil"/>
              <w:bottom w:val="single" w:sz="8" w:space="0" w:color="auto"/>
              <w:right w:val="single" w:sz="8" w:space="0" w:color="auto"/>
            </w:tcBorders>
            <w:vAlign w:val="center"/>
            <w:hideMark/>
          </w:tcPr>
          <w:p w14:paraId="298BA9FE"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2029</w:t>
            </w:r>
          </w:p>
        </w:tc>
        <w:tc>
          <w:tcPr>
            <w:tcW w:w="422" w:type="pct"/>
            <w:tcBorders>
              <w:top w:val="nil"/>
              <w:left w:val="nil"/>
              <w:bottom w:val="single" w:sz="8" w:space="0" w:color="auto"/>
              <w:right w:val="single" w:sz="8" w:space="0" w:color="auto"/>
            </w:tcBorders>
            <w:vAlign w:val="center"/>
            <w:hideMark/>
          </w:tcPr>
          <w:p w14:paraId="6E0539D5"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2030</w:t>
            </w:r>
          </w:p>
        </w:tc>
        <w:tc>
          <w:tcPr>
            <w:tcW w:w="417" w:type="pct"/>
            <w:tcBorders>
              <w:top w:val="nil"/>
              <w:left w:val="nil"/>
              <w:bottom w:val="single" w:sz="8" w:space="0" w:color="auto"/>
              <w:right w:val="single" w:sz="8" w:space="0" w:color="auto"/>
            </w:tcBorders>
            <w:vAlign w:val="center"/>
            <w:hideMark/>
          </w:tcPr>
          <w:p w14:paraId="598881EF"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2031</w:t>
            </w:r>
          </w:p>
        </w:tc>
        <w:tc>
          <w:tcPr>
            <w:tcW w:w="418" w:type="pct"/>
            <w:tcBorders>
              <w:top w:val="nil"/>
              <w:left w:val="nil"/>
              <w:bottom w:val="single" w:sz="8" w:space="0" w:color="auto"/>
              <w:right w:val="single" w:sz="8" w:space="0" w:color="auto"/>
            </w:tcBorders>
            <w:vAlign w:val="center"/>
            <w:hideMark/>
          </w:tcPr>
          <w:p w14:paraId="64ED9AD8"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2032</w:t>
            </w:r>
          </w:p>
        </w:tc>
        <w:tc>
          <w:tcPr>
            <w:tcW w:w="418" w:type="pct"/>
            <w:tcBorders>
              <w:top w:val="nil"/>
              <w:left w:val="nil"/>
              <w:bottom w:val="single" w:sz="8" w:space="0" w:color="auto"/>
              <w:right w:val="single" w:sz="8" w:space="0" w:color="auto"/>
            </w:tcBorders>
            <w:vAlign w:val="center"/>
            <w:hideMark/>
          </w:tcPr>
          <w:p w14:paraId="0A5A3553"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2033</w:t>
            </w:r>
          </w:p>
        </w:tc>
        <w:tc>
          <w:tcPr>
            <w:tcW w:w="418" w:type="pct"/>
            <w:tcBorders>
              <w:top w:val="nil"/>
              <w:left w:val="nil"/>
              <w:bottom w:val="single" w:sz="8" w:space="0" w:color="auto"/>
              <w:right w:val="single" w:sz="8" w:space="0" w:color="auto"/>
            </w:tcBorders>
            <w:vAlign w:val="center"/>
            <w:hideMark/>
          </w:tcPr>
          <w:p w14:paraId="41BC775C" w14:textId="77777777" w:rsidR="003313E5" w:rsidRPr="00732D9A" w:rsidRDefault="003313E5" w:rsidP="003313E5">
            <w:pPr>
              <w:spacing w:before="0" w:after="0"/>
              <w:jc w:val="center"/>
              <w:rPr>
                <w:rFonts w:eastAsia="Times New Roman"/>
                <w:b/>
                <w:bCs/>
                <w:noProof/>
                <w:color w:val="000000"/>
                <w:sz w:val="20"/>
                <w:szCs w:val="20"/>
              </w:rPr>
            </w:pPr>
            <w:r w:rsidRPr="00732D9A">
              <w:rPr>
                <w:b/>
                <w:noProof/>
                <w:color w:val="000000"/>
                <w:sz w:val="20"/>
              </w:rPr>
              <w:t>2034</w:t>
            </w:r>
          </w:p>
        </w:tc>
        <w:tc>
          <w:tcPr>
            <w:tcW w:w="535" w:type="pct"/>
            <w:vMerge/>
            <w:tcBorders>
              <w:top w:val="single" w:sz="8" w:space="0" w:color="auto"/>
              <w:left w:val="single" w:sz="8" w:space="0" w:color="auto"/>
              <w:bottom w:val="single" w:sz="8" w:space="0" w:color="000000"/>
              <w:right w:val="single" w:sz="8" w:space="0" w:color="auto"/>
            </w:tcBorders>
            <w:vAlign w:val="center"/>
            <w:hideMark/>
          </w:tcPr>
          <w:p w14:paraId="763BE5D3" w14:textId="77777777" w:rsidR="003313E5" w:rsidRPr="00732D9A" w:rsidRDefault="003313E5" w:rsidP="003313E5">
            <w:pPr>
              <w:spacing w:before="0" w:after="0"/>
              <w:jc w:val="left"/>
              <w:rPr>
                <w:rFonts w:eastAsia="Times New Roman"/>
                <w:b/>
                <w:bCs/>
                <w:noProof/>
                <w:color w:val="000000"/>
                <w:sz w:val="20"/>
                <w:szCs w:val="20"/>
                <w:lang w:eastAsia="en-IE"/>
              </w:rPr>
            </w:pPr>
          </w:p>
        </w:tc>
      </w:tr>
      <w:tr w:rsidR="00A429A0" w:rsidRPr="00732D9A" w14:paraId="3462315E"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02B24D84" w14:textId="77777777" w:rsidR="00FE4240" w:rsidRPr="00732D9A" w:rsidRDefault="00FE4240" w:rsidP="00FE4240">
            <w:pPr>
              <w:spacing w:before="0" w:after="0"/>
              <w:jc w:val="left"/>
              <w:rPr>
                <w:rFonts w:eastAsia="Times New Roman"/>
                <w:noProof/>
                <w:color w:val="000000"/>
                <w:sz w:val="22"/>
              </w:rPr>
            </w:pPr>
            <w:r w:rsidRPr="00732D9A">
              <w:rPr>
                <w:rFonts w:ascii="Wingdings" w:hAnsi="Wingdings"/>
                <w:noProof/>
                <w:color w:val="000000"/>
                <w:sz w:val="22"/>
              </w:rPr>
              <w:t></w:t>
            </w:r>
            <w:r w:rsidRPr="00732D9A">
              <w:rPr>
                <w:noProof/>
                <w:color w:val="000000"/>
                <w:sz w:val="22"/>
              </w:rPr>
              <w:t xml:space="preserve"> Ressources humaines </w:t>
            </w:r>
          </w:p>
        </w:tc>
        <w:tc>
          <w:tcPr>
            <w:tcW w:w="417" w:type="pct"/>
            <w:tcBorders>
              <w:top w:val="nil"/>
              <w:left w:val="nil"/>
              <w:bottom w:val="single" w:sz="8" w:space="0" w:color="auto"/>
              <w:right w:val="single" w:sz="8" w:space="0" w:color="auto"/>
            </w:tcBorders>
            <w:shd w:val="clear" w:color="000000" w:fill="D9D9D9"/>
            <w:vAlign w:val="center"/>
            <w:hideMark/>
          </w:tcPr>
          <w:p w14:paraId="0D546F56"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392" w:type="pct"/>
            <w:tcBorders>
              <w:top w:val="nil"/>
              <w:left w:val="nil"/>
              <w:bottom w:val="single" w:sz="8" w:space="0" w:color="auto"/>
              <w:right w:val="single" w:sz="8" w:space="0" w:color="auto"/>
            </w:tcBorders>
            <w:shd w:val="clear" w:color="000000" w:fill="D9D9D9"/>
            <w:vAlign w:val="center"/>
            <w:hideMark/>
          </w:tcPr>
          <w:p w14:paraId="7B3FFA6D"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422" w:type="pct"/>
            <w:tcBorders>
              <w:top w:val="nil"/>
              <w:left w:val="nil"/>
              <w:bottom w:val="single" w:sz="8" w:space="0" w:color="auto"/>
              <w:right w:val="single" w:sz="8" w:space="0" w:color="auto"/>
            </w:tcBorders>
            <w:shd w:val="clear" w:color="000000" w:fill="D9D9D9"/>
            <w:vAlign w:val="center"/>
            <w:hideMark/>
          </w:tcPr>
          <w:p w14:paraId="607723AB"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55A04065"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7FD34465"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66F3D17F"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32B8EA40" w14:textId="77777777" w:rsidR="00FE4240" w:rsidRPr="00732D9A" w:rsidRDefault="005B18E8" w:rsidP="00FE4240">
            <w:pPr>
              <w:spacing w:before="0" w:after="0"/>
              <w:jc w:val="right"/>
              <w:rPr>
                <w:rFonts w:eastAsia="Times New Roman"/>
                <w:noProof/>
                <w:color w:val="000000"/>
                <w:sz w:val="20"/>
                <w:szCs w:val="20"/>
              </w:rPr>
            </w:pPr>
            <w:r w:rsidRPr="00732D9A">
              <w:rPr>
                <w:noProof/>
                <w:color w:val="000000"/>
                <w:sz w:val="20"/>
              </w:rPr>
              <w:t>1,164</w:t>
            </w:r>
          </w:p>
        </w:tc>
        <w:tc>
          <w:tcPr>
            <w:tcW w:w="535" w:type="pct"/>
            <w:tcBorders>
              <w:top w:val="nil"/>
              <w:left w:val="nil"/>
              <w:bottom w:val="single" w:sz="8" w:space="0" w:color="auto"/>
              <w:right w:val="single" w:sz="8" w:space="0" w:color="auto"/>
            </w:tcBorders>
            <w:shd w:val="clear" w:color="000000" w:fill="D9D9D9"/>
            <w:vAlign w:val="center"/>
            <w:hideMark/>
          </w:tcPr>
          <w:p w14:paraId="7AFF6F6A" w14:textId="77777777" w:rsidR="00FE4240" w:rsidRPr="00732D9A" w:rsidRDefault="00D10F8A" w:rsidP="00FE4240">
            <w:pPr>
              <w:spacing w:before="0" w:after="0"/>
              <w:jc w:val="right"/>
              <w:rPr>
                <w:rFonts w:eastAsia="Times New Roman"/>
                <w:b/>
                <w:bCs/>
                <w:noProof/>
                <w:color w:val="000000"/>
                <w:sz w:val="20"/>
                <w:szCs w:val="20"/>
              </w:rPr>
            </w:pPr>
            <w:r w:rsidRPr="00732D9A">
              <w:rPr>
                <w:b/>
                <w:noProof/>
                <w:color w:val="000000"/>
                <w:sz w:val="20"/>
              </w:rPr>
              <w:t>8,148</w:t>
            </w:r>
          </w:p>
        </w:tc>
      </w:tr>
      <w:tr w:rsidR="00A429A0" w:rsidRPr="00732D9A" w14:paraId="52367658" w14:textId="77777777" w:rsidTr="005B18E8">
        <w:trPr>
          <w:trHeight w:val="315"/>
        </w:trPr>
        <w:tc>
          <w:tcPr>
            <w:tcW w:w="1562" w:type="pct"/>
            <w:gridSpan w:val="2"/>
            <w:tcBorders>
              <w:top w:val="single" w:sz="8" w:space="0" w:color="auto"/>
              <w:left w:val="single" w:sz="8" w:space="0" w:color="auto"/>
              <w:bottom w:val="single" w:sz="8" w:space="0" w:color="auto"/>
              <w:right w:val="single" w:sz="8" w:space="0" w:color="auto"/>
            </w:tcBorders>
            <w:vAlign w:val="center"/>
            <w:hideMark/>
          </w:tcPr>
          <w:p w14:paraId="360CA05E" w14:textId="77777777" w:rsidR="00FE4240" w:rsidRPr="00732D9A" w:rsidRDefault="00FE4240" w:rsidP="00FE4240">
            <w:pPr>
              <w:spacing w:before="0" w:after="0"/>
              <w:jc w:val="left"/>
              <w:rPr>
                <w:rFonts w:eastAsia="Times New Roman"/>
                <w:noProof/>
                <w:color w:val="000000"/>
                <w:sz w:val="22"/>
              </w:rPr>
            </w:pPr>
            <w:r w:rsidRPr="00732D9A">
              <w:rPr>
                <w:rFonts w:ascii="Wingdings" w:hAnsi="Wingdings"/>
                <w:noProof/>
                <w:color w:val="000000"/>
                <w:sz w:val="22"/>
              </w:rPr>
              <w:t></w:t>
            </w:r>
            <w:r w:rsidRPr="00732D9A">
              <w:rPr>
                <w:noProof/>
                <w:color w:val="000000"/>
                <w:sz w:val="22"/>
              </w:rPr>
              <w:t xml:space="preserve"> Autres dépenses administratives </w:t>
            </w:r>
          </w:p>
        </w:tc>
        <w:tc>
          <w:tcPr>
            <w:tcW w:w="417" w:type="pct"/>
            <w:tcBorders>
              <w:top w:val="nil"/>
              <w:left w:val="nil"/>
              <w:bottom w:val="single" w:sz="8" w:space="0" w:color="auto"/>
              <w:right w:val="single" w:sz="8" w:space="0" w:color="auto"/>
            </w:tcBorders>
            <w:shd w:val="clear" w:color="000000" w:fill="D9D9D9"/>
            <w:vAlign w:val="center"/>
            <w:hideMark/>
          </w:tcPr>
          <w:p w14:paraId="1D70F8FD"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392" w:type="pct"/>
            <w:tcBorders>
              <w:top w:val="nil"/>
              <w:left w:val="nil"/>
              <w:bottom w:val="single" w:sz="8" w:space="0" w:color="auto"/>
              <w:right w:val="single" w:sz="8" w:space="0" w:color="auto"/>
            </w:tcBorders>
            <w:shd w:val="clear" w:color="000000" w:fill="D9D9D9"/>
            <w:vAlign w:val="center"/>
            <w:hideMark/>
          </w:tcPr>
          <w:p w14:paraId="120CB64A"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422" w:type="pct"/>
            <w:tcBorders>
              <w:top w:val="nil"/>
              <w:left w:val="nil"/>
              <w:bottom w:val="single" w:sz="8" w:space="0" w:color="auto"/>
              <w:right w:val="single" w:sz="8" w:space="0" w:color="auto"/>
            </w:tcBorders>
            <w:shd w:val="clear" w:color="000000" w:fill="D9D9D9"/>
            <w:vAlign w:val="center"/>
            <w:hideMark/>
          </w:tcPr>
          <w:p w14:paraId="0CB9E717"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417" w:type="pct"/>
            <w:tcBorders>
              <w:top w:val="nil"/>
              <w:left w:val="nil"/>
              <w:bottom w:val="single" w:sz="8" w:space="0" w:color="auto"/>
              <w:right w:val="single" w:sz="8" w:space="0" w:color="auto"/>
            </w:tcBorders>
            <w:shd w:val="clear" w:color="000000" w:fill="D9D9D9"/>
            <w:vAlign w:val="center"/>
            <w:hideMark/>
          </w:tcPr>
          <w:p w14:paraId="52E3054B"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6A4EE0F7"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6F1951F3"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418" w:type="pct"/>
            <w:tcBorders>
              <w:top w:val="nil"/>
              <w:left w:val="nil"/>
              <w:bottom w:val="single" w:sz="8" w:space="0" w:color="auto"/>
              <w:right w:val="single" w:sz="8" w:space="0" w:color="auto"/>
            </w:tcBorders>
            <w:shd w:val="clear" w:color="000000" w:fill="D9D9D9"/>
            <w:vAlign w:val="center"/>
            <w:hideMark/>
          </w:tcPr>
          <w:p w14:paraId="3969B889" w14:textId="77777777" w:rsidR="00FE4240" w:rsidRPr="00732D9A" w:rsidRDefault="00FE4240" w:rsidP="00FE4240">
            <w:pPr>
              <w:spacing w:before="0" w:after="0"/>
              <w:jc w:val="right"/>
              <w:rPr>
                <w:rFonts w:eastAsia="Times New Roman"/>
                <w:noProof/>
                <w:color w:val="000000"/>
                <w:sz w:val="20"/>
                <w:szCs w:val="20"/>
              </w:rPr>
            </w:pPr>
            <w:r w:rsidRPr="00732D9A">
              <w:rPr>
                <w:noProof/>
                <w:color w:val="000000"/>
                <w:sz w:val="20"/>
              </w:rPr>
              <w:t>0,000</w:t>
            </w:r>
          </w:p>
        </w:tc>
        <w:tc>
          <w:tcPr>
            <w:tcW w:w="535" w:type="pct"/>
            <w:tcBorders>
              <w:top w:val="nil"/>
              <w:left w:val="nil"/>
              <w:bottom w:val="single" w:sz="8" w:space="0" w:color="auto"/>
              <w:right w:val="single" w:sz="8" w:space="0" w:color="auto"/>
            </w:tcBorders>
            <w:shd w:val="clear" w:color="000000" w:fill="D9D9D9"/>
            <w:vAlign w:val="center"/>
            <w:hideMark/>
          </w:tcPr>
          <w:p w14:paraId="27D930EB" w14:textId="77777777" w:rsidR="00FE4240" w:rsidRPr="00732D9A" w:rsidRDefault="00FE4240" w:rsidP="00FE4240">
            <w:pPr>
              <w:spacing w:before="0" w:after="0"/>
              <w:jc w:val="right"/>
              <w:rPr>
                <w:rFonts w:eastAsia="Times New Roman"/>
                <w:b/>
                <w:bCs/>
                <w:noProof/>
                <w:color w:val="000000"/>
                <w:sz w:val="20"/>
                <w:szCs w:val="20"/>
              </w:rPr>
            </w:pPr>
            <w:r w:rsidRPr="00732D9A">
              <w:rPr>
                <w:b/>
                <w:noProof/>
                <w:color w:val="000000"/>
                <w:sz w:val="20"/>
              </w:rPr>
              <w:t>0,000</w:t>
            </w:r>
          </w:p>
        </w:tc>
      </w:tr>
      <w:tr w:rsidR="00A429A0" w:rsidRPr="00732D9A" w14:paraId="4A38235B" w14:textId="77777777" w:rsidTr="005B18E8">
        <w:trPr>
          <w:trHeight w:val="315"/>
        </w:trPr>
        <w:tc>
          <w:tcPr>
            <w:tcW w:w="1032" w:type="pct"/>
            <w:tcBorders>
              <w:top w:val="nil"/>
              <w:left w:val="single" w:sz="8" w:space="0" w:color="auto"/>
              <w:bottom w:val="single" w:sz="8" w:space="0" w:color="auto"/>
              <w:right w:val="single" w:sz="8" w:space="0" w:color="auto"/>
            </w:tcBorders>
            <w:vAlign w:val="center"/>
            <w:hideMark/>
          </w:tcPr>
          <w:p w14:paraId="0E66F90B" w14:textId="77777777" w:rsidR="003313E5" w:rsidRPr="00732D9A" w:rsidRDefault="003313E5" w:rsidP="003313E5">
            <w:pPr>
              <w:spacing w:before="0" w:after="0"/>
              <w:jc w:val="center"/>
              <w:rPr>
                <w:rFonts w:eastAsia="Times New Roman"/>
                <w:b/>
                <w:bCs/>
                <w:noProof/>
                <w:color w:val="000000"/>
                <w:sz w:val="22"/>
              </w:rPr>
            </w:pPr>
            <w:r w:rsidRPr="00732D9A">
              <w:rPr>
                <w:b/>
                <w:noProof/>
                <w:color w:val="000000"/>
                <w:sz w:val="22"/>
              </w:rPr>
              <w:t>TOTAL pour la DG GROW</w:t>
            </w:r>
          </w:p>
        </w:tc>
        <w:tc>
          <w:tcPr>
            <w:tcW w:w="530" w:type="pct"/>
            <w:tcBorders>
              <w:top w:val="single" w:sz="8" w:space="0" w:color="auto"/>
              <w:left w:val="nil"/>
              <w:bottom w:val="single" w:sz="8" w:space="0" w:color="auto"/>
              <w:right w:val="single" w:sz="8" w:space="0" w:color="auto"/>
            </w:tcBorders>
            <w:vAlign w:val="center"/>
            <w:hideMark/>
          </w:tcPr>
          <w:p w14:paraId="1F6CE421" w14:textId="77777777" w:rsidR="003313E5" w:rsidRPr="00732D9A" w:rsidRDefault="003313E5" w:rsidP="003313E5">
            <w:pPr>
              <w:spacing w:before="0" w:after="0"/>
              <w:jc w:val="left"/>
              <w:rPr>
                <w:rFonts w:eastAsia="Times New Roman"/>
                <w:noProof/>
                <w:color w:val="000000"/>
                <w:sz w:val="18"/>
                <w:szCs w:val="18"/>
              </w:rPr>
            </w:pPr>
            <w:r w:rsidRPr="00732D9A">
              <w:rPr>
                <w:noProof/>
                <w:color w:val="000000"/>
                <w:sz w:val="18"/>
              </w:rPr>
              <w:t xml:space="preserve">Crédits </w:t>
            </w:r>
          </w:p>
        </w:tc>
        <w:tc>
          <w:tcPr>
            <w:tcW w:w="417" w:type="pct"/>
            <w:tcBorders>
              <w:top w:val="nil"/>
              <w:left w:val="nil"/>
              <w:bottom w:val="single" w:sz="8" w:space="0" w:color="auto"/>
              <w:right w:val="single" w:sz="8" w:space="0" w:color="auto"/>
            </w:tcBorders>
            <w:shd w:val="clear" w:color="000000" w:fill="D9D9D9"/>
            <w:vAlign w:val="center"/>
            <w:hideMark/>
          </w:tcPr>
          <w:p w14:paraId="2F788441"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392" w:type="pct"/>
            <w:tcBorders>
              <w:top w:val="nil"/>
              <w:left w:val="nil"/>
              <w:bottom w:val="single" w:sz="8" w:space="0" w:color="auto"/>
              <w:right w:val="single" w:sz="8" w:space="0" w:color="auto"/>
            </w:tcBorders>
            <w:shd w:val="clear" w:color="000000" w:fill="D9D9D9"/>
            <w:vAlign w:val="center"/>
            <w:hideMark/>
          </w:tcPr>
          <w:p w14:paraId="3D768948"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422" w:type="pct"/>
            <w:tcBorders>
              <w:top w:val="nil"/>
              <w:left w:val="nil"/>
              <w:bottom w:val="single" w:sz="8" w:space="0" w:color="auto"/>
              <w:right w:val="single" w:sz="8" w:space="0" w:color="auto"/>
            </w:tcBorders>
            <w:shd w:val="clear" w:color="000000" w:fill="D9D9D9"/>
            <w:vAlign w:val="center"/>
            <w:hideMark/>
          </w:tcPr>
          <w:p w14:paraId="077D5691"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417" w:type="pct"/>
            <w:tcBorders>
              <w:top w:val="nil"/>
              <w:left w:val="nil"/>
              <w:bottom w:val="single" w:sz="8" w:space="0" w:color="auto"/>
              <w:right w:val="single" w:sz="8" w:space="0" w:color="auto"/>
            </w:tcBorders>
            <w:shd w:val="clear" w:color="000000" w:fill="D9D9D9"/>
            <w:vAlign w:val="center"/>
            <w:hideMark/>
          </w:tcPr>
          <w:p w14:paraId="6E6EB01F"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27677EFD"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487F6EC6"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418" w:type="pct"/>
            <w:tcBorders>
              <w:top w:val="nil"/>
              <w:left w:val="nil"/>
              <w:bottom w:val="single" w:sz="8" w:space="0" w:color="auto"/>
              <w:right w:val="single" w:sz="8" w:space="0" w:color="auto"/>
            </w:tcBorders>
            <w:shd w:val="clear" w:color="000000" w:fill="D9D9D9"/>
            <w:vAlign w:val="center"/>
            <w:hideMark/>
          </w:tcPr>
          <w:p w14:paraId="5BC98AFA" w14:textId="77777777" w:rsidR="003313E5" w:rsidRPr="00732D9A" w:rsidRDefault="005B18E8" w:rsidP="003313E5">
            <w:pPr>
              <w:spacing w:before="0" w:after="0"/>
              <w:jc w:val="right"/>
              <w:rPr>
                <w:rFonts w:eastAsia="Times New Roman"/>
                <w:b/>
                <w:bCs/>
                <w:noProof/>
                <w:color w:val="000000"/>
                <w:sz w:val="20"/>
                <w:szCs w:val="20"/>
              </w:rPr>
            </w:pPr>
            <w:r w:rsidRPr="00732D9A">
              <w:rPr>
                <w:b/>
                <w:noProof/>
                <w:color w:val="000000"/>
                <w:sz w:val="20"/>
              </w:rPr>
              <w:t>1,164</w:t>
            </w:r>
          </w:p>
        </w:tc>
        <w:tc>
          <w:tcPr>
            <w:tcW w:w="535" w:type="pct"/>
            <w:tcBorders>
              <w:top w:val="nil"/>
              <w:left w:val="nil"/>
              <w:bottom w:val="single" w:sz="8" w:space="0" w:color="auto"/>
              <w:right w:val="single" w:sz="8" w:space="0" w:color="auto"/>
            </w:tcBorders>
            <w:shd w:val="clear" w:color="000000" w:fill="D9D9D9"/>
            <w:vAlign w:val="center"/>
            <w:hideMark/>
          </w:tcPr>
          <w:p w14:paraId="5DE58BFC" w14:textId="77777777" w:rsidR="003313E5" w:rsidRPr="00732D9A" w:rsidRDefault="00D10F8A" w:rsidP="003313E5">
            <w:pPr>
              <w:spacing w:before="0" w:after="0"/>
              <w:jc w:val="right"/>
              <w:rPr>
                <w:rFonts w:eastAsia="Times New Roman"/>
                <w:b/>
                <w:bCs/>
                <w:noProof/>
                <w:color w:val="000000"/>
                <w:sz w:val="20"/>
                <w:szCs w:val="20"/>
              </w:rPr>
            </w:pPr>
            <w:r w:rsidRPr="00732D9A">
              <w:rPr>
                <w:b/>
                <w:noProof/>
                <w:color w:val="000000"/>
                <w:sz w:val="20"/>
              </w:rPr>
              <w:t>8,148</w:t>
            </w:r>
          </w:p>
        </w:tc>
      </w:tr>
    </w:tbl>
    <w:p w14:paraId="66B1279B" w14:textId="77777777" w:rsidR="002C0EBB" w:rsidRPr="00732D9A" w:rsidRDefault="002C0EBB" w:rsidP="002C0EBB">
      <w:pPr>
        <w:jc w:val="right"/>
        <w:rPr>
          <w:noProof/>
          <w:sz w:val="20"/>
        </w:rPr>
      </w:pPr>
    </w:p>
    <w:tbl>
      <w:tblPr>
        <w:tblW w:w="5000" w:type="pct"/>
        <w:tblLook w:val="04A0" w:firstRow="1" w:lastRow="0" w:firstColumn="1" w:lastColumn="0" w:noHBand="0" w:noVBand="1"/>
      </w:tblPr>
      <w:tblGrid>
        <w:gridCol w:w="3269"/>
        <w:gridCol w:w="1197"/>
        <w:gridCol w:w="1197"/>
        <w:gridCol w:w="1015"/>
        <w:gridCol w:w="1212"/>
        <w:gridCol w:w="1197"/>
        <w:gridCol w:w="1200"/>
        <w:gridCol w:w="1200"/>
        <w:gridCol w:w="1200"/>
        <w:gridCol w:w="1533"/>
      </w:tblGrid>
      <w:tr w:rsidR="00A429A0" w:rsidRPr="00732D9A" w14:paraId="26ADEDA3" w14:textId="77777777" w:rsidTr="002C0EBB">
        <w:trPr>
          <w:trHeight w:val="900"/>
        </w:trPr>
        <w:tc>
          <w:tcPr>
            <w:tcW w:w="1149" w:type="pct"/>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35496570" w14:textId="68F704E8" w:rsidR="003313E5" w:rsidRPr="00732D9A" w:rsidRDefault="003313E5" w:rsidP="003313E5">
            <w:pPr>
              <w:spacing w:before="0" w:after="0"/>
              <w:jc w:val="center"/>
              <w:rPr>
                <w:rFonts w:eastAsia="Times New Roman"/>
                <w:b/>
                <w:bCs/>
                <w:noProof/>
                <w:color w:val="000000"/>
                <w:sz w:val="22"/>
              </w:rPr>
            </w:pPr>
            <w:r w:rsidRPr="00732D9A">
              <w:rPr>
                <w:b/>
                <w:noProof/>
                <w:color w:val="000000"/>
                <w:sz w:val="22"/>
              </w:rPr>
              <w:t>TOTAL des crédits</w:t>
            </w:r>
            <w:r w:rsidRPr="00732D9A">
              <w:rPr>
                <w:noProof/>
              </w:rPr>
              <w:t xml:space="preserve"> </w:t>
            </w:r>
            <w:r w:rsidRPr="00732D9A">
              <w:rPr>
                <w:noProof/>
              </w:rPr>
              <w:br/>
            </w:r>
            <w:r w:rsidRPr="00732D9A">
              <w:rPr>
                <w:b/>
                <w:noProof/>
                <w:color w:val="000000"/>
                <w:sz w:val="22"/>
              </w:rPr>
              <w:t>pour la RUBRIQUE 7</w:t>
            </w:r>
            <w:r w:rsidRPr="00732D9A">
              <w:rPr>
                <w:noProof/>
              </w:rPr>
              <w:t xml:space="preserve"> </w:t>
            </w:r>
            <w:r w:rsidRPr="00732D9A">
              <w:rPr>
                <w:noProof/>
              </w:rPr>
              <w:br/>
            </w:r>
            <w:r w:rsidRPr="00732D9A">
              <w:rPr>
                <w:b/>
                <w:noProof/>
                <w:color w:val="000000"/>
                <w:sz w:val="22"/>
              </w:rPr>
              <w:t xml:space="preserve">du cadre financier pluriannuel </w:t>
            </w:r>
          </w:p>
        </w:tc>
        <w:tc>
          <w:tcPr>
            <w:tcW w:w="421" w:type="pct"/>
            <w:tcBorders>
              <w:top w:val="single" w:sz="8" w:space="0" w:color="auto"/>
              <w:left w:val="nil"/>
              <w:bottom w:val="single" w:sz="8" w:space="0" w:color="auto"/>
              <w:right w:val="single" w:sz="8" w:space="0" w:color="auto"/>
            </w:tcBorders>
            <w:vAlign w:val="center"/>
            <w:hideMark/>
          </w:tcPr>
          <w:p w14:paraId="5BC54464" w14:textId="77777777" w:rsidR="003313E5" w:rsidRPr="00732D9A" w:rsidRDefault="003313E5" w:rsidP="003313E5">
            <w:pPr>
              <w:spacing w:before="0" w:after="0"/>
              <w:jc w:val="center"/>
              <w:rPr>
                <w:rFonts w:eastAsia="Times New Roman"/>
                <w:noProof/>
                <w:color w:val="000000"/>
                <w:sz w:val="18"/>
                <w:szCs w:val="18"/>
              </w:rPr>
            </w:pPr>
            <w:r w:rsidRPr="00732D9A">
              <w:rPr>
                <w:noProof/>
                <w:color w:val="000000"/>
                <w:sz w:val="18"/>
              </w:rPr>
              <w:t>(Total engagements = Total paiements)</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39DD8DD7"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357" w:type="pct"/>
            <w:tcBorders>
              <w:top w:val="single" w:sz="8" w:space="0" w:color="auto"/>
              <w:left w:val="nil"/>
              <w:bottom w:val="single" w:sz="8" w:space="0" w:color="auto"/>
              <w:right w:val="single" w:sz="8" w:space="0" w:color="auto"/>
            </w:tcBorders>
            <w:shd w:val="clear" w:color="000000" w:fill="D9D9D9"/>
            <w:vAlign w:val="center"/>
            <w:hideMark/>
          </w:tcPr>
          <w:p w14:paraId="03973EF6"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426" w:type="pct"/>
            <w:tcBorders>
              <w:top w:val="single" w:sz="8" w:space="0" w:color="auto"/>
              <w:left w:val="nil"/>
              <w:bottom w:val="single" w:sz="8" w:space="0" w:color="auto"/>
              <w:right w:val="single" w:sz="8" w:space="0" w:color="auto"/>
            </w:tcBorders>
            <w:shd w:val="clear" w:color="000000" w:fill="D9D9D9"/>
            <w:vAlign w:val="center"/>
            <w:hideMark/>
          </w:tcPr>
          <w:p w14:paraId="5C570C47"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421" w:type="pct"/>
            <w:tcBorders>
              <w:top w:val="single" w:sz="8" w:space="0" w:color="auto"/>
              <w:left w:val="nil"/>
              <w:bottom w:val="single" w:sz="8" w:space="0" w:color="auto"/>
              <w:right w:val="single" w:sz="8" w:space="0" w:color="auto"/>
            </w:tcBorders>
            <w:shd w:val="clear" w:color="000000" w:fill="D9D9D9"/>
            <w:vAlign w:val="center"/>
            <w:hideMark/>
          </w:tcPr>
          <w:p w14:paraId="127EE061"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2872A1E3"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50B9413A"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422" w:type="pct"/>
            <w:tcBorders>
              <w:top w:val="single" w:sz="8" w:space="0" w:color="auto"/>
              <w:left w:val="nil"/>
              <w:bottom w:val="single" w:sz="8" w:space="0" w:color="auto"/>
              <w:right w:val="single" w:sz="8" w:space="0" w:color="auto"/>
            </w:tcBorders>
            <w:shd w:val="clear" w:color="000000" w:fill="D9D9D9"/>
            <w:vAlign w:val="center"/>
            <w:hideMark/>
          </w:tcPr>
          <w:p w14:paraId="6E083E03"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1,164</w:t>
            </w:r>
          </w:p>
        </w:tc>
        <w:tc>
          <w:tcPr>
            <w:tcW w:w="539" w:type="pct"/>
            <w:tcBorders>
              <w:top w:val="single" w:sz="8" w:space="0" w:color="auto"/>
              <w:left w:val="nil"/>
              <w:bottom w:val="single" w:sz="8" w:space="0" w:color="auto"/>
              <w:right w:val="single" w:sz="8" w:space="0" w:color="auto"/>
            </w:tcBorders>
            <w:shd w:val="clear" w:color="000000" w:fill="D9D9D9"/>
            <w:vAlign w:val="center"/>
            <w:hideMark/>
          </w:tcPr>
          <w:p w14:paraId="4D3FE12A" w14:textId="77777777" w:rsidR="003313E5" w:rsidRPr="00732D9A" w:rsidRDefault="003313E5" w:rsidP="003313E5">
            <w:pPr>
              <w:spacing w:before="0" w:after="0"/>
              <w:jc w:val="right"/>
              <w:rPr>
                <w:rFonts w:eastAsia="Times New Roman"/>
                <w:b/>
                <w:bCs/>
                <w:noProof/>
                <w:color w:val="000000"/>
                <w:sz w:val="20"/>
                <w:szCs w:val="20"/>
              </w:rPr>
            </w:pPr>
            <w:r w:rsidRPr="00732D9A">
              <w:rPr>
                <w:b/>
                <w:noProof/>
                <w:color w:val="000000"/>
                <w:sz w:val="20"/>
              </w:rPr>
              <w:t>8,148</w:t>
            </w:r>
          </w:p>
        </w:tc>
      </w:tr>
    </w:tbl>
    <w:p w14:paraId="798256D6" w14:textId="77777777" w:rsidR="000941A7" w:rsidRPr="00732D9A" w:rsidRDefault="000941A7" w:rsidP="000941A7">
      <w:pPr>
        <w:jc w:val="right"/>
        <w:rPr>
          <w:noProof/>
          <w:sz w:val="20"/>
        </w:rPr>
      </w:pPr>
    </w:p>
    <w:p w14:paraId="184A3AAB" w14:textId="11E071AA" w:rsidR="003313E5" w:rsidRPr="00732D9A" w:rsidRDefault="000941A7" w:rsidP="000941A7">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4503"/>
        <w:gridCol w:w="1516"/>
        <w:gridCol w:w="927"/>
        <w:gridCol w:w="927"/>
        <w:gridCol w:w="927"/>
        <w:gridCol w:w="927"/>
        <w:gridCol w:w="927"/>
        <w:gridCol w:w="927"/>
        <w:gridCol w:w="927"/>
        <w:gridCol w:w="1712"/>
      </w:tblGrid>
      <w:tr w:rsidR="000941A7" w:rsidRPr="00732D9A" w14:paraId="0FB533AD" w14:textId="77777777" w:rsidTr="000941A7">
        <w:trPr>
          <w:trHeight w:val="289"/>
        </w:trPr>
        <w:tc>
          <w:tcPr>
            <w:tcW w:w="211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2B96D63" w14:textId="77777777" w:rsidR="000941A7" w:rsidRPr="00732D9A" w:rsidRDefault="000941A7" w:rsidP="000941A7">
            <w:pPr>
              <w:spacing w:before="0" w:after="0"/>
              <w:jc w:val="center"/>
              <w:rPr>
                <w:rFonts w:eastAsia="Times New Roman"/>
                <w:noProof/>
                <w:color w:val="000000"/>
                <w:szCs w:val="24"/>
              </w:rPr>
            </w:pPr>
            <w:r w:rsidRPr="00732D9A">
              <w:rPr>
                <w:noProof/>
                <w:color w:val="000000"/>
              </w:rPr>
              <w:t xml:space="preserve"> </w:t>
            </w:r>
          </w:p>
        </w:tc>
        <w:tc>
          <w:tcPr>
            <w:tcW w:w="326" w:type="pct"/>
            <w:tcBorders>
              <w:top w:val="single" w:sz="8" w:space="0" w:color="auto"/>
              <w:left w:val="nil"/>
              <w:bottom w:val="nil"/>
              <w:right w:val="single" w:sz="8" w:space="0" w:color="auto"/>
            </w:tcBorders>
            <w:vAlign w:val="center"/>
            <w:hideMark/>
          </w:tcPr>
          <w:p w14:paraId="4EA662CE"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60294BC8"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2B4D146B"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471521C4"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10BD2E54"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44A702FD"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326" w:type="pct"/>
            <w:tcBorders>
              <w:top w:val="single" w:sz="8" w:space="0" w:color="auto"/>
              <w:left w:val="nil"/>
              <w:bottom w:val="nil"/>
              <w:right w:val="single" w:sz="8" w:space="0" w:color="auto"/>
            </w:tcBorders>
            <w:vAlign w:val="center"/>
            <w:hideMark/>
          </w:tcPr>
          <w:p w14:paraId="562A7FC5" w14:textId="77777777" w:rsidR="000941A7" w:rsidRPr="00732D9A" w:rsidRDefault="000941A7" w:rsidP="000941A7">
            <w:pPr>
              <w:spacing w:before="0" w:after="0"/>
              <w:jc w:val="center"/>
              <w:rPr>
                <w:rFonts w:eastAsia="Times New Roman"/>
                <w:noProof/>
                <w:color w:val="000000"/>
                <w:sz w:val="20"/>
                <w:szCs w:val="20"/>
              </w:rPr>
            </w:pPr>
            <w:r w:rsidRPr="00732D9A">
              <w:rPr>
                <w:noProof/>
                <w:color w:val="000000"/>
                <w:sz w:val="20"/>
              </w:rPr>
              <w:t>Année</w:t>
            </w:r>
          </w:p>
        </w:tc>
        <w:tc>
          <w:tcPr>
            <w:tcW w:w="603" w:type="pct"/>
            <w:vMerge w:val="restart"/>
            <w:tcBorders>
              <w:top w:val="single" w:sz="8" w:space="0" w:color="auto"/>
              <w:left w:val="single" w:sz="8" w:space="0" w:color="auto"/>
              <w:bottom w:val="single" w:sz="8" w:space="0" w:color="000000"/>
              <w:right w:val="single" w:sz="8" w:space="0" w:color="auto"/>
            </w:tcBorders>
            <w:vAlign w:val="center"/>
            <w:hideMark/>
          </w:tcPr>
          <w:p w14:paraId="37749CEE"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TOTAL CFP</w:t>
            </w:r>
            <w:r w:rsidRPr="00732D9A">
              <w:rPr>
                <w:noProof/>
              </w:rPr>
              <w:t xml:space="preserve"> </w:t>
            </w:r>
            <w:r w:rsidRPr="00732D9A">
              <w:rPr>
                <w:noProof/>
              </w:rPr>
              <w:cr/>
            </w:r>
            <w:r w:rsidRPr="00732D9A">
              <w:rPr>
                <w:noProof/>
              </w:rPr>
              <w:br/>
            </w:r>
            <w:r w:rsidRPr="00732D9A">
              <w:rPr>
                <w:b/>
                <w:noProof/>
                <w:color w:val="000000"/>
                <w:sz w:val="20"/>
              </w:rPr>
              <w:t>2028-2034</w:t>
            </w:r>
            <w:r w:rsidRPr="00732D9A">
              <w:rPr>
                <w:rStyle w:val="FootnoteReference"/>
                <w:rFonts w:eastAsia="Times New Roman"/>
                <w:b/>
                <w:bCs/>
                <w:noProof/>
                <w:color w:val="000000"/>
                <w:sz w:val="20"/>
                <w:szCs w:val="20"/>
                <w:lang w:eastAsia="en-IE"/>
              </w:rPr>
              <w:footnoteReference w:id="82"/>
            </w:r>
          </w:p>
        </w:tc>
      </w:tr>
      <w:tr w:rsidR="000941A7" w:rsidRPr="00732D9A" w14:paraId="719F265C" w14:textId="77777777" w:rsidTr="000941A7">
        <w:trPr>
          <w:trHeight w:val="300"/>
        </w:trPr>
        <w:tc>
          <w:tcPr>
            <w:tcW w:w="2116" w:type="pct"/>
            <w:gridSpan w:val="2"/>
            <w:vMerge/>
            <w:tcBorders>
              <w:top w:val="single" w:sz="8" w:space="0" w:color="auto"/>
              <w:left w:val="single" w:sz="8" w:space="0" w:color="auto"/>
              <w:bottom w:val="single" w:sz="8" w:space="0" w:color="auto"/>
              <w:right w:val="single" w:sz="8" w:space="0" w:color="auto"/>
            </w:tcBorders>
            <w:vAlign w:val="center"/>
            <w:hideMark/>
          </w:tcPr>
          <w:p w14:paraId="358C25D3" w14:textId="77777777" w:rsidR="000941A7" w:rsidRPr="00732D9A" w:rsidRDefault="000941A7" w:rsidP="000941A7">
            <w:pPr>
              <w:spacing w:before="0" w:after="0"/>
              <w:jc w:val="left"/>
              <w:rPr>
                <w:rFonts w:eastAsia="Times New Roman"/>
                <w:noProof/>
                <w:color w:val="000000"/>
                <w:szCs w:val="24"/>
                <w:lang w:eastAsia="en-IE"/>
              </w:rPr>
            </w:pPr>
          </w:p>
        </w:tc>
        <w:tc>
          <w:tcPr>
            <w:tcW w:w="326" w:type="pct"/>
            <w:tcBorders>
              <w:top w:val="nil"/>
              <w:left w:val="nil"/>
              <w:bottom w:val="single" w:sz="8" w:space="0" w:color="auto"/>
              <w:right w:val="single" w:sz="8" w:space="0" w:color="auto"/>
            </w:tcBorders>
            <w:vAlign w:val="center"/>
            <w:hideMark/>
          </w:tcPr>
          <w:p w14:paraId="5C93EF69"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2028</w:t>
            </w:r>
          </w:p>
        </w:tc>
        <w:tc>
          <w:tcPr>
            <w:tcW w:w="326" w:type="pct"/>
            <w:tcBorders>
              <w:top w:val="nil"/>
              <w:left w:val="nil"/>
              <w:bottom w:val="single" w:sz="8" w:space="0" w:color="auto"/>
              <w:right w:val="single" w:sz="8" w:space="0" w:color="auto"/>
            </w:tcBorders>
            <w:vAlign w:val="center"/>
            <w:hideMark/>
          </w:tcPr>
          <w:p w14:paraId="32546E3B"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2029</w:t>
            </w:r>
          </w:p>
        </w:tc>
        <w:tc>
          <w:tcPr>
            <w:tcW w:w="326" w:type="pct"/>
            <w:tcBorders>
              <w:top w:val="nil"/>
              <w:left w:val="nil"/>
              <w:bottom w:val="single" w:sz="8" w:space="0" w:color="auto"/>
              <w:right w:val="single" w:sz="8" w:space="0" w:color="auto"/>
            </w:tcBorders>
            <w:vAlign w:val="center"/>
            <w:hideMark/>
          </w:tcPr>
          <w:p w14:paraId="6C15942A"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2030</w:t>
            </w:r>
          </w:p>
        </w:tc>
        <w:tc>
          <w:tcPr>
            <w:tcW w:w="326" w:type="pct"/>
            <w:tcBorders>
              <w:top w:val="nil"/>
              <w:left w:val="nil"/>
              <w:bottom w:val="single" w:sz="8" w:space="0" w:color="auto"/>
              <w:right w:val="single" w:sz="8" w:space="0" w:color="auto"/>
            </w:tcBorders>
            <w:vAlign w:val="center"/>
            <w:hideMark/>
          </w:tcPr>
          <w:p w14:paraId="12E1FB15"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2031</w:t>
            </w:r>
          </w:p>
        </w:tc>
        <w:tc>
          <w:tcPr>
            <w:tcW w:w="326" w:type="pct"/>
            <w:tcBorders>
              <w:top w:val="nil"/>
              <w:left w:val="nil"/>
              <w:bottom w:val="single" w:sz="8" w:space="0" w:color="auto"/>
              <w:right w:val="single" w:sz="8" w:space="0" w:color="auto"/>
            </w:tcBorders>
            <w:vAlign w:val="center"/>
            <w:hideMark/>
          </w:tcPr>
          <w:p w14:paraId="026A16CB"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2032</w:t>
            </w:r>
          </w:p>
        </w:tc>
        <w:tc>
          <w:tcPr>
            <w:tcW w:w="326" w:type="pct"/>
            <w:tcBorders>
              <w:top w:val="nil"/>
              <w:left w:val="nil"/>
              <w:bottom w:val="single" w:sz="8" w:space="0" w:color="auto"/>
              <w:right w:val="single" w:sz="8" w:space="0" w:color="auto"/>
            </w:tcBorders>
            <w:vAlign w:val="center"/>
            <w:hideMark/>
          </w:tcPr>
          <w:p w14:paraId="3AF92C22"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2033</w:t>
            </w:r>
          </w:p>
        </w:tc>
        <w:tc>
          <w:tcPr>
            <w:tcW w:w="326" w:type="pct"/>
            <w:tcBorders>
              <w:top w:val="nil"/>
              <w:left w:val="nil"/>
              <w:bottom w:val="single" w:sz="8" w:space="0" w:color="auto"/>
              <w:right w:val="single" w:sz="8" w:space="0" w:color="auto"/>
            </w:tcBorders>
            <w:vAlign w:val="center"/>
            <w:hideMark/>
          </w:tcPr>
          <w:p w14:paraId="041EEBA6" w14:textId="77777777" w:rsidR="000941A7" w:rsidRPr="00732D9A" w:rsidRDefault="000941A7" w:rsidP="000941A7">
            <w:pPr>
              <w:spacing w:before="0" w:after="0"/>
              <w:jc w:val="center"/>
              <w:rPr>
                <w:rFonts w:eastAsia="Times New Roman"/>
                <w:b/>
                <w:bCs/>
                <w:noProof/>
                <w:color w:val="000000"/>
                <w:sz w:val="20"/>
                <w:szCs w:val="20"/>
              </w:rPr>
            </w:pPr>
            <w:r w:rsidRPr="00732D9A">
              <w:rPr>
                <w:b/>
                <w:noProof/>
                <w:color w:val="000000"/>
                <w:sz w:val="20"/>
              </w:rPr>
              <w:t>2034</w:t>
            </w:r>
          </w:p>
        </w:tc>
        <w:tc>
          <w:tcPr>
            <w:tcW w:w="603" w:type="pct"/>
            <w:vMerge/>
            <w:tcBorders>
              <w:top w:val="single" w:sz="8" w:space="0" w:color="auto"/>
              <w:left w:val="single" w:sz="8" w:space="0" w:color="auto"/>
              <w:bottom w:val="single" w:sz="8" w:space="0" w:color="000000"/>
              <w:right w:val="single" w:sz="8" w:space="0" w:color="auto"/>
            </w:tcBorders>
            <w:vAlign w:val="center"/>
            <w:hideMark/>
          </w:tcPr>
          <w:p w14:paraId="3142FAE0" w14:textId="77777777" w:rsidR="000941A7" w:rsidRPr="00732D9A" w:rsidRDefault="000941A7" w:rsidP="000941A7">
            <w:pPr>
              <w:spacing w:before="0" w:after="0"/>
              <w:jc w:val="left"/>
              <w:rPr>
                <w:rFonts w:eastAsia="Times New Roman"/>
                <w:b/>
                <w:bCs/>
                <w:noProof/>
                <w:color w:val="000000"/>
                <w:sz w:val="20"/>
                <w:szCs w:val="20"/>
                <w:lang w:eastAsia="en-IE"/>
              </w:rPr>
            </w:pPr>
          </w:p>
        </w:tc>
      </w:tr>
      <w:tr w:rsidR="00BF23C7" w:rsidRPr="00732D9A" w14:paraId="09FC8063" w14:textId="77777777" w:rsidTr="000941A7">
        <w:trPr>
          <w:trHeight w:val="567"/>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18F801A" w14:textId="46F842ED" w:rsidR="000941A7" w:rsidRPr="00732D9A" w:rsidRDefault="000941A7" w:rsidP="000941A7">
            <w:pPr>
              <w:spacing w:before="0" w:after="0"/>
              <w:jc w:val="center"/>
              <w:rPr>
                <w:rFonts w:eastAsia="Times New Roman"/>
                <w:b/>
                <w:bCs/>
                <w:noProof/>
                <w:color w:val="000000"/>
                <w:sz w:val="22"/>
              </w:rPr>
            </w:pPr>
            <w:r w:rsidRPr="00732D9A">
              <w:rPr>
                <w:b/>
                <w:noProof/>
                <w:color w:val="000000"/>
                <w:sz w:val="22"/>
              </w:rPr>
              <w:t>TOTAL des crédits</w:t>
            </w:r>
            <w:r w:rsidRPr="00732D9A">
              <w:rPr>
                <w:noProof/>
              </w:rPr>
              <w:t xml:space="preserve"> </w:t>
            </w:r>
            <w:r w:rsidRPr="00732D9A">
              <w:rPr>
                <w:noProof/>
              </w:rPr>
              <w:br/>
            </w:r>
            <w:r w:rsidRPr="00732D9A">
              <w:rPr>
                <w:b/>
                <w:noProof/>
                <w:color w:val="000000"/>
                <w:sz w:val="22"/>
              </w:rPr>
              <w:t>pour les RUBRIQUES 1 à 7</w:t>
            </w:r>
          </w:p>
        </w:tc>
        <w:tc>
          <w:tcPr>
            <w:tcW w:w="533" w:type="pct"/>
            <w:tcBorders>
              <w:top w:val="single" w:sz="8" w:space="0" w:color="auto"/>
              <w:left w:val="nil"/>
              <w:bottom w:val="single" w:sz="8" w:space="0" w:color="auto"/>
              <w:right w:val="single" w:sz="8" w:space="0" w:color="auto"/>
            </w:tcBorders>
            <w:vAlign w:val="center"/>
            <w:hideMark/>
          </w:tcPr>
          <w:p w14:paraId="79320F7A" w14:textId="77777777" w:rsidR="000941A7" w:rsidRPr="00732D9A" w:rsidRDefault="000941A7" w:rsidP="000941A7">
            <w:pPr>
              <w:spacing w:before="0" w:after="0"/>
              <w:rPr>
                <w:rFonts w:eastAsia="Times New Roman"/>
                <w:noProof/>
                <w:color w:val="000000"/>
                <w:sz w:val="18"/>
                <w:szCs w:val="18"/>
              </w:rPr>
            </w:pPr>
            <w:r w:rsidRPr="00732D9A">
              <w:rPr>
                <w:noProof/>
                <w:color w:val="000000"/>
                <w:sz w:val="18"/>
              </w:rPr>
              <w:t>Engagements</w:t>
            </w:r>
          </w:p>
        </w:tc>
        <w:tc>
          <w:tcPr>
            <w:tcW w:w="326" w:type="pct"/>
            <w:tcBorders>
              <w:top w:val="nil"/>
              <w:left w:val="nil"/>
              <w:bottom w:val="single" w:sz="8" w:space="0" w:color="auto"/>
              <w:right w:val="single" w:sz="8" w:space="0" w:color="auto"/>
            </w:tcBorders>
            <w:shd w:val="clear" w:color="000000" w:fill="D9D9D9"/>
            <w:vAlign w:val="center"/>
            <w:hideMark/>
          </w:tcPr>
          <w:p w14:paraId="1088B7B5"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7FC477C"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544F4ABE"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0F34E0B"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105A882"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11E32A9"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1E8A3B8D" w14:textId="77777777" w:rsidR="000941A7" w:rsidRPr="00732D9A" w:rsidRDefault="000941A7" w:rsidP="000941A7">
            <w:pPr>
              <w:spacing w:before="0" w:after="0"/>
              <w:jc w:val="right"/>
              <w:rPr>
                <w:b/>
                <w:bCs/>
                <w:noProof/>
                <w:sz w:val="20"/>
                <w:szCs w:val="20"/>
              </w:rPr>
            </w:pPr>
            <w:r w:rsidRPr="00732D9A">
              <w:rPr>
                <w:b/>
                <w:noProof/>
                <w:sz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381B4A41" w14:textId="77777777" w:rsidR="000941A7" w:rsidRPr="00732D9A" w:rsidRDefault="000941A7" w:rsidP="000941A7">
            <w:pPr>
              <w:spacing w:before="0" w:after="0"/>
              <w:jc w:val="right"/>
              <w:rPr>
                <w:b/>
                <w:bCs/>
                <w:noProof/>
                <w:sz w:val="20"/>
                <w:szCs w:val="20"/>
              </w:rPr>
            </w:pPr>
            <w:r w:rsidRPr="00732D9A">
              <w:rPr>
                <w:b/>
                <w:noProof/>
                <w:sz w:val="20"/>
              </w:rPr>
              <w:t>8,288</w:t>
            </w:r>
          </w:p>
        </w:tc>
      </w:tr>
      <w:tr w:rsidR="00BF23C7" w:rsidRPr="00732D9A" w14:paraId="4B821276" w14:textId="77777777" w:rsidTr="000941A7">
        <w:trPr>
          <w:trHeight w:val="540"/>
        </w:trPr>
        <w:tc>
          <w:tcPr>
            <w:tcW w:w="1583"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6D60CD0" w14:textId="77777777" w:rsidR="000941A7" w:rsidRPr="00732D9A" w:rsidRDefault="000941A7" w:rsidP="000941A7">
            <w:pPr>
              <w:spacing w:before="0" w:after="0"/>
              <w:jc w:val="center"/>
              <w:rPr>
                <w:rFonts w:eastAsia="Times New Roman"/>
                <w:noProof/>
                <w:color w:val="000000"/>
                <w:sz w:val="22"/>
              </w:rPr>
            </w:pPr>
            <w:r w:rsidRPr="00732D9A">
              <w:rPr>
                <w:noProof/>
                <w:color w:val="000000"/>
                <w:sz w:val="22"/>
              </w:rPr>
              <w:t>du cadre financier pluriannuel</w:t>
            </w:r>
            <w:r w:rsidRPr="00732D9A">
              <w:rPr>
                <w:b/>
                <w:noProof/>
                <w:color w:val="000000"/>
                <w:sz w:val="22"/>
              </w:rPr>
              <w:t xml:space="preserve"> </w:t>
            </w:r>
          </w:p>
        </w:tc>
        <w:tc>
          <w:tcPr>
            <w:tcW w:w="533" w:type="pct"/>
            <w:tcBorders>
              <w:top w:val="single" w:sz="8" w:space="0" w:color="auto"/>
              <w:left w:val="nil"/>
              <w:bottom w:val="single" w:sz="8" w:space="0" w:color="auto"/>
              <w:right w:val="single" w:sz="8" w:space="0" w:color="auto"/>
            </w:tcBorders>
            <w:vAlign w:val="center"/>
            <w:hideMark/>
          </w:tcPr>
          <w:p w14:paraId="4CB65FE7" w14:textId="77777777" w:rsidR="000941A7" w:rsidRPr="00732D9A" w:rsidRDefault="000941A7" w:rsidP="000941A7">
            <w:pPr>
              <w:spacing w:before="0" w:after="0"/>
              <w:rPr>
                <w:rFonts w:eastAsia="Times New Roman"/>
                <w:noProof/>
                <w:color w:val="000000"/>
                <w:sz w:val="18"/>
                <w:szCs w:val="18"/>
              </w:rPr>
            </w:pPr>
            <w:r w:rsidRPr="00732D9A">
              <w:rPr>
                <w:noProof/>
                <w:color w:val="000000"/>
                <w:sz w:val="18"/>
              </w:rPr>
              <w:t>Paiements</w:t>
            </w:r>
          </w:p>
        </w:tc>
        <w:tc>
          <w:tcPr>
            <w:tcW w:w="326" w:type="pct"/>
            <w:tcBorders>
              <w:top w:val="nil"/>
              <w:left w:val="nil"/>
              <w:bottom w:val="single" w:sz="8" w:space="0" w:color="auto"/>
              <w:right w:val="single" w:sz="8" w:space="0" w:color="auto"/>
            </w:tcBorders>
            <w:shd w:val="clear" w:color="000000" w:fill="D9D9D9"/>
            <w:vAlign w:val="center"/>
            <w:hideMark/>
          </w:tcPr>
          <w:p w14:paraId="0B8A00AE"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848CBEE"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BC4568F"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26397169"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04C08B3C"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69AA3836" w14:textId="77777777" w:rsidR="000941A7" w:rsidRPr="00732D9A" w:rsidRDefault="000941A7" w:rsidP="000941A7">
            <w:pPr>
              <w:spacing w:before="0" w:after="0"/>
              <w:jc w:val="right"/>
              <w:rPr>
                <w:b/>
                <w:bCs/>
                <w:noProof/>
                <w:sz w:val="20"/>
                <w:szCs w:val="20"/>
              </w:rPr>
            </w:pPr>
            <w:r w:rsidRPr="00732D9A">
              <w:rPr>
                <w:b/>
                <w:noProof/>
                <w:sz w:val="20"/>
              </w:rPr>
              <w:t>1,184</w:t>
            </w:r>
          </w:p>
        </w:tc>
        <w:tc>
          <w:tcPr>
            <w:tcW w:w="326" w:type="pct"/>
            <w:tcBorders>
              <w:top w:val="nil"/>
              <w:left w:val="nil"/>
              <w:bottom w:val="single" w:sz="8" w:space="0" w:color="auto"/>
              <w:right w:val="single" w:sz="8" w:space="0" w:color="auto"/>
            </w:tcBorders>
            <w:shd w:val="clear" w:color="000000" w:fill="D9D9D9"/>
            <w:vAlign w:val="center"/>
            <w:hideMark/>
          </w:tcPr>
          <w:p w14:paraId="423B7165" w14:textId="77777777" w:rsidR="000941A7" w:rsidRPr="00732D9A" w:rsidRDefault="000941A7" w:rsidP="000941A7">
            <w:pPr>
              <w:spacing w:before="0" w:after="0"/>
              <w:jc w:val="right"/>
              <w:rPr>
                <w:b/>
                <w:bCs/>
                <w:noProof/>
                <w:sz w:val="20"/>
                <w:szCs w:val="20"/>
              </w:rPr>
            </w:pPr>
            <w:r w:rsidRPr="00732D9A">
              <w:rPr>
                <w:b/>
                <w:noProof/>
                <w:sz w:val="20"/>
              </w:rPr>
              <w:t>1,184</w:t>
            </w:r>
          </w:p>
        </w:tc>
        <w:tc>
          <w:tcPr>
            <w:tcW w:w="603" w:type="pct"/>
            <w:tcBorders>
              <w:top w:val="nil"/>
              <w:left w:val="nil"/>
              <w:bottom w:val="single" w:sz="8" w:space="0" w:color="auto"/>
              <w:right w:val="single" w:sz="8" w:space="0" w:color="auto"/>
            </w:tcBorders>
            <w:shd w:val="clear" w:color="000000" w:fill="D9D9D9"/>
            <w:vAlign w:val="center"/>
            <w:hideMark/>
          </w:tcPr>
          <w:p w14:paraId="7D79FA3E" w14:textId="77777777" w:rsidR="000941A7" w:rsidRPr="00732D9A" w:rsidRDefault="000941A7" w:rsidP="000941A7">
            <w:pPr>
              <w:spacing w:before="0" w:after="0"/>
              <w:jc w:val="right"/>
              <w:rPr>
                <w:b/>
                <w:bCs/>
                <w:noProof/>
                <w:sz w:val="20"/>
                <w:szCs w:val="20"/>
              </w:rPr>
            </w:pPr>
            <w:r w:rsidRPr="00732D9A">
              <w:rPr>
                <w:b/>
                <w:noProof/>
                <w:sz w:val="20"/>
              </w:rPr>
              <w:t>8,288</w:t>
            </w:r>
          </w:p>
        </w:tc>
      </w:tr>
    </w:tbl>
    <w:p w14:paraId="580B0F1C" w14:textId="77777777" w:rsidR="000941A7" w:rsidRPr="00732D9A" w:rsidRDefault="000941A7" w:rsidP="00A766D7">
      <w:pPr>
        <w:rPr>
          <w:noProof/>
        </w:rPr>
      </w:pPr>
    </w:p>
    <w:p w14:paraId="3B4F81A2" w14:textId="77777777" w:rsidR="00CA7C31" w:rsidRPr="00732D9A" w:rsidRDefault="00CA7C31" w:rsidP="00CA7C31">
      <w:pPr>
        <w:pStyle w:val="ManualHeading3"/>
        <w:ind w:left="0" w:firstLine="0"/>
        <w:rPr>
          <w:bCs/>
          <w:noProof/>
          <w:szCs w:val="24"/>
        </w:rPr>
      </w:pPr>
      <w:r w:rsidRPr="00732D9A">
        <w:rPr>
          <w:noProof/>
        </w:rPr>
        <w:t>3.2.2.</w:t>
      </w:r>
      <w:r w:rsidRPr="00732D9A">
        <w:rPr>
          <w:noProof/>
        </w:rPr>
        <w:tab/>
        <w:t>Estimation des réalisations financées à partir des crédits opérationnels (cette section ne doit pas être complétée pour les organismes décentralisés)</w:t>
      </w:r>
    </w:p>
    <w:p w14:paraId="742D033B" w14:textId="77777777" w:rsidR="00CA7C31" w:rsidRPr="00732D9A" w:rsidRDefault="00CA7C31" w:rsidP="00CA7C31">
      <w:pPr>
        <w:jc w:val="right"/>
        <w:rPr>
          <w:noProof/>
          <w:sz w:val="20"/>
        </w:rPr>
      </w:pPr>
      <w:r w:rsidRPr="00732D9A">
        <w:rPr>
          <w:noProof/>
          <w:sz w:val="20"/>
        </w:rPr>
        <w:t>Crédits d’engagement en Mio EUR (à la 3</w:t>
      </w:r>
      <w:r w:rsidRPr="00732D9A">
        <w:rPr>
          <w:noProof/>
          <w:sz w:val="20"/>
          <w:vertAlign w:val="superscript"/>
        </w:rPr>
        <w:t>e</w:t>
      </w:r>
      <w:r w:rsidRPr="00732D9A">
        <w:rPr>
          <w:noProof/>
          <w:sz w:val="20"/>
        </w:rPr>
        <w:t>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6"/>
        <w:gridCol w:w="754"/>
        <w:gridCol w:w="734"/>
        <w:gridCol w:w="526"/>
        <w:gridCol w:w="754"/>
        <w:gridCol w:w="563"/>
        <w:gridCol w:w="754"/>
        <w:gridCol w:w="754"/>
        <w:gridCol w:w="754"/>
        <w:gridCol w:w="941"/>
        <w:gridCol w:w="51"/>
        <w:gridCol w:w="702"/>
        <w:gridCol w:w="563"/>
        <w:gridCol w:w="677"/>
        <w:gridCol w:w="452"/>
        <w:gridCol w:w="754"/>
        <w:gridCol w:w="563"/>
        <w:gridCol w:w="754"/>
        <w:gridCol w:w="754"/>
        <w:gridCol w:w="930"/>
      </w:tblGrid>
      <w:tr w:rsidR="00CA7C31" w:rsidRPr="00732D9A" w14:paraId="6AE074A4" w14:textId="77777777" w:rsidTr="00883E25">
        <w:trPr>
          <w:jc w:val="center"/>
        </w:trPr>
        <w:tc>
          <w:tcPr>
            <w:tcW w:w="523" w:type="pct"/>
            <w:vMerge w:val="restart"/>
            <w:vAlign w:val="center"/>
          </w:tcPr>
          <w:p w14:paraId="7DE1F766" w14:textId="77777777" w:rsidR="00CA7C31" w:rsidRPr="00732D9A" w:rsidRDefault="00CA7C31">
            <w:pPr>
              <w:ind w:right="-29"/>
              <w:jc w:val="center"/>
              <w:rPr>
                <w:b/>
                <w:noProof/>
                <w:sz w:val="18"/>
                <w:szCs w:val="18"/>
              </w:rPr>
            </w:pPr>
            <w:r w:rsidRPr="00732D9A">
              <w:rPr>
                <w:b/>
                <w:noProof/>
                <w:sz w:val="18"/>
              </w:rPr>
              <w:t xml:space="preserve">Indiquer les objectifs et les réalisations </w:t>
            </w:r>
          </w:p>
          <w:p w14:paraId="60DD05C1" w14:textId="77777777" w:rsidR="00CA7C31" w:rsidRPr="00732D9A" w:rsidRDefault="00CA7C31">
            <w:pPr>
              <w:ind w:right="-29"/>
              <w:jc w:val="center"/>
              <w:rPr>
                <w:noProof/>
                <w:sz w:val="18"/>
                <w:szCs w:val="18"/>
              </w:rPr>
            </w:pPr>
            <w:r w:rsidRPr="00732D9A">
              <w:rPr>
                <w:rFonts w:ascii="Wingdings" w:hAnsi="Wingdings"/>
                <w:noProof/>
                <w:sz w:val="18"/>
              </w:rPr>
              <w:t></w:t>
            </w:r>
          </w:p>
        </w:tc>
        <w:tc>
          <w:tcPr>
            <w:tcW w:w="265" w:type="pct"/>
            <w:vAlign w:val="center"/>
          </w:tcPr>
          <w:p w14:paraId="1A32A724" w14:textId="77777777" w:rsidR="00CA7C31" w:rsidRPr="00732D9A" w:rsidRDefault="00CA7C31">
            <w:pPr>
              <w:ind w:right="-29"/>
              <w:jc w:val="center"/>
              <w:rPr>
                <w:noProof/>
                <w:sz w:val="18"/>
                <w:szCs w:val="18"/>
              </w:rPr>
            </w:pPr>
          </w:p>
        </w:tc>
        <w:tc>
          <w:tcPr>
            <w:tcW w:w="258" w:type="pct"/>
            <w:vAlign w:val="center"/>
          </w:tcPr>
          <w:p w14:paraId="2442C461" w14:textId="77777777" w:rsidR="00CA7C31" w:rsidRPr="00732D9A" w:rsidRDefault="00CA7C31">
            <w:pPr>
              <w:ind w:right="-29"/>
              <w:jc w:val="center"/>
              <w:rPr>
                <w:noProof/>
                <w:sz w:val="18"/>
                <w:szCs w:val="18"/>
              </w:rPr>
            </w:pPr>
          </w:p>
        </w:tc>
        <w:tc>
          <w:tcPr>
            <w:tcW w:w="450" w:type="pct"/>
            <w:gridSpan w:val="2"/>
            <w:tcBorders>
              <w:left w:val="nil"/>
            </w:tcBorders>
            <w:vAlign w:val="center"/>
          </w:tcPr>
          <w:p w14:paraId="30748ED6" w14:textId="77777777" w:rsidR="00CA7C31" w:rsidRPr="00732D9A" w:rsidRDefault="00CA7C31">
            <w:pPr>
              <w:ind w:right="-29"/>
              <w:jc w:val="center"/>
              <w:rPr>
                <w:noProof/>
                <w:sz w:val="18"/>
                <w:szCs w:val="18"/>
              </w:rPr>
            </w:pPr>
            <w:r w:rsidRPr="00732D9A">
              <w:rPr>
                <w:noProof/>
                <w:sz w:val="18"/>
              </w:rPr>
              <w:t xml:space="preserve">Année </w:t>
            </w:r>
            <w:r w:rsidRPr="00732D9A">
              <w:rPr>
                <w:noProof/>
              </w:rPr>
              <w:cr/>
            </w:r>
            <w:r w:rsidRPr="00732D9A">
              <w:rPr>
                <w:noProof/>
              </w:rPr>
              <w:br/>
            </w:r>
            <w:r w:rsidRPr="00732D9A">
              <w:rPr>
                <w:b/>
                <w:noProof/>
                <w:sz w:val="18"/>
              </w:rPr>
              <w:t>2024</w:t>
            </w:r>
          </w:p>
        </w:tc>
        <w:tc>
          <w:tcPr>
            <w:tcW w:w="463" w:type="pct"/>
            <w:gridSpan w:val="2"/>
            <w:vAlign w:val="center"/>
          </w:tcPr>
          <w:p w14:paraId="02987A2B" w14:textId="77777777" w:rsidR="00CA7C31" w:rsidRPr="00732D9A" w:rsidRDefault="00CA7C31">
            <w:pPr>
              <w:ind w:right="-29"/>
              <w:jc w:val="center"/>
              <w:rPr>
                <w:noProof/>
                <w:sz w:val="18"/>
                <w:szCs w:val="18"/>
              </w:rPr>
            </w:pPr>
            <w:r w:rsidRPr="00732D9A">
              <w:rPr>
                <w:noProof/>
                <w:sz w:val="18"/>
              </w:rPr>
              <w:t xml:space="preserve">Année </w:t>
            </w:r>
            <w:r w:rsidRPr="00732D9A">
              <w:rPr>
                <w:noProof/>
              </w:rPr>
              <w:cr/>
            </w:r>
            <w:r w:rsidRPr="00732D9A">
              <w:rPr>
                <w:noProof/>
              </w:rPr>
              <w:br/>
            </w:r>
            <w:r w:rsidRPr="00732D9A">
              <w:rPr>
                <w:b/>
                <w:noProof/>
                <w:sz w:val="18"/>
              </w:rPr>
              <w:t>2025</w:t>
            </w:r>
          </w:p>
        </w:tc>
        <w:tc>
          <w:tcPr>
            <w:tcW w:w="530" w:type="pct"/>
            <w:gridSpan w:val="2"/>
            <w:vAlign w:val="center"/>
          </w:tcPr>
          <w:p w14:paraId="2E936F9B" w14:textId="77777777" w:rsidR="00CA7C31" w:rsidRPr="00732D9A" w:rsidRDefault="00CA7C31">
            <w:pPr>
              <w:ind w:right="-29"/>
              <w:jc w:val="center"/>
              <w:rPr>
                <w:noProof/>
                <w:sz w:val="18"/>
                <w:szCs w:val="18"/>
              </w:rPr>
            </w:pPr>
            <w:r w:rsidRPr="00732D9A">
              <w:rPr>
                <w:noProof/>
                <w:sz w:val="18"/>
              </w:rPr>
              <w:t xml:space="preserve">Année </w:t>
            </w:r>
            <w:r w:rsidRPr="00732D9A">
              <w:rPr>
                <w:noProof/>
              </w:rPr>
              <w:cr/>
            </w:r>
            <w:r w:rsidRPr="00732D9A">
              <w:rPr>
                <w:noProof/>
              </w:rPr>
              <w:br/>
            </w:r>
            <w:r w:rsidRPr="00732D9A">
              <w:rPr>
                <w:b/>
                <w:noProof/>
                <w:sz w:val="18"/>
              </w:rPr>
              <w:t>2026</w:t>
            </w:r>
          </w:p>
        </w:tc>
        <w:tc>
          <w:tcPr>
            <w:tcW w:w="596" w:type="pct"/>
            <w:gridSpan w:val="3"/>
            <w:vAlign w:val="center"/>
          </w:tcPr>
          <w:p w14:paraId="692D58B0" w14:textId="77777777" w:rsidR="00CA7C31" w:rsidRPr="00732D9A" w:rsidRDefault="00CA7C31">
            <w:pPr>
              <w:ind w:right="-29"/>
              <w:jc w:val="center"/>
              <w:rPr>
                <w:noProof/>
                <w:sz w:val="18"/>
                <w:szCs w:val="18"/>
              </w:rPr>
            </w:pPr>
            <w:r w:rsidRPr="00732D9A">
              <w:rPr>
                <w:noProof/>
                <w:sz w:val="18"/>
              </w:rPr>
              <w:t xml:space="preserve">Année </w:t>
            </w:r>
            <w:r w:rsidRPr="00732D9A">
              <w:rPr>
                <w:noProof/>
              </w:rPr>
              <w:cr/>
            </w:r>
            <w:r w:rsidRPr="00732D9A">
              <w:rPr>
                <w:noProof/>
              </w:rPr>
              <w:br/>
            </w:r>
            <w:r w:rsidRPr="00732D9A">
              <w:rPr>
                <w:b/>
                <w:noProof/>
                <w:sz w:val="18"/>
              </w:rPr>
              <w:t>2027</w:t>
            </w:r>
          </w:p>
        </w:tc>
        <w:tc>
          <w:tcPr>
            <w:tcW w:w="1323" w:type="pct"/>
            <w:gridSpan w:val="6"/>
            <w:vAlign w:val="center"/>
          </w:tcPr>
          <w:p w14:paraId="0BB03E71" w14:textId="77777777" w:rsidR="00CA7C31" w:rsidRPr="00732D9A" w:rsidRDefault="00CA7C31">
            <w:pPr>
              <w:jc w:val="center"/>
              <w:rPr>
                <w:noProof/>
                <w:sz w:val="18"/>
                <w:szCs w:val="18"/>
              </w:rPr>
            </w:pPr>
            <w:r w:rsidRPr="00732D9A">
              <w:rPr>
                <w:noProof/>
                <w:sz w:val="18"/>
              </w:rPr>
              <w:t>Insérer autant d’années que nécessaire, pour refléter la durée de l’incidence (cf. section 1.6)</w:t>
            </w:r>
          </w:p>
        </w:tc>
        <w:tc>
          <w:tcPr>
            <w:tcW w:w="592" w:type="pct"/>
            <w:gridSpan w:val="2"/>
            <w:tcBorders>
              <w:left w:val="nil"/>
              <w:bottom w:val="nil"/>
            </w:tcBorders>
            <w:vAlign w:val="center"/>
          </w:tcPr>
          <w:p w14:paraId="03583B1D" w14:textId="77777777" w:rsidR="00CA7C31" w:rsidRPr="00732D9A" w:rsidRDefault="00CA7C31">
            <w:pPr>
              <w:ind w:right="-29"/>
              <w:jc w:val="center"/>
              <w:rPr>
                <w:noProof/>
                <w:sz w:val="18"/>
                <w:szCs w:val="18"/>
              </w:rPr>
            </w:pPr>
            <w:r w:rsidRPr="00732D9A">
              <w:rPr>
                <w:b/>
                <w:noProof/>
                <w:sz w:val="18"/>
              </w:rPr>
              <w:t>TOTAL</w:t>
            </w:r>
          </w:p>
        </w:tc>
      </w:tr>
      <w:tr w:rsidR="00CA7C31" w:rsidRPr="00732D9A" w14:paraId="3BCF394B" w14:textId="77777777">
        <w:trPr>
          <w:jc w:val="center"/>
        </w:trPr>
        <w:tc>
          <w:tcPr>
            <w:tcW w:w="523" w:type="pct"/>
            <w:vMerge/>
            <w:vAlign w:val="center"/>
          </w:tcPr>
          <w:p w14:paraId="3FE79EC1" w14:textId="77777777" w:rsidR="00CA7C31" w:rsidRPr="00732D9A" w:rsidRDefault="00CA7C31">
            <w:pPr>
              <w:ind w:right="-29"/>
              <w:jc w:val="center"/>
              <w:rPr>
                <w:noProof/>
                <w:sz w:val="18"/>
                <w:szCs w:val="18"/>
              </w:rPr>
            </w:pPr>
          </w:p>
        </w:tc>
        <w:tc>
          <w:tcPr>
            <w:tcW w:w="4477" w:type="pct"/>
            <w:gridSpan w:val="19"/>
            <w:vAlign w:val="center"/>
          </w:tcPr>
          <w:p w14:paraId="33C23099" w14:textId="77777777" w:rsidR="00CA7C31" w:rsidRPr="00732D9A" w:rsidRDefault="00CA7C31">
            <w:pPr>
              <w:spacing w:before="60" w:after="60"/>
              <w:ind w:right="-29"/>
              <w:jc w:val="center"/>
              <w:rPr>
                <w:noProof/>
                <w:sz w:val="18"/>
                <w:szCs w:val="18"/>
              </w:rPr>
            </w:pPr>
            <w:r w:rsidRPr="00732D9A">
              <w:rPr>
                <w:b/>
                <w:noProof/>
                <w:sz w:val="18"/>
              </w:rPr>
              <w:t>RÉALISATIONS (outputs)</w:t>
            </w:r>
          </w:p>
        </w:tc>
      </w:tr>
      <w:tr w:rsidR="00CA7C31" w:rsidRPr="00732D9A" w14:paraId="56D352B1" w14:textId="77777777" w:rsidTr="00883E25">
        <w:trPr>
          <w:cantSplit/>
          <w:trHeight w:val="1134"/>
          <w:jc w:val="center"/>
        </w:trPr>
        <w:tc>
          <w:tcPr>
            <w:tcW w:w="523" w:type="pct"/>
            <w:vAlign w:val="center"/>
          </w:tcPr>
          <w:p w14:paraId="17D5D8AD" w14:textId="77777777" w:rsidR="00CA7C31" w:rsidRPr="00732D9A" w:rsidRDefault="00CA7C31">
            <w:pPr>
              <w:rPr>
                <w:noProof/>
                <w:sz w:val="18"/>
                <w:szCs w:val="18"/>
              </w:rPr>
            </w:pPr>
          </w:p>
        </w:tc>
        <w:tc>
          <w:tcPr>
            <w:tcW w:w="265" w:type="pct"/>
            <w:vAlign w:val="center"/>
          </w:tcPr>
          <w:p w14:paraId="01E623F1" w14:textId="77777777" w:rsidR="00CA7C31" w:rsidRPr="00732D9A" w:rsidRDefault="00CA7C31" w:rsidP="001B3D62">
            <w:pPr>
              <w:jc w:val="center"/>
              <w:rPr>
                <w:noProof/>
                <w:sz w:val="18"/>
                <w:szCs w:val="18"/>
              </w:rPr>
            </w:pPr>
            <w:r w:rsidRPr="00732D9A">
              <w:rPr>
                <w:noProof/>
                <w:sz w:val="18"/>
              </w:rPr>
              <w:t>Type</w:t>
            </w:r>
            <w:r w:rsidRPr="00732D9A">
              <w:rPr>
                <w:rStyle w:val="FootnoteReference"/>
                <w:noProof/>
                <w:sz w:val="18"/>
                <w:szCs w:val="18"/>
              </w:rPr>
              <w:footnoteReference w:id="83"/>
            </w:r>
          </w:p>
        </w:tc>
        <w:tc>
          <w:tcPr>
            <w:tcW w:w="258" w:type="pct"/>
            <w:vAlign w:val="center"/>
          </w:tcPr>
          <w:p w14:paraId="74FD85C7" w14:textId="77777777" w:rsidR="00CA7C31" w:rsidRPr="00732D9A" w:rsidRDefault="00CA7C31">
            <w:pPr>
              <w:jc w:val="center"/>
              <w:rPr>
                <w:noProof/>
                <w:sz w:val="18"/>
                <w:szCs w:val="18"/>
              </w:rPr>
            </w:pPr>
            <w:r w:rsidRPr="00732D9A">
              <w:rPr>
                <w:noProof/>
                <w:sz w:val="18"/>
              </w:rPr>
              <w:t>Coût moyen</w:t>
            </w:r>
          </w:p>
        </w:tc>
        <w:tc>
          <w:tcPr>
            <w:tcW w:w="185" w:type="pct"/>
            <w:tcBorders>
              <w:left w:val="nil"/>
              <w:right w:val="dashSmallGap" w:sz="4" w:space="0" w:color="auto"/>
            </w:tcBorders>
            <w:textDirection w:val="btLr"/>
            <w:vAlign w:val="center"/>
          </w:tcPr>
          <w:p w14:paraId="3D020A19" w14:textId="77777777" w:rsidR="00CA7C31" w:rsidRPr="00732D9A" w:rsidRDefault="00CA7C31">
            <w:pPr>
              <w:ind w:left="113" w:right="113"/>
              <w:jc w:val="center"/>
              <w:rPr>
                <w:noProof/>
                <w:sz w:val="18"/>
                <w:szCs w:val="18"/>
              </w:rPr>
            </w:pPr>
            <w:r w:rsidRPr="00732D9A">
              <w:rPr>
                <w:noProof/>
                <w:sz w:val="18"/>
              </w:rPr>
              <w:t>Nbre</w:t>
            </w:r>
          </w:p>
        </w:tc>
        <w:tc>
          <w:tcPr>
            <w:tcW w:w="265" w:type="pct"/>
            <w:tcBorders>
              <w:left w:val="dashSmallGap" w:sz="4" w:space="0" w:color="auto"/>
            </w:tcBorders>
            <w:vAlign w:val="center"/>
          </w:tcPr>
          <w:p w14:paraId="124A33BB" w14:textId="77777777" w:rsidR="00CA7C31" w:rsidRPr="00732D9A" w:rsidRDefault="00CA7C31">
            <w:pPr>
              <w:jc w:val="center"/>
              <w:rPr>
                <w:noProof/>
                <w:sz w:val="18"/>
                <w:szCs w:val="18"/>
              </w:rPr>
            </w:pPr>
            <w:r w:rsidRPr="00732D9A">
              <w:rPr>
                <w:noProof/>
                <w:sz w:val="18"/>
              </w:rPr>
              <w:t>Coût</w:t>
            </w:r>
          </w:p>
        </w:tc>
        <w:tc>
          <w:tcPr>
            <w:tcW w:w="198" w:type="pct"/>
            <w:tcBorders>
              <w:right w:val="dashSmallGap" w:sz="4" w:space="0" w:color="auto"/>
            </w:tcBorders>
            <w:textDirection w:val="btLr"/>
            <w:vAlign w:val="center"/>
          </w:tcPr>
          <w:p w14:paraId="43AF4DD2" w14:textId="77777777" w:rsidR="00CA7C31" w:rsidRPr="00732D9A" w:rsidRDefault="00CA7C31">
            <w:pPr>
              <w:ind w:left="113" w:right="113"/>
              <w:jc w:val="center"/>
              <w:rPr>
                <w:noProof/>
                <w:sz w:val="18"/>
                <w:szCs w:val="18"/>
              </w:rPr>
            </w:pPr>
            <w:r w:rsidRPr="00732D9A">
              <w:rPr>
                <w:noProof/>
                <w:sz w:val="18"/>
              </w:rPr>
              <w:t>Nbre</w:t>
            </w:r>
          </w:p>
        </w:tc>
        <w:tc>
          <w:tcPr>
            <w:tcW w:w="265" w:type="pct"/>
            <w:tcBorders>
              <w:left w:val="dashSmallGap" w:sz="4" w:space="0" w:color="auto"/>
            </w:tcBorders>
            <w:vAlign w:val="center"/>
          </w:tcPr>
          <w:p w14:paraId="374956AB" w14:textId="77777777" w:rsidR="00CA7C31" w:rsidRPr="00732D9A" w:rsidRDefault="00CA7C31">
            <w:pPr>
              <w:jc w:val="center"/>
              <w:rPr>
                <w:noProof/>
                <w:sz w:val="18"/>
                <w:szCs w:val="18"/>
              </w:rPr>
            </w:pPr>
            <w:r w:rsidRPr="00732D9A">
              <w:rPr>
                <w:noProof/>
                <w:sz w:val="18"/>
              </w:rPr>
              <w:t>Coût</w:t>
            </w:r>
          </w:p>
        </w:tc>
        <w:tc>
          <w:tcPr>
            <w:tcW w:w="265" w:type="pct"/>
            <w:tcBorders>
              <w:right w:val="dashSmallGap" w:sz="4" w:space="0" w:color="auto"/>
            </w:tcBorders>
            <w:textDirection w:val="btLr"/>
            <w:vAlign w:val="center"/>
          </w:tcPr>
          <w:p w14:paraId="138EAEBF" w14:textId="77777777" w:rsidR="00CA7C31" w:rsidRPr="00732D9A" w:rsidRDefault="00CA7C31">
            <w:pPr>
              <w:ind w:left="113" w:right="113"/>
              <w:jc w:val="center"/>
              <w:rPr>
                <w:noProof/>
                <w:sz w:val="18"/>
                <w:szCs w:val="18"/>
              </w:rPr>
            </w:pPr>
            <w:r w:rsidRPr="00732D9A">
              <w:rPr>
                <w:noProof/>
                <w:sz w:val="18"/>
              </w:rPr>
              <w:t>Nbre</w:t>
            </w:r>
          </w:p>
        </w:tc>
        <w:tc>
          <w:tcPr>
            <w:tcW w:w="265" w:type="pct"/>
            <w:tcBorders>
              <w:left w:val="dashSmallGap" w:sz="4" w:space="0" w:color="auto"/>
            </w:tcBorders>
            <w:vAlign w:val="center"/>
          </w:tcPr>
          <w:p w14:paraId="63D299F2" w14:textId="77777777" w:rsidR="00CA7C31" w:rsidRPr="00732D9A" w:rsidRDefault="00CA7C31">
            <w:pPr>
              <w:jc w:val="center"/>
              <w:rPr>
                <w:noProof/>
                <w:sz w:val="18"/>
                <w:szCs w:val="18"/>
              </w:rPr>
            </w:pPr>
            <w:r w:rsidRPr="00732D9A">
              <w:rPr>
                <w:noProof/>
                <w:sz w:val="18"/>
              </w:rPr>
              <w:t>Coût</w:t>
            </w:r>
          </w:p>
        </w:tc>
        <w:tc>
          <w:tcPr>
            <w:tcW w:w="331" w:type="pct"/>
            <w:tcBorders>
              <w:right w:val="dashSmallGap" w:sz="4" w:space="0" w:color="auto"/>
            </w:tcBorders>
            <w:textDirection w:val="btLr"/>
            <w:vAlign w:val="center"/>
          </w:tcPr>
          <w:p w14:paraId="2168BA79" w14:textId="77777777" w:rsidR="00CA7C31" w:rsidRPr="00732D9A" w:rsidRDefault="00CA7C31">
            <w:pPr>
              <w:ind w:left="113" w:right="113"/>
              <w:jc w:val="center"/>
              <w:rPr>
                <w:noProof/>
                <w:sz w:val="18"/>
                <w:szCs w:val="18"/>
              </w:rPr>
            </w:pPr>
            <w:r w:rsidRPr="00732D9A">
              <w:rPr>
                <w:noProof/>
                <w:sz w:val="18"/>
              </w:rPr>
              <w:t>Nbre</w:t>
            </w:r>
          </w:p>
        </w:tc>
        <w:tc>
          <w:tcPr>
            <w:tcW w:w="265" w:type="pct"/>
            <w:gridSpan w:val="2"/>
            <w:tcBorders>
              <w:left w:val="dashSmallGap" w:sz="4" w:space="0" w:color="auto"/>
            </w:tcBorders>
            <w:vAlign w:val="center"/>
          </w:tcPr>
          <w:p w14:paraId="49C67A77" w14:textId="77777777" w:rsidR="00CA7C31" w:rsidRPr="00732D9A" w:rsidRDefault="00CA7C31">
            <w:pPr>
              <w:jc w:val="center"/>
              <w:rPr>
                <w:noProof/>
                <w:sz w:val="18"/>
                <w:szCs w:val="18"/>
              </w:rPr>
            </w:pPr>
            <w:r w:rsidRPr="00732D9A">
              <w:rPr>
                <w:noProof/>
                <w:sz w:val="18"/>
              </w:rPr>
              <w:t>Coût</w:t>
            </w:r>
          </w:p>
        </w:tc>
        <w:tc>
          <w:tcPr>
            <w:tcW w:w="198" w:type="pct"/>
            <w:tcBorders>
              <w:right w:val="dashSmallGap" w:sz="4" w:space="0" w:color="auto"/>
            </w:tcBorders>
            <w:textDirection w:val="btLr"/>
            <w:vAlign w:val="center"/>
          </w:tcPr>
          <w:p w14:paraId="5E54FE25" w14:textId="77777777" w:rsidR="00CA7C31" w:rsidRPr="00732D9A" w:rsidRDefault="00CA7C31">
            <w:pPr>
              <w:ind w:left="113" w:right="113"/>
              <w:jc w:val="center"/>
              <w:rPr>
                <w:noProof/>
                <w:sz w:val="18"/>
                <w:szCs w:val="18"/>
              </w:rPr>
            </w:pPr>
            <w:r w:rsidRPr="00732D9A">
              <w:rPr>
                <w:noProof/>
                <w:sz w:val="18"/>
              </w:rPr>
              <w:t>Nbre</w:t>
            </w:r>
          </w:p>
        </w:tc>
        <w:tc>
          <w:tcPr>
            <w:tcW w:w="238" w:type="pct"/>
            <w:tcBorders>
              <w:left w:val="dashSmallGap" w:sz="4" w:space="0" w:color="auto"/>
            </w:tcBorders>
            <w:vAlign w:val="center"/>
          </w:tcPr>
          <w:p w14:paraId="7DA6C640" w14:textId="77777777" w:rsidR="00CA7C31" w:rsidRPr="00732D9A" w:rsidRDefault="00CA7C31">
            <w:pPr>
              <w:jc w:val="center"/>
              <w:rPr>
                <w:noProof/>
                <w:sz w:val="18"/>
                <w:szCs w:val="18"/>
              </w:rPr>
            </w:pPr>
            <w:r w:rsidRPr="00732D9A">
              <w:rPr>
                <w:noProof/>
                <w:sz w:val="18"/>
              </w:rPr>
              <w:t>Coût</w:t>
            </w:r>
          </w:p>
        </w:tc>
        <w:tc>
          <w:tcPr>
            <w:tcW w:w="159" w:type="pct"/>
            <w:tcBorders>
              <w:right w:val="dashSmallGap" w:sz="4" w:space="0" w:color="auto"/>
            </w:tcBorders>
            <w:textDirection w:val="btLr"/>
            <w:vAlign w:val="center"/>
          </w:tcPr>
          <w:p w14:paraId="02108C46" w14:textId="77777777" w:rsidR="00CA7C31" w:rsidRPr="00732D9A" w:rsidRDefault="00CA7C31">
            <w:pPr>
              <w:ind w:left="113" w:right="113"/>
              <w:jc w:val="center"/>
              <w:rPr>
                <w:noProof/>
                <w:sz w:val="18"/>
                <w:szCs w:val="18"/>
              </w:rPr>
            </w:pPr>
            <w:r w:rsidRPr="00732D9A">
              <w:rPr>
                <w:noProof/>
                <w:sz w:val="18"/>
              </w:rPr>
              <w:t>Nbre</w:t>
            </w:r>
          </w:p>
        </w:tc>
        <w:tc>
          <w:tcPr>
            <w:tcW w:w="265" w:type="pct"/>
            <w:tcBorders>
              <w:left w:val="dashSmallGap" w:sz="4" w:space="0" w:color="auto"/>
            </w:tcBorders>
            <w:vAlign w:val="center"/>
          </w:tcPr>
          <w:p w14:paraId="4FE21931" w14:textId="77777777" w:rsidR="00CA7C31" w:rsidRPr="00732D9A" w:rsidRDefault="00CA7C31">
            <w:pPr>
              <w:jc w:val="center"/>
              <w:rPr>
                <w:noProof/>
                <w:sz w:val="18"/>
                <w:szCs w:val="18"/>
              </w:rPr>
            </w:pPr>
            <w:r w:rsidRPr="00732D9A">
              <w:rPr>
                <w:noProof/>
                <w:sz w:val="18"/>
              </w:rPr>
              <w:t>Coût</w:t>
            </w:r>
          </w:p>
        </w:tc>
        <w:tc>
          <w:tcPr>
            <w:tcW w:w="198" w:type="pct"/>
            <w:tcBorders>
              <w:right w:val="dashSmallGap" w:sz="4" w:space="0" w:color="auto"/>
            </w:tcBorders>
            <w:textDirection w:val="btLr"/>
            <w:vAlign w:val="center"/>
          </w:tcPr>
          <w:p w14:paraId="2FED5CBF" w14:textId="77777777" w:rsidR="00CA7C31" w:rsidRPr="00732D9A" w:rsidRDefault="00CA7C31">
            <w:pPr>
              <w:ind w:left="113" w:right="113"/>
              <w:jc w:val="center"/>
              <w:rPr>
                <w:noProof/>
                <w:sz w:val="18"/>
                <w:szCs w:val="18"/>
              </w:rPr>
            </w:pPr>
            <w:r w:rsidRPr="00732D9A">
              <w:rPr>
                <w:noProof/>
                <w:sz w:val="18"/>
              </w:rPr>
              <w:t>Nbre</w:t>
            </w:r>
          </w:p>
        </w:tc>
        <w:tc>
          <w:tcPr>
            <w:tcW w:w="265" w:type="pct"/>
            <w:tcBorders>
              <w:left w:val="dashSmallGap" w:sz="4" w:space="0" w:color="auto"/>
            </w:tcBorders>
            <w:vAlign w:val="center"/>
          </w:tcPr>
          <w:p w14:paraId="400BE41A" w14:textId="77777777" w:rsidR="00CA7C31" w:rsidRPr="00732D9A" w:rsidRDefault="00CA7C31">
            <w:pPr>
              <w:jc w:val="center"/>
              <w:rPr>
                <w:noProof/>
                <w:sz w:val="18"/>
                <w:szCs w:val="18"/>
              </w:rPr>
            </w:pPr>
            <w:r w:rsidRPr="00732D9A">
              <w:rPr>
                <w:noProof/>
                <w:sz w:val="18"/>
              </w:rPr>
              <w:t>Coût</w:t>
            </w:r>
          </w:p>
        </w:tc>
        <w:tc>
          <w:tcPr>
            <w:tcW w:w="265" w:type="pct"/>
            <w:tcBorders>
              <w:right w:val="dashSmallGap" w:sz="4" w:space="0" w:color="auto"/>
            </w:tcBorders>
            <w:vAlign w:val="center"/>
          </w:tcPr>
          <w:p w14:paraId="233A95AF" w14:textId="77777777" w:rsidR="00CA7C31" w:rsidRPr="00732D9A" w:rsidRDefault="00CA7C31">
            <w:pPr>
              <w:jc w:val="center"/>
              <w:rPr>
                <w:noProof/>
                <w:sz w:val="18"/>
                <w:szCs w:val="18"/>
              </w:rPr>
            </w:pPr>
            <w:r w:rsidRPr="00732D9A">
              <w:rPr>
                <w:noProof/>
                <w:sz w:val="18"/>
              </w:rPr>
              <w:t>Nbre total</w:t>
            </w:r>
          </w:p>
        </w:tc>
        <w:tc>
          <w:tcPr>
            <w:tcW w:w="327" w:type="pct"/>
            <w:tcBorders>
              <w:left w:val="dashSmallGap" w:sz="4" w:space="0" w:color="auto"/>
            </w:tcBorders>
            <w:vAlign w:val="center"/>
          </w:tcPr>
          <w:p w14:paraId="198D250E" w14:textId="77777777" w:rsidR="00CA7C31" w:rsidRPr="00732D9A" w:rsidRDefault="00CA7C31">
            <w:pPr>
              <w:jc w:val="center"/>
              <w:rPr>
                <w:noProof/>
                <w:sz w:val="18"/>
                <w:szCs w:val="18"/>
              </w:rPr>
            </w:pPr>
            <w:r w:rsidRPr="00732D9A">
              <w:rPr>
                <w:noProof/>
                <w:sz w:val="18"/>
              </w:rPr>
              <w:t>Coût total</w:t>
            </w:r>
          </w:p>
        </w:tc>
      </w:tr>
      <w:tr w:rsidR="00CA7C31" w:rsidRPr="00732D9A" w14:paraId="7799F95C" w14:textId="77777777" w:rsidTr="00883E25">
        <w:trPr>
          <w:jc w:val="center"/>
        </w:trPr>
        <w:tc>
          <w:tcPr>
            <w:tcW w:w="1046" w:type="pct"/>
            <w:gridSpan w:val="3"/>
            <w:vAlign w:val="center"/>
          </w:tcPr>
          <w:p w14:paraId="04182A85" w14:textId="77777777" w:rsidR="00CA7C31" w:rsidRPr="00732D9A" w:rsidRDefault="00CA7C31">
            <w:pPr>
              <w:spacing w:before="60" w:after="60"/>
              <w:ind w:right="-29"/>
              <w:jc w:val="center"/>
              <w:rPr>
                <w:noProof/>
                <w:sz w:val="18"/>
                <w:szCs w:val="18"/>
              </w:rPr>
            </w:pPr>
            <w:r w:rsidRPr="00732D9A">
              <w:rPr>
                <w:noProof/>
                <w:sz w:val="18"/>
              </w:rPr>
              <w:t>OBJECTIF SPÉCIFIQUE nº 1</w:t>
            </w:r>
            <w:r w:rsidRPr="00732D9A">
              <w:rPr>
                <w:rStyle w:val="FootnoteReference"/>
                <w:noProof/>
                <w:sz w:val="18"/>
                <w:szCs w:val="18"/>
              </w:rPr>
              <w:footnoteReference w:id="84"/>
            </w:r>
            <w:r w:rsidRPr="00732D9A">
              <w:rPr>
                <w:noProof/>
                <w:sz w:val="18"/>
              </w:rPr>
              <w:t>...</w:t>
            </w:r>
          </w:p>
        </w:tc>
        <w:tc>
          <w:tcPr>
            <w:tcW w:w="185" w:type="pct"/>
            <w:tcBorders>
              <w:top w:val="nil"/>
              <w:left w:val="nil"/>
              <w:bottom w:val="nil"/>
              <w:right w:val="nil"/>
            </w:tcBorders>
          </w:tcPr>
          <w:p w14:paraId="2E23D81B"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30264898" w14:textId="77777777" w:rsidR="00CA7C31" w:rsidRPr="00732D9A" w:rsidRDefault="00CA7C31">
            <w:pPr>
              <w:spacing w:before="60" w:after="60"/>
              <w:ind w:right="-29"/>
              <w:jc w:val="center"/>
              <w:rPr>
                <w:noProof/>
                <w:sz w:val="18"/>
                <w:szCs w:val="18"/>
              </w:rPr>
            </w:pPr>
          </w:p>
        </w:tc>
        <w:tc>
          <w:tcPr>
            <w:tcW w:w="198" w:type="pct"/>
            <w:tcBorders>
              <w:top w:val="nil"/>
              <w:left w:val="nil"/>
              <w:bottom w:val="nil"/>
              <w:right w:val="nil"/>
            </w:tcBorders>
          </w:tcPr>
          <w:p w14:paraId="47BBBF51"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08A766F0"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1924B6DE"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30882689" w14:textId="77777777" w:rsidR="00CA7C31" w:rsidRPr="00732D9A" w:rsidRDefault="00CA7C31">
            <w:pPr>
              <w:spacing w:before="60" w:after="60"/>
              <w:ind w:right="-29"/>
              <w:jc w:val="center"/>
              <w:rPr>
                <w:noProof/>
                <w:sz w:val="18"/>
                <w:szCs w:val="18"/>
              </w:rPr>
            </w:pPr>
          </w:p>
        </w:tc>
        <w:tc>
          <w:tcPr>
            <w:tcW w:w="331" w:type="pct"/>
            <w:tcBorders>
              <w:top w:val="nil"/>
              <w:left w:val="nil"/>
              <w:bottom w:val="nil"/>
              <w:right w:val="nil"/>
            </w:tcBorders>
          </w:tcPr>
          <w:p w14:paraId="723B1EF9" w14:textId="77777777" w:rsidR="00CA7C31" w:rsidRPr="00732D9A" w:rsidRDefault="00CA7C31">
            <w:pPr>
              <w:spacing w:before="60" w:after="60"/>
              <w:ind w:right="-29"/>
              <w:jc w:val="center"/>
              <w:rPr>
                <w:noProof/>
                <w:sz w:val="18"/>
                <w:szCs w:val="18"/>
              </w:rPr>
            </w:pPr>
          </w:p>
        </w:tc>
        <w:tc>
          <w:tcPr>
            <w:tcW w:w="265" w:type="pct"/>
            <w:gridSpan w:val="2"/>
            <w:tcBorders>
              <w:top w:val="nil"/>
              <w:left w:val="nil"/>
              <w:bottom w:val="nil"/>
              <w:right w:val="nil"/>
            </w:tcBorders>
          </w:tcPr>
          <w:p w14:paraId="6120220D" w14:textId="77777777" w:rsidR="00CA7C31" w:rsidRPr="00732D9A" w:rsidRDefault="00CA7C31">
            <w:pPr>
              <w:spacing w:before="60" w:after="60"/>
              <w:ind w:right="-29"/>
              <w:jc w:val="center"/>
              <w:rPr>
                <w:noProof/>
                <w:sz w:val="18"/>
                <w:szCs w:val="18"/>
              </w:rPr>
            </w:pPr>
          </w:p>
        </w:tc>
        <w:tc>
          <w:tcPr>
            <w:tcW w:w="198" w:type="pct"/>
            <w:tcBorders>
              <w:top w:val="nil"/>
              <w:left w:val="nil"/>
              <w:bottom w:val="nil"/>
              <w:right w:val="nil"/>
            </w:tcBorders>
          </w:tcPr>
          <w:p w14:paraId="28C746A2" w14:textId="77777777" w:rsidR="00CA7C31" w:rsidRPr="00732D9A" w:rsidRDefault="00CA7C31">
            <w:pPr>
              <w:spacing w:before="60" w:after="60"/>
              <w:ind w:right="-29"/>
              <w:jc w:val="center"/>
              <w:rPr>
                <w:noProof/>
                <w:sz w:val="18"/>
                <w:szCs w:val="18"/>
              </w:rPr>
            </w:pPr>
          </w:p>
        </w:tc>
        <w:tc>
          <w:tcPr>
            <w:tcW w:w="238" w:type="pct"/>
            <w:tcBorders>
              <w:top w:val="nil"/>
              <w:left w:val="nil"/>
              <w:bottom w:val="nil"/>
              <w:right w:val="nil"/>
            </w:tcBorders>
          </w:tcPr>
          <w:p w14:paraId="7FED7CA1" w14:textId="77777777" w:rsidR="00CA7C31" w:rsidRPr="00732D9A" w:rsidRDefault="00CA7C31">
            <w:pPr>
              <w:spacing w:before="60" w:after="60"/>
              <w:ind w:right="-29"/>
              <w:jc w:val="center"/>
              <w:rPr>
                <w:noProof/>
                <w:sz w:val="18"/>
                <w:szCs w:val="18"/>
              </w:rPr>
            </w:pPr>
          </w:p>
        </w:tc>
        <w:tc>
          <w:tcPr>
            <w:tcW w:w="159" w:type="pct"/>
            <w:tcBorders>
              <w:top w:val="nil"/>
              <w:left w:val="nil"/>
              <w:bottom w:val="nil"/>
              <w:right w:val="nil"/>
            </w:tcBorders>
          </w:tcPr>
          <w:p w14:paraId="54D32D24"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44779346" w14:textId="77777777" w:rsidR="00CA7C31" w:rsidRPr="00732D9A" w:rsidRDefault="00CA7C31">
            <w:pPr>
              <w:spacing w:before="60" w:after="60"/>
              <w:ind w:right="-29"/>
              <w:jc w:val="center"/>
              <w:rPr>
                <w:noProof/>
                <w:sz w:val="18"/>
                <w:szCs w:val="18"/>
              </w:rPr>
            </w:pPr>
          </w:p>
        </w:tc>
        <w:tc>
          <w:tcPr>
            <w:tcW w:w="198" w:type="pct"/>
            <w:tcBorders>
              <w:top w:val="nil"/>
              <w:left w:val="nil"/>
              <w:bottom w:val="nil"/>
              <w:right w:val="nil"/>
            </w:tcBorders>
          </w:tcPr>
          <w:p w14:paraId="3A59AC10"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1D2AAE2B" w14:textId="77777777" w:rsidR="00CA7C31" w:rsidRPr="00732D9A" w:rsidRDefault="00CA7C31">
            <w:pPr>
              <w:spacing w:before="60" w:after="60"/>
              <w:ind w:right="-29"/>
              <w:jc w:val="center"/>
              <w:rPr>
                <w:noProof/>
                <w:sz w:val="18"/>
                <w:szCs w:val="18"/>
              </w:rPr>
            </w:pPr>
          </w:p>
        </w:tc>
        <w:tc>
          <w:tcPr>
            <w:tcW w:w="265" w:type="pct"/>
            <w:tcBorders>
              <w:top w:val="nil"/>
              <w:left w:val="nil"/>
              <w:bottom w:val="nil"/>
              <w:right w:val="nil"/>
            </w:tcBorders>
          </w:tcPr>
          <w:p w14:paraId="09685E9F" w14:textId="77777777" w:rsidR="00CA7C31" w:rsidRPr="00732D9A" w:rsidRDefault="00CA7C31">
            <w:pPr>
              <w:spacing w:before="60" w:after="60"/>
              <w:ind w:right="-29"/>
              <w:jc w:val="center"/>
              <w:rPr>
                <w:noProof/>
                <w:sz w:val="18"/>
                <w:szCs w:val="18"/>
              </w:rPr>
            </w:pPr>
          </w:p>
        </w:tc>
        <w:tc>
          <w:tcPr>
            <w:tcW w:w="327" w:type="pct"/>
            <w:tcBorders>
              <w:top w:val="nil"/>
              <w:left w:val="nil"/>
              <w:bottom w:val="nil"/>
              <w:right w:val="nil"/>
            </w:tcBorders>
          </w:tcPr>
          <w:p w14:paraId="0402B9AE" w14:textId="77777777" w:rsidR="00CA7C31" w:rsidRPr="00732D9A" w:rsidRDefault="00CA7C31">
            <w:pPr>
              <w:spacing w:before="60" w:after="60"/>
              <w:ind w:right="-29"/>
              <w:jc w:val="center"/>
              <w:rPr>
                <w:noProof/>
                <w:sz w:val="18"/>
                <w:szCs w:val="18"/>
              </w:rPr>
            </w:pPr>
          </w:p>
        </w:tc>
      </w:tr>
      <w:tr w:rsidR="00CA7C31" w:rsidRPr="00732D9A" w14:paraId="1A48D6F5" w14:textId="77777777" w:rsidTr="00883E25">
        <w:trPr>
          <w:trHeight w:hRule="exact" w:val="369"/>
          <w:jc w:val="center"/>
        </w:trPr>
        <w:tc>
          <w:tcPr>
            <w:tcW w:w="523" w:type="pct"/>
          </w:tcPr>
          <w:p w14:paraId="6900449E" w14:textId="77777777" w:rsidR="00CA7C31" w:rsidRPr="00732D9A" w:rsidRDefault="00CA7C31">
            <w:pPr>
              <w:ind w:right="-29"/>
              <w:jc w:val="center"/>
              <w:rPr>
                <w:noProof/>
                <w:sz w:val="18"/>
                <w:szCs w:val="18"/>
              </w:rPr>
            </w:pPr>
            <w:r w:rsidRPr="00732D9A">
              <w:rPr>
                <w:noProof/>
                <w:sz w:val="18"/>
              </w:rPr>
              <w:t>- Réalisation</w:t>
            </w:r>
          </w:p>
        </w:tc>
        <w:tc>
          <w:tcPr>
            <w:tcW w:w="265" w:type="pct"/>
          </w:tcPr>
          <w:p w14:paraId="4A554787" w14:textId="77777777" w:rsidR="00CA7C31" w:rsidRPr="00732D9A" w:rsidRDefault="00CA7C31">
            <w:pPr>
              <w:ind w:right="-29"/>
              <w:jc w:val="center"/>
              <w:rPr>
                <w:noProof/>
                <w:sz w:val="18"/>
                <w:szCs w:val="18"/>
              </w:rPr>
            </w:pPr>
          </w:p>
        </w:tc>
        <w:tc>
          <w:tcPr>
            <w:tcW w:w="258" w:type="pct"/>
          </w:tcPr>
          <w:p w14:paraId="44A5CF9F" w14:textId="77777777" w:rsidR="00CA7C31" w:rsidRPr="00732D9A" w:rsidRDefault="00CA7C31">
            <w:pPr>
              <w:ind w:right="-29"/>
              <w:jc w:val="center"/>
              <w:rPr>
                <w:noProof/>
                <w:sz w:val="18"/>
                <w:szCs w:val="18"/>
              </w:rPr>
            </w:pPr>
          </w:p>
        </w:tc>
        <w:tc>
          <w:tcPr>
            <w:tcW w:w="185" w:type="pct"/>
            <w:tcBorders>
              <w:right w:val="dashSmallGap" w:sz="4" w:space="0" w:color="auto"/>
            </w:tcBorders>
          </w:tcPr>
          <w:p w14:paraId="281AEED7" w14:textId="77777777" w:rsidR="00CA7C31" w:rsidRPr="00732D9A" w:rsidRDefault="00CA7C31">
            <w:pPr>
              <w:ind w:right="-29"/>
              <w:jc w:val="center"/>
              <w:rPr>
                <w:noProof/>
                <w:sz w:val="18"/>
                <w:szCs w:val="18"/>
              </w:rPr>
            </w:pPr>
          </w:p>
        </w:tc>
        <w:tc>
          <w:tcPr>
            <w:tcW w:w="265" w:type="pct"/>
            <w:tcBorders>
              <w:left w:val="dashSmallGap" w:sz="4" w:space="0" w:color="auto"/>
            </w:tcBorders>
          </w:tcPr>
          <w:p w14:paraId="2C496D0C"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17E92F04" w14:textId="77777777" w:rsidR="00CA7C31" w:rsidRPr="00732D9A" w:rsidRDefault="00CA7C31">
            <w:pPr>
              <w:ind w:right="-29"/>
              <w:jc w:val="center"/>
              <w:rPr>
                <w:noProof/>
                <w:sz w:val="18"/>
                <w:szCs w:val="18"/>
              </w:rPr>
            </w:pPr>
          </w:p>
        </w:tc>
        <w:tc>
          <w:tcPr>
            <w:tcW w:w="265" w:type="pct"/>
            <w:tcBorders>
              <w:left w:val="dashSmallGap" w:sz="4" w:space="0" w:color="auto"/>
            </w:tcBorders>
          </w:tcPr>
          <w:p w14:paraId="67BD7522" w14:textId="77777777" w:rsidR="00CA7C31" w:rsidRPr="00732D9A" w:rsidRDefault="00CA7C31">
            <w:pPr>
              <w:ind w:right="-29"/>
              <w:jc w:val="center"/>
              <w:rPr>
                <w:noProof/>
                <w:sz w:val="18"/>
                <w:szCs w:val="18"/>
              </w:rPr>
            </w:pPr>
          </w:p>
        </w:tc>
        <w:tc>
          <w:tcPr>
            <w:tcW w:w="265" w:type="pct"/>
            <w:tcBorders>
              <w:right w:val="dashSmallGap" w:sz="4" w:space="0" w:color="auto"/>
            </w:tcBorders>
          </w:tcPr>
          <w:p w14:paraId="6A437A88" w14:textId="77777777" w:rsidR="00CA7C31" w:rsidRPr="00732D9A" w:rsidRDefault="00CA7C31">
            <w:pPr>
              <w:ind w:right="-29"/>
              <w:jc w:val="center"/>
              <w:rPr>
                <w:noProof/>
                <w:sz w:val="18"/>
                <w:szCs w:val="18"/>
              </w:rPr>
            </w:pPr>
          </w:p>
        </w:tc>
        <w:tc>
          <w:tcPr>
            <w:tcW w:w="265" w:type="pct"/>
            <w:tcBorders>
              <w:left w:val="dashSmallGap" w:sz="4" w:space="0" w:color="auto"/>
            </w:tcBorders>
          </w:tcPr>
          <w:p w14:paraId="39C0A3CD" w14:textId="77777777" w:rsidR="00CA7C31" w:rsidRPr="00732D9A" w:rsidRDefault="00CA7C31">
            <w:pPr>
              <w:ind w:right="-29"/>
              <w:jc w:val="center"/>
              <w:rPr>
                <w:noProof/>
                <w:sz w:val="18"/>
                <w:szCs w:val="18"/>
              </w:rPr>
            </w:pPr>
          </w:p>
        </w:tc>
        <w:tc>
          <w:tcPr>
            <w:tcW w:w="331" w:type="pct"/>
            <w:tcBorders>
              <w:right w:val="dashSmallGap" w:sz="4" w:space="0" w:color="auto"/>
            </w:tcBorders>
          </w:tcPr>
          <w:p w14:paraId="2E58B4A2" w14:textId="77777777" w:rsidR="00CA7C31" w:rsidRPr="00732D9A" w:rsidRDefault="00CA7C31">
            <w:pPr>
              <w:ind w:right="-29"/>
              <w:jc w:val="center"/>
              <w:rPr>
                <w:noProof/>
                <w:sz w:val="18"/>
                <w:szCs w:val="18"/>
              </w:rPr>
            </w:pPr>
          </w:p>
        </w:tc>
        <w:tc>
          <w:tcPr>
            <w:tcW w:w="265" w:type="pct"/>
            <w:gridSpan w:val="2"/>
            <w:tcBorders>
              <w:left w:val="dashSmallGap" w:sz="4" w:space="0" w:color="auto"/>
            </w:tcBorders>
          </w:tcPr>
          <w:p w14:paraId="1C16776E"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24F082DE" w14:textId="77777777" w:rsidR="00CA7C31" w:rsidRPr="00732D9A" w:rsidRDefault="00CA7C31">
            <w:pPr>
              <w:ind w:right="-29"/>
              <w:jc w:val="center"/>
              <w:rPr>
                <w:noProof/>
                <w:sz w:val="18"/>
                <w:szCs w:val="18"/>
              </w:rPr>
            </w:pPr>
          </w:p>
        </w:tc>
        <w:tc>
          <w:tcPr>
            <w:tcW w:w="238" w:type="pct"/>
            <w:tcBorders>
              <w:left w:val="dashSmallGap" w:sz="4" w:space="0" w:color="auto"/>
            </w:tcBorders>
          </w:tcPr>
          <w:p w14:paraId="39D93233" w14:textId="77777777" w:rsidR="00CA7C31" w:rsidRPr="00732D9A" w:rsidRDefault="00CA7C31">
            <w:pPr>
              <w:ind w:right="-29"/>
              <w:jc w:val="center"/>
              <w:rPr>
                <w:noProof/>
                <w:sz w:val="18"/>
                <w:szCs w:val="18"/>
              </w:rPr>
            </w:pPr>
          </w:p>
        </w:tc>
        <w:tc>
          <w:tcPr>
            <w:tcW w:w="159" w:type="pct"/>
            <w:tcBorders>
              <w:right w:val="dashSmallGap" w:sz="4" w:space="0" w:color="auto"/>
            </w:tcBorders>
          </w:tcPr>
          <w:p w14:paraId="5C67A72B" w14:textId="77777777" w:rsidR="00CA7C31" w:rsidRPr="00732D9A" w:rsidRDefault="00CA7C31">
            <w:pPr>
              <w:ind w:right="-29"/>
              <w:jc w:val="center"/>
              <w:rPr>
                <w:noProof/>
                <w:sz w:val="18"/>
                <w:szCs w:val="18"/>
              </w:rPr>
            </w:pPr>
          </w:p>
        </w:tc>
        <w:tc>
          <w:tcPr>
            <w:tcW w:w="265" w:type="pct"/>
            <w:tcBorders>
              <w:left w:val="dashSmallGap" w:sz="4" w:space="0" w:color="auto"/>
            </w:tcBorders>
          </w:tcPr>
          <w:p w14:paraId="0F84F1E5"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7A40866D" w14:textId="77777777" w:rsidR="00CA7C31" w:rsidRPr="00732D9A" w:rsidRDefault="00CA7C31">
            <w:pPr>
              <w:ind w:right="-29"/>
              <w:jc w:val="center"/>
              <w:rPr>
                <w:noProof/>
                <w:sz w:val="18"/>
                <w:szCs w:val="18"/>
              </w:rPr>
            </w:pPr>
          </w:p>
        </w:tc>
        <w:tc>
          <w:tcPr>
            <w:tcW w:w="265" w:type="pct"/>
            <w:tcBorders>
              <w:left w:val="dashSmallGap" w:sz="4" w:space="0" w:color="auto"/>
            </w:tcBorders>
          </w:tcPr>
          <w:p w14:paraId="1871F232" w14:textId="77777777" w:rsidR="00CA7C31" w:rsidRPr="00732D9A" w:rsidRDefault="00CA7C31">
            <w:pPr>
              <w:ind w:right="-29"/>
              <w:jc w:val="center"/>
              <w:rPr>
                <w:noProof/>
                <w:sz w:val="18"/>
                <w:szCs w:val="18"/>
              </w:rPr>
            </w:pPr>
          </w:p>
        </w:tc>
        <w:tc>
          <w:tcPr>
            <w:tcW w:w="265" w:type="pct"/>
          </w:tcPr>
          <w:p w14:paraId="66651F89" w14:textId="77777777" w:rsidR="00CA7C31" w:rsidRPr="00732D9A" w:rsidRDefault="00CA7C31">
            <w:pPr>
              <w:ind w:right="-29"/>
              <w:jc w:val="center"/>
              <w:rPr>
                <w:noProof/>
                <w:sz w:val="18"/>
                <w:szCs w:val="18"/>
              </w:rPr>
            </w:pPr>
          </w:p>
        </w:tc>
        <w:tc>
          <w:tcPr>
            <w:tcW w:w="327" w:type="pct"/>
          </w:tcPr>
          <w:p w14:paraId="5077AD86" w14:textId="77777777" w:rsidR="00CA7C31" w:rsidRPr="00732D9A" w:rsidRDefault="00CA7C31">
            <w:pPr>
              <w:ind w:right="-29"/>
              <w:jc w:val="center"/>
              <w:rPr>
                <w:noProof/>
                <w:sz w:val="18"/>
                <w:szCs w:val="18"/>
              </w:rPr>
            </w:pPr>
          </w:p>
        </w:tc>
      </w:tr>
      <w:tr w:rsidR="00CA7C31" w:rsidRPr="00732D9A" w14:paraId="0060EB51" w14:textId="77777777" w:rsidTr="00883E25">
        <w:trPr>
          <w:trHeight w:hRule="exact" w:val="369"/>
          <w:jc w:val="center"/>
        </w:trPr>
        <w:tc>
          <w:tcPr>
            <w:tcW w:w="523" w:type="pct"/>
          </w:tcPr>
          <w:p w14:paraId="776B3058" w14:textId="77777777" w:rsidR="00CA7C31" w:rsidRPr="00732D9A" w:rsidRDefault="00CA7C31">
            <w:pPr>
              <w:ind w:right="-29"/>
              <w:jc w:val="center"/>
              <w:rPr>
                <w:noProof/>
                <w:sz w:val="18"/>
                <w:szCs w:val="18"/>
              </w:rPr>
            </w:pPr>
            <w:r w:rsidRPr="00732D9A">
              <w:rPr>
                <w:noProof/>
                <w:sz w:val="18"/>
              </w:rPr>
              <w:t>- Réalisation</w:t>
            </w:r>
          </w:p>
        </w:tc>
        <w:tc>
          <w:tcPr>
            <w:tcW w:w="265" w:type="pct"/>
          </w:tcPr>
          <w:p w14:paraId="662A9AC6" w14:textId="77777777" w:rsidR="00CA7C31" w:rsidRPr="00732D9A" w:rsidRDefault="00CA7C31">
            <w:pPr>
              <w:ind w:right="-29"/>
              <w:jc w:val="center"/>
              <w:rPr>
                <w:noProof/>
                <w:sz w:val="18"/>
                <w:szCs w:val="18"/>
              </w:rPr>
            </w:pPr>
          </w:p>
        </w:tc>
        <w:tc>
          <w:tcPr>
            <w:tcW w:w="258" w:type="pct"/>
          </w:tcPr>
          <w:p w14:paraId="0B80930C" w14:textId="77777777" w:rsidR="00CA7C31" w:rsidRPr="00732D9A" w:rsidRDefault="00CA7C31">
            <w:pPr>
              <w:ind w:right="-29"/>
              <w:jc w:val="center"/>
              <w:rPr>
                <w:noProof/>
                <w:sz w:val="18"/>
                <w:szCs w:val="18"/>
              </w:rPr>
            </w:pPr>
          </w:p>
        </w:tc>
        <w:tc>
          <w:tcPr>
            <w:tcW w:w="185" w:type="pct"/>
            <w:tcBorders>
              <w:right w:val="dashSmallGap" w:sz="4" w:space="0" w:color="auto"/>
            </w:tcBorders>
          </w:tcPr>
          <w:p w14:paraId="5E95E329" w14:textId="77777777" w:rsidR="00CA7C31" w:rsidRPr="00732D9A" w:rsidRDefault="00CA7C31">
            <w:pPr>
              <w:ind w:right="-29"/>
              <w:jc w:val="center"/>
              <w:rPr>
                <w:noProof/>
                <w:sz w:val="18"/>
                <w:szCs w:val="18"/>
              </w:rPr>
            </w:pPr>
          </w:p>
        </w:tc>
        <w:tc>
          <w:tcPr>
            <w:tcW w:w="265" w:type="pct"/>
            <w:tcBorders>
              <w:left w:val="dashSmallGap" w:sz="4" w:space="0" w:color="auto"/>
            </w:tcBorders>
          </w:tcPr>
          <w:p w14:paraId="373897C0"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11228442" w14:textId="77777777" w:rsidR="00CA7C31" w:rsidRPr="00732D9A" w:rsidRDefault="00CA7C31">
            <w:pPr>
              <w:ind w:right="-29"/>
              <w:jc w:val="center"/>
              <w:rPr>
                <w:noProof/>
                <w:sz w:val="18"/>
                <w:szCs w:val="18"/>
              </w:rPr>
            </w:pPr>
          </w:p>
        </w:tc>
        <w:tc>
          <w:tcPr>
            <w:tcW w:w="265" w:type="pct"/>
            <w:tcBorders>
              <w:left w:val="dashSmallGap" w:sz="4" w:space="0" w:color="auto"/>
            </w:tcBorders>
          </w:tcPr>
          <w:p w14:paraId="743893D7" w14:textId="77777777" w:rsidR="00CA7C31" w:rsidRPr="00732D9A" w:rsidRDefault="00CA7C31">
            <w:pPr>
              <w:ind w:right="-29"/>
              <w:jc w:val="center"/>
              <w:rPr>
                <w:noProof/>
                <w:sz w:val="18"/>
                <w:szCs w:val="18"/>
              </w:rPr>
            </w:pPr>
          </w:p>
        </w:tc>
        <w:tc>
          <w:tcPr>
            <w:tcW w:w="265" w:type="pct"/>
            <w:tcBorders>
              <w:right w:val="dashSmallGap" w:sz="4" w:space="0" w:color="auto"/>
            </w:tcBorders>
          </w:tcPr>
          <w:p w14:paraId="398CA454" w14:textId="77777777" w:rsidR="00CA7C31" w:rsidRPr="00732D9A" w:rsidRDefault="00CA7C31">
            <w:pPr>
              <w:ind w:right="-29"/>
              <w:jc w:val="center"/>
              <w:rPr>
                <w:noProof/>
                <w:sz w:val="18"/>
                <w:szCs w:val="18"/>
              </w:rPr>
            </w:pPr>
          </w:p>
        </w:tc>
        <w:tc>
          <w:tcPr>
            <w:tcW w:w="265" w:type="pct"/>
            <w:tcBorders>
              <w:left w:val="dashSmallGap" w:sz="4" w:space="0" w:color="auto"/>
            </w:tcBorders>
          </w:tcPr>
          <w:p w14:paraId="638902DB" w14:textId="77777777" w:rsidR="00CA7C31" w:rsidRPr="00732D9A" w:rsidRDefault="00CA7C31">
            <w:pPr>
              <w:ind w:right="-29"/>
              <w:jc w:val="center"/>
              <w:rPr>
                <w:noProof/>
                <w:sz w:val="18"/>
                <w:szCs w:val="18"/>
              </w:rPr>
            </w:pPr>
          </w:p>
        </w:tc>
        <w:tc>
          <w:tcPr>
            <w:tcW w:w="331" w:type="pct"/>
            <w:tcBorders>
              <w:right w:val="dashSmallGap" w:sz="4" w:space="0" w:color="auto"/>
            </w:tcBorders>
          </w:tcPr>
          <w:p w14:paraId="1A3F6B52" w14:textId="77777777" w:rsidR="00CA7C31" w:rsidRPr="00732D9A" w:rsidRDefault="00CA7C31">
            <w:pPr>
              <w:ind w:right="-29"/>
              <w:jc w:val="center"/>
              <w:rPr>
                <w:noProof/>
                <w:sz w:val="18"/>
                <w:szCs w:val="18"/>
              </w:rPr>
            </w:pPr>
          </w:p>
        </w:tc>
        <w:tc>
          <w:tcPr>
            <w:tcW w:w="265" w:type="pct"/>
            <w:gridSpan w:val="2"/>
            <w:tcBorders>
              <w:left w:val="dashSmallGap" w:sz="4" w:space="0" w:color="auto"/>
            </w:tcBorders>
          </w:tcPr>
          <w:p w14:paraId="0E04E183"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6C4C2552" w14:textId="77777777" w:rsidR="00CA7C31" w:rsidRPr="00732D9A" w:rsidRDefault="00CA7C31">
            <w:pPr>
              <w:ind w:right="-29"/>
              <w:jc w:val="center"/>
              <w:rPr>
                <w:noProof/>
                <w:sz w:val="18"/>
                <w:szCs w:val="18"/>
              </w:rPr>
            </w:pPr>
          </w:p>
        </w:tc>
        <w:tc>
          <w:tcPr>
            <w:tcW w:w="238" w:type="pct"/>
            <w:tcBorders>
              <w:left w:val="dashSmallGap" w:sz="4" w:space="0" w:color="auto"/>
            </w:tcBorders>
          </w:tcPr>
          <w:p w14:paraId="4040A69C" w14:textId="77777777" w:rsidR="00CA7C31" w:rsidRPr="00732D9A" w:rsidRDefault="00CA7C31">
            <w:pPr>
              <w:ind w:right="-29"/>
              <w:jc w:val="center"/>
              <w:rPr>
                <w:noProof/>
                <w:sz w:val="18"/>
                <w:szCs w:val="18"/>
              </w:rPr>
            </w:pPr>
          </w:p>
        </w:tc>
        <w:tc>
          <w:tcPr>
            <w:tcW w:w="159" w:type="pct"/>
            <w:tcBorders>
              <w:right w:val="dashSmallGap" w:sz="4" w:space="0" w:color="auto"/>
            </w:tcBorders>
          </w:tcPr>
          <w:p w14:paraId="0B449733" w14:textId="77777777" w:rsidR="00CA7C31" w:rsidRPr="00732D9A" w:rsidRDefault="00CA7C31">
            <w:pPr>
              <w:ind w:right="-29"/>
              <w:jc w:val="center"/>
              <w:rPr>
                <w:noProof/>
                <w:sz w:val="18"/>
                <w:szCs w:val="18"/>
              </w:rPr>
            </w:pPr>
          </w:p>
        </w:tc>
        <w:tc>
          <w:tcPr>
            <w:tcW w:w="265" w:type="pct"/>
            <w:tcBorders>
              <w:left w:val="dashSmallGap" w:sz="4" w:space="0" w:color="auto"/>
            </w:tcBorders>
          </w:tcPr>
          <w:p w14:paraId="616941E9" w14:textId="77777777" w:rsidR="00CA7C31" w:rsidRPr="00732D9A" w:rsidRDefault="00CA7C31">
            <w:pPr>
              <w:ind w:right="-29"/>
              <w:jc w:val="center"/>
              <w:rPr>
                <w:noProof/>
                <w:sz w:val="18"/>
                <w:szCs w:val="18"/>
              </w:rPr>
            </w:pPr>
          </w:p>
        </w:tc>
        <w:tc>
          <w:tcPr>
            <w:tcW w:w="198" w:type="pct"/>
            <w:tcBorders>
              <w:right w:val="dashSmallGap" w:sz="4" w:space="0" w:color="auto"/>
            </w:tcBorders>
          </w:tcPr>
          <w:p w14:paraId="1E12854D" w14:textId="77777777" w:rsidR="00CA7C31" w:rsidRPr="00732D9A" w:rsidRDefault="00CA7C31">
            <w:pPr>
              <w:ind w:right="-29"/>
              <w:jc w:val="center"/>
              <w:rPr>
                <w:noProof/>
                <w:sz w:val="18"/>
                <w:szCs w:val="18"/>
              </w:rPr>
            </w:pPr>
          </w:p>
        </w:tc>
        <w:tc>
          <w:tcPr>
            <w:tcW w:w="265" w:type="pct"/>
            <w:tcBorders>
              <w:left w:val="dashSmallGap" w:sz="4" w:space="0" w:color="auto"/>
            </w:tcBorders>
          </w:tcPr>
          <w:p w14:paraId="4790A5E7" w14:textId="77777777" w:rsidR="00CA7C31" w:rsidRPr="00732D9A" w:rsidRDefault="00CA7C31">
            <w:pPr>
              <w:ind w:right="-29"/>
              <w:jc w:val="center"/>
              <w:rPr>
                <w:noProof/>
                <w:sz w:val="18"/>
                <w:szCs w:val="18"/>
              </w:rPr>
            </w:pPr>
          </w:p>
        </w:tc>
        <w:tc>
          <w:tcPr>
            <w:tcW w:w="265" w:type="pct"/>
          </w:tcPr>
          <w:p w14:paraId="13395AF9" w14:textId="77777777" w:rsidR="00CA7C31" w:rsidRPr="00732D9A" w:rsidRDefault="00CA7C31">
            <w:pPr>
              <w:ind w:right="-29"/>
              <w:jc w:val="center"/>
              <w:rPr>
                <w:noProof/>
                <w:sz w:val="18"/>
                <w:szCs w:val="18"/>
              </w:rPr>
            </w:pPr>
          </w:p>
        </w:tc>
        <w:tc>
          <w:tcPr>
            <w:tcW w:w="327" w:type="pct"/>
          </w:tcPr>
          <w:p w14:paraId="1A63C3F2" w14:textId="77777777" w:rsidR="00CA7C31" w:rsidRPr="00732D9A" w:rsidRDefault="00CA7C31">
            <w:pPr>
              <w:ind w:right="-29"/>
              <w:jc w:val="center"/>
              <w:rPr>
                <w:noProof/>
                <w:sz w:val="18"/>
                <w:szCs w:val="18"/>
              </w:rPr>
            </w:pPr>
          </w:p>
        </w:tc>
      </w:tr>
      <w:tr w:rsidR="00CA7C31" w:rsidRPr="00732D9A" w14:paraId="5AE1FD98" w14:textId="77777777" w:rsidTr="00883E25">
        <w:trPr>
          <w:trHeight w:hRule="exact" w:val="369"/>
          <w:jc w:val="center"/>
        </w:trPr>
        <w:tc>
          <w:tcPr>
            <w:tcW w:w="523" w:type="pct"/>
          </w:tcPr>
          <w:p w14:paraId="21303215" w14:textId="77777777" w:rsidR="00CA7C31" w:rsidRPr="00732D9A" w:rsidRDefault="00CA7C31">
            <w:pPr>
              <w:ind w:right="-29"/>
              <w:jc w:val="center"/>
              <w:rPr>
                <w:noProof/>
                <w:sz w:val="18"/>
                <w:szCs w:val="18"/>
              </w:rPr>
            </w:pPr>
            <w:r w:rsidRPr="00732D9A">
              <w:rPr>
                <w:noProof/>
                <w:sz w:val="18"/>
              </w:rPr>
              <w:t>- Réalisation</w:t>
            </w:r>
          </w:p>
        </w:tc>
        <w:tc>
          <w:tcPr>
            <w:tcW w:w="265" w:type="pct"/>
          </w:tcPr>
          <w:p w14:paraId="50FE1730" w14:textId="77777777" w:rsidR="00CA7C31" w:rsidRPr="00732D9A" w:rsidRDefault="00CA7C31">
            <w:pPr>
              <w:ind w:right="-29"/>
              <w:jc w:val="center"/>
              <w:rPr>
                <w:noProof/>
                <w:sz w:val="18"/>
                <w:szCs w:val="18"/>
              </w:rPr>
            </w:pPr>
          </w:p>
        </w:tc>
        <w:tc>
          <w:tcPr>
            <w:tcW w:w="258" w:type="pct"/>
          </w:tcPr>
          <w:p w14:paraId="3ECC6035" w14:textId="77777777" w:rsidR="00CA7C31" w:rsidRPr="00732D9A" w:rsidRDefault="00CA7C31">
            <w:pPr>
              <w:ind w:right="-29"/>
              <w:jc w:val="center"/>
              <w:rPr>
                <w:noProof/>
                <w:sz w:val="18"/>
                <w:szCs w:val="18"/>
              </w:rPr>
            </w:pPr>
          </w:p>
        </w:tc>
        <w:tc>
          <w:tcPr>
            <w:tcW w:w="185" w:type="pct"/>
          </w:tcPr>
          <w:p w14:paraId="4193ADF1" w14:textId="77777777" w:rsidR="00CA7C31" w:rsidRPr="00732D9A" w:rsidRDefault="00CA7C31">
            <w:pPr>
              <w:ind w:right="-29"/>
              <w:jc w:val="center"/>
              <w:rPr>
                <w:noProof/>
                <w:sz w:val="18"/>
                <w:szCs w:val="18"/>
              </w:rPr>
            </w:pPr>
          </w:p>
        </w:tc>
        <w:tc>
          <w:tcPr>
            <w:tcW w:w="265" w:type="pct"/>
          </w:tcPr>
          <w:p w14:paraId="5984C47A" w14:textId="77777777" w:rsidR="00CA7C31" w:rsidRPr="00732D9A" w:rsidRDefault="00CA7C31">
            <w:pPr>
              <w:ind w:right="-29"/>
              <w:jc w:val="center"/>
              <w:rPr>
                <w:noProof/>
                <w:sz w:val="18"/>
                <w:szCs w:val="18"/>
              </w:rPr>
            </w:pPr>
          </w:p>
        </w:tc>
        <w:tc>
          <w:tcPr>
            <w:tcW w:w="198" w:type="pct"/>
          </w:tcPr>
          <w:p w14:paraId="55725290" w14:textId="77777777" w:rsidR="00CA7C31" w:rsidRPr="00732D9A" w:rsidRDefault="00CA7C31">
            <w:pPr>
              <w:ind w:right="-29"/>
              <w:jc w:val="center"/>
              <w:rPr>
                <w:noProof/>
                <w:sz w:val="18"/>
                <w:szCs w:val="18"/>
              </w:rPr>
            </w:pPr>
          </w:p>
        </w:tc>
        <w:tc>
          <w:tcPr>
            <w:tcW w:w="265" w:type="pct"/>
          </w:tcPr>
          <w:p w14:paraId="1DD63AC7" w14:textId="77777777" w:rsidR="00CA7C31" w:rsidRPr="00732D9A" w:rsidRDefault="00CA7C31">
            <w:pPr>
              <w:ind w:right="-29"/>
              <w:jc w:val="center"/>
              <w:rPr>
                <w:noProof/>
                <w:sz w:val="18"/>
                <w:szCs w:val="18"/>
              </w:rPr>
            </w:pPr>
          </w:p>
        </w:tc>
        <w:tc>
          <w:tcPr>
            <w:tcW w:w="265" w:type="pct"/>
          </w:tcPr>
          <w:p w14:paraId="3E999D50" w14:textId="77777777" w:rsidR="00CA7C31" w:rsidRPr="00732D9A" w:rsidRDefault="00CA7C31">
            <w:pPr>
              <w:ind w:right="-29"/>
              <w:jc w:val="center"/>
              <w:rPr>
                <w:noProof/>
                <w:sz w:val="18"/>
                <w:szCs w:val="18"/>
              </w:rPr>
            </w:pPr>
          </w:p>
        </w:tc>
        <w:tc>
          <w:tcPr>
            <w:tcW w:w="265" w:type="pct"/>
          </w:tcPr>
          <w:p w14:paraId="2634E8AC" w14:textId="77777777" w:rsidR="00CA7C31" w:rsidRPr="00732D9A" w:rsidRDefault="00CA7C31">
            <w:pPr>
              <w:ind w:right="-29"/>
              <w:jc w:val="center"/>
              <w:rPr>
                <w:noProof/>
                <w:sz w:val="18"/>
                <w:szCs w:val="18"/>
              </w:rPr>
            </w:pPr>
          </w:p>
        </w:tc>
        <w:tc>
          <w:tcPr>
            <w:tcW w:w="331" w:type="pct"/>
          </w:tcPr>
          <w:p w14:paraId="56CEC375" w14:textId="77777777" w:rsidR="00CA7C31" w:rsidRPr="00732D9A" w:rsidRDefault="00CA7C31">
            <w:pPr>
              <w:ind w:right="-29"/>
              <w:jc w:val="center"/>
              <w:rPr>
                <w:noProof/>
                <w:sz w:val="18"/>
                <w:szCs w:val="18"/>
              </w:rPr>
            </w:pPr>
          </w:p>
        </w:tc>
        <w:tc>
          <w:tcPr>
            <w:tcW w:w="265" w:type="pct"/>
            <w:gridSpan w:val="2"/>
          </w:tcPr>
          <w:p w14:paraId="552D4974" w14:textId="77777777" w:rsidR="00CA7C31" w:rsidRPr="00732D9A" w:rsidRDefault="00CA7C31">
            <w:pPr>
              <w:ind w:right="-29"/>
              <w:jc w:val="center"/>
              <w:rPr>
                <w:noProof/>
                <w:sz w:val="18"/>
                <w:szCs w:val="18"/>
              </w:rPr>
            </w:pPr>
          </w:p>
        </w:tc>
        <w:tc>
          <w:tcPr>
            <w:tcW w:w="198" w:type="pct"/>
          </w:tcPr>
          <w:p w14:paraId="4567BAD6" w14:textId="77777777" w:rsidR="00CA7C31" w:rsidRPr="00732D9A" w:rsidRDefault="00CA7C31">
            <w:pPr>
              <w:ind w:right="-29"/>
              <w:jc w:val="center"/>
              <w:rPr>
                <w:noProof/>
                <w:sz w:val="18"/>
                <w:szCs w:val="18"/>
              </w:rPr>
            </w:pPr>
          </w:p>
        </w:tc>
        <w:tc>
          <w:tcPr>
            <w:tcW w:w="238" w:type="pct"/>
          </w:tcPr>
          <w:p w14:paraId="37777976" w14:textId="77777777" w:rsidR="00CA7C31" w:rsidRPr="00732D9A" w:rsidRDefault="00CA7C31">
            <w:pPr>
              <w:ind w:right="-29"/>
              <w:jc w:val="center"/>
              <w:rPr>
                <w:noProof/>
                <w:sz w:val="18"/>
                <w:szCs w:val="18"/>
              </w:rPr>
            </w:pPr>
          </w:p>
        </w:tc>
        <w:tc>
          <w:tcPr>
            <w:tcW w:w="159" w:type="pct"/>
          </w:tcPr>
          <w:p w14:paraId="7D7B75E9" w14:textId="77777777" w:rsidR="00CA7C31" w:rsidRPr="00732D9A" w:rsidRDefault="00CA7C31">
            <w:pPr>
              <w:ind w:right="-29"/>
              <w:jc w:val="center"/>
              <w:rPr>
                <w:noProof/>
                <w:sz w:val="18"/>
                <w:szCs w:val="18"/>
              </w:rPr>
            </w:pPr>
          </w:p>
        </w:tc>
        <w:tc>
          <w:tcPr>
            <w:tcW w:w="265" w:type="pct"/>
          </w:tcPr>
          <w:p w14:paraId="046767E1" w14:textId="77777777" w:rsidR="00CA7C31" w:rsidRPr="00732D9A" w:rsidRDefault="00CA7C31">
            <w:pPr>
              <w:ind w:right="-29"/>
              <w:jc w:val="center"/>
              <w:rPr>
                <w:noProof/>
                <w:sz w:val="18"/>
                <w:szCs w:val="18"/>
              </w:rPr>
            </w:pPr>
          </w:p>
        </w:tc>
        <w:tc>
          <w:tcPr>
            <w:tcW w:w="198" w:type="pct"/>
          </w:tcPr>
          <w:p w14:paraId="0E08DC83" w14:textId="77777777" w:rsidR="00CA7C31" w:rsidRPr="00732D9A" w:rsidRDefault="00CA7C31">
            <w:pPr>
              <w:ind w:right="-29"/>
              <w:jc w:val="center"/>
              <w:rPr>
                <w:noProof/>
                <w:sz w:val="18"/>
                <w:szCs w:val="18"/>
              </w:rPr>
            </w:pPr>
          </w:p>
        </w:tc>
        <w:tc>
          <w:tcPr>
            <w:tcW w:w="265" w:type="pct"/>
          </w:tcPr>
          <w:p w14:paraId="050042CB" w14:textId="77777777" w:rsidR="00CA7C31" w:rsidRPr="00732D9A" w:rsidRDefault="00CA7C31">
            <w:pPr>
              <w:ind w:right="-29"/>
              <w:jc w:val="center"/>
              <w:rPr>
                <w:noProof/>
                <w:sz w:val="18"/>
                <w:szCs w:val="18"/>
              </w:rPr>
            </w:pPr>
          </w:p>
        </w:tc>
        <w:tc>
          <w:tcPr>
            <w:tcW w:w="265" w:type="pct"/>
          </w:tcPr>
          <w:p w14:paraId="760F17DF" w14:textId="77777777" w:rsidR="00CA7C31" w:rsidRPr="00732D9A" w:rsidRDefault="00CA7C31">
            <w:pPr>
              <w:ind w:right="-29"/>
              <w:jc w:val="center"/>
              <w:rPr>
                <w:noProof/>
                <w:sz w:val="18"/>
                <w:szCs w:val="18"/>
              </w:rPr>
            </w:pPr>
          </w:p>
        </w:tc>
        <w:tc>
          <w:tcPr>
            <w:tcW w:w="327" w:type="pct"/>
          </w:tcPr>
          <w:p w14:paraId="3C13B3B5" w14:textId="77777777" w:rsidR="00CA7C31" w:rsidRPr="00732D9A" w:rsidRDefault="00CA7C31">
            <w:pPr>
              <w:ind w:right="-29"/>
              <w:jc w:val="center"/>
              <w:rPr>
                <w:noProof/>
                <w:sz w:val="18"/>
                <w:szCs w:val="18"/>
              </w:rPr>
            </w:pPr>
          </w:p>
        </w:tc>
      </w:tr>
      <w:tr w:rsidR="004B7712" w:rsidRPr="00732D9A" w14:paraId="15898873" w14:textId="77777777" w:rsidTr="006E4FCE">
        <w:trPr>
          <w:trHeight w:val="77"/>
          <w:jc w:val="center"/>
        </w:trPr>
        <w:tc>
          <w:tcPr>
            <w:tcW w:w="1046" w:type="pct"/>
            <w:gridSpan w:val="3"/>
            <w:tcBorders>
              <w:bottom w:val="single" w:sz="12" w:space="0" w:color="auto"/>
            </w:tcBorders>
            <w:vAlign w:val="center"/>
          </w:tcPr>
          <w:p w14:paraId="2ACA9E11" w14:textId="77777777" w:rsidR="004B7712" w:rsidRPr="00732D9A" w:rsidRDefault="004B7712" w:rsidP="004B7712">
            <w:pPr>
              <w:ind w:right="-29"/>
              <w:jc w:val="center"/>
              <w:rPr>
                <w:noProof/>
                <w:sz w:val="18"/>
                <w:szCs w:val="18"/>
              </w:rPr>
            </w:pPr>
            <w:r w:rsidRPr="00732D9A">
              <w:rPr>
                <w:noProof/>
                <w:sz w:val="18"/>
              </w:rPr>
              <w:t>Sous-total objectif spécifique nº 1</w:t>
            </w:r>
          </w:p>
        </w:tc>
        <w:tc>
          <w:tcPr>
            <w:tcW w:w="185" w:type="pct"/>
            <w:tcBorders>
              <w:bottom w:val="single" w:sz="12" w:space="0" w:color="auto"/>
            </w:tcBorders>
            <w:vAlign w:val="bottom"/>
          </w:tcPr>
          <w:p w14:paraId="3A1EB097"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46697675"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56F24C08"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285BAD78" w14:textId="77777777" w:rsidR="004B7712" w:rsidRPr="00732D9A" w:rsidRDefault="004B7712" w:rsidP="004B7712">
            <w:pPr>
              <w:ind w:right="-29"/>
              <w:jc w:val="center"/>
              <w:rPr>
                <w:noProof/>
                <w:sz w:val="18"/>
                <w:szCs w:val="18"/>
              </w:rPr>
            </w:pPr>
            <w:r w:rsidRPr="00732D9A">
              <w:rPr>
                <w:b/>
                <w:noProof/>
                <w:color w:val="000000"/>
                <w:sz w:val="18"/>
              </w:rPr>
              <w:t>0,000</w:t>
            </w:r>
          </w:p>
        </w:tc>
        <w:tc>
          <w:tcPr>
            <w:tcW w:w="265" w:type="pct"/>
            <w:tcBorders>
              <w:bottom w:val="single" w:sz="12" w:space="0" w:color="auto"/>
            </w:tcBorders>
            <w:vAlign w:val="bottom"/>
          </w:tcPr>
          <w:p w14:paraId="601A90E9"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76361CF3" w14:textId="77777777" w:rsidR="004B7712" w:rsidRPr="00732D9A" w:rsidRDefault="004B7712" w:rsidP="004B7712">
            <w:pPr>
              <w:ind w:right="-29"/>
              <w:jc w:val="center"/>
              <w:rPr>
                <w:noProof/>
                <w:sz w:val="18"/>
                <w:szCs w:val="18"/>
              </w:rPr>
            </w:pPr>
            <w:r w:rsidRPr="00732D9A">
              <w:rPr>
                <w:b/>
                <w:noProof/>
                <w:color w:val="000000"/>
                <w:sz w:val="18"/>
              </w:rPr>
              <w:t>0,000</w:t>
            </w:r>
          </w:p>
        </w:tc>
        <w:tc>
          <w:tcPr>
            <w:tcW w:w="331" w:type="pct"/>
            <w:tcBorders>
              <w:bottom w:val="single" w:sz="12" w:space="0" w:color="auto"/>
            </w:tcBorders>
            <w:vAlign w:val="bottom"/>
          </w:tcPr>
          <w:p w14:paraId="15017C1C"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gridSpan w:val="2"/>
            <w:tcBorders>
              <w:bottom w:val="single" w:sz="12" w:space="0" w:color="auto"/>
            </w:tcBorders>
            <w:vAlign w:val="bottom"/>
          </w:tcPr>
          <w:p w14:paraId="7502EBF3"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0C22C8CF" w14:textId="77777777" w:rsidR="004B7712" w:rsidRPr="00732D9A" w:rsidRDefault="004B7712" w:rsidP="004B7712">
            <w:pPr>
              <w:ind w:right="-29"/>
              <w:jc w:val="center"/>
              <w:rPr>
                <w:noProof/>
                <w:sz w:val="18"/>
                <w:szCs w:val="18"/>
              </w:rPr>
            </w:pPr>
            <w:r w:rsidRPr="00732D9A">
              <w:rPr>
                <w:b/>
                <w:noProof/>
                <w:color w:val="000000"/>
                <w:sz w:val="18"/>
              </w:rPr>
              <w:t>0</w:t>
            </w:r>
          </w:p>
        </w:tc>
        <w:tc>
          <w:tcPr>
            <w:tcW w:w="238" w:type="pct"/>
            <w:tcBorders>
              <w:bottom w:val="single" w:sz="12" w:space="0" w:color="auto"/>
            </w:tcBorders>
            <w:vAlign w:val="bottom"/>
          </w:tcPr>
          <w:p w14:paraId="2D7E66AC" w14:textId="77777777" w:rsidR="004B7712" w:rsidRPr="00732D9A" w:rsidRDefault="004B7712" w:rsidP="004B7712">
            <w:pPr>
              <w:ind w:right="-29"/>
              <w:jc w:val="center"/>
              <w:rPr>
                <w:noProof/>
                <w:sz w:val="18"/>
                <w:szCs w:val="18"/>
              </w:rPr>
            </w:pPr>
            <w:r w:rsidRPr="00732D9A">
              <w:rPr>
                <w:b/>
                <w:noProof/>
                <w:color w:val="000000"/>
                <w:sz w:val="18"/>
              </w:rPr>
              <w:t>0,000</w:t>
            </w:r>
          </w:p>
        </w:tc>
        <w:tc>
          <w:tcPr>
            <w:tcW w:w="159" w:type="pct"/>
            <w:tcBorders>
              <w:bottom w:val="single" w:sz="12" w:space="0" w:color="auto"/>
            </w:tcBorders>
            <w:vAlign w:val="bottom"/>
          </w:tcPr>
          <w:p w14:paraId="6535942C"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538244F5"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479C5733"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53CA2474" w14:textId="77777777" w:rsidR="004B7712" w:rsidRPr="00732D9A" w:rsidRDefault="004B7712" w:rsidP="004B7712">
            <w:pPr>
              <w:ind w:right="-29"/>
              <w:jc w:val="center"/>
              <w:rPr>
                <w:noProof/>
                <w:sz w:val="18"/>
                <w:szCs w:val="18"/>
              </w:rPr>
            </w:pPr>
            <w:r w:rsidRPr="00732D9A">
              <w:rPr>
                <w:b/>
                <w:noProof/>
                <w:color w:val="000000"/>
                <w:sz w:val="18"/>
              </w:rPr>
              <w:t>0,000</w:t>
            </w:r>
          </w:p>
        </w:tc>
        <w:tc>
          <w:tcPr>
            <w:tcW w:w="265" w:type="pct"/>
            <w:tcBorders>
              <w:bottom w:val="single" w:sz="12" w:space="0" w:color="auto"/>
            </w:tcBorders>
            <w:vAlign w:val="bottom"/>
          </w:tcPr>
          <w:p w14:paraId="0CE569AF" w14:textId="77777777" w:rsidR="004B7712" w:rsidRPr="00732D9A" w:rsidRDefault="004B7712" w:rsidP="004B7712">
            <w:pPr>
              <w:ind w:right="-29"/>
              <w:jc w:val="center"/>
              <w:rPr>
                <w:noProof/>
                <w:sz w:val="18"/>
                <w:szCs w:val="18"/>
              </w:rPr>
            </w:pPr>
            <w:r w:rsidRPr="00732D9A">
              <w:rPr>
                <w:b/>
                <w:noProof/>
                <w:color w:val="000000"/>
                <w:sz w:val="18"/>
              </w:rPr>
              <w:t>0</w:t>
            </w:r>
          </w:p>
        </w:tc>
        <w:tc>
          <w:tcPr>
            <w:tcW w:w="327" w:type="pct"/>
            <w:tcBorders>
              <w:bottom w:val="single" w:sz="12" w:space="0" w:color="auto"/>
            </w:tcBorders>
            <w:vAlign w:val="bottom"/>
          </w:tcPr>
          <w:p w14:paraId="5814157F" w14:textId="77777777" w:rsidR="004B7712" w:rsidRPr="00732D9A" w:rsidRDefault="004B7712" w:rsidP="004B7712">
            <w:pPr>
              <w:ind w:right="-29"/>
              <w:jc w:val="center"/>
              <w:rPr>
                <w:noProof/>
                <w:sz w:val="18"/>
                <w:szCs w:val="18"/>
              </w:rPr>
            </w:pPr>
            <w:r w:rsidRPr="00732D9A">
              <w:rPr>
                <w:b/>
                <w:noProof/>
                <w:color w:val="000000"/>
                <w:sz w:val="18"/>
              </w:rPr>
              <w:t>0,000</w:t>
            </w:r>
          </w:p>
        </w:tc>
      </w:tr>
      <w:tr w:rsidR="004B7712" w:rsidRPr="00732D9A" w14:paraId="4D552577" w14:textId="77777777" w:rsidTr="00883E25">
        <w:trPr>
          <w:jc w:val="center"/>
        </w:trPr>
        <w:tc>
          <w:tcPr>
            <w:tcW w:w="1046" w:type="pct"/>
            <w:gridSpan w:val="3"/>
            <w:vAlign w:val="center"/>
          </w:tcPr>
          <w:p w14:paraId="5844590D" w14:textId="77777777" w:rsidR="004B7712" w:rsidRPr="00732D9A" w:rsidRDefault="004B7712" w:rsidP="004B7712">
            <w:pPr>
              <w:spacing w:before="60" w:after="60"/>
              <w:ind w:right="-29"/>
              <w:jc w:val="center"/>
              <w:rPr>
                <w:noProof/>
                <w:sz w:val="18"/>
                <w:szCs w:val="18"/>
              </w:rPr>
            </w:pPr>
            <w:r w:rsidRPr="00732D9A">
              <w:rPr>
                <w:noProof/>
                <w:sz w:val="18"/>
              </w:rPr>
              <w:t>OBJECTIF SPÉCIFIQUE nº 2…</w:t>
            </w:r>
          </w:p>
        </w:tc>
        <w:tc>
          <w:tcPr>
            <w:tcW w:w="185" w:type="pct"/>
            <w:tcBorders>
              <w:top w:val="nil"/>
              <w:left w:val="nil"/>
              <w:bottom w:val="nil"/>
              <w:right w:val="nil"/>
            </w:tcBorders>
          </w:tcPr>
          <w:p w14:paraId="5119272E"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D00F949" w14:textId="77777777" w:rsidR="004B7712" w:rsidRPr="00732D9A"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39683CBD"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6EEEE29E"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5D78BDEF"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7C1B6172" w14:textId="77777777" w:rsidR="004B7712" w:rsidRPr="00732D9A" w:rsidRDefault="004B7712" w:rsidP="004B7712">
            <w:pPr>
              <w:spacing w:before="60" w:after="60"/>
              <w:ind w:right="-29"/>
              <w:jc w:val="center"/>
              <w:rPr>
                <w:noProof/>
                <w:sz w:val="18"/>
                <w:szCs w:val="18"/>
              </w:rPr>
            </w:pPr>
          </w:p>
        </w:tc>
        <w:tc>
          <w:tcPr>
            <w:tcW w:w="331" w:type="pct"/>
            <w:tcBorders>
              <w:top w:val="nil"/>
              <w:left w:val="nil"/>
              <w:bottom w:val="nil"/>
              <w:right w:val="nil"/>
            </w:tcBorders>
          </w:tcPr>
          <w:p w14:paraId="41765AA2" w14:textId="77777777" w:rsidR="004B7712" w:rsidRPr="00732D9A" w:rsidRDefault="004B7712" w:rsidP="004B7712">
            <w:pPr>
              <w:spacing w:before="60" w:after="60"/>
              <w:ind w:right="-29"/>
              <w:jc w:val="center"/>
              <w:rPr>
                <w:noProof/>
                <w:sz w:val="18"/>
                <w:szCs w:val="18"/>
              </w:rPr>
            </w:pPr>
          </w:p>
        </w:tc>
        <w:tc>
          <w:tcPr>
            <w:tcW w:w="265" w:type="pct"/>
            <w:gridSpan w:val="2"/>
            <w:tcBorders>
              <w:top w:val="nil"/>
              <w:left w:val="nil"/>
              <w:bottom w:val="nil"/>
              <w:right w:val="nil"/>
            </w:tcBorders>
          </w:tcPr>
          <w:p w14:paraId="747FDB61" w14:textId="77777777" w:rsidR="004B7712" w:rsidRPr="00732D9A"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681012F8" w14:textId="77777777" w:rsidR="004B7712" w:rsidRPr="00732D9A" w:rsidRDefault="004B7712" w:rsidP="004B7712">
            <w:pPr>
              <w:spacing w:before="60" w:after="60"/>
              <w:ind w:right="-29"/>
              <w:jc w:val="center"/>
              <w:rPr>
                <w:noProof/>
                <w:sz w:val="18"/>
                <w:szCs w:val="18"/>
              </w:rPr>
            </w:pPr>
          </w:p>
        </w:tc>
        <w:tc>
          <w:tcPr>
            <w:tcW w:w="238" w:type="pct"/>
            <w:tcBorders>
              <w:top w:val="nil"/>
              <w:left w:val="nil"/>
              <w:bottom w:val="nil"/>
              <w:right w:val="nil"/>
            </w:tcBorders>
          </w:tcPr>
          <w:p w14:paraId="4BB4A250" w14:textId="77777777" w:rsidR="004B7712" w:rsidRPr="00732D9A" w:rsidRDefault="004B7712" w:rsidP="004B7712">
            <w:pPr>
              <w:spacing w:before="60" w:after="60"/>
              <w:ind w:right="-29"/>
              <w:jc w:val="center"/>
              <w:rPr>
                <w:noProof/>
                <w:sz w:val="18"/>
                <w:szCs w:val="18"/>
              </w:rPr>
            </w:pPr>
          </w:p>
        </w:tc>
        <w:tc>
          <w:tcPr>
            <w:tcW w:w="159" w:type="pct"/>
            <w:tcBorders>
              <w:top w:val="nil"/>
              <w:left w:val="nil"/>
              <w:bottom w:val="nil"/>
              <w:right w:val="nil"/>
            </w:tcBorders>
          </w:tcPr>
          <w:p w14:paraId="6BC3B851"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4E82F2C9" w14:textId="77777777" w:rsidR="004B7712" w:rsidRPr="00732D9A" w:rsidRDefault="004B7712" w:rsidP="004B7712">
            <w:pPr>
              <w:spacing w:before="60" w:after="60"/>
              <w:ind w:right="-29"/>
              <w:jc w:val="center"/>
              <w:rPr>
                <w:noProof/>
                <w:sz w:val="18"/>
                <w:szCs w:val="18"/>
              </w:rPr>
            </w:pPr>
          </w:p>
        </w:tc>
        <w:tc>
          <w:tcPr>
            <w:tcW w:w="198" w:type="pct"/>
            <w:tcBorders>
              <w:top w:val="nil"/>
              <w:left w:val="nil"/>
              <w:bottom w:val="nil"/>
              <w:right w:val="nil"/>
            </w:tcBorders>
          </w:tcPr>
          <w:p w14:paraId="10A8F080"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3C1F0C0F" w14:textId="77777777" w:rsidR="004B7712" w:rsidRPr="00732D9A" w:rsidRDefault="004B7712" w:rsidP="004B7712">
            <w:pPr>
              <w:spacing w:before="60" w:after="60"/>
              <w:ind w:right="-29"/>
              <w:jc w:val="center"/>
              <w:rPr>
                <w:noProof/>
                <w:sz w:val="18"/>
                <w:szCs w:val="18"/>
              </w:rPr>
            </w:pPr>
          </w:p>
        </w:tc>
        <w:tc>
          <w:tcPr>
            <w:tcW w:w="265" w:type="pct"/>
            <w:tcBorders>
              <w:top w:val="nil"/>
              <w:left w:val="nil"/>
              <w:bottom w:val="nil"/>
              <w:right w:val="nil"/>
            </w:tcBorders>
          </w:tcPr>
          <w:p w14:paraId="0E1E5FB6" w14:textId="77777777" w:rsidR="004B7712" w:rsidRPr="00732D9A" w:rsidRDefault="004B7712" w:rsidP="004B7712">
            <w:pPr>
              <w:spacing w:before="60" w:after="60"/>
              <w:ind w:right="-29"/>
              <w:jc w:val="center"/>
              <w:rPr>
                <w:noProof/>
                <w:sz w:val="18"/>
                <w:szCs w:val="18"/>
              </w:rPr>
            </w:pPr>
          </w:p>
        </w:tc>
        <w:tc>
          <w:tcPr>
            <w:tcW w:w="327" w:type="pct"/>
            <w:tcBorders>
              <w:top w:val="nil"/>
              <w:left w:val="nil"/>
              <w:bottom w:val="nil"/>
              <w:right w:val="nil"/>
            </w:tcBorders>
          </w:tcPr>
          <w:p w14:paraId="3E4A8ECD" w14:textId="77777777" w:rsidR="004B7712" w:rsidRPr="00732D9A" w:rsidRDefault="004B7712" w:rsidP="004B7712">
            <w:pPr>
              <w:spacing w:before="60" w:after="60"/>
              <w:ind w:right="-29"/>
              <w:jc w:val="center"/>
              <w:rPr>
                <w:noProof/>
                <w:sz w:val="18"/>
                <w:szCs w:val="18"/>
              </w:rPr>
            </w:pPr>
          </w:p>
        </w:tc>
      </w:tr>
      <w:tr w:rsidR="004B7712" w:rsidRPr="00732D9A" w14:paraId="7010BB92" w14:textId="77777777" w:rsidTr="00883E25">
        <w:trPr>
          <w:trHeight w:hRule="exact" w:val="369"/>
          <w:jc w:val="center"/>
        </w:trPr>
        <w:tc>
          <w:tcPr>
            <w:tcW w:w="523" w:type="pct"/>
          </w:tcPr>
          <w:p w14:paraId="568B1BA6" w14:textId="77777777" w:rsidR="004B7712" w:rsidRPr="00732D9A" w:rsidRDefault="004B7712" w:rsidP="004B7712">
            <w:pPr>
              <w:ind w:right="-29"/>
              <w:jc w:val="center"/>
              <w:rPr>
                <w:noProof/>
                <w:sz w:val="18"/>
                <w:szCs w:val="18"/>
              </w:rPr>
            </w:pPr>
            <w:r w:rsidRPr="00732D9A">
              <w:rPr>
                <w:noProof/>
                <w:sz w:val="18"/>
              </w:rPr>
              <w:t>- Réalisation</w:t>
            </w:r>
          </w:p>
        </w:tc>
        <w:tc>
          <w:tcPr>
            <w:tcW w:w="265" w:type="pct"/>
          </w:tcPr>
          <w:p w14:paraId="31B08BD8" w14:textId="77777777" w:rsidR="004B7712" w:rsidRPr="00732D9A" w:rsidRDefault="004B7712" w:rsidP="004B7712">
            <w:pPr>
              <w:ind w:right="-29"/>
              <w:jc w:val="center"/>
              <w:rPr>
                <w:noProof/>
                <w:sz w:val="18"/>
                <w:szCs w:val="18"/>
              </w:rPr>
            </w:pPr>
          </w:p>
        </w:tc>
        <w:tc>
          <w:tcPr>
            <w:tcW w:w="258" w:type="pct"/>
          </w:tcPr>
          <w:p w14:paraId="5CF19D75" w14:textId="77777777" w:rsidR="004B7712" w:rsidRPr="00732D9A" w:rsidRDefault="004B7712" w:rsidP="004B7712">
            <w:pPr>
              <w:ind w:right="-29"/>
              <w:jc w:val="center"/>
              <w:rPr>
                <w:noProof/>
                <w:sz w:val="18"/>
                <w:szCs w:val="18"/>
              </w:rPr>
            </w:pPr>
          </w:p>
        </w:tc>
        <w:tc>
          <w:tcPr>
            <w:tcW w:w="185" w:type="pct"/>
          </w:tcPr>
          <w:p w14:paraId="3C326FFD" w14:textId="77777777" w:rsidR="004B7712" w:rsidRPr="00732D9A" w:rsidRDefault="004B7712" w:rsidP="004B7712">
            <w:pPr>
              <w:ind w:right="-29"/>
              <w:jc w:val="center"/>
              <w:rPr>
                <w:noProof/>
                <w:sz w:val="18"/>
                <w:szCs w:val="18"/>
              </w:rPr>
            </w:pPr>
          </w:p>
        </w:tc>
        <w:tc>
          <w:tcPr>
            <w:tcW w:w="265" w:type="pct"/>
          </w:tcPr>
          <w:p w14:paraId="75FF189F" w14:textId="77777777" w:rsidR="004B7712" w:rsidRPr="00732D9A" w:rsidRDefault="004B7712" w:rsidP="004B7712">
            <w:pPr>
              <w:ind w:right="-29"/>
              <w:jc w:val="center"/>
              <w:rPr>
                <w:noProof/>
                <w:sz w:val="18"/>
                <w:szCs w:val="18"/>
              </w:rPr>
            </w:pPr>
          </w:p>
        </w:tc>
        <w:tc>
          <w:tcPr>
            <w:tcW w:w="198" w:type="pct"/>
          </w:tcPr>
          <w:p w14:paraId="56607230" w14:textId="77777777" w:rsidR="004B7712" w:rsidRPr="00732D9A" w:rsidRDefault="004B7712" w:rsidP="004B7712">
            <w:pPr>
              <w:ind w:right="-29"/>
              <w:jc w:val="center"/>
              <w:rPr>
                <w:noProof/>
                <w:sz w:val="18"/>
                <w:szCs w:val="18"/>
              </w:rPr>
            </w:pPr>
          </w:p>
        </w:tc>
        <w:tc>
          <w:tcPr>
            <w:tcW w:w="265" w:type="pct"/>
          </w:tcPr>
          <w:p w14:paraId="4D0980F7" w14:textId="77777777" w:rsidR="004B7712" w:rsidRPr="00732D9A" w:rsidRDefault="004B7712" w:rsidP="004B7712">
            <w:pPr>
              <w:ind w:right="-29"/>
              <w:jc w:val="center"/>
              <w:rPr>
                <w:noProof/>
                <w:sz w:val="18"/>
                <w:szCs w:val="18"/>
              </w:rPr>
            </w:pPr>
          </w:p>
        </w:tc>
        <w:tc>
          <w:tcPr>
            <w:tcW w:w="265" w:type="pct"/>
          </w:tcPr>
          <w:p w14:paraId="00A5624B" w14:textId="77777777" w:rsidR="004B7712" w:rsidRPr="00732D9A" w:rsidRDefault="004B7712" w:rsidP="004B7712">
            <w:pPr>
              <w:ind w:right="-29"/>
              <w:jc w:val="center"/>
              <w:rPr>
                <w:noProof/>
                <w:sz w:val="18"/>
                <w:szCs w:val="18"/>
              </w:rPr>
            </w:pPr>
          </w:p>
        </w:tc>
        <w:tc>
          <w:tcPr>
            <w:tcW w:w="265" w:type="pct"/>
          </w:tcPr>
          <w:p w14:paraId="63B89390" w14:textId="77777777" w:rsidR="004B7712" w:rsidRPr="00732D9A" w:rsidRDefault="004B7712" w:rsidP="004B7712">
            <w:pPr>
              <w:ind w:right="-29"/>
              <w:jc w:val="center"/>
              <w:rPr>
                <w:noProof/>
                <w:sz w:val="18"/>
                <w:szCs w:val="18"/>
              </w:rPr>
            </w:pPr>
          </w:p>
        </w:tc>
        <w:tc>
          <w:tcPr>
            <w:tcW w:w="331" w:type="pct"/>
          </w:tcPr>
          <w:p w14:paraId="3B01DD9F" w14:textId="77777777" w:rsidR="004B7712" w:rsidRPr="00732D9A" w:rsidRDefault="004B7712" w:rsidP="004B7712">
            <w:pPr>
              <w:ind w:right="-29"/>
              <w:jc w:val="center"/>
              <w:rPr>
                <w:noProof/>
                <w:sz w:val="18"/>
                <w:szCs w:val="18"/>
              </w:rPr>
            </w:pPr>
          </w:p>
        </w:tc>
        <w:tc>
          <w:tcPr>
            <w:tcW w:w="265" w:type="pct"/>
            <w:gridSpan w:val="2"/>
          </w:tcPr>
          <w:p w14:paraId="519FE7B0" w14:textId="77777777" w:rsidR="004B7712" w:rsidRPr="00732D9A" w:rsidRDefault="004B7712" w:rsidP="004B7712">
            <w:pPr>
              <w:ind w:right="-29"/>
              <w:jc w:val="center"/>
              <w:rPr>
                <w:noProof/>
                <w:sz w:val="18"/>
                <w:szCs w:val="18"/>
              </w:rPr>
            </w:pPr>
          </w:p>
        </w:tc>
        <w:tc>
          <w:tcPr>
            <w:tcW w:w="198" w:type="pct"/>
          </w:tcPr>
          <w:p w14:paraId="7E883D59" w14:textId="77777777" w:rsidR="004B7712" w:rsidRPr="00732D9A" w:rsidRDefault="004B7712" w:rsidP="004B7712">
            <w:pPr>
              <w:ind w:right="-29"/>
              <w:jc w:val="center"/>
              <w:rPr>
                <w:noProof/>
                <w:sz w:val="18"/>
                <w:szCs w:val="18"/>
              </w:rPr>
            </w:pPr>
          </w:p>
        </w:tc>
        <w:tc>
          <w:tcPr>
            <w:tcW w:w="238" w:type="pct"/>
          </w:tcPr>
          <w:p w14:paraId="4BA68D8C" w14:textId="77777777" w:rsidR="004B7712" w:rsidRPr="00732D9A" w:rsidRDefault="004B7712" w:rsidP="004B7712">
            <w:pPr>
              <w:ind w:right="-29"/>
              <w:jc w:val="center"/>
              <w:rPr>
                <w:noProof/>
                <w:sz w:val="18"/>
                <w:szCs w:val="18"/>
              </w:rPr>
            </w:pPr>
          </w:p>
        </w:tc>
        <w:tc>
          <w:tcPr>
            <w:tcW w:w="159" w:type="pct"/>
          </w:tcPr>
          <w:p w14:paraId="4F910468" w14:textId="77777777" w:rsidR="004B7712" w:rsidRPr="00732D9A" w:rsidRDefault="004B7712" w:rsidP="004B7712">
            <w:pPr>
              <w:ind w:right="-29"/>
              <w:jc w:val="center"/>
              <w:rPr>
                <w:noProof/>
                <w:sz w:val="18"/>
                <w:szCs w:val="18"/>
              </w:rPr>
            </w:pPr>
          </w:p>
        </w:tc>
        <w:tc>
          <w:tcPr>
            <w:tcW w:w="265" w:type="pct"/>
          </w:tcPr>
          <w:p w14:paraId="0962EDBD" w14:textId="77777777" w:rsidR="004B7712" w:rsidRPr="00732D9A" w:rsidRDefault="004B7712" w:rsidP="004B7712">
            <w:pPr>
              <w:ind w:right="-29"/>
              <w:jc w:val="center"/>
              <w:rPr>
                <w:noProof/>
                <w:sz w:val="18"/>
                <w:szCs w:val="18"/>
              </w:rPr>
            </w:pPr>
          </w:p>
        </w:tc>
        <w:tc>
          <w:tcPr>
            <w:tcW w:w="198" w:type="pct"/>
          </w:tcPr>
          <w:p w14:paraId="33472AFA" w14:textId="77777777" w:rsidR="004B7712" w:rsidRPr="00732D9A" w:rsidRDefault="004B7712" w:rsidP="004B7712">
            <w:pPr>
              <w:ind w:right="-29"/>
              <w:jc w:val="center"/>
              <w:rPr>
                <w:noProof/>
                <w:sz w:val="18"/>
                <w:szCs w:val="18"/>
              </w:rPr>
            </w:pPr>
          </w:p>
        </w:tc>
        <w:tc>
          <w:tcPr>
            <w:tcW w:w="265" w:type="pct"/>
          </w:tcPr>
          <w:p w14:paraId="4C487EF4" w14:textId="77777777" w:rsidR="004B7712" w:rsidRPr="00732D9A" w:rsidRDefault="004B7712" w:rsidP="004B7712">
            <w:pPr>
              <w:ind w:right="-29"/>
              <w:jc w:val="center"/>
              <w:rPr>
                <w:noProof/>
                <w:sz w:val="18"/>
                <w:szCs w:val="18"/>
              </w:rPr>
            </w:pPr>
          </w:p>
        </w:tc>
        <w:tc>
          <w:tcPr>
            <w:tcW w:w="265" w:type="pct"/>
          </w:tcPr>
          <w:p w14:paraId="143B3115" w14:textId="77777777" w:rsidR="004B7712" w:rsidRPr="00732D9A" w:rsidRDefault="004B7712" w:rsidP="004B7712">
            <w:pPr>
              <w:ind w:right="-29"/>
              <w:jc w:val="center"/>
              <w:rPr>
                <w:noProof/>
                <w:sz w:val="18"/>
                <w:szCs w:val="18"/>
              </w:rPr>
            </w:pPr>
          </w:p>
        </w:tc>
        <w:tc>
          <w:tcPr>
            <w:tcW w:w="327" w:type="pct"/>
          </w:tcPr>
          <w:p w14:paraId="3DD6AF52" w14:textId="77777777" w:rsidR="004B7712" w:rsidRPr="00732D9A" w:rsidRDefault="004B7712" w:rsidP="004B7712">
            <w:pPr>
              <w:ind w:right="-29"/>
              <w:jc w:val="center"/>
              <w:rPr>
                <w:noProof/>
                <w:sz w:val="18"/>
                <w:szCs w:val="18"/>
              </w:rPr>
            </w:pPr>
          </w:p>
        </w:tc>
      </w:tr>
      <w:tr w:rsidR="004B7712" w:rsidRPr="00732D9A" w14:paraId="32DA71E3" w14:textId="77777777" w:rsidTr="006E4FCE">
        <w:trPr>
          <w:jc w:val="center"/>
        </w:trPr>
        <w:tc>
          <w:tcPr>
            <w:tcW w:w="1046" w:type="pct"/>
            <w:gridSpan w:val="3"/>
            <w:tcBorders>
              <w:bottom w:val="single" w:sz="12" w:space="0" w:color="auto"/>
            </w:tcBorders>
            <w:vAlign w:val="center"/>
          </w:tcPr>
          <w:p w14:paraId="4CF8C7A0" w14:textId="77777777" w:rsidR="004B7712" w:rsidRPr="00732D9A" w:rsidRDefault="004B7712" w:rsidP="004B7712">
            <w:pPr>
              <w:jc w:val="center"/>
              <w:rPr>
                <w:noProof/>
                <w:sz w:val="18"/>
                <w:szCs w:val="18"/>
              </w:rPr>
            </w:pPr>
            <w:r w:rsidRPr="00732D9A">
              <w:rPr>
                <w:noProof/>
                <w:sz w:val="18"/>
              </w:rPr>
              <w:t>Sous-total objectif spécifique nº 2</w:t>
            </w:r>
          </w:p>
        </w:tc>
        <w:tc>
          <w:tcPr>
            <w:tcW w:w="185" w:type="pct"/>
            <w:tcBorders>
              <w:bottom w:val="single" w:sz="12" w:space="0" w:color="auto"/>
            </w:tcBorders>
            <w:vAlign w:val="bottom"/>
          </w:tcPr>
          <w:p w14:paraId="7F0F1B10"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018E4222"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498BB5A4"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0FC443A0" w14:textId="77777777" w:rsidR="004B7712" w:rsidRPr="00732D9A" w:rsidRDefault="004B7712" w:rsidP="004B7712">
            <w:pPr>
              <w:ind w:right="-29"/>
              <w:jc w:val="center"/>
              <w:rPr>
                <w:noProof/>
                <w:sz w:val="18"/>
                <w:szCs w:val="18"/>
              </w:rPr>
            </w:pPr>
            <w:r w:rsidRPr="00732D9A">
              <w:rPr>
                <w:b/>
                <w:noProof/>
                <w:color w:val="000000"/>
                <w:sz w:val="18"/>
              </w:rPr>
              <w:t>0,000</w:t>
            </w:r>
          </w:p>
        </w:tc>
        <w:tc>
          <w:tcPr>
            <w:tcW w:w="265" w:type="pct"/>
            <w:tcBorders>
              <w:bottom w:val="single" w:sz="12" w:space="0" w:color="auto"/>
            </w:tcBorders>
            <w:vAlign w:val="bottom"/>
          </w:tcPr>
          <w:p w14:paraId="77631768"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2F85D928" w14:textId="77777777" w:rsidR="004B7712" w:rsidRPr="00732D9A" w:rsidRDefault="004B7712" w:rsidP="004B7712">
            <w:pPr>
              <w:ind w:right="-29"/>
              <w:jc w:val="center"/>
              <w:rPr>
                <w:noProof/>
                <w:sz w:val="18"/>
                <w:szCs w:val="18"/>
              </w:rPr>
            </w:pPr>
            <w:r w:rsidRPr="00732D9A">
              <w:rPr>
                <w:b/>
                <w:noProof/>
                <w:color w:val="000000"/>
                <w:sz w:val="18"/>
              </w:rPr>
              <w:t>0,000</w:t>
            </w:r>
          </w:p>
        </w:tc>
        <w:tc>
          <w:tcPr>
            <w:tcW w:w="349" w:type="pct"/>
            <w:gridSpan w:val="2"/>
            <w:tcBorders>
              <w:bottom w:val="single" w:sz="12" w:space="0" w:color="auto"/>
            </w:tcBorders>
            <w:vAlign w:val="bottom"/>
          </w:tcPr>
          <w:p w14:paraId="3CE8AE6B" w14:textId="77777777" w:rsidR="004B7712" w:rsidRPr="00732D9A" w:rsidRDefault="004B7712" w:rsidP="004B7712">
            <w:pPr>
              <w:ind w:right="-29"/>
              <w:jc w:val="center"/>
              <w:rPr>
                <w:noProof/>
                <w:sz w:val="18"/>
                <w:szCs w:val="18"/>
              </w:rPr>
            </w:pPr>
            <w:r w:rsidRPr="00732D9A">
              <w:rPr>
                <w:b/>
                <w:noProof/>
                <w:color w:val="000000"/>
                <w:sz w:val="18"/>
              </w:rPr>
              <w:t>0</w:t>
            </w:r>
          </w:p>
        </w:tc>
        <w:tc>
          <w:tcPr>
            <w:tcW w:w="247" w:type="pct"/>
            <w:tcBorders>
              <w:bottom w:val="single" w:sz="12" w:space="0" w:color="auto"/>
            </w:tcBorders>
            <w:vAlign w:val="bottom"/>
          </w:tcPr>
          <w:p w14:paraId="4578255F"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2D3E99EF" w14:textId="77777777" w:rsidR="004B7712" w:rsidRPr="00732D9A" w:rsidRDefault="004B7712" w:rsidP="004B7712">
            <w:pPr>
              <w:ind w:right="-29"/>
              <w:jc w:val="center"/>
              <w:rPr>
                <w:noProof/>
                <w:sz w:val="18"/>
                <w:szCs w:val="18"/>
              </w:rPr>
            </w:pPr>
            <w:r w:rsidRPr="00732D9A">
              <w:rPr>
                <w:b/>
                <w:noProof/>
                <w:color w:val="000000"/>
                <w:sz w:val="18"/>
              </w:rPr>
              <w:t>0</w:t>
            </w:r>
          </w:p>
        </w:tc>
        <w:tc>
          <w:tcPr>
            <w:tcW w:w="238" w:type="pct"/>
            <w:tcBorders>
              <w:bottom w:val="single" w:sz="12" w:space="0" w:color="auto"/>
            </w:tcBorders>
            <w:vAlign w:val="bottom"/>
          </w:tcPr>
          <w:p w14:paraId="55A4394B" w14:textId="77777777" w:rsidR="004B7712" w:rsidRPr="00732D9A" w:rsidRDefault="004B7712" w:rsidP="004B7712">
            <w:pPr>
              <w:ind w:right="-29"/>
              <w:jc w:val="center"/>
              <w:rPr>
                <w:noProof/>
                <w:sz w:val="18"/>
                <w:szCs w:val="18"/>
              </w:rPr>
            </w:pPr>
            <w:r w:rsidRPr="00732D9A">
              <w:rPr>
                <w:b/>
                <w:noProof/>
                <w:color w:val="000000"/>
                <w:sz w:val="18"/>
              </w:rPr>
              <w:t>0,000</w:t>
            </w:r>
          </w:p>
        </w:tc>
        <w:tc>
          <w:tcPr>
            <w:tcW w:w="159" w:type="pct"/>
            <w:tcBorders>
              <w:bottom w:val="single" w:sz="12" w:space="0" w:color="auto"/>
            </w:tcBorders>
            <w:vAlign w:val="bottom"/>
          </w:tcPr>
          <w:p w14:paraId="1836D96D"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0B3FE2A6" w14:textId="77777777" w:rsidR="004B7712" w:rsidRPr="00732D9A" w:rsidRDefault="004B7712" w:rsidP="004B7712">
            <w:pPr>
              <w:ind w:right="-29"/>
              <w:jc w:val="center"/>
              <w:rPr>
                <w:noProof/>
                <w:sz w:val="18"/>
                <w:szCs w:val="18"/>
              </w:rPr>
            </w:pPr>
            <w:r w:rsidRPr="00732D9A">
              <w:rPr>
                <w:b/>
                <w:noProof/>
                <w:color w:val="000000"/>
                <w:sz w:val="18"/>
              </w:rPr>
              <w:t>0,000</w:t>
            </w:r>
          </w:p>
        </w:tc>
        <w:tc>
          <w:tcPr>
            <w:tcW w:w="198" w:type="pct"/>
            <w:tcBorders>
              <w:bottom w:val="single" w:sz="12" w:space="0" w:color="auto"/>
            </w:tcBorders>
            <w:vAlign w:val="bottom"/>
          </w:tcPr>
          <w:p w14:paraId="2CE6A8B0" w14:textId="77777777" w:rsidR="004B7712" w:rsidRPr="00732D9A" w:rsidRDefault="004B7712" w:rsidP="004B7712">
            <w:pPr>
              <w:ind w:right="-29"/>
              <w:jc w:val="center"/>
              <w:rPr>
                <w:noProof/>
                <w:sz w:val="18"/>
                <w:szCs w:val="18"/>
              </w:rPr>
            </w:pPr>
            <w:r w:rsidRPr="00732D9A">
              <w:rPr>
                <w:b/>
                <w:noProof/>
                <w:color w:val="000000"/>
                <w:sz w:val="18"/>
              </w:rPr>
              <w:t>0</w:t>
            </w:r>
          </w:p>
        </w:tc>
        <w:tc>
          <w:tcPr>
            <w:tcW w:w="265" w:type="pct"/>
            <w:tcBorders>
              <w:bottom w:val="single" w:sz="12" w:space="0" w:color="auto"/>
            </w:tcBorders>
            <w:vAlign w:val="bottom"/>
          </w:tcPr>
          <w:p w14:paraId="27E22C20" w14:textId="77777777" w:rsidR="004B7712" w:rsidRPr="00732D9A" w:rsidRDefault="004B7712" w:rsidP="004B7712">
            <w:pPr>
              <w:ind w:right="-29"/>
              <w:jc w:val="center"/>
              <w:rPr>
                <w:noProof/>
                <w:sz w:val="18"/>
                <w:szCs w:val="18"/>
              </w:rPr>
            </w:pPr>
            <w:r w:rsidRPr="00732D9A">
              <w:rPr>
                <w:b/>
                <w:noProof/>
                <w:color w:val="000000"/>
                <w:sz w:val="18"/>
              </w:rPr>
              <w:t>0,000</w:t>
            </w:r>
          </w:p>
        </w:tc>
        <w:tc>
          <w:tcPr>
            <w:tcW w:w="265" w:type="pct"/>
            <w:tcBorders>
              <w:bottom w:val="single" w:sz="12" w:space="0" w:color="auto"/>
            </w:tcBorders>
            <w:vAlign w:val="bottom"/>
          </w:tcPr>
          <w:p w14:paraId="2AC38657" w14:textId="77777777" w:rsidR="004B7712" w:rsidRPr="00732D9A" w:rsidRDefault="004B7712" w:rsidP="004B7712">
            <w:pPr>
              <w:ind w:right="-29"/>
              <w:jc w:val="center"/>
              <w:rPr>
                <w:noProof/>
                <w:sz w:val="18"/>
                <w:szCs w:val="18"/>
              </w:rPr>
            </w:pPr>
            <w:r w:rsidRPr="00732D9A">
              <w:rPr>
                <w:b/>
                <w:noProof/>
                <w:color w:val="000000"/>
                <w:sz w:val="18"/>
              </w:rPr>
              <w:t>0</w:t>
            </w:r>
          </w:p>
        </w:tc>
        <w:tc>
          <w:tcPr>
            <w:tcW w:w="327" w:type="pct"/>
            <w:tcBorders>
              <w:bottom w:val="single" w:sz="12" w:space="0" w:color="auto"/>
            </w:tcBorders>
            <w:vAlign w:val="bottom"/>
          </w:tcPr>
          <w:p w14:paraId="2A0592B8" w14:textId="77777777" w:rsidR="004B7712" w:rsidRPr="00732D9A" w:rsidRDefault="004B7712" w:rsidP="004B7712">
            <w:pPr>
              <w:ind w:right="-29"/>
              <w:jc w:val="center"/>
              <w:rPr>
                <w:noProof/>
                <w:sz w:val="18"/>
                <w:szCs w:val="18"/>
              </w:rPr>
            </w:pPr>
            <w:r w:rsidRPr="00732D9A">
              <w:rPr>
                <w:b/>
                <w:noProof/>
                <w:color w:val="000000"/>
                <w:sz w:val="18"/>
              </w:rPr>
              <w:t>0,000</w:t>
            </w:r>
          </w:p>
        </w:tc>
      </w:tr>
      <w:tr w:rsidR="004B7712" w:rsidRPr="00732D9A" w14:paraId="7C513CBB" w14:textId="77777777" w:rsidTr="006E4FCE">
        <w:trPr>
          <w:jc w:val="center"/>
        </w:trPr>
        <w:tc>
          <w:tcPr>
            <w:tcW w:w="1046" w:type="pct"/>
            <w:gridSpan w:val="3"/>
            <w:tcBorders>
              <w:top w:val="single" w:sz="12" w:space="0" w:color="auto"/>
              <w:left w:val="single" w:sz="12" w:space="0" w:color="auto"/>
              <w:bottom w:val="single" w:sz="12" w:space="0" w:color="auto"/>
            </w:tcBorders>
            <w:vAlign w:val="center"/>
          </w:tcPr>
          <w:p w14:paraId="014FF187" w14:textId="77777777" w:rsidR="004B7712" w:rsidRPr="00732D9A" w:rsidRDefault="004B7712" w:rsidP="004B7712">
            <w:pPr>
              <w:ind w:right="-29"/>
              <w:jc w:val="center"/>
              <w:rPr>
                <w:noProof/>
                <w:sz w:val="18"/>
                <w:szCs w:val="18"/>
              </w:rPr>
            </w:pPr>
            <w:r w:rsidRPr="00732D9A">
              <w:rPr>
                <w:b/>
                <w:noProof/>
                <w:sz w:val="18"/>
              </w:rPr>
              <w:t>TOTAUX</w:t>
            </w:r>
          </w:p>
        </w:tc>
        <w:tc>
          <w:tcPr>
            <w:tcW w:w="185" w:type="pct"/>
            <w:tcBorders>
              <w:top w:val="single" w:sz="12" w:space="0" w:color="auto"/>
              <w:bottom w:val="single" w:sz="12" w:space="0" w:color="auto"/>
            </w:tcBorders>
            <w:vAlign w:val="bottom"/>
          </w:tcPr>
          <w:p w14:paraId="72F17645"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tcBorders>
              <w:top w:val="single" w:sz="12" w:space="0" w:color="auto"/>
              <w:bottom w:val="single" w:sz="12" w:space="0" w:color="auto"/>
            </w:tcBorders>
            <w:vAlign w:val="bottom"/>
          </w:tcPr>
          <w:p w14:paraId="3453380B"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198" w:type="pct"/>
            <w:tcBorders>
              <w:top w:val="single" w:sz="12" w:space="0" w:color="auto"/>
              <w:bottom w:val="single" w:sz="12" w:space="0" w:color="auto"/>
            </w:tcBorders>
            <w:vAlign w:val="bottom"/>
          </w:tcPr>
          <w:p w14:paraId="7799D07D"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tcBorders>
              <w:top w:val="single" w:sz="12" w:space="0" w:color="auto"/>
              <w:bottom w:val="single" w:sz="12" w:space="0" w:color="auto"/>
            </w:tcBorders>
            <w:vAlign w:val="bottom"/>
          </w:tcPr>
          <w:p w14:paraId="62E04B16"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265" w:type="pct"/>
            <w:tcBorders>
              <w:top w:val="single" w:sz="12" w:space="0" w:color="auto"/>
              <w:bottom w:val="single" w:sz="12" w:space="0" w:color="auto"/>
            </w:tcBorders>
            <w:vAlign w:val="bottom"/>
          </w:tcPr>
          <w:p w14:paraId="51AD789D"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tcBorders>
              <w:top w:val="single" w:sz="12" w:space="0" w:color="auto"/>
              <w:bottom w:val="single" w:sz="12" w:space="0" w:color="auto"/>
            </w:tcBorders>
            <w:vAlign w:val="bottom"/>
          </w:tcPr>
          <w:p w14:paraId="06F8EEEA"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331" w:type="pct"/>
            <w:tcBorders>
              <w:top w:val="single" w:sz="12" w:space="0" w:color="auto"/>
              <w:bottom w:val="single" w:sz="12" w:space="0" w:color="auto"/>
            </w:tcBorders>
            <w:vAlign w:val="bottom"/>
          </w:tcPr>
          <w:p w14:paraId="16F22C40"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gridSpan w:val="2"/>
            <w:tcBorders>
              <w:top w:val="single" w:sz="12" w:space="0" w:color="auto"/>
              <w:bottom w:val="single" w:sz="12" w:space="0" w:color="auto"/>
            </w:tcBorders>
            <w:vAlign w:val="bottom"/>
          </w:tcPr>
          <w:p w14:paraId="6398514A"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198" w:type="pct"/>
            <w:tcBorders>
              <w:top w:val="single" w:sz="12" w:space="0" w:color="auto"/>
              <w:bottom w:val="single" w:sz="12" w:space="0" w:color="auto"/>
            </w:tcBorders>
            <w:vAlign w:val="bottom"/>
          </w:tcPr>
          <w:p w14:paraId="65736D01"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38" w:type="pct"/>
            <w:tcBorders>
              <w:top w:val="single" w:sz="12" w:space="0" w:color="auto"/>
              <w:bottom w:val="single" w:sz="12" w:space="0" w:color="auto"/>
            </w:tcBorders>
            <w:vAlign w:val="bottom"/>
          </w:tcPr>
          <w:p w14:paraId="1829B980"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159" w:type="pct"/>
            <w:tcBorders>
              <w:top w:val="single" w:sz="12" w:space="0" w:color="auto"/>
              <w:bottom w:val="single" w:sz="12" w:space="0" w:color="auto"/>
            </w:tcBorders>
            <w:vAlign w:val="bottom"/>
          </w:tcPr>
          <w:p w14:paraId="13BE19D3"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tcBorders>
              <w:top w:val="single" w:sz="12" w:space="0" w:color="auto"/>
              <w:bottom w:val="single" w:sz="12" w:space="0" w:color="auto"/>
            </w:tcBorders>
            <w:vAlign w:val="bottom"/>
          </w:tcPr>
          <w:p w14:paraId="7EF18193"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198" w:type="pct"/>
            <w:tcBorders>
              <w:top w:val="single" w:sz="12" w:space="0" w:color="auto"/>
              <w:bottom w:val="single" w:sz="12" w:space="0" w:color="auto"/>
            </w:tcBorders>
            <w:vAlign w:val="bottom"/>
          </w:tcPr>
          <w:p w14:paraId="1204E103"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265" w:type="pct"/>
            <w:tcBorders>
              <w:top w:val="single" w:sz="12" w:space="0" w:color="auto"/>
              <w:bottom w:val="single" w:sz="12" w:space="0" w:color="auto"/>
            </w:tcBorders>
            <w:vAlign w:val="bottom"/>
          </w:tcPr>
          <w:p w14:paraId="6038E643"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c>
          <w:tcPr>
            <w:tcW w:w="265" w:type="pct"/>
            <w:tcBorders>
              <w:top w:val="single" w:sz="12" w:space="0" w:color="auto"/>
              <w:bottom w:val="single" w:sz="12" w:space="0" w:color="auto"/>
            </w:tcBorders>
            <w:vAlign w:val="bottom"/>
          </w:tcPr>
          <w:p w14:paraId="01E67EB2" w14:textId="77777777" w:rsidR="004B7712" w:rsidRPr="00732D9A" w:rsidRDefault="004B7712" w:rsidP="004B7712">
            <w:pPr>
              <w:spacing w:before="180" w:after="180"/>
              <w:ind w:right="-29"/>
              <w:jc w:val="center"/>
              <w:rPr>
                <w:noProof/>
                <w:sz w:val="18"/>
                <w:szCs w:val="18"/>
              </w:rPr>
            </w:pPr>
            <w:r w:rsidRPr="00732D9A">
              <w:rPr>
                <w:b/>
                <w:noProof/>
                <w:color w:val="000000"/>
                <w:sz w:val="18"/>
              </w:rPr>
              <w:t>0</w:t>
            </w:r>
          </w:p>
        </w:tc>
        <w:tc>
          <w:tcPr>
            <w:tcW w:w="327" w:type="pct"/>
            <w:tcBorders>
              <w:top w:val="single" w:sz="12" w:space="0" w:color="auto"/>
              <w:bottom w:val="single" w:sz="12" w:space="0" w:color="auto"/>
              <w:right w:val="single" w:sz="12" w:space="0" w:color="auto"/>
            </w:tcBorders>
            <w:vAlign w:val="bottom"/>
          </w:tcPr>
          <w:p w14:paraId="02972ACA" w14:textId="77777777" w:rsidR="004B7712" w:rsidRPr="00732D9A" w:rsidRDefault="004B7712" w:rsidP="004B7712">
            <w:pPr>
              <w:spacing w:before="180" w:after="180"/>
              <w:ind w:right="-29"/>
              <w:jc w:val="center"/>
              <w:rPr>
                <w:noProof/>
                <w:sz w:val="18"/>
                <w:szCs w:val="18"/>
              </w:rPr>
            </w:pPr>
            <w:r w:rsidRPr="00732D9A">
              <w:rPr>
                <w:b/>
                <w:noProof/>
                <w:color w:val="000000"/>
                <w:sz w:val="18"/>
              </w:rPr>
              <w:t>0,000</w:t>
            </w:r>
          </w:p>
        </w:tc>
      </w:tr>
    </w:tbl>
    <w:p w14:paraId="5393CF5C" w14:textId="77777777" w:rsidR="00883E25" w:rsidRPr="00732D9A" w:rsidRDefault="00883E25">
      <w:pPr>
        <w:rPr>
          <w:noProof/>
        </w:rPr>
      </w:pPr>
    </w:p>
    <w:tbl>
      <w:tblPr>
        <w:tblW w:w="5000" w:type="pct"/>
        <w:tblLook w:val="04A0" w:firstRow="1" w:lastRow="0" w:firstColumn="1" w:lastColumn="0" w:noHBand="0" w:noVBand="1"/>
      </w:tblPr>
      <w:tblGrid>
        <w:gridCol w:w="1545"/>
        <w:gridCol w:w="546"/>
        <w:gridCol w:w="777"/>
        <w:gridCol w:w="496"/>
        <w:gridCol w:w="640"/>
        <w:gridCol w:w="496"/>
        <w:gridCol w:w="641"/>
        <w:gridCol w:w="496"/>
        <w:gridCol w:w="641"/>
        <w:gridCol w:w="496"/>
        <w:gridCol w:w="641"/>
        <w:gridCol w:w="496"/>
        <w:gridCol w:w="641"/>
        <w:gridCol w:w="496"/>
        <w:gridCol w:w="641"/>
        <w:gridCol w:w="496"/>
        <w:gridCol w:w="642"/>
        <w:gridCol w:w="496"/>
        <w:gridCol w:w="642"/>
        <w:gridCol w:w="496"/>
        <w:gridCol w:w="642"/>
        <w:gridCol w:w="496"/>
        <w:gridCol w:w="621"/>
      </w:tblGrid>
      <w:tr w:rsidR="00883E25" w:rsidRPr="00732D9A" w14:paraId="7EF120FC" w14:textId="77777777" w:rsidTr="00411214">
        <w:trPr>
          <w:trHeight w:val="300"/>
        </w:trPr>
        <w:tc>
          <w:tcPr>
            <w:tcW w:w="560" w:type="pct"/>
            <w:tcBorders>
              <w:top w:val="single" w:sz="8" w:space="0" w:color="000000"/>
              <w:left w:val="single" w:sz="8" w:space="0" w:color="000000"/>
              <w:bottom w:val="single" w:sz="4" w:space="0" w:color="000000"/>
              <w:right w:val="single" w:sz="4" w:space="0" w:color="000000"/>
            </w:tcBorders>
            <w:vAlign w:val="bottom"/>
            <w:hideMark/>
          </w:tcPr>
          <w:p w14:paraId="6886D150" w14:textId="77777777" w:rsidR="00883E25" w:rsidRPr="00732D9A" w:rsidRDefault="00883E25" w:rsidP="00883E25">
            <w:pPr>
              <w:spacing w:before="0" w:after="0"/>
              <w:jc w:val="left"/>
              <w:rPr>
                <w:rFonts w:eastAsia="Times New Roman"/>
                <w:b/>
                <w:bCs/>
                <w:noProof/>
                <w:color w:val="000000"/>
                <w:sz w:val="18"/>
                <w:szCs w:val="18"/>
              </w:rPr>
            </w:pPr>
            <w:r w:rsidRPr="00732D9A">
              <w:rPr>
                <w:b/>
                <w:noProof/>
                <w:color w:val="000000"/>
                <w:sz w:val="18"/>
              </w:rPr>
              <w:t>Indiquer les objectifs et les réalisations</w:t>
            </w:r>
          </w:p>
        </w:tc>
        <w:tc>
          <w:tcPr>
            <w:tcW w:w="209" w:type="pct"/>
            <w:tcBorders>
              <w:top w:val="single" w:sz="8" w:space="0" w:color="000000"/>
              <w:left w:val="nil"/>
              <w:bottom w:val="single" w:sz="4" w:space="0" w:color="000000"/>
              <w:right w:val="single" w:sz="4" w:space="0" w:color="000000"/>
            </w:tcBorders>
            <w:noWrap/>
            <w:vAlign w:val="bottom"/>
            <w:hideMark/>
          </w:tcPr>
          <w:p w14:paraId="1718E28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single" w:sz="8" w:space="0" w:color="000000"/>
              <w:left w:val="nil"/>
              <w:bottom w:val="single" w:sz="4" w:space="0" w:color="000000"/>
              <w:right w:val="single" w:sz="4" w:space="0" w:color="000000"/>
            </w:tcBorders>
            <w:noWrap/>
            <w:vAlign w:val="bottom"/>
            <w:hideMark/>
          </w:tcPr>
          <w:p w14:paraId="30B7F1B2"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395" w:type="pct"/>
            <w:gridSpan w:val="2"/>
            <w:tcBorders>
              <w:top w:val="single" w:sz="8" w:space="0" w:color="000000"/>
              <w:left w:val="nil"/>
              <w:bottom w:val="single" w:sz="4" w:space="0" w:color="000000"/>
              <w:right w:val="single" w:sz="4" w:space="0" w:color="000000"/>
            </w:tcBorders>
            <w:vAlign w:val="center"/>
            <w:hideMark/>
          </w:tcPr>
          <w:p w14:paraId="1BC01587"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3306AA0B"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21B64536"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6889DA98"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0B93D8FB"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41F7CDE8"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tcBorders>
              <w:top w:val="single" w:sz="8" w:space="0" w:color="000000"/>
              <w:left w:val="nil"/>
              <w:bottom w:val="single" w:sz="4" w:space="0" w:color="000000"/>
              <w:right w:val="single" w:sz="4" w:space="0" w:color="000000"/>
            </w:tcBorders>
            <w:vAlign w:val="center"/>
            <w:hideMark/>
          </w:tcPr>
          <w:p w14:paraId="5AA30403"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Année</w:t>
            </w:r>
          </w:p>
        </w:tc>
        <w:tc>
          <w:tcPr>
            <w:tcW w:w="395" w:type="pct"/>
            <w:gridSpan w:val="2"/>
            <w:vMerge w:val="restart"/>
            <w:tcBorders>
              <w:top w:val="single" w:sz="8" w:space="0" w:color="000000"/>
              <w:left w:val="single" w:sz="4" w:space="0" w:color="000000"/>
              <w:bottom w:val="single" w:sz="4" w:space="0" w:color="000000"/>
              <w:right w:val="single" w:sz="4" w:space="0" w:color="000000"/>
            </w:tcBorders>
            <w:vAlign w:val="center"/>
            <w:hideMark/>
          </w:tcPr>
          <w:p w14:paraId="3ADDD2EA" w14:textId="77777777" w:rsidR="00883E25" w:rsidRPr="00732D9A" w:rsidRDefault="00883E25" w:rsidP="00883E25">
            <w:pPr>
              <w:spacing w:before="0" w:after="0"/>
              <w:jc w:val="center"/>
              <w:rPr>
                <w:rFonts w:eastAsia="Times New Roman"/>
                <w:b/>
                <w:bCs/>
                <w:noProof/>
                <w:color w:val="000000"/>
                <w:sz w:val="18"/>
                <w:szCs w:val="18"/>
              </w:rPr>
            </w:pPr>
            <w:r w:rsidRPr="00732D9A">
              <w:rPr>
                <w:b/>
                <w:noProof/>
                <w:color w:val="000000"/>
                <w:sz w:val="18"/>
              </w:rPr>
              <w:t>TOTAL</w:t>
            </w:r>
            <w:r w:rsidRPr="00732D9A">
              <w:rPr>
                <w:noProof/>
              </w:rPr>
              <w:t xml:space="preserve"> </w:t>
            </w:r>
            <w:r w:rsidRPr="00732D9A">
              <w:rPr>
                <w:noProof/>
              </w:rPr>
              <w:cr/>
            </w:r>
            <w:r w:rsidRPr="00732D9A">
              <w:rPr>
                <w:noProof/>
              </w:rPr>
              <w:br/>
            </w:r>
            <w:r w:rsidRPr="00732D9A">
              <w:rPr>
                <w:b/>
                <w:noProof/>
                <w:color w:val="000000"/>
                <w:sz w:val="18"/>
              </w:rPr>
              <w:t>2028-2034</w:t>
            </w:r>
            <w:r w:rsidRPr="00732D9A">
              <w:rPr>
                <w:rStyle w:val="FootnoteReference"/>
                <w:rFonts w:eastAsia="Times New Roman"/>
                <w:b/>
                <w:bCs/>
                <w:noProof/>
                <w:color w:val="000000"/>
                <w:sz w:val="18"/>
                <w:szCs w:val="18"/>
                <w:lang w:eastAsia="en-IE"/>
              </w:rPr>
              <w:footnoteReference w:id="85"/>
            </w:r>
          </w:p>
        </w:tc>
        <w:tc>
          <w:tcPr>
            <w:tcW w:w="395" w:type="pct"/>
            <w:gridSpan w:val="2"/>
            <w:tcBorders>
              <w:top w:val="single" w:sz="8" w:space="0" w:color="000000"/>
              <w:left w:val="nil"/>
              <w:bottom w:val="single" w:sz="4" w:space="0" w:color="000000"/>
              <w:right w:val="single" w:sz="4" w:space="0" w:color="000000"/>
            </w:tcBorders>
            <w:vAlign w:val="center"/>
            <w:hideMark/>
          </w:tcPr>
          <w:p w14:paraId="6AF11D18"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APRÈS</w:t>
            </w:r>
          </w:p>
        </w:tc>
        <w:tc>
          <w:tcPr>
            <w:tcW w:w="387" w:type="pct"/>
            <w:gridSpan w:val="2"/>
            <w:tcBorders>
              <w:top w:val="single" w:sz="8" w:space="0" w:color="000000"/>
              <w:left w:val="nil"/>
              <w:bottom w:val="single" w:sz="4" w:space="0" w:color="000000"/>
              <w:right w:val="single" w:sz="8" w:space="0" w:color="000000"/>
            </w:tcBorders>
            <w:vAlign w:val="center"/>
            <w:hideMark/>
          </w:tcPr>
          <w:p w14:paraId="3EF60380"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TOTAL</w:t>
            </w:r>
          </w:p>
        </w:tc>
      </w:tr>
      <w:tr w:rsidR="00883E25" w:rsidRPr="00732D9A" w14:paraId="46661EC5"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038B5B70" w14:textId="77777777" w:rsidR="00883E25" w:rsidRPr="00732D9A" w:rsidRDefault="00883E25" w:rsidP="00883E25">
            <w:pPr>
              <w:spacing w:before="0" w:after="0"/>
              <w:jc w:val="center"/>
              <w:rPr>
                <w:rFonts w:ascii="Wingdings" w:eastAsia="Times New Roman" w:hAnsi="Wingdings" w:cs="Calibri"/>
                <w:noProof/>
                <w:color w:val="000000"/>
                <w:sz w:val="18"/>
                <w:szCs w:val="18"/>
              </w:rPr>
            </w:pPr>
            <w:r w:rsidRPr="00732D9A">
              <w:rPr>
                <w:rFonts w:ascii="Wingdings" w:hAnsi="Wingdings"/>
                <w:noProof/>
                <w:color w:val="000000"/>
                <w:sz w:val="18"/>
              </w:rPr>
              <w:t></w:t>
            </w:r>
          </w:p>
        </w:tc>
        <w:tc>
          <w:tcPr>
            <w:tcW w:w="209" w:type="pct"/>
            <w:tcBorders>
              <w:top w:val="nil"/>
              <w:left w:val="nil"/>
              <w:bottom w:val="single" w:sz="4" w:space="0" w:color="000000"/>
              <w:right w:val="single" w:sz="4" w:space="0" w:color="000000"/>
            </w:tcBorders>
            <w:noWrap/>
            <w:vAlign w:val="bottom"/>
            <w:hideMark/>
          </w:tcPr>
          <w:p w14:paraId="143F7CC8"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90" w:type="pct"/>
            <w:tcBorders>
              <w:top w:val="nil"/>
              <w:left w:val="nil"/>
              <w:bottom w:val="single" w:sz="4" w:space="0" w:color="000000"/>
              <w:right w:val="single" w:sz="4" w:space="0" w:color="000000"/>
            </w:tcBorders>
            <w:noWrap/>
            <w:vAlign w:val="bottom"/>
            <w:hideMark/>
          </w:tcPr>
          <w:p w14:paraId="62A2B4C2"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395" w:type="pct"/>
            <w:gridSpan w:val="2"/>
            <w:tcBorders>
              <w:top w:val="single" w:sz="4" w:space="0" w:color="000000"/>
              <w:left w:val="nil"/>
              <w:bottom w:val="single" w:sz="4" w:space="0" w:color="000000"/>
              <w:right w:val="single" w:sz="4" w:space="0" w:color="000000"/>
            </w:tcBorders>
            <w:vAlign w:val="center"/>
            <w:hideMark/>
          </w:tcPr>
          <w:p w14:paraId="16FD67D9"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2028</w:t>
            </w:r>
          </w:p>
        </w:tc>
        <w:tc>
          <w:tcPr>
            <w:tcW w:w="395" w:type="pct"/>
            <w:gridSpan w:val="2"/>
            <w:tcBorders>
              <w:top w:val="single" w:sz="4" w:space="0" w:color="000000"/>
              <w:left w:val="nil"/>
              <w:bottom w:val="single" w:sz="4" w:space="0" w:color="000000"/>
              <w:right w:val="single" w:sz="4" w:space="0" w:color="000000"/>
            </w:tcBorders>
            <w:vAlign w:val="center"/>
            <w:hideMark/>
          </w:tcPr>
          <w:p w14:paraId="12859C7E"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2029</w:t>
            </w:r>
          </w:p>
        </w:tc>
        <w:tc>
          <w:tcPr>
            <w:tcW w:w="395" w:type="pct"/>
            <w:gridSpan w:val="2"/>
            <w:tcBorders>
              <w:top w:val="single" w:sz="4" w:space="0" w:color="000000"/>
              <w:left w:val="nil"/>
              <w:bottom w:val="single" w:sz="4" w:space="0" w:color="000000"/>
              <w:right w:val="single" w:sz="4" w:space="0" w:color="000000"/>
            </w:tcBorders>
            <w:vAlign w:val="center"/>
            <w:hideMark/>
          </w:tcPr>
          <w:p w14:paraId="2AD14B24"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2030</w:t>
            </w:r>
          </w:p>
        </w:tc>
        <w:tc>
          <w:tcPr>
            <w:tcW w:w="395" w:type="pct"/>
            <w:gridSpan w:val="2"/>
            <w:tcBorders>
              <w:top w:val="single" w:sz="4" w:space="0" w:color="000000"/>
              <w:left w:val="nil"/>
              <w:bottom w:val="single" w:sz="4" w:space="0" w:color="000000"/>
              <w:right w:val="single" w:sz="4" w:space="0" w:color="000000"/>
            </w:tcBorders>
            <w:vAlign w:val="center"/>
            <w:hideMark/>
          </w:tcPr>
          <w:p w14:paraId="3A3C74DA"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2031</w:t>
            </w:r>
          </w:p>
        </w:tc>
        <w:tc>
          <w:tcPr>
            <w:tcW w:w="395" w:type="pct"/>
            <w:gridSpan w:val="2"/>
            <w:tcBorders>
              <w:top w:val="single" w:sz="4" w:space="0" w:color="000000"/>
              <w:left w:val="nil"/>
              <w:bottom w:val="single" w:sz="4" w:space="0" w:color="000000"/>
              <w:right w:val="single" w:sz="4" w:space="0" w:color="000000"/>
            </w:tcBorders>
            <w:vAlign w:val="center"/>
            <w:hideMark/>
          </w:tcPr>
          <w:p w14:paraId="3C5BA1B1"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2032</w:t>
            </w:r>
          </w:p>
        </w:tc>
        <w:tc>
          <w:tcPr>
            <w:tcW w:w="395" w:type="pct"/>
            <w:gridSpan w:val="2"/>
            <w:tcBorders>
              <w:top w:val="single" w:sz="4" w:space="0" w:color="000000"/>
              <w:left w:val="nil"/>
              <w:bottom w:val="single" w:sz="4" w:space="0" w:color="000000"/>
              <w:right w:val="single" w:sz="4" w:space="0" w:color="000000"/>
            </w:tcBorders>
            <w:vAlign w:val="center"/>
            <w:hideMark/>
          </w:tcPr>
          <w:p w14:paraId="2256DC9E"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2033</w:t>
            </w:r>
          </w:p>
        </w:tc>
        <w:tc>
          <w:tcPr>
            <w:tcW w:w="395" w:type="pct"/>
            <w:gridSpan w:val="2"/>
            <w:tcBorders>
              <w:top w:val="single" w:sz="4" w:space="0" w:color="000000"/>
              <w:left w:val="nil"/>
              <w:bottom w:val="single" w:sz="4" w:space="0" w:color="000000"/>
              <w:right w:val="single" w:sz="4" w:space="0" w:color="000000"/>
            </w:tcBorders>
            <w:vAlign w:val="center"/>
            <w:hideMark/>
          </w:tcPr>
          <w:p w14:paraId="795A60A7"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2034</w:t>
            </w:r>
          </w:p>
        </w:tc>
        <w:tc>
          <w:tcPr>
            <w:tcW w:w="395" w:type="pct"/>
            <w:gridSpan w:val="2"/>
            <w:vMerge/>
            <w:tcBorders>
              <w:top w:val="single" w:sz="8" w:space="0" w:color="000000"/>
              <w:left w:val="single" w:sz="4" w:space="0" w:color="000000"/>
              <w:bottom w:val="single" w:sz="4" w:space="0" w:color="000000"/>
              <w:right w:val="single" w:sz="4" w:space="0" w:color="000000"/>
            </w:tcBorders>
            <w:vAlign w:val="center"/>
            <w:hideMark/>
          </w:tcPr>
          <w:p w14:paraId="1B3ADCE8" w14:textId="77777777" w:rsidR="00883E25" w:rsidRPr="00732D9A" w:rsidRDefault="00883E25" w:rsidP="00883E25">
            <w:pPr>
              <w:spacing w:before="0" w:after="0"/>
              <w:jc w:val="left"/>
              <w:rPr>
                <w:rFonts w:eastAsia="Times New Roman"/>
                <w:b/>
                <w:bCs/>
                <w:noProof/>
                <w:color w:val="000000"/>
                <w:sz w:val="18"/>
                <w:szCs w:val="18"/>
                <w:lang w:eastAsia="en-IE"/>
              </w:rPr>
            </w:pPr>
          </w:p>
        </w:tc>
        <w:tc>
          <w:tcPr>
            <w:tcW w:w="395" w:type="pct"/>
            <w:gridSpan w:val="2"/>
            <w:tcBorders>
              <w:top w:val="single" w:sz="4" w:space="0" w:color="000000"/>
              <w:left w:val="nil"/>
              <w:bottom w:val="single" w:sz="4" w:space="0" w:color="000000"/>
              <w:right w:val="single" w:sz="4" w:space="0" w:color="000000"/>
            </w:tcBorders>
            <w:vAlign w:val="center"/>
            <w:hideMark/>
          </w:tcPr>
          <w:p w14:paraId="3C397C09"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2034</w:t>
            </w:r>
          </w:p>
        </w:tc>
        <w:tc>
          <w:tcPr>
            <w:tcW w:w="387" w:type="pct"/>
            <w:gridSpan w:val="2"/>
            <w:tcBorders>
              <w:top w:val="single" w:sz="4" w:space="0" w:color="000000"/>
              <w:left w:val="nil"/>
              <w:bottom w:val="single" w:sz="4" w:space="0" w:color="000000"/>
              <w:right w:val="single" w:sz="8" w:space="0" w:color="000000"/>
            </w:tcBorders>
            <w:vAlign w:val="center"/>
            <w:hideMark/>
          </w:tcPr>
          <w:p w14:paraId="04583140" w14:textId="77777777" w:rsidR="00883E25" w:rsidRPr="00732D9A" w:rsidRDefault="00883E25" w:rsidP="00883E25">
            <w:pPr>
              <w:spacing w:before="0" w:after="0"/>
              <w:jc w:val="center"/>
              <w:rPr>
                <w:rFonts w:eastAsia="Times New Roman"/>
                <w:b/>
                <w:bCs/>
                <w:noProof/>
                <w:color w:val="000000"/>
                <w:sz w:val="20"/>
                <w:szCs w:val="20"/>
              </w:rPr>
            </w:pPr>
            <w:r w:rsidRPr="00732D9A">
              <w:rPr>
                <w:b/>
                <w:noProof/>
                <w:color w:val="000000"/>
                <w:sz w:val="20"/>
              </w:rPr>
              <w:t>TOTAL</w:t>
            </w:r>
          </w:p>
        </w:tc>
      </w:tr>
      <w:tr w:rsidR="00883E25" w:rsidRPr="00732D9A" w14:paraId="46AA6E53"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56B74016"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3658" w:type="pct"/>
            <w:gridSpan w:val="18"/>
            <w:tcBorders>
              <w:top w:val="single" w:sz="4" w:space="0" w:color="000000"/>
              <w:left w:val="nil"/>
              <w:bottom w:val="single" w:sz="4" w:space="0" w:color="000000"/>
              <w:right w:val="single" w:sz="4" w:space="0" w:color="000000"/>
            </w:tcBorders>
            <w:noWrap/>
            <w:vAlign w:val="bottom"/>
            <w:hideMark/>
          </w:tcPr>
          <w:p w14:paraId="4F2261A2" w14:textId="77777777" w:rsidR="00883E25" w:rsidRPr="00732D9A" w:rsidRDefault="00883E25" w:rsidP="00883E25">
            <w:pPr>
              <w:spacing w:before="0" w:after="0"/>
              <w:jc w:val="left"/>
              <w:rPr>
                <w:rFonts w:eastAsia="Times New Roman"/>
                <w:b/>
                <w:bCs/>
                <w:noProof/>
                <w:color w:val="000000"/>
                <w:sz w:val="18"/>
                <w:szCs w:val="18"/>
              </w:rPr>
            </w:pPr>
            <w:r w:rsidRPr="00732D9A">
              <w:rPr>
                <w:b/>
                <w:noProof/>
                <w:color w:val="000000"/>
                <w:sz w:val="18"/>
              </w:rPr>
              <w:t>RÉALISATIONS (outputs)</w:t>
            </w:r>
          </w:p>
        </w:tc>
        <w:tc>
          <w:tcPr>
            <w:tcW w:w="153" w:type="pct"/>
            <w:tcBorders>
              <w:top w:val="nil"/>
              <w:left w:val="nil"/>
              <w:bottom w:val="single" w:sz="4" w:space="0" w:color="000000"/>
              <w:right w:val="single" w:sz="4" w:space="0" w:color="000000"/>
            </w:tcBorders>
            <w:noWrap/>
            <w:vAlign w:val="bottom"/>
            <w:hideMark/>
          </w:tcPr>
          <w:p w14:paraId="7508754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6088983C"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noWrap/>
            <w:vAlign w:val="bottom"/>
            <w:hideMark/>
          </w:tcPr>
          <w:p w14:paraId="7345157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34" w:type="pct"/>
            <w:tcBorders>
              <w:top w:val="nil"/>
              <w:left w:val="nil"/>
              <w:bottom w:val="single" w:sz="4" w:space="0" w:color="000000"/>
              <w:right w:val="single" w:sz="8" w:space="0" w:color="000000"/>
            </w:tcBorders>
            <w:noWrap/>
            <w:vAlign w:val="bottom"/>
            <w:hideMark/>
          </w:tcPr>
          <w:p w14:paraId="3C55E7CD"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r>
      <w:tr w:rsidR="002F0E59" w:rsidRPr="00732D9A" w14:paraId="1B69BF5F" w14:textId="77777777" w:rsidTr="00411214">
        <w:trPr>
          <w:trHeight w:val="480"/>
        </w:trPr>
        <w:tc>
          <w:tcPr>
            <w:tcW w:w="560" w:type="pct"/>
            <w:tcBorders>
              <w:top w:val="nil"/>
              <w:left w:val="single" w:sz="8" w:space="0" w:color="000000"/>
              <w:bottom w:val="nil"/>
              <w:right w:val="single" w:sz="4" w:space="0" w:color="000000"/>
            </w:tcBorders>
            <w:noWrap/>
            <w:vAlign w:val="bottom"/>
            <w:hideMark/>
          </w:tcPr>
          <w:p w14:paraId="1357519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09" w:type="pct"/>
            <w:tcBorders>
              <w:top w:val="nil"/>
              <w:left w:val="nil"/>
              <w:bottom w:val="nil"/>
              <w:right w:val="single" w:sz="4" w:space="0" w:color="000000"/>
            </w:tcBorders>
            <w:noWrap/>
            <w:vAlign w:val="center"/>
            <w:hideMark/>
          </w:tcPr>
          <w:p w14:paraId="17E2468E" w14:textId="77777777" w:rsidR="00883E25" w:rsidRPr="002F0E59" w:rsidRDefault="00883E25" w:rsidP="00883E25">
            <w:pPr>
              <w:spacing w:before="0" w:after="0"/>
              <w:jc w:val="center"/>
              <w:rPr>
                <w:rFonts w:eastAsia="Times New Roman"/>
                <w:noProof/>
                <w:color w:val="000000"/>
                <w:sz w:val="14"/>
                <w:szCs w:val="14"/>
              </w:rPr>
            </w:pPr>
            <w:bookmarkStart w:id="12" w:name="RANGE!C5"/>
            <w:r w:rsidRPr="002F0E59">
              <w:rPr>
                <w:noProof/>
                <w:color w:val="000000"/>
                <w:sz w:val="14"/>
                <w:szCs w:val="14"/>
              </w:rPr>
              <w:t>Type</w:t>
            </w:r>
            <w:bookmarkEnd w:id="12"/>
          </w:p>
        </w:tc>
        <w:tc>
          <w:tcPr>
            <w:tcW w:w="290" w:type="pct"/>
            <w:tcBorders>
              <w:top w:val="nil"/>
              <w:left w:val="nil"/>
              <w:bottom w:val="nil"/>
              <w:right w:val="single" w:sz="4" w:space="0" w:color="000000"/>
            </w:tcBorders>
            <w:vAlign w:val="center"/>
            <w:hideMark/>
          </w:tcPr>
          <w:p w14:paraId="5EB9859C"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r w:rsidRPr="002F0E59">
              <w:rPr>
                <w:noProof/>
                <w:sz w:val="14"/>
                <w:szCs w:val="14"/>
              </w:rPr>
              <w:t xml:space="preserve"> </w:t>
            </w:r>
            <w:r w:rsidRPr="002F0E59">
              <w:rPr>
                <w:noProof/>
                <w:sz w:val="14"/>
                <w:szCs w:val="14"/>
              </w:rPr>
              <w:cr/>
            </w:r>
            <w:r w:rsidRPr="002F0E59">
              <w:rPr>
                <w:noProof/>
                <w:sz w:val="14"/>
                <w:szCs w:val="14"/>
              </w:rPr>
              <w:br/>
            </w:r>
            <w:r w:rsidRPr="002F0E59">
              <w:rPr>
                <w:noProof/>
                <w:color w:val="000000"/>
                <w:sz w:val="14"/>
                <w:szCs w:val="14"/>
              </w:rPr>
              <w:t>moyen</w:t>
            </w:r>
          </w:p>
        </w:tc>
        <w:tc>
          <w:tcPr>
            <w:tcW w:w="153" w:type="pct"/>
            <w:tcBorders>
              <w:top w:val="nil"/>
              <w:left w:val="nil"/>
              <w:bottom w:val="nil"/>
              <w:right w:val="single" w:sz="4" w:space="0" w:color="000000"/>
            </w:tcBorders>
            <w:noWrap/>
            <w:vAlign w:val="center"/>
            <w:hideMark/>
          </w:tcPr>
          <w:p w14:paraId="0E478B37" w14:textId="14D7EBC6"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w:t>
            </w:r>
            <w:r w:rsidR="002F0E59" w:rsidRPr="002F0E59">
              <w:rPr>
                <w:noProof/>
                <w:color w:val="000000"/>
                <w:sz w:val="14"/>
                <w:szCs w:val="14"/>
              </w:rPr>
              <w:t>bre</w:t>
            </w:r>
          </w:p>
        </w:tc>
        <w:tc>
          <w:tcPr>
            <w:tcW w:w="241" w:type="pct"/>
            <w:tcBorders>
              <w:top w:val="nil"/>
              <w:left w:val="nil"/>
              <w:bottom w:val="nil"/>
              <w:right w:val="single" w:sz="4" w:space="0" w:color="000000"/>
            </w:tcBorders>
            <w:noWrap/>
            <w:vAlign w:val="center"/>
            <w:hideMark/>
          </w:tcPr>
          <w:p w14:paraId="69B472C7"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4AA4262B"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16590C5A"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713B8C2B"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147D45A9"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24E61793"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2A231834"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1F644667"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64EDAA25"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0CA52749"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36E0C6D4"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68388C67"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5C6F4001"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32F7587B"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560A32A9"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60465E46"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42" w:type="pct"/>
            <w:tcBorders>
              <w:top w:val="nil"/>
              <w:left w:val="nil"/>
              <w:bottom w:val="nil"/>
              <w:right w:val="single" w:sz="4" w:space="0" w:color="000000"/>
            </w:tcBorders>
            <w:noWrap/>
            <w:vAlign w:val="center"/>
            <w:hideMark/>
          </w:tcPr>
          <w:p w14:paraId="069B9E51"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c>
          <w:tcPr>
            <w:tcW w:w="153" w:type="pct"/>
            <w:tcBorders>
              <w:top w:val="nil"/>
              <w:left w:val="nil"/>
              <w:bottom w:val="nil"/>
              <w:right w:val="single" w:sz="4" w:space="0" w:color="000000"/>
            </w:tcBorders>
            <w:noWrap/>
            <w:vAlign w:val="center"/>
            <w:hideMark/>
          </w:tcPr>
          <w:p w14:paraId="1B1538B5"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Nbre</w:t>
            </w:r>
          </w:p>
        </w:tc>
        <w:tc>
          <w:tcPr>
            <w:tcW w:w="234" w:type="pct"/>
            <w:tcBorders>
              <w:top w:val="nil"/>
              <w:left w:val="nil"/>
              <w:bottom w:val="nil"/>
              <w:right w:val="single" w:sz="8" w:space="0" w:color="000000"/>
            </w:tcBorders>
            <w:noWrap/>
            <w:vAlign w:val="center"/>
            <w:hideMark/>
          </w:tcPr>
          <w:p w14:paraId="182D42D6" w14:textId="77777777" w:rsidR="00883E25" w:rsidRPr="002F0E59" w:rsidRDefault="00883E25" w:rsidP="00883E25">
            <w:pPr>
              <w:spacing w:before="0" w:after="0"/>
              <w:jc w:val="center"/>
              <w:rPr>
                <w:rFonts w:eastAsia="Times New Roman"/>
                <w:noProof/>
                <w:color w:val="000000"/>
                <w:sz w:val="14"/>
                <w:szCs w:val="14"/>
              </w:rPr>
            </w:pPr>
            <w:r w:rsidRPr="002F0E59">
              <w:rPr>
                <w:noProof/>
                <w:color w:val="000000"/>
                <w:sz w:val="14"/>
                <w:szCs w:val="14"/>
              </w:rPr>
              <w:t>Coût</w:t>
            </w:r>
          </w:p>
        </w:tc>
      </w:tr>
      <w:tr w:rsidR="00883E25" w:rsidRPr="00732D9A" w14:paraId="32C5B506" w14:textId="77777777" w:rsidTr="00411214">
        <w:trPr>
          <w:trHeight w:val="300"/>
        </w:trPr>
        <w:tc>
          <w:tcPr>
            <w:tcW w:w="4218" w:type="pct"/>
            <w:gridSpan w:val="19"/>
            <w:tcBorders>
              <w:top w:val="single" w:sz="4" w:space="0" w:color="000000"/>
              <w:left w:val="single" w:sz="8" w:space="0" w:color="000000"/>
              <w:bottom w:val="single" w:sz="4" w:space="0" w:color="000000"/>
              <w:right w:val="nil"/>
            </w:tcBorders>
            <w:noWrap/>
            <w:vAlign w:val="bottom"/>
            <w:hideMark/>
          </w:tcPr>
          <w:p w14:paraId="42DF58C2" w14:textId="52F17323" w:rsidR="00883E25" w:rsidRPr="00732D9A" w:rsidRDefault="00883E25" w:rsidP="00883E25">
            <w:pPr>
              <w:spacing w:before="0" w:after="0"/>
              <w:jc w:val="left"/>
              <w:rPr>
                <w:rFonts w:eastAsia="Times New Roman"/>
                <w:noProof/>
                <w:color w:val="000000"/>
                <w:sz w:val="18"/>
                <w:szCs w:val="18"/>
              </w:rPr>
            </w:pPr>
            <w:bookmarkStart w:id="13" w:name="RANGE!B6"/>
            <w:r w:rsidRPr="00732D9A">
              <w:rPr>
                <w:noProof/>
                <w:color w:val="000000"/>
                <w:sz w:val="18"/>
              </w:rPr>
              <w:t>OBJECTIF SPÉCIFIQUE nº 1</w:t>
            </w:r>
            <w:bookmarkEnd w:id="13"/>
            <w:r w:rsidR="00980FE6">
              <w:rPr>
                <w:noProof/>
                <w:color w:val="000000"/>
                <w:sz w:val="18"/>
              </w:rPr>
              <w:t>…</w:t>
            </w:r>
          </w:p>
        </w:tc>
        <w:tc>
          <w:tcPr>
            <w:tcW w:w="153" w:type="pct"/>
            <w:tcBorders>
              <w:top w:val="single" w:sz="4" w:space="0" w:color="000000"/>
              <w:left w:val="nil"/>
              <w:bottom w:val="single" w:sz="4" w:space="0" w:color="000000"/>
              <w:right w:val="nil"/>
            </w:tcBorders>
            <w:noWrap/>
            <w:vAlign w:val="bottom"/>
            <w:hideMark/>
          </w:tcPr>
          <w:p w14:paraId="0D5CDBA1"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single" w:sz="4" w:space="0" w:color="000000"/>
              <w:left w:val="nil"/>
              <w:bottom w:val="single" w:sz="4" w:space="0" w:color="000000"/>
              <w:right w:val="nil"/>
            </w:tcBorders>
            <w:noWrap/>
            <w:vAlign w:val="bottom"/>
            <w:hideMark/>
          </w:tcPr>
          <w:p w14:paraId="3E62581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single" w:sz="4" w:space="0" w:color="000000"/>
              <w:left w:val="nil"/>
              <w:bottom w:val="single" w:sz="4" w:space="0" w:color="000000"/>
              <w:right w:val="nil"/>
            </w:tcBorders>
            <w:noWrap/>
            <w:vAlign w:val="bottom"/>
            <w:hideMark/>
          </w:tcPr>
          <w:p w14:paraId="5DDAA227"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34" w:type="pct"/>
            <w:tcBorders>
              <w:top w:val="single" w:sz="4" w:space="0" w:color="000000"/>
              <w:left w:val="nil"/>
              <w:bottom w:val="single" w:sz="4" w:space="0" w:color="000000"/>
              <w:right w:val="single" w:sz="8" w:space="0" w:color="000000"/>
            </w:tcBorders>
            <w:noWrap/>
            <w:vAlign w:val="bottom"/>
            <w:hideMark/>
          </w:tcPr>
          <w:p w14:paraId="278BA1A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r>
      <w:tr w:rsidR="002F0E59" w:rsidRPr="00732D9A" w14:paraId="004DA23F"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5BE7ED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5815123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3B698BF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B2B92D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31AC4115"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8497E5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680ED40"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B1AB70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ED188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4D2023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7AB499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133621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4B46578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98D412"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60CA44F"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E08488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D28CF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E762B6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66CFD0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3E345FEB"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nil"/>
              <w:left w:val="nil"/>
              <w:bottom w:val="single" w:sz="4" w:space="0" w:color="000000"/>
              <w:right w:val="nil"/>
            </w:tcBorders>
            <w:noWrap/>
            <w:vAlign w:val="bottom"/>
            <w:hideMark/>
          </w:tcPr>
          <w:p w14:paraId="7A509ACD"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nil"/>
              <w:left w:val="single" w:sz="4" w:space="0" w:color="000000"/>
              <w:bottom w:val="single" w:sz="4" w:space="0" w:color="000000"/>
              <w:right w:val="single" w:sz="4" w:space="0" w:color="000000"/>
            </w:tcBorders>
            <w:shd w:val="clear" w:color="000000" w:fill="F2F2F2"/>
            <w:noWrap/>
            <w:vAlign w:val="bottom"/>
            <w:hideMark/>
          </w:tcPr>
          <w:p w14:paraId="014FA1EA"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67032FCC"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4094D5FD"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3D55F080"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24F83F6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2A4758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A3CCD1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69942B5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4508A5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0D8199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D5AF54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58141F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ACCAD5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923ED1B"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24BE55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4A963B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1623C2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60AB004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B37A3A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408E060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238AE60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2A79B6C"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130241E6"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58A6C8DA"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11744B2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5740FF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3CDBC15B"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8E2164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047DE46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CAF52B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D057C3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767B314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F1F69A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3262B3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A552305"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F2D2D36"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32C6BE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334292"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B8DBED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7DF533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D882A7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BD0F32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A0C677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78EB4E8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63141C6"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AB53EF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763C80AF"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nil"/>
              <w:left w:val="nil"/>
              <w:bottom w:val="single" w:sz="4" w:space="0" w:color="000000"/>
              <w:right w:val="single" w:sz="4" w:space="0" w:color="000000"/>
            </w:tcBorders>
            <w:noWrap/>
            <w:vAlign w:val="bottom"/>
            <w:hideMark/>
          </w:tcPr>
          <w:p w14:paraId="0A21B150"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99C07BA"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1E15738"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73CC555F"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55959ADF"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Sous-total objectif spécifique nº 1</w:t>
            </w:r>
          </w:p>
        </w:tc>
        <w:tc>
          <w:tcPr>
            <w:tcW w:w="153" w:type="pct"/>
            <w:tcBorders>
              <w:top w:val="nil"/>
              <w:left w:val="nil"/>
              <w:bottom w:val="single" w:sz="4" w:space="0" w:color="000000"/>
              <w:right w:val="single" w:sz="4" w:space="0" w:color="000000"/>
            </w:tcBorders>
            <w:shd w:val="clear" w:color="000000" w:fill="F2F2F2"/>
            <w:noWrap/>
            <w:vAlign w:val="bottom"/>
            <w:hideMark/>
          </w:tcPr>
          <w:p w14:paraId="6763538C"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6889095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C37FC2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AD19B8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648031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3AACDDC"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AA8689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9C0F90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1B1ED777"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93CBA1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9BCA1C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5496644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89282C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7AF53C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C2E949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207831A"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53D6E4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0BBD6CF"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12C8E3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155833EA"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883E25" w:rsidRPr="00732D9A" w14:paraId="22B8B895" w14:textId="77777777" w:rsidTr="00411214">
        <w:trPr>
          <w:trHeight w:val="300"/>
        </w:trPr>
        <w:tc>
          <w:tcPr>
            <w:tcW w:w="4218" w:type="pct"/>
            <w:gridSpan w:val="19"/>
            <w:tcBorders>
              <w:top w:val="single" w:sz="4" w:space="0" w:color="000000"/>
              <w:left w:val="single" w:sz="8" w:space="0" w:color="000000"/>
              <w:bottom w:val="single" w:sz="4" w:space="0" w:color="000000"/>
              <w:right w:val="single" w:sz="4" w:space="0" w:color="000000"/>
            </w:tcBorders>
            <w:noWrap/>
            <w:vAlign w:val="bottom"/>
            <w:hideMark/>
          </w:tcPr>
          <w:p w14:paraId="00F414A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OBJECTIF SPÉCIFIQUE nº 2…</w:t>
            </w:r>
          </w:p>
        </w:tc>
        <w:tc>
          <w:tcPr>
            <w:tcW w:w="153" w:type="pct"/>
            <w:tcBorders>
              <w:top w:val="nil"/>
              <w:left w:val="nil"/>
              <w:bottom w:val="single" w:sz="4" w:space="0" w:color="000000"/>
              <w:right w:val="nil"/>
            </w:tcBorders>
            <w:noWrap/>
            <w:vAlign w:val="bottom"/>
            <w:hideMark/>
          </w:tcPr>
          <w:p w14:paraId="2EC8F6F4"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42" w:type="pct"/>
            <w:tcBorders>
              <w:top w:val="nil"/>
              <w:left w:val="nil"/>
              <w:bottom w:val="single" w:sz="4" w:space="0" w:color="000000"/>
              <w:right w:val="nil"/>
            </w:tcBorders>
            <w:noWrap/>
            <w:vAlign w:val="bottom"/>
            <w:hideMark/>
          </w:tcPr>
          <w:p w14:paraId="6EB6AF87"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153" w:type="pct"/>
            <w:tcBorders>
              <w:top w:val="nil"/>
              <w:left w:val="nil"/>
              <w:bottom w:val="single" w:sz="4" w:space="0" w:color="000000"/>
              <w:right w:val="nil"/>
            </w:tcBorders>
            <w:noWrap/>
            <w:vAlign w:val="bottom"/>
            <w:hideMark/>
          </w:tcPr>
          <w:p w14:paraId="7178BEEB"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c>
          <w:tcPr>
            <w:tcW w:w="234" w:type="pct"/>
            <w:tcBorders>
              <w:top w:val="nil"/>
              <w:left w:val="nil"/>
              <w:bottom w:val="single" w:sz="4" w:space="0" w:color="000000"/>
              <w:right w:val="single" w:sz="8" w:space="0" w:color="000000"/>
            </w:tcBorders>
            <w:noWrap/>
            <w:vAlign w:val="bottom"/>
            <w:hideMark/>
          </w:tcPr>
          <w:p w14:paraId="4041431E" w14:textId="77777777" w:rsidR="00883E25" w:rsidRPr="00732D9A" w:rsidRDefault="00883E25" w:rsidP="00883E25">
            <w:pPr>
              <w:spacing w:before="0" w:after="0"/>
              <w:jc w:val="left"/>
              <w:rPr>
                <w:rFonts w:ascii="Calibri" w:eastAsia="Times New Roman" w:hAnsi="Calibri" w:cs="Calibri"/>
                <w:noProof/>
                <w:color w:val="000000"/>
                <w:sz w:val="22"/>
              </w:rPr>
            </w:pPr>
            <w:r w:rsidRPr="00732D9A">
              <w:rPr>
                <w:rFonts w:ascii="Calibri" w:hAnsi="Calibri"/>
                <w:noProof/>
                <w:color w:val="000000"/>
                <w:sz w:val="22"/>
              </w:rPr>
              <w:t xml:space="preserve"> </w:t>
            </w:r>
          </w:p>
        </w:tc>
      </w:tr>
      <w:tr w:rsidR="002F0E59" w:rsidRPr="00732D9A" w14:paraId="76818A41"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38DE81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160CE05F"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07084A3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14188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71FE49EF"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36753E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6E0B9FE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F028E4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01A061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168DD06"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F4174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52CFDF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A18C9E6"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06411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EFCD71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4D47A3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661D9F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2F48D5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ADFE31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6A175C6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D405846"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4887372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65B456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15C42A86"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62A1CEA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7481E45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36229BC0"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8BDF82D"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5AE6D7F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4F84E6F"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4E5F68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52E8835"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52C2ED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B0D18C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07BCEF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8BF1F82"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728B942"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057FCB5"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A867C86"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7464198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F349C7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6062AF08"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44E1BC2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22FBA30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AAAC16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3CA4F2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34C6B7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4FD55AF8" w14:textId="77777777" w:rsidTr="00411214">
        <w:trPr>
          <w:trHeight w:val="300"/>
        </w:trPr>
        <w:tc>
          <w:tcPr>
            <w:tcW w:w="560" w:type="pct"/>
            <w:tcBorders>
              <w:top w:val="nil"/>
              <w:left w:val="single" w:sz="8" w:space="0" w:color="000000"/>
              <w:bottom w:val="single" w:sz="4" w:space="0" w:color="000000"/>
              <w:right w:val="single" w:sz="4" w:space="0" w:color="000000"/>
            </w:tcBorders>
            <w:noWrap/>
            <w:vAlign w:val="bottom"/>
            <w:hideMark/>
          </w:tcPr>
          <w:p w14:paraId="21A00C2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Réalisation</w:t>
            </w:r>
          </w:p>
        </w:tc>
        <w:tc>
          <w:tcPr>
            <w:tcW w:w="209" w:type="pct"/>
            <w:tcBorders>
              <w:top w:val="nil"/>
              <w:left w:val="nil"/>
              <w:bottom w:val="single" w:sz="4" w:space="0" w:color="000000"/>
              <w:right w:val="single" w:sz="4" w:space="0" w:color="000000"/>
            </w:tcBorders>
            <w:noWrap/>
            <w:vAlign w:val="bottom"/>
            <w:hideMark/>
          </w:tcPr>
          <w:p w14:paraId="14000EB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90" w:type="pct"/>
            <w:tcBorders>
              <w:top w:val="nil"/>
              <w:left w:val="nil"/>
              <w:bottom w:val="single" w:sz="4" w:space="0" w:color="000000"/>
              <w:right w:val="single" w:sz="4" w:space="0" w:color="000000"/>
            </w:tcBorders>
            <w:noWrap/>
            <w:vAlign w:val="bottom"/>
            <w:hideMark/>
          </w:tcPr>
          <w:p w14:paraId="6141395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1E4123D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1" w:type="pct"/>
            <w:tcBorders>
              <w:top w:val="nil"/>
              <w:left w:val="nil"/>
              <w:bottom w:val="single" w:sz="4" w:space="0" w:color="000000"/>
              <w:right w:val="single" w:sz="4" w:space="0" w:color="000000"/>
            </w:tcBorders>
            <w:noWrap/>
            <w:vAlign w:val="bottom"/>
            <w:hideMark/>
          </w:tcPr>
          <w:p w14:paraId="44096851"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37F3CA8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EACCA53"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65DA979C"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0DF72420"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5D319B0B"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5315D068"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06E916B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3718A09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46D60A0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C4BF02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noWrap/>
            <w:vAlign w:val="bottom"/>
            <w:hideMark/>
          </w:tcPr>
          <w:p w14:paraId="28491629"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16E3DE64"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3ED75E5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74B42C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noWrap/>
            <w:vAlign w:val="bottom"/>
            <w:hideMark/>
          </w:tcPr>
          <w:p w14:paraId="4D4D2927"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242" w:type="pct"/>
            <w:tcBorders>
              <w:top w:val="nil"/>
              <w:left w:val="nil"/>
              <w:bottom w:val="single" w:sz="4" w:space="0" w:color="000000"/>
              <w:right w:val="single" w:sz="4" w:space="0" w:color="000000"/>
            </w:tcBorders>
            <w:noWrap/>
            <w:vAlign w:val="bottom"/>
            <w:hideMark/>
          </w:tcPr>
          <w:p w14:paraId="24308FBE"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 xml:space="preserve"> </w:t>
            </w:r>
          </w:p>
        </w:tc>
        <w:tc>
          <w:tcPr>
            <w:tcW w:w="153" w:type="pct"/>
            <w:tcBorders>
              <w:top w:val="nil"/>
              <w:left w:val="nil"/>
              <w:bottom w:val="single" w:sz="4" w:space="0" w:color="000000"/>
              <w:right w:val="single" w:sz="4" w:space="0" w:color="000000"/>
            </w:tcBorders>
            <w:shd w:val="clear" w:color="000000" w:fill="F2F2F2"/>
            <w:noWrap/>
            <w:vAlign w:val="bottom"/>
            <w:hideMark/>
          </w:tcPr>
          <w:p w14:paraId="760725F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0B47780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25BB76E3" w14:textId="77777777" w:rsidTr="00411214">
        <w:trPr>
          <w:trHeight w:val="300"/>
        </w:trPr>
        <w:tc>
          <w:tcPr>
            <w:tcW w:w="1059" w:type="pct"/>
            <w:gridSpan w:val="3"/>
            <w:tcBorders>
              <w:top w:val="single" w:sz="4" w:space="0" w:color="000000"/>
              <w:left w:val="single" w:sz="8" w:space="0" w:color="000000"/>
              <w:bottom w:val="single" w:sz="4" w:space="0" w:color="000000"/>
              <w:right w:val="single" w:sz="4" w:space="0" w:color="000000"/>
            </w:tcBorders>
            <w:noWrap/>
            <w:vAlign w:val="bottom"/>
            <w:hideMark/>
          </w:tcPr>
          <w:p w14:paraId="470FCA8A" w14:textId="77777777" w:rsidR="00883E25" w:rsidRPr="00732D9A" w:rsidRDefault="00883E25" w:rsidP="00883E25">
            <w:pPr>
              <w:spacing w:before="0" w:after="0"/>
              <w:jc w:val="left"/>
              <w:rPr>
                <w:rFonts w:eastAsia="Times New Roman"/>
                <w:noProof/>
                <w:color w:val="000000"/>
                <w:sz w:val="18"/>
                <w:szCs w:val="18"/>
              </w:rPr>
            </w:pPr>
            <w:r w:rsidRPr="00732D9A">
              <w:rPr>
                <w:noProof/>
                <w:color w:val="000000"/>
                <w:sz w:val="18"/>
              </w:rPr>
              <w:t>Sous-total objectif spécifique nº 2</w:t>
            </w:r>
          </w:p>
        </w:tc>
        <w:tc>
          <w:tcPr>
            <w:tcW w:w="153" w:type="pct"/>
            <w:tcBorders>
              <w:top w:val="nil"/>
              <w:left w:val="nil"/>
              <w:bottom w:val="single" w:sz="4" w:space="0" w:color="000000"/>
              <w:right w:val="single" w:sz="4" w:space="0" w:color="000000"/>
            </w:tcBorders>
            <w:shd w:val="clear" w:color="000000" w:fill="F2F2F2"/>
            <w:noWrap/>
            <w:vAlign w:val="bottom"/>
            <w:hideMark/>
          </w:tcPr>
          <w:p w14:paraId="43D9DFE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1" w:type="pct"/>
            <w:tcBorders>
              <w:top w:val="nil"/>
              <w:left w:val="nil"/>
              <w:bottom w:val="single" w:sz="4" w:space="0" w:color="000000"/>
              <w:right w:val="single" w:sz="4" w:space="0" w:color="000000"/>
            </w:tcBorders>
            <w:shd w:val="clear" w:color="000000" w:fill="F2F2F2"/>
            <w:noWrap/>
            <w:vAlign w:val="bottom"/>
            <w:hideMark/>
          </w:tcPr>
          <w:p w14:paraId="18709876"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295A908"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2825A4B"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4DCEC68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10A36710"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7B59CD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3D4FB22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3571B91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66D7638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013062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4DF7ED4"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2D114649"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0AC22C00"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561EA86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7130792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6BA483F0"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4" w:space="0" w:color="000000"/>
              <w:right w:val="single" w:sz="4" w:space="0" w:color="000000"/>
            </w:tcBorders>
            <w:shd w:val="clear" w:color="000000" w:fill="F2F2F2"/>
            <w:noWrap/>
            <w:vAlign w:val="bottom"/>
            <w:hideMark/>
          </w:tcPr>
          <w:p w14:paraId="21668600"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4" w:space="0" w:color="000000"/>
              <w:right w:val="single" w:sz="4" w:space="0" w:color="000000"/>
            </w:tcBorders>
            <w:shd w:val="clear" w:color="000000" w:fill="F2F2F2"/>
            <w:noWrap/>
            <w:vAlign w:val="bottom"/>
            <w:hideMark/>
          </w:tcPr>
          <w:p w14:paraId="752F728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4" w:space="0" w:color="000000"/>
              <w:right w:val="single" w:sz="8" w:space="0" w:color="000000"/>
            </w:tcBorders>
            <w:shd w:val="clear" w:color="000000" w:fill="F2F2F2"/>
            <w:noWrap/>
            <w:vAlign w:val="bottom"/>
            <w:hideMark/>
          </w:tcPr>
          <w:p w14:paraId="384AB982"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r w:rsidR="002F0E59" w:rsidRPr="00732D9A" w14:paraId="46DDFAC3" w14:textId="77777777" w:rsidTr="00411214">
        <w:trPr>
          <w:trHeight w:val="300"/>
        </w:trPr>
        <w:tc>
          <w:tcPr>
            <w:tcW w:w="1059" w:type="pct"/>
            <w:gridSpan w:val="3"/>
            <w:tcBorders>
              <w:top w:val="single" w:sz="4" w:space="0" w:color="000000"/>
              <w:left w:val="single" w:sz="8" w:space="0" w:color="000000"/>
              <w:bottom w:val="single" w:sz="8" w:space="0" w:color="000000"/>
              <w:right w:val="single" w:sz="4" w:space="0" w:color="000000"/>
            </w:tcBorders>
            <w:noWrap/>
            <w:vAlign w:val="bottom"/>
            <w:hideMark/>
          </w:tcPr>
          <w:p w14:paraId="23CCA0F5" w14:textId="77777777" w:rsidR="00883E25" w:rsidRPr="00732D9A" w:rsidRDefault="00883E25" w:rsidP="00883E25">
            <w:pPr>
              <w:spacing w:before="0" w:after="0"/>
              <w:jc w:val="left"/>
              <w:rPr>
                <w:rFonts w:eastAsia="Times New Roman"/>
                <w:b/>
                <w:bCs/>
                <w:noProof/>
                <w:color w:val="000000"/>
                <w:sz w:val="18"/>
                <w:szCs w:val="18"/>
              </w:rPr>
            </w:pPr>
            <w:r w:rsidRPr="00732D9A">
              <w:rPr>
                <w:b/>
                <w:noProof/>
                <w:color w:val="000000"/>
                <w:sz w:val="18"/>
              </w:rPr>
              <w:t>TOTAUX</w:t>
            </w:r>
          </w:p>
        </w:tc>
        <w:tc>
          <w:tcPr>
            <w:tcW w:w="153" w:type="pct"/>
            <w:tcBorders>
              <w:top w:val="nil"/>
              <w:left w:val="nil"/>
              <w:bottom w:val="single" w:sz="8" w:space="0" w:color="000000"/>
              <w:right w:val="single" w:sz="4" w:space="0" w:color="000000"/>
            </w:tcBorders>
            <w:shd w:val="clear" w:color="000000" w:fill="F2F2F2"/>
            <w:noWrap/>
            <w:vAlign w:val="bottom"/>
            <w:hideMark/>
          </w:tcPr>
          <w:p w14:paraId="7C479D3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1" w:type="pct"/>
            <w:tcBorders>
              <w:top w:val="nil"/>
              <w:left w:val="nil"/>
              <w:bottom w:val="single" w:sz="8" w:space="0" w:color="000000"/>
              <w:right w:val="single" w:sz="4" w:space="0" w:color="000000"/>
            </w:tcBorders>
            <w:shd w:val="clear" w:color="000000" w:fill="F2F2F2"/>
            <w:noWrap/>
            <w:vAlign w:val="bottom"/>
            <w:hideMark/>
          </w:tcPr>
          <w:p w14:paraId="62670206"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4C57F1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7AA5AB2"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6D662C5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3C0D37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77E24E0"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5D595D45"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485C0D3D"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0E74A997"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2C9AC3D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48573172"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5410BA4E"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20C81EA6"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384C97C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6D668B98"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206472C"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42" w:type="pct"/>
            <w:tcBorders>
              <w:top w:val="nil"/>
              <w:left w:val="nil"/>
              <w:bottom w:val="single" w:sz="8" w:space="0" w:color="000000"/>
              <w:right w:val="single" w:sz="4" w:space="0" w:color="000000"/>
            </w:tcBorders>
            <w:shd w:val="clear" w:color="000000" w:fill="F2F2F2"/>
            <w:noWrap/>
            <w:vAlign w:val="bottom"/>
            <w:hideMark/>
          </w:tcPr>
          <w:p w14:paraId="15E52DB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c>
          <w:tcPr>
            <w:tcW w:w="153" w:type="pct"/>
            <w:tcBorders>
              <w:top w:val="nil"/>
              <w:left w:val="nil"/>
              <w:bottom w:val="single" w:sz="8" w:space="0" w:color="000000"/>
              <w:right w:val="single" w:sz="4" w:space="0" w:color="000000"/>
            </w:tcBorders>
            <w:shd w:val="clear" w:color="000000" w:fill="F2F2F2"/>
            <w:noWrap/>
            <w:vAlign w:val="bottom"/>
            <w:hideMark/>
          </w:tcPr>
          <w:p w14:paraId="14169673"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w:t>
            </w:r>
          </w:p>
        </w:tc>
        <w:tc>
          <w:tcPr>
            <w:tcW w:w="234" w:type="pct"/>
            <w:tcBorders>
              <w:top w:val="nil"/>
              <w:left w:val="nil"/>
              <w:bottom w:val="single" w:sz="8" w:space="0" w:color="000000"/>
              <w:right w:val="single" w:sz="8" w:space="0" w:color="000000"/>
            </w:tcBorders>
            <w:shd w:val="clear" w:color="000000" w:fill="F2F2F2"/>
            <w:noWrap/>
            <w:vAlign w:val="bottom"/>
            <w:hideMark/>
          </w:tcPr>
          <w:p w14:paraId="419687A1" w14:textId="77777777" w:rsidR="00883E25" w:rsidRPr="00732D9A" w:rsidRDefault="00883E25" w:rsidP="00883E25">
            <w:pPr>
              <w:spacing w:before="0" w:after="0"/>
              <w:jc w:val="right"/>
              <w:rPr>
                <w:rFonts w:eastAsia="Times New Roman"/>
                <w:b/>
                <w:bCs/>
                <w:noProof/>
                <w:color w:val="000000"/>
                <w:sz w:val="18"/>
                <w:szCs w:val="18"/>
              </w:rPr>
            </w:pPr>
            <w:r w:rsidRPr="00732D9A">
              <w:rPr>
                <w:b/>
                <w:noProof/>
                <w:color w:val="000000"/>
                <w:sz w:val="18"/>
              </w:rPr>
              <w:t>0,000</w:t>
            </w:r>
          </w:p>
        </w:tc>
      </w:tr>
    </w:tbl>
    <w:p w14:paraId="4CE9EB6C" w14:textId="77777777" w:rsidR="00CA7C31" w:rsidRPr="00732D9A" w:rsidRDefault="00CA7C31" w:rsidP="00CA7C31">
      <w:pPr>
        <w:rPr>
          <w:noProof/>
        </w:rPr>
        <w:sectPr w:rsidR="00CA7C31" w:rsidRPr="00732D9A" w:rsidSect="0017255A">
          <w:headerReference w:type="default" r:id="rId20"/>
          <w:footerReference w:type="default" r:id="rId21"/>
          <w:pgSz w:w="16840" w:h="11907" w:orient="landscape" w:code="9"/>
          <w:pgMar w:top="1134" w:right="1418" w:bottom="567" w:left="1418" w:header="709" w:footer="709" w:gutter="0"/>
          <w:cols w:space="708"/>
          <w:docGrid w:linePitch="360"/>
        </w:sectPr>
      </w:pPr>
    </w:p>
    <w:p w14:paraId="44F96D3E" w14:textId="77777777" w:rsidR="00CA7C31" w:rsidRPr="00732D9A" w:rsidRDefault="00CA7C31" w:rsidP="00CA7C31">
      <w:pPr>
        <w:pStyle w:val="ManualHeading3"/>
        <w:rPr>
          <w:bCs/>
          <w:noProof/>
          <w:szCs w:val="24"/>
        </w:rPr>
      </w:pPr>
      <w:r w:rsidRPr="00732D9A">
        <w:rPr>
          <w:noProof/>
        </w:rPr>
        <w:t>3.2.3.</w:t>
      </w:r>
      <w:r w:rsidRPr="00732D9A">
        <w:rPr>
          <w:noProof/>
        </w:rPr>
        <w:tab/>
        <w:t xml:space="preserve">Synthèse de l’incidence estimée sur les crédits administratifs </w:t>
      </w:r>
    </w:p>
    <w:p w14:paraId="2FE0C9A7"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 xml:space="preserve">La proposition/l’initiative n’engendre pas l’utilisation de crédits de nature administrative </w:t>
      </w:r>
    </w:p>
    <w:p w14:paraId="5DA4D53F"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La proposition/l’initiative engendre l’utilisation de crédits de nature administrative, comme expliqué ci-après:</w:t>
      </w:r>
    </w:p>
    <w:p w14:paraId="1795B9F7" w14:textId="77777777" w:rsidR="00CA7C31" w:rsidRPr="00732D9A" w:rsidRDefault="00CA7C31" w:rsidP="00CA7C31">
      <w:pPr>
        <w:pStyle w:val="ManualHeading3"/>
        <w:rPr>
          <w:noProof/>
        </w:rPr>
      </w:pPr>
      <w:r w:rsidRPr="00732D9A">
        <w:rPr>
          <w:noProof/>
        </w:rPr>
        <w:t>3.2.3.1. Crédits issus du budget voté</w:t>
      </w:r>
    </w:p>
    <w:p w14:paraId="660BF7AB" w14:textId="2C8A5584" w:rsidR="006163BD" w:rsidRPr="00732D9A" w:rsidRDefault="006163BD" w:rsidP="006163BD">
      <w:pPr>
        <w:jc w:val="right"/>
        <w:rPr>
          <w:noProof/>
        </w:rPr>
      </w:pPr>
      <w:r w:rsidRPr="00732D9A">
        <w:rPr>
          <w:noProof/>
          <w:sz w:val="20"/>
        </w:rPr>
        <w:t>En Mio EUR (à la 3</w:t>
      </w:r>
      <w:r w:rsidRPr="00732D9A">
        <w:rPr>
          <w:noProof/>
          <w:sz w:val="20"/>
          <w:vertAlign w:val="superscript"/>
        </w:rPr>
        <w:t>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3471"/>
        <w:gridCol w:w="798"/>
        <w:gridCol w:w="798"/>
        <w:gridCol w:w="798"/>
        <w:gridCol w:w="798"/>
        <w:gridCol w:w="1312"/>
        <w:gridCol w:w="1312"/>
      </w:tblGrid>
      <w:tr w:rsidR="008505AC" w:rsidRPr="00732D9A" w14:paraId="5B36BE01" w14:textId="77777777">
        <w:trPr>
          <w:trHeight w:val="300"/>
        </w:trPr>
        <w:tc>
          <w:tcPr>
            <w:tcW w:w="1931" w:type="pct"/>
            <w:vMerge w:val="restart"/>
            <w:tcBorders>
              <w:top w:val="single" w:sz="8" w:space="0" w:color="auto"/>
              <w:left w:val="single" w:sz="8" w:space="0" w:color="auto"/>
              <w:bottom w:val="single" w:sz="8" w:space="0" w:color="auto"/>
              <w:right w:val="single" w:sz="8" w:space="0" w:color="auto"/>
            </w:tcBorders>
            <w:vAlign w:val="center"/>
            <w:hideMark/>
          </w:tcPr>
          <w:p w14:paraId="74294B23" w14:textId="77777777" w:rsidR="008505AC" w:rsidRPr="00732D9A" w:rsidRDefault="008505AC" w:rsidP="008505AC">
            <w:pPr>
              <w:spacing w:before="0" w:after="0"/>
              <w:jc w:val="center"/>
              <w:rPr>
                <w:b/>
                <w:noProof/>
                <w:color w:val="000000"/>
                <w:sz w:val="18"/>
                <w:szCs w:val="18"/>
              </w:rPr>
            </w:pPr>
            <w:r w:rsidRPr="00732D9A">
              <w:rPr>
                <w:b/>
                <w:noProof/>
                <w:color w:val="000000"/>
                <w:sz w:val="18"/>
              </w:rPr>
              <w:t>CRÉDITS VOTÉS</w:t>
            </w:r>
          </w:p>
        </w:tc>
        <w:tc>
          <w:tcPr>
            <w:tcW w:w="492" w:type="pct"/>
            <w:tcBorders>
              <w:top w:val="single" w:sz="8" w:space="0" w:color="auto"/>
              <w:left w:val="nil"/>
              <w:bottom w:val="single" w:sz="8" w:space="0" w:color="auto"/>
              <w:right w:val="single" w:sz="8" w:space="0" w:color="auto"/>
            </w:tcBorders>
            <w:vAlign w:val="center"/>
            <w:hideMark/>
          </w:tcPr>
          <w:p w14:paraId="6F346CC2" w14:textId="77777777" w:rsidR="008505AC" w:rsidRPr="00732D9A" w:rsidRDefault="008505AC" w:rsidP="008505AC">
            <w:pPr>
              <w:spacing w:before="0" w:after="0"/>
              <w:jc w:val="center"/>
              <w:rPr>
                <w:noProof/>
                <w:color w:val="000000"/>
                <w:sz w:val="18"/>
                <w:szCs w:val="18"/>
              </w:rPr>
            </w:pPr>
            <w:r w:rsidRPr="00732D9A">
              <w:rPr>
                <w:noProof/>
                <w:color w:val="000000"/>
                <w:sz w:val="18"/>
              </w:rPr>
              <w:t>Année</w:t>
            </w:r>
          </w:p>
        </w:tc>
        <w:tc>
          <w:tcPr>
            <w:tcW w:w="492" w:type="pct"/>
            <w:tcBorders>
              <w:top w:val="single" w:sz="8" w:space="0" w:color="auto"/>
              <w:left w:val="nil"/>
              <w:bottom w:val="single" w:sz="8" w:space="0" w:color="auto"/>
              <w:right w:val="single" w:sz="8" w:space="0" w:color="auto"/>
            </w:tcBorders>
            <w:vAlign w:val="center"/>
            <w:hideMark/>
          </w:tcPr>
          <w:p w14:paraId="493D2FCF" w14:textId="77777777" w:rsidR="008505AC" w:rsidRPr="00732D9A" w:rsidRDefault="008505AC" w:rsidP="008505AC">
            <w:pPr>
              <w:spacing w:before="0" w:after="0"/>
              <w:jc w:val="center"/>
              <w:rPr>
                <w:noProof/>
                <w:color w:val="000000"/>
                <w:sz w:val="18"/>
                <w:szCs w:val="18"/>
              </w:rPr>
            </w:pPr>
            <w:r w:rsidRPr="00732D9A">
              <w:rPr>
                <w:noProof/>
                <w:color w:val="000000"/>
                <w:sz w:val="18"/>
              </w:rPr>
              <w:t>Année</w:t>
            </w:r>
          </w:p>
        </w:tc>
        <w:tc>
          <w:tcPr>
            <w:tcW w:w="492" w:type="pct"/>
            <w:tcBorders>
              <w:top w:val="single" w:sz="8" w:space="0" w:color="auto"/>
              <w:left w:val="nil"/>
              <w:bottom w:val="single" w:sz="8" w:space="0" w:color="auto"/>
              <w:right w:val="single" w:sz="8" w:space="0" w:color="auto"/>
            </w:tcBorders>
            <w:vAlign w:val="center"/>
            <w:hideMark/>
          </w:tcPr>
          <w:p w14:paraId="4B5FF03D" w14:textId="77777777" w:rsidR="008505AC" w:rsidRPr="00732D9A" w:rsidRDefault="008505AC" w:rsidP="008505AC">
            <w:pPr>
              <w:spacing w:before="0" w:after="0"/>
              <w:jc w:val="center"/>
              <w:rPr>
                <w:noProof/>
                <w:color w:val="000000"/>
                <w:sz w:val="18"/>
                <w:szCs w:val="18"/>
              </w:rPr>
            </w:pPr>
            <w:r w:rsidRPr="00732D9A">
              <w:rPr>
                <w:noProof/>
                <w:color w:val="000000"/>
                <w:sz w:val="18"/>
              </w:rPr>
              <w:t>Année</w:t>
            </w:r>
          </w:p>
        </w:tc>
        <w:tc>
          <w:tcPr>
            <w:tcW w:w="492" w:type="pct"/>
            <w:tcBorders>
              <w:top w:val="single" w:sz="8" w:space="0" w:color="auto"/>
              <w:left w:val="nil"/>
              <w:bottom w:val="single" w:sz="8" w:space="0" w:color="auto"/>
              <w:right w:val="single" w:sz="8" w:space="0" w:color="auto"/>
            </w:tcBorders>
            <w:vAlign w:val="center"/>
            <w:hideMark/>
          </w:tcPr>
          <w:p w14:paraId="3A903E69" w14:textId="77777777" w:rsidR="008505AC" w:rsidRPr="00732D9A" w:rsidRDefault="008505AC" w:rsidP="008505AC">
            <w:pPr>
              <w:spacing w:before="0" w:after="0"/>
              <w:jc w:val="center"/>
              <w:rPr>
                <w:noProof/>
                <w:color w:val="000000"/>
                <w:sz w:val="18"/>
                <w:szCs w:val="18"/>
              </w:rPr>
            </w:pPr>
            <w:r w:rsidRPr="00732D9A">
              <w:rPr>
                <w:noProof/>
                <w:color w:val="000000"/>
                <w:sz w:val="18"/>
              </w:rPr>
              <w:t>Année</w:t>
            </w:r>
          </w:p>
        </w:tc>
        <w:tc>
          <w:tcPr>
            <w:tcW w:w="551" w:type="pct"/>
            <w:vMerge w:val="restart"/>
            <w:tcBorders>
              <w:top w:val="single" w:sz="8" w:space="0" w:color="auto"/>
              <w:left w:val="single" w:sz="8" w:space="0" w:color="auto"/>
              <w:bottom w:val="single" w:sz="8" w:space="0" w:color="auto"/>
              <w:right w:val="single" w:sz="8" w:space="0" w:color="auto"/>
            </w:tcBorders>
            <w:vAlign w:val="center"/>
            <w:hideMark/>
          </w:tcPr>
          <w:p w14:paraId="4AB70B59" w14:textId="77777777" w:rsidR="008505AC" w:rsidRPr="00732D9A" w:rsidRDefault="008505AC" w:rsidP="008505AC">
            <w:pPr>
              <w:spacing w:before="0" w:after="0"/>
              <w:jc w:val="center"/>
              <w:rPr>
                <w:b/>
                <w:noProof/>
                <w:color w:val="000000"/>
                <w:sz w:val="18"/>
                <w:szCs w:val="18"/>
              </w:rPr>
            </w:pPr>
            <w:r w:rsidRPr="00732D9A">
              <w:rPr>
                <w:b/>
                <w:noProof/>
                <w:color w:val="000000"/>
                <w:sz w:val="18"/>
              </w:rPr>
              <w:t>TOTAL 2021-2027</w:t>
            </w:r>
          </w:p>
        </w:tc>
        <w:tc>
          <w:tcPr>
            <w:tcW w:w="550" w:type="pct"/>
            <w:vMerge w:val="restart"/>
            <w:tcBorders>
              <w:top w:val="single" w:sz="8" w:space="0" w:color="auto"/>
              <w:left w:val="single" w:sz="8" w:space="0" w:color="auto"/>
              <w:right w:val="single" w:sz="8" w:space="0" w:color="auto"/>
            </w:tcBorders>
          </w:tcPr>
          <w:p w14:paraId="6B3B40ED" w14:textId="77777777" w:rsidR="008505AC" w:rsidRPr="00732D9A" w:rsidRDefault="008505AC" w:rsidP="008505AC">
            <w:pPr>
              <w:spacing w:before="0" w:after="0"/>
              <w:jc w:val="center"/>
              <w:rPr>
                <w:b/>
                <w:noProof/>
                <w:color w:val="000000"/>
                <w:sz w:val="18"/>
                <w:szCs w:val="18"/>
              </w:rPr>
            </w:pPr>
            <w:r w:rsidRPr="00732D9A">
              <w:rPr>
                <w:b/>
                <w:noProof/>
                <w:color w:val="000000"/>
                <w:sz w:val="18"/>
              </w:rPr>
              <w:t>TOTAL 2028-2034</w:t>
            </w:r>
          </w:p>
        </w:tc>
      </w:tr>
      <w:tr w:rsidR="008505AC" w:rsidRPr="00732D9A" w14:paraId="5F7676C1" w14:textId="77777777">
        <w:trPr>
          <w:trHeight w:val="300"/>
        </w:trPr>
        <w:tc>
          <w:tcPr>
            <w:tcW w:w="1931" w:type="pct"/>
            <w:vMerge/>
            <w:tcBorders>
              <w:top w:val="single" w:sz="8" w:space="0" w:color="auto"/>
              <w:left w:val="single" w:sz="8" w:space="0" w:color="auto"/>
              <w:bottom w:val="single" w:sz="8" w:space="0" w:color="auto"/>
              <w:right w:val="single" w:sz="8" w:space="0" w:color="auto"/>
            </w:tcBorders>
            <w:vAlign w:val="center"/>
            <w:hideMark/>
          </w:tcPr>
          <w:p w14:paraId="5E241A95" w14:textId="77777777" w:rsidR="008505AC" w:rsidRPr="00732D9A" w:rsidRDefault="008505AC" w:rsidP="008505AC">
            <w:pPr>
              <w:spacing w:before="0" w:after="0"/>
              <w:jc w:val="left"/>
              <w:rPr>
                <w:b/>
                <w:noProof/>
                <w:color w:val="000000"/>
                <w:sz w:val="18"/>
                <w:szCs w:val="18"/>
                <w:lang w:eastAsia="en-IE"/>
              </w:rPr>
            </w:pPr>
          </w:p>
        </w:tc>
        <w:tc>
          <w:tcPr>
            <w:tcW w:w="492" w:type="pct"/>
            <w:tcBorders>
              <w:top w:val="nil"/>
              <w:left w:val="nil"/>
              <w:bottom w:val="single" w:sz="8" w:space="0" w:color="auto"/>
              <w:right w:val="single" w:sz="8" w:space="0" w:color="auto"/>
            </w:tcBorders>
            <w:vAlign w:val="center"/>
            <w:hideMark/>
          </w:tcPr>
          <w:p w14:paraId="2A1CA763" w14:textId="77777777" w:rsidR="008505AC" w:rsidRPr="00732D9A" w:rsidRDefault="008505AC" w:rsidP="008505AC">
            <w:pPr>
              <w:spacing w:before="0" w:after="0"/>
              <w:jc w:val="center"/>
              <w:rPr>
                <w:b/>
                <w:noProof/>
                <w:color w:val="000000"/>
                <w:sz w:val="18"/>
                <w:szCs w:val="18"/>
              </w:rPr>
            </w:pPr>
            <w:r w:rsidRPr="00732D9A">
              <w:rPr>
                <w:b/>
                <w:noProof/>
                <w:color w:val="000000"/>
                <w:sz w:val="18"/>
              </w:rPr>
              <w:t>2024</w:t>
            </w:r>
          </w:p>
        </w:tc>
        <w:tc>
          <w:tcPr>
            <w:tcW w:w="492" w:type="pct"/>
            <w:tcBorders>
              <w:top w:val="nil"/>
              <w:left w:val="nil"/>
              <w:bottom w:val="single" w:sz="8" w:space="0" w:color="auto"/>
              <w:right w:val="single" w:sz="8" w:space="0" w:color="auto"/>
            </w:tcBorders>
            <w:vAlign w:val="center"/>
            <w:hideMark/>
          </w:tcPr>
          <w:p w14:paraId="284E51F7" w14:textId="77777777" w:rsidR="008505AC" w:rsidRPr="00732D9A" w:rsidRDefault="008505AC" w:rsidP="008505AC">
            <w:pPr>
              <w:spacing w:before="0" w:after="0"/>
              <w:jc w:val="center"/>
              <w:rPr>
                <w:b/>
                <w:noProof/>
                <w:color w:val="000000"/>
                <w:sz w:val="18"/>
                <w:szCs w:val="18"/>
              </w:rPr>
            </w:pPr>
            <w:r w:rsidRPr="00732D9A">
              <w:rPr>
                <w:b/>
                <w:noProof/>
                <w:color w:val="000000"/>
                <w:sz w:val="18"/>
              </w:rPr>
              <w:t>2025</w:t>
            </w:r>
          </w:p>
        </w:tc>
        <w:tc>
          <w:tcPr>
            <w:tcW w:w="492" w:type="pct"/>
            <w:tcBorders>
              <w:top w:val="nil"/>
              <w:left w:val="nil"/>
              <w:bottom w:val="single" w:sz="8" w:space="0" w:color="auto"/>
              <w:right w:val="single" w:sz="8" w:space="0" w:color="auto"/>
            </w:tcBorders>
            <w:vAlign w:val="center"/>
            <w:hideMark/>
          </w:tcPr>
          <w:p w14:paraId="5FAB31C4" w14:textId="77777777" w:rsidR="008505AC" w:rsidRPr="00732D9A" w:rsidRDefault="008505AC" w:rsidP="008505AC">
            <w:pPr>
              <w:spacing w:before="0" w:after="0"/>
              <w:jc w:val="center"/>
              <w:rPr>
                <w:b/>
                <w:noProof/>
                <w:color w:val="000000"/>
                <w:sz w:val="18"/>
                <w:szCs w:val="18"/>
              </w:rPr>
            </w:pPr>
            <w:r w:rsidRPr="00732D9A">
              <w:rPr>
                <w:b/>
                <w:noProof/>
                <w:color w:val="000000"/>
                <w:sz w:val="18"/>
              </w:rPr>
              <w:t>2026</w:t>
            </w:r>
          </w:p>
        </w:tc>
        <w:tc>
          <w:tcPr>
            <w:tcW w:w="492" w:type="pct"/>
            <w:tcBorders>
              <w:top w:val="nil"/>
              <w:left w:val="nil"/>
              <w:bottom w:val="single" w:sz="8" w:space="0" w:color="auto"/>
              <w:right w:val="single" w:sz="8" w:space="0" w:color="auto"/>
            </w:tcBorders>
            <w:vAlign w:val="center"/>
            <w:hideMark/>
          </w:tcPr>
          <w:p w14:paraId="45A11F85" w14:textId="77777777" w:rsidR="008505AC" w:rsidRPr="00732D9A" w:rsidRDefault="008505AC" w:rsidP="008505AC">
            <w:pPr>
              <w:spacing w:before="0" w:after="0"/>
              <w:jc w:val="center"/>
              <w:rPr>
                <w:b/>
                <w:noProof/>
                <w:color w:val="000000"/>
                <w:sz w:val="18"/>
                <w:szCs w:val="18"/>
              </w:rPr>
            </w:pPr>
            <w:r w:rsidRPr="00732D9A">
              <w:rPr>
                <w:b/>
                <w:noProof/>
                <w:color w:val="000000"/>
                <w:sz w:val="18"/>
              </w:rPr>
              <w:t>2027</w:t>
            </w:r>
          </w:p>
        </w:tc>
        <w:tc>
          <w:tcPr>
            <w:tcW w:w="551" w:type="pct"/>
            <w:vMerge/>
            <w:tcBorders>
              <w:top w:val="single" w:sz="8" w:space="0" w:color="auto"/>
              <w:left w:val="single" w:sz="8" w:space="0" w:color="auto"/>
              <w:bottom w:val="single" w:sz="8" w:space="0" w:color="auto"/>
              <w:right w:val="single" w:sz="8" w:space="0" w:color="auto"/>
            </w:tcBorders>
            <w:vAlign w:val="center"/>
            <w:hideMark/>
          </w:tcPr>
          <w:p w14:paraId="5142F9B2" w14:textId="77777777" w:rsidR="008505AC" w:rsidRPr="00732D9A" w:rsidRDefault="008505AC" w:rsidP="008505AC">
            <w:pPr>
              <w:spacing w:before="0" w:after="0"/>
              <w:jc w:val="left"/>
              <w:rPr>
                <w:b/>
                <w:noProof/>
                <w:color w:val="000000"/>
                <w:sz w:val="18"/>
                <w:szCs w:val="18"/>
                <w:lang w:eastAsia="en-IE"/>
              </w:rPr>
            </w:pPr>
          </w:p>
        </w:tc>
        <w:tc>
          <w:tcPr>
            <w:tcW w:w="550" w:type="pct"/>
            <w:vMerge/>
            <w:tcBorders>
              <w:left w:val="single" w:sz="8" w:space="0" w:color="auto"/>
              <w:bottom w:val="single" w:sz="8" w:space="0" w:color="auto"/>
              <w:right w:val="single" w:sz="8" w:space="0" w:color="auto"/>
            </w:tcBorders>
          </w:tcPr>
          <w:p w14:paraId="11720D57" w14:textId="77777777" w:rsidR="008505AC" w:rsidRPr="00732D9A" w:rsidRDefault="008505AC" w:rsidP="008505AC">
            <w:pPr>
              <w:spacing w:before="0" w:after="0"/>
              <w:jc w:val="left"/>
              <w:rPr>
                <w:b/>
                <w:noProof/>
                <w:color w:val="000000"/>
                <w:sz w:val="18"/>
                <w:szCs w:val="18"/>
                <w:lang w:eastAsia="en-IE"/>
              </w:rPr>
            </w:pPr>
          </w:p>
        </w:tc>
      </w:tr>
      <w:tr w:rsidR="008505AC" w:rsidRPr="00732D9A" w14:paraId="22297D61"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5EB6B423" w14:textId="77777777" w:rsidR="008505AC" w:rsidRPr="00732D9A" w:rsidRDefault="008505AC" w:rsidP="008505AC">
            <w:pPr>
              <w:spacing w:before="0" w:after="0"/>
              <w:jc w:val="left"/>
              <w:rPr>
                <w:b/>
                <w:noProof/>
                <w:sz w:val="16"/>
                <w:szCs w:val="16"/>
              </w:rPr>
            </w:pPr>
            <w:r w:rsidRPr="00732D9A">
              <w:rPr>
                <w:b/>
                <w:noProof/>
                <w:sz w:val="16"/>
              </w:rPr>
              <w:t>RUBRIQUE 7</w:t>
            </w:r>
          </w:p>
        </w:tc>
      </w:tr>
      <w:tr w:rsidR="00315F5F" w:rsidRPr="00732D9A" w14:paraId="7695C981"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2CBBC3D6" w14:textId="77777777" w:rsidR="00315F5F" w:rsidRPr="00732D9A" w:rsidRDefault="00315F5F" w:rsidP="00315F5F">
            <w:pPr>
              <w:spacing w:before="0" w:after="0"/>
              <w:jc w:val="left"/>
              <w:rPr>
                <w:noProof/>
                <w:color w:val="000000"/>
                <w:sz w:val="16"/>
                <w:szCs w:val="16"/>
              </w:rPr>
            </w:pPr>
            <w:r w:rsidRPr="00732D9A">
              <w:rPr>
                <w:noProof/>
                <w:color w:val="000000"/>
                <w:sz w:val="16"/>
              </w:rPr>
              <w:t xml:space="preserve">Ressources humaines </w:t>
            </w:r>
          </w:p>
        </w:tc>
        <w:tc>
          <w:tcPr>
            <w:tcW w:w="492" w:type="pct"/>
            <w:tcBorders>
              <w:top w:val="nil"/>
              <w:left w:val="nil"/>
              <w:bottom w:val="single" w:sz="8" w:space="0" w:color="auto"/>
              <w:right w:val="single" w:sz="8" w:space="0" w:color="auto"/>
            </w:tcBorders>
            <w:shd w:val="clear" w:color="000000" w:fill="D9D9D9"/>
            <w:vAlign w:val="center"/>
            <w:hideMark/>
          </w:tcPr>
          <w:p w14:paraId="3A54BB2A" w14:textId="77777777" w:rsidR="00315F5F" w:rsidRPr="00732D9A" w:rsidRDefault="00315F5F" w:rsidP="00315F5F">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5F9D0C9A" w14:textId="77777777" w:rsidR="00315F5F" w:rsidRPr="00732D9A" w:rsidRDefault="00315F5F" w:rsidP="00315F5F">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6F961B0" w14:textId="77777777" w:rsidR="00315F5F" w:rsidRPr="00732D9A" w:rsidRDefault="00315F5F" w:rsidP="00315F5F">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48256C70" w14:textId="77777777" w:rsidR="00315F5F" w:rsidRPr="00732D9A" w:rsidRDefault="00315F5F" w:rsidP="00315F5F">
            <w:pPr>
              <w:spacing w:before="0" w:after="0"/>
              <w:jc w:val="right"/>
              <w:rPr>
                <w:noProof/>
                <w:color w:val="000000"/>
                <w:sz w:val="16"/>
                <w:szCs w:val="16"/>
              </w:rPr>
            </w:pPr>
            <w:r w:rsidRPr="00732D9A">
              <w:rPr>
                <w:noProof/>
                <w:color w:val="000000"/>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5EBDD3CF" w14:textId="77777777" w:rsidR="00315F5F" w:rsidRPr="00732D9A" w:rsidRDefault="00315F5F" w:rsidP="00315F5F">
            <w:pPr>
              <w:spacing w:before="0" w:after="0"/>
              <w:jc w:val="right"/>
              <w:rPr>
                <w:b/>
                <w:noProof/>
                <w:color w:val="000000"/>
                <w:sz w:val="16"/>
                <w:szCs w:val="16"/>
              </w:rPr>
            </w:pPr>
            <w:r w:rsidRPr="00732D9A">
              <w:rPr>
                <w:b/>
                <w:noProof/>
                <w:color w:val="000000"/>
                <w:sz w:val="16"/>
              </w:rPr>
              <w:t>1,164</w:t>
            </w:r>
          </w:p>
        </w:tc>
        <w:tc>
          <w:tcPr>
            <w:tcW w:w="550" w:type="pct"/>
            <w:tcBorders>
              <w:top w:val="nil"/>
              <w:left w:val="nil"/>
              <w:bottom w:val="single" w:sz="8" w:space="0" w:color="auto"/>
              <w:right w:val="single" w:sz="8" w:space="0" w:color="auto"/>
            </w:tcBorders>
            <w:shd w:val="clear" w:color="000000" w:fill="D9D9D9"/>
            <w:vAlign w:val="center"/>
          </w:tcPr>
          <w:p w14:paraId="3373A536" w14:textId="77777777" w:rsidR="00315F5F" w:rsidRPr="00732D9A" w:rsidRDefault="00315F5F" w:rsidP="00315F5F">
            <w:pPr>
              <w:spacing w:before="0" w:after="0"/>
              <w:jc w:val="right"/>
              <w:rPr>
                <w:b/>
                <w:noProof/>
                <w:color w:val="000000"/>
                <w:sz w:val="16"/>
                <w:szCs w:val="16"/>
              </w:rPr>
            </w:pPr>
            <w:r w:rsidRPr="00732D9A">
              <w:rPr>
                <w:b/>
                <w:noProof/>
                <w:color w:val="000000"/>
                <w:sz w:val="16"/>
              </w:rPr>
              <w:t>8,148</w:t>
            </w:r>
          </w:p>
        </w:tc>
      </w:tr>
      <w:tr w:rsidR="00F5068E" w:rsidRPr="00732D9A" w14:paraId="71B20063"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6B603F3D" w14:textId="77777777" w:rsidR="00F5068E" w:rsidRPr="00732D9A" w:rsidRDefault="00F5068E" w:rsidP="00F5068E">
            <w:pPr>
              <w:spacing w:before="0" w:after="0"/>
              <w:jc w:val="left"/>
              <w:rPr>
                <w:noProof/>
                <w:color w:val="000000"/>
                <w:sz w:val="16"/>
                <w:szCs w:val="16"/>
              </w:rPr>
            </w:pPr>
            <w:r w:rsidRPr="00732D9A">
              <w:rPr>
                <w:noProof/>
                <w:color w:val="000000"/>
                <w:sz w:val="16"/>
              </w:rPr>
              <w:t xml:space="preserve">Autres dépenses administratives </w:t>
            </w:r>
          </w:p>
        </w:tc>
        <w:tc>
          <w:tcPr>
            <w:tcW w:w="492" w:type="pct"/>
            <w:tcBorders>
              <w:top w:val="nil"/>
              <w:left w:val="nil"/>
              <w:bottom w:val="single" w:sz="8" w:space="0" w:color="auto"/>
              <w:right w:val="single" w:sz="8" w:space="0" w:color="auto"/>
            </w:tcBorders>
            <w:shd w:val="clear" w:color="000000" w:fill="D9D9D9"/>
            <w:vAlign w:val="center"/>
            <w:hideMark/>
          </w:tcPr>
          <w:p w14:paraId="6666FE38"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8339C50"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0F00671B"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D803992"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5B2D69CF"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784106E2"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r>
      <w:tr w:rsidR="00F5068E" w:rsidRPr="00732D9A" w14:paraId="3BE657C7"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54C5D292" w14:textId="77777777" w:rsidR="00F5068E" w:rsidRPr="00732D9A" w:rsidRDefault="00F5068E" w:rsidP="00F5068E">
            <w:pPr>
              <w:spacing w:before="0" w:after="0"/>
              <w:jc w:val="center"/>
              <w:rPr>
                <w:b/>
                <w:noProof/>
                <w:color w:val="000000"/>
                <w:sz w:val="16"/>
                <w:szCs w:val="16"/>
              </w:rPr>
            </w:pPr>
            <w:r w:rsidRPr="00732D9A">
              <w:rPr>
                <w:b/>
                <w:noProof/>
                <w:color w:val="000000"/>
                <w:sz w:val="16"/>
              </w:rPr>
              <w:t>Sous-total RUBRIQUE 7</w:t>
            </w:r>
          </w:p>
        </w:tc>
        <w:tc>
          <w:tcPr>
            <w:tcW w:w="492" w:type="pct"/>
            <w:tcBorders>
              <w:top w:val="nil"/>
              <w:left w:val="nil"/>
              <w:bottom w:val="single" w:sz="8" w:space="0" w:color="auto"/>
              <w:right w:val="single" w:sz="8" w:space="0" w:color="auto"/>
            </w:tcBorders>
            <w:shd w:val="clear" w:color="000000" w:fill="D9D9D9"/>
            <w:vAlign w:val="center"/>
            <w:hideMark/>
          </w:tcPr>
          <w:p w14:paraId="442C0793"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82B78C1"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6C46299"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707634C" w14:textId="77777777" w:rsidR="00F5068E" w:rsidRPr="00732D9A" w:rsidRDefault="00F5068E" w:rsidP="00F5068E">
            <w:pPr>
              <w:spacing w:before="0" w:after="0"/>
              <w:jc w:val="right"/>
              <w:rPr>
                <w:b/>
                <w:noProof/>
                <w:color w:val="000000"/>
                <w:sz w:val="16"/>
                <w:szCs w:val="16"/>
              </w:rPr>
            </w:pPr>
            <w:r w:rsidRPr="00732D9A">
              <w:rPr>
                <w:b/>
                <w:noProof/>
                <w:color w:val="000000"/>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11791AAD" w14:textId="77777777" w:rsidR="00F5068E" w:rsidRPr="00732D9A" w:rsidRDefault="00F5068E" w:rsidP="00F5068E">
            <w:pPr>
              <w:spacing w:before="0" w:after="0"/>
              <w:jc w:val="right"/>
              <w:rPr>
                <w:b/>
                <w:noProof/>
                <w:color w:val="000000"/>
                <w:sz w:val="16"/>
                <w:szCs w:val="16"/>
              </w:rPr>
            </w:pPr>
            <w:r w:rsidRPr="00732D9A">
              <w:rPr>
                <w:b/>
                <w:noProof/>
                <w:color w:val="000000"/>
                <w:sz w:val="16"/>
              </w:rPr>
              <w:t>1,164</w:t>
            </w:r>
          </w:p>
        </w:tc>
        <w:tc>
          <w:tcPr>
            <w:tcW w:w="550" w:type="pct"/>
            <w:tcBorders>
              <w:top w:val="nil"/>
              <w:left w:val="nil"/>
              <w:bottom w:val="single" w:sz="8" w:space="0" w:color="auto"/>
              <w:right w:val="single" w:sz="8" w:space="0" w:color="auto"/>
            </w:tcBorders>
            <w:shd w:val="clear" w:color="000000" w:fill="D9D9D9"/>
            <w:vAlign w:val="center"/>
          </w:tcPr>
          <w:p w14:paraId="6E011DEF" w14:textId="77777777" w:rsidR="00F5068E" w:rsidRPr="00732D9A" w:rsidRDefault="00F5068E" w:rsidP="00F5068E">
            <w:pPr>
              <w:spacing w:before="0" w:after="0"/>
              <w:jc w:val="right"/>
              <w:rPr>
                <w:b/>
                <w:noProof/>
                <w:color w:val="000000"/>
                <w:sz w:val="16"/>
                <w:szCs w:val="16"/>
              </w:rPr>
            </w:pPr>
            <w:r w:rsidRPr="00732D9A">
              <w:rPr>
                <w:b/>
                <w:noProof/>
                <w:color w:val="000000"/>
                <w:sz w:val="16"/>
              </w:rPr>
              <w:t>8,148</w:t>
            </w:r>
          </w:p>
        </w:tc>
      </w:tr>
      <w:tr w:rsidR="00F5068E" w:rsidRPr="00732D9A" w14:paraId="5023DE85"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vAlign w:val="center"/>
            <w:hideMark/>
          </w:tcPr>
          <w:p w14:paraId="0EC2542C" w14:textId="5B418000" w:rsidR="00F5068E" w:rsidRPr="00732D9A" w:rsidRDefault="00F5068E" w:rsidP="00F5068E">
            <w:pPr>
              <w:spacing w:before="0" w:after="0"/>
              <w:jc w:val="left"/>
              <w:rPr>
                <w:b/>
                <w:noProof/>
                <w:sz w:val="16"/>
                <w:szCs w:val="16"/>
              </w:rPr>
            </w:pPr>
            <w:r w:rsidRPr="00732D9A">
              <w:rPr>
                <w:b/>
                <w:noProof/>
                <w:sz w:val="16"/>
              </w:rPr>
              <w:t>Hors RUBRIQUE</w:t>
            </w:r>
            <w:r w:rsidR="00980FE6">
              <w:rPr>
                <w:b/>
                <w:noProof/>
                <w:sz w:val="16"/>
              </w:rPr>
              <w:t xml:space="preserve"> </w:t>
            </w:r>
            <w:r w:rsidRPr="00732D9A">
              <w:rPr>
                <w:b/>
                <w:noProof/>
                <w:sz w:val="16"/>
              </w:rPr>
              <w:t>7</w:t>
            </w:r>
          </w:p>
        </w:tc>
      </w:tr>
      <w:tr w:rsidR="00F5068E" w:rsidRPr="00732D9A" w14:paraId="16923B00"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B1C798C" w14:textId="77777777" w:rsidR="00F5068E" w:rsidRPr="00732D9A" w:rsidRDefault="00F5068E" w:rsidP="00F5068E">
            <w:pPr>
              <w:spacing w:before="0" w:after="0"/>
              <w:jc w:val="left"/>
              <w:rPr>
                <w:noProof/>
                <w:color w:val="000000"/>
                <w:sz w:val="16"/>
                <w:szCs w:val="16"/>
              </w:rPr>
            </w:pPr>
            <w:r w:rsidRPr="00732D9A">
              <w:rPr>
                <w:noProof/>
                <w:color w:val="000000"/>
                <w:sz w:val="16"/>
              </w:rPr>
              <w:t xml:space="preserve">Ressources humaines </w:t>
            </w:r>
          </w:p>
        </w:tc>
        <w:tc>
          <w:tcPr>
            <w:tcW w:w="492" w:type="pct"/>
            <w:tcBorders>
              <w:top w:val="nil"/>
              <w:left w:val="nil"/>
              <w:bottom w:val="single" w:sz="8" w:space="0" w:color="auto"/>
              <w:right w:val="single" w:sz="8" w:space="0" w:color="auto"/>
            </w:tcBorders>
            <w:shd w:val="clear" w:color="000000" w:fill="D9D9D9"/>
            <w:vAlign w:val="center"/>
            <w:hideMark/>
          </w:tcPr>
          <w:p w14:paraId="5E6FB28B"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E2171A8"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64124133"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B5C3571"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0B7B09D2"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0A3461A2"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r>
      <w:tr w:rsidR="00F5068E" w:rsidRPr="00732D9A" w14:paraId="732391AA"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02EE3CDB" w14:textId="77777777" w:rsidR="00F5068E" w:rsidRPr="00732D9A" w:rsidRDefault="00F5068E" w:rsidP="00F5068E">
            <w:pPr>
              <w:spacing w:before="0" w:after="0"/>
              <w:jc w:val="left"/>
              <w:rPr>
                <w:noProof/>
                <w:color w:val="000000"/>
                <w:sz w:val="16"/>
                <w:szCs w:val="16"/>
              </w:rPr>
            </w:pPr>
            <w:r w:rsidRPr="00732D9A">
              <w:rPr>
                <w:noProof/>
                <w:color w:val="000000"/>
                <w:sz w:val="16"/>
              </w:rPr>
              <w:t>Autres dépenses de nature administrative</w:t>
            </w:r>
          </w:p>
        </w:tc>
        <w:tc>
          <w:tcPr>
            <w:tcW w:w="492" w:type="pct"/>
            <w:tcBorders>
              <w:top w:val="nil"/>
              <w:left w:val="nil"/>
              <w:bottom w:val="single" w:sz="8" w:space="0" w:color="auto"/>
              <w:right w:val="single" w:sz="8" w:space="0" w:color="auto"/>
            </w:tcBorders>
            <w:shd w:val="clear" w:color="000000" w:fill="D9D9D9"/>
            <w:vAlign w:val="center"/>
            <w:hideMark/>
          </w:tcPr>
          <w:p w14:paraId="08A14679"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2E194A2E"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B3F965A"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177C881" w14:textId="77777777" w:rsidR="00F5068E" w:rsidRPr="00732D9A" w:rsidRDefault="00F5068E" w:rsidP="00F5068E">
            <w:pPr>
              <w:spacing w:before="0" w:after="0"/>
              <w:jc w:val="right"/>
              <w:rPr>
                <w:noProof/>
                <w:color w:val="000000"/>
                <w:sz w:val="16"/>
                <w:szCs w:val="16"/>
              </w:rPr>
            </w:pPr>
            <w:r w:rsidRPr="00732D9A">
              <w:rPr>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1B540233"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00E52E08"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r>
      <w:tr w:rsidR="00F5068E" w:rsidRPr="00732D9A" w14:paraId="65AD9CD6" w14:textId="77777777" w:rsidTr="004E544E">
        <w:trPr>
          <w:trHeight w:val="300"/>
        </w:trPr>
        <w:tc>
          <w:tcPr>
            <w:tcW w:w="1931" w:type="pct"/>
            <w:tcBorders>
              <w:top w:val="nil"/>
              <w:left w:val="single" w:sz="8" w:space="0" w:color="auto"/>
              <w:bottom w:val="single" w:sz="8" w:space="0" w:color="auto"/>
              <w:right w:val="single" w:sz="8" w:space="0" w:color="auto"/>
            </w:tcBorders>
            <w:shd w:val="clear" w:color="000000" w:fill="CCCCCC"/>
            <w:vAlign w:val="center"/>
            <w:hideMark/>
          </w:tcPr>
          <w:p w14:paraId="36981FC5" w14:textId="77777777" w:rsidR="00F5068E" w:rsidRPr="00732D9A" w:rsidRDefault="00F5068E" w:rsidP="00F5068E">
            <w:pPr>
              <w:spacing w:before="0" w:after="0"/>
              <w:jc w:val="center"/>
              <w:rPr>
                <w:b/>
                <w:noProof/>
                <w:color w:val="000000"/>
                <w:sz w:val="16"/>
                <w:szCs w:val="16"/>
              </w:rPr>
            </w:pPr>
            <w:r w:rsidRPr="00732D9A">
              <w:rPr>
                <w:b/>
                <w:noProof/>
                <w:color w:val="000000"/>
                <w:sz w:val="16"/>
              </w:rPr>
              <w:t>Sous-total hors RUBRIQUE 7</w:t>
            </w:r>
          </w:p>
        </w:tc>
        <w:tc>
          <w:tcPr>
            <w:tcW w:w="492" w:type="pct"/>
            <w:tcBorders>
              <w:top w:val="nil"/>
              <w:left w:val="nil"/>
              <w:bottom w:val="single" w:sz="8" w:space="0" w:color="auto"/>
              <w:right w:val="single" w:sz="8" w:space="0" w:color="auto"/>
            </w:tcBorders>
            <w:shd w:val="clear" w:color="000000" w:fill="D9D9D9"/>
            <w:vAlign w:val="center"/>
            <w:hideMark/>
          </w:tcPr>
          <w:p w14:paraId="05079512"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0EEE987A"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725C37FD"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56DCE38A"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551" w:type="pct"/>
            <w:tcBorders>
              <w:top w:val="nil"/>
              <w:left w:val="nil"/>
              <w:bottom w:val="single" w:sz="8" w:space="0" w:color="auto"/>
              <w:right w:val="single" w:sz="8" w:space="0" w:color="auto"/>
            </w:tcBorders>
            <w:shd w:val="clear" w:color="000000" w:fill="D9D9D9"/>
            <w:vAlign w:val="center"/>
            <w:hideMark/>
          </w:tcPr>
          <w:p w14:paraId="7311FE12"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c>
          <w:tcPr>
            <w:tcW w:w="550" w:type="pct"/>
            <w:tcBorders>
              <w:top w:val="nil"/>
              <w:left w:val="nil"/>
              <w:bottom w:val="single" w:sz="8" w:space="0" w:color="auto"/>
              <w:right w:val="single" w:sz="8" w:space="0" w:color="auto"/>
            </w:tcBorders>
            <w:shd w:val="clear" w:color="000000" w:fill="D9D9D9"/>
            <w:vAlign w:val="center"/>
          </w:tcPr>
          <w:p w14:paraId="144CE9AF" w14:textId="77777777" w:rsidR="00F5068E" w:rsidRPr="00732D9A" w:rsidRDefault="00F5068E" w:rsidP="00F5068E">
            <w:pPr>
              <w:spacing w:before="0" w:after="0"/>
              <w:jc w:val="right"/>
              <w:rPr>
                <w:b/>
                <w:noProof/>
                <w:color w:val="000000"/>
                <w:sz w:val="16"/>
                <w:szCs w:val="16"/>
              </w:rPr>
            </w:pPr>
            <w:r w:rsidRPr="00732D9A">
              <w:rPr>
                <w:b/>
                <w:noProof/>
                <w:color w:val="000000"/>
                <w:sz w:val="16"/>
              </w:rPr>
              <w:t>0,000</w:t>
            </w:r>
          </w:p>
        </w:tc>
      </w:tr>
      <w:tr w:rsidR="00F5068E" w:rsidRPr="00732D9A" w14:paraId="103E6257" w14:textId="77777777" w:rsidTr="008505AC">
        <w:trPr>
          <w:trHeight w:val="300"/>
        </w:trPr>
        <w:tc>
          <w:tcPr>
            <w:tcW w:w="5000" w:type="pct"/>
            <w:gridSpan w:val="7"/>
            <w:tcBorders>
              <w:top w:val="single" w:sz="8" w:space="0" w:color="auto"/>
              <w:left w:val="single" w:sz="8" w:space="0" w:color="auto"/>
              <w:bottom w:val="single" w:sz="8" w:space="0" w:color="auto"/>
              <w:right w:val="single" w:sz="4" w:space="0" w:color="auto"/>
            </w:tcBorders>
            <w:noWrap/>
            <w:vAlign w:val="center"/>
            <w:hideMark/>
          </w:tcPr>
          <w:p w14:paraId="5066BBC5" w14:textId="77777777" w:rsidR="00F5068E" w:rsidRPr="00732D9A" w:rsidRDefault="00F5068E" w:rsidP="00F5068E">
            <w:pPr>
              <w:spacing w:before="0" w:after="0"/>
              <w:jc w:val="center"/>
              <w:rPr>
                <w:noProof/>
                <w:color w:val="000000"/>
                <w:sz w:val="16"/>
                <w:szCs w:val="16"/>
              </w:rPr>
            </w:pPr>
            <w:r w:rsidRPr="00732D9A">
              <w:rPr>
                <w:noProof/>
                <w:color w:val="000000"/>
                <w:sz w:val="16"/>
              </w:rPr>
              <w:t xml:space="preserve"> </w:t>
            </w:r>
          </w:p>
        </w:tc>
      </w:tr>
      <w:tr w:rsidR="00F5068E" w:rsidRPr="00732D9A" w14:paraId="62109A0D" w14:textId="77777777" w:rsidTr="004E544E">
        <w:trPr>
          <w:trHeight w:val="300"/>
        </w:trPr>
        <w:tc>
          <w:tcPr>
            <w:tcW w:w="1931" w:type="pct"/>
            <w:tcBorders>
              <w:top w:val="nil"/>
              <w:left w:val="single" w:sz="8" w:space="0" w:color="auto"/>
              <w:bottom w:val="single" w:sz="8" w:space="0" w:color="auto"/>
              <w:right w:val="single" w:sz="8" w:space="0" w:color="auto"/>
            </w:tcBorders>
            <w:vAlign w:val="center"/>
            <w:hideMark/>
          </w:tcPr>
          <w:p w14:paraId="444F5B0D" w14:textId="77777777" w:rsidR="00F5068E" w:rsidRPr="00732D9A" w:rsidRDefault="00F5068E" w:rsidP="00F5068E">
            <w:pPr>
              <w:spacing w:before="0" w:after="0"/>
              <w:jc w:val="center"/>
              <w:rPr>
                <w:b/>
                <w:noProof/>
                <w:color w:val="000000"/>
                <w:sz w:val="16"/>
                <w:szCs w:val="16"/>
              </w:rPr>
            </w:pPr>
            <w:r w:rsidRPr="00732D9A">
              <w:rPr>
                <w:b/>
                <w:noProof/>
                <w:color w:val="000000"/>
                <w:sz w:val="16"/>
              </w:rPr>
              <w:t>TOTAL</w:t>
            </w:r>
          </w:p>
        </w:tc>
        <w:tc>
          <w:tcPr>
            <w:tcW w:w="492" w:type="pct"/>
            <w:tcBorders>
              <w:top w:val="nil"/>
              <w:left w:val="nil"/>
              <w:bottom w:val="single" w:sz="8" w:space="0" w:color="auto"/>
              <w:right w:val="single" w:sz="8" w:space="0" w:color="auto"/>
            </w:tcBorders>
            <w:shd w:val="clear" w:color="000000" w:fill="D9D9D9"/>
            <w:vAlign w:val="center"/>
            <w:hideMark/>
          </w:tcPr>
          <w:p w14:paraId="3364EB73" w14:textId="77777777" w:rsidR="00F5068E" w:rsidRPr="00732D9A" w:rsidRDefault="00F5068E" w:rsidP="00F5068E">
            <w:pPr>
              <w:spacing w:before="0" w:after="0"/>
              <w:jc w:val="right"/>
              <w:rPr>
                <w:b/>
                <w:noProof/>
                <w:color w:val="000000"/>
                <w:sz w:val="16"/>
                <w:szCs w:val="16"/>
              </w:rPr>
            </w:pPr>
            <w:r w:rsidRPr="00732D9A">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41A95991" w14:textId="77777777" w:rsidR="00F5068E" w:rsidRPr="00732D9A" w:rsidRDefault="00F5068E" w:rsidP="00F5068E">
            <w:pPr>
              <w:spacing w:before="0" w:after="0"/>
              <w:jc w:val="right"/>
              <w:rPr>
                <w:b/>
                <w:noProof/>
                <w:color w:val="000000"/>
                <w:sz w:val="16"/>
                <w:szCs w:val="16"/>
              </w:rPr>
            </w:pPr>
            <w:r w:rsidRPr="00732D9A">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8DDF1C2" w14:textId="77777777" w:rsidR="00F5068E" w:rsidRPr="00732D9A" w:rsidRDefault="00F5068E" w:rsidP="00F5068E">
            <w:pPr>
              <w:spacing w:before="0" w:after="0"/>
              <w:jc w:val="right"/>
              <w:rPr>
                <w:b/>
                <w:noProof/>
                <w:color w:val="000000"/>
                <w:sz w:val="16"/>
                <w:szCs w:val="16"/>
              </w:rPr>
            </w:pPr>
            <w:r w:rsidRPr="00732D9A">
              <w:rPr>
                <w:b/>
                <w:noProof/>
                <w:sz w:val="16"/>
              </w:rPr>
              <w:t>0,000</w:t>
            </w:r>
          </w:p>
        </w:tc>
        <w:tc>
          <w:tcPr>
            <w:tcW w:w="492" w:type="pct"/>
            <w:tcBorders>
              <w:top w:val="nil"/>
              <w:left w:val="nil"/>
              <w:bottom w:val="single" w:sz="8" w:space="0" w:color="auto"/>
              <w:right w:val="single" w:sz="8" w:space="0" w:color="auto"/>
            </w:tcBorders>
            <w:shd w:val="clear" w:color="000000" w:fill="D9D9D9"/>
            <w:vAlign w:val="center"/>
            <w:hideMark/>
          </w:tcPr>
          <w:p w14:paraId="15907067" w14:textId="77777777" w:rsidR="00F5068E" w:rsidRPr="00732D9A" w:rsidRDefault="00F5068E" w:rsidP="00F5068E">
            <w:pPr>
              <w:spacing w:before="0" w:after="0"/>
              <w:jc w:val="right"/>
              <w:rPr>
                <w:b/>
                <w:noProof/>
                <w:color w:val="000000"/>
                <w:sz w:val="16"/>
                <w:szCs w:val="16"/>
              </w:rPr>
            </w:pPr>
            <w:r w:rsidRPr="00732D9A">
              <w:rPr>
                <w:b/>
                <w:noProof/>
                <w:sz w:val="16"/>
              </w:rPr>
              <w:t>1,164</w:t>
            </w:r>
          </w:p>
        </w:tc>
        <w:tc>
          <w:tcPr>
            <w:tcW w:w="551" w:type="pct"/>
            <w:tcBorders>
              <w:top w:val="nil"/>
              <w:left w:val="nil"/>
              <w:bottom w:val="single" w:sz="8" w:space="0" w:color="auto"/>
              <w:right w:val="single" w:sz="8" w:space="0" w:color="auto"/>
            </w:tcBorders>
            <w:shd w:val="clear" w:color="000000" w:fill="D9D9D9"/>
            <w:vAlign w:val="center"/>
            <w:hideMark/>
          </w:tcPr>
          <w:p w14:paraId="6134D97C" w14:textId="77777777" w:rsidR="00F5068E" w:rsidRPr="00732D9A" w:rsidRDefault="00F5068E" w:rsidP="00F5068E">
            <w:pPr>
              <w:spacing w:before="0" w:after="0"/>
              <w:jc w:val="right"/>
              <w:rPr>
                <w:b/>
                <w:noProof/>
                <w:color w:val="000000"/>
                <w:sz w:val="16"/>
                <w:szCs w:val="16"/>
              </w:rPr>
            </w:pPr>
            <w:r w:rsidRPr="00732D9A">
              <w:rPr>
                <w:b/>
                <w:noProof/>
                <w:sz w:val="16"/>
              </w:rPr>
              <w:t>1,164</w:t>
            </w:r>
          </w:p>
        </w:tc>
        <w:tc>
          <w:tcPr>
            <w:tcW w:w="550" w:type="pct"/>
            <w:tcBorders>
              <w:top w:val="nil"/>
              <w:left w:val="nil"/>
              <w:bottom w:val="single" w:sz="8" w:space="0" w:color="auto"/>
              <w:right w:val="single" w:sz="8" w:space="0" w:color="auto"/>
            </w:tcBorders>
            <w:shd w:val="clear" w:color="000000" w:fill="D9D9D9"/>
            <w:vAlign w:val="center"/>
          </w:tcPr>
          <w:p w14:paraId="4388617C" w14:textId="77777777" w:rsidR="00F5068E" w:rsidRPr="00732D9A" w:rsidRDefault="00F5068E" w:rsidP="00F5068E">
            <w:pPr>
              <w:spacing w:before="0" w:after="0"/>
              <w:jc w:val="right"/>
              <w:rPr>
                <w:b/>
                <w:noProof/>
                <w:color w:val="000000"/>
                <w:sz w:val="16"/>
                <w:szCs w:val="16"/>
              </w:rPr>
            </w:pPr>
            <w:r w:rsidRPr="00732D9A">
              <w:rPr>
                <w:b/>
                <w:noProof/>
                <w:color w:val="000000"/>
                <w:sz w:val="16"/>
              </w:rPr>
              <w:t>8,148</w:t>
            </w:r>
          </w:p>
        </w:tc>
      </w:tr>
    </w:tbl>
    <w:p w14:paraId="31F2D3EB" w14:textId="77777777" w:rsidR="00A766D7" w:rsidRPr="00732D9A" w:rsidRDefault="00A766D7" w:rsidP="00CA7C31">
      <w:pPr>
        <w:rPr>
          <w:noProof/>
        </w:rPr>
      </w:pPr>
      <w:r w:rsidRPr="00732D9A">
        <w:rPr>
          <w:noProof/>
        </w:rPr>
        <w:t>Les chiffres figurant dans les tableaux ci-dessus sont tous strictement indicatifs dans l’attente de l’issue des négociations sur le CFP 2028-2034, dont on ne saurait préjuger.</w:t>
      </w:r>
    </w:p>
    <w:p w14:paraId="4BB8A720" w14:textId="5035AF58" w:rsidR="006163BD" w:rsidRPr="00732D9A" w:rsidRDefault="006163BD" w:rsidP="006163BD">
      <w:pPr>
        <w:jc w:val="right"/>
        <w:rPr>
          <w:noProof/>
        </w:rPr>
      </w:pPr>
      <w:r w:rsidRPr="00732D9A">
        <w:rPr>
          <w:noProof/>
          <w:sz w:val="20"/>
        </w:rPr>
        <w:t>En Mio EUR (à la 3e</w:t>
      </w:r>
      <w:r w:rsidR="00980FE6">
        <w:rPr>
          <w:noProof/>
          <w:sz w:val="20"/>
        </w:rPr>
        <w:t xml:space="preserve"> </w:t>
      </w:r>
      <w:r w:rsidRPr="00732D9A">
        <w:rPr>
          <w:noProof/>
          <w:sz w:val="20"/>
        </w:rPr>
        <w:t>décimale)</w:t>
      </w:r>
    </w:p>
    <w:tbl>
      <w:tblPr>
        <w:tblW w:w="5000" w:type="pct"/>
        <w:tblLook w:val="04A0" w:firstRow="1" w:lastRow="0" w:firstColumn="1" w:lastColumn="0" w:noHBand="0" w:noVBand="1"/>
      </w:tblPr>
      <w:tblGrid>
        <w:gridCol w:w="1754"/>
        <w:gridCol w:w="686"/>
        <w:gridCol w:w="686"/>
        <w:gridCol w:w="686"/>
        <w:gridCol w:w="686"/>
        <w:gridCol w:w="686"/>
        <w:gridCol w:w="686"/>
        <w:gridCol w:w="686"/>
        <w:gridCol w:w="847"/>
        <w:gridCol w:w="777"/>
        <w:gridCol w:w="1107"/>
      </w:tblGrid>
      <w:tr w:rsidR="000473B3" w:rsidRPr="00732D9A" w14:paraId="55875517" w14:textId="77777777" w:rsidTr="000473B3">
        <w:trPr>
          <w:trHeight w:val="300"/>
        </w:trPr>
        <w:tc>
          <w:tcPr>
            <w:tcW w:w="1356" w:type="pct"/>
            <w:vMerge w:val="restart"/>
            <w:tcBorders>
              <w:top w:val="single" w:sz="8" w:space="0" w:color="auto"/>
              <w:left w:val="single" w:sz="8" w:space="0" w:color="auto"/>
              <w:bottom w:val="single" w:sz="8" w:space="0" w:color="auto"/>
              <w:right w:val="single" w:sz="8" w:space="0" w:color="auto"/>
            </w:tcBorders>
            <w:vAlign w:val="center"/>
            <w:hideMark/>
          </w:tcPr>
          <w:p w14:paraId="05F05EC7"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CRÉDITS VOTÉS</w:t>
            </w:r>
          </w:p>
        </w:tc>
        <w:tc>
          <w:tcPr>
            <w:tcW w:w="333" w:type="pct"/>
            <w:tcBorders>
              <w:top w:val="single" w:sz="8" w:space="0" w:color="auto"/>
              <w:left w:val="nil"/>
              <w:bottom w:val="single" w:sz="8" w:space="0" w:color="auto"/>
              <w:right w:val="single" w:sz="8" w:space="0" w:color="auto"/>
            </w:tcBorders>
            <w:vAlign w:val="center"/>
            <w:hideMark/>
          </w:tcPr>
          <w:p w14:paraId="7170BE33"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33" w:type="pct"/>
            <w:tcBorders>
              <w:top w:val="single" w:sz="8" w:space="0" w:color="auto"/>
              <w:left w:val="nil"/>
              <w:bottom w:val="single" w:sz="8" w:space="0" w:color="auto"/>
              <w:right w:val="single" w:sz="8" w:space="0" w:color="auto"/>
            </w:tcBorders>
            <w:vAlign w:val="center"/>
            <w:hideMark/>
          </w:tcPr>
          <w:p w14:paraId="0D3D966D"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33" w:type="pct"/>
            <w:tcBorders>
              <w:top w:val="single" w:sz="8" w:space="0" w:color="auto"/>
              <w:left w:val="nil"/>
              <w:bottom w:val="single" w:sz="8" w:space="0" w:color="auto"/>
              <w:right w:val="single" w:sz="8" w:space="0" w:color="auto"/>
            </w:tcBorders>
            <w:vAlign w:val="center"/>
            <w:hideMark/>
          </w:tcPr>
          <w:p w14:paraId="0EC09CA8"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41" w:type="pct"/>
            <w:tcBorders>
              <w:top w:val="single" w:sz="8" w:space="0" w:color="auto"/>
              <w:left w:val="nil"/>
              <w:bottom w:val="single" w:sz="8" w:space="0" w:color="auto"/>
              <w:right w:val="single" w:sz="8" w:space="0" w:color="auto"/>
            </w:tcBorders>
            <w:vAlign w:val="center"/>
            <w:hideMark/>
          </w:tcPr>
          <w:p w14:paraId="0E469055"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41" w:type="pct"/>
            <w:tcBorders>
              <w:top w:val="single" w:sz="8" w:space="0" w:color="auto"/>
              <w:left w:val="nil"/>
              <w:bottom w:val="single" w:sz="8" w:space="0" w:color="auto"/>
              <w:right w:val="single" w:sz="8" w:space="0" w:color="auto"/>
            </w:tcBorders>
            <w:vAlign w:val="center"/>
            <w:hideMark/>
          </w:tcPr>
          <w:p w14:paraId="441BC24E"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41" w:type="pct"/>
            <w:tcBorders>
              <w:top w:val="single" w:sz="8" w:space="0" w:color="auto"/>
              <w:left w:val="nil"/>
              <w:bottom w:val="single" w:sz="8" w:space="0" w:color="auto"/>
              <w:right w:val="single" w:sz="8" w:space="0" w:color="auto"/>
            </w:tcBorders>
            <w:vAlign w:val="center"/>
            <w:hideMark/>
          </w:tcPr>
          <w:p w14:paraId="77F9F15D"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341" w:type="pct"/>
            <w:tcBorders>
              <w:top w:val="single" w:sz="8" w:space="0" w:color="auto"/>
              <w:left w:val="nil"/>
              <w:bottom w:val="single" w:sz="8" w:space="0" w:color="auto"/>
              <w:right w:val="single" w:sz="8" w:space="0" w:color="auto"/>
            </w:tcBorders>
            <w:vAlign w:val="center"/>
            <w:hideMark/>
          </w:tcPr>
          <w:p w14:paraId="4AAD847B"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Année</w:t>
            </w:r>
          </w:p>
        </w:tc>
        <w:tc>
          <w:tcPr>
            <w:tcW w:w="456" w:type="pct"/>
            <w:vMerge w:val="restart"/>
            <w:tcBorders>
              <w:top w:val="single" w:sz="8" w:space="0" w:color="auto"/>
              <w:left w:val="single" w:sz="8" w:space="0" w:color="auto"/>
              <w:bottom w:val="single" w:sz="8" w:space="0" w:color="auto"/>
              <w:right w:val="single" w:sz="8" w:space="0" w:color="auto"/>
            </w:tcBorders>
            <w:vAlign w:val="center"/>
            <w:hideMark/>
          </w:tcPr>
          <w:p w14:paraId="7DC03AB9"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TOTAL</w:t>
            </w:r>
            <w:r w:rsidRPr="00732D9A">
              <w:rPr>
                <w:noProof/>
              </w:rPr>
              <w:t xml:space="preserve"> </w:t>
            </w:r>
            <w:r w:rsidRPr="00732D9A">
              <w:rPr>
                <w:noProof/>
              </w:rPr>
              <w:cr/>
            </w:r>
            <w:r w:rsidRPr="00732D9A">
              <w:rPr>
                <w:noProof/>
              </w:rPr>
              <w:br/>
            </w:r>
            <w:r w:rsidRPr="00732D9A">
              <w:rPr>
                <w:b/>
                <w:noProof/>
                <w:color w:val="000000"/>
                <w:sz w:val="18"/>
              </w:rPr>
              <w:t>2028 - 2034</w:t>
            </w:r>
          </w:p>
        </w:tc>
        <w:tc>
          <w:tcPr>
            <w:tcW w:w="354" w:type="pct"/>
            <w:tcBorders>
              <w:top w:val="single" w:sz="8" w:space="0" w:color="auto"/>
              <w:left w:val="nil"/>
              <w:bottom w:val="single" w:sz="8" w:space="0" w:color="auto"/>
              <w:right w:val="single" w:sz="8" w:space="0" w:color="auto"/>
            </w:tcBorders>
            <w:vAlign w:val="center"/>
            <w:hideMark/>
          </w:tcPr>
          <w:p w14:paraId="5299B574" w14:textId="77777777" w:rsidR="000473B3" w:rsidRPr="00732D9A" w:rsidRDefault="000473B3" w:rsidP="000473B3">
            <w:pPr>
              <w:spacing w:before="0" w:after="0"/>
              <w:jc w:val="center"/>
              <w:rPr>
                <w:rFonts w:eastAsia="Times New Roman"/>
                <w:noProof/>
                <w:color w:val="000000"/>
                <w:sz w:val="18"/>
                <w:szCs w:val="18"/>
              </w:rPr>
            </w:pPr>
            <w:r w:rsidRPr="00732D9A">
              <w:rPr>
                <w:noProof/>
                <w:color w:val="000000"/>
                <w:sz w:val="18"/>
              </w:rPr>
              <w:t>APRÈS</w:t>
            </w:r>
          </w:p>
        </w:tc>
        <w:tc>
          <w:tcPr>
            <w:tcW w:w="472" w:type="pct"/>
            <w:vMerge w:val="restart"/>
            <w:tcBorders>
              <w:top w:val="single" w:sz="8" w:space="0" w:color="auto"/>
              <w:left w:val="single" w:sz="8" w:space="0" w:color="auto"/>
              <w:bottom w:val="single" w:sz="8" w:space="0" w:color="auto"/>
              <w:right w:val="single" w:sz="8" w:space="0" w:color="auto"/>
            </w:tcBorders>
            <w:vAlign w:val="center"/>
            <w:hideMark/>
          </w:tcPr>
          <w:p w14:paraId="6DD312DB"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TOTAL GÉNÉRAL</w:t>
            </w:r>
          </w:p>
        </w:tc>
      </w:tr>
      <w:tr w:rsidR="000473B3" w:rsidRPr="00732D9A" w14:paraId="43FA972E" w14:textId="77777777" w:rsidTr="000473B3">
        <w:trPr>
          <w:trHeight w:val="315"/>
        </w:trPr>
        <w:tc>
          <w:tcPr>
            <w:tcW w:w="1356" w:type="pct"/>
            <w:vMerge/>
            <w:tcBorders>
              <w:top w:val="single" w:sz="8" w:space="0" w:color="auto"/>
              <w:left w:val="single" w:sz="8" w:space="0" w:color="auto"/>
              <w:bottom w:val="single" w:sz="8" w:space="0" w:color="auto"/>
              <w:right w:val="single" w:sz="8" w:space="0" w:color="auto"/>
            </w:tcBorders>
            <w:vAlign w:val="center"/>
            <w:hideMark/>
          </w:tcPr>
          <w:p w14:paraId="43D8452C" w14:textId="77777777" w:rsidR="000473B3" w:rsidRPr="00732D9A" w:rsidRDefault="000473B3" w:rsidP="000473B3">
            <w:pPr>
              <w:spacing w:before="0" w:after="0"/>
              <w:jc w:val="left"/>
              <w:rPr>
                <w:rFonts w:eastAsia="Times New Roman"/>
                <w:b/>
                <w:bCs/>
                <w:noProof/>
                <w:color w:val="000000"/>
                <w:sz w:val="18"/>
                <w:szCs w:val="18"/>
                <w:lang w:eastAsia="en-IE"/>
              </w:rPr>
            </w:pPr>
          </w:p>
        </w:tc>
        <w:tc>
          <w:tcPr>
            <w:tcW w:w="333" w:type="pct"/>
            <w:tcBorders>
              <w:top w:val="nil"/>
              <w:left w:val="nil"/>
              <w:bottom w:val="single" w:sz="8" w:space="0" w:color="auto"/>
              <w:right w:val="single" w:sz="8" w:space="0" w:color="auto"/>
            </w:tcBorders>
            <w:vAlign w:val="center"/>
            <w:hideMark/>
          </w:tcPr>
          <w:p w14:paraId="5AE27F73"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2028</w:t>
            </w:r>
          </w:p>
        </w:tc>
        <w:tc>
          <w:tcPr>
            <w:tcW w:w="333" w:type="pct"/>
            <w:tcBorders>
              <w:top w:val="nil"/>
              <w:left w:val="nil"/>
              <w:bottom w:val="single" w:sz="8" w:space="0" w:color="auto"/>
              <w:right w:val="single" w:sz="8" w:space="0" w:color="auto"/>
            </w:tcBorders>
            <w:vAlign w:val="center"/>
            <w:hideMark/>
          </w:tcPr>
          <w:p w14:paraId="3E405025"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2029</w:t>
            </w:r>
          </w:p>
        </w:tc>
        <w:tc>
          <w:tcPr>
            <w:tcW w:w="333" w:type="pct"/>
            <w:tcBorders>
              <w:top w:val="nil"/>
              <w:left w:val="nil"/>
              <w:bottom w:val="single" w:sz="8" w:space="0" w:color="auto"/>
              <w:right w:val="single" w:sz="8" w:space="0" w:color="auto"/>
            </w:tcBorders>
            <w:vAlign w:val="center"/>
            <w:hideMark/>
          </w:tcPr>
          <w:p w14:paraId="444F6E76"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2030</w:t>
            </w:r>
          </w:p>
        </w:tc>
        <w:tc>
          <w:tcPr>
            <w:tcW w:w="341" w:type="pct"/>
            <w:tcBorders>
              <w:top w:val="nil"/>
              <w:left w:val="nil"/>
              <w:bottom w:val="single" w:sz="8" w:space="0" w:color="auto"/>
              <w:right w:val="single" w:sz="8" w:space="0" w:color="auto"/>
            </w:tcBorders>
            <w:vAlign w:val="center"/>
            <w:hideMark/>
          </w:tcPr>
          <w:p w14:paraId="364D8899"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2031</w:t>
            </w:r>
          </w:p>
        </w:tc>
        <w:tc>
          <w:tcPr>
            <w:tcW w:w="341" w:type="pct"/>
            <w:tcBorders>
              <w:top w:val="nil"/>
              <w:left w:val="nil"/>
              <w:bottom w:val="single" w:sz="8" w:space="0" w:color="auto"/>
              <w:right w:val="single" w:sz="8" w:space="0" w:color="auto"/>
            </w:tcBorders>
            <w:vAlign w:val="center"/>
            <w:hideMark/>
          </w:tcPr>
          <w:p w14:paraId="577E265B"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2032</w:t>
            </w:r>
          </w:p>
        </w:tc>
        <w:tc>
          <w:tcPr>
            <w:tcW w:w="341" w:type="pct"/>
            <w:tcBorders>
              <w:top w:val="nil"/>
              <w:left w:val="nil"/>
              <w:bottom w:val="single" w:sz="8" w:space="0" w:color="auto"/>
              <w:right w:val="single" w:sz="8" w:space="0" w:color="auto"/>
            </w:tcBorders>
            <w:vAlign w:val="center"/>
            <w:hideMark/>
          </w:tcPr>
          <w:p w14:paraId="1D92438F"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2033</w:t>
            </w:r>
          </w:p>
        </w:tc>
        <w:tc>
          <w:tcPr>
            <w:tcW w:w="341" w:type="pct"/>
            <w:tcBorders>
              <w:top w:val="nil"/>
              <w:left w:val="nil"/>
              <w:bottom w:val="single" w:sz="8" w:space="0" w:color="auto"/>
              <w:right w:val="single" w:sz="8" w:space="0" w:color="auto"/>
            </w:tcBorders>
            <w:vAlign w:val="center"/>
            <w:hideMark/>
          </w:tcPr>
          <w:p w14:paraId="0F3677E7"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37A2A02D" w14:textId="77777777" w:rsidR="000473B3" w:rsidRPr="00732D9A" w:rsidRDefault="000473B3" w:rsidP="000473B3">
            <w:pPr>
              <w:spacing w:before="0" w:after="0"/>
              <w:jc w:val="left"/>
              <w:rPr>
                <w:rFonts w:eastAsia="Times New Roman"/>
                <w:b/>
                <w:bCs/>
                <w:noProof/>
                <w:color w:val="000000"/>
                <w:sz w:val="18"/>
                <w:szCs w:val="18"/>
                <w:lang w:eastAsia="en-IE"/>
              </w:rPr>
            </w:pPr>
          </w:p>
        </w:tc>
        <w:tc>
          <w:tcPr>
            <w:tcW w:w="354" w:type="pct"/>
            <w:tcBorders>
              <w:top w:val="nil"/>
              <w:left w:val="nil"/>
              <w:bottom w:val="single" w:sz="8" w:space="0" w:color="auto"/>
              <w:right w:val="single" w:sz="8" w:space="0" w:color="auto"/>
            </w:tcBorders>
            <w:vAlign w:val="center"/>
            <w:hideMark/>
          </w:tcPr>
          <w:p w14:paraId="74E7AE38" w14:textId="77777777" w:rsidR="000473B3" w:rsidRPr="00732D9A" w:rsidRDefault="000473B3" w:rsidP="000473B3">
            <w:pPr>
              <w:spacing w:before="0" w:after="0"/>
              <w:jc w:val="center"/>
              <w:rPr>
                <w:rFonts w:eastAsia="Times New Roman"/>
                <w:b/>
                <w:bCs/>
                <w:noProof/>
                <w:color w:val="000000"/>
                <w:sz w:val="18"/>
                <w:szCs w:val="18"/>
              </w:rPr>
            </w:pPr>
            <w:r w:rsidRPr="00732D9A">
              <w:rPr>
                <w:b/>
                <w:noProof/>
                <w:color w:val="000000"/>
                <w:sz w:val="18"/>
              </w:rPr>
              <w:t>2034</w:t>
            </w:r>
          </w:p>
        </w:tc>
        <w:tc>
          <w:tcPr>
            <w:tcW w:w="472" w:type="pct"/>
            <w:vMerge/>
            <w:tcBorders>
              <w:top w:val="single" w:sz="8" w:space="0" w:color="auto"/>
              <w:left w:val="single" w:sz="8" w:space="0" w:color="auto"/>
              <w:bottom w:val="single" w:sz="8" w:space="0" w:color="auto"/>
              <w:right w:val="single" w:sz="8" w:space="0" w:color="auto"/>
            </w:tcBorders>
            <w:vAlign w:val="center"/>
            <w:hideMark/>
          </w:tcPr>
          <w:p w14:paraId="77138C4F" w14:textId="77777777" w:rsidR="000473B3" w:rsidRPr="00732D9A" w:rsidRDefault="000473B3" w:rsidP="000473B3">
            <w:pPr>
              <w:spacing w:before="0" w:after="0"/>
              <w:jc w:val="left"/>
              <w:rPr>
                <w:rFonts w:eastAsia="Times New Roman"/>
                <w:b/>
                <w:bCs/>
                <w:noProof/>
                <w:color w:val="000000"/>
                <w:sz w:val="18"/>
                <w:szCs w:val="18"/>
                <w:lang w:eastAsia="en-IE"/>
              </w:rPr>
            </w:pPr>
          </w:p>
        </w:tc>
      </w:tr>
      <w:tr w:rsidR="000473B3" w:rsidRPr="00732D9A" w14:paraId="653057F6"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7F868983" w14:textId="77777777" w:rsidR="000473B3" w:rsidRPr="00732D9A" w:rsidRDefault="000473B3" w:rsidP="000473B3">
            <w:pPr>
              <w:spacing w:before="0" w:after="0"/>
              <w:jc w:val="left"/>
              <w:rPr>
                <w:rFonts w:eastAsia="Times New Roman"/>
                <w:b/>
                <w:bCs/>
                <w:noProof/>
                <w:sz w:val="16"/>
                <w:szCs w:val="16"/>
              </w:rPr>
            </w:pPr>
            <w:r w:rsidRPr="00732D9A">
              <w:rPr>
                <w:b/>
                <w:noProof/>
                <w:sz w:val="16"/>
              </w:rPr>
              <w:t>RUBRIQUE 7</w:t>
            </w:r>
          </w:p>
        </w:tc>
        <w:tc>
          <w:tcPr>
            <w:tcW w:w="354" w:type="pct"/>
            <w:tcBorders>
              <w:top w:val="nil"/>
              <w:left w:val="nil"/>
              <w:bottom w:val="single" w:sz="8" w:space="0" w:color="auto"/>
              <w:right w:val="single" w:sz="8" w:space="0" w:color="auto"/>
            </w:tcBorders>
            <w:vAlign w:val="center"/>
            <w:hideMark/>
          </w:tcPr>
          <w:p w14:paraId="67566391" w14:textId="77777777" w:rsidR="000473B3" w:rsidRPr="00732D9A" w:rsidRDefault="000473B3" w:rsidP="000473B3">
            <w:pPr>
              <w:spacing w:before="0" w:after="0"/>
              <w:jc w:val="left"/>
              <w:rPr>
                <w:rFonts w:eastAsia="Times New Roman"/>
                <w:b/>
                <w:bCs/>
                <w:noProof/>
                <w:sz w:val="16"/>
                <w:szCs w:val="16"/>
              </w:rPr>
            </w:pPr>
            <w:r w:rsidRPr="00732D9A">
              <w:rPr>
                <w:b/>
                <w:noProof/>
                <w:sz w:val="16"/>
              </w:rPr>
              <w:t xml:space="preserve"> </w:t>
            </w:r>
          </w:p>
        </w:tc>
        <w:tc>
          <w:tcPr>
            <w:tcW w:w="472" w:type="pct"/>
            <w:tcBorders>
              <w:top w:val="nil"/>
              <w:left w:val="nil"/>
              <w:bottom w:val="single" w:sz="8" w:space="0" w:color="auto"/>
              <w:right w:val="single" w:sz="8" w:space="0" w:color="auto"/>
            </w:tcBorders>
            <w:vAlign w:val="center"/>
            <w:hideMark/>
          </w:tcPr>
          <w:p w14:paraId="7836B0FA" w14:textId="77777777" w:rsidR="000473B3" w:rsidRPr="00732D9A" w:rsidRDefault="000473B3" w:rsidP="000473B3">
            <w:pPr>
              <w:spacing w:before="0" w:after="0"/>
              <w:jc w:val="left"/>
              <w:rPr>
                <w:rFonts w:eastAsia="Times New Roman"/>
                <w:b/>
                <w:bCs/>
                <w:noProof/>
                <w:sz w:val="16"/>
                <w:szCs w:val="16"/>
              </w:rPr>
            </w:pPr>
            <w:r w:rsidRPr="00732D9A">
              <w:rPr>
                <w:b/>
                <w:noProof/>
                <w:sz w:val="16"/>
              </w:rPr>
              <w:t xml:space="preserve"> </w:t>
            </w:r>
          </w:p>
        </w:tc>
      </w:tr>
      <w:tr w:rsidR="000473B3" w:rsidRPr="00732D9A" w14:paraId="280CF77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AAB5D00" w14:textId="77777777" w:rsidR="000473B3" w:rsidRPr="00732D9A" w:rsidRDefault="000473B3" w:rsidP="000473B3">
            <w:pPr>
              <w:spacing w:before="0" w:after="0"/>
              <w:jc w:val="left"/>
              <w:rPr>
                <w:rFonts w:eastAsia="Times New Roman"/>
                <w:noProof/>
                <w:color w:val="000000"/>
                <w:sz w:val="16"/>
                <w:szCs w:val="16"/>
              </w:rPr>
            </w:pPr>
            <w:r w:rsidRPr="00732D9A">
              <w:rPr>
                <w:noProof/>
                <w:color w:val="000000"/>
                <w:sz w:val="16"/>
              </w:rPr>
              <w:t xml:space="preserve">Ressources humaines </w:t>
            </w:r>
          </w:p>
        </w:tc>
        <w:tc>
          <w:tcPr>
            <w:tcW w:w="333" w:type="pct"/>
            <w:tcBorders>
              <w:top w:val="nil"/>
              <w:left w:val="nil"/>
              <w:bottom w:val="single" w:sz="8" w:space="0" w:color="auto"/>
              <w:right w:val="single" w:sz="8" w:space="0" w:color="auto"/>
            </w:tcBorders>
            <w:shd w:val="clear" w:color="000000" w:fill="D9D9D9"/>
            <w:vAlign w:val="center"/>
            <w:hideMark/>
          </w:tcPr>
          <w:p w14:paraId="6B1B7A4D"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182FC9BF"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7C5B5BE8"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57E1C3F9"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0B28087E"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19DA85DE"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F4E630C"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2D3AB58D"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4053B52B"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665A0F61"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r>
      <w:tr w:rsidR="000473B3" w:rsidRPr="00732D9A" w14:paraId="0A2BC567"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147F9543" w14:textId="77777777" w:rsidR="000473B3" w:rsidRPr="00732D9A" w:rsidRDefault="000473B3" w:rsidP="000473B3">
            <w:pPr>
              <w:spacing w:before="0" w:after="0"/>
              <w:jc w:val="left"/>
              <w:rPr>
                <w:rFonts w:eastAsia="Times New Roman"/>
                <w:noProof/>
                <w:color w:val="000000"/>
                <w:sz w:val="16"/>
                <w:szCs w:val="16"/>
              </w:rPr>
            </w:pPr>
            <w:r w:rsidRPr="00732D9A">
              <w:rPr>
                <w:noProof/>
                <w:color w:val="000000"/>
                <w:sz w:val="16"/>
              </w:rPr>
              <w:t xml:space="preserve">Autres dépenses administratives </w:t>
            </w:r>
          </w:p>
        </w:tc>
        <w:tc>
          <w:tcPr>
            <w:tcW w:w="333" w:type="pct"/>
            <w:tcBorders>
              <w:top w:val="nil"/>
              <w:left w:val="nil"/>
              <w:bottom w:val="single" w:sz="8" w:space="0" w:color="auto"/>
              <w:right w:val="single" w:sz="8" w:space="0" w:color="auto"/>
            </w:tcBorders>
            <w:shd w:val="clear" w:color="000000" w:fill="D9D9D9"/>
            <w:vAlign w:val="center"/>
            <w:hideMark/>
          </w:tcPr>
          <w:p w14:paraId="7D8DE1CF"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471CC46D"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35A857C0"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163B2589"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61BC8DD"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22F5CD28"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4ACC4F92"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1B157E4A"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229AA617"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1E2859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r>
      <w:tr w:rsidR="000473B3" w:rsidRPr="00732D9A" w14:paraId="6C03A7B4"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4C40C833" w14:textId="77777777" w:rsidR="000473B3" w:rsidRPr="00732D9A" w:rsidRDefault="000473B3" w:rsidP="000473B3">
            <w:pPr>
              <w:spacing w:before="0" w:after="0"/>
              <w:jc w:val="center"/>
              <w:rPr>
                <w:rFonts w:eastAsia="Times New Roman"/>
                <w:b/>
                <w:bCs/>
                <w:noProof/>
                <w:color w:val="000000"/>
                <w:sz w:val="16"/>
                <w:szCs w:val="16"/>
              </w:rPr>
            </w:pPr>
            <w:r w:rsidRPr="00732D9A">
              <w:rPr>
                <w:b/>
                <w:noProof/>
                <w:color w:val="000000"/>
                <w:sz w:val="16"/>
              </w:rPr>
              <w:t>Sous-total RUBRIQUE 7</w:t>
            </w:r>
          </w:p>
        </w:tc>
        <w:tc>
          <w:tcPr>
            <w:tcW w:w="333" w:type="pct"/>
            <w:tcBorders>
              <w:top w:val="nil"/>
              <w:left w:val="nil"/>
              <w:bottom w:val="single" w:sz="8" w:space="0" w:color="auto"/>
              <w:right w:val="single" w:sz="8" w:space="0" w:color="auto"/>
            </w:tcBorders>
            <w:shd w:val="clear" w:color="000000" w:fill="D9D9D9"/>
            <w:vAlign w:val="center"/>
            <w:hideMark/>
          </w:tcPr>
          <w:p w14:paraId="6C4D26D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66D6F50B"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5F838E05"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54EC4CA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08457FA8"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D3F137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27DAA85B"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0A7962BC"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6DCD7832"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7E89155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r>
      <w:tr w:rsidR="000473B3" w:rsidRPr="00732D9A" w14:paraId="43329AC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vAlign w:val="center"/>
            <w:hideMark/>
          </w:tcPr>
          <w:p w14:paraId="63459827" w14:textId="77777777" w:rsidR="000473B3" w:rsidRPr="00732D9A" w:rsidRDefault="000473B3" w:rsidP="000473B3">
            <w:pPr>
              <w:spacing w:before="0" w:after="0"/>
              <w:jc w:val="left"/>
              <w:rPr>
                <w:rFonts w:eastAsia="Times New Roman"/>
                <w:b/>
                <w:bCs/>
                <w:noProof/>
                <w:sz w:val="16"/>
                <w:szCs w:val="16"/>
              </w:rPr>
            </w:pPr>
            <w:r w:rsidRPr="00732D9A">
              <w:rPr>
                <w:b/>
                <w:noProof/>
                <w:sz w:val="16"/>
              </w:rPr>
              <w:t>Hors RUBRIQUE 7</w:t>
            </w:r>
          </w:p>
        </w:tc>
        <w:tc>
          <w:tcPr>
            <w:tcW w:w="354" w:type="pct"/>
            <w:tcBorders>
              <w:top w:val="nil"/>
              <w:left w:val="nil"/>
              <w:bottom w:val="single" w:sz="8" w:space="0" w:color="auto"/>
              <w:right w:val="single" w:sz="8" w:space="0" w:color="auto"/>
            </w:tcBorders>
            <w:vAlign w:val="center"/>
            <w:hideMark/>
          </w:tcPr>
          <w:p w14:paraId="7FEB026E" w14:textId="77777777" w:rsidR="000473B3" w:rsidRPr="00732D9A" w:rsidRDefault="000473B3" w:rsidP="000473B3">
            <w:pPr>
              <w:spacing w:before="0" w:after="0"/>
              <w:jc w:val="left"/>
              <w:rPr>
                <w:rFonts w:eastAsia="Times New Roman"/>
                <w:b/>
                <w:bCs/>
                <w:noProof/>
                <w:sz w:val="16"/>
                <w:szCs w:val="16"/>
              </w:rPr>
            </w:pPr>
            <w:r w:rsidRPr="00732D9A">
              <w:rPr>
                <w:b/>
                <w:noProof/>
                <w:sz w:val="16"/>
              </w:rPr>
              <w:t xml:space="preserve"> </w:t>
            </w:r>
          </w:p>
        </w:tc>
        <w:tc>
          <w:tcPr>
            <w:tcW w:w="472" w:type="pct"/>
            <w:tcBorders>
              <w:top w:val="nil"/>
              <w:left w:val="nil"/>
              <w:bottom w:val="single" w:sz="8" w:space="0" w:color="auto"/>
              <w:right w:val="single" w:sz="8" w:space="0" w:color="auto"/>
            </w:tcBorders>
            <w:vAlign w:val="center"/>
            <w:hideMark/>
          </w:tcPr>
          <w:p w14:paraId="75C9363C" w14:textId="77777777" w:rsidR="000473B3" w:rsidRPr="00732D9A" w:rsidRDefault="000473B3" w:rsidP="000473B3">
            <w:pPr>
              <w:spacing w:before="0" w:after="0"/>
              <w:jc w:val="left"/>
              <w:rPr>
                <w:rFonts w:eastAsia="Times New Roman"/>
                <w:b/>
                <w:bCs/>
                <w:noProof/>
                <w:sz w:val="16"/>
                <w:szCs w:val="16"/>
              </w:rPr>
            </w:pPr>
            <w:r w:rsidRPr="00732D9A">
              <w:rPr>
                <w:b/>
                <w:noProof/>
                <w:sz w:val="16"/>
              </w:rPr>
              <w:t xml:space="preserve"> </w:t>
            </w:r>
          </w:p>
        </w:tc>
      </w:tr>
      <w:tr w:rsidR="000473B3" w:rsidRPr="00732D9A" w14:paraId="487E069F"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07697FD2" w14:textId="77777777" w:rsidR="000473B3" w:rsidRPr="00732D9A" w:rsidRDefault="000473B3" w:rsidP="000473B3">
            <w:pPr>
              <w:spacing w:before="0" w:after="0"/>
              <w:jc w:val="left"/>
              <w:rPr>
                <w:rFonts w:eastAsia="Times New Roman"/>
                <w:noProof/>
                <w:color w:val="000000"/>
                <w:sz w:val="16"/>
                <w:szCs w:val="16"/>
              </w:rPr>
            </w:pPr>
            <w:r w:rsidRPr="00732D9A">
              <w:rPr>
                <w:noProof/>
                <w:color w:val="000000"/>
                <w:sz w:val="16"/>
              </w:rPr>
              <w:t xml:space="preserve">Ressources humaines </w:t>
            </w:r>
          </w:p>
        </w:tc>
        <w:tc>
          <w:tcPr>
            <w:tcW w:w="333" w:type="pct"/>
            <w:tcBorders>
              <w:top w:val="nil"/>
              <w:left w:val="nil"/>
              <w:bottom w:val="single" w:sz="8" w:space="0" w:color="auto"/>
              <w:right w:val="single" w:sz="8" w:space="0" w:color="auto"/>
            </w:tcBorders>
            <w:shd w:val="clear" w:color="000000" w:fill="D9D9D9"/>
            <w:vAlign w:val="center"/>
            <w:hideMark/>
          </w:tcPr>
          <w:p w14:paraId="75594A7E"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7D8BAE3E"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72A88512"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4605E9D1"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6BE7CE84"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6EA84C1"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5DF3C20B"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6B680958"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113B5DA6"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D84535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r>
      <w:tr w:rsidR="000473B3" w:rsidRPr="00732D9A" w14:paraId="1C8EC966"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25D0EFAF" w14:textId="77777777" w:rsidR="000473B3" w:rsidRPr="00732D9A" w:rsidRDefault="000473B3" w:rsidP="000473B3">
            <w:pPr>
              <w:spacing w:before="0" w:after="0"/>
              <w:jc w:val="left"/>
              <w:rPr>
                <w:rFonts w:eastAsia="Times New Roman"/>
                <w:noProof/>
                <w:color w:val="000000"/>
                <w:sz w:val="16"/>
                <w:szCs w:val="16"/>
              </w:rPr>
            </w:pPr>
            <w:r w:rsidRPr="00732D9A">
              <w:rPr>
                <w:noProof/>
                <w:color w:val="000000"/>
                <w:sz w:val="16"/>
              </w:rPr>
              <w:t>Autres dépenses de nature administrative</w:t>
            </w:r>
          </w:p>
        </w:tc>
        <w:tc>
          <w:tcPr>
            <w:tcW w:w="333" w:type="pct"/>
            <w:tcBorders>
              <w:top w:val="nil"/>
              <w:left w:val="nil"/>
              <w:bottom w:val="single" w:sz="8" w:space="0" w:color="auto"/>
              <w:right w:val="single" w:sz="8" w:space="0" w:color="auto"/>
            </w:tcBorders>
            <w:shd w:val="clear" w:color="000000" w:fill="D9D9D9"/>
            <w:vAlign w:val="center"/>
            <w:hideMark/>
          </w:tcPr>
          <w:p w14:paraId="5B87D1F5"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048E857D"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6AA3CBF2"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28D40451"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68B66580"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860C3AE"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33FBE6D"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6F79621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1EB50E5C" w14:textId="77777777" w:rsidR="000473B3" w:rsidRPr="00732D9A" w:rsidRDefault="000473B3" w:rsidP="000473B3">
            <w:pPr>
              <w:spacing w:before="0" w:after="0"/>
              <w:jc w:val="right"/>
              <w:rPr>
                <w:rFonts w:eastAsia="Times New Roman"/>
                <w:noProof/>
                <w:color w:val="000000"/>
                <w:sz w:val="16"/>
                <w:szCs w:val="16"/>
              </w:rPr>
            </w:pPr>
            <w:r w:rsidRPr="00732D9A">
              <w:rPr>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22F49898"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r>
      <w:tr w:rsidR="000473B3" w:rsidRPr="00732D9A" w14:paraId="2345589A" w14:textId="77777777" w:rsidTr="000473B3">
        <w:trPr>
          <w:trHeight w:val="315"/>
        </w:trPr>
        <w:tc>
          <w:tcPr>
            <w:tcW w:w="1356" w:type="pct"/>
            <w:tcBorders>
              <w:top w:val="nil"/>
              <w:left w:val="single" w:sz="8" w:space="0" w:color="auto"/>
              <w:bottom w:val="single" w:sz="8" w:space="0" w:color="auto"/>
              <w:right w:val="single" w:sz="8" w:space="0" w:color="auto"/>
            </w:tcBorders>
            <w:shd w:val="clear" w:color="000000" w:fill="CCCCCC"/>
            <w:vAlign w:val="center"/>
            <w:hideMark/>
          </w:tcPr>
          <w:p w14:paraId="2CD12127" w14:textId="77777777" w:rsidR="000473B3" w:rsidRPr="00732D9A" w:rsidRDefault="000473B3" w:rsidP="000473B3">
            <w:pPr>
              <w:spacing w:before="0" w:after="0"/>
              <w:jc w:val="center"/>
              <w:rPr>
                <w:rFonts w:eastAsia="Times New Roman"/>
                <w:b/>
                <w:bCs/>
                <w:noProof/>
                <w:color w:val="000000"/>
                <w:sz w:val="16"/>
                <w:szCs w:val="16"/>
              </w:rPr>
            </w:pPr>
            <w:r w:rsidRPr="00732D9A">
              <w:rPr>
                <w:b/>
                <w:noProof/>
                <w:color w:val="000000"/>
                <w:sz w:val="16"/>
              </w:rPr>
              <w:t>Sous-total hors RUBRIQUE 7</w:t>
            </w:r>
          </w:p>
        </w:tc>
        <w:tc>
          <w:tcPr>
            <w:tcW w:w="333" w:type="pct"/>
            <w:tcBorders>
              <w:top w:val="nil"/>
              <w:left w:val="nil"/>
              <w:bottom w:val="single" w:sz="8" w:space="0" w:color="auto"/>
              <w:right w:val="single" w:sz="8" w:space="0" w:color="auto"/>
            </w:tcBorders>
            <w:shd w:val="clear" w:color="000000" w:fill="D9D9D9"/>
            <w:vAlign w:val="center"/>
            <w:hideMark/>
          </w:tcPr>
          <w:p w14:paraId="6DF1998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689AB683"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33" w:type="pct"/>
            <w:tcBorders>
              <w:top w:val="nil"/>
              <w:left w:val="nil"/>
              <w:bottom w:val="single" w:sz="8" w:space="0" w:color="auto"/>
              <w:right w:val="single" w:sz="8" w:space="0" w:color="auto"/>
            </w:tcBorders>
            <w:shd w:val="clear" w:color="000000" w:fill="D9D9D9"/>
            <w:vAlign w:val="center"/>
            <w:hideMark/>
          </w:tcPr>
          <w:p w14:paraId="1258B8E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0BA2C5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3142F452"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70A3BFFC"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41" w:type="pct"/>
            <w:tcBorders>
              <w:top w:val="nil"/>
              <w:left w:val="nil"/>
              <w:bottom w:val="single" w:sz="8" w:space="0" w:color="auto"/>
              <w:right w:val="single" w:sz="8" w:space="0" w:color="auto"/>
            </w:tcBorders>
            <w:shd w:val="clear" w:color="000000" w:fill="D9D9D9"/>
            <w:vAlign w:val="center"/>
            <w:hideMark/>
          </w:tcPr>
          <w:p w14:paraId="55090A5A"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456" w:type="pct"/>
            <w:tcBorders>
              <w:top w:val="nil"/>
              <w:left w:val="nil"/>
              <w:bottom w:val="single" w:sz="8" w:space="0" w:color="auto"/>
              <w:right w:val="single" w:sz="8" w:space="0" w:color="auto"/>
            </w:tcBorders>
            <w:shd w:val="clear" w:color="000000" w:fill="D9D9D9"/>
            <w:vAlign w:val="center"/>
            <w:hideMark/>
          </w:tcPr>
          <w:p w14:paraId="56DEF66F"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354" w:type="pct"/>
            <w:tcBorders>
              <w:top w:val="nil"/>
              <w:left w:val="nil"/>
              <w:bottom w:val="single" w:sz="8" w:space="0" w:color="auto"/>
              <w:right w:val="single" w:sz="8" w:space="0" w:color="auto"/>
            </w:tcBorders>
            <w:shd w:val="clear" w:color="000000" w:fill="D9D9D9"/>
            <w:vAlign w:val="center"/>
            <w:hideMark/>
          </w:tcPr>
          <w:p w14:paraId="42A0F51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33E64081"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r>
      <w:tr w:rsidR="000473B3" w:rsidRPr="00732D9A" w14:paraId="2670994D" w14:textId="77777777" w:rsidTr="000473B3">
        <w:trPr>
          <w:trHeight w:val="315"/>
        </w:trPr>
        <w:tc>
          <w:tcPr>
            <w:tcW w:w="4174" w:type="pct"/>
            <w:gridSpan w:val="9"/>
            <w:tcBorders>
              <w:top w:val="single" w:sz="8" w:space="0" w:color="auto"/>
              <w:left w:val="single" w:sz="8" w:space="0" w:color="auto"/>
              <w:bottom w:val="single" w:sz="8" w:space="0" w:color="auto"/>
              <w:right w:val="single" w:sz="8" w:space="0" w:color="000000"/>
            </w:tcBorders>
            <w:noWrap/>
            <w:vAlign w:val="center"/>
            <w:hideMark/>
          </w:tcPr>
          <w:p w14:paraId="3664C737" w14:textId="77777777" w:rsidR="000473B3" w:rsidRPr="00732D9A" w:rsidRDefault="000473B3" w:rsidP="000473B3">
            <w:pPr>
              <w:spacing w:before="0" w:after="0"/>
              <w:jc w:val="center"/>
              <w:rPr>
                <w:rFonts w:eastAsia="Times New Roman"/>
                <w:noProof/>
                <w:color w:val="000000"/>
                <w:sz w:val="16"/>
                <w:szCs w:val="16"/>
              </w:rPr>
            </w:pPr>
            <w:r w:rsidRPr="00732D9A">
              <w:rPr>
                <w:noProof/>
                <w:color w:val="000000"/>
                <w:sz w:val="16"/>
              </w:rPr>
              <w:t xml:space="preserve"> </w:t>
            </w:r>
          </w:p>
        </w:tc>
        <w:tc>
          <w:tcPr>
            <w:tcW w:w="826" w:type="pct"/>
            <w:gridSpan w:val="2"/>
            <w:tcBorders>
              <w:top w:val="single" w:sz="8" w:space="0" w:color="auto"/>
              <w:left w:val="nil"/>
              <w:bottom w:val="single" w:sz="8" w:space="0" w:color="auto"/>
              <w:right w:val="single" w:sz="8" w:space="0" w:color="000000"/>
            </w:tcBorders>
            <w:noWrap/>
            <w:vAlign w:val="bottom"/>
            <w:hideMark/>
          </w:tcPr>
          <w:p w14:paraId="533B5675" w14:textId="77777777" w:rsidR="000473B3" w:rsidRPr="00732D9A" w:rsidRDefault="000473B3" w:rsidP="000473B3">
            <w:pPr>
              <w:spacing w:before="0" w:after="0"/>
              <w:jc w:val="center"/>
              <w:rPr>
                <w:rFonts w:ascii="Calibri" w:eastAsia="Times New Roman" w:hAnsi="Calibri" w:cs="Calibri"/>
                <w:noProof/>
                <w:color w:val="000000"/>
                <w:sz w:val="22"/>
              </w:rPr>
            </w:pPr>
            <w:r w:rsidRPr="00732D9A">
              <w:rPr>
                <w:rFonts w:ascii="Calibri" w:hAnsi="Calibri"/>
                <w:noProof/>
                <w:color w:val="000000"/>
                <w:sz w:val="22"/>
              </w:rPr>
              <w:t xml:space="preserve"> </w:t>
            </w:r>
          </w:p>
        </w:tc>
      </w:tr>
      <w:tr w:rsidR="000473B3" w:rsidRPr="00732D9A" w14:paraId="346417FB" w14:textId="77777777" w:rsidTr="000473B3">
        <w:trPr>
          <w:trHeight w:val="315"/>
        </w:trPr>
        <w:tc>
          <w:tcPr>
            <w:tcW w:w="1356" w:type="pct"/>
            <w:tcBorders>
              <w:top w:val="nil"/>
              <w:left w:val="single" w:sz="8" w:space="0" w:color="auto"/>
              <w:bottom w:val="single" w:sz="8" w:space="0" w:color="auto"/>
              <w:right w:val="single" w:sz="8" w:space="0" w:color="auto"/>
            </w:tcBorders>
            <w:vAlign w:val="center"/>
            <w:hideMark/>
          </w:tcPr>
          <w:p w14:paraId="48B5EDCC" w14:textId="77777777" w:rsidR="000473B3" w:rsidRPr="00732D9A" w:rsidRDefault="000473B3" w:rsidP="000473B3">
            <w:pPr>
              <w:spacing w:before="0" w:after="0"/>
              <w:jc w:val="center"/>
              <w:rPr>
                <w:rFonts w:eastAsia="Times New Roman"/>
                <w:b/>
                <w:bCs/>
                <w:noProof/>
                <w:color w:val="000000"/>
                <w:sz w:val="16"/>
                <w:szCs w:val="16"/>
              </w:rPr>
            </w:pPr>
            <w:r w:rsidRPr="00732D9A">
              <w:rPr>
                <w:b/>
                <w:noProof/>
                <w:color w:val="000000"/>
                <w:sz w:val="16"/>
              </w:rPr>
              <w:t>TOTAL</w:t>
            </w:r>
          </w:p>
        </w:tc>
        <w:tc>
          <w:tcPr>
            <w:tcW w:w="333" w:type="pct"/>
            <w:tcBorders>
              <w:top w:val="nil"/>
              <w:left w:val="nil"/>
              <w:bottom w:val="single" w:sz="8" w:space="0" w:color="auto"/>
              <w:right w:val="single" w:sz="8" w:space="0" w:color="auto"/>
            </w:tcBorders>
            <w:shd w:val="clear" w:color="000000" w:fill="D9D9D9"/>
            <w:vAlign w:val="center"/>
            <w:hideMark/>
          </w:tcPr>
          <w:p w14:paraId="06708840"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2627AA43"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33" w:type="pct"/>
            <w:tcBorders>
              <w:top w:val="nil"/>
              <w:left w:val="nil"/>
              <w:bottom w:val="single" w:sz="8" w:space="0" w:color="auto"/>
              <w:right w:val="single" w:sz="8" w:space="0" w:color="auto"/>
            </w:tcBorders>
            <w:shd w:val="clear" w:color="000000" w:fill="D9D9D9"/>
            <w:vAlign w:val="center"/>
            <w:hideMark/>
          </w:tcPr>
          <w:p w14:paraId="5ABB89DB"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67A47544"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2B33A252"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76E6FDDA"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341" w:type="pct"/>
            <w:tcBorders>
              <w:top w:val="nil"/>
              <w:left w:val="nil"/>
              <w:bottom w:val="single" w:sz="8" w:space="0" w:color="auto"/>
              <w:right w:val="single" w:sz="8" w:space="0" w:color="auto"/>
            </w:tcBorders>
            <w:shd w:val="clear" w:color="000000" w:fill="D9D9D9"/>
            <w:vAlign w:val="center"/>
            <w:hideMark/>
          </w:tcPr>
          <w:p w14:paraId="16A57AC6"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1,164</w:t>
            </w:r>
          </w:p>
        </w:tc>
        <w:tc>
          <w:tcPr>
            <w:tcW w:w="456" w:type="pct"/>
            <w:tcBorders>
              <w:top w:val="nil"/>
              <w:left w:val="nil"/>
              <w:bottom w:val="single" w:sz="8" w:space="0" w:color="auto"/>
              <w:right w:val="single" w:sz="8" w:space="0" w:color="auto"/>
            </w:tcBorders>
            <w:shd w:val="clear" w:color="000000" w:fill="D9D9D9"/>
            <w:vAlign w:val="center"/>
            <w:hideMark/>
          </w:tcPr>
          <w:p w14:paraId="6563CB07"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c>
          <w:tcPr>
            <w:tcW w:w="354" w:type="pct"/>
            <w:tcBorders>
              <w:top w:val="nil"/>
              <w:left w:val="nil"/>
              <w:bottom w:val="single" w:sz="8" w:space="0" w:color="auto"/>
              <w:right w:val="single" w:sz="8" w:space="0" w:color="auto"/>
            </w:tcBorders>
            <w:shd w:val="clear" w:color="000000" w:fill="D9D9D9"/>
            <w:vAlign w:val="center"/>
            <w:hideMark/>
          </w:tcPr>
          <w:p w14:paraId="4070C839"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0,000</w:t>
            </w:r>
          </w:p>
        </w:tc>
        <w:tc>
          <w:tcPr>
            <w:tcW w:w="472" w:type="pct"/>
            <w:tcBorders>
              <w:top w:val="nil"/>
              <w:left w:val="nil"/>
              <w:bottom w:val="single" w:sz="8" w:space="0" w:color="auto"/>
              <w:right w:val="single" w:sz="8" w:space="0" w:color="auto"/>
            </w:tcBorders>
            <w:shd w:val="clear" w:color="000000" w:fill="D9D9D9"/>
            <w:vAlign w:val="center"/>
            <w:hideMark/>
          </w:tcPr>
          <w:p w14:paraId="41BE1623" w14:textId="77777777" w:rsidR="000473B3" w:rsidRPr="00732D9A" w:rsidRDefault="000473B3" w:rsidP="000473B3">
            <w:pPr>
              <w:spacing w:before="0" w:after="0"/>
              <w:jc w:val="right"/>
              <w:rPr>
                <w:rFonts w:eastAsia="Times New Roman"/>
                <w:b/>
                <w:bCs/>
                <w:noProof/>
                <w:color w:val="000000"/>
                <w:sz w:val="16"/>
                <w:szCs w:val="16"/>
              </w:rPr>
            </w:pPr>
            <w:r w:rsidRPr="00732D9A">
              <w:rPr>
                <w:b/>
                <w:noProof/>
                <w:color w:val="000000"/>
                <w:sz w:val="16"/>
              </w:rPr>
              <w:t>8,148</w:t>
            </w:r>
          </w:p>
        </w:tc>
      </w:tr>
    </w:tbl>
    <w:p w14:paraId="7EF8B4CC" w14:textId="77777777" w:rsidR="000473B3" w:rsidRPr="00732D9A" w:rsidRDefault="000473B3" w:rsidP="00CA7C31">
      <w:pPr>
        <w:rPr>
          <w:noProof/>
        </w:rPr>
      </w:pPr>
      <w:r w:rsidRPr="00732D9A">
        <w:rPr>
          <w:noProof/>
        </w:rPr>
        <w:t>Les chiffres figurant dans les tableaux ci-dessus sont tous strictement indicatifs dans l’attente de l’issue des négociations sur le CFP 2028-2034, dont on ne saurait préjuger.</w:t>
      </w:r>
    </w:p>
    <w:p w14:paraId="263CF44A" w14:textId="77777777" w:rsidR="000473B3" w:rsidRPr="00732D9A" w:rsidRDefault="000473B3" w:rsidP="00CA7C31">
      <w:pPr>
        <w:rPr>
          <w:noProof/>
        </w:rPr>
      </w:pPr>
    </w:p>
    <w:p w14:paraId="0B74903B" w14:textId="77777777" w:rsidR="00CA7C31" w:rsidRPr="00732D9A" w:rsidRDefault="00CA7C31" w:rsidP="00CA7C31">
      <w:pPr>
        <w:pStyle w:val="ManualHeading3"/>
        <w:rPr>
          <w:bCs/>
          <w:noProof/>
          <w:szCs w:val="24"/>
        </w:rPr>
      </w:pPr>
      <w:r w:rsidRPr="00732D9A">
        <w:rPr>
          <w:noProof/>
        </w:rPr>
        <w:t>3.2.4.</w:t>
      </w:r>
      <w:r w:rsidRPr="00732D9A">
        <w:rPr>
          <w:noProof/>
        </w:rPr>
        <w:tab/>
        <w:t xml:space="preserve">Besoins estimés en ressources humaines </w:t>
      </w:r>
    </w:p>
    <w:p w14:paraId="11CDD6A4"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 xml:space="preserve">La proposition/l’initiative n’engendre pas l’utilisation de ressources humaines </w:t>
      </w:r>
    </w:p>
    <w:p w14:paraId="20B015B1"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La proposition/l’initiative engendre l’utilisation de ressources humaines, comme expliqué ci-après:</w:t>
      </w:r>
    </w:p>
    <w:p w14:paraId="1E3CDF0D" w14:textId="77777777" w:rsidR="00CA7C31" w:rsidRPr="00732D9A" w:rsidRDefault="00CA7C31" w:rsidP="00CA7C31">
      <w:pPr>
        <w:pStyle w:val="ManualHeading3"/>
        <w:rPr>
          <w:noProof/>
        </w:rPr>
      </w:pPr>
      <w:r w:rsidRPr="00732D9A">
        <w:rPr>
          <w:noProof/>
        </w:rPr>
        <w:t>3.2.4.1.</w:t>
      </w:r>
      <w:r w:rsidRPr="00732D9A">
        <w:rPr>
          <w:noProof/>
        </w:rPr>
        <w:tab/>
        <w:t>Financement sur le budget voté</w:t>
      </w:r>
    </w:p>
    <w:p w14:paraId="2045AE98" w14:textId="77777777" w:rsidR="00CA7C31" w:rsidRPr="00732D9A" w:rsidRDefault="00CA7C31" w:rsidP="00CA7C31">
      <w:pPr>
        <w:spacing w:after="60"/>
        <w:jc w:val="right"/>
        <w:rPr>
          <w:i/>
          <w:noProof/>
          <w:sz w:val="20"/>
        </w:rPr>
      </w:pPr>
      <w:r w:rsidRPr="00732D9A">
        <w:rPr>
          <w:i/>
          <w:noProof/>
          <w:sz w:val="20"/>
        </w:rPr>
        <w:t>Estimation à exprimer en équivalents temps plein (ETP)</w:t>
      </w:r>
    </w:p>
    <w:tbl>
      <w:tblPr>
        <w:tblW w:w="5000" w:type="pct"/>
        <w:tblLook w:val="04A0" w:firstRow="1" w:lastRow="0" w:firstColumn="1" w:lastColumn="0" w:noHBand="0" w:noVBand="1"/>
      </w:tblPr>
      <w:tblGrid>
        <w:gridCol w:w="1296"/>
        <w:gridCol w:w="945"/>
        <w:gridCol w:w="706"/>
        <w:gridCol w:w="634"/>
        <w:gridCol w:w="634"/>
        <w:gridCol w:w="634"/>
        <w:gridCol w:w="634"/>
        <w:gridCol w:w="634"/>
        <w:gridCol w:w="634"/>
        <w:gridCol w:w="634"/>
        <w:gridCol w:w="634"/>
        <w:gridCol w:w="634"/>
        <w:gridCol w:w="634"/>
      </w:tblGrid>
      <w:tr w:rsidR="00BC4CFD" w:rsidRPr="00732D9A" w14:paraId="0890EADF" w14:textId="77777777" w:rsidTr="00B41503">
        <w:trPr>
          <w:trHeight w:val="300"/>
        </w:trPr>
        <w:tc>
          <w:tcPr>
            <w:tcW w:w="1068"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C47D1E4" w14:textId="77777777" w:rsidR="00BC4CFD" w:rsidRPr="00732D9A" w:rsidRDefault="00BC4CFD" w:rsidP="00BC4CFD">
            <w:pPr>
              <w:spacing w:before="0" w:after="0"/>
              <w:jc w:val="center"/>
              <w:rPr>
                <w:b/>
                <w:noProof/>
                <w:color w:val="000000"/>
                <w:sz w:val="18"/>
                <w:szCs w:val="18"/>
              </w:rPr>
            </w:pPr>
            <w:r w:rsidRPr="00732D9A">
              <w:rPr>
                <w:b/>
                <w:noProof/>
                <w:color w:val="000000"/>
                <w:sz w:val="18"/>
              </w:rPr>
              <w:t>CRÉDITS VOTÉS</w:t>
            </w:r>
          </w:p>
        </w:tc>
        <w:tc>
          <w:tcPr>
            <w:tcW w:w="441" w:type="pct"/>
            <w:tcBorders>
              <w:top w:val="single" w:sz="8" w:space="0" w:color="auto"/>
              <w:left w:val="nil"/>
              <w:bottom w:val="nil"/>
              <w:right w:val="single" w:sz="8" w:space="0" w:color="auto"/>
            </w:tcBorders>
            <w:vAlign w:val="center"/>
            <w:hideMark/>
          </w:tcPr>
          <w:p w14:paraId="5A4BD50B"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274" w:type="pct"/>
            <w:tcBorders>
              <w:top w:val="single" w:sz="8" w:space="0" w:color="auto"/>
              <w:left w:val="nil"/>
              <w:bottom w:val="nil"/>
              <w:right w:val="single" w:sz="8" w:space="0" w:color="auto"/>
            </w:tcBorders>
            <w:vAlign w:val="center"/>
            <w:hideMark/>
          </w:tcPr>
          <w:p w14:paraId="2A38F032"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bottom w:val="nil"/>
              <w:right w:val="single" w:sz="8" w:space="0" w:color="auto"/>
            </w:tcBorders>
            <w:vAlign w:val="center"/>
            <w:hideMark/>
          </w:tcPr>
          <w:p w14:paraId="656388E6"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bottom w:val="nil"/>
              <w:right w:val="single" w:sz="8" w:space="0" w:color="auto"/>
            </w:tcBorders>
            <w:vAlign w:val="center"/>
            <w:hideMark/>
          </w:tcPr>
          <w:p w14:paraId="3687DE7C"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156F095A" w14:textId="77777777" w:rsidR="00BC4CFD" w:rsidRPr="00B41503" w:rsidRDefault="00BC4CFD" w:rsidP="00BC4CFD">
            <w:pPr>
              <w:spacing w:before="0" w:after="0"/>
              <w:jc w:val="center"/>
              <w:rPr>
                <w:b/>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5FC66E0D"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5A78D6F1"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68DABCCE"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2A8A2233"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104EBF91"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c>
          <w:tcPr>
            <w:tcW w:w="357" w:type="pct"/>
            <w:tcBorders>
              <w:top w:val="single" w:sz="8" w:space="0" w:color="auto"/>
              <w:left w:val="nil"/>
              <w:right w:val="single" w:sz="8" w:space="0" w:color="auto"/>
            </w:tcBorders>
            <w:vAlign w:val="center"/>
          </w:tcPr>
          <w:p w14:paraId="3817EAA1" w14:textId="77777777" w:rsidR="00BC4CFD" w:rsidRPr="00B41503" w:rsidRDefault="00BC4CFD" w:rsidP="00BC4CFD">
            <w:pPr>
              <w:spacing w:before="0" w:after="0"/>
              <w:jc w:val="center"/>
              <w:rPr>
                <w:noProof/>
                <w:color w:val="000000"/>
                <w:sz w:val="16"/>
                <w:szCs w:val="16"/>
              </w:rPr>
            </w:pPr>
            <w:r w:rsidRPr="00B41503">
              <w:rPr>
                <w:noProof/>
                <w:color w:val="000000"/>
                <w:sz w:val="16"/>
                <w:szCs w:val="16"/>
              </w:rPr>
              <w:t>Année</w:t>
            </w:r>
          </w:p>
        </w:tc>
      </w:tr>
      <w:tr w:rsidR="00BC4CFD" w:rsidRPr="00732D9A" w14:paraId="4FAD2821" w14:textId="77777777" w:rsidTr="00B41503">
        <w:trPr>
          <w:trHeight w:val="300"/>
        </w:trPr>
        <w:tc>
          <w:tcPr>
            <w:tcW w:w="1068" w:type="pct"/>
            <w:gridSpan w:val="2"/>
            <w:vMerge/>
            <w:tcBorders>
              <w:top w:val="single" w:sz="8" w:space="0" w:color="auto"/>
              <w:left w:val="single" w:sz="8" w:space="0" w:color="auto"/>
              <w:bottom w:val="single" w:sz="8" w:space="0" w:color="auto"/>
              <w:right w:val="single" w:sz="8" w:space="0" w:color="000000"/>
            </w:tcBorders>
            <w:vAlign w:val="center"/>
            <w:hideMark/>
          </w:tcPr>
          <w:p w14:paraId="3A8F3252" w14:textId="77777777" w:rsidR="00BC4CFD" w:rsidRPr="00732D9A" w:rsidRDefault="00BC4CFD" w:rsidP="00BC4CFD">
            <w:pPr>
              <w:spacing w:before="0" w:after="0"/>
              <w:jc w:val="left"/>
              <w:rPr>
                <w:b/>
                <w:noProof/>
                <w:color w:val="000000"/>
                <w:sz w:val="18"/>
                <w:szCs w:val="18"/>
                <w:lang w:eastAsia="en-IE"/>
              </w:rPr>
            </w:pPr>
          </w:p>
        </w:tc>
        <w:tc>
          <w:tcPr>
            <w:tcW w:w="441" w:type="pct"/>
            <w:tcBorders>
              <w:top w:val="nil"/>
              <w:left w:val="nil"/>
              <w:bottom w:val="single" w:sz="8" w:space="0" w:color="auto"/>
              <w:right w:val="single" w:sz="8" w:space="0" w:color="auto"/>
            </w:tcBorders>
            <w:vAlign w:val="center"/>
            <w:hideMark/>
          </w:tcPr>
          <w:p w14:paraId="228A4E4E"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2024</w:t>
            </w:r>
          </w:p>
        </w:tc>
        <w:tc>
          <w:tcPr>
            <w:tcW w:w="274" w:type="pct"/>
            <w:tcBorders>
              <w:top w:val="nil"/>
              <w:left w:val="nil"/>
              <w:bottom w:val="single" w:sz="8" w:space="0" w:color="auto"/>
              <w:right w:val="single" w:sz="8" w:space="0" w:color="auto"/>
            </w:tcBorders>
            <w:vAlign w:val="center"/>
            <w:hideMark/>
          </w:tcPr>
          <w:p w14:paraId="2EEAC9FF"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2025</w:t>
            </w:r>
          </w:p>
        </w:tc>
        <w:tc>
          <w:tcPr>
            <w:tcW w:w="357" w:type="pct"/>
            <w:tcBorders>
              <w:top w:val="nil"/>
              <w:left w:val="nil"/>
              <w:bottom w:val="single" w:sz="8" w:space="0" w:color="auto"/>
              <w:right w:val="single" w:sz="8" w:space="0" w:color="auto"/>
            </w:tcBorders>
            <w:vAlign w:val="center"/>
            <w:hideMark/>
          </w:tcPr>
          <w:p w14:paraId="0054164E"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2026</w:t>
            </w:r>
          </w:p>
        </w:tc>
        <w:tc>
          <w:tcPr>
            <w:tcW w:w="357" w:type="pct"/>
            <w:tcBorders>
              <w:top w:val="nil"/>
              <w:left w:val="nil"/>
              <w:bottom w:val="single" w:sz="8" w:space="0" w:color="auto"/>
              <w:right w:val="single" w:sz="8" w:space="0" w:color="auto"/>
            </w:tcBorders>
            <w:vAlign w:val="center"/>
            <w:hideMark/>
          </w:tcPr>
          <w:p w14:paraId="34E85992"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2027</w:t>
            </w:r>
          </w:p>
        </w:tc>
        <w:tc>
          <w:tcPr>
            <w:tcW w:w="357" w:type="pct"/>
            <w:tcBorders>
              <w:left w:val="nil"/>
              <w:bottom w:val="single" w:sz="8" w:space="0" w:color="auto"/>
              <w:right w:val="single" w:sz="8" w:space="0" w:color="auto"/>
            </w:tcBorders>
            <w:vAlign w:val="center"/>
          </w:tcPr>
          <w:p w14:paraId="50C10876"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2028</w:t>
            </w:r>
          </w:p>
        </w:tc>
        <w:tc>
          <w:tcPr>
            <w:tcW w:w="357" w:type="pct"/>
            <w:tcBorders>
              <w:left w:val="nil"/>
              <w:bottom w:val="single" w:sz="8" w:space="0" w:color="auto"/>
              <w:right w:val="single" w:sz="8" w:space="0" w:color="auto"/>
            </w:tcBorders>
            <w:vAlign w:val="center"/>
          </w:tcPr>
          <w:p w14:paraId="186E779A"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2029</w:t>
            </w:r>
          </w:p>
        </w:tc>
        <w:tc>
          <w:tcPr>
            <w:tcW w:w="357" w:type="pct"/>
            <w:tcBorders>
              <w:left w:val="nil"/>
              <w:bottom w:val="single" w:sz="8" w:space="0" w:color="auto"/>
              <w:right w:val="single" w:sz="8" w:space="0" w:color="auto"/>
            </w:tcBorders>
            <w:vAlign w:val="center"/>
          </w:tcPr>
          <w:p w14:paraId="60EF1587"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2030</w:t>
            </w:r>
          </w:p>
        </w:tc>
        <w:tc>
          <w:tcPr>
            <w:tcW w:w="357" w:type="pct"/>
            <w:tcBorders>
              <w:left w:val="nil"/>
              <w:bottom w:val="single" w:sz="8" w:space="0" w:color="auto"/>
              <w:right w:val="single" w:sz="8" w:space="0" w:color="auto"/>
            </w:tcBorders>
            <w:vAlign w:val="center"/>
          </w:tcPr>
          <w:p w14:paraId="4F19B9ED"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2031</w:t>
            </w:r>
          </w:p>
        </w:tc>
        <w:tc>
          <w:tcPr>
            <w:tcW w:w="357" w:type="pct"/>
            <w:tcBorders>
              <w:left w:val="nil"/>
              <w:bottom w:val="single" w:sz="8" w:space="0" w:color="auto"/>
              <w:right w:val="single" w:sz="8" w:space="0" w:color="auto"/>
            </w:tcBorders>
            <w:vAlign w:val="center"/>
          </w:tcPr>
          <w:p w14:paraId="28FEA9CB"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2032</w:t>
            </w:r>
          </w:p>
        </w:tc>
        <w:tc>
          <w:tcPr>
            <w:tcW w:w="357" w:type="pct"/>
            <w:tcBorders>
              <w:left w:val="nil"/>
              <w:bottom w:val="single" w:sz="8" w:space="0" w:color="auto"/>
              <w:right w:val="single" w:sz="8" w:space="0" w:color="auto"/>
            </w:tcBorders>
            <w:vAlign w:val="center"/>
          </w:tcPr>
          <w:p w14:paraId="4CC48B6A"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2033</w:t>
            </w:r>
          </w:p>
        </w:tc>
        <w:tc>
          <w:tcPr>
            <w:tcW w:w="357" w:type="pct"/>
            <w:tcBorders>
              <w:left w:val="nil"/>
              <w:bottom w:val="single" w:sz="8" w:space="0" w:color="auto"/>
              <w:right w:val="single" w:sz="8" w:space="0" w:color="auto"/>
            </w:tcBorders>
            <w:vAlign w:val="center"/>
          </w:tcPr>
          <w:p w14:paraId="2B2543F7" w14:textId="77777777" w:rsidR="00BC4CFD" w:rsidRPr="00B41503" w:rsidRDefault="00BC4CFD" w:rsidP="00BC4CFD">
            <w:pPr>
              <w:spacing w:before="0" w:after="0"/>
              <w:jc w:val="center"/>
              <w:rPr>
                <w:b/>
                <w:noProof/>
                <w:color w:val="000000"/>
                <w:sz w:val="16"/>
                <w:szCs w:val="16"/>
              </w:rPr>
            </w:pPr>
            <w:r w:rsidRPr="00B41503">
              <w:rPr>
                <w:b/>
                <w:noProof/>
                <w:color w:val="000000"/>
                <w:sz w:val="16"/>
                <w:szCs w:val="16"/>
              </w:rPr>
              <w:t>2034</w:t>
            </w:r>
          </w:p>
        </w:tc>
      </w:tr>
      <w:tr w:rsidR="00BC4CFD" w:rsidRPr="00732D9A" w14:paraId="55E7F3A8"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40E96C2E" w14:textId="77777777" w:rsidR="00BC4CFD" w:rsidRPr="00732D9A" w:rsidRDefault="00BC4CFD" w:rsidP="00BC4CFD">
            <w:pPr>
              <w:spacing w:before="0" w:after="0"/>
              <w:jc w:val="left"/>
              <w:rPr>
                <w:rFonts w:ascii="Wingdings" w:hAnsi="Wingdings" w:cs="Calibri"/>
                <w:b/>
                <w:noProof/>
                <w:color w:val="000000"/>
                <w:sz w:val="16"/>
                <w:szCs w:val="16"/>
              </w:rPr>
            </w:pPr>
            <w:r w:rsidRPr="00732D9A">
              <w:rPr>
                <w:rFonts w:ascii="Wingdings" w:hAnsi="Wingdings"/>
                <w:b/>
                <w:noProof/>
                <w:color w:val="000000"/>
                <w:sz w:val="16"/>
              </w:rPr>
              <w:t></w:t>
            </w:r>
            <w:r w:rsidRPr="00732D9A">
              <w:rPr>
                <w:b/>
                <w:noProof/>
                <w:color w:val="000000"/>
                <w:sz w:val="16"/>
              </w:rPr>
              <w:t>Emplois du tableau des effectifs fonctionnaires et agents temporaires)</w:t>
            </w:r>
          </w:p>
        </w:tc>
      </w:tr>
      <w:tr w:rsidR="007E50FD" w:rsidRPr="00732D9A" w14:paraId="60C77D17"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3E7B50CB" w14:textId="77777777" w:rsidR="007E50FD" w:rsidRPr="00732D9A" w:rsidRDefault="007E50FD" w:rsidP="007E50FD">
            <w:pPr>
              <w:spacing w:before="0" w:after="0"/>
              <w:ind w:firstLineChars="100" w:firstLine="160"/>
              <w:jc w:val="left"/>
              <w:rPr>
                <w:noProof/>
                <w:color w:val="000000"/>
                <w:sz w:val="16"/>
                <w:szCs w:val="16"/>
              </w:rPr>
            </w:pPr>
            <w:r w:rsidRPr="00732D9A">
              <w:rPr>
                <w:noProof/>
                <w:color w:val="000000"/>
                <w:sz w:val="16"/>
              </w:rPr>
              <w:t>20 01 02 01</w:t>
            </w:r>
            <w:r w:rsidRPr="00732D9A">
              <w:rPr>
                <w:rFonts w:ascii="Arial Narrow" w:hAnsi="Arial Narrow"/>
                <w:noProof/>
                <w:color w:val="000000"/>
                <w:sz w:val="20"/>
              </w:rPr>
              <w:t xml:space="preserve"> </w:t>
            </w:r>
            <w:r w:rsidRPr="00732D9A">
              <w:rPr>
                <w:noProof/>
                <w:color w:val="000000"/>
                <w:sz w:val="16"/>
              </w:rPr>
              <w:t>(Au siège et dans les bureaux de représentation de la Commission)</w:t>
            </w:r>
          </w:p>
        </w:tc>
        <w:tc>
          <w:tcPr>
            <w:tcW w:w="441" w:type="pct"/>
            <w:tcBorders>
              <w:top w:val="nil"/>
              <w:left w:val="nil"/>
              <w:bottom w:val="single" w:sz="8" w:space="0" w:color="auto"/>
              <w:right w:val="single" w:sz="8" w:space="0" w:color="auto"/>
            </w:tcBorders>
            <w:shd w:val="clear" w:color="000000" w:fill="D9D9D9"/>
            <w:vAlign w:val="center"/>
            <w:hideMark/>
          </w:tcPr>
          <w:p w14:paraId="1BD750A4" w14:textId="77777777" w:rsidR="007E50FD" w:rsidRPr="00732D9A" w:rsidRDefault="007E50FD" w:rsidP="007E50FD">
            <w:pPr>
              <w:spacing w:before="0" w:after="0"/>
              <w:jc w:val="center"/>
              <w:rPr>
                <w:noProof/>
                <w:color w:val="000000"/>
                <w:sz w:val="16"/>
                <w:szCs w:val="16"/>
              </w:rPr>
            </w:pPr>
            <w:r w:rsidRPr="00732D9A">
              <w:rPr>
                <w:noProof/>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2E3D75B3" w14:textId="77777777" w:rsidR="007E50FD" w:rsidRPr="00732D9A" w:rsidRDefault="007E50FD" w:rsidP="007E50FD">
            <w:pPr>
              <w:spacing w:before="0" w:after="0"/>
              <w:jc w:val="center"/>
              <w:rPr>
                <w:noProof/>
                <w:color w:val="000000"/>
                <w:sz w:val="16"/>
                <w:szCs w:val="16"/>
              </w:rPr>
            </w:pPr>
            <w:r w:rsidRPr="00732D9A">
              <w:rPr>
                <w:noProof/>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06D930DE" w14:textId="77777777" w:rsidR="007E50FD" w:rsidRPr="00732D9A" w:rsidRDefault="007E50FD" w:rsidP="007E50FD">
            <w:pPr>
              <w:spacing w:before="0" w:after="0"/>
              <w:jc w:val="center"/>
              <w:rPr>
                <w:noProof/>
                <w:color w:val="000000"/>
                <w:sz w:val="16"/>
                <w:szCs w:val="16"/>
              </w:rPr>
            </w:pPr>
            <w:r w:rsidRPr="00732D9A">
              <w:rPr>
                <w:noProof/>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55346A25" w14:textId="77777777" w:rsidR="007E50FD" w:rsidRPr="00732D9A" w:rsidRDefault="007E50FD" w:rsidP="007E50FD">
            <w:pPr>
              <w:spacing w:before="0" w:after="0"/>
              <w:jc w:val="center"/>
              <w:rPr>
                <w:noProof/>
                <w:color w:val="000000"/>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56D901CE"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5E27190C"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1CF8B9B4"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0CF8E7CA"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43E0E91B"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265B778B"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1E05D4F5" w14:textId="77777777" w:rsidR="007E50FD" w:rsidRPr="00732D9A" w:rsidRDefault="007E50FD" w:rsidP="007E50FD">
            <w:pPr>
              <w:spacing w:before="0" w:after="0"/>
              <w:jc w:val="center"/>
              <w:rPr>
                <w:rFonts w:eastAsia="Times New Roman"/>
                <w:noProof/>
                <w:sz w:val="16"/>
                <w:szCs w:val="16"/>
              </w:rPr>
            </w:pPr>
            <w:r w:rsidRPr="00732D9A">
              <w:rPr>
                <w:noProof/>
                <w:sz w:val="16"/>
              </w:rPr>
              <w:t>6</w:t>
            </w:r>
          </w:p>
        </w:tc>
      </w:tr>
      <w:tr w:rsidR="00DC6EB0" w:rsidRPr="00732D9A" w14:paraId="6FBDF986"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6016BD23"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20 01 02 03 (Délégations de l’UE)</w:t>
            </w:r>
          </w:p>
        </w:tc>
        <w:tc>
          <w:tcPr>
            <w:tcW w:w="441" w:type="pct"/>
            <w:tcBorders>
              <w:top w:val="nil"/>
              <w:left w:val="nil"/>
              <w:bottom w:val="single" w:sz="8" w:space="0" w:color="auto"/>
              <w:right w:val="single" w:sz="8" w:space="0" w:color="auto"/>
            </w:tcBorders>
            <w:shd w:val="clear" w:color="000000" w:fill="D9D9D9"/>
            <w:vAlign w:val="center"/>
            <w:hideMark/>
          </w:tcPr>
          <w:p w14:paraId="6362C32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5EE4938A"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01FD0B1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639E87A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3C6206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2D5018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0A78AA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67F0BF2"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2FA36A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4107D0A"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799BB9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1A2B61CD"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661A84EF" w14:textId="145C0A98"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01 01 01 01 (Recherche indirecte)</w:t>
            </w:r>
          </w:p>
        </w:tc>
        <w:tc>
          <w:tcPr>
            <w:tcW w:w="441" w:type="pct"/>
            <w:tcBorders>
              <w:top w:val="nil"/>
              <w:left w:val="nil"/>
              <w:bottom w:val="single" w:sz="8" w:space="0" w:color="auto"/>
              <w:right w:val="single" w:sz="8" w:space="0" w:color="auto"/>
            </w:tcBorders>
            <w:shd w:val="clear" w:color="000000" w:fill="D9D9D9"/>
            <w:vAlign w:val="center"/>
            <w:hideMark/>
          </w:tcPr>
          <w:p w14:paraId="226ABD6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73F03C6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624A398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548D982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7120AA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A2F41E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200B66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061713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540495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E4AF8C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D35F60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45504320"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0D53BC6F"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01 01 01 11 (Recherche directe)</w:t>
            </w:r>
          </w:p>
        </w:tc>
        <w:tc>
          <w:tcPr>
            <w:tcW w:w="441" w:type="pct"/>
            <w:tcBorders>
              <w:top w:val="nil"/>
              <w:left w:val="nil"/>
              <w:bottom w:val="single" w:sz="8" w:space="0" w:color="auto"/>
              <w:right w:val="single" w:sz="8" w:space="0" w:color="auto"/>
            </w:tcBorders>
            <w:shd w:val="clear" w:color="000000" w:fill="D9D9D9"/>
            <w:vAlign w:val="center"/>
            <w:hideMark/>
          </w:tcPr>
          <w:p w14:paraId="6070A25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5C10263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7297D51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45D5BE0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3E7C5B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D99000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1A2103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155C0E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1D59E4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B26E802"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E9F6E1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3AF746B8"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332BEE61"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Autres lignes budgétaires (à préciser)</w:t>
            </w:r>
          </w:p>
        </w:tc>
        <w:tc>
          <w:tcPr>
            <w:tcW w:w="441" w:type="pct"/>
            <w:tcBorders>
              <w:top w:val="nil"/>
              <w:left w:val="nil"/>
              <w:bottom w:val="single" w:sz="8" w:space="0" w:color="auto"/>
              <w:right w:val="single" w:sz="8" w:space="0" w:color="auto"/>
            </w:tcBorders>
            <w:shd w:val="clear" w:color="000000" w:fill="D9D9D9"/>
            <w:vAlign w:val="center"/>
            <w:hideMark/>
          </w:tcPr>
          <w:p w14:paraId="3764CB3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30D4DDD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71503BC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E13237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F44F0D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2D822B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8B8088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72B817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B1307C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41E2AB2"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458BA7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0E225835" w14:textId="77777777" w:rsidTr="00BC4CFD">
        <w:trPr>
          <w:trHeight w:val="300"/>
        </w:trPr>
        <w:tc>
          <w:tcPr>
            <w:tcW w:w="5000" w:type="pct"/>
            <w:gridSpan w:val="13"/>
            <w:tcBorders>
              <w:top w:val="single" w:sz="8" w:space="0" w:color="auto"/>
              <w:left w:val="single" w:sz="8" w:space="0" w:color="auto"/>
              <w:bottom w:val="single" w:sz="8" w:space="0" w:color="auto"/>
              <w:right w:val="single" w:sz="4" w:space="0" w:color="auto"/>
            </w:tcBorders>
            <w:vAlign w:val="center"/>
            <w:hideMark/>
          </w:tcPr>
          <w:p w14:paraId="3B60DD9B" w14:textId="77777777" w:rsidR="00DC6EB0" w:rsidRPr="00732D9A" w:rsidRDefault="00DC6EB0" w:rsidP="00DC6EB0">
            <w:pPr>
              <w:spacing w:before="0" w:after="0"/>
              <w:jc w:val="left"/>
              <w:rPr>
                <w:rFonts w:ascii="Calibri" w:hAnsi="Calibri" w:cs="Calibri"/>
                <w:b/>
                <w:noProof/>
                <w:color w:val="000000"/>
                <w:sz w:val="16"/>
                <w:szCs w:val="16"/>
              </w:rPr>
            </w:pPr>
            <w:r w:rsidRPr="00732D9A">
              <w:rPr>
                <w:rFonts w:ascii="Calibri" w:hAnsi="Calibri"/>
                <w:b/>
                <w:noProof/>
                <w:color w:val="000000"/>
                <w:sz w:val="16"/>
              </w:rPr>
              <w:t>•</w:t>
            </w:r>
            <w:r w:rsidRPr="00732D9A">
              <w:rPr>
                <w:b/>
                <w:noProof/>
                <w:color w:val="000000"/>
                <w:sz w:val="16"/>
              </w:rPr>
              <w:t xml:space="preserve"> Personnel externe (en ETP)</w:t>
            </w:r>
          </w:p>
        </w:tc>
      </w:tr>
      <w:tr w:rsidR="00DC6EB0" w:rsidRPr="00732D9A" w14:paraId="2995781E"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569E9503"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20 02 01</w:t>
            </w:r>
            <w:r w:rsidRPr="00732D9A">
              <w:rPr>
                <w:rFonts w:ascii="Arial Narrow" w:hAnsi="Arial Narrow"/>
                <w:noProof/>
                <w:color w:val="000000"/>
                <w:sz w:val="20"/>
              </w:rPr>
              <w:t xml:space="preserve"> </w:t>
            </w:r>
            <w:r w:rsidRPr="00732D9A">
              <w:rPr>
                <w:noProof/>
                <w:color w:val="000000"/>
                <w:sz w:val="16"/>
              </w:rPr>
              <w:t>(AC, END de l’«enveloppe globale»)</w:t>
            </w:r>
          </w:p>
        </w:tc>
        <w:tc>
          <w:tcPr>
            <w:tcW w:w="441" w:type="pct"/>
            <w:tcBorders>
              <w:top w:val="nil"/>
              <w:left w:val="nil"/>
              <w:bottom w:val="single" w:sz="8" w:space="0" w:color="auto"/>
              <w:right w:val="single" w:sz="8" w:space="0" w:color="auto"/>
            </w:tcBorders>
            <w:shd w:val="clear" w:color="000000" w:fill="D9D9D9"/>
            <w:vAlign w:val="center"/>
            <w:hideMark/>
          </w:tcPr>
          <w:p w14:paraId="1CC770E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2A440FF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10251E5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7B0AD95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A4176C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C75F6A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4850A8A"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EF212E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7CBAEF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C03F03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E22D6C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5DDB2963"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662DCDBE"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20 02 03 (AC, AL, END et JPD dans les délégations de l’UE)</w:t>
            </w:r>
          </w:p>
        </w:tc>
        <w:tc>
          <w:tcPr>
            <w:tcW w:w="441" w:type="pct"/>
            <w:tcBorders>
              <w:top w:val="nil"/>
              <w:left w:val="nil"/>
              <w:bottom w:val="single" w:sz="8" w:space="0" w:color="auto"/>
              <w:right w:val="single" w:sz="8" w:space="0" w:color="auto"/>
            </w:tcBorders>
            <w:shd w:val="clear" w:color="000000" w:fill="D9D9D9"/>
            <w:vAlign w:val="center"/>
            <w:hideMark/>
          </w:tcPr>
          <w:p w14:paraId="063AF0B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1E31EF5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7CB7489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1E6902A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D9892A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13F929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EE6CCD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74C6FB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A6616F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98B117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72ABE8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943A02" w:rsidRPr="00732D9A" w14:paraId="5E59A2EE" w14:textId="77777777" w:rsidTr="00B41503">
        <w:trPr>
          <w:trHeight w:val="300"/>
        </w:trPr>
        <w:tc>
          <w:tcPr>
            <w:tcW w:w="615" w:type="pct"/>
            <w:tcBorders>
              <w:top w:val="nil"/>
              <w:left w:val="single" w:sz="8" w:space="0" w:color="auto"/>
              <w:bottom w:val="single" w:sz="8" w:space="0" w:color="auto"/>
              <w:right w:val="single" w:sz="8" w:space="0" w:color="auto"/>
            </w:tcBorders>
            <w:vAlign w:val="center"/>
            <w:hideMark/>
          </w:tcPr>
          <w:p w14:paraId="3BCFA297" w14:textId="77777777" w:rsidR="00DC6EB0" w:rsidRPr="00732D9A" w:rsidRDefault="00DC6EB0" w:rsidP="00DC6EB0">
            <w:pPr>
              <w:spacing w:before="0" w:after="0"/>
              <w:jc w:val="center"/>
              <w:rPr>
                <w:noProof/>
                <w:color w:val="000000"/>
                <w:sz w:val="16"/>
                <w:szCs w:val="16"/>
              </w:rPr>
            </w:pPr>
            <w:r w:rsidRPr="00732D9A">
              <w:rPr>
                <w:noProof/>
                <w:color w:val="000000"/>
                <w:sz w:val="16"/>
              </w:rPr>
              <w:t>Ligne d’appui administratif</w:t>
            </w:r>
            <w:r w:rsidRPr="00732D9A">
              <w:rPr>
                <w:noProof/>
              </w:rPr>
              <w:t xml:space="preserve"> </w:t>
            </w:r>
            <w:r w:rsidRPr="00732D9A">
              <w:rPr>
                <w:noProof/>
              </w:rPr>
              <w:cr/>
            </w:r>
            <w:r w:rsidRPr="00732D9A">
              <w:rPr>
                <w:noProof/>
              </w:rPr>
              <w:br/>
            </w:r>
            <w:r w:rsidRPr="00732D9A">
              <w:rPr>
                <w:noProof/>
                <w:color w:val="000000"/>
                <w:sz w:val="16"/>
              </w:rPr>
              <w:t>[XX.01.YY.YY]</w:t>
            </w:r>
          </w:p>
        </w:tc>
        <w:tc>
          <w:tcPr>
            <w:tcW w:w="453" w:type="pct"/>
            <w:tcBorders>
              <w:top w:val="nil"/>
              <w:left w:val="nil"/>
              <w:bottom w:val="single" w:sz="8" w:space="0" w:color="auto"/>
              <w:right w:val="single" w:sz="8" w:space="0" w:color="auto"/>
            </w:tcBorders>
            <w:vAlign w:val="center"/>
            <w:hideMark/>
          </w:tcPr>
          <w:p w14:paraId="279D5CB7"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 au siège</w:t>
            </w:r>
          </w:p>
        </w:tc>
        <w:tc>
          <w:tcPr>
            <w:tcW w:w="441" w:type="pct"/>
            <w:tcBorders>
              <w:top w:val="nil"/>
              <w:left w:val="nil"/>
              <w:bottom w:val="single" w:sz="8" w:space="0" w:color="auto"/>
              <w:right w:val="single" w:sz="8" w:space="0" w:color="auto"/>
            </w:tcBorders>
            <w:shd w:val="clear" w:color="000000" w:fill="D9D9D9"/>
            <w:vAlign w:val="center"/>
            <w:hideMark/>
          </w:tcPr>
          <w:p w14:paraId="5AFA947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5A1FB8E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0E0678C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954168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9F00CC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9273E2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18854C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62944B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83ED67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DB6318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195E40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943A02" w:rsidRPr="00732D9A" w14:paraId="40615BDB" w14:textId="77777777" w:rsidTr="00B41503">
        <w:trPr>
          <w:trHeight w:val="300"/>
        </w:trPr>
        <w:tc>
          <w:tcPr>
            <w:tcW w:w="615" w:type="pct"/>
            <w:tcBorders>
              <w:top w:val="nil"/>
              <w:left w:val="single" w:sz="8" w:space="0" w:color="auto"/>
              <w:bottom w:val="single" w:sz="8" w:space="0" w:color="auto"/>
              <w:right w:val="single" w:sz="8" w:space="0" w:color="auto"/>
            </w:tcBorders>
            <w:vAlign w:val="center"/>
            <w:hideMark/>
          </w:tcPr>
          <w:p w14:paraId="2FCC5BC1" w14:textId="77777777" w:rsidR="00DC6EB0" w:rsidRPr="00732D9A" w:rsidRDefault="00DC6EB0" w:rsidP="00DC6EB0">
            <w:pPr>
              <w:spacing w:before="0" w:after="0"/>
              <w:jc w:val="left"/>
              <w:rPr>
                <w:noProof/>
                <w:color w:val="000000"/>
                <w:sz w:val="16"/>
                <w:szCs w:val="16"/>
                <w:lang w:eastAsia="en-IE"/>
              </w:rPr>
            </w:pPr>
          </w:p>
        </w:tc>
        <w:tc>
          <w:tcPr>
            <w:tcW w:w="453" w:type="pct"/>
            <w:tcBorders>
              <w:top w:val="nil"/>
              <w:left w:val="nil"/>
              <w:bottom w:val="single" w:sz="8" w:space="0" w:color="auto"/>
              <w:right w:val="single" w:sz="8" w:space="0" w:color="auto"/>
            </w:tcBorders>
            <w:vAlign w:val="center"/>
            <w:hideMark/>
          </w:tcPr>
          <w:p w14:paraId="4DE8C60B"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 xml:space="preserve">- dans les délégations de l’UE </w:t>
            </w:r>
          </w:p>
        </w:tc>
        <w:tc>
          <w:tcPr>
            <w:tcW w:w="441" w:type="pct"/>
            <w:tcBorders>
              <w:top w:val="nil"/>
              <w:left w:val="nil"/>
              <w:bottom w:val="single" w:sz="8" w:space="0" w:color="auto"/>
              <w:right w:val="single" w:sz="8" w:space="0" w:color="auto"/>
            </w:tcBorders>
            <w:shd w:val="clear" w:color="000000" w:fill="D9D9D9"/>
            <w:vAlign w:val="center"/>
            <w:hideMark/>
          </w:tcPr>
          <w:p w14:paraId="7602600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542B943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6E1AC2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3A96AB3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1331C4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0D155B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9D3347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69075E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F08BD8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D5B688A"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6C64C1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6C82582B"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720DAA0F"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01 01 01 02</w:t>
            </w:r>
            <w:r w:rsidRPr="00732D9A">
              <w:rPr>
                <w:rFonts w:ascii="Arial Narrow" w:hAnsi="Arial Narrow"/>
                <w:noProof/>
                <w:color w:val="000000"/>
                <w:sz w:val="20"/>
              </w:rPr>
              <w:t xml:space="preserve"> </w:t>
            </w:r>
            <w:r w:rsidRPr="00732D9A">
              <w:rPr>
                <w:noProof/>
                <w:color w:val="000000"/>
                <w:sz w:val="16"/>
              </w:rPr>
              <w:t>(AC, END - Recherche indirecte)</w:t>
            </w:r>
          </w:p>
        </w:tc>
        <w:tc>
          <w:tcPr>
            <w:tcW w:w="441" w:type="pct"/>
            <w:tcBorders>
              <w:top w:val="nil"/>
              <w:left w:val="nil"/>
              <w:bottom w:val="single" w:sz="8" w:space="0" w:color="auto"/>
              <w:right w:val="single" w:sz="8" w:space="0" w:color="auto"/>
            </w:tcBorders>
            <w:shd w:val="clear" w:color="000000" w:fill="D9D9D9"/>
            <w:vAlign w:val="center"/>
            <w:hideMark/>
          </w:tcPr>
          <w:p w14:paraId="114208E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2D5D08C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6527436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E511F8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93373D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5EF7A8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F3CB09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6503E8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F7B32B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456158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5850E4C"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4B245C79"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5F7D4C4D"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 xml:space="preserve"> 01 01 01 12 (AC, END - Recherche directe)</w:t>
            </w:r>
          </w:p>
        </w:tc>
        <w:tc>
          <w:tcPr>
            <w:tcW w:w="441" w:type="pct"/>
            <w:tcBorders>
              <w:top w:val="nil"/>
              <w:left w:val="nil"/>
              <w:bottom w:val="single" w:sz="8" w:space="0" w:color="auto"/>
              <w:right w:val="single" w:sz="8" w:space="0" w:color="auto"/>
            </w:tcBorders>
            <w:shd w:val="clear" w:color="000000" w:fill="D9D9D9"/>
            <w:vAlign w:val="center"/>
            <w:hideMark/>
          </w:tcPr>
          <w:p w14:paraId="64E5085A"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417E517E"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6091EB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46EC71C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7D5BF9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E2353E6"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C56952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0A55AB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2957B31"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BA3CB8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5C329B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06704C01"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4CFC659F"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Autres lignes budgétaires (à préciser) - Rubrique 7</w:t>
            </w:r>
          </w:p>
        </w:tc>
        <w:tc>
          <w:tcPr>
            <w:tcW w:w="441" w:type="pct"/>
            <w:tcBorders>
              <w:top w:val="nil"/>
              <w:left w:val="nil"/>
              <w:bottom w:val="single" w:sz="8" w:space="0" w:color="auto"/>
              <w:right w:val="single" w:sz="8" w:space="0" w:color="auto"/>
            </w:tcBorders>
            <w:shd w:val="clear" w:color="000000" w:fill="D9D9D9"/>
            <w:vAlign w:val="center"/>
            <w:hideMark/>
          </w:tcPr>
          <w:p w14:paraId="09D3728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0FDDA93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45B18CB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476FBA8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2454489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07126B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1FE60E5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57C2239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4DDBF97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AFF6C55"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3EBC1A3"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DC6EB0" w:rsidRPr="00732D9A" w14:paraId="571FB553"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1D208846" w14:textId="77777777" w:rsidR="00DC6EB0" w:rsidRPr="00732D9A" w:rsidRDefault="00DC6EB0" w:rsidP="00DC6EB0">
            <w:pPr>
              <w:spacing w:before="0" w:after="0"/>
              <w:ind w:firstLineChars="100" w:firstLine="160"/>
              <w:jc w:val="left"/>
              <w:rPr>
                <w:noProof/>
                <w:color w:val="000000"/>
                <w:sz w:val="16"/>
                <w:szCs w:val="16"/>
              </w:rPr>
            </w:pPr>
            <w:r w:rsidRPr="00732D9A">
              <w:rPr>
                <w:noProof/>
                <w:color w:val="000000"/>
                <w:sz w:val="16"/>
              </w:rPr>
              <w:t>Autres lignes budgétaires (à préciser) - Hors rubrique 7</w:t>
            </w:r>
          </w:p>
        </w:tc>
        <w:tc>
          <w:tcPr>
            <w:tcW w:w="441" w:type="pct"/>
            <w:tcBorders>
              <w:top w:val="nil"/>
              <w:left w:val="nil"/>
              <w:bottom w:val="single" w:sz="8" w:space="0" w:color="auto"/>
              <w:right w:val="single" w:sz="8" w:space="0" w:color="auto"/>
            </w:tcBorders>
            <w:shd w:val="clear" w:color="000000" w:fill="D9D9D9"/>
            <w:vAlign w:val="center"/>
            <w:hideMark/>
          </w:tcPr>
          <w:p w14:paraId="0418AAF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41638EC9"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36992A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242CF900"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C593C08"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660E03D"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3D875C34"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0CE8FAC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60E96D7F"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61A8CBB"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c>
          <w:tcPr>
            <w:tcW w:w="357" w:type="pct"/>
            <w:tcBorders>
              <w:top w:val="nil"/>
              <w:left w:val="nil"/>
              <w:bottom w:val="single" w:sz="8" w:space="0" w:color="auto"/>
              <w:right w:val="single" w:sz="8" w:space="0" w:color="auto"/>
            </w:tcBorders>
            <w:shd w:val="clear" w:color="000000" w:fill="D9D9D9"/>
            <w:vAlign w:val="center"/>
          </w:tcPr>
          <w:p w14:paraId="7395DBD7" w14:textId="77777777" w:rsidR="00DC6EB0" w:rsidRPr="00732D9A" w:rsidRDefault="00DC6EB0" w:rsidP="00DC6EB0">
            <w:pPr>
              <w:spacing w:before="0" w:after="0"/>
              <w:jc w:val="center"/>
              <w:rPr>
                <w:noProof/>
                <w:color w:val="000000"/>
                <w:sz w:val="16"/>
                <w:szCs w:val="16"/>
              </w:rPr>
            </w:pPr>
            <w:r w:rsidRPr="00732D9A">
              <w:rPr>
                <w:noProof/>
                <w:color w:val="000000"/>
                <w:sz w:val="16"/>
              </w:rPr>
              <w:t>0</w:t>
            </w:r>
          </w:p>
        </w:tc>
      </w:tr>
      <w:tr w:rsidR="007E50FD" w:rsidRPr="00732D9A" w14:paraId="0E7A3926" w14:textId="77777777" w:rsidTr="00B41503">
        <w:trPr>
          <w:trHeight w:val="300"/>
        </w:trPr>
        <w:tc>
          <w:tcPr>
            <w:tcW w:w="1068" w:type="pct"/>
            <w:gridSpan w:val="2"/>
            <w:tcBorders>
              <w:top w:val="single" w:sz="8" w:space="0" w:color="auto"/>
              <w:left w:val="single" w:sz="8" w:space="0" w:color="auto"/>
              <w:bottom w:val="single" w:sz="8" w:space="0" w:color="auto"/>
              <w:right w:val="single" w:sz="8" w:space="0" w:color="auto"/>
            </w:tcBorders>
            <w:vAlign w:val="center"/>
            <w:hideMark/>
          </w:tcPr>
          <w:p w14:paraId="767C127B" w14:textId="77777777" w:rsidR="007E50FD" w:rsidRPr="00732D9A" w:rsidRDefault="007E50FD" w:rsidP="007E50FD">
            <w:pPr>
              <w:spacing w:before="0" w:after="0"/>
              <w:ind w:firstLineChars="100" w:firstLine="160"/>
              <w:jc w:val="left"/>
              <w:rPr>
                <w:b/>
                <w:noProof/>
                <w:color w:val="000000"/>
                <w:sz w:val="16"/>
                <w:szCs w:val="16"/>
              </w:rPr>
            </w:pPr>
            <w:r w:rsidRPr="00732D9A">
              <w:rPr>
                <w:b/>
                <w:noProof/>
                <w:color w:val="000000"/>
                <w:sz w:val="16"/>
              </w:rPr>
              <w:t>TOTAL</w:t>
            </w:r>
          </w:p>
        </w:tc>
        <w:tc>
          <w:tcPr>
            <w:tcW w:w="441" w:type="pct"/>
            <w:tcBorders>
              <w:top w:val="nil"/>
              <w:left w:val="nil"/>
              <w:bottom w:val="single" w:sz="8" w:space="0" w:color="auto"/>
              <w:right w:val="single" w:sz="8" w:space="0" w:color="auto"/>
            </w:tcBorders>
            <w:shd w:val="clear" w:color="000000" w:fill="D9D9D9"/>
            <w:vAlign w:val="center"/>
            <w:hideMark/>
          </w:tcPr>
          <w:p w14:paraId="10DDF704" w14:textId="77777777" w:rsidR="007E50FD" w:rsidRPr="00732D9A" w:rsidRDefault="007E50FD" w:rsidP="007E50FD">
            <w:pPr>
              <w:spacing w:before="0" w:after="0"/>
              <w:jc w:val="center"/>
              <w:rPr>
                <w:b/>
                <w:noProof/>
                <w:color w:val="000000"/>
                <w:sz w:val="16"/>
                <w:szCs w:val="16"/>
              </w:rPr>
            </w:pPr>
            <w:r w:rsidRPr="00732D9A">
              <w:rPr>
                <w:b/>
                <w:noProof/>
                <w:sz w:val="16"/>
              </w:rPr>
              <w:t>0</w:t>
            </w:r>
          </w:p>
        </w:tc>
        <w:tc>
          <w:tcPr>
            <w:tcW w:w="274" w:type="pct"/>
            <w:tcBorders>
              <w:top w:val="nil"/>
              <w:left w:val="nil"/>
              <w:bottom w:val="single" w:sz="8" w:space="0" w:color="auto"/>
              <w:right w:val="single" w:sz="8" w:space="0" w:color="auto"/>
            </w:tcBorders>
            <w:shd w:val="clear" w:color="000000" w:fill="D9D9D9"/>
            <w:vAlign w:val="center"/>
            <w:hideMark/>
          </w:tcPr>
          <w:p w14:paraId="2E5A1185" w14:textId="77777777" w:rsidR="007E50FD" w:rsidRPr="00732D9A" w:rsidRDefault="007E50FD" w:rsidP="007E50FD">
            <w:pPr>
              <w:spacing w:before="0" w:after="0"/>
              <w:jc w:val="center"/>
              <w:rPr>
                <w:b/>
                <w:noProof/>
                <w:color w:val="000000"/>
                <w:sz w:val="16"/>
                <w:szCs w:val="16"/>
              </w:rPr>
            </w:pPr>
            <w:r w:rsidRPr="00732D9A">
              <w:rPr>
                <w:b/>
                <w:noProof/>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505EF694" w14:textId="77777777" w:rsidR="007E50FD" w:rsidRPr="00732D9A" w:rsidRDefault="007E50FD" w:rsidP="007E50FD">
            <w:pPr>
              <w:spacing w:before="0" w:after="0"/>
              <w:jc w:val="center"/>
              <w:rPr>
                <w:b/>
                <w:noProof/>
                <w:color w:val="000000"/>
                <w:sz w:val="16"/>
                <w:szCs w:val="16"/>
              </w:rPr>
            </w:pPr>
            <w:r w:rsidRPr="00732D9A">
              <w:rPr>
                <w:b/>
                <w:noProof/>
                <w:sz w:val="16"/>
              </w:rPr>
              <w:t>0</w:t>
            </w:r>
          </w:p>
        </w:tc>
        <w:tc>
          <w:tcPr>
            <w:tcW w:w="357" w:type="pct"/>
            <w:tcBorders>
              <w:top w:val="nil"/>
              <w:left w:val="nil"/>
              <w:bottom w:val="single" w:sz="8" w:space="0" w:color="auto"/>
              <w:right w:val="single" w:sz="8" w:space="0" w:color="auto"/>
            </w:tcBorders>
            <w:shd w:val="clear" w:color="000000" w:fill="D9D9D9"/>
            <w:vAlign w:val="center"/>
            <w:hideMark/>
          </w:tcPr>
          <w:p w14:paraId="66266EBE" w14:textId="77777777" w:rsidR="007E50FD" w:rsidRPr="00732D9A" w:rsidRDefault="007E50FD" w:rsidP="007E50FD">
            <w:pPr>
              <w:spacing w:before="0" w:after="0"/>
              <w:jc w:val="center"/>
              <w:rPr>
                <w:b/>
                <w:noProof/>
                <w:color w:val="000000"/>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6B736D33"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4631393C"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696D8870"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2A182221"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7AE225F9"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50D7C76E"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c>
          <w:tcPr>
            <w:tcW w:w="357" w:type="pct"/>
            <w:tcBorders>
              <w:top w:val="nil"/>
              <w:left w:val="nil"/>
              <w:bottom w:val="single" w:sz="8" w:space="0" w:color="auto"/>
              <w:right w:val="single" w:sz="8" w:space="0" w:color="auto"/>
            </w:tcBorders>
            <w:shd w:val="clear" w:color="000000" w:fill="D9D9D9"/>
            <w:vAlign w:val="center"/>
          </w:tcPr>
          <w:p w14:paraId="010A981D" w14:textId="77777777" w:rsidR="007E50FD" w:rsidRPr="00732D9A" w:rsidRDefault="007E50FD" w:rsidP="007E50FD">
            <w:pPr>
              <w:spacing w:before="0" w:after="0"/>
              <w:jc w:val="center"/>
              <w:rPr>
                <w:rFonts w:eastAsia="Times New Roman"/>
                <w:b/>
                <w:bCs/>
                <w:noProof/>
                <w:sz w:val="16"/>
                <w:szCs w:val="16"/>
              </w:rPr>
            </w:pPr>
            <w:r w:rsidRPr="00732D9A">
              <w:rPr>
                <w:b/>
                <w:noProof/>
                <w:sz w:val="16"/>
              </w:rPr>
              <w:t>6</w:t>
            </w:r>
          </w:p>
        </w:tc>
      </w:tr>
    </w:tbl>
    <w:p w14:paraId="01EF2B85" w14:textId="77777777" w:rsidR="00DC6EB0" w:rsidRPr="00732D9A" w:rsidRDefault="00DC6EB0" w:rsidP="00DC6EB0">
      <w:pPr>
        <w:rPr>
          <w:noProof/>
        </w:rPr>
      </w:pPr>
      <w:bookmarkStart w:id="14" w:name="_Hlk167692843"/>
      <w:r w:rsidRPr="00732D9A">
        <w:rPr>
          <w:noProof/>
        </w:rPr>
        <w:t>Les chiffres figurant dans les tableaux ci-dessus sont tous strictement indicatifs dans l’attente de l’issue des négociations sur le CFP 2028-2034, dont on ne saurait préjuger. Les besoins en ressources humaines seront couverts par le personnel de la DG qui est déjà affecté à la gestion de l’action et/ou a été redéployé en interne au sein des services concernés.</w:t>
      </w:r>
    </w:p>
    <w:p w14:paraId="4F653B96" w14:textId="77777777" w:rsidR="00CA7C31" w:rsidRPr="00732D9A" w:rsidRDefault="00CA7C31" w:rsidP="00CA7C31">
      <w:pPr>
        <w:pStyle w:val="Text1"/>
        <w:ind w:left="0" w:right="-427"/>
        <w:rPr>
          <w:noProof/>
        </w:rPr>
      </w:pPr>
    </w:p>
    <w:p w14:paraId="79ABB668" w14:textId="77777777" w:rsidR="00CA7C31" w:rsidRPr="00732D9A" w:rsidRDefault="00CA7C31" w:rsidP="00CA7C31">
      <w:pPr>
        <w:pStyle w:val="Text1"/>
        <w:ind w:left="0"/>
        <w:rPr>
          <w:noProof/>
          <w:color w:val="000000" w:themeColor="text1"/>
        </w:rPr>
      </w:pPr>
      <w:r w:rsidRPr="00732D9A">
        <w:rPr>
          <w:noProof/>
          <w:color w:val="000000" w:themeColor="text1"/>
        </w:rPr>
        <w:t xml:space="preserve">Personnel nécessaire à la mise en œuvre de la proposition (en ETP): </w:t>
      </w:r>
    </w:p>
    <w:tbl>
      <w:tblPr>
        <w:tblStyle w:val="TableGrid"/>
        <w:tblW w:w="5000" w:type="pct"/>
        <w:tblLook w:val="04A0" w:firstRow="1" w:lastRow="0" w:firstColumn="1" w:lastColumn="0" w:noHBand="0" w:noVBand="1"/>
      </w:tblPr>
      <w:tblGrid>
        <w:gridCol w:w="1806"/>
        <w:gridCol w:w="1988"/>
        <w:gridCol w:w="1886"/>
        <w:gridCol w:w="1896"/>
        <w:gridCol w:w="1711"/>
      </w:tblGrid>
      <w:tr w:rsidR="00CA7C31" w:rsidRPr="00732D9A" w14:paraId="364FB4DF" w14:textId="77777777">
        <w:trPr>
          <w:trHeight w:val="300"/>
        </w:trPr>
        <w:tc>
          <w:tcPr>
            <w:tcW w:w="972" w:type="pct"/>
          </w:tcPr>
          <w:p w14:paraId="4B81A2D3" w14:textId="77777777" w:rsidR="00CA7C31" w:rsidRPr="00732D9A" w:rsidRDefault="00CA7C31">
            <w:pPr>
              <w:pStyle w:val="Text1"/>
              <w:ind w:left="0"/>
              <w:jc w:val="center"/>
              <w:rPr>
                <w:b/>
                <w:bCs/>
                <w:noProof/>
                <w:sz w:val="22"/>
                <w:szCs w:val="28"/>
              </w:rPr>
            </w:pPr>
          </w:p>
        </w:tc>
        <w:tc>
          <w:tcPr>
            <w:tcW w:w="1070" w:type="pct"/>
          </w:tcPr>
          <w:p w14:paraId="475059FC" w14:textId="77777777" w:rsidR="00CA7C31" w:rsidRPr="00732D9A" w:rsidRDefault="00CA7C31">
            <w:pPr>
              <w:pStyle w:val="Text1"/>
              <w:ind w:left="0"/>
              <w:jc w:val="center"/>
              <w:rPr>
                <w:b/>
                <w:bCs/>
                <w:noProof/>
                <w:sz w:val="22"/>
              </w:rPr>
            </w:pPr>
            <w:r w:rsidRPr="00732D9A">
              <w:rPr>
                <w:b/>
                <w:noProof/>
                <w:sz w:val="22"/>
              </w:rPr>
              <w:t xml:space="preserve">À couvrir par le personnel actuellement disponible dans les services de la Commission </w:t>
            </w:r>
          </w:p>
        </w:tc>
        <w:tc>
          <w:tcPr>
            <w:tcW w:w="2957" w:type="pct"/>
            <w:gridSpan w:val="3"/>
          </w:tcPr>
          <w:p w14:paraId="7098F083" w14:textId="77777777" w:rsidR="00CA7C31" w:rsidRPr="00732D9A" w:rsidRDefault="00CA7C31">
            <w:pPr>
              <w:pStyle w:val="Text1"/>
              <w:ind w:left="0"/>
              <w:jc w:val="center"/>
              <w:rPr>
                <w:b/>
                <w:bCs/>
                <w:noProof/>
                <w:sz w:val="22"/>
              </w:rPr>
            </w:pPr>
            <w:r w:rsidRPr="00732D9A">
              <w:rPr>
                <w:b/>
                <w:noProof/>
                <w:sz w:val="22"/>
              </w:rPr>
              <w:t>Personnel supplémentaire</w:t>
            </w:r>
            <w:r w:rsidRPr="00732D9A">
              <w:rPr>
                <w:b/>
                <w:noProof/>
              </w:rPr>
              <w:t xml:space="preserve"> exceptionnel*</w:t>
            </w:r>
          </w:p>
        </w:tc>
      </w:tr>
      <w:tr w:rsidR="00CA7C31" w:rsidRPr="00732D9A" w14:paraId="49A6FC5B" w14:textId="77777777">
        <w:trPr>
          <w:trHeight w:val="300"/>
        </w:trPr>
        <w:tc>
          <w:tcPr>
            <w:tcW w:w="972" w:type="pct"/>
          </w:tcPr>
          <w:p w14:paraId="2ADA9C6A" w14:textId="77777777" w:rsidR="00CA7C31" w:rsidRPr="00732D9A" w:rsidRDefault="00CA7C31">
            <w:pPr>
              <w:pStyle w:val="Text1"/>
              <w:ind w:left="0"/>
              <w:jc w:val="center"/>
              <w:rPr>
                <w:b/>
                <w:bCs/>
                <w:noProof/>
                <w:sz w:val="22"/>
                <w:szCs w:val="28"/>
              </w:rPr>
            </w:pPr>
          </w:p>
        </w:tc>
        <w:tc>
          <w:tcPr>
            <w:tcW w:w="1070" w:type="pct"/>
          </w:tcPr>
          <w:p w14:paraId="1FAF5A56" w14:textId="77777777" w:rsidR="00CA7C31" w:rsidRPr="00732D9A" w:rsidRDefault="00CA7C31">
            <w:pPr>
              <w:pStyle w:val="Text1"/>
              <w:ind w:left="0"/>
              <w:jc w:val="center"/>
              <w:rPr>
                <w:b/>
                <w:bCs/>
                <w:noProof/>
                <w:sz w:val="22"/>
                <w:szCs w:val="28"/>
              </w:rPr>
            </w:pPr>
          </w:p>
        </w:tc>
        <w:tc>
          <w:tcPr>
            <w:tcW w:w="1015" w:type="pct"/>
          </w:tcPr>
          <w:p w14:paraId="25296831" w14:textId="77777777" w:rsidR="00CA7C31" w:rsidRPr="00732D9A" w:rsidRDefault="00CA7C31">
            <w:pPr>
              <w:pStyle w:val="Text1"/>
              <w:ind w:left="0"/>
              <w:jc w:val="center"/>
              <w:rPr>
                <w:b/>
                <w:bCs/>
                <w:noProof/>
                <w:sz w:val="22"/>
              </w:rPr>
            </w:pPr>
            <w:r w:rsidRPr="00732D9A">
              <w:rPr>
                <w:b/>
                <w:noProof/>
                <w:sz w:val="22"/>
              </w:rPr>
              <w:t>À financer sur la rubrique 7 ou la recherche</w:t>
            </w:r>
          </w:p>
        </w:tc>
        <w:tc>
          <w:tcPr>
            <w:tcW w:w="1021" w:type="pct"/>
          </w:tcPr>
          <w:p w14:paraId="408ED633" w14:textId="77777777" w:rsidR="00CA7C31" w:rsidRPr="00732D9A" w:rsidRDefault="00CA7C31">
            <w:pPr>
              <w:pStyle w:val="Text1"/>
              <w:ind w:left="0"/>
              <w:jc w:val="center"/>
              <w:rPr>
                <w:b/>
                <w:bCs/>
                <w:noProof/>
                <w:sz w:val="22"/>
                <w:szCs w:val="28"/>
              </w:rPr>
            </w:pPr>
            <w:r w:rsidRPr="00732D9A">
              <w:rPr>
                <w:b/>
                <w:noProof/>
                <w:sz w:val="22"/>
              </w:rPr>
              <w:t>À financer sur la ligne BA</w:t>
            </w:r>
          </w:p>
        </w:tc>
        <w:tc>
          <w:tcPr>
            <w:tcW w:w="921" w:type="pct"/>
          </w:tcPr>
          <w:p w14:paraId="42BC376C" w14:textId="77777777" w:rsidR="00CA7C31" w:rsidRPr="00732D9A" w:rsidRDefault="00CA7C31">
            <w:pPr>
              <w:pStyle w:val="Text1"/>
              <w:ind w:left="0"/>
              <w:jc w:val="center"/>
              <w:rPr>
                <w:b/>
                <w:bCs/>
                <w:noProof/>
                <w:sz w:val="22"/>
                <w:szCs w:val="28"/>
              </w:rPr>
            </w:pPr>
            <w:r w:rsidRPr="00732D9A">
              <w:rPr>
                <w:b/>
                <w:noProof/>
                <w:sz w:val="22"/>
              </w:rPr>
              <w:t>À financer sur les redevances</w:t>
            </w:r>
          </w:p>
        </w:tc>
      </w:tr>
      <w:tr w:rsidR="00CA7C31" w:rsidRPr="00732D9A" w14:paraId="506A067D" w14:textId="77777777">
        <w:trPr>
          <w:trHeight w:val="300"/>
        </w:trPr>
        <w:tc>
          <w:tcPr>
            <w:tcW w:w="972" w:type="pct"/>
          </w:tcPr>
          <w:p w14:paraId="262C0BE6" w14:textId="77777777" w:rsidR="00CA7C31" w:rsidRPr="00732D9A" w:rsidRDefault="00CA7C31">
            <w:pPr>
              <w:pStyle w:val="Text1"/>
              <w:ind w:left="0"/>
              <w:rPr>
                <w:noProof/>
                <w:sz w:val="22"/>
                <w:szCs w:val="28"/>
              </w:rPr>
            </w:pPr>
            <w:r w:rsidRPr="00732D9A">
              <w:rPr>
                <w:noProof/>
                <w:sz w:val="22"/>
              </w:rPr>
              <w:t>Emplois du tableau des effectifs</w:t>
            </w:r>
          </w:p>
        </w:tc>
        <w:tc>
          <w:tcPr>
            <w:tcW w:w="1070" w:type="pct"/>
          </w:tcPr>
          <w:p w14:paraId="02D12C0F" w14:textId="77777777" w:rsidR="00CA7C31" w:rsidRPr="00732D9A" w:rsidRDefault="00CA7C31">
            <w:pPr>
              <w:pStyle w:val="Text1"/>
              <w:ind w:left="0"/>
              <w:rPr>
                <w:noProof/>
                <w:sz w:val="22"/>
                <w:szCs w:val="28"/>
              </w:rPr>
            </w:pPr>
            <w:r w:rsidRPr="00732D9A">
              <w:rPr>
                <w:noProof/>
              </w:rPr>
              <w:t>6</w:t>
            </w:r>
          </w:p>
        </w:tc>
        <w:tc>
          <w:tcPr>
            <w:tcW w:w="1015" w:type="pct"/>
            <w:vAlign w:val="center"/>
          </w:tcPr>
          <w:p w14:paraId="2D93E316" w14:textId="77777777" w:rsidR="00CA7C31" w:rsidRPr="00732D9A" w:rsidRDefault="00CA7C31">
            <w:pPr>
              <w:pStyle w:val="Text1"/>
              <w:ind w:left="0"/>
              <w:jc w:val="left"/>
              <w:rPr>
                <w:noProof/>
                <w:sz w:val="22"/>
                <w:szCs w:val="22"/>
              </w:rPr>
            </w:pPr>
          </w:p>
        </w:tc>
        <w:tc>
          <w:tcPr>
            <w:tcW w:w="1021" w:type="pct"/>
          </w:tcPr>
          <w:p w14:paraId="1D7BA035" w14:textId="77777777" w:rsidR="00CA7C31" w:rsidRPr="00732D9A" w:rsidRDefault="00CA7C31">
            <w:pPr>
              <w:pStyle w:val="Text1"/>
              <w:ind w:left="0"/>
              <w:rPr>
                <w:noProof/>
                <w:sz w:val="22"/>
                <w:szCs w:val="28"/>
              </w:rPr>
            </w:pPr>
            <w:r w:rsidRPr="00732D9A">
              <w:rPr>
                <w:noProof/>
                <w:sz w:val="22"/>
              </w:rPr>
              <w:t>s.o.</w:t>
            </w:r>
          </w:p>
        </w:tc>
        <w:tc>
          <w:tcPr>
            <w:tcW w:w="921" w:type="pct"/>
          </w:tcPr>
          <w:p w14:paraId="2ABDDA3C" w14:textId="77777777" w:rsidR="00CA7C31" w:rsidRPr="00732D9A" w:rsidRDefault="00CA7C31">
            <w:pPr>
              <w:pStyle w:val="Text1"/>
              <w:ind w:left="0"/>
              <w:rPr>
                <w:noProof/>
                <w:sz w:val="22"/>
                <w:szCs w:val="28"/>
              </w:rPr>
            </w:pPr>
          </w:p>
        </w:tc>
      </w:tr>
      <w:tr w:rsidR="00CA7C31" w:rsidRPr="00732D9A" w14:paraId="6249E2AD" w14:textId="77777777">
        <w:trPr>
          <w:trHeight w:val="300"/>
        </w:trPr>
        <w:tc>
          <w:tcPr>
            <w:tcW w:w="972" w:type="pct"/>
          </w:tcPr>
          <w:p w14:paraId="0E87C952" w14:textId="77777777" w:rsidR="00CA7C31" w:rsidRPr="00732D9A" w:rsidRDefault="00CA7C31">
            <w:pPr>
              <w:pStyle w:val="Text1"/>
              <w:ind w:left="0"/>
              <w:rPr>
                <w:noProof/>
                <w:sz w:val="22"/>
                <w:szCs w:val="28"/>
              </w:rPr>
            </w:pPr>
            <w:r w:rsidRPr="00732D9A">
              <w:rPr>
                <w:noProof/>
                <w:sz w:val="22"/>
              </w:rPr>
              <w:t>Personnel externe (AC, END, INT)</w:t>
            </w:r>
          </w:p>
        </w:tc>
        <w:tc>
          <w:tcPr>
            <w:tcW w:w="1070" w:type="pct"/>
          </w:tcPr>
          <w:p w14:paraId="0A431573" w14:textId="77777777" w:rsidR="00CA7C31" w:rsidRPr="00732D9A" w:rsidRDefault="00CA7C31">
            <w:pPr>
              <w:pStyle w:val="Text1"/>
              <w:ind w:left="0"/>
              <w:rPr>
                <w:noProof/>
                <w:sz w:val="22"/>
                <w:szCs w:val="28"/>
              </w:rPr>
            </w:pPr>
          </w:p>
        </w:tc>
        <w:tc>
          <w:tcPr>
            <w:tcW w:w="1015" w:type="pct"/>
          </w:tcPr>
          <w:p w14:paraId="4A9A9B44" w14:textId="77777777" w:rsidR="00CA7C31" w:rsidRPr="00732D9A" w:rsidRDefault="00CA7C31">
            <w:pPr>
              <w:pStyle w:val="Text1"/>
              <w:ind w:left="0"/>
              <w:rPr>
                <w:noProof/>
                <w:sz w:val="22"/>
                <w:szCs w:val="28"/>
              </w:rPr>
            </w:pPr>
          </w:p>
        </w:tc>
        <w:tc>
          <w:tcPr>
            <w:tcW w:w="1021" w:type="pct"/>
          </w:tcPr>
          <w:p w14:paraId="28436C47" w14:textId="77777777" w:rsidR="00CA7C31" w:rsidRPr="00732D9A" w:rsidRDefault="00CA7C31">
            <w:pPr>
              <w:pStyle w:val="Text1"/>
              <w:ind w:left="0"/>
              <w:rPr>
                <w:noProof/>
                <w:sz w:val="22"/>
                <w:szCs w:val="28"/>
              </w:rPr>
            </w:pPr>
          </w:p>
        </w:tc>
        <w:tc>
          <w:tcPr>
            <w:tcW w:w="921" w:type="pct"/>
          </w:tcPr>
          <w:p w14:paraId="3D9D9AD6" w14:textId="77777777" w:rsidR="00CA7C31" w:rsidRPr="00732D9A" w:rsidRDefault="00CA7C31">
            <w:pPr>
              <w:pStyle w:val="Text1"/>
              <w:ind w:left="0"/>
              <w:rPr>
                <w:noProof/>
                <w:sz w:val="22"/>
                <w:szCs w:val="28"/>
              </w:rPr>
            </w:pPr>
          </w:p>
        </w:tc>
      </w:tr>
    </w:tbl>
    <w:p w14:paraId="4789E602" w14:textId="77777777" w:rsidR="00CA7C31" w:rsidRPr="00732D9A" w:rsidRDefault="00CA7C31" w:rsidP="00CA7C31">
      <w:pPr>
        <w:pStyle w:val="Text1"/>
        <w:ind w:left="-426" w:right="-427"/>
        <w:rPr>
          <w:noProof/>
        </w:rPr>
      </w:pPr>
      <w:r w:rsidRPr="00732D9A">
        <w:rPr>
          <w:noProof/>
        </w:rPr>
        <w:t>Description des tâches à effectuer par:</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83"/>
        <w:gridCol w:w="6404"/>
      </w:tblGrid>
      <w:tr w:rsidR="00CA7C31" w:rsidRPr="00732D9A" w14:paraId="4EA25D6F" w14:textId="77777777">
        <w:tc>
          <w:tcPr>
            <w:tcW w:w="1552" w:type="pct"/>
          </w:tcPr>
          <w:p w14:paraId="1049A86E" w14:textId="77777777" w:rsidR="00CA7C31" w:rsidRPr="00732D9A" w:rsidRDefault="00CA7C31">
            <w:pPr>
              <w:rPr>
                <w:noProof/>
                <w:sz w:val="20"/>
              </w:rPr>
            </w:pPr>
            <w:r w:rsidRPr="00732D9A">
              <w:rPr>
                <w:noProof/>
                <w:sz w:val="20"/>
              </w:rPr>
              <w:t>les fonctionnaires et agents temporaires</w:t>
            </w:r>
          </w:p>
        </w:tc>
        <w:tc>
          <w:tcPr>
            <w:tcW w:w="3448" w:type="pct"/>
          </w:tcPr>
          <w:p w14:paraId="74CF454C" w14:textId="77777777" w:rsidR="00CA7C31" w:rsidRPr="00732D9A" w:rsidRDefault="00CA7C31">
            <w:pPr>
              <w:rPr>
                <w:noProof/>
                <w:sz w:val="20"/>
              </w:rPr>
            </w:pPr>
            <w:r w:rsidRPr="00732D9A">
              <w:rPr>
                <w:noProof/>
                <w:sz w:val="20"/>
              </w:rPr>
              <w:t>Des effectifs supplémentaires (équivalant à 6 ETP) seront nécessaires pour exécuter les tâches prévues par la proposition en ce qui concerne les marchés pilotes et le filtrage des IDE. Les 6 ETP seront redéployés au sein de la DG chargée de la mise en œuvre.</w:t>
            </w:r>
          </w:p>
        </w:tc>
      </w:tr>
      <w:tr w:rsidR="00CA7C31" w:rsidRPr="00732D9A" w14:paraId="3B50AE4A" w14:textId="77777777">
        <w:tc>
          <w:tcPr>
            <w:tcW w:w="1552" w:type="pct"/>
          </w:tcPr>
          <w:p w14:paraId="45E749A9" w14:textId="77777777" w:rsidR="00CA7C31" w:rsidRPr="00732D9A" w:rsidRDefault="00CA7C31">
            <w:pPr>
              <w:spacing w:before="60" w:after="60"/>
              <w:rPr>
                <w:noProof/>
                <w:sz w:val="20"/>
              </w:rPr>
            </w:pPr>
            <w:r w:rsidRPr="00732D9A">
              <w:rPr>
                <w:noProof/>
                <w:sz w:val="20"/>
              </w:rPr>
              <w:t>le personnel externe</w:t>
            </w:r>
          </w:p>
        </w:tc>
        <w:tc>
          <w:tcPr>
            <w:tcW w:w="3448" w:type="pct"/>
          </w:tcPr>
          <w:p w14:paraId="5501A62B" w14:textId="77777777" w:rsidR="00CA7C31" w:rsidRPr="00732D9A" w:rsidRDefault="00CA7C31">
            <w:pPr>
              <w:rPr>
                <w:noProof/>
                <w:sz w:val="20"/>
              </w:rPr>
            </w:pPr>
          </w:p>
        </w:tc>
      </w:tr>
    </w:tbl>
    <w:p w14:paraId="213B3197" w14:textId="77777777" w:rsidR="00CA7C31" w:rsidRPr="00732D9A" w:rsidRDefault="00CA7C31" w:rsidP="00CA7C31">
      <w:pPr>
        <w:pStyle w:val="ManualHeading3"/>
        <w:rPr>
          <w:noProof/>
        </w:rPr>
      </w:pPr>
      <w:r w:rsidRPr="00732D9A">
        <w:rPr>
          <w:noProof/>
        </w:rPr>
        <w:t>3.2.5.</w:t>
      </w:r>
      <w:r w:rsidRPr="00732D9A">
        <w:rPr>
          <w:noProof/>
        </w:rPr>
        <w:tab/>
        <w:t>Vue d’ensemble de l’incidence estimée sur les investissements liés aux technologies numériques</w:t>
      </w:r>
    </w:p>
    <w:p w14:paraId="76EA2620" w14:textId="77777777" w:rsidR="00CA7C31" w:rsidRPr="00732D9A" w:rsidRDefault="00CA7C31" w:rsidP="00CA7C31">
      <w:pPr>
        <w:pStyle w:val="Text1"/>
        <w:ind w:left="0"/>
        <w:rPr>
          <w:noProof/>
        </w:rPr>
      </w:pPr>
    </w:p>
    <w:tbl>
      <w:tblPr>
        <w:tblW w:w="5000" w:type="pct"/>
        <w:tblLayout w:type="fixed"/>
        <w:tblLook w:val="04A0" w:firstRow="1" w:lastRow="0" w:firstColumn="1" w:lastColumn="0" w:noHBand="0" w:noVBand="1"/>
      </w:tblPr>
      <w:tblGrid>
        <w:gridCol w:w="3505"/>
        <w:gridCol w:w="910"/>
        <w:gridCol w:w="910"/>
        <w:gridCol w:w="910"/>
        <w:gridCol w:w="910"/>
        <w:gridCol w:w="1072"/>
        <w:gridCol w:w="1070"/>
      </w:tblGrid>
      <w:tr w:rsidR="009E3CEB" w:rsidRPr="00732D9A" w14:paraId="32596641" w14:textId="77777777" w:rsidTr="00C243DB">
        <w:trPr>
          <w:trHeight w:val="525"/>
        </w:trPr>
        <w:tc>
          <w:tcPr>
            <w:tcW w:w="1887" w:type="pct"/>
            <w:tcBorders>
              <w:top w:val="single" w:sz="8" w:space="0" w:color="auto"/>
              <w:left w:val="single" w:sz="4" w:space="0" w:color="auto"/>
              <w:right w:val="single" w:sz="4" w:space="0" w:color="auto"/>
            </w:tcBorders>
            <w:tcMar>
              <w:left w:w="108" w:type="dxa"/>
              <w:right w:w="108" w:type="dxa"/>
            </w:tcMar>
            <w:vAlign w:val="center"/>
          </w:tcPr>
          <w:p w14:paraId="0FC58347"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TOTAL des crédits numériques et informatiques</w:t>
            </w:r>
          </w:p>
        </w:tc>
        <w:tc>
          <w:tcPr>
            <w:tcW w:w="490" w:type="pct"/>
            <w:tcBorders>
              <w:top w:val="single" w:sz="8" w:space="0" w:color="auto"/>
              <w:left w:val="single" w:sz="4" w:space="0" w:color="auto"/>
              <w:bottom w:val="nil"/>
              <w:right w:val="single" w:sz="8" w:space="0" w:color="auto"/>
            </w:tcBorders>
            <w:tcMar>
              <w:left w:w="108" w:type="dxa"/>
              <w:right w:w="108" w:type="dxa"/>
            </w:tcMar>
            <w:vAlign w:val="center"/>
          </w:tcPr>
          <w:p w14:paraId="2749F2C4" w14:textId="77777777" w:rsidR="009E3CEB" w:rsidRPr="00732D9A" w:rsidRDefault="009E3CEB" w:rsidP="009E3CEB">
            <w:pPr>
              <w:spacing w:before="0" w:after="0"/>
              <w:jc w:val="center"/>
              <w:rPr>
                <w:noProof/>
                <w:color w:val="000000" w:themeColor="text1"/>
                <w:sz w:val="18"/>
                <w:szCs w:val="18"/>
              </w:rPr>
            </w:pPr>
            <w:r w:rsidRPr="00732D9A">
              <w:rPr>
                <w:noProof/>
                <w:color w:val="000000" w:themeColor="text1"/>
                <w:sz w:val="18"/>
              </w:rPr>
              <w:t>Année</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5AF316FA" w14:textId="77777777" w:rsidR="009E3CEB" w:rsidRPr="00732D9A" w:rsidRDefault="009E3CEB" w:rsidP="009E3CEB">
            <w:pPr>
              <w:spacing w:before="0" w:after="0"/>
              <w:jc w:val="center"/>
              <w:rPr>
                <w:noProof/>
                <w:color w:val="000000" w:themeColor="text1"/>
                <w:sz w:val="18"/>
                <w:szCs w:val="18"/>
              </w:rPr>
            </w:pPr>
            <w:r w:rsidRPr="00732D9A">
              <w:rPr>
                <w:noProof/>
                <w:color w:val="000000" w:themeColor="text1"/>
                <w:sz w:val="18"/>
              </w:rPr>
              <w:t>Année</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3AC5637D" w14:textId="77777777" w:rsidR="009E3CEB" w:rsidRPr="00732D9A" w:rsidRDefault="009E3CEB" w:rsidP="009E3CEB">
            <w:pPr>
              <w:spacing w:before="0" w:after="0"/>
              <w:jc w:val="center"/>
              <w:rPr>
                <w:noProof/>
                <w:color w:val="000000" w:themeColor="text1"/>
                <w:sz w:val="18"/>
                <w:szCs w:val="18"/>
              </w:rPr>
            </w:pPr>
            <w:r w:rsidRPr="00732D9A">
              <w:rPr>
                <w:noProof/>
                <w:color w:val="000000" w:themeColor="text1"/>
                <w:sz w:val="18"/>
              </w:rPr>
              <w:t>Année</w:t>
            </w:r>
          </w:p>
        </w:tc>
        <w:tc>
          <w:tcPr>
            <w:tcW w:w="490" w:type="pct"/>
            <w:tcBorders>
              <w:top w:val="single" w:sz="8" w:space="0" w:color="auto"/>
              <w:left w:val="single" w:sz="8" w:space="0" w:color="auto"/>
              <w:bottom w:val="nil"/>
              <w:right w:val="single" w:sz="8" w:space="0" w:color="auto"/>
            </w:tcBorders>
            <w:tcMar>
              <w:left w:w="108" w:type="dxa"/>
              <w:right w:w="108" w:type="dxa"/>
            </w:tcMar>
            <w:vAlign w:val="center"/>
          </w:tcPr>
          <w:p w14:paraId="4186971D" w14:textId="77777777" w:rsidR="009E3CEB" w:rsidRPr="00732D9A" w:rsidRDefault="009E3CEB" w:rsidP="009E3CEB">
            <w:pPr>
              <w:spacing w:before="0" w:after="0"/>
              <w:jc w:val="center"/>
              <w:rPr>
                <w:noProof/>
                <w:color w:val="000000" w:themeColor="text1"/>
                <w:sz w:val="18"/>
                <w:szCs w:val="18"/>
              </w:rPr>
            </w:pPr>
            <w:r w:rsidRPr="00732D9A">
              <w:rPr>
                <w:noProof/>
                <w:color w:val="000000" w:themeColor="text1"/>
                <w:sz w:val="18"/>
              </w:rPr>
              <w:t>Année</w:t>
            </w:r>
          </w:p>
        </w:tc>
        <w:tc>
          <w:tcPr>
            <w:tcW w:w="577"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360122B"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TOTAL CFP 2021-2027</w:t>
            </w:r>
          </w:p>
        </w:tc>
        <w:tc>
          <w:tcPr>
            <w:tcW w:w="576" w:type="pct"/>
            <w:tcBorders>
              <w:top w:val="single" w:sz="8" w:space="0" w:color="auto"/>
              <w:left w:val="single" w:sz="8" w:space="0" w:color="auto"/>
              <w:bottom w:val="single" w:sz="8" w:space="0" w:color="auto"/>
              <w:right w:val="single" w:sz="4" w:space="0" w:color="auto"/>
            </w:tcBorders>
            <w:vAlign w:val="center"/>
          </w:tcPr>
          <w:p w14:paraId="77A5E544"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TOTAL CFP 2028-2034</w:t>
            </w:r>
          </w:p>
        </w:tc>
      </w:tr>
      <w:tr w:rsidR="009E3CEB" w:rsidRPr="00732D9A" w14:paraId="7B448BC4" w14:textId="77777777" w:rsidTr="009E3CEB">
        <w:trPr>
          <w:trHeight w:val="525"/>
        </w:trPr>
        <w:tc>
          <w:tcPr>
            <w:tcW w:w="1887" w:type="pct"/>
            <w:tcBorders>
              <w:top w:val="single" w:sz="8" w:space="0" w:color="auto"/>
              <w:left w:val="single" w:sz="4" w:space="0" w:color="auto"/>
              <w:right w:val="single" w:sz="4" w:space="0" w:color="auto"/>
            </w:tcBorders>
            <w:vAlign w:val="center"/>
          </w:tcPr>
          <w:p w14:paraId="2AB48B87" w14:textId="77777777" w:rsidR="009E3CEB" w:rsidRPr="00732D9A" w:rsidRDefault="009E3CEB" w:rsidP="009E3CEB">
            <w:pPr>
              <w:rPr>
                <w:noProof/>
              </w:rPr>
            </w:pPr>
          </w:p>
        </w:tc>
        <w:tc>
          <w:tcPr>
            <w:tcW w:w="490" w:type="pct"/>
            <w:tcBorders>
              <w:top w:val="nil"/>
              <w:left w:val="single" w:sz="4" w:space="0" w:color="auto"/>
              <w:bottom w:val="single" w:sz="8" w:space="0" w:color="auto"/>
              <w:right w:val="single" w:sz="8" w:space="0" w:color="auto"/>
            </w:tcBorders>
            <w:tcMar>
              <w:left w:w="108" w:type="dxa"/>
              <w:right w:w="108" w:type="dxa"/>
            </w:tcMar>
            <w:vAlign w:val="center"/>
          </w:tcPr>
          <w:p w14:paraId="6B59918F"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2024</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631FAC8"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2025</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266EB0C9"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2026</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7F80D898" w14:textId="77777777" w:rsidR="009E3CEB" w:rsidRPr="00732D9A" w:rsidRDefault="009E3CEB" w:rsidP="009E3CEB">
            <w:pPr>
              <w:spacing w:before="0" w:after="0"/>
              <w:jc w:val="center"/>
              <w:rPr>
                <w:b/>
                <w:bCs/>
                <w:noProof/>
                <w:color w:val="000000" w:themeColor="text1"/>
                <w:sz w:val="18"/>
                <w:szCs w:val="18"/>
              </w:rPr>
            </w:pPr>
            <w:r w:rsidRPr="00732D9A">
              <w:rPr>
                <w:b/>
                <w:noProof/>
                <w:color w:val="000000" w:themeColor="text1"/>
                <w:sz w:val="18"/>
              </w:rPr>
              <w:t>2027</w:t>
            </w:r>
          </w:p>
        </w:tc>
        <w:tc>
          <w:tcPr>
            <w:tcW w:w="577" w:type="pct"/>
            <w:tcBorders>
              <w:bottom w:val="single" w:sz="4" w:space="0" w:color="auto"/>
              <w:right w:val="single" w:sz="4" w:space="0" w:color="auto"/>
            </w:tcBorders>
            <w:vAlign w:val="center"/>
          </w:tcPr>
          <w:p w14:paraId="0D024DA9" w14:textId="77777777" w:rsidR="009E3CEB" w:rsidRPr="00732D9A" w:rsidRDefault="009E3CEB" w:rsidP="009E3CEB">
            <w:pPr>
              <w:rPr>
                <w:noProof/>
              </w:rPr>
            </w:pPr>
          </w:p>
        </w:tc>
        <w:tc>
          <w:tcPr>
            <w:tcW w:w="576" w:type="pct"/>
            <w:tcBorders>
              <w:bottom w:val="single" w:sz="4" w:space="0" w:color="auto"/>
              <w:right w:val="single" w:sz="4" w:space="0" w:color="auto"/>
            </w:tcBorders>
          </w:tcPr>
          <w:p w14:paraId="2C6A0B69" w14:textId="77777777" w:rsidR="009E3CEB" w:rsidRPr="00732D9A" w:rsidRDefault="009E3CEB" w:rsidP="009E3CEB">
            <w:pPr>
              <w:rPr>
                <w:noProof/>
              </w:rPr>
            </w:pPr>
          </w:p>
        </w:tc>
      </w:tr>
      <w:tr w:rsidR="009E3CEB" w:rsidRPr="00732D9A" w14:paraId="58F55B74" w14:textId="77777777" w:rsidTr="009E3CEB">
        <w:trPr>
          <w:trHeight w:val="300"/>
        </w:trPr>
        <w:tc>
          <w:tcPr>
            <w:tcW w:w="4424" w:type="pct"/>
            <w:gridSpan w:val="6"/>
            <w:tcBorders>
              <w:top w:val="nil"/>
              <w:left w:val="single" w:sz="8" w:space="0" w:color="auto"/>
              <w:bottom w:val="single" w:sz="8" w:space="0" w:color="auto"/>
              <w:right w:val="single" w:sz="8" w:space="0" w:color="auto"/>
            </w:tcBorders>
            <w:tcMar>
              <w:left w:w="108" w:type="dxa"/>
              <w:right w:w="108" w:type="dxa"/>
            </w:tcMar>
            <w:vAlign w:val="center"/>
          </w:tcPr>
          <w:p w14:paraId="0FB2C921" w14:textId="77777777" w:rsidR="009E3CEB" w:rsidRPr="00732D9A" w:rsidRDefault="009E3CEB" w:rsidP="009E3CEB">
            <w:pPr>
              <w:spacing w:before="0" w:after="0"/>
              <w:jc w:val="left"/>
              <w:rPr>
                <w:b/>
                <w:bCs/>
                <w:noProof/>
                <w:sz w:val="16"/>
                <w:szCs w:val="16"/>
              </w:rPr>
            </w:pPr>
            <w:r w:rsidRPr="00732D9A">
              <w:rPr>
                <w:b/>
                <w:noProof/>
                <w:sz w:val="16"/>
              </w:rPr>
              <w:t>RUBRIQUE 7</w:t>
            </w:r>
          </w:p>
        </w:tc>
        <w:tc>
          <w:tcPr>
            <w:tcW w:w="576" w:type="pct"/>
            <w:tcBorders>
              <w:top w:val="nil"/>
              <w:left w:val="single" w:sz="8" w:space="0" w:color="auto"/>
              <w:bottom w:val="single" w:sz="8" w:space="0" w:color="auto"/>
              <w:right w:val="single" w:sz="8" w:space="0" w:color="auto"/>
            </w:tcBorders>
          </w:tcPr>
          <w:p w14:paraId="58DAB241" w14:textId="77777777" w:rsidR="009E3CEB" w:rsidRPr="00732D9A" w:rsidRDefault="009E3CEB" w:rsidP="009E3CEB">
            <w:pPr>
              <w:spacing w:before="0" w:after="0"/>
              <w:jc w:val="left"/>
              <w:rPr>
                <w:b/>
                <w:bCs/>
                <w:noProof/>
                <w:sz w:val="16"/>
                <w:szCs w:val="16"/>
              </w:rPr>
            </w:pPr>
          </w:p>
        </w:tc>
      </w:tr>
      <w:tr w:rsidR="009E3CEB" w:rsidRPr="00732D9A" w14:paraId="22C24A3A"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243EF" w14:textId="77777777" w:rsidR="009E3CEB" w:rsidRPr="00732D9A" w:rsidRDefault="009E3CEB" w:rsidP="009E3CEB">
            <w:pPr>
              <w:spacing w:before="0" w:after="0"/>
              <w:jc w:val="left"/>
              <w:rPr>
                <w:noProof/>
                <w:color w:val="000000" w:themeColor="text1"/>
                <w:sz w:val="16"/>
                <w:szCs w:val="16"/>
              </w:rPr>
            </w:pPr>
            <w:r w:rsidRPr="00732D9A">
              <w:rPr>
                <w:rFonts w:ascii="Arial Narrow" w:hAnsi="Arial Narrow"/>
                <w:noProof/>
                <w:color w:val="000000" w:themeColor="text1"/>
                <w:sz w:val="20"/>
              </w:rPr>
              <w:t>Dépenses informatiques (institutionnelles)</w:t>
            </w:r>
            <w:r w:rsidRPr="00732D9A">
              <w:rPr>
                <w:noProof/>
                <w:color w:val="000000" w:themeColor="text1"/>
                <w:sz w:val="16"/>
              </w:rPr>
              <w:t xml:space="preserve"> </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B51D03" w14:textId="77777777" w:rsidR="009E3CEB" w:rsidRPr="00732D9A" w:rsidRDefault="009E3CEB" w:rsidP="009E3CEB">
            <w:pPr>
              <w:spacing w:before="0" w:after="0"/>
              <w:jc w:val="right"/>
              <w:rPr>
                <w:noProof/>
                <w:color w:val="000000" w:themeColor="text1"/>
                <w:sz w:val="16"/>
                <w:szCs w:val="16"/>
              </w:rPr>
            </w:pPr>
            <w:r w:rsidRPr="00732D9A">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926D93B" w14:textId="77777777" w:rsidR="009E3CEB" w:rsidRPr="00732D9A" w:rsidRDefault="009E3CEB" w:rsidP="009E3CEB">
            <w:pPr>
              <w:spacing w:before="0" w:after="0"/>
              <w:jc w:val="right"/>
              <w:rPr>
                <w:noProof/>
                <w:color w:val="000000" w:themeColor="text1"/>
                <w:sz w:val="16"/>
                <w:szCs w:val="16"/>
              </w:rPr>
            </w:pPr>
            <w:r w:rsidRPr="00732D9A">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2685772" w14:textId="77777777" w:rsidR="009E3CEB" w:rsidRPr="00732D9A" w:rsidRDefault="009E3CEB" w:rsidP="009E3CEB">
            <w:pPr>
              <w:spacing w:before="0" w:after="0"/>
              <w:jc w:val="right"/>
              <w:rPr>
                <w:noProof/>
                <w:color w:val="000000" w:themeColor="text1"/>
                <w:sz w:val="16"/>
                <w:szCs w:val="16"/>
              </w:rPr>
            </w:pPr>
            <w:r w:rsidRPr="00732D9A">
              <w:rPr>
                <w:noProof/>
                <w:sz w:val="16"/>
              </w:rPr>
              <w:t>0,000</w:t>
            </w:r>
          </w:p>
        </w:tc>
        <w:tc>
          <w:tcPr>
            <w:tcW w:w="490"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EF6DEE" w14:textId="77777777" w:rsidR="009E3CEB" w:rsidRPr="00732D9A" w:rsidRDefault="009E3CEB" w:rsidP="009E3CEB">
            <w:pPr>
              <w:spacing w:before="0" w:after="0"/>
              <w:jc w:val="right"/>
              <w:rPr>
                <w:noProof/>
                <w:color w:val="000000" w:themeColor="text1"/>
                <w:sz w:val="16"/>
                <w:szCs w:val="16"/>
              </w:rPr>
            </w:pPr>
            <w:r w:rsidRPr="00732D9A">
              <w:rPr>
                <w:noProof/>
                <w:sz w:val="16"/>
              </w:rPr>
              <w:t>0,000</w:t>
            </w:r>
          </w:p>
        </w:tc>
        <w:tc>
          <w:tcPr>
            <w:tcW w:w="577" w:type="pct"/>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59222B"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576"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80BC3D" w14:textId="77777777" w:rsidR="009E3CEB" w:rsidRPr="00732D9A" w:rsidRDefault="009E3CEB" w:rsidP="009E3CEB">
            <w:pPr>
              <w:spacing w:before="0" w:after="0"/>
              <w:jc w:val="right"/>
              <w:rPr>
                <w:b/>
                <w:bCs/>
                <w:noProof/>
                <w:sz w:val="16"/>
                <w:szCs w:val="16"/>
              </w:rPr>
            </w:pPr>
            <w:r w:rsidRPr="00732D9A">
              <w:rPr>
                <w:b/>
                <w:noProof/>
                <w:sz w:val="16"/>
              </w:rPr>
              <w:t>0,000</w:t>
            </w:r>
          </w:p>
        </w:tc>
      </w:tr>
      <w:tr w:rsidR="009E3CEB" w:rsidRPr="00732D9A" w14:paraId="3D79CC08" w14:textId="77777777" w:rsidTr="00C243DB">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2A65349" w14:textId="77777777" w:rsidR="009E3CEB" w:rsidRPr="00732D9A" w:rsidRDefault="009E3CEB" w:rsidP="009E3CEB">
            <w:pPr>
              <w:spacing w:before="0" w:after="0"/>
              <w:jc w:val="center"/>
              <w:rPr>
                <w:b/>
                <w:bCs/>
                <w:noProof/>
                <w:color w:val="000000" w:themeColor="text1"/>
                <w:sz w:val="16"/>
                <w:szCs w:val="16"/>
              </w:rPr>
            </w:pPr>
            <w:r w:rsidRPr="00732D9A">
              <w:rPr>
                <w:b/>
                <w:noProof/>
                <w:color w:val="000000" w:themeColor="text1"/>
                <w:sz w:val="16"/>
              </w:rPr>
              <w:t>Sous-total RUBRIQUE 7</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D5E48D"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AD9E35"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3ECF"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490"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C53FB9"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577" w:type="pc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2A82B6" w14:textId="77777777" w:rsidR="009E3CEB" w:rsidRPr="00732D9A" w:rsidRDefault="009E3CEB" w:rsidP="009E3CEB">
            <w:pPr>
              <w:spacing w:before="0" w:after="0"/>
              <w:jc w:val="right"/>
              <w:rPr>
                <w:b/>
                <w:bCs/>
                <w:noProof/>
                <w:color w:val="000000" w:themeColor="text1"/>
                <w:sz w:val="16"/>
                <w:szCs w:val="16"/>
              </w:rPr>
            </w:pPr>
            <w:r w:rsidRPr="00732D9A">
              <w:rPr>
                <w:b/>
                <w:noProof/>
                <w:sz w:val="16"/>
              </w:rPr>
              <w:t>0,000</w:t>
            </w:r>
          </w:p>
        </w:tc>
        <w:tc>
          <w:tcPr>
            <w:tcW w:w="576"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9E551A5" w14:textId="77777777" w:rsidR="009E3CEB" w:rsidRPr="00732D9A" w:rsidRDefault="009E3CEB" w:rsidP="009E3CEB">
            <w:pPr>
              <w:spacing w:before="0" w:after="0"/>
              <w:jc w:val="right"/>
              <w:rPr>
                <w:b/>
                <w:bCs/>
                <w:noProof/>
                <w:sz w:val="16"/>
                <w:szCs w:val="16"/>
              </w:rPr>
            </w:pPr>
            <w:r w:rsidRPr="00732D9A">
              <w:rPr>
                <w:b/>
                <w:noProof/>
                <w:sz w:val="16"/>
              </w:rPr>
              <w:t>0,000</w:t>
            </w:r>
          </w:p>
        </w:tc>
      </w:tr>
      <w:tr w:rsidR="009E3CEB" w:rsidRPr="00732D9A" w14:paraId="68C79EE0" w14:textId="77777777" w:rsidTr="009E3CEB">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52561" w14:textId="77777777" w:rsidR="009E3CEB" w:rsidRPr="00732D9A" w:rsidRDefault="009E3CEB" w:rsidP="009E3CEB">
            <w:pPr>
              <w:spacing w:before="0" w:after="0"/>
              <w:jc w:val="left"/>
              <w:rPr>
                <w:b/>
                <w:bCs/>
                <w:noProof/>
                <w:sz w:val="16"/>
                <w:szCs w:val="16"/>
              </w:rPr>
            </w:pPr>
            <w:r w:rsidRPr="00732D9A">
              <w:rPr>
                <w:b/>
                <w:noProof/>
                <w:sz w:val="16"/>
              </w:rPr>
              <w:t>Hors RUBRIQUE 7</w:t>
            </w:r>
          </w:p>
        </w:tc>
      </w:tr>
      <w:tr w:rsidR="009E3CEB" w:rsidRPr="00732D9A" w14:paraId="03F6B08C"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6F0C2" w14:textId="77777777" w:rsidR="009E3CEB" w:rsidRPr="00732D9A" w:rsidRDefault="009E3CEB" w:rsidP="009E3CEB">
            <w:pPr>
              <w:spacing w:before="0" w:after="0"/>
              <w:jc w:val="left"/>
              <w:rPr>
                <w:rFonts w:ascii="Arial Narrow" w:eastAsia="Arial Narrow" w:hAnsi="Arial Narrow" w:cs="Arial Narrow"/>
                <w:noProof/>
                <w:color w:val="000000" w:themeColor="text1"/>
                <w:sz w:val="20"/>
                <w:szCs w:val="20"/>
              </w:rPr>
            </w:pPr>
            <w:r w:rsidRPr="00732D9A">
              <w:rPr>
                <w:rFonts w:ascii="Arial Narrow" w:hAnsi="Arial Narrow"/>
                <w:noProof/>
                <w:color w:val="000000" w:themeColor="text1"/>
                <w:sz w:val="20"/>
              </w:rPr>
              <w:t>Dépenses pour les systèmes informatiques soutenant une politique consacrées aux programmes opérationnels</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69EF2634" w14:textId="77777777" w:rsidR="009E3CEB" w:rsidRPr="00732D9A" w:rsidRDefault="00C236D4" w:rsidP="009E3CEB">
            <w:pPr>
              <w:spacing w:before="0" w:after="0"/>
              <w:jc w:val="right"/>
              <w:rPr>
                <w:noProof/>
                <w:color w:val="000000" w:themeColor="text1"/>
                <w:sz w:val="16"/>
                <w:szCs w:val="16"/>
              </w:rPr>
            </w:pPr>
            <w:r w:rsidRPr="00732D9A">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6999008" w14:textId="77777777" w:rsidR="009E3CEB" w:rsidRPr="00732D9A" w:rsidRDefault="00C236D4" w:rsidP="009E3CEB">
            <w:pPr>
              <w:spacing w:before="0" w:after="0"/>
              <w:jc w:val="right"/>
              <w:rPr>
                <w:noProof/>
                <w:color w:val="000000" w:themeColor="text1"/>
                <w:sz w:val="16"/>
                <w:szCs w:val="16"/>
              </w:rPr>
            </w:pPr>
            <w:r w:rsidRPr="00732D9A">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1C372F0B" w14:textId="77777777" w:rsidR="009E3CEB" w:rsidRPr="00732D9A" w:rsidRDefault="00C236D4" w:rsidP="009E3CEB">
            <w:pPr>
              <w:spacing w:before="0" w:after="0"/>
              <w:jc w:val="right"/>
              <w:rPr>
                <w:noProof/>
                <w:color w:val="000000" w:themeColor="text1"/>
                <w:sz w:val="16"/>
                <w:szCs w:val="16"/>
              </w:rPr>
            </w:pPr>
            <w:r w:rsidRPr="00732D9A">
              <w:rPr>
                <w:noProof/>
                <w:color w:val="000000" w:themeColor="text1"/>
                <w:sz w:val="16"/>
              </w:rPr>
              <w:t>0,000</w:t>
            </w:r>
          </w:p>
        </w:tc>
        <w:tc>
          <w:tcPr>
            <w:tcW w:w="490" w:type="pct"/>
            <w:tcBorders>
              <w:top w:val="nil"/>
              <w:left w:val="single" w:sz="8" w:space="0" w:color="auto"/>
              <w:bottom w:val="single" w:sz="8" w:space="0" w:color="auto"/>
              <w:right w:val="single" w:sz="8" w:space="0" w:color="auto"/>
            </w:tcBorders>
            <w:tcMar>
              <w:left w:w="108" w:type="dxa"/>
              <w:right w:w="108" w:type="dxa"/>
            </w:tcMar>
            <w:vAlign w:val="center"/>
          </w:tcPr>
          <w:p w14:paraId="0C146BF3" w14:textId="77777777" w:rsidR="009E3CEB" w:rsidRPr="00732D9A" w:rsidRDefault="00C236D4" w:rsidP="009E3CEB">
            <w:pPr>
              <w:spacing w:before="0" w:after="0"/>
              <w:jc w:val="right"/>
              <w:rPr>
                <w:noProof/>
                <w:color w:val="000000" w:themeColor="text1"/>
                <w:sz w:val="16"/>
                <w:szCs w:val="16"/>
              </w:rPr>
            </w:pPr>
            <w:r w:rsidRPr="00732D9A">
              <w:rPr>
                <w:noProof/>
                <w:color w:val="000000" w:themeColor="text1"/>
                <w:sz w:val="16"/>
              </w:rPr>
              <w:t>0,040</w:t>
            </w:r>
          </w:p>
        </w:tc>
        <w:tc>
          <w:tcPr>
            <w:tcW w:w="577" w:type="pct"/>
            <w:tcBorders>
              <w:top w:val="nil"/>
              <w:left w:val="single" w:sz="8" w:space="0" w:color="auto"/>
              <w:bottom w:val="single" w:sz="8" w:space="0" w:color="auto"/>
              <w:right w:val="single" w:sz="8" w:space="0" w:color="auto"/>
            </w:tcBorders>
            <w:tcMar>
              <w:left w:w="108" w:type="dxa"/>
              <w:right w:w="108" w:type="dxa"/>
            </w:tcMar>
            <w:vAlign w:val="center"/>
          </w:tcPr>
          <w:p w14:paraId="067E108A"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0,040</w:t>
            </w:r>
          </w:p>
        </w:tc>
        <w:tc>
          <w:tcPr>
            <w:tcW w:w="576" w:type="pct"/>
            <w:tcBorders>
              <w:top w:val="nil"/>
              <w:left w:val="single" w:sz="8" w:space="0" w:color="auto"/>
              <w:bottom w:val="single" w:sz="8" w:space="0" w:color="auto"/>
              <w:right w:val="single" w:sz="8" w:space="0" w:color="auto"/>
            </w:tcBorders>
            <w:vAlign w:val="center"/>
          </w:tcPr>
          <w:p w14:paraId="2D4D27A5"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0,140</w:t>
            </w:r>
          </w:p>
        </w:tc>
      </w:tr>
      <w:tr w:rsidR="009E3CEB" w:rsidRPr="00732D9A" w14:paraId="13C9D27E" w14:textId="77777777" w:rsidTr="00B53FD7">
        <w:trPr>
          <w:trHeight w:val="300"/>
        </w:trPr>
        <w:tc>
          <w:tcPr>
            <w:tcW w:w="1887" w:type="pct"/>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9DFA8E7" w14:textId="77777777" w:rsidR="009E3CEB" w:rsidRPr="00732D9A" w:rsidRDefault="009E3CEB" w:rsidP="009E3CEB">
            <w:pPr>
              <w:spacing w:before="0" w:after="0"/>
              <w:jc w:val="center"/>
              <w:rPr>
                <w:b/>
                <w:bCs/>
                <w:noProof/>
                <w:color w:val="000000" w:themeColor="text1"/>
                <w:sz w:val="16"/>
                <w:szCs w:val="16"/>
              </w:rPr>
            </w:pPr>
            <w:r w:rsidRPr="00732D9A">
              <w:rPr>
                <w:b/>
                <w:noProof/>
                <w:color w:val="000000" w:themeColor="text1"/>
                <w:sz w:val="16"/>
              </w:rPr>
              <w:t>Sous-total hors RUBRIQUE 7</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F68AF"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FAEFB"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8AFDF"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0,000</w:t>
            </w:r>
          </w:p>
        </w:tc>
        <w:tc>
          <w:tcPr>
            <w:tcW w:w="490"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FCBEF"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0,040</w:t>
            </w:r>
          </w:p>
        </w:tc>
        <w:tc>
          <w:tcPr>
            <w:tcW w:w="577"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F8C6E"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0,040</w:t>
            </w:r>
          </w:p>
        </w:tc>
        <w:tc>
          <w:tcPr>
            <w:tcW w:w="576" w:type="pct"/>
            <w:tcBorders>
              <w:top w:val="single" w:sz="8" w:space="0" w:color="auto"/>
              <w:left w:val="single" w:sz="8" w:space="0" w:color="auto"/>
              <w:bottom w:val="single" w:sz="8" w:space="0" w:color="auto"/>
              <w:right w:val="single" w:sz="8" w:space="0" w:color="auto"/>
            </w:tcBorders>
            <w:vAlign w:val="center"/>
          </w:tcPr>
          <w:p w14:paraId="086B3480" w14:textId="77777777" w:rsidR="009E3CEB" w:rsidRPr="00732D9A" w:rsidRDefault="00C236D4" w:rsidP="009E3CEB">
            <w:pPr>
              <w:spacing w:before="0" w:after="0"/>
              <w:jc w:val="right"/>
              <w:rPr>
                <w:b/>
                <w:bCs/>
                <w:noProof/>
                <w:color w:val="000000" w:themeColor="text1"/>
                <w:sz w:val="16"/>
                <w:szCs w:val="16"/>
              </w:rPr>
            </w:pPr>
            <w:r w:rsidRPr="00732D9A">
              <w:rPr>
                <w:b/>
                <w:noProof/>
                <w:color w:val="000000" w:themeColor="text1"/>
                <w:sz w:val="16"/>
              </w:rPr>
              <w:t>0,140</w:t>
            </w:r>
          </w:p>
        </w:tc>
      </w:tr>
      <w:tr w:rsidR="009E3CEB" w:rsidRPr="00732D9A" w14:paraId="5DDFA3E7" w14:textId="77777777" w:rsidTr="00B53FD7">
        <w:trPr>
          <w:trHeight w:val="300"/>
        </w:trPr>
        <w:tc>
          <w:tcPr>
            <w:tcW w:w="5000" w:type="pct"/>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CE3E5" w14:textId="77777777" w:rsidR="009E3CEB" w:rsidRPr="00732D9A" w:rsidRDefault="009E3CEB" w:rsidP="009E3CEB">
            <w:pPr>
              <w:spacing w:before="0" w:after="0"/>
              <w:jc w:val="center"/>
              <w:rPr>
                <w:noProof/>
                <w:color w:val="000000" w:themeColor="text1"/>
                <w:sz w:val="16"/>
                <w:szCs w:val="16"/>
              </w:rPr>
            </w:pPr>
            <w:r w:rsidRPr="00732D9A">
              <w:rPr>
                <w:noProof/>
                <w:color w:val="000000" w:themeColor="text1"/>
                <w:sz w:val="16"/>
              </w:rPr>
              <w:t xml:space="preserve"> </w:t>
            </w:r>
          </w:p>
        </w:tc>
      </w:tr>
      <w:tr w:rsidR="009E3CEB" w:rsidRPr="00732D9A" w14:paraId="5CE1B3C5" w14:textId="77777777" w:rsidTr="00B53FD7">
        <w:trPr>
          <w:trHeight w:val="315"/>
        </w:trPr>
        <w:tc>
          <w:tcPr>
            <w:tcW w:w="1887" w:type="pct"/>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679FBB58" w14:textId="77777777" w:rsidR="009E3CEB" w:rsidRPr="00732D9A" w:rsidRDefault="009E3CEB" w:rsidP="009E3CEB">
            <w:pPr>
              <w:spacing w:before="0" w:after="0"/>
              <w:jc w:val="center"/>
              <w:rPr>
                <w:b/>
                <w:bCs/>
                <w:noProof/>
                <w:color w:val="000000" w:themeColor="text1"/>
                <w:sz w:val="16"/>
                <w:szCs w:val="16"/>
              </w:rPr>
            </w:pPr>
            <w:r w:rsidRPr="00732D9A">
              <w:rPr>
                <w:b/>
                <w:noProof/>
                <w:color w:val="000000" w:themeColor="text1"/>
                <w:sz w:val="16"/>
              </w:rPr>
              <w:t>TOTAL</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75E3046B" w14:textId="77777777" w:rsidR="009E3CEB" w:rsidRPr="00732D9A" w:rsidRDefault="00B53FD7" w:rsidP="009E3CEB">
            <w:pPr>
              <w:spacing w:before="0" w:after="0"/>
              <w:jc w:val="right"/>
              <w:rPr>
                <w:b/>
                <w:bCs/>
                <w:noProof/>
                <w:color w:val="000000" w:themeColor="text1"/>
                <w:sz w:val="16"/>
                <w:szCs w:val="16"/>
              </w:rPr>
            </w:pPr>
            <w:r w:rsidRPr="00732D9A">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212D7AD4" w14:textId="77777777" w:rsidR="009E3CEB" w:rsidRPr="00732D9A" w:rsidRDefault="00B53FD7" w:rsidP="009E3CEB">
            <w:pPr>
              <w:spacing w:before="0" w:after="0"/>
              <w:jc w:val="right"/>
              <w:rPr>
                <w:b/>
                <w:bCs/>
                <w:noProof/>
                <w:color w:val="000000" w:themeColor="text1"/>
                <w:sz w:val="16"/>
                <w:szCs w:val="16"/>
              </w:rPr>
            </w:pPr>
            <w:r w:rsidRPr="00732D9A">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68CDD787" w14:textId="77777777" w:rsidR="009E3CEB" w:rsidRPr="00732D9A" w:rsidRDefault="00B53FD7" w:rsidP="009E3CEB">
            <w:pPr>
              <w:spacing w:before="0" w:after="0"/>
              <w:jc w:val="right"/>
              <w:rPr>
                <w:b/>
                <w:bCs/>
                <w:noProof/>
                <w:color w:val="000000" w:themeColor="text1"/>
                <w:sz w:val="16"/>
                <w:szCs w:val="16"/>
              </w:rPr>
            </w:pPr>
            <w:r w:rsidRPr="00732D9A">
              <w:rPr>
                <w:b/>
                <w:noProof/>
                <w:sz w:val="16"/>
              </w:rPr>
              <w:t>0,000</w:t>
            </w:r>
          </w:p>
        </w:tc>
        <w:tc>
          <w:tcPr>
            <w:tcW w:w="490" w:type="pct"/>
            <w:tcBorders>
              <w:top w:val="nil"/>
              <w:left w:val="single" w:sz="8" w:space="0" w:color="auto"/>
              <w:bottom w:val="single" w:sz="12" w:space="0" w:color="auto"/>
              <w:right w:val="single" w:sz="8" w:space="0" w:color="auto"/>
            </w:tcBorders>
            <w:tcMar>
              <w:left w:w="108" w:type="dxa"/>
              <w:right w:w="108" w:type="dxa"/>
            </w:tcMar>
            <w:vAlign w:val="center"/>
          </w:tcPr>
          <w:p w14:paraId="3BD23EF1" w14:textId="77777777" w:rsidR="009E3CEB" w:rsidRPr="00732D9A" w:rsidRDefault="00B53FD7" w:rsidP="009E3CEB">
            <w:pPr>
              <w:spacing w:before="0" w:after="0"/>
              <w:jc w:val="right"/>
              <w:rPr>
                <w:b/>
                <w:bCs/>
                <w:noProof/>
                <w:color w:val="000000" w:themeColor="text1"/>
                <w:sz w:val="16"/>
                <w:szCs w:val="16"/>
              </w:rPr>
            </w:pPr>
            <w:r w:rsidRPr="00732D9A">
              <w:rPr>
                <w:b/>
                <w:noProof/>
                <w:sz w:val="16"/>
              </w:rPr>
              <w:t>0,040</w:t>
            </w:r>
          </w:p>
        </w:tc>
        <w:tc>
          <w:tcPr>
            <w:tcW w:w="577" w:type="pct"/>
            <w:tcBorders>
              <w:top w:val="nil"/>
              <w:left w:val="single" w:sz="8" w:space="0" w:color="auto"/>
              <w:bottom w:val="single" w:sz="12" w:space="0" w:color="auto"/>
              <w:right w:val="single" w:sz="8" w:space="0" w:color="auto"/>
            </w:tcBorders>
            <w:tcMar>
              <w:left w:w="108" w:type="dxa"/>
              <w:right w:w="108" w:type="dxa"/>
            </w:tcMar>
            <w:vAlign w:val="center"/>
          </w:tcPr>
          <w:p w14:paraId="0BC588C8" w14:textId="77777777" w:rsidR="009E3CEB" w:rsidRPr="00732D9A" w:rsidRDefault="00B53FD7" w:rsidP="009E3CEB">
            <w:pPr>
              <w:spacing w:before="0" w:after="0"/>
              <w:jc w:val="right"/>
              <w:rPr>
                <w:b/>
                <w:bCs/>
                <w:noProof/>
                <w:color w:val="000000" w:themeColor="text1"/>
                <w:sz w:val="16"/>
                <w:szCs w:val="16"/>
              </w:rPr>
            </w:pPr>
            <w:r w:rsidRPr="00732D9A">
              <w:rPr>
                <w:b/>
                <w:noProof/>
                <w:sz w:val="16"/>
              </w:rPr>
              <w:t>0,040</w:t>
            </w:r>
          </w:p>
        </w:tc>
        <w:tc>
          <w:tcPr>
            <w:tcW w:w="576" w:type="pct"/>
            <w:tcBorders>
              <w:top w:val="nil"/>
              <w:left w:val="single" w:sz="8" w:space="0" w:color="auto"/>
              <w:bottom w:val="single" w:sz="12" w:space="0" w:color="auto"/>
              <w:right w:val="single" w:sz="8" w:space="0" w:color="auto"/>
            </w:tcBorders>
            <w:vAlign w:val="center"/>
          </w:tcPr>
          <w:p w14:paraId="341D2358" w14:textId="77777777" w:rsidR="009E3CEB" w:rsidRPr="00732D9A" w:rsidRDefault="00B53FD7" w:rsidP="009E3CEB">
            <w:pPr>
              <w:spacing w:before="0" w:after="0"/>
              <w:jc w:val="right"/>
              <w:rPr>
                <w:b/>
                <w:bCs/>
                <w:noProof/>
                <w:sz w:val="16"/>
                <w:szCs w:val="16"/>
              </w:rPr>
            </w:pPr>
            <w:r w:rsidRPr="00732D9A">
              <w:rPr>
                <w:b/>
                <w:noProof/>
                <w:sz w:val="16"/>
              </w:rPr>
              <w:t>0,140</w:t>
            </w:r>
          </w:p>
        </w:tc>
      </w:tr>
    </w:tbl>
    <w:bookmarkEnd w:id="14"/>
    <w:p w14:paraId="59BA6D5F" w14:textId="77777777" w:rsidR="00CA7C31" w:rsidRPr="00732D9A" w:rsidRDefault="00CA7C31" w:rsidP="00CA7C31">
      <w:pPr>
        <w:pStyle w:val="ManualHeading3"/>
        <w:rPr>
          <w:noProof/>
        </w:rPr>
      </w:pPr>
      <w:r w:rsidRPr="00732D9A">
        <w:rPr>
          <w:noProof/>
        </w:rPr>
        <w:t>3.2.6.</w:t>
      </w:r>
      <w:r w:rsidRPr="00732D9A">
        <w:rPr>
          <w:noProof/>
        </w:rPr>
        <w:tab/>
        <w:t xml:space="preserve">Compatibilité avec le cadre financier pluriannuel actuel </w:t>
      </w:r>
    </w:p>
    <w:p w14:paraId="6002C96D" w14:textId="77777777" w:rsidR="00CA7C31" w:rsidRPr="00732D9A" w:rsidRDefault="00CA7C31" w:rsidP="00CA7C31">
      <w:pPr>
        <w:pStyle w:val="Text1"/>
        <w:rPr>
          <w:noProof/>
        </w:rPr>
      </w:pPr>
      <w:r w:rsidRPr="00732D9A">
        <w:rPr>
          <w:noProof/>
        </w:rPr>
        <w:t>La proposition/l’initiative:</w:t>
      </w:r>
    </w:p>
    <w:p w14:paraId="65F6345C"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peut être intégralement financée par voie de redéploiement au sein de la rubrique concernée du cadre financier pluriannuel (CFP)</w:t>
      </w:r>
    </w:p>
    <w:p w14:paraId="31439E7D"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nécessite l’utilisation de la marge non allouée sous la rubrique correspondante du CFP et/ou le recours aux instruments spéciaux comme le prévoit le règlement CFP</w:t>
      </w:r>
    </w:p>
    <w:p w14:paraId="0A23FEED"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nécessite une révision du CFP</w:t>
      </w:r>
    </w:p>
    <w:p w14:paraId="21F77196" w14:textId="77777777" w:rsidR="00CA7C31" w:rsidRPr="00732D9A" w:rsidRDefault="00CA7C31" w:rsidP="00CA7C31">
      <w:pPr>
        <w:pStyle w:val="ManualHeading3"/>
        <w:rPr>
          <w:noProof/>
        </w:rPr>
      </w:pPr>
      <w:r w:rsidRPr="00732D9A">
        <w:rPr>
          <w:noProof/>
        </w:rPr>
        <w:t>3.2.7.</w:t>
      </w:r>
      <w:r w:rsidRPr="00732D9A">
        <w:rPr>
          <w:noProof/>
        </w:rPr>
        <w:tab/>
        <w:t xml:space="preserve">Participation de tiers au financement </w:t>
      </w:r>
    </w:p>
    <w:p w14:paraId="2CCD56C5" w14:textId="77777777" w:rsidR="00CA7C31" w:rsidRPr="00732D9A" w:rsidRDefault="00CA7C31" w:rsidP="00CA7C31">
      <w:pPr>
        <w:pStyle w:val="Text1"/>
        <w:rPr>
          <w:noProof/>
        </w:rPr>
      </w:pPr>
      <w:r w:rsidRPr="00732D9A">
        <w:rPr>
          <w:noProof/>
        </w:rPr>
        <w:t>La proposition/l’initiative:</w:t>
      </w:r>
    </w:p>
    <w:p w14:paraId="5C867DC9"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ne prévoit pas de cofinancement par des tierces parties</w:t>
      </w:r>
    </w:p>
    <w:p w14:paraId="2E946708"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prévoit le cofinancement par des tierces parties estimé ci-après:</w:t>
      </w:r>
    </w:p>
    <w:p w14:paraId="0E415DAC" w14:textId="77777777" w:rsidR="00CA7C31" w:rsidRPr="00732D9A" w:rsidRDefault="00CA7C31" w:rsidP="00CA7C31">
      <w:pPr>
        <w:jc w:val="right"/>
        <w:rPr>
          <w:noProof/>
          <w:sz w:val="20"/>
        </w:rPr>
      </w:pPr>
      <w:r w:rsidRPr="00732D9A">
        <w:rPr>
          <w:noProof/>
          <w:sz w:val="20"/>
        </w:rPr>
        <w:t>Crédits en Mio EUR (à la 3</w:t>
      </w:r>
      <w:r w:rsidRPr="00732D9A">
        <w:rPr>
          <w:noProof/>
          <w:sz w:val="20"/>
          <w:vertAlign w:val="superscript"/>
        </w:rPr>
        <w:t>e</w:t>
      </w:r>
      <w:r w:rsidRPr="00732D9A">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450"/>
        <w:gridCol w:w="652"/>
        <w:gridCol w:w="652"/>
        <w:gridCol w:w="652"/>
        <w:gridCol w:w="652"/>
        <w:gridCol w:w="652"/>
        <w:gridCol w:w="652"/>
        <w:gridCol w:w="652"/>
        <w:gridCol w:w="652"/>
        <w:gridCol w:w="652"/>
        <w:gridCol w:w="652"/>
        <w:gridCol w:w="652"/>
        <w:gridCol w:w="665"/>
      </w:tblGrid>
      <w:tr w:rsidR="009C5CEA" w:rsidRPr="00732D9A" w14:paraId="751F355F" w14:textId="77777777" w:rsidTr="005E4441">
        <w:trPr>
          <w:cantSplit/>
        </w:trPr>
        <w:tc>
          <w:tcPr>
            <w:tcW w:w="781" w:type="pct"/>
          </w:tcPr>
          <w:p w14:paraId="7CB35910" w14:textId="77777777" w:rsidR="009C5CEA" w:rsidRPr="00732D9A" w:rsidRDefault="009C5CEA" w:rsidP="009C5CEA">
            <w:pPr>
              <w:spacing w:before="60" w:after="60"/>
              <w:rPr>
                <w:noProof/>
                <w:sz w:val="20"/>
              </w:rPr>
            </w:pPr>
          </w:p>
        </w:tc>
        <w:tc>
          <w:tcPr>
            <w:tcW w:w="351" w:type="pct"/>
            <w:vAlign w:val="center"/>
          </w:tcPr>
          <w:p w14:paraId="076CA2E4" w14:textId="77777777" w:rsidR="009C5CEA" w:rsidRPr="00B41503" w:rsidRDefault="009C5CEA" w:rsidP="009C5CEA">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2024</w:t>
            </w:r>
          </w:p>
        </w:tc>
        <w:tc>
          <w:tcPr>
            <w:tcW w:w="351" w:type="pct"/>
            <w:vAlign w:val="center"/>
          </w:tcPr>
          <w:p w14:paraId="6DB1C3D7" w14:textId="77777777" w:rsidR="009C5CEA" w:rsidRPr="00B41503" w:rsidRDefault="009C5CEA" w:rsidP="009C5CEA">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2025</w:t>
            </w:r>
          </w:p>
        </w:tc>
        <w:tc>
          <w:tcPr>
            <w:tcW w:w="351" w:type="pct"/>
            <w:vAlign w:val="center"/>
          </w:tcPr>
          <w:p w14:paraId="57B30617" w14:textId="77777777" w:rsidR="009C5CEA" w:rsidRPr="00B41503" w:rsidRDefault="009C5CEA" w:rsidP="009C5CEA">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2026</w:t>
            </w:r>
          </w:p>
        </w:tc>
        <w:tc>
          <w:tcPr>
            <w:tcW w:w="351" w:type="pct"/>
            <w:vAlign w:val="center"/>
          </w:tcPr>
          <w:p w14:paraId="09FD8B48" w14:textId="77777777" w:rsidR="009C5CEA" w:rsidRPr="00B41503" w:rsidRDefault="009C5CEA" w:rsidP="009C5CEA">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2027</w:t>
            </w:r>
          </w:p>
        </w:tc>
        <w:tc>
          <w:tcPr>
            <w:tcW w:w="351" w:type="pct"/>
            <w:vAlign w:val="center"/>
          </w:tcPr>
          <w:p w14:paraId="5ED50459"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2028</w:t>
            </w:r>
          </w:p>
        </w:tc>
        <w:tc>
          <w:tcPr>
            <w:tcW w:w="351" w:type="pct"/>
            <w:vAlign w:val="center"/>
          </w:tcPr>
          <w:p w14:paraId="2D14B734"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2029</w:t>
            </w:r>
          </w:p>
        </w:tc>
        <w:tc>
          <w:tcPr>
            <w:tcW w:w="351" w:type="pct"/>
            <w:vAlign w:val="center"/>
          </w:tcPr>
          <w:p w14:paraId="0EC51CD0"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2030</w:t>
            </w:r>
          </w:p>
        </w:tc>
        <w:tc>
          <w:tcPr>
            <w:tcW w:w="351" w:type="pct"/>
            <w:vAlign w:val="center"/>
          </w:tcPr>
          <w:p w14:paraId="3AEEFFA6"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2031</w:t>
            </w:r>
          </w:p>
        </w:tc>
        <w:tc>
          <w:tcPr>
            <w:tcW w:w="351" w:type="pct"/>
            <w:vAlign w:val="center"/>
          </w:tcPr>
          <w:p w14:paraId="7DD263F5"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2032</w:t>
            </w:r>
          </w:p>
        </w:tc>
        <w:tc>
          <w:tcPr>
            <w:tcW w:w="351" w:type="pct"/>
            <w:vAlign w:val="center"/>
          </w:tcPr>
          <w:p w14:paraId="0B51BA59"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2033</w:t>
            </w:r>
          </w:p>
        </w:tc>
        <w:tc>
          <w:tcPr>
            <w:tcW w:w="351" w:type="pct"/>
            <w:vAlign w:val="center"/>
          </w:tcPr>
          <w:p w14:paraId="5966A40C" w14:textId="77777777" w:rsidR="009C5CEA" w:rsidRPr="00B41503" w:rsidRDefault="009C5CEA" w:rsidP="009C5CEA">
            <w:pPr>
              <w:spacing w:before="60" w:after="60"/>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2034</w:t>
            </w:r>
          </w:p>
        </w:tc>
        <w:tc>
          <w:tcPr>
            <w:tcW w:w="364" w:type="pct"/>
            <w:vAlign w:val="center"/>
          </w:tcPr>
          <w:p w14:paraId="51B057A5" w14:textId="77777777" w:rsidR="009C5CEA" w:rsidRPr="00B41503" w:rsidRDefault="009C5CEA" w:rsidP="009C5CEA">
            <w:pPr>
              <w:spacing w:before="60" w:after="60"/>
              <w:jc w:val="center"/>
              <w:rPr>
                <w:noProof/>
                <w:sz w:val="16"/>
                <w:szCs w:val="16"/>
              </w:rPr>
            </w:pPr>
            <w:r w:rsidRPr="00B41503">
              <w:rPr>
                <w:noProof/>
                <w:sz w:val="16"/>
                <w:szCs w:val="16"/>
              </w:rPr>
              <w:t>Total</w:t>
            </w:r>
          </w:p>
        </w:tc>
      </w:tr>
      <w:tr w:rsidR="009C5CEA" w:rsidRPr="00732D9A" w14:paraId="03D7C3EE" w14:textId="77777777" w:rsidTr="005E4441">
        <w:trPr>
          <w:cantSplit/>
        </w:trPr>
        <w:tc>
          <w:tcPr>
            <w:tcW w:w="781" w:type="pct"/>
          </w:tcPr>
          <w:p w14:paraId="494F74F2" w14:textId="5F1FEC01" w:rsidR="009C5CEA" w:rsidRPr="00732D9A" w:rsidRDefault="009C5CEA" w:rsidP="009C5CEA">
            <w:pPr>
              <w:rPr>
                <w:noProof/>
              </w:rPr>
            </w:pPr>
            <w:r w:rsidRPr="00732D9A">
              <w:rPr>
                <w:noProof/>
                <w:sz w:val="20"/>
              </w:rPr>
              <w:t>Préciser l</w:t>
            </w:r>
            <w:r w:rsidR="00980FE6">
              <w:rPr>
                <w:noProof/>
                <w:sz w:val="20"/>
              </w:rPr>
              <w:t>’</w:t>
            </w:r>
            <w:r w:rsidRPr="00732D9A">
              <w:rPr>
                <w:noProof/>
                <w:sz w:val="20"/>
              </w:rPr>
              <w:t>organisme de cofinancement</w:t>
            </w:r>
            <w:r w:rsidRPr="00732D9A">
              <w:rPr>
                <w:i/>
                <w:noProof/>
                <w:sz w:val="20"/>
              </w:rPr>
              <w:t xml:space="preserve"> </w:t>
            </w:r>
          </w:p>
        </w:tc>
        <w:tc>
          <w:tcPr>
            <w:tcW w:w="351" w:type="pct"/>
            <w:vAlign w:val="center"/>
          </w:tcPr>
          <w:p w14:paraId="08465670" w14:textId="77777777" w:rsidR="009C5CEA" w:rsidRPr="00732D9A" w:rsidRDefault="009C5CEA" w:rsidP="009C5CEA">
            <w:pPr>
              <w:spacing w:before="60" w:after="60"/>
              <w:jc w:val="center"/>
              <w:rPr>
                <w:noProof/>
                <w:sz w:val="20"/>
              </w:rPr>
            </w:pPr>
          </w:p>
        </w:tc>
        <w:tc>
          <w:tcPr>
            <w:tcW w:w="351" w:type="pct"/>
            <w:vAlign w:val="center"/>
          </w:tcPr>
          <w:p w14:paraId="0D6EB718" w14:textId="77777777" w:rsidR="009C5CEA" w:rsidRPr="00732D9A" w:rsidRDefault="009C5CEA" w:rsidP="009C5CEA">
            <w:pPr>
              <w:spacing w:before="60" w:after="60"/>
              <w:jc w:val="center"/>
              <w:rPr>
                <w:noProof/>
                <w:sz w:val="20"/>
              </w:rPr>
            </w:pPr>
          </w:p>
        </w:tc>
        <w:tc>
          <w:tcPr>
            <w:tcW w:w="351" w:type="pct"/>
            <w:vAlign w:val="center"/>
          </w:tcPr>
          <w:p w14:paraId="6B72D43B" w14:textId="77777777" w:rsidR="009C5CEA" w:rsidRPr="00732D9A" w:rsidRDefault="009C5CEA" w:rsidP="009C5CEA">
            <w:pPr>
              <w:spacing w:before="60" w:after="60"/>
              <w:jc w:val="center"/>
              <w:rPr>
                <w:noProof/>
                <w:sz w:val="20"/>
              </w:rPr>
            </w:pPr>
          </w:p>
        </w:tc>
        <w:tc>
          <w:tcPr>
            <w:tcW w:w="351" w:type="pct"/>
            <w:vAlign w:val="center"/>
          </w:tcPr>
          <w:p w14:paraId="2F44C456" w14:textId="77777777" w:rsidR="009C5CEA" w:rsidRPr="00732D9A" w:rsidRDefault="009C5CEA" w:rsidP="009C5CEA">
            <w:pPr>
              <w:spacing w:before="60" w:after="60"/>
              <w:jc w:val="center"/>
              <w:rPr>
                <w:noProof/>
                <w:sz w:val="20"/>
              </w:rPr>
            </w:pPr>
          </w:p>
        </w:tc>
        <w:tc>
          <w:tcPr>
            <w:tcW w:w="351" w:type="pct"/>
          </w:tcPr>
          <w:p w14:paraId="7C2CD61B" w14:textId="77777777" w:rsidR="009C5CEA" w:rsidRPr="00732D9A" w:rsidRDefault="009C5CEA" w:rsidP="009C5CEA">
            <w:pPr>
              <w:spacing w:before="60" w:after="60"/>
              <w:jc w:val="center"/>
              <w:rPr>
                <w:noProof/>
                <w:sz w:val="20"/>
              </w:rPr>
            </w:pPr>
          </w:p>
        </w:tc>
        <w:tc>
          <w:tcPr>
            <w:tcW w:w="351" w:type="pct"/>
          </w:tcPr>
          <w:p w14:paraId="5F1EB2DB" w14:textId="77777777" w:rsidR="009C5CEA" w:rsidRPr="00732D9A" w:rsidRDefault="009C5CEA" w:rsidP="009C5CEA">
            <w:pPr>
              <w:spacing w:before="60" w:after="60"/>
              <w:jc w:val="center"/>
              <w:rPr>
                <w:noProof/>
                <w:sz w:val="20"/>
              </w:rPr>
            </w:pPr>
          </w:p>
        </w:tc>
        <w:tc>
          <w:tcPr>
            <w:tcW w:w="351" w:type="pct"/>
          </w:tcPr>
          <w:p w14:paraId="37C06EE0" w14:textId="77777777" w:rsidR="009C5CEA" w:rsidRPr="00732D9A" w:rsidRDefault="009C5CEA" w:rsidP="009C5CEA">
            <w:pPr>
              <w:spacing w:before="60" w:after="60"/>
              <w:jc w:val="center"/>
              <w:rPr>
                <w:noProof/>
                <w:sz w:val="20"/>
              </w:rPr>
            </w:pPr>
          </w:p>
        </w:tc>
        <w:tc>
          <w:tcPr>
            <w:tcW w:w="351" w:type="pct"/>
          </w:tcPr>
          <w:p w14:paraId="6C6A4FC1" w14:textId="77777777" w:rsidR="009C5CEA" w:rsidRPr="00732D9A" w:rsidRDefault="009C5CEA" w:rsidP="009C5CEA">
            <w:pPr>
              <w:spacing w:before="60" w:after="60"/>
              <w:jc w:val="center"/>
              <w:rPr>
                <w:noProof/>
                <w:sz w:val="20"/>
              </w:rPr>
            </w:pPr>
          </w:p>
        </w:tc>
        <w:tc>
          <w:tcPr>
            <w:tcW w:w="351" w:type="pct"/>
          </w:tcPr>
          <w:p w14:paraId="45828AC9" w14:textId="77777777" w:rsidR="009C5CEA" w:rsidRPr="00732D9A" w:rsidRDefault="009C5CEA" w:rsidP="009C5CEA">
            <w:pPr>
              <w:spacing w:before="60" w:after="60"/>
              <w:jc w:val="center"/>
              <w:rPr>
                <w:noProof/>
                <w:sz w:val="20"/>
              </w:rPr>
            </w:pPr>
          </w:p>
        </w:tc>
        <w:tc>
          <w:tcPr>
            <w:tcW w:w="351" w:type="pct"/>
          </w:tcPr>
          <w:p w14:paraId="3C131B9C" w14:textId="77777777" w:rsidR="009C5CEA" w:rsidRPr="00732D9A" w:rsidRDefault="009C5CEA" w:rsidP="009C5CEA">
            <w:pPr>
              <w:spacing w:before="60" w:after="60"/>
              <w:jc w:val="center"/>
              <w:rPr>
                <w:noProof/>
                <w:sz w:val="20"/>
              </w:rPr>
            </w:pPr>
          </w:p>
        </w:tc>
        <w:tc>
          <w:tcPr>
            <w:tcW w:w="351" w:type="pct"/>
          </w:tcPr>
          <w:p w14:paraId="4416FA4D" w14:textId="77777777" w:rsidR="009C5CEA" w:rsidRPr="00732D9A" w:rsidRDefault="009C5CEA" w:rsidP="009C5CEA">
            <w:pPr>
              <w:spacing w:before="60" w:after="60"/>
              <w:jc w:val="center"/>
              <w:rPr>
                <w:noProof/>
                <w:sz w:val="20"/>
              </w:rPr>
            </w:pPr>
          </w:p>
        </w:tc>
        <w:tc>
          <w:tcPr>
            <w:tcW w:w="364" w:type="pct"/>
            <w:vAlign w:val="center"/>
          </w:tcPr>
          <w:p w14:paraId="408D3284" w14:textId="77777777" w:rsidR="009C5CEA" w:rsidRPr="00732D9A" w:rsidRDefault="009C5CEA" w:rsidP="009C5CEA">
            <w:pPr>
              <w:spacing w:before="60" w:after="60"/>
              <w:jc w:val="center"/>
              <w:rPr>
                <w:noProof/>
                <w:sz w:val="20"/>
              </w:rPr>
            </w:pPr>
          </w:p>
        </w:tc>
      </w:tr>
      <w:tr w:rsidR="009C5CEA" w:rsidRPr="00732D9A" w14:paraId="14CBEF00" w14:textId="77777777" w:rsidTr="005E4441">
        <w:trPr>
          <w:cantSplit/>
        </w:trPr>
        <w:tc>
          <w:tcPr>
            <w:tcW w:w="781" w:type="pct"/>
          </w:tcPr>
          <w:p w14:paraId="07842A00" w14:textId="77777777" w:rsidR="009C5CEA" w:rsidRPr="00732D9A" w:rsidRDefault="009C5CEA" w:rsidP="009C5CEA">
            <w:pPr>
              <w:spacing w:before="60" w:after="60"/>
              <w:jc w:val="left"/>
              <w:rPr>
                <w:noProof/>
                <w:sz w:val="20"/>
              </w:rPr>
            </w:pPr>
            <w:r w:rsidRPr="00732D9A">
              <w:rPr>
                <w:noProof/>
                <w:sz w:val="20"/>
              </w:rPr>
              <w:t xml:space="preserve">TOTAL crédits cofinancés </w:t>
            </w:r>
          </w:p>
        </w:tc>
        <w:tc>
          <w:tcPr>
            <w:tcW w:w="351" w:type="pct"/>
            <w:vAlign w:val="center"/>
          </w:tcPr>
          <w:p w14:paraId="744BFFBD" w14:textId="77777777" w:rsidR="009C5CEA" w:rsidRPr="00732D9A" w:rsidRDefault="009C5CEA" w:rsidP="009C5CEA">
            <w:pPr>
              <w:spacing w:before="60" w:after="60"/>
              <w:jc w:val="center"/>
              <w:rPr>
                <w:noProof/>
                <w:sz w:val="20"/>
              </w:rPr>
            </w:pPr>
          </w:p>
        </w:tc>
        <w:tc>
          <w:tcPr>
            <w:tcW w:w="351" w:type="pct"/>
            <w:vAlign w:val="center"/>
          </w:tcPr>
          <w:p w14:paraId="229EE947" w14:textId="77777777" w:rsidR="009C5CEA" w:rsidRPr="00732D9A" w:rsidRDefault="009C5CEA" w:rsidP="009C5CEA">
            <w:pPr>
              <w:spacing w:before="60" w:after="60"/>
              <w:jc w:val="center"/>
              <w:rPr>
                <w:noProof/>
                <w:sz w:val="20"/>
              </w:rPr>
            </w:pPr>
          </w:p>
        </w:tc>
        <w:tc>
          <w:tcPr>
            <w:tcW w:w="351" w:type="pct"/>
            <w:vAlign w:val="center"/>
          </w:tcPr>
          <w:p w14:paraId="456806C2" w14:textId="77777777" w:rsidR="009C5CEA" w:rsidRPr="00732D9A" w:rsidRDefault="009C5CEA" w:rsidP="009C5CEA">
            <w:pPr>
              <w:spacing w:before="60" w:after="60"/>
              <w:jc w:val="center"/>
              <w:rPr>
                <w:noProof/>
                <w:sz w:val="20"/>
              </w:rPr>
            </w:pPr>
          </w:p>
        </w:tc>
        <w:tc>
          <w:tcPr>
            <w:tcW w:w="351" w:type="pct"/>
            <w:vAlign w:val="center"/>
          </w:tcPr>
          <w:p w14:paraId="42D822A2" w14:textId="77777777" w:rsidR="009C5CEA" w:rsidRPr="00732D9A" w:rsidRDefault="009C5CEA" w:rsidP="009C5CEA">
            <w:pPr>
              <w:spacing w:before="60" w:after="60"/>
              <w:jc w:val="center"/>
              <w:rPr>
                <w:noProof/>
                <w:sz w:val="20"/>
              </w:rPr>
            </w:pPr>
          </w:p>
        </w:tc>
        <w:tc>
          <w:tcPr>
            <w:tcW w:w="351" w:type="pct"/>
          </w:tcPr>
          <w:p w14:paraId="78B578BD" w14:textId="77777777" w:rsidR="009C5CEA" w:rsidRPr="00732D9A" w:rsidRDefault="009C5CEA" w:rsidP="009C5CEA">
            <w:pPr>
              <w:spacing w:before="60" w:after="60"/>
              <w:jc w:val="center"/>
              <w:rPr>
                <w:noProof/>
                <w:sz w:val="20"/>
              </w:rPr>
            </w:pPr>
          </w:p>
        </w:tc>
        <w:tc>
          <w:tcPr>
            <w:tcW w:w="351" w:type="pct"/>
          </w:tcPr>
          <w:p w14:paraId="64E5ED55" w14:textId="77777777" w:rsidR="009C5CEA" w:rsidRPr="00732D9A" w:rsidRDefault="009C5CEA" w:rsidP="009C5CEA">
            <w:pPr>
              <w:spacing w:before="60" w:after="60"/>
              <w:jc w:val="center"/>
              <w:rPr>
                <w:noProof/>
                <w:sz w:val="20"/>
              </w:rPr>
            </w:pPr>
          </w:p>
        </w:tc>
        <w:tc>
          <w:tcPr>
            <w:tcW w:w="351" w:type="pct"/>
          </w:tcPr>
          <w:p w14:paraId="63CECDB0" w14:textId="77777777" w:rsidR="009C5CEA" w:rsidRPr="00732D9A" w:rsidRDefault="009C5CEA" w:rsidP="009C5CEA">
            <w:pPr>
              <w:spacing w:before="60" w:after="60"/>
              <w:jc w:val="center"/>
              <w:rPr>
                <w:noProof/>
                <w:sz w:val="20"/>
              </w:rPr>
            </w:pPr>
          </w:p>
        </w:tc>
        <w:tc>
          <w:tcPr>
            <w:tcW w:w="351" w:type="pct"/>
          </w:tcPr>
          <w:p w14:paraId="0FB5C3CA" w14:textId="77777777" w:rsidR="009C5CEA" w:rsidRPr="00732D9A" w:rsidRDefault="009C5CEA" w:rsidP="009C5CEA">
            <w:pPr>
              <w:spacing w:before="60" w:after="60"/>
              <w:jc w:val="center"/>
              <w:rPr>
                <w:noProof/>
                <w:sz w:val="20"/>
              </w:rPr>
            </w:pPr>
          </w:p>
        </w:tc>
        <w:tc>
          <w:tcPr>
            <w:tcW w:w="351" w:type="pct"/>
          </w:tcPr>
          <w:p w14:paraId="4B24D09C" w14:textId="77777777" w:rsidR="009C5CEA" w:rsidRPr="00732D9A" w:rsidRDefault="009C5CEA" w:rsidP="009C5CEA">
            <w:pPr>
              <w:spacing w:before="60" w:after="60"/>
              <w:jc w:val="center"/>
              <w:rPr>
                <w:noProof/>
                <w:sz w:val="20"/>
              </w:rPr>
            </w:pPr>
          </w:p>
        </w:tc>
        <w:tc>
          <w:tcPr>
            <w:tcW w:w="351" w:type="pct"/>
          </w:tcPr>
          <w:p w14:paraId="5E63BB4D" w14:textId="77777777" w:rsidR="009C5CEA" w:rsidRPr="00732D9A" w:rsidRDefault="009C5CEA" w:rsidP="009C5CEA">
            <w:pPr>
              <w:spacing w:before="60" w:after="60"/>
              <w:jc w:val="center"/>
              <w:rPr>
                <w:noProof/>
                <w:sz w:val="20"/>
              </w:rPr>
            </w:pPr>
          </w:p>
        </w:tc>
        <w:tc>
          <w:tcPr>
            <w:tcW w:w="351" w:type="pct"/>
          </w:tcPr>
          <w:p w14:paraId="33154F84" w14:textId="77777777" w:rsidR="009C5CEA" w:rsidRPr="00732D9A" w:rsidRDefault="009C5CEA" w:rsidP="009C5CEA">
            <w:pPr>
              <w:spacing w:before="60" w:after="60"/>
              <w:jc w:val="center"/>
              <w:rPr>
                <w:noProof/>
                <w:sz w:val="20"/>
              </w:rPr>
            </w:pPr>
          </w:p>
        </w:tc>
        <w:tc>
          <w:tcPr>
            <w:tcW w:w="364" w:type="pct"/>
            <w:vAlign w:val="center"/>
          </w:tcPr>
          <w:p w14:paraId="53984CEC" w14:textId="77777777" w:rsidR="009C5CEA" w:rsidRPr="00732D9A" w:rsidRDefault="009C5CEA" w:rsidP="009C5CEA">
            <w:pPr>
              <w:spacing w:before="60" w:after="60"/>
              <w:jc w:val="center"/>
              <w:rPr>
                <w:noProof/>
                <w:sz w:val="20"/>
              </w:rPr>
            </w:pPr>
          </w:p>
        </w:tc>
      </w:tr>
    </w:tbl>
    <w:p w14:paraId="6E9C90BD" w14:textId="77777777" w:rsidR="00CA7C31" w:rsidRPr="00732D9A" w:rsidRDefault="00CA7C31" w:rsidP="00CA7C31">
      <w:pPr>
        <w:outlineLvl w:val="1"/>
        <w:rPr>
          <w:noProof/>
          <w:szCs w:val="24"/>
        </w:rPr>
      </w:pPr>
      <w:r w:rsidRPr="00732D9A">
        <w:rPr>
          <w:noProof/>
        </w:rPr>
        <w:t xml:space="preserve"> </w:t>
      </w:r>
      <w:r w:rsidRPr="00732D9A">
        <w:rPr>
          <w:noProof/>
        </w:rPr>
        <w:cr/>
      </w:r>
      <w:r w:rsidRPr="00732D9A">
        <w:rPr>
          <w:noProof/>
        </w:rPr>
        <w:br/>
      </w:r>
      <w:bookmarkStart w:id="15" w:name="_Hlk166860179"/>
      <w:r w:rsidRPr="00732D9A">
        <w:rPr>
          <w:noProof/>
        </w:rPr>
        <w:t>3.3.</w:t>
      </w:r>
      <w:r w:rsidRPr="00732D9A">
        <w:rPr>
          <w:noProof/>
        </w:rPr>
        <w:tab/>
        <w:t xml:space="preserve">Incidence estimée sur les recettes </w:t>
      </w:r>
    </w:p>
    <w:bookmarkEnd w:id="15"/>
    <w:p w14:paraId="07699647"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La proposition/l’initiative est sans incidence financière sur les recettes.</w:t>
      </w:r>
    </w:p>
    <w:p w14:paraId="78B6DFC1" w14:textId="77777777" w:rsidR="00CA7C31" w:rsidRPr="00732D9A" w:rsidRDefault="00CA7C31" w:rsidP="00CA7C31">
      <w:pPr>
        <w:pStyle w:val="ListDash1"/>
        <w:ind w:left="1134" w:hanging="283"/>
        <w:rPr>
          <w:noProof/>
        </w:rPr>
      </w:pPr>
      <w:r w:rsidRPr="00732D9A">
        <w:rPr>
          <w:rFonts w:ascii="Wingdings" w:hAnsi="Wingdings"/>
          <w:noProof/>
        </w:rPr>
        <w:t></w:t>
      </w:r>
      <w:r w:rsidRPr="00732D9A">
        <w:rPr>
          <w:noProof/>
        </w:rPr>
        <w:tab/>
        <w:t>La proposition/l’initiative a une incidence financière décrite ci-après:</w:t>
      </w:r>
    </w:p>
    <w:p w14:paraId="1AB2F7A3" w14:textId="77777777" w:rsidR="00CA7C31" w:rsidRPr="00732D9A" w:rsidRDefault="00CA7C31" w:rsidP="00CA7C31">
      <w:pPr>
        <w:pStyle w:val="ListNumberLevel3"/>
        <w:tabs>
          <w:tab w:val="num" w:pos="2126"/>
        </w:tabs>
        <w:ind w:left="2126" w:hanging="709"/>
        <w:rPr>
          <w:noProof/>
        </w:rPr>
      </w:pPr>
      <w:r w:rsidRPr="00732D9A">
        <w:rPr>
          <w:rFonts w:ascii="Wingdings" w:hAnsi="Wingdings"/>
          <w:noProof/>
        </w:rPr>
        <w:t></w:t>
      </w:r>
      <w:r w:rsidRPr="00732D9A">
        <w:rPr>
          <w:noProof/>
        </w:rPr>
        <w:tab/>
        <w:t xml:space="preserve">sur les ressources propres </w:t>
      </w:r>
    </w:p>
    <w:p w14:paraId="5ED2D9E4" w14:textId="77777777" w:rsidR="00CA7C31" w:rsidRPr="00732D9A" w:rsidRDefault="00CA7C31" w:rsidP="00CA7C31">
      <w:pPr>
        <w:pStyle w:val="ListNumberLevel3"/>
        <w:tabs>
          <w:tab w:val="num" w:pos="2126"/>
        </w:tabs>
        <w:ind w:left="2126" w:hanging="709"/>
        <w:rPr>
          <w:noProof/>
        </w:rPr>
      </w:pPr>
      <w:r w:rsidRPr="00732D9A">
        <w:rPr>
          <w:rFonts w:ascii="Wingdings" w:hAnsi="Wingdings"/>
          <w:noProof/>
        </w:rPr>
        <w:t></w:t>
      </w:r>
      <w:r w:rsidRPr="00732D9A">
        <w:rPr>
          <w:noProof/>
        </w:rPr>
        <w:tab/>
        <w:t>sur les autres recettes</w:t>
      </w:r>
    </w:p>
    <w:p w14:paraId="59FDEA13" w14:textId="77777777" w:rsidR="00CA7C31" w:rsidRPr="00732D9A" w:rsidRDefault="00CA7C31" w:rsidP="00CA7C31">
      <w:pPr>
        <w:pStyle w:val="ListNumberLevel3"/>
        <w:tabs>
          <w:tab w:val="num" w:pos="2126"/>
        </w:tabs>
        <w:ind w:left="2126" w:hanging="709"/>
        <w:rPr>
          <w:noProof/>
        </w:rPr>
      </w:pPr>
      <w:r w:rsidRPr="00732D9A">
        <w:rPr>
          <w:rFonts w:ascii="Wingdings" w:hAnsi="Wingdings"/>
          <w:noProof/>
        </w:rPr>
        <w:t></w:t>
      </w:r>
      <w:r w:rsidRPr="00732D9A">
        <w:rPr>
          <w:noProof/>
        </w:rPr>
        <w:tab/>
        <w:t>veuillez indiquer si les recettes sont affectées à des lignes de dépenses</w:t>
      </w:r>
    </w:p>
    <w:p w14:paraId="7D09CA78" w14:textId="7D846C0D" w:rsidR="00CA7C31" w:rsidRPr="00732D9A" w:rsidRDefault="00CA7C31" w:rsidP="00CA7C31">
      <w:pPr>
        <w:jc w:val="right"/>
        <w:rPr>
          <w:noProof/>
          <w:sz w:val="20"/>
        </w:rPr>
      </w:pPr>
      <w:r w:rsidRPr="00732D9A">
        <w:rPr>
          <w:noProof/>
          <w:sz w:val="20"/>
        </w:rPr>
        <w:t xml:space="preserve">    En Mio EUR (à la 3</w:t>
      </w:r>
      <w:r w:rsidRPr="00732D9A">
        <w:rPr>
          <w:noProof/>
          <w:sz w:val="20"/>
          <w:vertAlign w:val="superscript"/>
        </w:rPr>
        <w:t>e</w:t>
      </w:r>
      <w:r w:rsidR="00980FE6">
        <w:rPr>
          <w:noProof/>
          <w:sz w:val="20"/>
        </w:rPr>
        <w:t xml:space="preserve"> </w:t>
      </w:r>
      <w:r w:rsidRPr="00732D9A">
        <w:rPr>
          <w:noProof/>
          <w:sz w:val="20"/>
        </w:rPr>
        <w:t>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
        <w:gridCol w:w="958"/>
        <w:gridCol w:w="634"/>
        <w:gridCol w:w="649"/>
        <w:gridCol w:w="649"/>
        <w:gridCol w:w="649"/>
        <w:gridCol w:w="681"/>
        <w:gridCol w:w="681"/>
        <w:gridCol w:w="681"/>
        <w:gridCol w:w="681"/>
        <w:gridCol w:w="681"/>
        <w:gridCol w:w="681"/>
        <w:gridCol w:w="681"/>
      </w:tblGrid>
      <w:tr w:rsidR="00C76B8F" w:rsidRPr="00732D9A" w14:paraId="65F028B1" w14:textId="77777777" w:rsidTr="00B41503">
        <w:trPr>
          <w:trHeight w:val="388"/>
        </w:trPr>
        <w:tc>
          <w:tcPr>
            <w:tcW w:w="933" w:type="dxa"/>
            <w:vAlign w:val="center"/>
          </w:tcPr>
          <w:p w14:paraId="7BA94930" w14:textId="77777777" w:rsidR="00C76B8F" w:rsidRPr="00B41503" w:rsidRDefault="00C76B8F">
            <w:pPr>
              <w:spacing w:before="40" w:after="40"/>
              <w:rPr>
                <w:noProof/>
                <w:sz w:val="16"/>
                <w:szCs w:val="16"/>
              </w:rPr>
            </w:pPr>
            <w:r w:rsidRPr="00B41503">
              <w:rPr>
                <w:noProof/>
                <w:sz w:val="16"/>
                <w:szCs w:val="16"/>
              </w:rPr>
              <w:t>Ligne budgétaire de recettes:</w:t>
            </w:r>
          </w:p>
        </w:tc>
        <w:tc>
          <w:tcPr>
            <w:tcW w:w="1018" w:type="dxa"/>
            <w:vAlign w:val="center"/>
          </w:tcPr>
          <w:p w14:paraId="2869B059" w14:textId="0973DEAA" w:rsidR="00C76B8F" w:rsidRPr="00B41503" w:rsidRDefault="00C76B8F">
            <w:pPr>
              <w:jc w:val="center"/>
              <w:rPr>
                <w:noProof/>
                <w:sz w:val="16"/>
                <w:szCs w:val="16"/>
              </w:rPr>
            </w:pPr>
            <w:r w:rsidRPr="00B41503">
              <w:rPr>
                <w:noProof/>
                <w:sz w:val="16"/>
                <w:szCs w:val="16"/>
              </w:rPr>
              <w:t>Montants inscrits pour l</w:t>
            </w:r>
            <w:r w:rsidR="00980FE6">
              <w:rPr>
                <w:noProof/>
                <w:sz w:val="16"/>
                <w:szCs w:val="16"/>
              </w:rPr>
              <w:t>’</w:t>
            </w:r>
            <w:r w:rsidRPr="00B41503">
              <w:rPr>
                <w:noProof/>
                <w:sz w:val="16"/>
                <w:szCs w:val="16"/>
              </w:rPr>
              <w:t>exercice en cours</w:t>
            </w:r>
          </w:p>
        </w:tc>
        <w:tc>
          <w:tcPr>
            <w:tcW w:w="7336" w:type="dxa"/>
            <w:gridSpan w:val="11"/>
            <w:vAlign w:val="center"/>
          </w:tcPr>
          <w:p w14:paraId="799F0E2F" w14:textId="77777777" w:rsidR="00C76B8F" w:rsidRPr="00732D9A" w:rsidRDefault="00C76B8F">
            <w:pPr>
              <w:jc w:val="center"/>
              <w:rPr>
                <w:noProof/>
                <w:sz w:val="18"/>
                <w:szCs w:val="18"/>
              </w:rPr>
            </w:pPr>
            <w:r w:rsidRPr="00732D9A">
              <w:rPr>
                <w:noProof/>
                <w:sz w:val="18"/>
              </w:rPr>
              <w:t>Incidence de la proposition/de l’initiative</w:t>
            </w:r>
            <w:r w:rsidRPr="00732D9A">
              <w:rPr>
                <w:rStyle w:val="FootnoteReference"/>
                <w:noProof/>
                <w:sz w:val="18"/>
                <w:szCs w:val="18"/>
              </w:rPr>
              <w:footnoteReference w:id="86"/>
            </w:r>
          </w:p>
        </w:tc>
      </w:tr>
      <w:tr w:rsidR="00C76B8F" w:rsidRPr="00732D9A" w14:paraId="07B04C44" w14:textId="77777777" w:rsidTr="00B41503">
        <w:trPr>
          <w:trHeight w:val="388"/>
        </w:trPr>
        <w:tc>
          <w:tcPr>
            <w:tcW w:w="933" w:type="dxa"/>
          </w:tcPr>
          <w:p w14:paraId="495605D0" w14:textId="77777777" w:rsidR="00C76B8F" w:rsidRPr="00732D9A" w:rsidRDefault="00C76B8F" w:rsidP="00C76B8F">
            <w:pPr>
              <w:spacing w:before="40" w:after="40"/>
              <w:rPr>
                <w:noProof/>
                <w:sz w:val="18"/>
              </w:rPr>
            </w:pPr>
          </w:p>
        </w:tc>
        <w:tc>
          <w:tcPr>
            <w:tcW w:w="1018" w:type="dxa"/>
          </w:tcPr>
          <w:p w14:paraId="0429CB8A" w14:textId="77777777" w:rsidR="00C76B8F" w:rsidRPr="00732D9A" w:rsidRDefault="00C76B8F" w:rsidP="00C76B8F">
            <w:pPr>
              <w:spacing w:beforeLines="40" w:before="96" w:afterLines="40" w:after="96"/>
              <w:rPr>
                <w:i/>
                <w:noProof/>
                <w:sz w:val="18"/>
              </w:rPr>
            </w:pPr>
          </w:p>
        </w:tc>
        <w:tc>
          <w:tcPr>
            <w:tcW w:w="423" w:type="dxa"/>
            <w:vAlign w:val="center"/>
          </w:tcPr>
          <w:p w14:paraId="527231D7" w14:textId="77777777" w:rsidR="00C76B8F" w:rsidRPr="00B41503" w:rsidRDefault="00C76B8F" w:rsidP="00C76B8F">
            <w:pPr>
              <w:jc w:val="center"/>
              <w:rPr>
                <w:noProof/>
                <w:sz w:val="16"/>
                <w:szCs w:val="16"/>
              </w:rPr>
            </w:pPr>
            <w:r w:rsidRPr="00B41503">
              <w:rPr>
                <w:noProof/>
                <w:sz w:val="16"/>
                <w:szCs w:val="16"/>
              </w:rPr>
              <w:t xml:space="preserve">Année </w:t>
            </w:r>
            <w:r w:rsidRPr="00B41503">
              <w:rPr>
                <w:b/>
                <w:noProof/>
                <w:sz w:val="16"/>
                <w:szCs w:val="16"/>
              </w:rPr>
              <w:t>2024</w:t>
            </w:r>
          </w:p>
        </w:tc>
        <w:tc>
          <w:tcPr>
            <w:tcW w:w="657" w:type="dxa"/>
            <w:vAlign w:val="center"/>
          </w:tcPr>
          <w:p w14:paraId="01EEF49A" w14:textId="77777777" w:rsidR="00C76B8F" w:rsidRPr="00B41503" w:rsidRDefault="00C76B8F" w:rsidP="00C76B8F">
            <w:pPr>
              <w:jc w:val="center"/>
              <w:rPr>
                <w:noProof/>
                <w:sz w:val="16"/>
                <w:szCs w:val="16"/>
              </w:rPr>
            </w:pPr>
            <w:r w:rsidRPr="00B41503">
              <w:rPr>
                <w:noProof/>
                <w:sz w:val="16"/>
                <w:szCs w:val="16"/>
              </w:rPr>
              <w:t xml:space="preserve">Année </w:t>
            </w:r>
            <w:r w:rsidRPr="00B41503">
              <w:rPr>
                <w:b/>
                <w:noProof/>
                <w:sz w:val="16"/>
                <w:szCs w:val="16"/>
              </w:rPr>
              <w:t>2025</w:t>
            </w:r>
          </w:p>
        </w:tc>
        <w:tc>
          <w:tcPr>
            <w:tcW w:w="657" w:type="dxa"/>
            <w:vAlign w:val="center"/>
          </w:tcPr>
          <w:p w14:paraId="472A7636" w14:textId="77777777" w:rsidR="00C76B8F" w:rsidRPr="00B41503" w:rsidRDefault="00C76B8F" w:rsidP="00C76B8F">
            <w:pPr>
              <w:jc w:val="center"/>
              <w:rPr>
                <w:noProof/>
                <w:sz w:val="16"/>
                <w:szCs w:val="16"/>
              </w:rPr>
            </w:pPr>
            <w:r w:rsidRPr="00B41503">
              <w:rPr>
                <w:noProof/>
                <w:sz w:val="16"/>
                <w:szCs w:val="16"/>
              </w:rPr>
              <w:t xml:space="preserve">Année </w:t>
            </w:r>
            <w:r w:rsidRPr="00B41503">
              <w:rPr>
                <w:b/>
                <w:noProof/>
                <w:sz w:val="16"/>
                <w:szCs w:val="16"/>
              </w:rPr>
              <w:t>2026</w:t>
            </w:r>
          </w:p>
        </w:tc>
        <w:tc>
          <w:tcPr>
            <w:tcW w:w="657" w:type="dxa"/>
            <w:vAlign w:val="center"/>
          </w:tcPr>
          <w:p w14:paraId="4305CD49" w14:textId="77777777" w:rsidR="00C76B8F" w:rsidRPr="00B41503" w:rsidRDefault="00C76B8F" w:rsidP="00C76B8F">
            <w:pPr>
              <w:jc w:val="center"/>
              <w:rPr>
                <w:noProof/>
                <w:sz w:val="16"/>
                <w:szCs w:val="16"/>
              </w:rPr>
            </w:pPr>
            <w:r w:rsidRPr="00B41503">
              <w:rPr>
                <w:noProof/>
                <w:sz w:val="16"/>
                <w:szCs w:val="16"/>
              </w:rPr>
              <w:t xml:space="preserve">Année </w:t>
            </w:r>
            <w:r w:rsidRPr="00B41503">
              <w:rPr>
                <w:b/>
                <w:noProof/>
                <w:sz w:val="16"/>
                <w:szCs w:val="16"/>
              </w:rPr>
              <w:t>2027</w:t>
            </w:r>
          </w:p>
        </w:tc>
        <w:tc>
          <w:tcPr>
            <w:tcW w:w="706" w:type="dxa"/>
            <w:vAlign w:val="center"/>
          </w:tcPr>
          <w:p w14:paraId="50A147EE"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2028</w:t>
            </w:r>
          </w:p>
        </w:tc>
        <w:tc>
          <w:tcPr>
            <w:tcW w:w="706" w:type="dxa"/>
            <w:vAlign w:val="center"/>
          </w:tcPr>
          <w:p w14:paraId="56514A34"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2029</w:t>
            </w:r>
          </w:p>
        </w:tc>
        <w:tc>
          <w:tcPr>
            <w:tcW w:w="706" w:type="dxa"/>
            <w:vAlign w:val="center"/>
          </w:tcPr>
          <w:p w14:paraId="07989771"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2030</w:t>
            </w:r>
          </w:p>
        </w:tc>
        <w:tc>
          <w:tcPr>
            <w:tcW w:w="706" w:type="dxa"/>
            <w:vAlign w:val="center"/>
          </w:tcPr>
          <w:p w14:paraId="03F688C5"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2031</w:t>
            </w:r>
          </w:p>
        </w:tc>
        <w:tc>
          <w:tcPr>
            <w:tcW w:w="706" w:type="dxa"/>
            <w:vAlign w:val="center"/>
          </w:tcPr>
          <w:p w14:paraId="23E9A251"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2032</w:t>
            </w:r>
          </w:p>
        </w:tc>
        <w:tc>
          <w:tcPr>
            <w:tcW w:w="706" w:type="dxa"/>
            <w:vAlign w:val="center"/>
          </w:tcPr>
          <w:p w14:paraId="5504D278"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2033</w:t>
            </w:r>
          </w:p>
        </w:tc>
        <w:tc>
          <w:tcPr>
            <w:tcW w:w="706" w:type="dxa"/>
            <w:vAlign w:val="center"/>
          </w:tcPr>
          <w:p w14:paraId="350B25A7" w14:textId="77777777" w:rsidR="00C76B8F" w:rsidRPr="00B41503" w:rsidRDefault="00C76B8F" w:rsidP="00C76B8F">
            <w:pPr>
              <w:jc w:val="center"/>
              <w:rPr>
                <w:noProof/>
                <w:sz w:val="16"/>
                <w:szCs w:val="16"/>
              </w:rPr>
            </w:pPr>
            <w:r w:rsidRPr="00B41503">
              <w:rPr>
                <w:noProof/>
                <w:sz w:val="16"/>
                <w:szCs w:val="16"/>
              </w:rPr>
              <w:t xml:space="preserve">Année </w:t>
            </w:r>
            <w:r w:rsidRPr="00B41503">
              <w:rPr>
                <w:noProof/>
                <w:sz w:val="16"/>
                <w:szCs w:val="16"/>
              </w:rPr>
              <w:cr/>
            </w:r>
            <w:r w:rsidRPr="00B41503">
              <w:rPr>
                <w:noProof/>
                <w:sz w:val="16"/>
                <w:szCs w:val="16"/>
              </w:rPr>
              <w:br/>
            </w:r>
            <w:r w:rsidRPr="00B41503">
              <w:rPr>
                <w:b/>
                <w:noProof/>
                <w:sz w:val="16"/>
                <w:szCs w:val="16"/>
              </w:rPr>
              <w:t>2034</w:t>
            </w:r>
          </w:p>
        </w:tc>
      </w:tr>
      <w:tr w:rsidR="00C76B8F" w:rsidRPr="00732D9A" w14:paraId="03A47EC5" w14:textId="77777777" w:rsidTr="00B41503">
        <w:trPr>
          <w:trHeight w:val="388"/>
        </w:trPr>
        <w:tc>
          <w:tcPr>
            <w:tcW w:w="933" w:type="dxa"/>
            <w:vAlign w:val="center"/>
          </w:tcPr>
          <w:p w14:paraId="116A82F4" w14:textId="77777777" w:rsidR="00C76B8F" w:rsidRPr="00732D9A" w:rsidRDefault="00C76B8F" w:rsidP="00C76B8F">
            <w:pPr>
              <w:spacing w:before="40" w:after="40"/>
              <w:rPr>
                <w:noProof/>
                <w:sz w:val="18"/>
              </w:rPr>
            </w:pPr>
            <w:r w:rsidRPr="00732D9A">
              <w:rPr>
                <w:noProof/>
                <w:sz w:val="18"/>
              </w:rPr>
              <w:t>Article ………….</w:t>
            </w:r>
          </w:p>
        </w:tc>
        <w:tc>
          <w:tcPr>
            <w:tcW w:w="1018" w:type="dxa"/>
          </w:tcPr>
          <w:p w14:paraId="3E2E9199" w14:textId="77777777" w:rsidR="00C76B8F" w:rsidRPr="00732D9A" w:rsidRDefault="00C76B8F" w:rsidP="00C76B8F">
            <w:pPr>
              <w:spacing w:beforeLines="40" w:before="96" w:afterLines="40" w:after="96"/>
              <w:jc w:val="center"/>
              <w:rPr>
                <w:i/>
                <w:noProof/>
                <w:sz w:val="18"/>
              </w:rPr>
            </w:pPr>
          </w:p>
        </w:tc>
        <w:tc>
          <w:tcPr>
            <w:tcW w:w="423" w:type="dxa"/>
          </w:tcPr>
          <w:p w14:paraId="1B9474F3" w14:textId="77777777" w:rsidR="00C76B8F" w:rsidRPr="00732D9A" w:rsidRDefault="00C76B8F" w:rsidP="00C76B8F">
            <w:pPr>
              <w:spacing w:beforeLines="40" w:before="96" w:afterLines="40" w:after="96"/>
              <w:jc w:val="center"/>
              <w:rPr>
                <w:noProof/>
                <w:sz w:val="18"/>
              </w:rPr>
            </w:pPr>
          </w:p>
        </w:tc>
        <w:tc>
          <w:tcPr>
            <w:tcW w:w="657" w:type="dxa"/>
          </w:tcPr>
          <w:p w14:paraId="29574401" w14:textId="77777777" w:rsidR="00C76B8F" w:rsidRPr="00732D9A" w:rsidRDefault="00C76B8F" w:rsidP="00C76B8F">
            <w:pPr>
              <w:spacing w:beforeLines="40" w:before="96" w:afterLines="40" w:after="96"/>
              <w:jc w:val="center"/>
              <w:rPr>
                <w:noProof/>
                <w:sz w:val="18"/>
              </w:rPr>
            </w:pPr>
          </w:p>
        </w:tc>
        <w:tc>
          <w:tcPr>
            <w:tcW w:w="657" w:type="dxa"/>
          </w:tcPr>
          <w:p w14:paraId="13D896E9" w14:textId="77777777" w:rsidR="00C76B8F" w:rsidRPr="00732D9A" w:rsidRDefault="00C76B8F" w:rsidP="00C76B8F">
            <w:pPr>
              <w:spacing w:beforeLines="40" w:before="96" w:afterLines="40" w:after="96"/>
              <w:jc w:val="center"/>
              <w:rPr>
                <w:noProof/>
                <w:sz w:val="18"/>
              </w:rPr>
            </w:pPr>
          </w:p>
        </w:tc>
        <w:tc>
          <w:tcPr>
            <w:tcW w:w="657" w:type="dxa"/>
          </w:tcPr>
          <w:p w14:paraId="77221320" w14:textId="77777777" w:rsidR="00C76B8F" w:rsidRPr="00732D9A" w:rsidRDefault="00C76B8F" w:rsidP="00C76B8F">
            <w:pPr>
              <w:spacing w:beforeLines="40" w:before="96" w:afterLines="40" w:after="96"/>
              <w:jc w:val="center"/>
              <w:rPr>
                <w:noProof/>
                <w:sz w:val="18"/>
              </w:rPr>
            </w:pPr>
          </w:p>
        </w:tc>
        <w:tc>
          <w:tcPr>
            <w:tcW w:w="706" w:type="dxa"/>
          </w:tcPr>
          <w:p w14:paraId="7144B273" w14:textId="77777777" w:rsidR="00C76B8F" w:rsidRPr="00732D9A" w:rsidRDefault="00C76B8F" w:rsidP="00C76B8F">
            <w:pPr>
              <w:spacing w:beforeLines="40" w:before="96" w:afterLines="40" w:after="96"/>
              <w:jc w:val="center"/>
              <w:rPr>
                <w:noProof/>
                <w:sz w:val="18"/>
              </w:rPr>
            </w:pPr>
          </w:p>
        </w:tc>
        <w:tc>
          <w:tcPr>
            <w:tcW w:w="706" w:type="dxa"/>
          </w:tcPr>
          <w:p w14:paraId="737EE17B" w14:textId="77777777" w:rsidR="00C76B8F" w:rsidRPr="00732D9A" w:rsidRDefault="00C76B8F" w:rsidP="00C76B8F">
            <w:pPr>
              <w:spacing w:beforeLines="40" w:before="96" w:afterLines="40" w:after="96"/>
              <w:jc w:val="center"/>
              <w:rPr>
                <w:noProof/>
                <w:sz w:val="18"/>
              </w:rPr>
            </w:pPr>
          </w:p>
        </w:tc>
        <w:tc>
          <w:tcPr>
            <w:tcW w:w="706" w:type="dxa"/>
          </w:tcPr>
          <w:p w14:paraId="659D27B0" w14:textId="77777777" w:rsidR="00C76B8F" w:rsidRPr="00732D9A" w:rsidRDefault="00C76B8F" w:rsidP="00C76B8F">
            <w:pPr>
              <w:spacing w:beforeLines="40" w:before="96" w:afterLines="40" w:after="96"/>
              <w:jc w:val="center"/>
              <w:rPr>
                <w:noProof/>
                <w:sz w:val="18"/>
              </w:rPr>
            </w:pPr>
          </w:p>
        </w:tc>
        <w:tc>
          <w:tcPr>
            <w:tcW w:w="706" w:type="dxa"/>
          </w:tcPr>
          <w:p w14:paraId="59087C74" w14:textId="77777777" w:rsidR="00C76B8F" w:rsidRPr="00732D9A" w:rsidRDefault="00C76B8F" w:rsidP="00C76B8F">
            <w:pPr>
              <w:spacing w:beforeLines="40" w:before="96" w:afterLines="40" w:after="96"/>
              <w:jc w:val="center"/>
              <w:rPr>
                <w:noProof/>
                <w:sz w:val="18"/>
              </w:rPr>
            </w:pPr>
          </w:p>
        </w:tc>
        <w:tc>
          <w:tcPr>
            <w:tcW w:w="706" w:type="dxa"/>
          </w:tcPr>
          <w:p w14:paraId="359B4F19" w14:textId="77777777" w:rsidR="00C76B8F" w:rsidRPr="00732D9A" w:rsidRDefault="00C76B8F" w:rsidP="00C76B8F">
            <w:pPr>
              <w:spacing w:beforeLines="40" w:before="96" w:afterLines="40" w:after="96"/>
              <w:jc w:val="center"/>
              <w:rPr>
                <w:noProof/>
                <w:sz w:val="18"/>
              </w:rPr>
            </w:pPr>
          </w:p>
        </w:tc>
        <w:tc>
          <w:tcPr>
            <w:tcW w:w="706" w:type="dxa"/>
          </w:tcPr>
          <w:p w14:paraId="22364D92" w14:textId="77777777" w:rsidR="00C76B8F" w:rsidRPr="00732D9A" w:rsidRDefault="00C76B8F" w:rsidP="00C76B8F">
            <w:pPr>
              <w:spacing w:beforeLines="40" w:before="96" w:afterLines="40" w:after="96"/>
              <w:jc w:val="center"/>
              <w:rPr>
                <w:noProof/>
                <w:sz w:val="18"/>
              </w:rPr>
            </w:pPr>
          </w:p>
        </w:tc>
        <w:tc>
          <w:tcPr>
            <w:tcW w:w="706" w:type="dxa"/>
          </w:tcPr>
          <w:p w14:paraId="184AAB90" w14:textId="77777777" w:rsidR="00C76B8F" w:rsidRPr="00732D9A" w:rsidRDefault="00C76B8F" w:rsidP="00C76B8F">
            <w:pPr>
              <w:spacing w:beforeLines="40" w:before="96" w:afterLines="40" w:after="96"/>
              <w:jc w:val="center"/>
              <w:rPr>
                <w:noProof/>
                <w:sz w:val="18"/>
              </w:rPr>
            </w:pPr>
          </w:p>
        </w:tc>
      </w:tr>
    </w:tbl>
    <w:p w14:paraId="589FFBAB" w14:textId="77777777" w:rsidR="00CA7C31" w:rsidRPr="00732D9A" w:rsidRDefault="00CA7C31" w:rsidP="00CA7C31">
      <w:pPr>
        <w:pStyle w:val="ManualHeading1"/>
        <w:rPr>
          <w:caps/>
          <w:noProof/>
        </w:rPr>
      </w:pPr>
      <w:r w:rsidRPr="00732D9A">
        <w:rPr>
          <w:noProof/>
        </w:rPr>
        <w:t>4.</w:t>
      </w:r>
      <w:r w:rsidRPr="00732D9A">
        <w:rPr>
          <w:noProof/>
        </w:rPr>
        <w:tab/>
      </w:r>
      <w:bookmarkStart w:id="16" w:name="_Hlk167692977"/>
      <w:r w:rsidRPr="00732D9A">
        <w:rPr>
          <w:caps/>
          <w:noProof/>
        </w:rPr>
        <w:t>Dimensions numériques</w:t>
      </w:r>
    </w:p>
    <w:p w14:paraId="0C86C07E" w14:textId="77777777" w:rsidR="00CA7C31" w:rsidRPr="00732D9A" w:rsidRDefault="00CA7C31" w:rsidP="00CA7C31">
      <w:pPr>
        <w:pStyle w:val="ManualHeading2"/>
        <w:rPr>
          <w:noProof/>
        </w:rPr>
      </w:pPr>
      <w:r w:rsidRPr="00732D9A">
        <w:rPr>
          <w:noProof/>
        </w:rPr>
        <w:t>4.1.</w:t>
      </w:r>
      <w:r w:rsidRPr="00732D9A">
        <w:rPr>
          <w:noProof/>
        </w:rPr>
        <w:tab/>
        <w:t>Exigences pertinentes en matière numérique</w:t>
      </w:r>
    </w:p>
    <w:p w14:paraId="28934E6F" w14:textId="77777777" w:rsidR="00CA7C31" w:rsidRPr="00732D9A" w:rsidRDefault="00CA7C31" w:rsidP="00CA7C31">
      <w:pPr>
        <w:rPr>
          <w:noProof/>
        </w:rPr>
      </w:pPr>
      <w:r w:rsidRPr="00732D9A">
        <w:rPr>
          <w:noProof/>
        </w:rPr>
        <w:t>Si l’initiative est considérée comme ne comportant pas d’exigences pertinentes en matière numérique:</w:t>
      </w:r>
    </w:p>
    <w:p w14:paraId="3634B5B1" w14:textId="77777777" w:rsidR="00CA7C31" w:rsidRPr="00732D9A" w:rsidRDefault="00CA7C31" w:rsidP="00CA7C31">
      <w:pPr>
        <w:rPr>
          <w:noProof/>
        </w:rPr>
      </w:pPr>
      <w:r w:rsidRPr="00732D9A">
        <w:rPr>
          <w:noProof/>
        </w:rPr>
        <w:t>Justification des raisons pour lesquelles les moyens numériques ne peuvent pas être utilisés pour améliorer la mise en œuvre des politiques et pourquoi le principe du «numérique par défaut» n’est pas applicable.</w:t>
      </w:r>
    </w:p>
    <w:tbl>
      <w:tblPr>
        <w:tblStyle w:val="TableGrid"/>
        <w:tblW w:w="5000" w:type="pct"/>
        <w:tblLook w:val="04A0" w:firstRow="1" w:lastRow="0" w:firstColumn="1" w:lastColumn="0" w:noHBand="0" w:noVBand="1"/>
      </w:tblPr>
      <w:tblGrid>
        <w:gridCol w:w="9287"/>
      </w:tblGrid>
      <w:tr w:rsidR="00CA7C31" w:rsidRPr="00732D9A" w14:paraId="53476366" w14:textId="77777777">
        <w:tc>
          <w:tcPr>
            <w:tcW w:w="5000" w:type="pct"/>
          </w:tcPr>
          <w:p w14:paraId="1F2B1813" w14:textId="77777777" w:rsidR="00CA7C31" w:rsidRPr="00732D9A" w:rsidRDefault="00CA7C31">
            <w:pPr>
              <w:rPr>
                <w:noProof/>
              </w:rPr>
            </w:pPr>
            <w:r w:rsidRPr="00732D9A">
              <w:rPr>
                <w:noProof/>
              </w:rPr>
              <w:t>s.o.</w:t>
            </w:r>
          </w:p>
        </w:tc>
      </w:tr>
    </w:tbl>
    <w:p w14:paraId="74BD195E" w14:textId="77777777" w:rsidR="00CA7C31" w:rsidRPr="00732D9A" w:rsidRDefault="00CA7C31" w:rsidP="00CA7C31">
      <w:pPr>
        <w:rPr>
          <w:noProof/>
        </w:rPr>
      </w:pPr>
      <w:r w:rsidRPr="00732D9A">
        <w:rPr>
          <w:noProof/>
        </w:rPr>
        <w:t>Dans le cas contraire:</w:t>
      </w:r>
    </w:p>
    <w:p w14:paraId="158318C5" w14:textId="77777777" w:rsidR="00CA7C31" w:rsidRPr="00732D9A" w:rsidRDefault="00CA7C31" w:rsidP="00CA7C31">
      <w:pPr>
        <w:rPr>
          <w:rFonts w:eastAsia="Times New Roman"/>
          <w:i/>
          <w:noProof/>
        </w:rPr>
      </w:pPr>
      <w:r w:rsidRPr="00732D9A">
        <w:rPr>
          <w:i/>
          <w:noProof/>
        </w:rPr>
        <w:t xml:space="preserve">Description générale des exigences pertinentes en matière numérique et des catégories correspondantes (données, numérisation et automatisation des processus, solutions numériques et/ou services publics numériques)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076"/>
        <w:gridCol w:w="4187"/>
        <w:gridCol w:w="1296"/>
        <w:gridCol w:w="1334"/>
        <w:gridCol w:w="1198"/>
      </w:tblGrid>
      <w:tr w:rsidR="00CA7C31" w:rsidRPr="00732D9A" w14:paraId="22E980A3" w14:textId="77777777" w:rsidTr="00380FE3">
        <w:tc>
          <w:tcPr>
            <w:tcW w:w="598" w:type="pct"/>
            <w:vAlign w:val="center"/>
            <w:hideMark/>
          </w:tcPr>
          <w:p w14:paraId="615A0D83" w14:textId="77777777" w:rsidR="00CA7C31" w:rsidRPr="00732D9A" w:rsidRDefault="00CA7C31">
            <w:pPr>
              <w:rPr>
                <w:noProof/>
                <w:sz w:val="20"/>
                <w:szCs w:val="20"/>
              </w:rPr>
            </w:pPr>
            <w:r w:rsidRPr="00732D9A">
              <w:rPr>
                <w:b/>
                <w:noProof/>
                <w:sz w:val="20"/>
              </w:rPr>
              <w:t>Référence à l’exigence</w:t>
            </w:r>
          </w:p>
        </w:tc>
        <w:tc>
          <w:tcPr>
            <w:tcW w:w="2309" w:type="pct"/>
            <w:vAlign w:val="center"/>
            <w:hideMark/>
          </w:tcPr>
          <w:p w14:paraId="56C55386" w14:textId="77777777" w:rsidR="00CA7C31" w:rsidRPr="00732D9A" w:rsidRDefault="00CA7C31">
            <w:pPr>
              <w:rPr>
                <w:noProof/>
                <w:sz w:val="20"/>
                <w:szCs w:val="20"/>
              </w:rPr>
            </w:pPr>
            <w:r w:rsidRPr="00732D9A">
              <w:rPr>
                <w:b/>
                <w:noProof/>
                <w:sz w:val="20"/>
              </w:rPr>
              <w:t>Description de l’exigence</w:t>
            </w:r>
          </w:p>
        </w:tc>
        <w:tc>
          <w:tcPr>
            <w:tcW w:w="719" w:type="pct"/>
            <w:vAlign w:val="center"/>
            <w:hideMark/>
          </w:tcPr>
          <w:p w14:paraId="6B221BF6" w14:textId="77777777" w:rsidR="00CA7C31" w:rsidRPr="00732D9A" w:rsidRDefault="00CA7C31">
            <w:pPr>
              <w:rPr>
                <w:noProof/>
                <w:sz w:val="20"/>
                <w:szCs w:val="20"/>
              </w:rPr>
            </w:pPr>
            <w:r w:rsidRPr="00732D9A">
              <w:rPr>
                <w:b/>
                <w:noProof/>
                <w:sz w:val="20"/>
              </w:rPr>
              <w:t>Acteur(s) visé(s) ou concerné(s) par l’exigence</w:t>
            </w:r>
          </w:p>
        </w:tc>
        <w:tc>
          <w:tcPr>
            <w:tcW w:w="740" w:type="pct"/>
            <w:vAlign w:val="center"/>
            <w:hideMark/>
          </w:tcPr>
          <w:p w14:paraId="169795DE" w14:textId="77777777" w:rsidR="00CA7C31" w:rsidRPr="00732D9A" w:rsidRDefault="00CA7C31">
            <w:pPr>
              <w:rPr>
                <w:noProof/>
                <w:sz w:val="20"/>
                <w:szCs w:val="20"/>
              </w:rPr>
            </w:pPr>
            <w:r w:rsidRPr="00732D9A">
              <w:rPr>
                <w:b/>
                <w:noProof/>
                <w:sz w:val="20"/>
              </w:rPr>
              <w:t>Processus généraux</w:t>
            </w:r>
          </w:p>
        </w:tc>
        <w:tc>
          <w:tcPr>
            <w:tcW w:w="633" w:type="pct"/>
            <w:vAlign w:val="center"/>
            <w:hideMark/>
          </w:tcPr>
          <w:p w14:paraId="505D35E5" w14:textId="77777777" w:rsidR="00CA7C31" w:rsidRPr="00732D9A" w:rsidRDefault="00CA7C31">
            <w:pPr>
              <w:rPr>
                <w:noProof/>
                <w:sz w:val="20"/>
                <w:szCs w:val="20"/>
              </w:rPr>
            </w:pPr>
            <w:r w:rsidRPr="00732D9A">
              <w:rPr>
                <w:b/>
                <w:noProof/>
                <w:sz w:val="20"/>
              </w:rPr>
              <w:t>Catégories</w:t>
            </w:r>
          </w:p>
        </w:tc>
      </w:tr>
      <w:tr w:rsidR="00CA7C31" w:rsidRPr="00732D9A" w14:paraId="1F7AA568" w14:textId="77777777" w:rsidTr="00380FE3">
        <w:tc>
          <w:tcPr>
            <w:tcW w:w="598" w:type="pct"/>
            <w:vAlign w:val="center"/>
            <w:hideMark/>
          </w:tcPr>
          <w:p w14:paraId="72F8BD03" w14:textId="77777777" w:rsidR="00CA7C31" w:rsidRPr="00732D9A" w:rsidRDefault="00CA7C31">
            <w:pPr>
              <w:rPr>
                <w:noProof/>
                <w:sz w:val="20"/>
                <w:szCs w:val="20"/>
              </w:rPr>
            </w:pPr>
            <w:r w:rsidRPr="00732D9A">
              <w:rPr>
                <w:noProof/>
                <w:sz w:val="20"/>
              </w:rPr>
              <w:t>Article 4</w:t>
            </w:r>
          </w:p>
        </w:tc>
        <w:tc>
          <w:tcPr>
            <w:tcW w:w="2309" w:type="pct"/>
            <w:vAlign w:val="center"/>
            <w:hideMark/>
          </w:tcPr>
          <w:p w14:paraId="4B780716" w14:textId="77777777" w:rsidR="00CA7C31" w:rsidRPr="00732D9A" w:rsidRDefault="00132DC5">
            <w:pPr>
              <w:rPr>
                <w:noProof/>
                <w:sz w:val="20"/>
                <w:szCs w:val="20"/>
              </w:rPr>
            </w:pPr>
            <w:r w:rsidRPr="00732D9A">
              <w:rPr>
                <w:noProof/>
                <w:sz w:val="20"/>
              </w:rPr>
              <w:t>Mise à disposition d’un point d’accès unique au niveau national reliant toutes les autorités publiques compétentes, afin de veiller à ce que les procédures d’octroi de permis pour la fabrication industrielle soient menées à bien par des moyens entièrement numériques.</w:t>
            </w:r>
          </w:p>
        </w:tc>
        <w:tc>
          <w:tcPr>
            <w:tcW w:w="719" w:type="pct"/>
            <w:vAlign w:val="center"/>
            <w:hideMark/>
          </w:tcPr>
          <w:p w14:paraId="56B4BF84" w14:textId="77777777" w:rsidR="00CA7C31" w:rsidRPr="00732D9A" w:rsidRDefault="00CA7C31">
            <w:pPr>
              <w:rPr>
                <w:noProof/>
                <w:sz w:val="20"/>
                <w:szCs w:val="20"/>
              </w:rPr>
            </w:pPr>
            <w:r w:rsidRPr="00732D9A">
              <w:rPr>
                <w:noProof/>
                <w:sz w:val="20"/>
              </w:rPr>
              <w:t>États membres</w:t>
            </w:r>
          </w:p>
          <w:p w14:paraId="6F2413B3" w14:textId="77777777" w:rsidR="00132DC5" w:rsidRPr="00732D9A" w:rsidRDefault="00132DC5">
            <w:pPr>
              <w:rPr>
                <w:noProof/>
                <w:sz w:val="20"/>
                <w:szCs w:val="20"/>
              </w:rPr>
            </w:pPr>
            <w:r w:rsidRPr="00732D9A">
              <w:rPr>
                <w:noProof/>
                <w:sz w:val="20"/>
              </w:rPr>
              <w:t>Autorités nationales compétentes</w:t>
            </w:r>
          </w:p>
          <w:p w14:paraId="5614B7AE" w14:textId="77777777" w:rsidR="00CA7C31" w:rsidRPr="00732D9A" w:rsidRDefault="00CA7C31">
            <w:pPr>
              <w:rPr>
                <w:noProof/>
                <w:sz w:val="20"/>
                <w:szCs w:val="20"/>
              </w:rPr>
            </w:pPr>
            <w:r w:rsidRPr="00732D9A">
              <w:rPr>
                <w:noProof/>
                <w:sz w:val="20"/>
              </w:rPr>
              <w:t xml:space="preserve">Opérateurs économiques </w:t>
            </w:r>
          </w:p>
        </w:tc>
        <w:tc>
          <w:tcPr>
            <w:tcW w:w="740" w:type="pct"/>
            <w:vAlign w:val="center"/>
            <w:hideMark/>
          </w:tcPr>
          <w:p w14:paraId="73D77F93" w14:textId="77777777" w:rsidR="00CA7C31" w:rsidRPr="00732D9A" w:rsidRDefault="00CA7C31">
            <w:pPr>
              <w:rPr>
                <w:noProof/>
                <w:sz w:val="20"/>
                <w:szCs w:val="20"/>
              </w:rPr>
            </w:pPr>
            <w:r w:rsidRPr="00732D9A">
              <w:rPr>
                <w:noProof/>
                <w:sz w:val="20"/>
              </w:rPr>
              <w:t xml:space="preserve">Octroi de permis </w:t>
            </w:r>
          </w:p>
        </w:tc>
        <w:tc>
          <w:tcPr>
            <w:tcW w:w="633" w:type="pct"/>
            <w:vAlign w:val="center"/>
            <w:hideMark/>
          </w:tcPr>
          <w:p w14:paraId="2D4623CA" w14:textId="77777777" w:rsidR="00675332" w:rsidRPr="00732D9A" w:rsidRDefault="00675332">
            <w:pPr>
              <w:rPr>
                <w:noProof/>
                <w:sz w:val="20"/>
                <w:szCs w:val="20"/>
              </w:rPr>
            </w:pPr>
            <w:r w:rsidRPr="00732D9A">
              <w:rPr>
                <w:noProof/>
                <w:sz w:val="20"/>
              </w:rPr>
              <w:t>Données</w:t>
            </w:r>
          </w:p>
          <w:p w14:paraId="76D7B9BF" w14:textId="77777777" w:rsidR="00CA7C31" w:rsidRPr="00732D9A" w:rsidRDefault="00CA7C31">
            <w:pPr>
              <w:rPr>
                <w:noProof/>
                <w:sz w:val="20"/>
                <w:szCs w:val="20"/>
              </w:rPr>
            </w:pPr>
            <w:r w:rsidRPr="00732D9A">
              <w:rPr>
                <w:noProof/>
                <w:sz w:val="20"/>
              </w:rPr>
              <w:t>Solution numérique</w:t>
            </w:r>
          </w:p>
          <w:p w14:paraId="4CFDCB86" w14:textId="77777777" w:rsidR="00CA7C31" w:rsidRPr="00732D9A" w:rsidRDefault="00CA7C31">
            <w:pPr>
              <w:rPr>
                <w:noProof/>
                <w:sz w:val="20"/>
                <w:szCs w:val="20"/>
              </w:rPr>
            </w:pPr>
            <w:r w:rsidRPr="00732D9A">
              <w:rPr>
                <w:noProof/>
                <w:sz w:val="20"/>
              </w:rPr>
              <w:t>Service public numérique</w:t>
            </w:r>
          </w:p>
          <w:p w14:paraId="3F75A653" w14:textId="77777777" w:rsidR="00CA7C31" w:rsidRPr="00732D9A" w:rsidRDefault="00CA7C31">
            <w:pPr>
              <w:rPr>
                <w:noProof/>
                <w:sz w:val="20"/>
                <w:szCs w:val="20"/>
              </w:rPr>
            </w:pPr>
            <w:r w:rsidRPr="00732D9A">
              <w:rPr>
                <w:noProof/>
                <w:sz w:val="20"/>
              </w:rPr>
              <w:t>Numérisation et automatisation des processus</w:t>
            </w:r>
          </w:p>
        </w:tc>
      </w:tr>
      <w:tr w:rsidR="00AB2A00" w:rsidRPr="00732D9A" w14:paraId="4CA558FA" w14:textId="77777777" w:rsidTr="00380FE3">
        <w:tc>
          <w:tcPr>
            <w:tcW w:w="598" w:type="pct"/>
            <w:vAlign w:val="center"/>
          </w:tcPr>
          <w:p w14:paraId="3F2845CC" w14:textId="77777777" w:rsidR="00AB2A00" w:rsidRPr="00732D9A" w:rsidRDefault="00380FE3">
            <w:pPr>
              <w:rPr>
                <w:noProof/>
                <w:sz w:val="20"/>
                <w:szCs w:val="20"/>
              </w:rPr>
            </w:pPr>
            <w:r w:rsidRPr="00732D9A">
              <w:rPr>
                <w:noProof/>
                <w:sz w:val="20"/>
              </w:rPr>
              <w:t>Article 5</w:t>
            </w:r>
          </w:p>
        </w:tc>
        <w:tc>
          <w:tcPr>
            <w:tcW w:w="2309" w:type="pct"/>
            <w:vAlign w:val="center"/>
          </w:tcPr>
          <w:p w14:paraId="070A73BC" w14:textId="77777777" w:rsidR="00AB2A00" w:rsidRPr="00732D9A" w:rsidRDefault="00380FE3">
            <w:pPr>
              <w:rPr>
                <w:noProof/>
                <w:sz w:val="20"/>
                <w:szCs w:val="20"/>
              </w:rPr>
            </w:pPr>
            <w:r w:rsidRPr="00732D9A">
              <w:rPr>
                <w:noProof/>
                <w:sz w:val="20"/>
              </w:rPr>
              <w:t>Orchestration des procédures nationales d’octroi de permis afin de permettre la mise en place d’un guichet unique pour l’autorisation des projets de fabrication industrielle.</w:t>
            </w:r>
          </w:p>
        </w:tc>
        <w:tc>
          <w:tcPr>
            <w:tcW w:w="719" w:type="pct"/>
            <w:vAlign w:val="center"/>
          </w:tcPr>
          <w:p w14:paraId="3706B7DB" w14:textId="77777777" w:rsidR="00380FE3" w:rsidRPr="00732D9A" w:rsidRDefault="00380FE3" w:rsidP="00380FE3">
            <w:pPr>
              <w:rPr>
                <w:noProof/>
                <w:sz w:val="20"/>
                <w:szCs w:val="20"/>
              </w:rPr>
            </w:pPr>
            <w:r w:rsidRPr="00732D9A">
              <w:rPr>
                <w:noProof/>
                <w:sz w:val="20"/>
              </w:rPr>
              <w:t>États membres</w:t>
            </w:r>
          </w:p>
          <w:p w14:paraId="17C82E1E" w14:textId="77777777" w:rsidR="00AB2A00" w:rsidRPr="00732D9A" w:rsidRDefault="00380FE3">
            <w:pPr>
              <w:rPr>
                <w:noProof/>
                <w:sz w:val="20"/>
                <w:szCs w:val="20"/>
              </w:rPr>
            </w:pPr>
            <w:r w:rsidRPr="00732D9A">
              <w:rPr>
                <w:noProof/>
                <w:sz w:val="20"/>
              </w:rPr>
              <w:t>Autorités nationales compétentes</w:t>
            </w:r>
          </w:p>
        </w:tc>
        <w:tc>
          <w:tcPr>
            <w:tcW w:w="740" w:type="pct"/>
            <w:vAlign w:val="center"/>
          </w:tcPr>
          <w:p w14:paraId="759DFB67" w14:textId="77777777" w:rsidR="00AB2A00" w:rsidRPr="00732D9A" w:rsidRDefault="00380FE3">
            <w:pPr>
              <w:rPr>
                <w:noProof/>
                <w:sz w:val="20"/>
                <w:szCs w:val="20"/>
              </w:rPr>
            </w:pPr>
            <w:r w:rsidRPr="00732D9A">
              <w:rPr>
                <w:noProof/>
                <w:sz w:val="20"/>
              </w:rPr>
              <w:t>Octroi de permis</w:t>
            </w:r>
          </w:p>
        </w:tc>
        <w:tc>
          <w:tcPr>
            <w:tcW w:w="633" w:type="pct"/>
            <w:vAlign w:val="center"/>
          </w:tcPr>
          <w:p w14:paraId="48C29BB3" w14:textId="77777777" w:rsidR="00380FE3" w:rsidRPr="00732D9A" w:rsidRDefault="00380FE3" w:rsidP="00380FE3">
            <w:pPr>
              <w:rPr>
                <w:noProof/>
                <w:sz w:val="20"/>
                <w:szCs w:val="20"/>
              </w:rPr>
            </w:pPr>
            <w:r w:rsidRPr="00732D9A">
              <w:rPr>
                <w:noProof/>
                <w:sz w:val="20"/>
              </w:rPr>
              <w:t>Données</w:t>
            </w:r>
          </w:p>
          <w:p w14:paraId="6CDBF07A" w14:textId="77777777" w:rsidR="00AB2A00" w:rsidRPr="00732D9A" w:rsidRDefault="00380FE3">
            <w:pPr>
              <w:rPr>
                <w:noProof/>
                <w:sz w:val="20"/>
                <w:szCs w:val="20"/>
              </w:rPr>
            </w:pPr>
            <w:r w:rsidRPr="00732D9A">
              <w:rPr>
                <w:noProof/>
                <w:sz w:val="20"/>
              </w:rPr>
              <w:t>Numérisation et automatisation des processus</w:t>
            </w:r>
          </w:p>
        </w:tc>
      </w:tr>
      <w:tr w:rsidR="00380FE3" w:rsidRPr="00732D9A" w14:paraId="7F5838D1" w14:textId="77777777" w:rsidTr="00380FE3">
        <w:tc>
          <w:tcPr>
            <w:tcW w:w="598" w:type="pct"/>
            <w:vAlign w:val="center"/>
          </w:tcPr>
          <w:p w14:paraId="7E5354F2" w14:textId="77777777" w:rsidR="00380FE3" w:rsidRPr="00732D9A" w:rsidRDefault="00380FE3" w:rsidP="00380FE3">
            <w:pPr>
              <w:rPr>
                <w:noProof/>
                <w:sz w:val="20"/>
                <w:szCs w:val="20"/>
              </w:rPr>
            </w:pPr>
            <w:r w:rsidRPr="00732D9A">
              <w:rPr>
                <w:noProof/>
                <w:sz w:val="20"/>
              </w:rPr>
              <w:t>Article 6</w:t>
            </w:r>
          </w:p>
        </w:tc>
        <w:tc>
          <w:tcPr>
            <w:tcW w:w="2309" w:type="pct"/>
            <w:vAlign w:val="center"/>
          </w:tcPr>
          <w:p w14:paraId="5DEEB7DB" w14:textId="77777777" w:rsidR="00380FE3" w:rsidRPr="00732D9A" w:rsidRDefault="00380FE3" w:rsidP="00380FE3">
            <w:pPr>
              <w:rPr>
                <w:noProof/>
                <w:sz w:val="20"/>
                <w:szCs w:val="20"/>
              </w:rPr>
            </w:pPr>
            <w:r w:rsidRPr="00732D9A">
              <w:rPr>
                <w:noProof/>
                <w:sz w:val="20"/>
              </w:rPr>
              <w:t>L’application de procédures administratives et d’octroi de permis rationalisées, telles que définies par le règlement (UE) 2024/1735, est étendue aux projets de décarbonation de l’industrie grande consommatrice d’énergie.</w:t>
            </w:r>
          </w:p>
        </w:tc>
        <w:tc>
          <w:tcPr>
            <w:tcW w:w="719" w:type="pct"/>
            <w:vAlign w:val="center"/>
          </w:tcPr>
          <w:p w14:paraId="2A1034C9" w14:textId="77777777" w:rsidR="00380FE3" w:rsidRPr="00732D9A" w:rsidRDefault="00380FE3" w:rsidP="00380FE3">
            <w:pPr>
              <w:rPr>
                <w:noProof/>
                <w:sz w:val="20"/>
                <w:szCs w:val="20"/>
              </w:rPr>
            </w:pPr>
            <w:r w:rsidRPr="00732D9A">
              <w:rPr>
                <w:noProof/>
                <w:sz w:val="20"/>
              </w:rPr>
              <w:t>États membres</w:t>
            </w:r>
          </w:p>
          <w:p w14:paraId="4AC5CFE5" w14:textId="77777777" w:rsidR="00380FE3" w:rsidRPr="00732D9A" w:rsidRDefault="00380FE3" w:rsidP="00380FE3">
            <w:pPr>
              <w:rPr>
                <w:noProof/>
                <w:sz w:val="20"/>
                <w:szCs w:val="20"/>
              </w:rPr>
            </w:pPr>
            <w:r w:rsidRPr="00732D9A">
              <w:rPr>
                <w:noProof/>
                <w:sz w:val="20"/>
              </w:rPr>
              <w:t>Autorités nationales compétentes</w:t>
            </w:r>
          </w:p>
        </w:tc>
        <w:tc>
          <w:tcPr>
            <w:tcW w:w="740" w:type="pct"/>
            <w:vAlign w:val="center"/>
          </w:tcPr>
          <w:p w14:paraId="21C56BF8" w14:textId="77777777" w:rsidR="00380FE3" w:rsidRPr="00732D9A" w:rsidRDefault="00380FE3" w:rsidP="00380FE3">
            <w:pPr>
              <w:rPr>
                <w:noProof/>
                <w:sz w:val="20"/>
                <w:szCs w:val="20"/>
              </w:rPr>
            </w:pPr>
            <w:r w:rsidRPr="00732D9A">
              <w:rPr>
                <w:noProof/>
                <w:sz w:val="20"/>
              </w:rPr>
              <w:t>Octroi de permis</w:t>
            </w:r>
          </w:p>
        </w:tc>
        <w:tc>
          <w:tcPr>
            <w:tcW w:w="633" w:type="pct"/>
            <w:vAlign w:val="center"/>
          </w:tcPr>
          <w:p w14:paraId="2DCBD286" w14:textId="77777777" w:rsidR="00380FE3" w:rsidRPr="00732D9A" w:rsidRDefault="00380FE3" w:rsidP="00380FE3">
            <w:pPr>
              <w:rPr>
                <w:noProof/>
                <w:sz w:val="20"/>
                <w:szCs w:val="20"/>
              </w:rPr>
            </w:pPr>
            <w:r w:rsidRPr="00732D9A">
              <w:rPr>
                <w:noProof/>
                <w:sz w:val="20"/>
              </w:rPr>
              <w:t>Numérisation et automatisation des processus</w:t>
            </w:r>
          </w:p>
        </w:tc>
      </w:tr>
      <w:tr w:rsidR="00380FE3" w:rsidRPr="00732D9A" w14:paraId="0D9D06B0" w14:textId="77777777" w:rsidTr="00380FE3">
        <w:tc>
          <w:tcPr>
            <w:tcW w:w="598" w:type="pct"/>
            <w:vAlign w:val="center"/>
          </w:tcPr>
          <w:p w14:paraId="76889778" w14:textId="77777777" w:rsidR="00380FE3" w:rsidRPr="00732D9A" w:rsidRDefault="00380FE3" w:rsidP="00380FE3">
            <w:pPr>
              <w:rPr>
                <w:noProof/>
                <w:sz w:val="20"/>
                <w:szCs w:val="20"/>
              </w:rPr>
            </w:pPr>
            <w:r w:rsidRPr="00732D9A">
              <w:rPr>
                <w:noProof/>
                <w:sz w:val="20"/>
              </w:rPr>
              <w:t>Article 20</w:t>
            </w:r>
          </w:p>
        </w:tc>
        <w:tc>
          <w:tcPr>
            <w:tcW w:w="2309" w:type="pct"/>
            <w:vAlign w:val="center"/>
          </w:tcPr>
          <w:p w14:paraId="7127C602" w14:textId="77777777" w:rsidR="00380FE3" w:rsidRPr="00732D9A" w:rsidRDefault="00380FE3" w:rsidP="00380FE3">
            <w:pPr>
              <w:rPr>
                <w:noProof/>
                <w:sz w:val="20"/>
                <w:szCs w:val="20"/>
              </w:rPr>
            </w:pPr>
            <w:r w:rsidRPr="00732D9A">
              <w:rPr>
                <w:noProof/>
                <w:sz w:val="20"/>
              </w:rPr>
              <w:t>Surveillance et publication de la capacité de production mondiale pour les secteurs stratégiques émergents.</w:t>
            </w:r>
          </w:p>
        </w:tc>
        <w:tc>
          <w:tcPr>
            <w:tcW w:w="719" w:type="pct"/>
            <w:vAlign w:val="center"/>
          </w:tcPr>
          <w:p w14:paraId="1DE43ED4" w14:textId="77777777" w:rsidR="00380FE3" w:rsidRPr="00732D9A" w:rsidRDefault="00380FE3" w:rsidP="00380FE3">
            <w:pPr>
              <w:rPr>
                <w:noProof/>
                <w:sz w:val="20"/>
                <w:szCs w:val="20"/>
              </w:rPr>
            </w:pPr>
            <w:r w:rsidRPr="00732D9A">
              <w:rPr>
                <w:noProof/>
                <w:sz w:val="20"/>
              </w:rPr>
              <w:t>Commission européenne</w:t>
            </w:r>
          </w:p>
        </w:tc>
        <w:tc>
          <w:tcPr>
            <w:tcW w:w="740" w:type="pct"/>
            <w:vAlign w:val="center"/>
          </w:tcPr>
          <w:p w14:paraId="584B077B" w14:textId="77777777" w:rsidR="00380FE3" w:rsidRPr="00732D9A" w:rsidRDefault="00380FE3" w:rsidP="00380FE3">
            <w:pPr>
              <w:rPr>
                <w:noProof/>
                <w:sz w:val="20"/>
                <w:szCs w:val="20"/>
              </w:rPr>
            </w:pPr>
            <w:r w:rsidRPr="00732D9A">
              <w:rPr>
                <w:noProof/>
                <w:sz w:val="20"/>
              </w:rPr>
              <w:t>Surveillance</w:t>
            </w:r>
          </w:p>
        </w:tc>
        <w:tc>
          <w:tcPr>
            <w:tcW w:w="633" w:type="pct"/>
            <w:vAlign w:val="center"/>
          </w:tcPr>
          <w:p w14:paraId="516AE9ED" w14:textId="77777777" w:rsidR="00380FE3" w:rsidRPr="00732D9A" w:rsidRDefault="00380FE3" w:rsidP="00380FE3">
            <w:pPr>
              <w:rPr>
                <w:noProof/>
                <w:sz w:val="20"/>
                <w:szCs w:val="20"/>
              </w:rPr>
            </w:pPr>
            <w:r w:rsidRPr="00732D9A">
              <w:rPr>
                <w:noProof/>
                <w:sz w:val="20"/>
              </w:rPr>
              <w:t>Données</w:t>
            </w:r>
          </w:p>
        </w:tc>
      </w:tr>
      <w:tr w:rsidR="00380FE3" w:rsidRPr="00732D9A" w14:paraId="7CC9413F" w14:textId="77777777" w:rsidTr="00380FE3">
        <w:tc>
          <w:tcPr>
            <w:tcW w:w="598" w:type="pct"/>
            <w:vAlign w:val="center"/>
          </w:tcPr>
          <w:p w14:paraId="5C163C64" w14:textId="77777777" w:rsidR="00380FE3" w:rsidRPr="00732D9A" w:rsidRDefault="00380FE3" w:rsidP="00380FE3">
            <w:pPr>
              <w:rPr>
                <w:noProof/>
                <w:sz w:val="20"/>
                <w:szCs w:val="20"/>
              </w:rPr>
            </w:pPr>
            <w:r w:rsidRPr="00732D9A">
              <w:rPr>
                <w:noProof/>
                <w:sz w:val="20"/>
              </w:rPr>
              <w:t>Article 16</w:t>
            </w:r>
          </w:p>
        </w:tc>
        <w:tc>
          <w:tcPr>
            <w:tcW w:w="2309" w:type="pct"/>
            <w:vAlign w:val="center"/>
          </w:tcPr>
          <w:p w14:paraId="5C17B9D8" w14:textId="77777777" w:rsidR="00380FE3" w:rsidRPr="00732D9A" w:rsidRDefault="00380FE3" w:rsidP="00380FE3">
            <w:pPr>
              <w:rPr>
                <w:noProof/>
                <w:sz w:val="20"/>
                <w:szCs w:val="20"/>
              </w:rPr>
            </w:pPr>
            <w:r w:rsidRPr="00732D9A">
              <w:rPr>
                <w:noProof/>
                <w:sz w:val="20"/>
              </w:rPr>
              <w:t>Notification des investissements directs prévus par des investisseurs étrangers.</w:t>
            </w:r>
          </w:p>
        </w:tc>
        <w:tc>
          <w:tcPr>
            <w:tcW w:w="719" w:type="pct"/>
            <w:vAlign w:val="center"/>
          </w:tcPr>
          <w:p w14:paraId="1541746E" w14:textId="77777777" w:rsidR="00380FE3" w:rsidRPr="00732D9A" w:rsidRDefault="00380FE3" w:rsidP="00380FE3">
            <w:pPr>
              <w:rPr>
                <w:noProof/>
                <w:sz w:val="20"/>
                <w:szCs w:val="20"/>
              </w:rPr>
            </w:pPr>
            <w:r w:rsidRPr="00732D9A">
              <w:rPr>
                <w:noProof/>
                <w:sz w:val="20"/>
              </w:rPr>
              <w:t>Opérateurs économiques</w:t>
            </w:r>
          </w:p>
          <w:p w14:paraId="0B1C5517" w14:textId="77777777" w:rsidR="00380FE3" w:rsidRPr="00732D9A" w:rsidRDefault="00380FE3" w:rsidP="00380FE3">
            <w:pPr>
              <w:rPr>
                <w:noProof/>
                <w:sz w:val="20"/>
                <w:szCs w:val="20"/>
              </w:rPr>
            </w:pPr>
            <w:r w:rsidRPr="00732D9A">
              <w:rPr>
                <w:noProof/>
                <w:sz w:val="20"/>
              </w:rPr>
              <w:t>États membres</w:t>
            </w:r>
          </w:p>
        </w:tc>
        <w:tc>
          <w:tcPr>
            <w:tcW w:w="740" w:type="pct"/>
            <w:vAlign w:val="center"/>
          </w:tcPr>
          <w:p w14:paraId="58F8FE83" w14:textId="77777777" w:rsidR="00380FE3" w:rsidRPr="00732D9A" w:rsidRDefault="00380FE3" w:rsidP="00380FE3">
            <w:pPr>
              <w:rPr>
                <w:noProof/>
                <w:sz w:val="20"/>
                <w:szCs w:val="20"/>
              </w:rPr>
            </w:pPr>
            <w:r w:rsidRPr="00732D9A">
              <w:rPr>
                <w:noProof/>
                <w:sz w:val="20"/>
              </w:rPr>
              <w:t>Notifications</w:t>
            </w:r>
          </w:p>
        </w:tc>
        <w:tc>
          <w:tcPr>
            <w:tcW w:w="633" w:type="pct"/>
            <w:vAlign w:val="center"/>
          </w:tcPr>
          <w:p w14:paraId="6348D967" w14:textId="77777777" w:rsidR="00380FE3" w:rsidRPr="00732D9A" w:rsidRDefault="00380FE3" w:rsidP="00380FE3">
            <w:pPr>
              <w:rPr>
                <w:noProof/>
                <w:sz w:val="20"/>
                <w:szCs w:val="20"/>
              </w:rPr>
            </w:pPr>
            <w:r w:rsidRPr="00732D9A">
              <w:rPr>
                <w:noProof/>
                <w:sz w:val="20"/>
              </w:rPr>
              <w:t>Données</w:t>
            </w:r>
          </w:p>
        </w:tc>
      </w:tr>
      <w:tr w:rsidR="00380FE3" w:rsidRPr="00732D9A" w14:paraId="7E0B26DA" w14:textId="77777777" w:rsidTr="00380FE3">
        <w:tc>
          <w:tcPr>
            <w:tcW w:w="598" w:type="pct"/>
            <w:vAlign w:val="center"/>
          </w:tcPr>
          <w:p w14:paraId="4FD8FF41" w14:textId="77777777" w:rsidR="00380FE3" w:rsidRPr="00732D9A" w:rsidRDefault="00380FE3" w:rsidP="00380FE3">
            <w:pPr>
              <w:rPr>
                <w:noProof/>
                <w:sz w:val="20"/>
                <w:szCs w:val="20"/>
              </w:rPr>
            </w:pPr>
            <w:r w:rsidRPr="00732D9A">
              <w:rPr>
                <w:noProof/>
                <w:sz w:val="20"/>
              </w:rPr>
              <w:t>Article 17</w:t>
            </w:r>
          </w:p>
        </w:tc>
        <w:tc>
          <w:tcPr>
            <w:tcW w:w="2309" w:type="pct"/>
            <w:vAlign w:val="center"/>
          </w:tcPr>
          <w:p w14:paraId="52C533B5" w14:textId="77777777" w:rsidR="00380FE3" w:rsidRPr="00732D9A" w:rsidRDefault="00380FE3" w:rsidP="00380FE3">
            <w:pPr>
              <w:rPr>
                <w:noProof/>
                <w:sz w:val="20"/>
                <w:szCs w:val="20"/>
              </w:rPr>
            </w:pPr>
            <w:r w:rsidRPr="00732D9A">
              <w:rPr>
                <w:noProof/>
                <w:sz w:val="20"/>
              </w:rPr>
              <w:t>Procédure d’examen et d’approbation des notifications préalables des investissements directs prévus.</w:t>
            </w:r>
          </w:p>
        </w:tc>
        <w:tc>
          <w:tcPr>
            <w:tcW w:w="719" w:type="pct"/>
            <w:vAlign w:val="center"/>
          </w:tcPr>
          <w:p w14:paraId="725D9173" w14:textId="77777777" w:rsidR="00380FE3" w:rsidRPr="00732D9A" w:rsidRDefault="00380FE3" w:rsidP="00380FE3">
            <w:pPr>
              <w:rPr>
                <w:noProof/>
                <w:sz w:val="20"/>
                <w:szCs w:val="20"/>
              </w:rPr>
            </w:pPr>
            <w:r w:rsidRPr="00732D9A">
              <w:rPr>
                <w:noProof/>
                <w:sz w:val="20"/>
              </w:rPr>
              <w:t>États membres</w:t>
            </w:r>
          </w:p>
          <w:p w14:paraId="0AA1DBCC" w14:textId="77777777" w:rsidR="00380FE3" w:rsidRPr="00732D9A" w:rsidRDefault="00380FE3" w:rsidP="00380FE3">
            <w:pPr>
              <w:rPr>
                <w:noProof/>
                <w:sz w:val="20"/>
                <w:szCs w:val="20"/>
              </w:rPr>
            </w:pPr>
            <w:r w:rsidRPr="00732D9A">
              <w:rPr>
                <w:noProof/>
                <w:sz w:val="20"/>
              </w:rPr>
              <w:t>Commission européenne</w:t>
            </w:r>
          </w:p>
        </w:tc>
        <w:tc>
          <w:tcPr>
            <w:tcW w:w="740" w:type="pct"/>
            <w:vAlign w:val="center"/>
          </w:tcPr>
          <w:p w14:paraId="7E79CDB0" w14:textId="77777777" w:rsidR="00380FE3" w:rsidRPr="00732D9A" w:rsidRDefault="00380FE3" w:rsidP="00380FE3">
            <w:pPr>
              <w:rPr>
                <w:noProof/>
                <w:sz w:val="20"/>
                <w:szCs w:val="20"/>
              </w:rPr>
            </w:pPr>
            <w:r w:rsidRPr="00732D9A">
              <w:rPr>
                <w:noProof/>
                <w:sz w:val="20"/>
              </w:rPr>
              <w:t>Notifications</w:t>
            </w:r>
          </w:p>
        </w:tc>
        <w:tc>
          <w:tcPr>
            <w:tcW w:w="633" w:type="pct"/>
            <w:vAlign w:val="center"/>
          </w:tcPr>
          <w:p w14:paraId="21D4DC10" w14:textId="77777777" w:rsidR="00380FE3" w:rsidRPr="00732D9A" w:rsidRDefault="00380FE3" w:rsidP="00380FE3">
            <w:pPr>
              <w:rPr>
                <w:noProof/>
                <w:sz w:val="20"/>
                <w:szCs w:val="20"/>
              </w:rPr>
            </w:pPr>
            <w:r w:rsidRPr="00732D9A">
              <w:rPr>
                <w:noProof/>
                <w:sz w:val="20"/>
              </w:rPr>
              <w:t>Numérisation et automatisation des processus</w:t>
            </w:r>
          </w:p>
        </w:tc>
      </w:tr>
      <w:tr w:rsidR="00380FE3" w:rsidRPr="00732D9A" w14:paraId="06270E24" w14:textId="77777777" w:rsidTr="00380FE3">
        <w:tc>
          <w:tcPr>
            <w:tcW w:w="598" w:type="pct"/>
            <w:vAlign w:val="center"/>
          </w:tcPr>
          <w:p w14:paraId="0CDE7F9F" w14:textId="77777777" w:rsidR="00380FE3" w:rsidRPr="00732D9A" w:rsidRDefault="00380FE3" w:rsidP="00380FE3">
            <w:pPr>
              <w:rPr>
                <w:noProof/>
                <w:sz w:val="20"/>
                <w:szCs w:val="20"/>
              </w:rPr>
            </w:pPr>
            <w:r w:rsidRPr="00732D9A">
              <w:rPr>
                <w:noProof/>
                <w:sz w:val="20"/>
              </w:rPr>
              <w:t>Articles 19 et 20</w:t>
            </w:r>
          </w:p>
        </w:tc>
        <w:tc>
          <w:tcPr>
            <w:tcW w:w="2309" w:type="pct"/>
            <w:vAlign w:val="center"/>
          </w:tcPr>
          <w:p w14:paraId="4ED2A524" w14:textId="77777777" w:rsidR="00380FE3" w:rsidRPr="00732D9A" w:rsidRDefault="00380FE3" w:rsidP="00380FE3">
            <w:pPr>
              <w:rPr>
                <w:noProof/>
                <w:sz w:val="20"/>
                <w:szCs w:val="20"/>
              </w:rPr>
            </w:pPr>
            <w:r w:rsidRPr="00732D9A">
              <w:rPr>
                <w:noProof/>
                <w:sz w:val="20"/>
              </w:rPr>
              <w:t>Contrôle du respect des règles en matière d’investissements étrangers</w:t>
            </w:r>
          </w:p>
        </w:tc>
        <w:tc>
          <w:tcPr>
            <w:tcW w:w="719" w:type="pct"/>
            <w:vAlign w:val="center"/>
          </w:tcPr>
          <w:p w14:paraId="021640A1" w14:textId="77777777" w:rsidR="00380FE3" w:rsidRPr="00732D9A" w:rsidRDefault="00380FE3" w:rsidP="00380FE3">
            <w:pPr>
              <w:rPr>
                <w:noProof/>
                <w:sz w:val="20"/>
                <w:szCs w:val="20"/>
              </w:rPr>
            </w:pPr>
            <w:r w:rsidRPr="00732D9A">
              <w:rPr>
                <w:noProof/>
                <w:sz w:val="20"/>
              </w:rPr>
              <w:t>Autorités nationales compétentes</w:t>
            </w:r>
          </w:p>
          <w:p w14:paraId="2ABA1F34" w14:textId="77777777" w:rsidR="00380FE3" w:rsidRPr="00732D9A" w:rsidRDefault="00380FE3" w:rsidP="00380FE3">
            <w:pPr>
              <w:rPr>
                <w:noProof/>
                <w:sz w:val="20"/>
                <w:szCs w:val="20"/>
              </w:rPr>
            </w:pPr>
            <w:r w:rsidRPr="00732D9A">
              <w:rPr>
                <w:noProof/>
                <w:sz w:val="20"/>
              </w:rPr>
              <w:t>Commission européenne</w:t>
            </w:r>
          </w:p>
        </w:tc>
        <w:tc>
          <w:tcPr>
            <w:tcW w:w="740" w:type="pct"/>
            <w:vAlign w:val="center"/>
          </w:tcPr>
          <w:p w14:paraId="414BE902" w14:textId="77777777" w:rsidR="00380FE3" w:rsidRPr="00732D9A" w:rsidRDefault="00380FE3" w:rsidP="00380FE3">
            <w:pPr>
              <w:rPr>
                <w:noProof/>
                <w:sz w:val="20"/>
                <w:szCs w:val="20"/>
              </w:rPr>
            </w:pPr>
            <w:r w:rsidRPr="00732D9A">
              <w:rPr>
                <w:noProof/>
                <w:sz w:val="20"/>
              </w:rPr>
              <w:t>Établissement de rapports</w:t>
            </w:r>
          </w:p>
        </w:tc>
        <w:tc>
          <w:tcPr>
            <w:tcW w:w="633" w:type="pct"/>
            <w:vAlign w:val="center"/>
          </w:tcPr>
          <w:p w14:paraId="1836B76A" w14:textId="77777777" w:rsidR="00380FE3" w:rsidRPr="00732D9A" w:rsidRDefault="00380FE3" w:rsidP="00380FE3">
            <w:pPr>
              <w:rPr>
                <w:noProof/>
                <w:sz w:val="20"/>
                <w:szCs w:val="20"/>
              </w:rPr>
            </w:pPr>
            <w:r w:rsidRPr="00732D9A">
              <w:rPr>
                <w:noProof/>
                <w:sz w:val="20"/>
              </w:rPr>
              <w:t>Données</w:t>
            </w:r>
          </w:p>
        </w:tc>
      </w:tr>
      <w:tr w:rsidR="00380FE3" w:rsidRPr="00732D9A" w14:paraId="1F0EAB01" w14:textId="77777777" w:rsidTr="00380FE3">
        <w:tc>
          <w:tcPr>
            <w:tcW w:w="598" w:type="pct"/>
            <w:vAlign w:val="center"/>
          </w:tcPr>
          <w:p w14:paraId="23562A23" w14:textId="77777777" w:rsidR="00380FE3" w:rsidRPr="00732D9A" w:rsidRDefault="00380FE3" w:rsidP="00380FE3">
            <w:pPr>
              <w:rPr>
                <w:noProof/>
                <w:sz w:val="20"/>
                <w:szCs w:val="20"/>
              </w:rPr>
            </w:pPr>
            <w:r w:rsidRPr="00732D9A">
              <w:rPr>
                <w:noProof/>
                <w:sz w:val="20"/>
              </w:rPr>
              <w:t>Article 22</w:t>
            </w:r>
          </w:p>
        </w:tc>
        <w:tc>
          <w:tcPr>
            <w:tcW w:w="2309" w:type="pct"/>
            <w:vAlign w:val="center"/>
          </w:tcPr>
          <w:p w14:paraId="3B9B36E3" w14:textId="77777777" w:rsidR="00380FE3" w:rsidRPr="00732D9A" w:rsidRDefault="00380FE3" w:rsidP="00380FE3">
            <w:pPr>
              <w:rPr>
                <w:noProof/>
                <w:sz w:val="20"/>
                <w:szCs w:val="20"/>
              </w:rPr>
            </w:pPr>
            <w:r w:rsidRPr="00732D9A">
              <w:rPr>
                <w:noProof/>
                <w:sz w:val="20"/>
              </w:rPr>
              <w:t>Notification par les États membres des zones d’industrialisation prioritaire désignées, y compris les évaluations requises.</w:t>
            </w:r>
          </w:p>
        </w:tc>
        <w:tc>
          <w:tcPr>
            <w:tcW w:w="719" w:type="pct"/>
            <w:vAlign w:val="center"/>
          </w:tcPr>
          <w:p w14:paraId="4C9588D1" w14:textId="77777777" w:rsidR="00380FE3" w:rsidRPr="00732D9A" w:rsidRDefault="00380FE3" w:rsidP="00380FE3">
            <w:pPr>
              <w:rPr>
                <w:noProof/>
                <w:sz w:val="20"/>
                <w:szCs w:val="20"/>
              </w:rPr>
            </w:pPr>
            <w:r w:rsidRPr="00732D9A">
              <w:rPr>
                <w:noProof/>
                <w:sz w:val="20"/>
              </w:rPr>
              <w:t>États membres</w:t>
            </w:r>
          </w:p>
          <w:p w14:paraId="1FAE986A" w14:textId="77777777" w:rsidR="00380FE3" w:rsidRPr="00732D9A" w:rsidRDefault="00380FE3" w:rsidP="00380FE3">
            <w:pPr>
              <w:rPr>
                <w:noProof/>
                <w:sz w:val="20"/>
                <w:szCs w:val="20"/>
              </w:rPr>
            </w:pPr>
            <w:r w:rsidRPr="00732D9A">
              <w:rPr>
                <w:noProof/>
                <w:sz w:val="20"/>
              </w:rPr>
              <w:t>Commission européenne</w:t>
            </w:r>
          </w:p>
        </w:tc>
        <w:tc>
          <w:tcPr>
            <w:tcW w:w="740" w:type="pct"/>
            <w:vAlign w:val="center"/>
          </w:tcPr>
          <w:p w14:paraId="0819CFDC" w14:textId="77777777" w:rsidR="00380FE3" w:rsidRPr="00732D9A" w:rsidRDefault="00380FE3" w:rsidP="00380FE3">
            <w:pPr>
              <w:rPr>
                <w:noProof/>
                <w:sz w:val="20"/>
                <w:szCs w:val="20"/>
              </w:rPr>
            </w:pPr>
            <w:r w:rsidRPr="00732D9A">
              <w:rPr>
                <w:noProof/>
                <w:sz w:val="20"/>
              </w:rPr>
              <w:t>Notifications</w:t>
            </w:r>
          </w:p>
        </w:tc>
        <w:tc>
          <w:tcPr>
            <w:tcW w:w="633" w:type="pct"/>
            <w:vAlign w:val="center"/>
          </w:tcPr>
          <w:p w14:paraId="6147EAFC" w14:textId="77777777" w:rsidR="00380FE3" w:rsidRPr="00732D9A" w:rsidRDefault="00380FE3" w:rsidP="00380FE3">
            <w:pPr>
              <w:rPr>
                <w:noProof/>
                <w:sz w:val="20"/>
                <w:szCs w:val="20"/>
              </w:rPr>
            </w:pPr>
            <w:r w:rsidRPr="00732D9A">
              <w:rPr>
                <w:noProof/>
                <w:sz w:val="20"/>
              </w:rPr>
              <w:t>Données</w:t>
            </w:r>
          </w:p>
        </w:tc>
      </w:tr>
      <w:tr w:rsidR="00380FE3" w:rsidRPr="00732D9A" w14:paraId="6850809B" w14:textId="77777777" w:rsidTr="00380FE3">
        <w:tc>
          <w:tcPr>
            <w:tcW w:w="598" w:type="pct"/>
            <w:vAlign w:val="center"/>
          </w:tcPr>
          <w:p w14:paraId="10C2F698" w14:textId="77777777" w:rsidR="00380FE3" w:rsidRPr="00732D9A" w:rsidRDefault="00380FE3" w:rsidP="00380FE3">
            <w:pPr>
              <w:rPr>
                <w:noProof/>
                <w:sz w:val="20"/>
                <w:szCs w:val="20"/>
              </w:rPr>
            </w:pPr>
            <w:r w:rsidRPr="00732D9A">
              <w:rPr>
                <w:noProof/>
                <w:sz w:val="20"/>
              </w:rPr>
              <w:t>Article 24</w:t>
            </w:r>
          </w:p>
        </w:tc>
        <w:tc>
          <w:tcPr>
            <w:tcW w:w="2309" w:type="pct"/>
            <w:vAlign w:val="center"/>
          </w:tcPr>
          <w:p w14:paraId="227AE5A9" w14:textId="77777777" w:rsidR="00380FE3" w:rsidRPr="00732D9A" w:rsidRDefault="00380FE3" w:rsidP="00380FE3">
            <w:pPr>
              <w:rPr>
                <w:noProof/>
                <w:sz w:val="20"/>
                <w:szCs w:val="20"/>
              </w:rPr>
            </w:pPr>
            <w:r w:rsidRPr="00732D9A">
              <w:rPr>
                <w:noProof/>
                <w:sz w:val="20"/>
              </w:rPr>
              <w:t>Établissement d’un permis global de référence autorisant les activités industrielles dans des zones d’industrialisation prioritaire désignées.</w:t>
            </w:r>
          </w:p>
        </w:tc>
        <w:tc>
          <w:tcPr>
            <w:tcW w:w="719" w:type="pct"/>
            <w:vAlign w:val="center"/>
          </w:tcPr>
          <w:p w14:paraId="5FC93FF6" w14:textId="77777777" w:rsidR="00380FE3" w:rsidRPr="00732D9A" w:rsidRDefault="00380FE3" w:rsidP="00380FE3">
            <w:pPr>
              <w:rPr>
                <w:noProof/>
                <w:sz w:val="20"/>
                <w:szCs w:val="20"/>
              </w:rPr>
            </w:pPr>
            <w:r w:rsidRPr="00732D9A">
              <w:rPr>
                <w:noProof/>
                <w:sz w:val="20"/>
              </w:rPr>
              <w:t>États membres</w:t>
            </w:r>
          </w:p>
          <w:p w14:paraId="46A7A9B7" w14:textId="77777777" w:rsidR="00380FE3" w:rsidRPr="00732D9A" w:rsidRDefault="00380FE3" w:rsidP="00380FE3">
            <w:pPr>
              <w:rPr>
                <w:noProof/>
                <w:sz w:val="20"/>
                <w:szCs w:val="20"/>
              </w:rPr>
            </w:pPr>
            <w:r w:rsidRPr="00732D9A">
              <w:rPr>
                <w:noProof/>
                <w:sz w:val="20"/>
              </w:rPr>
              <w:t>Autorités nationales compétentes</w:t>
            </w:r>
          </w:p>
        </w:tc>
        <w:tc>
          <w:tcPr>
            <w:tcW w:w="740" w:type="pct"/>
            <w:vAlign w:val="center"/>
          </w:tcPr>
          <w:p w14:paraId="2926BA28" w14:textId="77777777" w:rsidR="00380FE3" w:rsidRPr="00732D9A" w:rsidRDefault="00380FE3" w:rsidP="00380FE3">
            <w:pPr>
              <w:rPr>
                <w:noProof/>
                <w:sz w:val="20"/>
                <w:szCs w:val="20"/>
              </w:rPr>
            </w:pPr>
            <w:r w:rsidRPr="00732D9A">
              <w:rPr>
                <w:noProof/>
                <w:sz w:val="20"/>
              </w:rPr>
              <w:t>Octroi de permis</w:t>
            </w:r>
          </w:p>
        </w:tc>
        <w:tc>
          <w:tcPr>
            <w:tcW w:w="633" w:type="pct"/>
            <w:vAlign w:val="center"/>
          </w:tcPr>
          <w:p w14:paraId="4DC060DB" w14:textId="77777777" w:rsidR="00380FE3" w:rsidRPr="00732D9A" w:rsidRDefault="00380FE3" w:rsidP="00380FE3">
            <w:pPr>
              <w:rPr>
                <w:noProof/>
                <w:sz w:val="20"/>
                <w:szCs w:val="20"/>
              </w:rPr>
            </w:pPr>
            <w:r w:rsidRPr="00732D9A">
              <w:rPr>
                <w:noProof/>
                <w:sz w:val="20"/>
              </w:rPr>
              <w:t>Numérisation et automatisation des processus</w:t>
            </w:r>
          </w:p>
        </w:tc>
      </w:tr>
      <w:tr w:rsidR="00380FE3" w:rsidRPr="00732D9A" w14:paraId="5B195A9C" w14:textId="77777777" w:rsidTr="00380FE3">
        <w:tc>
          <w:tcPr>
            <w:tcW w:w="598" w:type="pct"/>
            <w:vAlign w:val="center"/>
          </w:tcPr>
          <w:p w14:paraId="7362AC59" w14:textId="77777777" w:rsidR="00380FE3" w:rsidRPr="00732D9A" w:rsidRDefault="00380FE3" w:rsidP="00380FE3">
            <w:pPr>
              <w:rPr>
                <w:noProof/>
                <w:sz w:val="20"/>
                <w:szCs w:val="20"/>
              </w:rPr>
            </w:pPr>
            <w:r w:rsidRPr="00732D9A">
              <w:rPr>
                <w:noProof/>
                <w:sz w:val="20"/>
              </w:rPr>
              <w:t>Article 37</w:t>
            </w:r>
          </w:p>
        </w:tc>
        <w:tc>
          <w:tcPr>
            <w:tcW w:w="2309" w:type="pct"/>
            <w:vAlign w:val="center"/>
          </w:tcPr>
          <w:p w14:paraId="2B7ABDB5" w14:textId="77777777" w:rsidR="00380FE3" w:rsidRPr="00732D9A" w:rsidRDefault="00380FE3" w:rsidP="00380FE3">
            <w:pPr>
              <w:rPr>
                <w:noProof/>
                <w:sz w:val="20"/>
                <w:szCs w:val="20"/>
              </w:rPr>
            </w:pPr>
            <w:r w:rsidRPr="00732D9A">
              <w:rPr>
                <w:noProof/>
                <w:sz w:val="20"/>
              </w:rPr>
              <w:t>La liste des domaines d’information utiles aux citoyens et les entreprises qui exercent leurs droits dans le cadre du marché intérieur établie par le règlement (UE) 2018/1724 est complétée par des informations sur les procédures d’octroi de permis, en utilisant efficacement des solutions dans le cadre du portail numérique unique.</w:t>
            </w:r>
          </w:p>
        </w:tc>
        <w:tc>
          <w:tcPr>
            <w:tcW w:w="719" w:type="pct"/>
            <w:vAlign w:val="center"/>
          </w:tcPr>
          <w:p w14:paraId="1ECC8779" w14:textId="77777777" w:rsidR="00380FE3" w:rsidRPr="00732D9A" w:rsidRDefault="00380FE3" w:rsidP="00380FE3">
            <w:pPr>
              <w:rPr>
                <w:noProof/>
                <w:sz w:val="20"/>
                <w:szCs w:val="20"/>
              </w:rPr>
            </w:pPr>
            <w:r w:rsidRPr="00732D9A">
              <w:rPr>
                <w:noProof/>
                <w:sz w:val="20"/>
              </w:rPr>
              <w:t>Commission européenne</w:t>
            </w:r>
          </w:p>
          <w:p w14:paraId="2775E1B5" w14:textId="77777777" w:rsidR="00380FE3" w:rsidRPr="00732D9A" w:rsidRDefault="00380FE3" w:rsidP="00380FE3">
            <w:pPr>
              <w:rPr>
                <w:noProof/>
                <w:sz w:val="20"/>
                <w:szCs w:val="20"/>
              </w:rPr>
            </w:pPr>
            <w:r w:rsidRPr="00732D9A">
              <w:rPr>
                <w:noProof/>
                <w:sz w:val="20"/>
              </w:rPr>
              <w:t>États membres</w:t>
            </w:r>
          </w:p>
          <w:p w14:paraId="7060B1CB" w14:textId="77777777" w:rsidR="00380FE3" w:rsidRPr="00732D9A" w:rsidRDefault="00380FE3" w:rsidP="00380FE3">
            <w:pPr>
              <w:rPr>
                <w:noProof/>
                <w:sz w:val="20"/>
                <w:szCs w:val="20"/>
              </w:rPr>
            </w:pPr>
            <w:r w:rsidRPr="00732D9A">
              <w:rPr>
                <w:noProof/>
                <w:sz w:val="20"/>
              </w:rPr>
              <w:t>Autorités nationales compétentes</w:t>
            </w:r>
          </w:p>
          <w:p w14:paraId="4891BF2B" w14:textId="77777777" w:rsidR="00380FE3" w:rsidRPr="00732D9A" w:rsidRDefault="00380FE3" w:rsidP="00380FE3">
            <w:pPr>
              <w:rPr>
                <w:noProof/>
                <w:sz w:val="20"/>
                <w:szCs w:val="20"/>
              </w:rPr>
            </w:pPr>
            <w:r w:rsidRPr="00732D9A">
              <w:rPr>
                <w:noProof/>
                <w:sz w:val="20"/>
              </w:rPr>
              <w:t>Opérateurs économiques</w:t>
            </w:r>
          </w:p>
          <w:p w14:paraId="1A5FA95E" w14:textId="77777777" w:rsidR="00380FE3" w:rsidRPr="00732D9A" w:rsidRDefault="00380FE3" w:rsidP="00380FE3">
            <w:pPr>
              <w:rPr>
                <w:noProof/>
                <w:sz w:val="20"/>
                <w:szCs w:val="20"/>
              </w:rPr>
            </w:pPr>
            <w:r w:rsidRPr="00732D9A">
              <w:rPr>
                <w:noProof/>
                <w:sz w:val="20"/>
              </w:rPr>
              <w:t>Citoyens</w:t>
            </w:r>
          </w:p>
        </w:tc>
        <w:tc>
          <w:tcPr>
            <w:tcW w:w="740" w:type="pct"/>
            <w:vAlign w:val="center"/>
          </w:tcPr>
          <w:p w14:paraId="62F13F55" w14:textId="77777777" w:rsidR="00380FE3" w:rsidRPr="00732D9A" w:rsidRDefault="00380FE3" w:rsidP="00380FE3">
            <w:pPr>
              <w:rPr>
                <w:noProof/>
                <w:sz w:val="20"/>
                <w:szCs w:val="20"/>
              </w:rPr>
            </w:pPr>
            <w:r w:rsidRPr="00732D9A">
              <w:rPr>
                <w:noProof/>
                <w:sz w:val="20"/>
              </w:rPr>
              <w:t>Échange d’informations</w:t>
            </w:r>
          </w:p>
        </w:tc>
        <w:tc>
          <w:tcPr>
            <w:tcW w:w="633" w:type="pct"/>
            <w:vAlign w:val="center"/>
          </w:tcPr>
          <w:p w14:paraId="5C1784F5" w14:textId="77777777" w:rsidR="00380FE3" w:rsidRPr="00732D9A" w:rsidRDefault="00380FE3" w:rsidP="00380FE3">
            <w:pPr>
              <w:rPr>
                <w:noProof/>
                <w:sz w:val="20"/>
                <w:szCs w:val="20"/>
              </w:rPr>
            </w:pPr>
            <w:r w:rsidRPr="00732D9A">
              <w:rPr>
                <w:noProof/>
                <w:sz w:val="20"/>
              </w:rPr>
              <w:t>Données</w:t>
            </w:r>
          </w:p>
          <w:p w14:paraId="0D54861F" w14:textId="77777777" w:rsidR="00380FE3" w:rsidRPr="00732D9A" w:rsidRDefault="00380FE3" w:rsidP="00380FE3">
            <w:pPr>
              <w:rPr>
                <w:noProof/>
                <w:sz w:val="20"/>
                <w:szCs w:val="20"/>
              </w:rPr>
            </w:pPr>
            <w:r w:rsidRPr="00732D9A">
              <w:rPr>
                <w:noProof/>
                <w:sz w:val="20"/>
              </w:rPr>
              <w:t>Numérisation et automatisation des processus</w:t>
            </w:r>
          </w:p>
          <w:p w14:paraId="7EAA01F0" w14:textId="77777777" w:rsidR="00380FE3" w:rsidRPr="00732D9A" w:rsidRDefault="00380FE3" w:rsidP="00380FE3">
            <w:pPr>
              <w:rPr>
                <w:noProof/>
                <w:sz w:val="20"/>
                <w:szCs w:val="20"/>
              </w:rPr>
            </w:pPr>
            <w:r w:rsidRPr="00732D9A">
              <w:rPr>
                <w:noProof/>
                <w:sz w:val="20"/>
              </w:rPr>
              <w:t>Service public numérique</w:t>
            </w:r>
          </w:p>
        </w:tc>
      </w:tr>
    </w:tbl>
    <w:p w14:paraId="76B5E76A" w14:textId="77777777" w:rsidR="00CA7C31" w:rsidRPr="00732D9A" w:rsidRDefault="00CA7C31" w:rsidP="00CA7C31">
      <w:pPr>
        <w:pStyle w:val="ManualHeading2"/>
        <w:ind w:left="0" w:firstLine="0"/>
        <w:rPr>
          <w:noProof/>
        </w:rPr>
      </w:pPr>
      <w:r w:rsidRPr="00732D9A">
        <w:rPr>
          <w:noProof/>
        </w:rPr>
        <w:t>4.2.</w:t>
      </w:r>
      <w:r w:rsidRPr="00732D9A">
        <w:rPr>
          <w:noProof/>
        </w:rPr>
        <w:tab/>
        <w:t>Données</w:t>
      </w:r>
    </w:p>
    <w:p w14:paraId="3B7BB80E" w14:textId="77777777" w:rsidR="00CA7C31" w:rsidRPr="00732D9A" w:rsidRDefault="00CA7C31" w:rsidP="00CA7C31">
      <w:pPr>
        <w:rPr>
          <w:noProof/>
        </w:rPr>
      </w:pPr>
      <w:r w:rsidRPr="00732D9A">
        <w:rPr>
          <w:i/>
          <w:noProof/>
        </w:rPr>
        <w:t>Description générale des données relevant du champ d’application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855"/>
        <w:gridCol w:w="2611"/>
        <w:gridCol w:w="3625"/>
      </w:tblGrid>
      <w:tr w:rsidR="00CA7C31" w:rsidRPr="00732D9A" w14:paraId="2CF0F920" w14:textId="77777777">
        <w:tc>
          <w:tcPr>
            <w:tcW w:w="1570" w:type="pct"/>
            <w:vAlign w:val="center"/>
            <w:hideMark/>
          </w:tcPr>
          <w:p w14:paraId="1450D651" w14:textId="77777777" w:rsidR="00CA7C31" w:rsidRPr="00732D9A" w:rsidRDefault="00CA7C31">
            <w:pPr>
              <w:rPr>
                <w:noProof/>
                <w:sz w:val="20"/>
                <w:szCs w:val="20"/>
              </w:rPr>
            </w:pPr>
            <w:r w:rsidRPr="00732D9A">
              <w:rPr>
                <w:b/>
                <w:noProof/>
                <w:sz w:val="20"/>
              </w:rPr>
              <w:t>Type de données</w:t>
            </w:r>
          </w:p>
        </w:tc>
        <w:tc>
          <w:tcPr>
            <w:tcW w:w="1436" w:type="pct"/>
            <w:vAlign w:val="center"/>
            <w:hideMark/>
          </w:tcPr>
          <w:p w14:paraId="7C3AA41C" w14:textId="77777777" w:rsidR="00CA7C31" w:rsidRPr="00732D9A" w:rsidRDefault="00CA7C31">
            <w:pPr>
              <w:rPr>
                <w:noProof/>
                <w:sz w:val="20"/>
                <w:szCs w:val="20"/>
              </w:rPr>
            </w:pPr>
            <w:r w:rsidRPr="00732D9A">
              <w:rPr>
                <w:b/>
                <w:noProof/>
                <w:sz w:val="20"/>
              </w:rPr>
              <w:t>Référence à l’exigence ou aux exigences</w:t>
            </w:r>
          </w:p>
        </w:tc>
        <w:tc>
          <w:tcPr>
            <w:tcW w:w="1994" w:type="pct"/>
            <w:vAlign w:val="center"/>
            <w:hideMark/>
          </w:tcPr>
          <w:p w14:paraId="70B6B956" w14:textId="77777777" w:rsidR="00CA7C31" w:rsidRPr="00732D9A" w:rsidRDefault="00CA7C31">
            <w:pPr>
              <w:rPr>
                <w:noProof/>
                <w:sz w:val="20"/>
                <w:szCs w:val="20"/>
              </w:rPr>
            </w:pPr>
            <w:r w:rsidRPr="00732D9A">
              <w:rPr>
                <w:b/>
                <w:noProof/>
                <w:sz w:val="20"/>
              </w:rPr>
              <w:t>Norme et/ou spécification (le cas échéant)</w:t>
            </w:r>
          </w:p>
        </w:tc>
      </w:tr>
      <w:tr w:rsidR="00CA7C31" w:rsidRPr="00732D9A" w14:paraId="79EBC9BA" w14:textId="77777777">
        <w:tc>
          <w:tcPr>
            <w:tcW w:w="1570" w:type="pct"/>
            <w:hideMark/>
          </w:tcPr>
          <w:p w14:paraId="33921538" w14:textId="77777777" w:rsidR="00CA7C31" w:rsidRPr="00732D9A" w:rsidRDefault="00CA7C31">
            <w:pPr>
              <w:rPr>
                <w:noProof/>
                <w:sz w:val="20"/>
                <w:szCs w:val="20"/>
              </w:rPr>
            </w:pPr>
            <w:r w:rsidRPr="00732D9A">
              <w:rPr>
                <w:noProof/>
                <w:sz w:val="20"/>
              </w:rPr>
              <w:t xml:space="preserve">Demandes d’octroi de permis pour des projets de fabrication industrielle </w:t>
            </w:r>
          </w:p>
        </w:tc>
        <w:tc>
          <w:tcPr>
            <w:tcW w:w="1436" w:type="pct"/>
            <w:hideMark/>
          </w:tcPr>
          <w:p w14:paraId="0644E1F5" w14:textId="77777777" w:rsidR="00CA7C31" w:rsidRPr="00732D9A" w:rsidRDefault="00CA7C31">
            <w:pPr>
              <w:rPr>
                <w:noProof/>
                <w:sz w:val="20"/>
                <w:szCs w:val="20"/>
              </w:rPr>
            </w:pPr>
            <w:r w:rsidRPr="00732D9A">
              <w:rPr>
                <w:noProof/>
                <w:sz w:val="20"/>
              </w:rPr>
              <w:t>Articles 4 et 5</w:t>
            </w:r>
          </w:p>
        </w:tc>
        <w:tc>
          <w:tcPr>
            <w:tcW w:w="1994" w:type="pct"/>
            <w:hideMark/>
          </w:tcPr>
          <w:p w14:paraId="1B9D3AF7" w14:textId="77777777" w:rsidR="00CA7C31" w:rsidRPr="00732D9A" w:rsidRDefault="00E7638B">
            <w:pPr>
              <w:rPr>
                <w:noProof/>
                <w:sz w:val="20"/>
                <w:szCs w:val="20"/>
              </w:rPr>
            </w:pPr>
            <w:r w:rsidRPr="00732D9A">
              <w:rPr>
                <w:noProof/>
                <w:sz w:val="20"/>
              </w:rPr>
              <w:t>La Commission est habilitée à adopter des actes d’exécution afin de définir les normes techniques nécessaires pour assurer l’interopérabilité des points d’accès uniques nationaux.</w:t>
            </w:r>
          </w:p>
        </w:tc>
      </w:tr>
      <w:tr w:rsidR="000730D3" w:rsidRPr="00732D9A" w14:paraId="5D943371" w14:textId="77777777">
        <w:tc>
          <w:tcPr>
            <w:tcW w:w="1570" w:type="pct"/>
          </w:tcPr>
          <w:p w14:paraId="65A6E705" w14:textId="77777777" w:rsidR="000730D3" w:rsidRPr="00732D9A" w:rsidRDefault="000730D3" w:rsidP="000730D3">
            <w:pPr>
              <w:rPr>
                <w:noProof/>
                <w:sz w:val="20"/>
                <w:szCs w:val="20"/>
              </w:rPr>
            </w:pPr>
            <w:r w:rsidRPr="00732D9A">
              <w:rPr>
                <w:noProof/>
                <w:sz w:val="20"/>
              </w:rPr>
              <w:t>Données sur la capacité de production mondiale pour les secteurs stratégiques émergents</w:t>
            </w:r>
          </w:p>
        </w:tc>
        <w:tc>
          <w:tcPr>
            <w:tcW w:w="1436" w:type="pct"/>
          </w:tcPr>
          <w:p w14:paraId="4EF98DCC" w14:textId="77777777" w:rsidR="000730D3" w:rsidRPr="00732D9A" w:rsidRDefault="000730D3" w:rsidP="000730D3">
            <w:pPr>
              <w:rPr>
                <w:noProof/>
                <w:sz w:val="20"/>
                <w:szCs w:val="20"/>
              </w:rPr>
            </w:pPr>
            <w:r w:rsidRPr="00732D9A">
              <w:rPr>
                <w:noProof/>
                <w:sz w:val="20"/>
              </w:rPr>
              <w:t>Article 20</w:t>
            </w:r>
          </w:p>
        </w:tc>
        <w:tc>
          <w:tcPr>
            <w:tcW w:w="1994" w:type="pct"/>
          </w:tcPr>
          <w:p w14:paraId="56C1A2ED" w14:textId="77777777" w:rsidR="000730D3" w:rsidRPr="00732D9A" w:rsidRDefault="000730D3" w:rsidP="000730D3">
            <w:pPr>
              <w:rPr>
                <w:noProof/>
                <w:sz w:val="20"/>
                <w:szCs w:val="20"/>
              </w:rPr>
            </w:pPr>
            <w:r w:rsidRPr="00732D9A">
              <w:rPr>
                <w:noProof/>
                <w:sz w:val="20"/>
              </w:rPr>
              <w:t>La Commission fournit et publie des informations actualisées sur l’année la plus récente pour laquelle des données sont disponibles pour chacun des secteurs stratégiques émergents.</w:t>
            </w:r>
          </w:p>
        </w:tc>
      </w:tr>
      <w:tr w:rsidR="000730D3" w:rsidRPr="00732D9A" w14:paraId="11250F80" w14:textId="77777777">
        <w:tc>
          <w:tcPr>
            <w:tcW w:w="1570" w:type="pct"/>
          </w:tcPr>
          <w:p w14:paraId="19864B9F" w14:textId="77777777" w:rsidR="000730D3" w:rsidRPr="00732D9A" w:rsidRDefault="000730D3" w:rsidP="000730D3">
            <w:pPr>
              <w:rPr>
                <w:noProof/>
                <w:sz w:val="20"/>
                <w:szCs w:val="20"/>
              </w:rPr>
            </w:pPr>
            <w:r w:rsidRPr="00732D9A">
              <w:rPr>
                <w:noProof/>
                <w:sz w:val="20"/>
              </w:rPr>
              <w:t>Notification préalable des investissements prévus par des investisseurs étrangers</w:t>
            </w:r>
          </w:p>
        </w:tc>
        <w:tc>
          <w:tcPr>
            <w:tcW w:w="1436" w:type="pct"/>
          </w:tcPr>
          <w:p w14:paraId="500FD6DF" w14:textId="77777777" w:rsidR="000730D3" w:rsidRPr="00732D9A" w:rsidRDefault="000730D3" w:rsidP="000730D3">
            <w:pPr>
              <w:rPr>
                <w:noProof/>
                <w:sz w:val="20"/>
                <w:szCs w:val="20"/>
              </w:rPr>
            </w:pPr>
            <w:r w:rsidRPr="00732D9A">
              <w:rPr>
                <w:noProof/>
                <w:sz w:val="20"/>
              </w:rPr>
              <w:t>Article 16</w:t>
            </w:r>
          </w:p>
        </w:tc>
        <w:tc>
          <w:tcPr>
            <w:tcW w:w="1994" w:type="pct"/>
          </w:tcPr>
          <w:p w14:paraId="0AB30720" w14:textId="77777777" w:rsidR="000730D3" w:rsidRPr="00732D9A" w:rsidRDefault="000730D3" w:rsidP="000730D3">
            <w:pPr>
              <w:rPr>
                <w:noProof/>
                <w:sz w:val="20"/>
                <w:szCs w:val="20"/>
              </w:rPr>
            </w:pPr>
            <w:r w:rsidRPr="00732D9A">
              <w:rPr>
                <w:noProof/>
                <w:sz w:val="20"/>
              </w:rPr>
              <w:t>s.o.</w:t>
            </w:r>
          </w:p>
        </w:tc>
      </w:tr>
      <w:tr w:rsidR="000730D3" w:rsidRPr="00732D9A" w14:paraId="241E967E" w14:textId="77777777">
        <w:tc>
          <w:tcPr>
            <w:tcW w:w="1570" w:type="pct"/>
          </w:tcPr>
          <w:p w14:paraId="55D04FCE" w14:textId="77777777" w:rsidR="000730D3" w:rsidRPr="00732D9A" w:rsidRDefault="000730D3" w:rsidP="000730D3">
            <w:pPr>
              <w:rPr>
                <w:noProof/>
                <w:sz w:val="20"/>
                <w:szCs w:val="20"/>
              </w:rPr>
            </w:pPr>
            <w:r w:rsidRPr="00732D9A">
              <w:rPr>
                <w:noProof/>
                <w:sz w:val="20"/>
              </w:rPr>
              <w:t>Rapports sur le respect des règles en matière d’investissements étrangers</w:t>
            </w:r>
          </w:p>
        </w:tc>
        <w:tc>
          <w:tcPr>
            <w:tcW w:w="1436" w:type="pct"/>
          </w:tcPr>
          <w:p w14:paraId="3392756B" w14:textId="77777777" w:rsidR="000730D3" w:rsidRPr="00732D9A" w:rsidRDefault="000730D3" w:rsidP="000730D3">
            <w:pPr>
              <w:rPr>
                <w:noProof/>
                <w:sz w:val="20"/>
                <w:szCs w:val="20"/>
              </w:rPr>
            </w:pPr>
            <w:r w:rsidRPr="00732D9A">
              <w:rPr>
                <w:noProof/>
                <w:sz w:val="20"/>
              </w:rPr>
              <w:t>Articles 19 et 20</w:t>
            </w:r>
          </w:p>
        </w:tc>
        <w:tc>
          <w:tcPr>
            <w:tcW w:w="1994" w:type="pct"/>
          </w:tcPr>
          <w:p w14:paraId="14AF4CB6" w14:textId="77777777" w:rsidR="000730D3" w:rsidRPr="00732D9A" w:rsidRDefault="000730D3" w:rsidP="000730D3">
            <w:pPr>
              <w:rPr>
                <w:noProof/>
                <w:sz w:val="20"/>
                <w:szCs w:val="20"/>
              </w:rPr>
            </w:pPr>
            <w:r w:rsidRPr="00732D9A">
              <w:rPr>
                <w:noProof/>
                <w:sz w:val="20"/>
              </w:rPr>
              <w:t>s.o.</w:t>
            </w:r>
          </w:p>
        </w:tc>
      </w:tr>
      <w:tr w:rsidR="000730D3" w:rsidRPr="00732D9A" w14:paraId="7A06B037" w14:textId="77777777">
        <w:tc>
          <w:tcPr>
            <w:tcW w:w="1570" w:type="pct"/>
          </w:tcPr>
          <w:p w14:paraId="44803857" w14:textId="77777777" w:rsidR="000730D3" w:rsidRPr="00732D9A" w:rsidRDefault="000730D3" w:rsidP="000730D3">
            <w:pPr>
              <w:rPr>
                <w:noProof/>
                <w:sz w:val="20"/>
                <w:szCs w:val="20"/>
              </w:rPr>
            </w:pPr>
            <w:r w:rsidRPr="00732D9A">
              <w:rPr>
                <w:noProof/>
                <w:sz w:val="20"/>
              </w:rPr>
              <w:t xml:space="preserve">Notification des zones d’industrialisation prioritaire désignées </w:t>
            </w:r>
          </w:p>
        </w:tc>
        <w:tc>
          <w:tcPr>
            <w:tcW w:w="1436" w:type="pct"/>
          </w:tcPr>
          <w:p w14:paraId="05FE2FE9" w14:textId="77777777" w:rsidR="000730D3" w:rsidRPr="00732D9A" w:rsidRDefault="000730D3" w:rsidP="000730D3">
            <w:pPr>
              <w:rPr>
                <w:noProof/>
                <w:sz w:val="20"/>
                <w:szCs w:val="20"/>
              </w:rPr>
            </w:pPr>
            <w:r w:rsidRPr="00732D9A">
              <w:rPr>
                <w:noProof/>
                <w:sz w:val="20"/>
              </w:rPr>
              <w:t>Article 22</w:t>
            </w:r>
          </w:p>
        </w:tc>
        <w:tc>
          <w:tcPr>
            <w:tcW w:w="1994" w:type="pct"/>
          </w:tcPr>
          <w:p w14:paraId="0380AA02" w14:textId="77777777" w:rsidR="000730D3" w:rsidRPr="00732D9A" w:rsidRDefault="000730D3" w:rsidP="000730D3">
            <w:pPr>
              <w:rPr>
                <w:noProof/>
                <w:sz w:val="20"/>
                <w:szCs w:val="20"/>
              </w:rPr>
            </w:pPr>
            <w:r w:rsidRPr="00732D9A">
              <w:rPr>
                <w:noProof/>
                <w:sz w:val="20"/>
              </w:rPr>
              <w:t>s.o.</w:t>
            </w:r>
          </w:p>
        </w:tc>
      </w:tr>
    </w:tbl>
    <w:p w14:paraId="6DA33599" w14:textId="77777777" w:rsidR="00CA7C31" w:rsidRPr="00732D9A" w:rsidRDefault="00CA7C31" w:rsidP="00CA7C31">
      <w:pPr>
        <w:rPr>
          <w:b/>
          <w:bCs/>
          <w:i/>
          <w:iCs/>
          <w:noProof/>
        </w:rPr>
      </w:pPr>
      <w:r w:rsidRPr="00732D9A">
        <w:rPr>
          <w:b/>
          <w:i/>
          <w:noProof/>
        </w:rPr>
        <w:t>Alignement sur la stratégie européenne pour les données</w:t>
      </w:r>
    </w:p>
    <w:p w14:paraId="294C2618" w14:textId="77777777" w:rsidR="00CA7C31" w:rsidRPr="00732D9A" w:rsidRDefault="00CA7C31" w:rsidP="00CA7C31">
      <w:pPr>
        <w:rPr>
          <w:i/>
          <w:iCs/>
          <w:noProof/>
        </w:rPr>
      </w:pPr>
      <w:r w:rsidRPr="00732D9A">
        <w:rPr>
          <w:i/>
          <w:noProof/>
        </w:rPr>
        <w:t>Expliquer comment l’exigence ou les exigences sont alignées sur la stratégie européenne pour les données</w:t>
      </w:r>
    </w:p>
    <w:tbl>
      <w:tblPr>
        <w:tblStyle w:val="TableGrid"/>
        <w:tblW w:w="5000" w:type="pct"/>
        <w:tblLook w:val="04A0" w:firstRow="1" w:lastRow="0" w:firstColumn="1" w:lastColumn="0" w:noHBand="0" w:noVBand="1"/>
      </w:tblPr>
      <w:tblGrid>
        <w:gridCol w:w="9287"/>
      </w:tblGrid>
      <w:tr w:rsidR="00CA7C31" w:rsidRPr="00732D9A" w14:paraId="5E41923E" w14:textId="77777777">
        <w:tc>
          <w:tcPr>
            <w:tcW w:w="5000" w:type="pct"/>
          </w:tcPr>
          <w:p w14:paraId="695E35C4" w14:textId="77777777" w:rsidR="00CA7C31" w:rsidRPr="00732D9A" w:rsidRDefault="00F1545F" w:rsidP="00034440">
            <w:pPr>
              <w:rPr>
                <w:rFonts w:eastAsia="Times"/>
                <w:noProof/>
              </w:rPr>
            </w:pPr>
            <w:r w:rsidRPr="00732D9A">
              <w:rPr>
                <w:noProof/>
              </w:rPr>
              <w:t>La présente initiative législative est conforme à l’utilisation des données du secteur privé par les autorités publiques [Business to Government (B2G)] afin de garantir des décisions stratégiques fondées sur des données probantes. Le système numérique d’octroi de permis est conçu pour garantir l’interopérabilité et l’échange automatisé de données entre les autorités compétentes, la réutilisation des données et des documents déjà détenus par les autorités publiques, un niveau élevé de cybersécurité et d’intégrité de l’information, ainsi que la transparence et la responsabilité dans le cadre de la procédure d’octroi de permis.</w:t>
            </w:r>
          </w:p>
        </w:tc>
      </w:tr>
    </w:tbl>
    <w:p w14:paraId="14943FE6" w14:textId="77777777" w:rsidR="00CA7C31" w:rsidRPr="00732D9A" w:rsidRDefault="00CA7C31" w:rsidP="00CA7C31">
      <w:pPr>
        <w:rPr>
          <w:b/>
          <w:bCs/>
          <w:noProof/>
        </w:rPr>
      </w:pPr>
      <w:r w:rsidRPr="00732D9A">
        <w:rPr>
          <w:b/>
          <w:noProof/>
        </w:rPr>
        <w:t>Alignement sur le principe «une fois pour toutes»</w:t>
      </w:r>
    </w:p>
    <w:p w14:paraId="16641933" w14:textId="77777777" w:rsidR="00CA7C31" w:rsidRPr="00732D9A" w:rsidRDefault="00CA7C31" w:rsidP="00CA7C31">
      <w:pPr>
        <w:rPr>
          <w:i/>
          <w:iCs/>
          <w:noProof/>
        </w:rPr>
      </w:pPr>
      <w:r w:rsidRPr="00732D9A">
        <w:rPr>
          <w:i/>
          <w:noProof/>
        </w:rPr>
        <w:t>Expliquer comment le principe «une fois pour toutes» a été pris en considération et de quelle manière la possibilité de réutiliser des données existantes a été étudiée</w:t>
      </w:r>
    </w:p>
    <w:tbl>
      <w:tblPr>
        <w:tblStyle w:val="TableGrid"/>
        <w:tblW w:w="5000" w:type="pct"/>
        <w:tblLook w:val="04A0" w:firstRow="1" w:lastRow="0" w:firstColumn="1" w:lastColumn="0" w:noHBand="0" w:noVBand="1"/>
      </w:tblPr>
      <w:tblGrid>
        <w:gridCol w:w="9287"/>
      </w:tblGrid>
      <w:tr w:rsidR="00CA7C31" w:rsidRPr="00732D9A" w14:paraId="17B31ADE" w14:textId="77777777">
        <w:tc>
          <w:tcPr>
            <w:tcW w:w="5000" w:type="pct"/>
          </w:tcPr>
          <w:p w14:paraId="19276750" w14:textId="77777777" w:rsidR="00CA7C31" w:rsidRPr="00732D9A" w:rsidRDefault="00CA7C31">
            <w:pPr>
              <w:spacing w:before="0" w:after="160"/>
              <w:rPr>
                <w:rFonts w:ascii="Times" w:hAnsi="Times" w:cs="Times"/>
                <w:noProof/>
              </w:rPr>
            </w:pPr>
            <w:r w:rsidRPr="00732D9A">
              <w:rPr>
                <w:rFonts w:ascii="Times" w:hAnsi="Times"/>
                <w:noProof/>
              </w:rPr>
              <w:t>La réutilisation des données déjà détenues par les autorités publiques est assurée. Les procédures d’octroi de permis sont ajoutées au champ d’application du portail numérique unique et du système technique «une fois pour toutes». Le principe «une fois pour toutes» est respecté dans ce cas afin de réduire au minimum la charge administrative pesant sur les acteurs opérant dans le marché unique. Les États membres et la Commission veillent à la protection des informations commerciales confidentielles.</w:t>
            </w:r>
          </w:p>
        </w:tc>
      </w:tr>
    </w:tbl>
    <w:p w14:paraId="4D1A6FF8" w14:textId="77777777" w:rsidR="00CA7C31" w:rsidRPr="00732D9A" w:rsidRDefault="00CA7C31" w:rsidP="00CA7C31">
      <w:pPr>
        <w:rPr>
          <w:noProof/>
        </w:rPr>
      </w:pPr>
      <w:r w:rsidRPr="00732D9A">
        <w:rPr>
          <w:i/>
          <w:noProof/>
        </w:rPr>
        <w:t>Expliquer comment les données nouvellement créées sont faciles à trouver, accessibles, interopérables et réutilisables, et répondent à des normes de qualité élevée</w:t>
      </w:r>
    </w:p>
    <w:tbl>
      <w:tblPr>
        <w:tblStyle w:val="TableGrid"/>
        <w:tblW w:w="5000" w:type="pct"/>
        <w:tblLook w:val="04A0" w:firstRow="1" w:lastRow="0" w:firstColumn="1" w:lastColumn="0" w:noHBand="0" w:noVBand="1"/>
      </w:tblPr>
      <w:tblGrid>
        <w:gridCol w:w="9287"/>
      </w:tblGrid>
      <w:tr w:rsidR="00CA7C31" w:rsidRPr="00732D9A" w14:paraId="473FC378" w14:textId="77777777">
        <w:tc>
          <w:tcPr>
            <w:tcW w:w="5000" w:type="pct"/>
          </w:tcPr>
          <w:p w14:paraId="0A465537" w14:textId="77777777" w:rsidR="00CA7C31" w:rsidRPr="00732D9A" w:rsidRDefault="00CA7C31">
            <w:pPr>
              <w:rPr>
                <w:noProof/>
              </w:rPr>
            </w:pPr>
            <w:r w:rsidRPr="00732D9A">
              <w:rPr>
                <w:noProof/>
              </w:rPr>
              <w:t>La Commission, par voie d’actes d’exécution, établit les règles détaillées, les normes techniques et les procédures nécessaires pour assurer l’interopérabilité, la sécurité et le fonctionnement efficace des systèmes numériques d’octroi de permis.</w:t>
            </w:r>
          </w:p>
        </w:tc>
      </w:tr>
    </w:tbl>
    <w:p w14:paraId="743ABE0A" w14:textId="77777777" w:rsidR="00CA7C31" w:rsidRPr="00732D9A" w:rsidRDefault="00CA7C31" w:rsidP="00CA7C31">
      <w:pPr>
        <w:rPr>
          <w:b/>
          <w:bCs/>
          <w:noProof/>
        </w:rPr>
      </w:pPr>
      <w:r w:rsidRPr="00732D9A">
        <w:rPr>
          <w:b/>
          <w:noProof/>
        </w:rPr>
        <w:t>Flux de données</w:t>
      </w:r>
    </w:p>
    <w:p w14:paraId="0C99719C" w14:textId="77777777" w:rsidR="00CA7C31" w:rsidRPr="00732D9A" w:rsidRDefault="00CA7C31" w:rsidP="00CA7C31">
      <w:pPr>
        <w:rPr>
          <w:i/>
          <w:iCs/>
          <w:noProof/>
        </w:rPr>
      </w:pPr>
      <w:r w:rsidRPr="00732D9A">
        <w:rPr>
          <w:i/>
          <w:noProof/>
        </w:rPr>
        <w:t>Description générale des flux de données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732"/>
        <w:gridCol w:w="1695"/>
        <w:gridCol w:w="1369"/>
        <w:gridCol w:w="1502"/>
        <w:gridCol w:w="1411"/>
        <w:gridCol w:w="1382"/>
      </w:tblGrid>
      <w:tr w:rsidR="00CA7C31" w:rsidRPr="00732D9A" w14:paraId="446190E1" w14:textId="77777777" w:rsidTr="00E54D78">
        <w:tc>
          <w:tcPr>
            <w:tcW w:w="953" w:type="pct"/>
            <w:vAlign w:val="center"/>
            <w:hideMark/>
          </w:tcPr>
          <w:p w14:paraId="75A81767" w14:textId="77777777" w:rsidR="00CA7C31" w:rsidRPr="00732D9A" w:rsidRDefault="00CA7C31">
            <w:pPr>
              <w:rPr>
                <w:noProof/>
                <w:sz w:val="20"/>
                <w:szCs w:val="20"/>
              </w:rPr>
            </w:pPr>
            <w:r w:rsidRPr="00732D9A">
              <w:rPr>
                <w:b/>
                <w:noProof/>
                <w:sz w:val="20"/>
              </w:rPr>
              <w:t>Type de données</w:t>
            </w:r>
          </w:p>
        </w:tc>
        <w:tc>
          <w:tcPr>
            <w:tcW w:w="932" w:type="pct"/>
            <w:vAlign w:val="center"/>
            <w:hideMark/>
          </w:tcPr>
          <w:p w14:paraId="4C96D14A" w14:textId="77777777" w:rsidR="00CA7C31" w:rsidRPr="00732D9A" w:rsidRDefault="00CA7C31">
            <w:pPr>
              <w:rPr>
                <w:noProof/>
                <w:sz w:val="20"/>
                <w:szCs w:val="20"/>
              </w:rPr>
            </w:pPr>
            <w:r w:rsidRPr="00732D9A">
              <w:rPr>
                <w:b/>
                <w:noProof/>
                <w:sz w:val="20"/>
              </w:rPr>
              <w:t>Référence(s) à l’exigence ou aux exigences</w:t>
            </w:r>
          </w:p>
        </w:tc>
        <w:tc>
          <w:tcPr>
            <w:tcW w:w="753" w:type="pct"/>
            <w:vAlign w:val="center"/>
            <w:hideMark/>
          </w:tcPr>
          <w:p w14:paraId="50E7DBEC" w14:textId="77777777" w:rsidR="00CA7C31" w:rsidRPr="00732D9A" w:rsidRDefault="00CA7C31">
            <w:pPr>
              <w:rPr>
                <w:noProof/>
                <w:sz w:val="20"/>
                <w:szCs w:val="20"/>
              </w:rPr>
            </w:pPr>
            <w:r w:rsidRPr="00732D9A">
              <w:rPr>
                <w:b/>
                <w:noProof/>
                <w:sz w:val="20"/>
              </w:rPr>
              <w:t>Acteur qui fournit les données</w:t>
            </w:r>
          </w:p>
        </w:tc>
        <w:tc>
          <w:tcPr>
            <w:tcW w:w="826" w:type="pct"/>
            <w:vAlign w:val="center"/>
            <w:hideMark/>
          </w:tcPr>
          <w:p w14:paraId="69ECD6FB" w14:textId="77777777" w:rsidR="00CA7C31" w:rsidRPr="00732D9A" w:rsidRDefault="00CA7C31">
            <w:pPr>
              <w:rPr>
                <w:noProof/>
                <w:sz w:val="20"/>
                <w:szCs w:val="20"/>
              </w:rPr>
            </w:pPr>
            <w:r w:rsidRPr="00732D9A">
              <w:rPr>
                <w:b/>
                <w:noProof/>
                <w:sz w:val="20"/>
              </w:rPr>
              <w:t>Acteur qui reçoit les données</w:t>
            </w:r>
          </w:p>
        </w:tc>
        <w:tc>
          <w:tcPr>
            <w:tcW w:w="776" w:type="pct"/>
            <w:vAlign w:val="center"/>
            <w:hideMark/>
          </w:tcPr>
          <w:p w14:paraId="3E004AC1" w14:textId="77777777" w:rsidR="00CA7C31" w:rsidRPr="00732D9A" w:rsidRDefault="00CA7C31">
            <w:pPr>
              <w:rPr>
                <w:noProof/>
                <w:sz w:val="20"/>
                <w:szCs w:val="20"/>
              </w:rPr>
            </w:pPr>
            <w:r w:rsidRPr="00732D9A">
              <w:rPr>
                <w:b/>
                <w:noProof/>
                <w:sz w:val="20"/>
              </w:rPr>
              <w:t>Déclencheur de l’échange de données</w:t>
            </w:r>
          </w:p>
        </w:tc>
        <w:tc>
          <w:tcPr>
            <w:tcW w:w="760" w:type="pct"/>
            <w:vAlign w:val="center"/>
            <w:hideMark/>
          </w:tcPr>
          <w:p w14:paraId="2C409359" w14:textId="77777777" w:rsidR="00CA7C31" w:rsidRPr="00732D9A" w:rsidRDefault="00CA7C31">
            <w:pPr>
              <w:rPr>
                <w:noProof/>
                <w:sz w:val="20"/>
                <w:szCs w:val="20"/>
              </w:rPr>
            </w:pPr>
            <w:r w:rsidRPr="00732D9A">
              <w:rPr>
                <w:b/>
                <w:noProof/>
                <w:sz w:val="20"/>
              </w:rPr>
              <w:t>Fréquence (le cas échéant)</w:t>
            </w:r>
          </w:p>
        </w:tc>
      </w:tr>
      <w:tr w:rsidR="00CA7C31" w:rsidRPr="00732D9A" w14:paraId="1B1441FF" w14:textId="77777777" w:rsidTr="00E54D78">
        <w:tc>
          <w:tcPr>
            <w:tcW w:w="953" w:type="pct"/>
            <w:hideMark/>
          </w:tcPr>
          <w:p w14:paraId="6DFFCF84" w14:textId="77777777" w:rsidR="00CA7C31" w:rsidRPr="00732D9A" w:rsidRDefault="00CA7C31">
            <w:pPr>
              <w:rPr>
                <w:noProof/>
                <w:sz w:val="20"/>
                <w:szCs w:val="20"/>
              </w:rPr>
            </w:pPr>
            <w:r w:rsidRPr="00732D9A">
              <w:rPr>
                <w:noProof/>
                <w:sz w:val="20"/>
              </w:rPr>
              <w:t>Demandes d’octroi d’autorisations</w:t>
            </w:r>
          </w:p>
        </w:tc>
        <w:tc>
          <w:tcPr>
            <w:tcW w:w="932" w:type="pct"/>
            <w:hideMark/>
          </w:tcPr>
          <w:p w14:paraId="09C8FB9C" w14:textId="77777777" w:rsidR="00CA7C31" w:rsidRPr="00732D9A" w:rsidRDefault="00CA7C31">
            <w:pPr>
              <w:rPr>
                <w:noProof/>
                <w:sz w:val="20"/>
                <w:szCs w:val="20"/>
              </w:rPr>
            </w:pPr>
            <w:r w:rsidRPr="00732D9A">
              <w:rPr>
                <w:noProof/>
                <w:sz w:val="20"/>
              </w:rPr>
              <w:t>Article 4</w:t>
            </w:r>
          </w:p>
        </w:tc>
        <w:tc>
          <w:tcPr>
            <w:tcW w:w="753" w:type="pct"/>
            <w:hideMark/>
          </w:tcPr>
          <w:p w14:paraId="7E693E80" w14:textId="77777777" w:rsidR="00CA7C31" w:rsidRPr="00732D9A" w:rsidRDefault="00CA7C31">
            <w:pPr>
              <w:rPr>
                <w:noProof/>
                <w:sz w:val="20"/>
                <w:szCs w:val="20"/>
              </w:rPr>
            </w:pPr>
            <w:r w:rsidRPr="00732D9A">
              <w:rPr>
                <w:noProof/>
                <w:sz w:val="20"/>
              </w:rPr>
              <w:t>Opérateur économique</w:t>
            </w:r>
          </w:p>
        </w:tc>
        <w:tc>
          <w:tcPr>
            <w:tcW w:w="826" w:type="pct"/>
            <w:hideMark/>
          </w:tcPr>
          <w:p w14:paraId="268FA27F" w14:textId="77777777" w:rsidR="00CA7C31" w:rsidRPr="00732D9A" w:rsidRDefault="00CA7C31">
            <w:pPr>
              <w:rPr>
                <w:noProof/>
                <w:sz w:val="20"/>
                <w:szCs w:val="20"/>
              </w:rPr>
            </w:pPr>
            <w:r w:rsidRPr="00732D9A">
              <w:rPr>
                <w:noProof/>
                <w:sz w:val="20"/>
              </w:rPr>
              <w:t>Autorité nationale compétente</w:t>
            </w:r>
          </w:p>
        </w:tc>
        <w:tc>
          <w:tcPr>
            <w:tcW w:w="776" w:type="pct"/>
            <w:hideMark/>
          </w:tcPr>
          <w:p w14:paraId="6F59AE7C" w14:textId="77777777" w:rsidR="00CA7C31" w:rsidRPr="00732D9A" w:rsidRDefault="00CA7C31">
            <w:pPr>
              <w:rPr>
                <w:noProof/>
                <w:sz w:val="20"/>
                <w:szCs w:val="20"/>
              </w:rPr>
            </w:pPr>
            <w:r w:rsidRPr="00732D9A">
              <w:rPr>
                <w:noProof/>
                <w:sz w:val="20"/>
              </w:rPr>
              <w:t>Requis pour les demandes d’octroi d’autorisations.</w:t>
            </w:r>
          </w:p>
        </w:tc>
        <w:tc>
          <w:tcPr>
            <w:tcW w:w="760" w:type="pct"/>
            <w:hideMark/>
          </w:tcPr>
          <w:p w14:paraId="5E87CEC5" w14:textId="77777777" w:rsidR="00CA7C31" w:rsidRPr="00732D9A" w:rsidRDefault="00A859B4">
            <w:pPr>
              <w:rPr>
                <w:noProof/>
                <w:sz w:val="20"/>
                <w:szCs w:val="20"/>
              </w:rPr>
            </w:pPr>
            <w:r w:rsidRPr="00732D9A">
              <w:rPr>
                <w:noProof/>
                <w:sz w:val="20"/>
              </w:rPr>
              <w:t>s.o.</w:t>
            </w:r>
          </w:p>
        </w:tc>
      </w:tr>
      <w:tr w:rsidR="00E54D78" w:rsidRPr="00732D9A" w14:paraId="73FDF989" w14:textId="77777777" w:rsidTr="00E54D78">
        <w:tc>
          <w:tcPr>
            <w:tcW w:w="953" w:type="pct"/>
          </w:tcPr>
          <w:p w14:paraId="733492B9" w14:textId="77777777" w:rsidR="00E54D78" w:rsidRPr="00732D9A" w:rsidRDefault="00E54D78" w:rsidP="00E54D78">
            <w:pPr>
              <w:rPr>
                <w:rFonts w:eastAsia="Calibri"/>
                <w:noProof/>
                <w:sz w:val="20"/>
                <w:szCs w:val="20"/>
              </w:rPr>
            </w:pPr>
            <w:r w:rsidRPr="00732D9A">
              <w:rPr>
                <w:noProof/>
                <w:sz w:val="20"/>
              </w:rPr>
              <w:t>Notification préalable des investissements prévus par des investisseurs étrangers</w:t>
            </w:r>
          </w:p>
        </w:tc>
        <w:tc>
          <w:tcPr>
            <w:tcW w:w="932" w:type="pct"/>
          </w:tcPr>
          <w:p w14:paraId="42EDC129" w14:textId="77777777" w:rsidR="00E54D78" w:rsidRPr="00732D9A" w:rsidRDefault="00E54D78" w:rsidP="00E54D78">
            <w:pPr>
              <w:rPr>
                <w:noProof/>
                <w:sz w:val="20"/>
                <w:szCs w:val="20"/>
              </w:rPr>
            </w:pPr>
            <w:r w:rsidRPr="00732D9A">
              <w:rPr>
                <w:noProof/>
                <w:sz w:val="20"/>
              </w:rPr>
              <w:t>Article 16</w:t>
            </w:r>
          </w:p>
        </w:tc>
        <w:tc>
          <w:tcPr>
            <w:tcW w:w="753" w:type="pct"/>
          </w:tcPr>
          <w:p w14:paraId="361828C6" w14:textId="77777777" w:rsidR="00E54D78" w:rsidRPr="00732D9A" w:rsidRDefault="00E54D78" w:rsidP="00E54D78">
            <w:pPr>
              <w:rPr>
                <w:noProof/>
                <w:sz w:val="20"/>
                <w:szCs w:val="20"/>
              </w:rPr>
            </w:pPr>
            <w:r w:rsidRPr="00732D9A">
              <w:rPr>
                <w:noProof/>
                <w:sz w:val="20"/>
              </w:rPr>
              <w:t>Opérateur économique</w:t>
            </w:r>
          </w:p>
        </w:tc>
        <w:tc>
          <w:tcPr>
            <w:tcW w:w="826" w:type="pct"/>
          </w:tcPr>
          <w:p w14:paraId="57E0F677" w14:textId="77777777" w:rsidR="00E54D78" w:rsidRPr="00732D9A" w:rsidRDefault="00E54D78" w:rsidP="00E54D78">
            <w:pPr>
              <w:rPr>
                <w:noProof/>
                <w:sz w:val="20"/>
                <w:szCs w:val="20"/>
              </w:rPr>
            </w:pPr>
            <w:r w:rsidRPr="00732D9A">
              <w:rPr>
                <w:noProof/>
                <w:sz w:val="20"/>
              </w:rPr>
              <w:t>Autorité nationale compétente</w:t>
            </w:r>
          </w:p>
        </w:tc>
        <w:tc>
          <w:tcPr>
            <w:tcW w:w="776" w:type="pct"/>
          </w:tcPr>
          <w:p w14:paraId="6C5C1875" w14:textId="77777777" w:rsidR="00E54D78" w:rsidRPr="00732D9A" w:rsidRDefault="00E54D78" w:rsidP="00E54D78">
            <w:pPr>
              <w:rPr>
                <w:noProof/>
                <w:sz w:val="20"/>
                <w:szCs w:val="20"/>
              </w:rPr>
            </w:pPr>
            <w:r w:rsidRPr="00732D9A">
              <w:rPr>
                <w:noProof/>
                <w:sz w:val="20"/>
              </w:rPr>
              <w:t>Sur l’intention de réaliser un investissement</w:t>
            </w:r>
          </w:p>
        </w:tc>
        <w:tc>
          <w:tcPr>
            <w:tcW w:w="760" w:type="pct"/>
          </w:tcPr>
          <w:p w14:paraId="2423298E" w14:textId="77777777" w:rsidR="00E54D78" w:rsidRPr="00732D9A" w:rsidDel="00A859B4" w:rsidRDefault="00E54D78" w:rsidP="00E54D78">
            <w:pPr>
              <w:rPr>
                <w:noProof/>
                <w:sz w:val="20"/>
                <w:szCs w:val="20"/>
              </w:rPr>
            </w:pPr>
            <w:r w:rsidRPr="00732D9A">
              <w:rPr>
                <w:noProof/>
                <w:sz w:val="20"/>
              </w:rPr>
              <w:t>s.o.</w:t>
            </w:r>
          </w:p>
        </w:tc>
      </w:tr>
      <w:tr w:rsidR="00E54D78" w:rsidRPr="00732D9A" w14:paraId="162785C2" w14:textId="77777777" w:rsidTr="00E54D78">
        <w:tc>
          <w:tcPr>
            <w:tcW w:w="953" w:type="pct"/>
          </w:tcPr>
          <w:p w14:paraId="715AEB83" w14:textId="77777777" w:rsidR="00E54D78" w:rsidRPr="00732D9A" w:rsidRDefault="00E54D78" w:rsidP="00E54D78">
            <w:pPr>
              <w:rPr>
                <w:rFonts w:eastAsia="Calibri"/>
                <w:noProof/>
                <w:sz w:val="20"/>
                <w:szCs w:val="20"/>
              </w:rPr>
            </w:pPr>
            <w:r w:rsidRPr="00732D9A">
              <w:rPr>
                <w:noProof/>
                <w:sz w:val="20"/>
              </w:rPr>
              <w:t>Rapports sur le respect des règles en matière d’investissements étrangers</w:t>
            </w:r>
          </w:p>
        </w:tc>
        <w:tc>
          <w:tcPr>
            <w:tcW w:w="932" w:type="pct"/>
          </w:tcPr>
          <w:p w14:paraId="4809EC69" w14:textId="77777777" w:rsidR="00E54D78" w:rsidRPr="00732D9A" w:rsidRDefault="00E54D78" w:rsidP="00E54D78">
            <w:pPr>
              <w:rPr>
                <w:noProof/>
                <w:sz w:val="20"/>
                <w:szCs w:val="20"/>
              </w:rPr>
            </w:pPr>
            <w:r w:rsidRPr="00732D9A">
              <w:rPr>
                <w:noProof/>
                <w:sz w:val="20"/>
              </w:rPr>
              <w:t>Articles 19 et 20</w:t>
            </w:r>
          </w:p>
        </w:tc>
        <w:tc>
          <w:tcPr>
            <w:tcW w:w="753" w:type="pct"/>
          </w:tcPr>
          <w:p w14:paraId="3FBF60AB" w14:textId="77777777" w:rsidR="00E54D78" w:rsidRPr="00732D9A" w:rsidRDefault="00E54D78" w:rsidP="00E54D78">
            <w:pPr>
              <w:rPr>
                <w:noProof/>
                <w:sz w:val="20"/>
                <w:szCs w:val="20"/>
              </w:rPr>
            </w:pPr>
            <w:r w:rsidRPr="00732D9A">
              <w:rPr>
                <w:noProof/>
                <w:sz w:val="20"/>
              </w:rPr>
              <w:t>Autorité nationale compétente</w:t>
            </w:r>
          </w:p>
        </w:tc>
        <w:tc>
          <w:tcPr>
            <w:tcW w:w="826" w:type="pct"/>
          </w:tcPr>
          <w:p w14:paraId="2BEC68DF" w14:textId="77777777" w:rsidR="00E54D78" w:rsidRPr="00732D9A" w:rsidRDefault="00E54D78" w:rsidP="00E54D78">
            <w:pPr>
              <w:rPr>
                <w:noProof/>
                <w:sz w:val="20"/>
                <w:szCs w:val="20"/>
              </w:rPr>
            </w:pPr>
            <w:r w:rsidRPr="00732D9A">
              <w:rPr>
                <w:noProof/>
                <w:sz w:val="20"/>
              </w:rPr>
              <w:t>Commission européenne</w:t>
            </w:r>
          </w:p>
        </w:tc>
        <w:tc>
          <w:tcPr>
            <w:tcW w:w="776" w:type="pct"/>
          </w:tcPr>
          <w:p w14:paraId="27800A4E" w14:textId="77777777" w:rsidR="00E54D78" w:rsidRPr="00732D9A" w:rsidRDefault="00E54D78" w:rsidP="00E54D78">
            <w:pPr>
              <w:rPr>
                <w:noProof/>
                <w:sz w:val="20"/>
                <w:szCs w:val="20"/>
              </w:rPr>
            </w:pPr>
            <w:r w:rsidRPr="00732D9A">
              <w:rPr>
                <w:noProof/>
                <w:sz w:val="20"/>
              </w:rPr>
              <w:t>Sur demande</w:t>
            </w:r>
          </w:p>
        </w:tc>
        <w:tc>
          <w:tcPr>
            <w:tcW w:w="760" w:type="pct"/>
          </w:tcPr>
          <w:p w14:paraId="76181D43" w14:textId="77777777" w:rsidR="00E54D78" w:rsidRPr="00732D9A" w:rsidRDefault="00E54D78" w:rsidP="00E54D78">
            <w:pPr>
              <w:rPr>
                <w:noProof/>
                <w:sz w:val="20"/>
                <w:szCs w:val="20"/>
              </w:rPr>
            </w:pPr>
            <w:r w:rsidRPr="00732D9A">
              <w:rPr>
                <w:noProof/>
                <w:sz w:val="20"/>
              </w:rPr>
              <w:t>s.o.</w:t>
            </w:r>
          </w:p>
        </w:tc>
      </w:tr>
      <w:tr w:rsidR="00E54D78" w:rsidRPr="00732D9A" w14:paraId="7553F350" w14:textId="77777777" w:rsidTr="00E54D78">
        <w:tc>
          <w:tcPr>
            <w:tcW w:w="953" w:type="pct"/>
          </w:tcPr>
          <w:p w14:paraId="0543250B" w14:textId="77777777" w:rsidR="00E54D78" w:rsidRPr="00732D9A" w:rsidRDefault="00E54D78" w:rsidP="00E54D78">
            <w:pPr>
              <w:rPr>
                <w:noProof/>
                <w:sz w:val="20"/>
                <w:szCs w:val="20"/>
              </w:rPr>
            </w:pPr>
            <w:r w:rsidRPr="00732D9A">
              <w:rPr>
                <w:noProof/>
                <w:sz w:val="20"/>
              </w:rPr>
              <w:t>Décision relative aux zones d’industrialisation prioritaire désignées</w:t>
            </w:r>
          </w:p>
        </w:tc>
        <w:tc>
          <w:tcPr>
            <w:tcW w:w="932" w:type="pct"/>
          </w:tcPr>
          <w:p w14:paraId="7BF0C7FF" w14:textId="77777777" w:rsidR="00E54D78" w:rsidRPr="00732D9A" w:rsidRDefault="00E54D78" w:rsidP="00E54D78">
            <w:pPr>
              <w:rPr>
                <w:noProof/>
                <w:sz w:val="20"/>
                <w:szCs w:val="20"/>
              </w:rPr>
            </w:pPr>
            <w:r w:rsidRPr="00732D9A">
              <w:rPr>
                <w:noProof/>
                <w:sz w:val="20"/>
              </w:rPr>
              <w:t>Article 22</w:t>
            </w:r>
          </w:p>
        </w:tc>
        <w:tc>
          <w:tcPr>
            <w:tcW w:w="753" w:type="pct"/>
          </w:tcPr>
          <w:p w14:paraId="5F3579E5" w14:textId="77777777" w:rsidR="00E54D78" w:rsidRPr="00732D9A" w:rsidRDefault="00E54D78" w:rsidP="00E54D78">
            <w:pPr>
              <w:rPr>
                <w:noProof/>
                <w:sz w:val="20"/>
                <w:szCs w:val="20"/>
              </w:rPr>
            </w:pPr>
            <w:r w:rsidRPr="00732D9A">
              <w:rPr>
                <w:noProof/>
                <w:sz w:val="20"/>
              </w:rPr>
              <w:t>État membre</w:t>
            </w:r>
          </w:p>
        </w:tc>
        <w:tc>
          <w:tcPr>
            <w:tcW w:w="826" w:type="pct"/>
          </w:tcPr>
          <w:p w14:paraId="21923490" w14:textId="77777777" w:rsidR="00E54D78" w:rsidRPr="00732D9A" w:rsidRDefault="00E54D78" w:rsidP="00E54D78">
            <w:pPr>
              <w:rPr>
                <w:noProof/>
                <w:sz w:val="20"/>
                <w:szCs w:val="20"/>
              </w:rPr>
            </w:pPr>
            <w:r w:rsidRPr="00732D9A">
              <w:rPr>
                <w:noProof/>
                <w:sz w:val="20"/>
              </w:rPr>
              <w:t>Commission européenne</w:t>
            </w:r>
          </w:p>
        </w:tc>
        <w:tc>
          <w:tcPr>
            <w:tcW w:w="776" w:type="pct"/>
          </w:tcPr>
          <w:p w14:paraId="00F74126" w14:textId="77777777" w:rsidR="00E54D78" w:rsidRPr="00732D9A" w:rsidRDefault="00E54D78" w:rsidP="00E54D78">
            <w:pPr>
              <w:rPr>
                <w:noProof/>
                <w:sz w:val="20"/>
                <w:szCs w:val="20"/>
              </w:rPr>
            </w:pPr>
            <w:r w:rsidRPr="00732D9A">
              <w:rPr>
                <w:noProof/>
                <w:sz w:val="20"/>
              </w:rPr>
              <w:t>Décision prise</w:t>
            </w:r>
          </w:p>
        </w:tc>
        <w:tc>
          <w:tcPr>
            <w:tcW w:w="760" w:type="pct"/>
          </w:tcPr>
          <w:p w14:paraId="288AF133" w14:textId="77777777" w:rsidR="00E54D78" w:rsidRPr="00732D9A" w:rsidRDefault="00E54D78" w:rsidP="00E54D78">
            <w:pPr>
              <w:rPr>
                <w:noProof/>
                <w:sz w:val="20"/>
                <w:szCs w:val="20"/>
              </w:rPr>
            </w:pPr>
            <w:r w:rsidRPr="00732D9A">
              <w:rPr>
                <w:noProof/>
                <w:sz w:val="20"/>
              </w:rPr>
              <w:t>s.o.</w:t>
            </w:r>
          </w:p>
        </w:tc>
      </w:tr>
    </w:tbl>
    <w:p w14:paraId="30AA3BD6" w14:textId="77777777" w:rsidR="00CA7C31" w:rsidRPr="00732D9A" w:rsidRDefault="00CA7C31" w:rsidP="00CA7C31">
      <w:pPr>
        <w:pStyle w:val="ManualHeading2"/>
        <w:ind w:left="0" w:firstLine="0"/>
        <w:rPr>
          <w:noProof/>
        </w:rPr>
      </w:pPr>
      <w:r w:rsidRPr="00732D9A">
        <w:rPr>
          <w:noProof/>
        </w:rPr>
        <w:t>4.3.</w:t>
      </w:r>
      <w:r w:rsidRPr="00732D9A">
        <w:rPr>
          <w:noProof/>
        </w:rPr>
        <w:tab/>
        <w:t>Solutions numériques</w:t>
      </w:r>
    </w:p>
    <w:p w14:paraId="0DC6550A" w14:textId="77777777" w:rsidR="00CA7C31" w:rsidRPr="00732D9A" w:rsidRDefault="00CA7C31" w:rsidP="00CA7C31">
      <w:pPr>
        <w:rPr>
          <w:noProof/>
        </w:rPr>
      </w:pPr>
      <w:r w:rsidRPr="00732D9A">
        <w:rPr>
          <w:i/>
          <w:noProof/>
        </w:rPr>
        <w:t>Pour chaque solution numérique, fournir la référence à l’exigence ou aux exigences pertinentes en matière numérique et une description de la fonctionnalité requise de la solution numérique, et indiquer l’organisme qui en sera responsable, ainsi que d’autres aspects pertinents tels que la possibilité de réutilisation et l’accessibilité. Enfin, expliquer si la solution numérique prévoit d’utiliser les technologies de l’IA</w:t>
      </w:r>
      <w:r w:rsidRPr="00732D9A">
        <w:rPr>
          <w:noProof/>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065"/>
        <w:gridCol w:w="1086"/>
        <w:gridCol w:w="1405"/>
        <w:gridCol w:w="1032"/>
        <w:gridCol w:w="1774"/>
        <w:gridCol w:w="1664"/>
        <w:gridCol w:w="1065"/>
      </w:tblGrid>
      <w:tr w:rsidR="00CA7C31" w:rsidRPr="00732D9A" w14:paraId="722A0717" w14:textId="77777777">
        <w:tc>
          <w:tcPr>
            <w:tcW w:w="614" w:type="pct"/>
            <w:vAlign w:val="center"/>
            <w:hideMark/>
          </w:tcPr>
          <w:p w14:paraId="0CB92160" w14:textId="77777777" w:rsidR="00CA7C31" w:rsidRPr="00732D9A" w:rsidRDefault="00CA7C31">
            <w:pPr>
              <w:rPr>
                <w:noProof/>
                <w:sz w:val="20"/>
                <w:szCs w:val="20"/>
              </w:rPr>
            </w:pPr>
            <w:r w:rsidRPr="00732D9A">
              <w:rPr>
                <w:b/>
                <w:noProof/>
                <w:sz w:val="20"/>
              </w:rPr>
              <w:t>Solution numérique</w:t>
            </w:r>
          </w:p>
        </w:tc>
        <w:tc>
          <w:tcPr>
            <w:tcW w:w="607" w:type="pct"/>
            <w:vAlign w:val="center"/>
            <w:hideMark/>
          </w:tcPr>
          <w:p w14:paraId="354210F4" w14:textId="77777777" w:rsidR="00CA7C31" w:rsidRPr="00732D9A" w:rsidRDefault="00CA7C31">
            <w:pPr>
              <w:rPr>
                <w:noProof/>
                <w:sz w:val="20"/>
                <w:szCs w:val="20"/>
              </w:rPr>
            </w:pPr>
            <w:r w:rsidRPr="00732D9A">
              <w:rPr>
                <w:b/>
                <w:noProof/>
                <w:sz w:val="20"/>
              </w:rPr>
              <w:t>Référence(s) à l’exigence ou aux exigences</w:t>
            </w:r>
          </w:p>
        </w:tc>
        <w:tc>
          <w:tcPr>
            <w:tcW w:w="819" w:type="pct"/>
            <w:vAlign w:val="center"/>
            <w:hideMark/>
          </w:tcPr>
          <w:p w14:paraId="42913981" w14:textId="77777777" w:rsidR="00CA7C31" w:rsidRPr="00732D9A" w:rsidRDefault="00CA7C31">
            <w:pPr>
              <w:rPr>
                <w:noProof/>
                <w:sz w:val="20"/>
                <w:szCs w:val="20"/>
              </w:rPr>
            </w:pPr>
            <w:r w:rsidRPr="00732D9A">
              <w:rPr>
                <w:b/>
                <w:noProof/>
                <w:sz w:val="20"/>
              </w:rPr>
              <w:t>Principales fonctionnalités requises</w:t>
            </w:r>
          </w:p>
        </w:tc>
        <w:tc>
          <w:tcPr>
            <w:tcW w:w="496" w:type="pct"/>
            <w:vAlign w:val="center"/>
            <w:hideMark/>
          </w:tcPr>
          <w:p w14:paraId="5857F409" w14:textId="77777777" w:rsidR="00CA7C31" w:rsidRPr="00732D9A" w:rsidRDefault="00CA7C31">
            <w:pPr>
              <w:rPr>
                <w:noProof/>
                <w:sz w:val="20"/>
                <w:szCs w:val="20"/>
              </w:rPr>
            </w:pPr>
            <w:r w:rsidRPr="00732D9A">
              <w:rPr>
                <w:b/>
                <w:noProof/>
                <w:sz w:val="20"/>
              </w:rPr>
              <w:t>Organisme responsable</w:t>
            </w:r>
          </w:p>
        </w:tc>
        <w:tc>
          <w:tcPr>
            <w:tcW w:w="1004" w:type="pct"/>
            <w:vAlign w:val="center"/>
            <w:hideMark/>
          </w:tcPr>
          <w:p w14:paraId="4139E5DF" w14:textId="77777777" w:rsidR="00CA7C31" w:rsidRPr="00732D9A" w:rsidRDefault="00CA7C31">
            <w:pPr>
              <w:rPr>
                <w:noProof/>
                <w:sz w:val="20"/>
                <w:szCs w:val="20"/>
              </w:rPr>
            </w:pPr>
            <w:r w:rsidRPr="00732D9A">
              <w:rPr>
                <w:b/>
                <w:noProof/>
                <w:sz w:val="20"/>
              </w:rPr>
              <w:t>Comment l’accessibilité est-elle prise en compte?</w:t>
            </w:r>
          </w:p>
        </w:tc>
        <w:tc>
          <w:tcPr>
            <w:tcW w:w="943" w:type="pct"/>
            <w:vAlign w:val="center"/>
            <w:hideMark/>
          </w:tcPr>
          <w:p w14:paraId="6534655D" w14:textId="77777777" w:rsidR="00CA7C31" w:rsidRPr="00732D9A" w:rsidRDefault="00CA7C31">
            <w:pPr>
              <w:rPr>
                <w:noProof/>
                <w:sz w:val="20"/>
                <w:szCs w:val="20"/>
              </w:rPr>
            </w:pPr>
            <w:r w:rsidRPr="00732D9A">
              <w:rPr>
                <w:b/>
                <w:noProof/>
                <w:sz w:val="20"/>
              </w:rPr>
              <w:t>Comment la possibilité de réutilisation est-elle envisagée?</w:t>
            </w:r>
          </w:p>
        </w:tc>
        <w:tc>
          <w:tcPr>
            <w:tcW w:w="517" w:type="pct"/>
            <w:vAlign w:val="center"/>
            <w:hideMark/>
          </w:tcPr>
          <w:p w14:paraId="26219A52" w14:textId="77777777" w:rsidR="00CA7C31" w:rsidRPr="00732D9A" w:rsidRDefault="00CA7C31">
            <w:pPr>
              <w:rPr>
                <w:noProof/>
                <w:sz w:val="20"/>
                <w:szCs w:val="20"/>
              </w:rPr>
            </w:pPr>
            <w:r w:rsidRPr="00732D9A">
              <w:rPr>
                <w:b/>
                <w:noProof/>
                <w:sz w:val="20"/>
              </w:rPr>
              <w:t>Utilisation des technologies de l’IA (le cas échéant)</w:t>
            </w:r>
          </w:p>
        </w:tc>
      </w:tr>
      <w:tr w:rsidR="00CA7C31" w:rsidRPr="00732D9A" w14:paraId="3C2120F6" w14:textId="77777777">
        <w:tc>
          <w:tcPr>
            <w:tcW w:w="614" w:type="pct"/>
            <w:hideMark/>
          </w:tcPr>
          <w:p w14:paraId="515EEC40" w14:textId="77777777" w:rsidR="00CA7C31" w:rsidRPr="00732D9A" w:rsidRDefault="00CA7C31">
            <w:pPr>
              <w:rPr>
                <w:noProof/>
                <w:sz w:val="20"/>
                <w:szCs w:val="20"/>
              </w:rPr>
            </w:pPr>
            <w:r w:rsidRPr="00732D9A">
              <w:rPr>
                <w:noProof/>
                <w:sz w:val="20"/>
              </w:rPr>
              <w:t>Système numérique d’octroi de permis</w:t>
            </w:r>
          </w:p>
        </w:tc>
        <w:tc>
          <w:tcPr>
            <w:tcW w:w="607" w:type="pct"/>
            <w:hideMark/>
          </w:tcPr>
          <w:p w14:paraId="419A267F" w14:textId="77777777" w:rsidR="00CA7C31" w:rsidRPr="00732D9A" w:rsidRDefault="00CA7C31">
            <w:pPr>
              <w:rPr>
                <w:noProof/>
                <w:sz w:val="20"/>
                <w:szCs w:val="20"/>
              </w:rPr>
            </w:pPr>
            <w:r w:rsidRPr="00732D9A">
              <w:rPr>
                <w:noProof/>
                <w:sz w:val="20"/>
              </w:rPr>
              <w:t>Article 4</w:t>
            </w:r>
          </w:p>
        </w:tc>
        <w:tc>
          <w:tcPr>
            <w:tcW w:w="819" w:type="pct"/>
            <w:hideMark/>
          </w:tcPr>
          <w:p w14:paraId="51C3A868" w14:textId="77777777" w:rsidR="00CA7C31" w:rsidRPr="00732D9A" w:rsidRDefault="00CA7C31">
            <w:pPr>
              <w:rPr>
                <w:rFonts w:eastAsia="Times"/>
                <w:noProof/>
                <w:sz w:val="20"/>
                <w:szCs w:val="20"/>
              </w:rPr>
            </w:pPr>
            <w:r w:rsidRPr="00732D9A">
              <w:rPr>
                <w:noProof/>
                <w:sz w:val="20"/>
              </w:rPr>
              <w:t>Les procédures d’octroi de permis pour la fabrication industrielle sont menées par des moyens entièrement numériques.</w:t>
            </w:r>
          </w:p>
          <w:p w14:paraId="5A20888E" w14:textId="77777777" w:rsidR="00CA7C31" w:rsidRPr="00732D9A" w:rsidRDefault="00CA7C31">
            <w:pPr>
              <w:rPr>
                <w:noProof/>
                <w:sz w:val="20"/>
                <w:szCs w:val="20"/>
              </w:rPr>
            </w:pPr>
            <w:r w:rsidRPr="00732D9A">
              <w:rPr>
                <w:noProof/>
                <w:sz w:val="20"/>
              </w:rPr>
              <w:t>Le système dispose d’une interface utilisateur unique permettant une interaction avec les services publics concernés.</w:t>
            </w:r>
          </w:p>
          <w:p w14:paraId="2D238335" w14:textId="77777777" w:rsidR="00CA7C31" w:rsidRPr="00732D9A" w:rsidRDefault="00CA7C31">
            <w:pPr>
              <w:rPr>
                <w:noProof/>
                <w:sz w:val="20"/>
                <w:szCs w:val="20"/>
              </w:rPr>
            </w:pPr>
            <w:r w:rsidRPr="00732D9A">
              <w:rPr>
                <w:noProof/>
                <w:sz w:val="20"/>
              </w:rPr>
              <w:t>Le système numérique d’octroi de permis permet la présentation, le suivi et la prise de décision sans support papier des demandes de permis.</w:t>
            </w:r>
          </w:p>
        </w:tc>
        <w:tc>
          <w:tcPr>
            <w:tcW w:w="496" w:type="pct"/>
            <w:hideMark/>
          </w:tcPr>
          <w:p w14:paraId="466D5701" w14:textId="77777777" w:rsidR="00E54D78" w:rsidRPr="00732D9A" w:rsidRDefault="00E54D78">
            <w:pPr>
              <w:rPr>
                <w:noProof/>
                <w:sz w:val="20"/>
                <w:szCs w:val="20"/>
              </w:rPr>
            </w:pPr>
            <w:r w:rsidRPr="00732D9A">
              <w:rPr>
                <w:noProof/>
                <w:sz w:val="20"/>
              </w:rPr>
              <w:t>États membres</w:t>
            </w:r>
          </w:p>
          <w:p w14:paraId="6BAF9787" w14:textId="77777777" w:rsidR="00CA7C31" w:rsidRPr="00732D9A" w:rsidRDefault="00CA7C31">
            <w:pPr>
              <w:rPr>
                <w:noProof/>
                <w:sz w:val="20"/>
                <w:szCs w:val="20"/>
              </w:rPr>
            </w:pPr>
            <w:r w:rsidRPr="00732D9A">
              <w:rPr>
                <w:noProof/>
                <w:sz w:val="20"/>
              </w:rPr>
              <w:t>Autorités nationales compétentes</w:t>
            </w:r>
          </w:p>
        </w:tc>
        <w:tc>
          <w:tcPr>
            <w:tcW w:w="1004" w:type="pct"/>
            <w:hideMark/>
          </w:tcPr>
          <w:p w14:paraId="4A5511E6" w14:textId="77777777" w:rsidR="00CA7C31" w:rsidRPr="00732D9A" w:rsidRDefault="00CA7C31" w:rsidP="005E4441">
            <w:pPr>
              <w:spacing w:after="0"/>
              <w:rPr>
                <w:noProof/>
                <w:sz w:val="20"/>
                <w:szCs w:val="20"/>
              </w:rPr>
            </w:pPr>
            <w:r w:rsidRPr="00732D9A">
              <w:rPr>
                <w:noProof/>
                <w:sz w:val="20"/>
              </w:rPr>
              <w:t>Le système numérique d’octroi de permis permet la présentation, le suivi et la prise de décision sans support papier des demandes de permis et est conçu pour garantir la convivialité et l’accessibilité pour tous les demandeurs, y compris les personnes handicapées.</w:t>
            </w:r>
          </w:p>
        </w:tc>
        <w:tc>
          <w:tcPr>
            <w:tcW w:w="943" w:type="pct"/>
            <w:hideMark/>
          </w:tcPr>
          <w:p w14:paraId="3C9C8823" w14:textId="77777777" w:rsidR="00CA7C31" w:rsidRPr="00732D9A" w:rsidRDefault="00CA7C31">
            <w:pPr>
              <w:rPr>
                <w:noProof/>
                <w:sz w:val="20"/>
                <w:szCs w:val="20"/>
              </w:rPr>
            </w:pPr>
            <w:r w:rsidRPr="00732D9A">
              <w:rPr>
                <w:noProof/>
                <w:sz w:val="20"/>
              </w:rPr>
              <w:t>Le système numérique d’octroi de permis permet la présentation, le suivi et la prise de décision sans support papier des demandes de permis et est conçu pour garantir la réutilisation des données et des documents déjà détenus par les autorités publiques.</w:t>
            </w:r>
          </w:p>
        </w:tc>
        <w:tc>
          <w:tcPr>
            <w:tcW w:w="517" w:type="pct"/>
            <w:hideMark/>
          </w:tcPr>
          <w:p w14:paraId="5C1F698D" w14:textId="77777777" w:rsidR="00CA7C31" w:rsidRPr="00732D9A" w:rsidRDefault="00CA7C31">
            <w:pPr>
              <w:rPr>
                <w:noProof/>
                <w:sz w:val="20"/>
                <w:szCs w:val="20"/>
              </w:rPr>
            </w:pPr>
            <w:r w:rsidRPr="00732D9A">
              <w:rPr>
                <w:noProof/>
                <w:sz w:val="20"/>
              </w:rPr>
              <w:t>//</w:t>
            </w:r>
          </w:p>
        </w:tc>
      </w:tr>
    </w:tbl>
    <w:p w14:paraId="5DFA55EE" w14:textId="77777777" w:rsidR="00CA7C31" w:rsidRPr="00732D9A" w:rsidRDefault="00CA7C31" w:rsidP="00CA7C31">
      <w:pPr>
        <w:rPr>
          <w:noProof/>
        </w:rPr>
      </w:pPr>
      <w:r w:rsidRPr="00732D9A">
        <w:rPr>
          <w:i/>
          <w:noProof/>
        </w:rPr>
        <w:t>Pour chaque solution numérique, expliquer de quelle manière celle-ci se conforme aux politiques numériques et dispositions législatives applicables</w:t>
      </w:r>
    </w:p>
    <w:p w14:paraId="67BF801F" w14:textId="77777777" w:rsidR="00CA7C31" w:rsidRPr="00732D9A" w:rsidRDefault="00CA7C31" w:rsidP="00CA7C31">
      <w:pPr>
        <w:rPr>
          <w:b/>
          <w:noProof/>
          <w:u w:val="single"/>
        </w:rPr>
      </w:pPr>
      <w:r w:rsidRPr="00732D9A">
        <w:rPr>
          <w:b/>
          <w:noProof/>
          <w:u w:val="single"/>
        </w:rPr>
        <w:t>Système numérique d’octroi de permis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2656"/>
        <w:gridCol w:w="6435"/>
      </w:tblGrid>
      <w:tr w:rsidR="00CA7C31" w:rsidRPr="00732D9A" w14:paraId="1B3D86B2" w14:textId="77777777">
        <w:trPr>
          <w:tblHeader/>
        </w:trPr>
        <w:tc>
          <w:tcPr>
            <w:tcW w:w="1461" w:type="pct"/>
            <w:vAlign w:val="center"/>
            <w:hideMark/>
          </w:tcPr>
          <w:p w14:paraId="38A31E59" w14:textId="77777777" w:rsidR="00CA7C31" w:rsidRPr="00732D9A" w:rsidRDefault="00CA7C31">
            <w:pPr>
              <w:rPr>
                <w:noProof/>
                <w:sz w:val="20"/>
                <w:szCs w:val="20"/>
              </w:rPr>
            </w:pPr>
            <w:r w:rsidRPr="00732D9A">
              <w:rPr>
                <w:b/>
                <w:noProof/>
                <w:sz w:val="20"/>
              </w:rPr>
              <w:t>Politique numérique et/ou sectorielle (le cas échéant)</w:t>
            </w:r>
          </w:p>
        </w:tc>
        <w:tc>
          <w:tcPr>
            <w:tcW w:w="3539" w:type="pct"/>
            <w:vAlign w:val="center"/>
            <w:hideMark/>
          </w:tcPr>
          <w:p w14:paraId="64D00430" w14:textId="3715D0D8" w:rsidR="00CA7C31" w:rsidRPr="00732D9A" w:rsidRDefault="00CA7C31">
            <w:pPr>
              <w:rPr>
                <w:noProof/>
                <w:sz w:val="20"/>
                <w:szCs w:val="20"/>
              </w:rPr>
            </w:pPr>
            <w:r w:rsidRPr="00732D9A">
              <w:rPr>
                <w:b/>
                <w:noProof/>
                <w:sz w:val="20"/>
              </w:rPr>
              <w:t>Expliquer de quelle manière la solution s’aligne sur l</w:t>
            </w:r>
            <w:r w:rsidR="00980FE6">
              <w:rPr>
                <w:b/>
                <w:noProof/>
                <w:sz w:val="20"/>
              </w:rPr>
              <w:t>’</w:t>
            </w:r>
            <w:r w:rsidRPr="00732D9A">
              <w:rPr>
                <w:b/>
                <w:noProof/>
                <w:sz w:val="20"/>
              </w:rPr>
              <w:t>élément en question</w:t>
            </w:r>
          </w:p>
        </w:tc>
      </w:tr>
      <w:tr w:rsidR="00CA7C31" w:rsidRPr="00732D9A" w14:paraId="6BD8340F" w14:textId="77777777">
        <w:tc>
          <w:tcPr>
            <w:tcW w:w="1461" w:type="pct"/>
            <w:hideMark/>
          </w:tcPr>
          <w:p w14:paraId="22652BAA" w14:textId="77777777" w:rsidR="00CA7C31" w:rsidRPr="00732D9A" w:rsidRDefault="00CA7C31">
            <w:pPr>
              <w:rPr>
                <w:noProof/>
                <w:sz w:val="20"/>
                <w:szCs w:val="20"/>
              </w:rPr>
            </w:pPr>
            <w:r w:rsidRPr="00732D9A">
              <w:rPr>
                <w:b/>
                <w:i/>
                <w:noProof/>
                <w:sz w:val="20"/>
              </w:rPr>
              <w:t>Règlement sur l’IA</w:t>
            </w:r>
          </w:p>
        </w:tc>
        <w:tc>
          <w:tcPr>
            <w:tcW w:w="3539" w:type="pct"/>
            <w:hideMark/>
          </w:tcPr>
          <w:p w14:paraId="1E48D9CC" w14:textId="77777777" w:rsidR="00CA7C31" w:rsidRPr="00732D9A" w:rsidRDefault="00CA7C31">
            <w:pPr>
              <w:rPr>
                <w:noProof/>
                <w:sz w:val="20"/>
                <w:szCs w:val="20"/>
              </w:rPr>
            </w:pPr>
            <w:r w:rsidRPr="00732D9A">
              <w:rPr>
                <w:noProof/>
                <w:sz w:val="20"/>
              </w:rPr>
              <w:t>s.o.</w:t>
            </w:r>
          </w:p>
        </w:tc>
      </w:tr>
      <w:tr w:rsidR="00CA7C31" w:rsidRPr="00732D9A" w14:paraId="192D3537" w14:textId="77777777">
        <w:tc>
          <w:tcPr>
            <w:tcW w:w="1461" w:type="pct"/>
            <w:hideMark/>
          </w:tcPr>
          <w:p w14:paraId="60521231" w14:textId="77777777" w:rsidR="00CA7C31" w:rsidRPr="00732D9A" w:rsidRDefault="00CA7C31">
            <w:pPr>
              <w:rPr>
                <w:noProof/>
                <w:sz w:val="20"/>
                <w:szCs w:val="20"/>
              </w:rPr>
            </w:pPr>
            <w:r w:rsidRPr="00732D9A">
              <w:rPr>
                <w:b/>
                <w:i/>
                <w:noProof/>
                <w:sz w:val="20"/>
              </w:rPr>
              <w:t>Cadre de l’UE en matière de cybersécurité</w:t>
            </w:r>
          </w:p>
        </w:tc>
        <w:tc>
          <w:tcPr>
            <w:tcW w:w="3539" w:type="pct"/>
            <w:hideMark/>
          </w:tcPr>
          <w:p w14:paraId="4790CD9F" w14:textId="77777777" w:rsidR="00CA7C31" w:rsidRPr="00732D9A" w:rsidRDefault="00CA7C31">
            <w:pPr>
              <w:rPr>
                <w:noProof/>
                <w:sz w:val="20"/>
                <w:szCs w:val="20"/>
              </w:rPr>
            </w:pPr>
            <w:r w:rsidRPr="00732D9A">
              <w:rPr>
                <w:noProof/>
                <w:sz w:val="20"/>
              </w:rPr>
              <w:t>Le système numérique national d’octroi de permis est conçu pour garantir un niveau élevé de protection des données, de cybersécurité et d’intégrité des informations.</w:t>
            </w:r>
          </w:p>
        </w:tc>
      </w:tr>
      <w:tr w:rsidR="00CA7C31" w:rsidRPr="00732D9A" w14:paraId="26466426" w14:textId="77777777">
        <w:tc>
          <w:tcPr>
            <w:tcW w:w="1461" w:type="pct"/>
            <w:hideMark/>
          </w:tcPr>
          <w:p w14:paraId="765F3A65" w14:textId="77777777" w:rsidR="00CA7C31" w:rsidRPr="00732D9A" w:rsidRDefault="00CA7C31">
            <w:pPr>
              <w:rPr>
                <w:noProof/>
                <w:sz w:val="20"/>
                <w:szCs w:val="20"/>
              </w:rPr>
            </w:pPr>
            <w:r w:rsidRPr="00732D9A">
              <w:rPr>
                <w:b/>
                <w:i/>
                <w:noProof/>
                <w:sz w:val="20"/>
              </w:rPr>
              <w:t>eIDAS</w:t>
            </w:r>
          </w:p>
        </w:tc>
        <w:tc>
          <w:tcPr>
            <w:tcW w:w="3539" w:type="pct"/>
            <w:hideMark/>
          </w:tcPr>
          <w:p w14:paraId="3E503678" w14:textId="77777777" w:rsidR="00CA7C31" w:rsidRPr="00732D9A" w:rsidRDefault="00CA7C31">
            <w:pPr>
              <w:rPr>
                <w:noProof/>
                <w:sz w:val="20"/>
                <w:szCs w:val="20"/>
              </w:rPr>
            </w:pPr>
            <w:r w:rsidRPr="00732D9A">
              <w:rPr>
                <w:noProof/>
                <w:sz w:val="20"/>
              </w:rPr>
              <w:t>//</w:t>
            </w:r>
          </w:p>
        </w:tc>
      </w:tr>
      <w:tr w:rsidR="00CA7C31" w:rsidRPr="00732D9A" w14:paraId="57694B7A" w14:textId="77777777">
        <w:tc>
          <w:tcPr>
            <w:tcW w:w="1461" w:type="pct"/>
            <w:hideMark/>
          </w:tcPr>
          <w:p w14:paraId="757CD560" w14:textId="77777777" w:rsidR="00CA7C31" w:rsidRPr="00732D9A" w:rsidRDefault="00CA7C31">
            <w:pPr>
              <w:rPr>
                <w:noProof/>
                <w:sz w:val="20"/>
                <w:szCs w:val="20"/>
              </w:rPr>
            </w:pPr>
            <w:r w:rsidRPr="00732D9A">
              <w:rPr>
                <w:b/>
                <w:i/>
                <w:noProof/>
                <w:sz w:val="20"/>
              </w:rPr>
              <w:t>Portail numérique unique et IMI</w:t>
            </w:r>
          </w:p>
        </w:tc>
        <w:tc>
          <w:tcPr>
            <w:tcW w:w="3539" w:type="pct"/>
            <w:hideMark/>
          </w:tcPr>
          <w:p w14:paraId="5112C055" w14:textId="77777777" w:rsidR="00CA7C31" w:rsidRPr="00732D9A" w:rsidRDefault="00CA7C31">
            <w:pPr>
              <w:rPr>
                <w:noProof/>
                <w:sz w:val="20"/>
                <w:szCs w:val="20"/>
              </w:rPr>
            </w:pPr>
            <w:r w:rsidRPr="00732D9A">
              <w:rPr>
                <w:noProof/>
                <w:sz w:val="20"/>
              </w:rPr>
              <w:t>Le règlement sur le portail numérique unique est modifié afin d’intégrer dans son champ d’application les informations sur les procédures d’octroi de permis pour les projets de fabrication industrielle et les procédures liées aux projets de fabrication industrielle.</w:t>
            </w:r>
          </w:p>
        </w:tc>
      </w:tr>
      <w:tr w:rsidR="00CA7C31" w:rsidRPr="00732D9A" w14:paraId="01ECAEDC" w14:textId="77777777">
        <w:tc>
          <w:tcPr>
            <w:tcW w:w="1461" w:type="pct"/>
            <w:hideMark/>
          </w:tcPr>
          <w:p w14:paraId="7D8175E9" w14:textId="77777777" w:rsidR="00CA7C31" w:rsidRPr="00732D9A" w:rsidRDefault="00CA7C31">
            <w:pPr>
              <w:rPr>
                <w:noProof/>
                <w:sz w:val="20"/>
                <w:szCs w:val="20"/>
              </w:rPr>
            </w:pPr>
            <w:r w:rsidRPr="00732D9A">
              <w:rPr>
                <w:b/>
                <w:i/>
                <w:noProof/>
                <w:sz w:val="20"/>
              </w:rPr>
              <w:t>Autres</w:t>
            </w:r>
          </w:p>
        </w:tc>
        <w:tc>
          <w:tcPr>
            <w:tcW w:w="3539" w:type="pct"/>
            <w:hideMark/>
          </w:tcPr>
          <w:p w14:paraId="6A956FBE" w14:textId="77777777" w:rsidR="00CA7C31" w:rsidRPr="00732D9A" w:rsidRDefault="00CA7C31">
            <w:pPr>
              <w:rPr>
                <w:noProof/>
                <w:sz w:val="20"/>
                <w:szCs w:val="20"/>
              </w:rPr>
            </w:pPr>
            <w:r w:rsidRPr="00732D9A">
              <w:rPr>
                <w:noProof/>
                <w:sz w:val="20"/>
              </w:rPr>
              <w:t>Système technique «une fois pour toutes»</w:t>
            </w:r>
          </w:p>
        </w:tc>
      </w:tr>
    </w:tbl>
    <w:p w14:paraId="6FFCD16F" w14:textId="77777777" w:rsidR="00CA7C31" w:rsidRPr="00732D9A" w:rsidRDefault="00CA7C31" w:rsidP="00CA7C31">
      <w:pPr>
        <w:pStyle w:val="ManualHeading2"/>
        <w:ind w:left="0" w:firstLine="0"/>
        <w:rPr>
          <w:rStyle w:val="Emphasis"/>
          <w:b w:val="0"/>
          <w:bCs/>
          <w:i w:val="0"/>
          <w:iCs w:val="0"/>
          <w:noProof/>
        </w:rPr>
      </w:pPr>
      <w:r w:rsidRPr="00732D9A">
        <w:rPr>
          <w:rStyle w:val="Emphasis"/>
          <w:noProof/>
        </w:rPr>
        <w:t>4.4.</w:t>
      </w:r>
      <w:r w:rsidRPr="00732D9A">
        <w:rPr>
          <w:noProof/>
        </w:rPr>
        <w:tab/>
      </w:r>
      <w:r w:rsidRPr="00732D9A">
        <w:rPr>
          <w:rStyle w:val="Emphasis"/>
          <w:noProof/>
        </w:rPr>
        <w:t>Évaluation de l’interopérabilité</w:t>
      </w:r>
    </w:p>
    <w:p w14:paraId="50FB9346" w14:textId="77777777" w:rsidR="00CA7C31" w:rsidRPr="00732D9A" w:rsidRDefault="00CA7C31" w:rsidP="00CA7C31">
      <w:pPr>
        <w:rPr>
          <w:noProof/>
        </w:rPr>
      </w:pPr>
      <w:r w:rsidRPr="00732D9A">
        <w:rPr>
          <w:i/>
          <w:noProof/>
        </w:rPr>
        <w:t>Description générale du (des) service(s) public(s) numérique(s) concerné(s) par les exigences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 w:type="dxa"/>
          <w:left w:w="10" w:type="dxa"/>
          <w:bottom w:w="10" w:type="dxa"/>
          <w:right w:w="10" w:type="dxa"/>
        </w:tblCellMar>
        <w:tblLook w:val="04A0" w:firstRow="1" w:lastRow="0" w:firstColumn="1" w:lastColumn="0" w:noHBand="0" w:noVBand="1"/>
      </w:tblPr>
      <w:tblGrid>
        <w:gridCol w:w="1868"/>
        <w:gridCol w:w="3219"/>
        <w:gridCol w:w="1086"/>
        <w:gridCol w:w="1387"/>
        <w:gridCol w:w="1531"/>
      </w:tblGrid>
      <w:tr w:rsidR="00CA7C31" w:rsidRPr="00732D9A" w14:paraId="7AD4806D" w14:textId="77777777">
        <w:tc>
          <w:tcPr>
            <w:tcW w:w="1125" w:type="pct"/>
            <w:vAlign w:val="center"/>
            <w:hideMark/>
          </w:tcPr>
          <w:p w14:paraId="5E4DD040" w14:textId="77777777" w:rsidR="00CA7C31" w:rsidRPr="00732D9A" w:rsidRDefault="00CA7C31">
            <w:pPr>
              <w:rPr>
                <w:noProof/>
                <w:sz w:val="20"/>
                <w:szCs w:val="20"/>
              </w:rPr>
            </w:pPr>
            <w:r w:rsidRPr="00732D9A">
              <w:rPr>
                <w:b/>
                <w:noProof/>
                <w:sz w:val="20"/>
              </w:rPr>
              <w:t>Service public numérique ou catégorie de services publics numériques</w:t>
            </w:r>
          </w:p>
        </w:tc>
        <w:tc>
          <w:tcPr>
            <w:tcW w:w="1867" w:type="pct"/>
            <w:vAlign w:val="center"/>
            <w:hideMark/>
          </w:tcPr>
          <w:p w14:paraId="6A3B0FB3" w14:textId="77777777" w:rsidR="00CA7C31" w:rsidRPr="00732D9A" w:rsidRDefault="00CA7C31">
            <w:pPr>
              <w:rPr>
                <w:noProof/>
                <w:sz w:val="20"/>
                <w:szCs w:val="20"/>
              </w:rPr>
            </w:pPr>
            <w:r w:rsidRPr="00732D9A">
              <w:rPr>
                <w:b/>
                <w:noProof/>
                <w:sz w:val="20"/>
              </w:rPr>
              <w:t>Description</w:t>
            </w:r>
          </w:p>
        </w:tc>
        <w:tc>
          <w:tcPr>
            <w:tcW w:w="606" w:type="pct"/>
            <w:vAlign w:val="center"/>
            <w:hideMark/>
          </w:tcPr>
          <w:p w14:paraId="76D627CE" w14:textId="77777777" w:rsidR="00CA7C31" w:rsidRPr="00732D9A" w:rsidRDefault="00CA7C31">
            <w:pPr>
              <w:rPr>
                <w:noProof/>
                <w:sz w:val="20"/>
                <w:szCs w:val="20"/>
              </w:rPr>
            </w:pPr>
            <w:r w:rsidRPr="00732D9A">
              <w:rPr>
                <w:b/>
                <w:noProof/>
                <w:sz w:val="20"/>
              </w:rPr>
              <w:t>Référence(s) à l’exigence ou aux exigences</w:t>
            </w:r>
          </w:p>
        </w:tc>
        <w:tc>
          <w:tcPr>
            <w:tcW w:w="781" w:type="pct"/>
            <w:shd w:val="clear" w:color="auto" w:fill="D9D9D9"/>
            <w:vAlign w:val="center"/>
            <w:hideMark/>
          </w:tcPr>
          <w:p w14:paraId="10C20B9D" w14:textId="77777777" w:rsidR="00CA7C31" w:rsidRPr="00732D9A" w:rsidRDefault="00CA7C31">
            <w:pPr>
              <w:rPr>
                <w:noProof/>
                <w:sz w:val="20"/>
                <w:szCs w:val="20"/>
              </w:rPr>
            </w:pPr>
            <w:r w:rsidRPr="00732D9A">
              <w:rPr>
                <w:b/>
                <w:noProof/>
                <w:sz w:val="20"/>
              </w:rPr>
              <w:t>Solution(s) interopérable(s) pour l’Europe (SANS OBJET)</w:t>
            </w:r>
          </w:p>
        </w:tc>
        <w:tc>
          <w:tcPr>
            <w:tcW w:w="621" w:type="pct"/>
            <w:vAlign w:val="center"/>
            <w:hideMark/>
          </w:tcPr>
          <w:p w14:paraId="7F445096" w14:textId="77777777" w:rsidR="00CA7C31" w:rsidRPr="00732D9A" w:rsidRDefault="00CA7C31">
            <w:pPr>
              <w:rPr>
                <w:noProof/>
                <w:sz w:val="20"/>
                <w:szCs w:val="20"/>
              </w:rPr>
            </w:pPr>
            <w:r w:rsidRPr="00732D9A">
              <w:rPr>
                <w:b/>
                <w:noProof/>
                <w:sz w:val="20"/>
              </w:rPr>
              <w:t>Autre(s) solution(s) d’interopérabilité</w:t>
            </w:r>
          </w:p>
        </w:tc>
      </w:tr>
      <w:tr w:rsidR="00CA7C31" w:rsidRPr="00732D9A" w14:paraId="30D812D1" w14:textId="77777777">
        <w:tc>
          <w:tcPr>
            <w:tcW w:w="1125" w:type="pct"/>
            <w:hideMark/>
          </w:tcPr>
          <w:p w14:paraId="454FD234" w14:textId="77777777" w:rsidR="00CA7C31" w:rsidRPr="00732D9A" w:rsidRDefault="00CA7C31">
            <w:pPr>
              <w:rPr>
                <w:noProof/>
                <w:sz w:val="20"/>
                <w:szCs w:val="20"/>
              </w:rPr>
            </w:pPr>
            <w:r w:rsidRPr="00732D9A">
              <w:rPr>
                <w:noProof/>
                <w:sz w:val="20"/>
              </w:rPr>
              <w:t>Système numérique d’octroi de permis</w:t>
            </w:r>
          </w:p>
          <w:p w14:paraId="223FF16E" w14:textId="77777777" w:rsidR="00CA7C31" w:rsidRPr="00732D9A" w:rsidRDefault="00CA7C31">
            <w:pPr>
              <w:rPr>
                <w:noProof/>
                <w:sz w:val="20"/>
                <w:szCs w:val="20"/>
              </w:rPr>
            </w:pPr>
          </w:p>
          <w:p w14:paraId="0A1DC8F4" w14:textId="77777777" w:rsidR="00CA7C31" w:rsidRPr="00732D9A" w:rsidRDefault="00CA7C31">
            <w:pPr>
              <w:rPr>
                <w:noProof/>
                <w:sz w:val="20"/>
                <w:szCs w:val="20"/>
              </w:rPr>
            </w:pPr>
            <w:r w:rsidRPr="00732D9A">
              <w:rPr>
                <w:noProof/>
                <w:sz w:val="20"/>
              </w:rPr>
              <w:t xml:space="preserve">Catégorie de services publics numériques selon la </w:t>
            </w:r>
            <w:hyperlink r:id="rId22" w:history="1">
              <w:r w:rsidRPr="00732D9A">
                <w:rPr>
                  <w:rStyle w:val="Hyperlink"/>
                  <w:noProof/>
                  <w:sz w:val="20"/>
                </w:rPr>
                <w:t>CFAP</w:t>
              </w:r>
            </w:hyperlink>
            <w:r w:rsidRPr="00732D9A">
              <w:rPr>
                <w:noProof/>
                <w:sz w:val="20"/>
              </w:rPr>
              <w:t xml:space="preserve"> 04.7.4</w:t>
            </w:r>
          </w:p>
        </w:tc>
        <w:tc>
          <w:tcPr>
            <w:tcW w:w="1867" w:type="pct"/>
            <w:hideMark/>
          </w:tcPr>
          <w:p w14:paraId="33B2F0C3" w14:textId="77777777" w:rsidR="00CA7C31" w:rsidRPr="00732D9A" w:rsidRDefault="00CA7C31">
            <w:pPr>
              <w:rPr>
                <w:noProof/>
                <w:sz w:val="20"/>
                <w:szCs w:val="20"/>
              </w:rPr>
            </w:pPr>
            <w:r w:rsidRPr="00732D9A">
              <w:rPr>
                <w:noProof/>
                <w:sz w:val="20"/>
              </w:rPr>
              <w:t>Les États membres mettent en place un système numérique national d’octroi de permis reliant toutes les autorités publiques compétentes, afin de veiller à ce que les procédures d’octroi de permis pour la fabrication industrielle soient menées à bien par des moyens entièrement numériques.</w:t>
            </w:r>
          </w:p>
        </w:tc>
        <w:tc>
          <w:tcPr>
            <w:tcW w:w="606" w:type="pct"/>
            <w:hideMark/>
          </w:tcPr>
          <w:p w14:paraId="72CB448D" w14:textId="77777777" w:rsidR="00CA7C31" w:rsidRPr="00732D9A" w:rsidRDefault="00CA7C31">
            <w:pPr>
              <w:rPr>
                <w:noProof/>
                <w:sz w:val="20"/>
                <w:szCs w:val="20"/>
              </w:rPr>
            </w:pPr>
            <w:r w:rsidRPr="00732D9A">
              <w:rPr>
                <w:noProof/>
                <w:sz w:val="20"/>
              </w:rPr>
              <w:t>Article 4</w:t>
            </w:r>
          </w:p>
        </w:tc>
        <w:tc>
          <w:tcPr>
            <w:tcW w:w="781" w:type="pct"/>
            <w:shd w:val="clear" w:color="auto" w:fill="D9D9D9"/>
            <w:hideMark/>
          </w:tcPr>
          <w:p w14:paraId="7B11BBA5" w14:textId="77777777" w:rsidR="00CA7C31" w:rsidRPr="00732D9A" w:rsidRDefault="00CA7C31">
            <w:pPr>
              <w:rPr>
                <w:noProof/>
                <w:sz w:val="20"/>
                <w:szCs w:val="20"/>
              </w:rPr>
            </w:pPr>
            <w:r w:rsidRPr="00732D9A">
              <w:rPr>
                <w:noProof/>
                <w:sz w:val="20"/>
              </w:rPr>
              <w:t>//</w:t>
            </w:r>
          </w:p>
        </w:tc>
        <w:tc>
          <w:tcPr>
            <w:tcW w:w="621" w:type="pct"/>
            <w:hideMark/>
          </w:tcPr>
          <w:p w14:paraId="7258B4D4" w14:textId="77777777" w:rsidR="00CA7C31" w:rsidRPr="00732D9A" w:rsidRDefault="00CA7C31">
            <w:pPr>
              <w:rPr>
                <w:noProof/>
                <w:sz w:val="20"/>
                <w:szCs w:val="20"/>
              </w:rPr>
            </w:pPr>
            <w:r w:rsidRPr="00732D9A">
              <w:rPr>
                <w:noProof/>
                <w:sz w:val="20"/>
              </w:rPr>
              <w:t>Système technique «une fois pour toutes»</w:t>
            </w:r>
          </w:p>
          <w:p w14:paraId="501E2E03" w14:textId="77777777" w:rsidR="00CA7C31" w:rsidRPr="00732D9A" w:rsidRDefault="00CA7C31">
            <w:pPr>
              <w:rPr>
                <w:noProof/>
                <w:sz w:val="20"/>
                <w:szCs w:val="20"/>
              </w:rPr>
            </w:pPr>
          </w:p>
        </w:tc>
      </w:tr>
    </w:tbl>
    <w:p w14:paraId="6C569AB7" w14:textId="77777777" w:rsidR="00CA7C31" w:rsidRPr="00732D9A" w:rsidRDefault="00CA7C31" w:rsidP="00CA7C31">
      <w:pPr>
        <w:rPr>
          <w:i/>
          <w:iCs/>
          <w:noProof/>
        </w:rPr>
      </w:pPr>
      <w:r w:rsidRPr="00732D9A">
        <w:rPr>
          <w:i/>
          <w:noProof/>
        </w:rPr>
        <w:t>Évaluation de l’incidence de la ou des exigences sur l’interopérabilité transfrontière</w:t>
      </w:r>
    </w:p>
    <w:p w14:paraId="517A4090" w14:textId="77777777" w:rsidR="00CA7C31" w:rsidRPr="00732D9A" w:rsidRDefault="00CA7C31" w:rsidP="00CA7C31">
      <w:pPr>
        <w:rPr>
          <w:noProof/>
        </w:rPr>
      </w:pPr>
      <w:r w:rsidRPr="00732D9A">
        <w:rPr>
          <w:b/>
          <w:noProof/>
          <w:u w:val="single"/>
        </w:rPr>
        <w:t>Service public numérique #1: Système numérique d’octroi de permis</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1853"/>
        <w:gridCol w:w="4678"/>
        <w:gridCol w:w="2560"/>
      </w:tblGrid>
      <w:tr w:rsidR="00CA7C31" w:rsidRPr="00732D9A" w14:paraId="116E2270" w14:textId="77777777" w:rsidTr="006E4FCE">
        <w:tc>
          <w:tcPr>
            <w:tcW w:w="1019" w:type="pct"/>
            <w:tcBorders>
              <w:top w:val="single" w:sz="6" w:space="0" w:color="auto"/>
              <w:left w:val="single" w:sz="6" w:space="0" w:color="auto"/>
              <w:bottom w:val="single" w:sz="6" w:space="0" w:color="auto"/>
              <w:right w:val="single" w:sz="6" w:space="0" w:color="auto"/>
            </w:tcBorders>
            <w:vAlign w:val="center"/>
            <w:hideMark/>
          </w:tcPr>
          <w:p w14:paraId="5A0BA54F" w14:textId="77777777" w:rsidR="00CA7C31" w:rsidRPr="00732D9A" w:rsidRDefault="00CA7C31">
            <w:pPr>
              <w:rPr>
                <w:noProof/>
                <w:sz w:val="20"/>
                <w:szCs w:val="20"/>
              </w:rPr>
            </w:pPr>
            <w:r w:rsidRPr="00732D9A">
              <w:rPr>
                <w:b/>
                <w:noProof/>
                <w:sz w:val="20"/>
              </w:rPr>
              <w:t>Évaluation</w:t>
            </w:r>
          </w:p>
        </w:tc>
        <w:tc>
          <w:tcPr>
            <w:tcW w:w="2573" w:type="pct"/>
            <w:tcBorders>
              <w:top w:val="single" w:sz="6" w:space="0" w:color="auto"/>
              <w:left w:val="single" w:sz="6" w:space="0" w:color="auto"/>
              <w:bottom w:val="single" w:sz="6" w:space="0" w:color="auto"/>
              <w:right w:val="single" w:sz="6" w:space="0" w:color="auto"/>
            </w:tcBorders>
            <w:vAlign w:val="center"/>
            <w:hideMark/>
          </w:tcPr>
          <w:p w14:paraId="0BD1AF1B" w14:textId="77777777" w:rsidR="00CA7C31" w:rsidRPr="00732D9A" w:rsidRDefault="00CA7C31">
            <w:pPr>
              <w:rPr>
                <w:noProof/>
                <w:sz w:val="20"/>
                <w:szCs w:val="20"/>
              </w:rPr>
            </w:pPr>
            <w:r w:rsidRPr="00732D9A">
              <w:rPr>
                <w:b/>
                <w:noProof/>
                <w:sz w:val="20"/>
              </w:rPr>
              <w:t>Mesure(s)</w:t>
            </w:r>
          </w:p>
        </w:tc>
        <w:tc>
          <w:tcPr>
            <w:tcW w:w="1408" w:type="pct"/>
            <w:tcBorders>
              <w:top w:val="single" w:sz="6" w:space="0" w:color="auto"/>
              <w:left w:val="single" w:sz="6" w:space="0" w:color="auto"/>
              <w:bottom w:val="single" w:sz="6" w:space="0" w:color="auto"/>
              <w:right w:val="single" w:sz="6" w:space="0" w:color="auto"/>
            </w:tcBorders>
            <w:vAlign w:val="center"/>
            <w:hideMark/>
          </w:tcPr>
          <w:p w14:paraId="06374567" w14:textId="77777777" w:rsidR="00CA7C31" w:rsidRPr="00732D9A" w:rsidRDefault="00CA7C31">
            <w:pPr>
              <w:rPr>
                <w:noProof/>
                <w:sz w:val="20"/>
                <w:szCs w:val="20"/>
              </w:rPr>
            </w:pPr>
            <w:r w:rsidRPr="00732D9A">
              <w:rPr>
                <w:b/>
                <w:noProof/>
                <w:sz w:val="20"/>
              </w:rPr>
              <w:t>Obstacles potentiels restants (le cas échéant)</w:t>
            </w:r>
          </w:p>
        </w:tc>
      </w:tr>
      <w:tr w:rsidR="00CA7C31" w:rsidRPr="00732D9A" w14:paraId="10E9CAAF"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492BE7FF" w14:textId="77777777" w:rsidR="00CA7C31" w:rsidRPr="00732D9A" w:rsidRDefault="00CA7C31">
            <w:pPr>
              <w:rPr>
                <w:noProof/>
                <w:sz w:val="20"/>
                <w:szCs w:val="20"/>
              </w:rPr>
            </w:pPr>
            <w:r w:rsidRPr="00732D9A">
              <w:rPr>
                <w:b/>
                <w:noProof/>
                <w:sz w:val="20"/>
              </w:rPr>
              <w:t>Mesures organisationnelles en faveur d’une fourniture transfrontière sans heurts de services publics numériques</w:t>
            </w:r>
          </w:p>
        </w:tc>
        <w:tc>
          <w:tcPr>
            <w:tcW w:w="2573" w:type="pct"/>
            <w:tcBorders>
              <w:top w:val="outset" w:sz="6" w:space="0" w:color="auto"/>
              <w:left w:val="outset" w:sz="6" w:space="0" w:color="auto"/>
              <w:bottom w:val="outset" w:sz="6" w:space="0" w:color="auto"/>
              <w:right w:val="outset" w:sz="6" w:space="0" w:color="auto"/>
            </w:tcBorders>
            <w:hideMark/>
          </w:tcPr>
          <w:p w14:paraId="346FFC27" w14:textId="2A0F217E" w:rsidR="00CA7C31" w:rsidRPr="00732D9A" w:rsidRDefault="00CA7C31">
            <w:pPr>
              <w:spacing w:after="0"/>
              <w:rPr>
                <w:rFonts w:eastAsia="Times"/>
                <w:noProof/>
                <w:sz w:val="20"/>
                <w:szCs w:val="20"/>
              </w:rPr>
            </w:pPr>
            <w:r w:rsidRPr="00732D9A">
              <w:rPr>
                <w:noProof/>
                <w:sz w:val="20"/>
              </w:rPr>
              <w:t>Les États membres sont responsables du développement, de l’exploitation, de la maintenance, de la sécurité et de la surveillance de leurs systèmes numériques d’octroi de permis. Dans la mesure du possible, la mise en œuvre des systèmes numériques d’octroi de permis devrait s’appuyer sur les infrastructures, catalogues et modules numériques existants de l’Union, y compris ceux élaborés dans le cadre du système technique «une fois pour toutes» et de ses actes d’exécution. Cela favoriserait la complémentarité, l’interopérabilité et l’utilisation efficace des ressources publiques, tout en évitant la duplication des solutions numériques existantes.</w:t>
            </w:r>
          </w:p>
        </w:tc>
        <w:tc>
          <w:tcPr>
            <w:tcW w:w="1408" w:type="pct"/>
            <w:tcBorders>
              <w:top w:val="single" w:sz="6" w:space="0" w:color="auto"/>
              <w:left w:val="single" w:sz="6" w:space="0" w:color="auto"/>
              <w:bottom w:val="single" w:sz="6" w:space="0" w:color="auto"/>
              <w:right w:val="single" w:sz="6" w:space="0" w:color="auto"/>
            </w:tcBorders>
            <w:hideMark/>
          </w:tcPr>
          <w:p w14:paraId="472927D4" w14:textId="77777777" w:rsidR="00CA7C31" w:rsidRPr="00732D9A" w:rsidRDefault="0080747A">
            <w:pPr>
              <w:rPr>
                <w:noProof/>
                <w:sz w:val="20"/>
                <w:szCs w:val="20"/>
              </w:rPr>
            </w:pPr>
            <w:r w:rsidRPr="00732D9A">
              <w:rPr>
                <w:noProof/>
                <w:sz w:val="20"/>
              </w:rPr>
              <w:t xml:space="preserve">Des mesures organisationnelles supplémentaires peuvent s’imposer au niveau national pour garantir une participation appropriée des autorités compétentes responsables des autorisations individuelles. </w:t>
            </w:r>
          </w:p>
        </w:tc>
      </w:tr>
      <w:tr w:rsidR="00CA7C31" w:rsidRPr="00732D9A" w14:paraId="7932788C"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741146CE" w14:textId="77777777" w:rsidR="00CA7C31" w:rsidRPr="00732D9A" w:rsidRDefault="00CA7C31">
            <w:pPr>
              <w:rPr>
                <w:rFonts w:eastAsiaTheme="minorEastAsia"/>
                <w:b/>
                <w:noProof/>
                <w:sz w:val="20"/>
                <w:szCs w:val="20"/>
              </w:rPr>
            </w:pPr>
            <w:r w:rsidRPr="00732D9A">
              <w:rPr>
                <w:b/>
                <w:noProof/>
                <w:sz w:val="20"/>
              </w:rPr>
              <w:t>Mesures prises pour garantir une compréhension commune des données</w:t>
            </w:r>
          </w:p>
        </w:tc>
        <w:tc>
          <w:tcPr>
            <w:tcW w:w="2573" w:type="pct"/>
            <w:tcBorders>
              <w:top w:val="outset" w:sz="6" w:space="0" w:color="auto"/>
              <w:left w:val="outset" w:sz="6" w:space="0" w:color="auto"/>
              <w:bottom w:val="outset" w:sz="6" w:space="0" w:color="auto"/>
              <w:right w:val="outset" w:sz="6" w:space="0" w:color="auto"/>
            </w:tcBorders>
            <w:hideMark/>
          </w:tcPr>
          <w:p w14:paraId="55D6459F" w14:textId="77777777" w:rsidR="00CA7C31" w:rsidRPr="00732D9A" w:rsidRDefault="00CA7C31">
            <w:pPr>
              <w:rPr>
                <w:noProof/>
                <w:sz w:val="20"/>
                <w:szCs w:val="20"/>
              </w:rPr>
            </w:pPr>
            <w:r w:rsidRPr="00732D9A">
              <w:rPr>
                <w:noProof/>
                <w:sz w:val="20"/>
              </w:rPr>
              <w:t>La Commission, par voie d’actes d’exécution, établit les règles détaillées, les normes techniques et les procédures nécessaires pour assurer l’interopérabilité, la sécurité et le fonctionnement efficace des systèmes numériques d’octroi de permis. Les procédures d’octroi de permis sont ajoutées au champ d’application du portail numérique unique et du système technique «une fois pour toutes».</w:t>
            </w:r>
          </w:p>
        </w:tc>
        <w:tc>
          <w:tcPr>
            <w:tcW w:w="1408" w:type="pct"/>
            <w:tcBorders>
              <w:top w:val="single" w:sz="6" w:space="0" w:color="auto"/>
              <w:left w:val="single" w:sz="6" w:space="0" w:color="auto"/>
              <w:bottom w:val="single" w:sz="6" w:space="0" w:color="auto"/>
              <w:right w:val="single" w:sz="6" w:space="0" w:color="auto"/>
            </w:tcBorders>
            <w:hideMark/>
          </w:tcPr>
          <w:p w14:paraId="1839B71C" w14:textId="77777777" w:rsidR="00CA7C31" w:rsidRPr="00732D9A" w:rsidRDefault="00CA7C31">
            <w:pPr>
              <w:rPr>
                <w:noProof/>
                <w:sz w:val="20"/>
                <w:szCs w:val="20"/>
              </w:rPr>
            </w:pPr>
          </w:p>
        </w:tc>
      </w:tr>
      <w:tr w:rsidR="00CA7C31" w:rsidRPr="00732D9A" w14:paraId="7FCAC8D1" w14:textId="77777777" w:rsidTr="006E4FCE">
        <w:tc>
          <w:tcPr>
            <w:tcW w:w="1019" w:type="pct"/>
            <w:tcBorders>
              <w:top w:val="single" w:sz="6" w:space="0" w:color="auto"/>
              <w:left w:val="single" w:sz="6" w:space="0" w:color="auto"/>
              <w:bottom w:val="single" w:sz="6" w:space="0" w:color="auto"/>
              <w:right w:val="single" w:sz="6" w:space="0" w:color="auto"/>
            </w:tcBorders>
            <w:hideMark/>
          </w:tcPr>
          <w:p w14:paraId="204788B9" w14:textId="77777777" w:rsidR="00CA7C31" w:rsidRPr="00732D9A" w:rsidRDefault="00CA7C31">
            <w:pPr>
              <w:rPr>
                <w:rFonts w:eastAsiaTheme="minorEastAsia"/>
                <w:b/>
                <w:noProof/>
                <w:sz w:val="20"/>
                <w:szCs w:val="20"/>
              </w:rPr>
            </w:pPr>
            <w:r w:rsidRPr="00732D9A">
              <w:rPr>
                <w:b/>
                <w:noProof/>
                <w:sz w:val="20"/>
              </w:rPr>
              <w:t>Utilisation de spécifications et de normes techniques ouvertes convenues d’un commun accord</w:t>
            </w:r>
          </w:p>
        </w:tc>
        <w:tc>
          <w:tcPr>
            <w:tcW w:w="2573" w:type="pct"/>
            <w:tcBorders>
              <w:top w:val="single" w:sz="6" w:space="0" w:color="auto"/>
              <w:left w:val="single" w:sz="6" w:space="0" w:color="auto"/>
              <w:bottom w:val="single" w:sz="6" w:space="0" w:color="auto"/>
              <w:right w:val="single" w:sz="6" w:space="0" w:color="auto"/>
            </w:tcBorders>
            <w:hideMark/>
          </w:tcPr>
          <w:p w14:paraId="7354F067" w14:textId="77777777" w:rsidR="00CA7C31" w:rsidRPr="00732D9A" w:rsidRDefault="00CA7C31">
            <w:pPr>
              <w:rPr>
                <w:noProof/>
                <w:sz w:val="20"/>
                <w:szCs w:val="20"/>
              </w:rPr>
            </w:pPr>
            <w:r w:rsidRPr="00732D9A">
              <w:rPr>
                <w:noProof/>
                <w:sz w:val="20"/>
              </w:rPr>
              <w:t>La Commission, par voie d’actes d’exécution, établit les règles détaillées, les normes techniques et les procédures nécessaires pour assurer l’interopérabilité, la sécurité et le fonctionnement efficace des systèmes numériques d’octroi de permis.</w:t>
            </w:r>
          </w:p>
        </w:tc>
        <w:tc>
          <w:tcPr>
            <w:tcW w:w="1408" w:type="pct"/>
            <w:tcBorders>
              <w:top w:val="single" w:sz="6" w:space="0" w:color="auto"/>
              <w:left w:val="single" w:sz="6" w:space="0" w:color="auto"/>
              <w:bottom w:val="single" w:sz="6" w:space="0" w:color="auto"/>
              <w:right w:val="single" w:sz="6" w:space="0" w:color="auto"/>
            </w:tcBorders>
            <w:hideMark/>
          </w:tcPr>
          <w:p w14:paraId="1C979F66" w14:textId="77777777" w:rsidR="00CA7C31" w:rsidRPr="00732D9A" w:rsidRDefault="00CA7C31">
            <w:pPr>
              <w:rPr>
                <w:noProof/>
                <w:sz w:val="20"/>
                <w:szCs w:val="20"/>
              </w:rPr>
            </w:pPr>
          </w:p>
        </w:tc>
      </w:tr>
    </w:tbl>
    <w:p w14:paraId="2187060B" w14:textId="77777777" w:rsidR="00CA7C31" w:rsidRPr="00732D9A" w:rsidRDefault="00CA7C31" w:rsidP="00CA7C31">
      <w:pPr>
        <w:pStyle w:val="ManualHeading2"/>
        <w:ind w:left="0" w:firstLine="0"/>
        <w:rPr>
          <w:noProof/>
        </w:rPr>
      </w:pPr>
      <w:r w:rsidRPr="00732D9A">
        <w:rPr>
          <w:noProof/>
        </w:rPr>
        <w:t>4.5.</w:t>
      </w:r>
      <w:r w:rsidRPr="00732D9A">
        <w:rPr>
          <w:noProof/>
        </w:rPr>
        <w:tab/>
        <w:t>Mesures de soutien de la mise en œuvre numérique</w:t>
      </w:r>
    </w:p>
    <w:bookmarkEnd w:id="16"/>
    <w:p w14:paraId="53FFA13F" w14:textId="77777777" w:rsidR="00CA7C31" w:rsidRPr="00732D9A" w:rsidRDefault="00CA7C31" w:rsidP="00CA7C31">
      <w:pPr>
        <w:rPr>
          <w:noProof/>
        </w:rPr>
      </w:pPr>
      <w:r w:rsidRPr="00732D9A">
        <w:rPr>
          <w:noProof/>
        </w:rPr>
        <w:t>Pour chaque mesure de soutien à la mise en œuvre numérique, veuillez compléter le tableau ci-dessous.</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2208"/>
        <w:gridCol w:w="2517"/>
        <w:gridCol w:w="2252"/>
        <w:gridCol w:w="1160"/>
        <w:gridCol w:w="954"/>
      </w:tblGrid>
      <w:tr w:rsidR="00CA7C31" w:rsidRPr="00732D9A" w14:paraId="2F98C859" w14:textId="77777777">
        <w:tc>
          <w:tcPr>
            <w:tcW w:w="1239" w:type="pct"/>
            <w:tcBorders>
              <w:top w:val="single" w:sz="6" w:space="0" w:color="auto"/>
              <w:left w:val="single" w:sz="6" w:space="0" w:color="auto"/>
              <w:bottom w:val="single" w:sz="6" w:space="0" w:color="auto"/>
              <w:right w:val="single" w:sz="6" w:space="0" w:color="auto"/>
            </w:tcBorders>
            <w:vAlign w:val="center"/>
            <w:hideMark/>
          </w:tcPr>
          <w:p w14:paraId="10D9D225" w14:textId="77777777" w:rsidR="00CA7C31" w:rsidRPr="00732D9A" w:rsidRDefault="00CA7C31">
            <w:pPr>
              <w:rPr>
                <w:noProof/>
                <w:sz w:val="20"/>
                <w:szCs w:val="20"/>
              </w:rPr>
            </w:pPr>
            <w:r w:rsidRPr="00732D9A">
              <w:rPr>
                <w:b/>
                <w:noProof/>
                <w:sz w:val="20"/>
              </w:rPr>
              <w:t>Description de la mesure</w:t>
            </w:r>
          </w:p>
        </w:tc>
        <w:tc>
          <w:tcPr>
            <w:tcW w:w="1409" w:type="pct"/>
            <w:tcBorders>
              <w:top w:val="single" w:sz="6" w:space="0" w:color="auto"/>
              <w:left w:val="single" w:sz="6" w:space="0" w:color="auto"/>
              <w:bottom w:val="single" w:sz="6" w:space="0" w:color="auto"/>
              <w:right w:val="single" w:sz="6" w:space="0" w:color="auto"/>
            </w:tcBorders>
            <w:vAlign w:val="center"/>
            <w:hideMark/>
          </w:tcPr>
          <w:p w14:paraId="0F5F8A45" w14:textId="77777777" w:rsidR="00CA7C31" w:rsidRPr="00732D9A" w:rsidRDefault="00CA7C31">
            <w:pPr>
              <w:rPr>
                <w:noProof/>
                <w:sz w:val="20"/>
                <w:szCs w:val="20"/>
              </w:rPr>
            </w:pPr>
            <w:r w:rsidRPr="00732D9A">
              <w:rPr>
                <w:b/>
                <w:noProof/>
                <w:sz w:val="20"/>
              </w:rPr>
              <w:t>Référence(s) à la ou aux exigences</w:t>
            </w:r>
          </w:p>
        </w:tc>
        <w:tc>
          <w:tcPr>
            <w:tcW w:w="1263" w:type="pct"/>
            <w:tcBorders>
              <w:top w:val="single" w:sz="6" w:space="0" w:color="auto"/>
              <w:left w:val="single" w:sz="6" w:space="0" w:color="auto"/>
              <w:bottom w:val="single" w:sz="6" w:space="0" w:color="auto"/>
              <w:right w:val="single" w:sz="6" w:space="0" w:color="auto"/>
            </w:tcBorders>
            <w:vAlign w:val="center"/>
            <w:hideMark/>
          </w:tcPr>
          <w:p w14:paraId="5F482EB7" w14:textId="77777777" w:rsidR="00CA7C31" w:rsidRPr="00732D9A" w:rsidRDefault="00CA7C31">
            <w:pPr>
              <w:rPr>
                <w:noProof/>
                <w:sz w:val="20"/>
                <w:szCs w:val="20"/>
              </w:rPr>
            </w:pPr>
            <w:r w:rsidRPr="00732D9A">
              <w:rPr>
                <w:b/>
                <w:noProof/>
                <w:sz w:val="20"/>
              </w:rPr>
              <w:t>Rôle de la Commission</w:t>
            </w:r>
            <w:r w:rsidRPr="00732D9A">
              <w:rPr>
                <w:noProof/>
                <w:sz w:val="20"/>
              </w:rPr>
              <w:t xml:space="preserve"> (le cas échéant)</w:t>
            </w:r>
          </w:p>
        </w:tc>
        <w:tc>
          <w:tcPr>
            <w:tcW w:w="662" w:type="pct"/>
            <w:tcBorders>
              <w:top w:val="single" w:sz="6" w:space="0" w:color="auto"/>
              <w:left w:val="single" w:sz="6" w:space="0" w:color="auto"/>
              <w:bottom w:val="single" w:sz="6" w:space="0" w:color="auto"/>
              <w:right w:val="single" w:sz="6" w:space="0" w:color="auto"/>
            </w:tcBorders>
            <w:vAlign w:val="center"/>
            <w:hideMark/>
          </w:tcPr>
          <w:p w14:paraId="6F34FE6A" w14:textId="77777777" w:rsidR="00CA7C31" w:rsidRPr="00732D9A" w:rsidRDefault="00CA7C31">
            <w:pPr>
              <w:rPr>
                <w:noProof/>
                <w:sz w:val="20"/>
                <w:szCs w:val="20"/>
              </w:rPr>
            </w:pPr>
            <w:r w:rsidRPr="00732D9A">
              <w:rPr>
                <w:b/>
                <w:noProof/>
                <w:sz w:val="20"/>
              </w:rPr>
              <w:t>Acteurs à associer</w:t>
            </w:r>
            <w:r w:rsidRPr="00732D9A">
              <w:rPr>
                <w:noProof/>
                <w:sz w:val="20"/>
              </w:rPr>
              <w:t xml:space="preserve"> (le cas échéant)</w:t>
            </w:r>
          </w:p>
        </w:tc>
        <w:tc>
          <w:tcPr>
            <w:tcW w:w="427" w:type="pct"/>
            <w:tcBorders>
              <w:top w:val="single" w:sz="6" w:space="0" w:color="auto"/>
              <w:left w:val="single" w:sz="6" w:space="0" w:color="auto"/>
              <w:bottom w:val="single" w:sz="6" w:space="0" w:color="auto"/>
              <w:right w:val="single" w:sz="6" w:space="0" w:color="auto"/>
            </w:tcBorders>
            <w:vAlign w:val="center"/>
            <w:hideMark/>
          </w:tcPr>
          <w:p w14:paraId="5F1123D7" w14:textId="77777777" w:rsidR="00CA7C31" w:rsidRPr="00732D9A" w:rsidRDefault="00CA7C31">
            <w:pPr>
              <w:rPr>
                <w:noProof/>
                <w:sz w:val="20"/>
                <w:szCs w:val="20"/>
              </w:rPr>
            </w:pPr>
            <w:r w:rsidRPr="00732D9A">
              <w:rPr>
                <w:b/>
                <w:noProof/>
                <w:sz w:val="20"/>
              </w:rPr>
              <w:t>Calendrier prévu</w:t>
            </w:r>
            <w:r w:rsidRPr="00732D9A">
              <w:rPr>
                <w:noProof/>
                <w:sz w:val="20"/>
              </w:rPr>
              <w:t xml:space="preserve"> (le cas échéant)</w:t>
            </w:r>
          </w:p>
        </w:tc>
      </w:tr>
      <w:tr w:rsidR="00CA7C31" w:rsidRPr="00732D9A" w14:paraId="5A1A2683" w14:textId="77777777">
        <w:trPr>
          <w:trHeight w:val="559"/>
        </w:trPr>
        <w:tc>
          <w:tcPr>
            <w:tcW w:w="1239" w:type="pct"/>
            <w:tcBorders>
              <w:top w:val="single" w:sz="6" w:space="0" w:color="auto"/>
              <w:left w:val="single" w:sz="6" w:space="0" w:color="auto"/>
              <w:bottom w:val="single" w:sz="6" w:space="0" w:color="auto"/>
              <w:right w:val="single" w:sz="6" w:space="0" w:color="auto"/>
            </w:tcBorders>
            <w:hideMark/>
          </w:tcPr>
          <w:p w14:paraId="134ABEA0" w14:textId="77777777" w:rsidR="00CA7C31" w:rsidRPr="00732D9A" w:rsidRDefault="00CA7C31">
            <w:pPr>
              <w:rPr>
                <w:noProof/>
                <w:sz w:val="20"/>
                <w:szCs w:val="20"/>
              </w:rPr>
            </w:pPr>
            <w:r w:rsidRPr="00732D9A">
              <w:rPr>
                <w:noProof/>
                <w:sz w:val="20"/>
              </w:rPr>
              <w:t>Actes d’exécution</w:t>
            </w:r>
          </w:p>
        </w:tc>
        <w:tc>
          <w:tcPr>
            <w:tcW w:w="1409" w:type="pct"/>
            <w:tcBorders>
              <w:top w:val="outset" w:sz="6" w:space="0" w:color="auto"/>
              <w:left w:val="outset" w:sz="6" w:space="0" w:color="auto"/>
              <w:bottom w:val="outset" w:sz="6" w:space="0" w:color="auto"/>
              <w:right w:val="outset" w:sz="6" w:space="0" w:color="auto"/>
            </w:tcBorders>
            <w:hideMark/>
          </w:tcPr>
          <w:p w14:paraId="357FADC2" w14:textId="77777777" w:rsidR="00CA7C31" w:rsidRPr="00732D9A" w:rsidRDefault="00CA7C31">
            <w:pPr>
              <w:rPr>
                <w:noProof/>
                <w:sz w:val="20"/>
                <w:szCs w:val="20"/>
              </w:rPr>
            </w:pPr>
            <w:r w:rsidRPr="00732D9A">
              <w:rPr>
                <w:noProof/>
                <w:sz w:val="20"/>
              </w:rPr>
              <w:t>Articles 4, 13 et 31</w:t>
            </w:r>
          </w:p>
        </w:tc>
        <w:tc>
          <w:tcPr>
            <w:tcW w:w="1263" w:type="pct"/>
            <w:tcBorders>
              <w:top w:val="outset" w:sz="6" w:space="0" w:color="auto"/>
              <w:left w:val="outset" w:sz="6" w:space="0" w:color="auto"/>
              <w:bottom w:val="outset" w:sz="6" w:space="0" w:color="auto"/>
              <w:right w:val="outset" w:sz="6" w:space="0" w:color="auto"/>
            </w:tcBorders>
            <w:hideMark/>
          </w:tcPr>
          <w:p w14:paraId="7E39B6B3" w14:textId="77777777" w:rsidR="00CA7C31" w:rsidRPr="00732D9A" w:rsidRDefault="00CA7C31">
            <w:pPr>
              <w:rPr>
                <w:noProof/>
                <w:sz w:val="20"/>
                <w:szCs w:val="20"/>
              </w:rPr>
            </w:pPr>
            <w:r w:rsidRPr="00732D9A">
              <w:rPr>
                <w:noProof/>
                <w:sz w:val="20"/>
              </w:rPr>
              <w:t>Actes d’exécution</w:t>
            </w:r>
          </w:p>
        </w:tc>
        <w:tc>
          <w:tcPr>
            <w:tcW w:w="662" w:type="pct"/>
            <w:tcBorders>
              <w:top w:val="outset" w:sz="6" w:space="0" w:color="auto"/>
              <w:left w:val="outset" w:sz="6" w:space="0" w:color="auto"/>
              <w:bottom w:val="outset" w:sz="6" w:space="0" w:color="auto"/>
              <w:right w:val="outset" w:sz="6" w:space="0" w:color="auto"/>
            </w:tcBorders>
            <w:hideMark/>
          </w:tcPr>
          <w:p w14:paraId="0722FF52" w14:textId="77777777" w:rsidR="00CA7C31" w:rsidRPr="00732D9A" w:rsidRDefault="00CA7C31">
            <w:pPr>
              <w:rPr>
                <w:noProof/>
                <w:sz w:val="20"/>
                <w:szCs w:val="20"/>
              </w:rPr>
            </w:pPr>
            <w:r w:rsidRPr="00732D9A">
              <w:rPr>
                <w:noProof/>
                <w:sz w:val="20"/>
              </w:rPr>
              <w:t>Commission européenne</w:t>
            </w:r>
          </w:p>
        </w:tc>
        <w:tc>
          <w:tcPr>
            <w:tcW w:w="427" w:type="pct"/>
            <w:tcBorders>
              <w:top w:val="single" w:sz="6" w:space="0" w:color="auto"/>
              <w:left w:val="single" w:sz="6" w:space="0" w:color="auto"/>
              <w:bottom w:val="single" w:sz="6" w:space="0" w:color="auto"/>
              <w:right w:val="single" w:sz="6" w:space="0" w:color="auto"/>
            </w:tcBorders>
            <w:hideMark/>
          </w:tcPr>
          <w:p w14:paraId="64A99DDD" w14:textId="77777777" w:rsidR="00CA7C31" w:rsidRPr="00732D9A" w:rsidRDefault="00CA7C31">
            <w:pPr>
              <w:rPr>
                <w:noProof/>
                <w:sz w:val="20"/>
                <w:szCs w:val="20"/>
              </w:rPr>
            </w:pPr>
          </w:p>
        </w:tc>
      </w:tr>
    </w:tbl>
    <w:p w14:paraId="384459C4" w14:textId="77777777" w:rsidR="00440ED7" w:rsidRPr="00732D9A" w:rsidRDefault="00440ED7" w:rsidP="00D50956">
      <w:pPr>
        <w:rPr>
          <w:noProof/>
        </w:rPr>
      </w:pPr>
    </w:p>
    <w:sectPr w:rsidR="00440ED7" w:rsidRPr="00732D9A" w:rsidSect="0017255A">
      <w:headerReference w:type="default" r:id="rId23"/>
      <w:footerReference w:type="default" r:id="rId24"/>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EC681" w14:textId="77777777" w:rsidR="0038557C" w:rsidRDefault="0038557C" w:rsidP="00440ED7">
      <w:pPr>
        <w:spacing w:before="0" w:after="0"/>
      </w:pPr>
      <w:r>
        <w:separator/>
      </w:r>
    </w:p>
  </w:endnote>
  <w:endnote w:type="continuationSeparator" w:id="0">
    <w:p w14:paraId="4FF96C16" w14:textId="77777777" w:rsidR="0038557C" w:rsidRDefault="0038557C" w:rsidP="00440E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8067A" w14:textId="70A38B9E" w:rsidR="0017255A" w:rsidRPr="0017255A" w:rsidRDefault="0017255A" w:rsidP="0017255A">
    <w:pPr>
      <w:pStyle w:val="Footer"/>
      <w:rPr>
        <w:rFonts w:ascii="Arial" w:hAnsi="Arial" w:cs="Arial"/>
        <w:b/>
        <w:sz w:val="48"/>
      </w:rPr>
    </w:pPr>
    <w:r w:rsidRPr="0017255A">
      <w:rPr>
        <w:rFonts w:ascii="Arial" w:hAnsi="Arial" w:cs="Arial"/>
        <w:b/>
        <w:sz w:val="48"/>
      </w:rPr>
      <w:t>FR</w:t>
    </w:r>
    <w:r w:rsidRPr="0017255A">
      <w:rPr>
        <w:rFonts w:ascii="Arial" w:hAnsi="Arial" w:cs="Arial"/>
        <w:b/>
        <w:sz w:val="48"/>
      </w:rPr>
      <w:tab/>
    </w:r>
    <w:r w:rsidRPr="0017255A">
      <w:rPr>
        <w:rFonts w:ascii="Arial" w:hAnsi="Arial" w:cs="Arial"/>
        <w:b/>
        <w:sz w:val="48"/>
      </w:rPr>
      <w:tab/>
    </w:r>
    <w:r w:rsidRPr="0017255A">
      <w:tab/>
    </w:r>
    <w:r w:rsidRPr="0017255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B3E8C" w14:textId="3A7A52CE" w:rsidR="0017255A" w:rsidRPr="0017255A" w:rsidRDefault="0017255A" w:rsidP="0017255A">
    <w:pPr>
      <w:pStyle w:val="Footer"/>
      <w:rPr>
        <w:rFonts w:ascii="Arial" w:hAnsi="Arial" w:cs="Arial"/>
        <w:b/>
        <w:sz w:val="48"/>
      </w:rPr>
    </w:pPr>
    <w:r w:rsidRPr="0017255A">
      <w:rPr>
        <w:rFonts w:ascii="Arial" w:hAnsi="Arial" w:cs="Arial"/>
        <w:b/>
        <w:sz w:val="48"/>
      </w:rPr>
      <w:t>FR</w:t>
    </w:r>
    <w:r w:rsidRPr="0017255A">
      <w:rPr>
        <w:rFonts w:ascii="Arial" w:hAnsi="Arial" w:cs="Arial"/>
        <w:b/>
        <w:sz w:val="48"/>
      </w:rPr>
      <w:tab/>
    </w:r>
    <w:r w:rsidRPr="0017255A">
      <w:rPr>
        <w:rFonts w:ascii="Arial" w:hAnsi="Arial" w:cs="Arial"/>
        <w:b/>
        <w:sz w:val="48"/>
      </w:rPr>
      <w:tab/>
    </w:r>
    <w:r w:rsidRPr="0017255A">
      <w:tab/>
    </w:r>
    <w:r w:rsidRPr="0017255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73685" w14:textId="77777777" w:rsidR="0017255A" w:rsidRDefault="001725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BA46C" w14:textId="63712D54" w:rsidR="0017255A" w:rsidRPr="0017255A" w:rsidRDefault="0017255A" w:rsidP="0017255A">
    <w:pPr>
      <w:pStyle w:val="Footer"/>
      <w:rPr>
        <w:rFonts w:ascii="Arial" w:hAnsi="Arial" w:cs="Arial"/>
        <w:b/>
        <w:sz w:val="48"/>
      </w:rPr>
    </w:pPr>
    <w:r w:rsidRPr="0017255A">
      <w:rPr>
        <w:rFonts w:ascii="Arial" w:hAnsi="Arial" w:cs="Arial"/>
        <w:b/>
        <w:sz w:val="48"/>
      </w:rPr>
      <w:t>FR</w:t>
    </w:r>
    <w:r w:rsidRPr="0017255A">
      <w:rPr>
        <w:rFonts w:ascii="Arial" w:hAnsi="Arial" w:cs="Arial"/>
        <w:b/>
        <w:sz w:val="48"/>
      </w:rPr>
      <w:tab/>
    </w:r>
    <w:r>
      <w:fldChar w:fldCharType="begin"/>
    </w:r>
    <w:r>
      <w:instrText xml:space="preserve"> PAGE  \* MERGEFORMAT </w:instrText>
    </w:r>
    <w:r>
      <w:fldChar w:fldCharType="separate"/>
    </w:r>
    <w:r w:rsidR="00BF53B7">
      <w:rPr>
        <w:noProof/>
      </w:rPr>
      <w:t>77</w:t>
    </w:r>
    <w:r>
      <w:fldChar w:fldCharType="end"/>
    </w:r>
    <w:r>
      <w:tab/>
    </w:r>
    <w:r w:rsidRPr="0017255A">
      <w:tab/>
    </w:r>
    <w:r w:rsidRPr="0017255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1B8EE" w14:textId="77777777" w:rsidR="0017255A" w:rsidRDefault="0017255A" w:rsidP="001725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BE22B" w14:textId="543704FF" w:rsidR="0017255A" w:rsidRPr="0017255A" w:rsidRDefault="0017255A" w:rsidP="0017255A">
    <w:pPr>
      <w:pStyle w:val="FooterLandscape"/>
      <w:rPr>
        <w:rFonts w:ascii="Arial" w:hAnsi="Arial" w:cs="Arial"/>
        <w:b/>
        <w:sz w:val="48"/>
      </w:rPr>
    </w:pPr>
    <w:r w:rsidRPr="0017255A">
      <w:rPr>
        <w:rFonts w:ascii="Arial" w:hAnsi="Arial" w:cs="Arial"/>
        <w:b/>
        <w:sz w:val="48"/>
      </w:rPr>
      <w:t>FR</w:t>
    </w:r>
    <w:r w:rsidRPr="0017255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7255A">
      <w:tab/>
    </w:r>
    <w:r w:rsidRPr="0017255A">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88F30" w14:textId="4E45F4E8" w:rsidR="0017255A" w:rsidRPr="0017255A" w:rsidRDefault="0017255A" w:rsidP="0017255A">
    <w:pPr>
      <w:pStyle w:val="Footer"/>
      <w:rPr>
        <w:rFonts w:ascii="Arial" w:hAnsi="Arial" w:cs="Arial"/>
        <w:b/>
        <w:sz w:val="48"/>
      </w:rPr>
    </w:pPr>
    <w:r w:rsidRPr="0017255A">
      <w:rPr>
        <w:rFonts w:ascii="Arial" w:hAnsi="Arial" w:cs="Arial"/>
        <w:b/>
        <w:sz w:val="48"/>
      </w:rPr>
      <w:t>FR</w:t>
    </w:r>
    <w:r w:rsidRPr="0017255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7255A">
      <w:tab/>
    </w:r>
    <w:r w:rsidRPr="0017255A">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12740" w14:textId="77777777" w:rsidR="0038557C" w:rsidRDefault="0038557C" w:rsidP="00440ED7">
      <w:pPr>
        <w:spacing w:before="0" w:after="0"/>
      </w:pPr>
      <w:r>
        <w:separator/>
      </w:r>
    </w:p>
  </w:footnote>
  <w:footnote w:type="continuationSeparator" w:id="0">
    <w:p w14:paraId="48F5C052" w14:textId="77777777" w:rsidR="0038557C" w:rsidRDefault="0038557C" w:rsidP="00440ED7">
      <w:pPr>
        <w:spacing w:before="0" w:after="0"/>
      </w:pPr>
      <w:r>
        <w:continuationSeparator/>
      </w:r>
    </w:p>
  </w:footnote>
  <w:footnote w:id="1">
    <w:p w14:paraId="6C13014A" w14:textId="77777777" w:rsidR="00FE7970" w:rsidRPr="003367BA" w:rsidRDefault="00FE7970" w:rsidP="00FE7970">
      <w:pPr>
        <w:pStyle w:val="FootnoteText"/>
      </w:pPr>
      <w:r>
        <w:rPr>
          <w:rStyle w:val="FootnoteReference"/>
        </w:rPr>
        <w:footnoteRef/>
      </w:r>
      <w:r>
        <w:tab/>
        <w:t>Communication conjointe intitulée «</w:t>
      </w:r>
      <w:hyperlink r:id="rId1" w:history="1">
        <w:r>
          <w:t>Renforcer la sécurité économique de l’UE</w:t>
        </w:r>
      </w:hyperlink>
      <w:r>
        <w:t>», JOIN(2025) 977 final.</w:t>
      </w:r>
    </w:p>
  </w:footnote>
  <w:footnote w:id="2">
    <w:p w14:paraId="302554D7" w14:textId="77777777" w:rsidR="00862074" w:rsidRPr="008B13D7" w:rsidRDefault="00862074" w:rsidP="00862074">
      <w:pPr>
        <w:pStyle w:val="FootnoteText"/>
      </w:pPr>
      <w:r>
        <w:rPr>
          <w:rStyle w:val="FootnoteReference"/>
        </w:rPr>
        <w:footnoteRef/>
      </w:r>
      <w:r>
        <w:tab/>
        <w:t>Communication de la Commission au Parlement européen, au Conseil, au Comité économique et social européen et au Comité des régions – Le pacte pour une industrie propre: une feuille de route commune pour la compétitivité et la décarbonation, COM(2025) 85 final, 26 février 2025.</w:t>
      </w:r>
    </w:p>
  </w:footnote>
  <w:footnote w:id="3">
    <w:p w14:paraId="233497BF" w14:textId="77777777" w:rsidR="00D36B32" w:rsidRPr="00867AD7" w:rsidRDefault="00D36B32" w:rsidP="009972DD">
      <w:pPr>
        <w:pStyle w:val="FootnoteText"/>
      </w:pPr>
      <w:r>
        <w:rPr>
          <w:rStyle w:val="FootnoteReference"/>
        </w:rPr>
        <w:footnoteRef/>
      </w:r>
      <w:r>
        <w:tab/>
        <w:t xml:space="preserve">Eurostat, </w:t>
      </w:r>
      <w:hyperlink r:id="rId2" w:history="1">
        <w:r>
          <w:rPr>
            <w:rStyle w:val="Hyperlink"/>
          </w:rPr>
          <w:t>Entreprises par activité détaillée de la NACE Rév. 2 et agrégats spéciaux [sbs_ovw_act__custom_20259000]</w:t>
        </w:r>
      </w:hyperlink>
      <w:r>
        <w:t>, dernière mise à jour le 8 décembre 2025, DOI: 10.2908/sbs_ovw_act.</w:t>
      </w:r>
    </w:p>
  </w:footnote>
  <w:footnote w:id="4">
    <w:p w14:paraId="33AE337C" w14:textId="77777777" w:rsidR="006C1CE4" w:rsidRPr="00322A14" w:rsidRDefault="006C1CE4" w:rsidP="006C1CE4">
      <w:pPr>
        <w:pStyle w:val="FootnoteText"/>
      </w:pPr>
      <w:r>
        <w:rPr>
          <w:rStyle w:val="FootnoteReference"/>
        </w:rPr>
        <w:footnoteRef/>
      </w:r>
      <w:r>
        <w:tab/>
        <w:t xml:space="preserve">Eurostat, </w:t>
      </w:r>
      <w:hyperlink r:id="rId3" w:history="1">
        <w:r>
          <w:rPr>
            <w:rStyle w:val="Hyperlink"/>
          </w:rPr>
          <w:t>Valeur ajoutée brute et revenu par branche d’activité principale (NACE Rév. 2) [nama_10_a10__custom_20259318]</w:t>
        </w:r>
      </w:hyperlink>
      <w:r>
        <w:t>, dernière mise à jour le 20 février 2026, DOI: 10.2908/nama_10_a10.</w:t>
      </w:r>
    </w:p>
  </w:footnote>
  <w:footnote w:id="5">
    <w:p w14:paraId="3CF9DF42" w14:textId="77777777" w:rsidR="00FE7970" w:rsidRPr="003F6A27" w:rsidRDefault="00FE7970" w:rsidP="00FE7970">
      <w:pPr>
        <w:pStyle w:val="FootnoteText"/>
      </w:pPr>
      <w:r>
        <w:rPr>
          <w:rStyle w:val="FootnoteReference"/>
        </w:rPr>
        <w:footnoteRef/>
      </w:r>
      <w:r>
        <w:tab/>
        <w:t xml:space="preserve">Eurostat, </w:t>
      </w:r>
      <w:hyperlink r:id="rId4" w:history="1">
        <w:r>
          <w:rPr>
            <w:rStyle w:val="Hyperlink"/>
          </w:rPr>
          <w:t>Comptes d’émissions atmosphériques par activité de la NACE Rév. 2 [env_ac_ainah_r2__custom_20259376]</w:t>
        </w:r>
      </w:hyperlink>
      <w:r>
        <w:t>, dernière mise à jour le 28 novembre 2025, DOI: 10.2908/env_ac_ainah_r2.</w:t>
      </w:r>
    </w:p>
  </w:footnote>
  <w:footnote w:id="6">
    <w:p w14:paraId="58F6BE31" w14:textId="1EBFB11D" w:rsidR="00FE7970" w:rsidRPr="00156BC7" w:rsidRDefault="00FE7970" w:rsidP="00FE7970">
      <w:pPr>
        <w:pStyle w:val="FootnoteText"/>
      </w:pPr>
      <w:r>
        <w:rPr>
          <w:rStyle w:val="FootnoteReference"/>
        </w:rPr>
        <w:footnoteRef/>
      </w:r>
      <w:r>
        <w:tab/>
        <w:t xml:space="preserve">Eurostat, </w:t>
      </w:r>
      <w:hyperlink r:id="rId5" w:history="1">
        <w:r>
          <w:rPr>
            <w:rStyle w:val="Hyperlink"/>
          </w:rPr>
          <w:t>Valeur</w:t>
        </w:r>
        <w:bookmarkStart w:id="2" w:name="_Hlt222912631"/>
        <w:bookmarkStart w:id="3" w:name="_Hlt222912632"/>
        <w:r>
          <w:rPr>
            <w:rStyle w:val="Hyperlink"/>
          </w:rPr>
          <w:t xml:space="preserve"> ajoutée </w:t>
        </w:r>
        <w:bookmarkEnd w:id="2"/>
        <w:bookmarkEnd w:id="3"/>
        <w:r>
          <w:rPr>
            <w:rStyle w:val="Hyperlink"/>
          </w:rPr>
          <w:t>brute et revenu par branche d’activité principale (NACE Rév. 2) [nama_10_a10__custom_20259318]</w:t>
        </w:r>
      </w:hyperlink>
      <w:r>
        <w:t>, dernière mise à jour le 20 février</w:t>
      </w:r>
      <w:r w:rsidR="00980FE6">
        <w:t xml:space="preserve"> </w:t>
      </w:r>
      <w:r>
        <w:t>2026, DOI: 10.2908/nama_10_a10.</w:t>
      </w:r>
    </w:p>
  </w:footnote>
  <w:footnote w:id="7">
    <w:p w14:paraId="0CEB4821" w14:textId="77777777" w:rsidR="00FE7970" w:rsidRPr="0040742B" w:rsidRDefault="00FE7970" w:rsidP="00FE7970">
      <w:pPr>
        <w:pStyle w:val="FootnoteText"/>
      </w:pPr>
      <w:r>
        <w:rPr>
          <w:rStyle w:val="FootnoteReference"/>
        </w:rPr>
        <w:footnoteRef/>
      </w:r>
      <w:r>
        <w:tab/>
        <w:t>Draghi, M., «</w:t>
      </w:r>
      <w:hyperlink r:id="rId6" w:history="1">
        <w:r>
          <w:rPr>
            <w:rStyle w:val="Hyperlink"/>
          </w:rPr>
          <w:t>The future of European competitiveness: In-depth analysis and recommendations</w:t>
        </w:r>
      </w:hyperlink>
      <w:r>
        <w:t>» (L’avenir de la compétitivité européenne: analyse approfondie et recommandations), partie B, 2024.</w:t>
      </w:r>
    </w:p>
  </w:footnote>
  <w:footnote w:id="8">
    <w:p w14:paraId="393AC3CD" w14:textId="77777777" w:rsidR="00FE7970" w:rsidRPr="009C1E1E" w:rsidRDefault="00FE7970" w:rsidP="00FE7970">
      <w:pPr>
        <w:pStyle w:val="FootnoteText"/>
      </w:pPr>
      <w:r>
        <w:rPr>
          <w:rStyle w:val="FootnoteReference"/>
        </w:rPr>
        <w:footnoteRef/>
      </w:r>
      <w:r>
        <w:tab/>
        <w:t>Analyse interne de la Commission européenne, voir le rapport d’analyse d’impact.</w:t>
      </w:r>
    </w:p>
  </w:footnote>
  <w:footnote w:id="9">
    <w:p w14:paraId="1E765096" w14:textId="77777777" w:rsidR="00FE7970" w:rsidRPr="009838C7" w:rsidRDefault="00FE7970" w:rsidP="00FE7970">
      <w:pPr>
        <w:pStyle w:val="FootnoteText"/>
      </w:pPr>
      <w:r>
        <w:rPr>
          <w:rStyle w:val="FootnoteReference"/>
        </w:rPr>
        <w:footnoteRef/>
      </w:r>
      <w:r>
        <w:tab/>
        <w:t>Documents de travail de l’OCDE, «</w:t>
      </w:r>
      <w:hyperlink r:id="rId7" w:history="1">
        <w:r>
          <w:rPr>
            <w:rStyle w:val="Hyperlink"/>
          </w:rPr>
          <w:t>A comprehensive overview of the Energy Intensive Industries ecosystem</w:t>
        </w:r>
      </w:hyperlink>
      <w:r>
        <w:t>», 2025/09.</w:t>
      </w:r>
    </w:p>
  </w:footnote>
  <w:footnote w:id="10">
    <w:p w14:paraId="3BFE5E6A" w14:textId="77777777" w:rsidR="00FE7970" w:rsidRPr="00EE6BEF" w:rsidRDefault="00FE7970" w:rsidP="00FE7970">
      <w:pPr>
        <w:pStyle w:val="FootnoteText"/>
      </w:pPr>
      <w:r>
        <w:rPr>
          <w:rStyle w:val="FootnoteReference"/>
        </w:rPr>
        <w:footnoteRef/>
      </w:r>
      <w:r>
        <w:tab/>
        <w:t>Un plan d’action européen pour l’acier et les métaux, COM(2025) 125 final, 19 mars 2025.</w:t>
      </w:r>
    </w:p>
  </w:footnote>
  <w:footnote w:id="11">
    <w:p w14:paraId="2878CCC5" w14:textId="77777777" w:rsidR="00FE7970" w:rsidRPr="00272878" w:rsidRDefault="00FE7970" w:rsidP="00FE7970">
      <w:pPr>
        <w:pStyle w:val="FootnoteText"/>
      </w:pPr>
      <w:r>
        <w:rPr>
          <w:rStyle w:val="FootnoteReference"/>
        </w:rPr>
        <w:footnoteRef/>
      </w:r>
      <w:r>
        <w:tab/>
        <w:t>Environ 500 milliards d’euros sont nécessaires d’ici à 2040 pour les secteurs des produits chimiques, des métaux de base, des minéraux non métalliques ainsi que de la pâte à papier et du papier – Draghi, M., «</w:t>
      </w:r>
      <w:hyperlink r:id="rId8" w:history="1">
        <w:r>
          <w:rPr>
            <w:rStyle w:val="Hyperlink"/>
          </w:rPr>
          <w:t>The future of European competitiveness: In-depth analysis and recommendations</w:t>
        </w:r>
      </w:hyperlink>
      <w:r>
        <w:t xml:space="preserve">» (L’avenir de la compétitivité européenne: analyse approfondie et recommandations), partie B, 2024, p. 99, et </w:t>
      </w:r>
      <w:hyperlink r:id="rId9" w:history="1">
        <w:r>
          <w:rPr>
            <w:rStyle w:val="Hyperlink"/>
          </w:rPr>
          <w:t>document de travail des services de la Commission</w:t>
        </w:r>
      </w:hyperlink>
      <w:r>
        <w:t>, rapport d’analyse d’impact accompagnant la communication de la Commission «Garantir notre avenir – Objectif climatique de l’Europe pour 2040 et voie vers la neutralité climatique à l’horizon 2050 pour une société durable, juste et prospère», partie 3, p. 164.</w:t>
      </w:r>
    </w:p>
  </w:footnote>
  <w:footnote w:id="12">
    <w:p w14:paraId="3D546740" w14:textId="77777777" w:rsidR="00FE7970" w:rsidRPr="00852C86" w:rsidRDefault="00FE7970" w:rsidP="00FE7970">
      <w:pPr>
        <w:pStyle w:val="FootnoteText"/>
      </w:pPr>
      <w:r>
        <w:rPr>
          <w:rStyle w:val="FootnoteReference"/>
        </w:rPr>
        <w:footnoteRef/>
      </w:r>
      <w:r>
        <w:tab/>
        <w:t>Analyse du JRC, voir le rapport d’analyse d’impact.</w:t>
      </w:r>
    </w:p>
  </w:footnote>
  <w:footnote w:id="13">
    <w:p w14:paraId="6A09D93D" w14:textId="77777777" w:rsidR="00FE7970" w:rsidRPr="00570858" w:rsidRDefault="00FE7970" w:rsidP="00FE7970">
      <w:pPr>
        <w:pStyle w:val="FootnoteText"/>
      </w:pPr>
      <w:r>
        <w:rPr>
          <w:rStyle w:val="FootnoteReference"/>
        </w:rPr>
        <w:footnoteRef/>
      </w:r>
      <w:r>
        <w:tab/>
      </w:r>
      <w:hyperlink r:id="rId10" w:history="1">
        <w:r>
          <w:rPr>
            <w:rStyle w:val="Hyperlink"/>
          </w:rPr>
          <w:t>Rapport sur les progrès réalisés en matière de compétitivité des énergies propres</w:t>
        </w:r>
      </w:hyperlink>
      <w:r>
        <w:t>, COM(2025) 74 final, 26 février 2025.</w:t>
      </w:r>
    </w:p>
  </w:footnote>
  <w:footnote w:id="14">
    <w:p w14:paraId="16DFF4F2" w14:textId="77777777" w:rsidR="00FE7970" w:rsidRPr="00980FE6" w:rsidRDefault="00FE7970" w:rsidP="00FE7970">
      <w:pPr>
        <w:pStyle w:val="FootnoteText"/>
        <w:rPr>
          <w:lang w:val="en-IE"/>
        </w:rPr>
      </w:pPr>
      <w:r>
        <w:rPr>
          <w:rStyle w:val="FootnoteReference"/>
        </w:rPr>
        <w:footnoteRef/>
      </w:r>
      <w:r w:rsidRPr="00732D9A">
        <w:rPr>
          <w:lang w:val="en-GB"/>
        </w:rPr>
        <w:tab/>
        <w:t>BloombergNEF, New Energy Outlook.</w:t>
      </w:r>
    </w:p>
  </w:footnote>
  <w:footnote w:id="15">
    <w:p w14:paraId="28C49E17" w14:textId="77777777" w:rsidR="00FE7970" w:rsidRPr="00980FE6" w:rsidRDefault="00FE7970" w:rsidP="00FE7970">
      <w:pPr>
        <w:pStyle w:val="FootnoteText"/>
        <w:rPr>
          <w:lang w:val="en-IE"/>
        </w:rPr>
      </w:pPr>
      <w:r>
        <w:rPr>
          <w:rStyle w:val="FootnoteReference"/>
        </w:rPr>
        <w:footnoteRef/>
      </w:r>
      <w:r w:rsidRPr="00732D9A">
        <w:rPr>
          <w:lang w:val="en-GB"/>
        </w:rPr>
        <w:tab/>
      </w:r>
      <w:hyperlink r:id="rId11" w:history="1">
        <w:r w:rsidRPr="00732D9A">
          <w:rPr>
            <w:rStyle w:val="Hyperlink"/>
            <w:lang w:val="en-GB"/>
          </w:rPr>
          <w:t>European automotive industry:</w:t>
        </w:r>
      </w:hyperlink>
      <w:hyperlink r:id="rId12" w:history="1">
        <w:r w:rsidRPr="00732D9A">
          <w:rPr>
            <w:rStyle w:val="Hyperlink"/>
            <w:lang w:val="en-GB"/>
          </w:rPr>
          <w:t xml:space="preserve"> What it takes to regain competitiveness</w:t>
        </w:r>
      </w:hyperlink>
      <w:r w:rsidRPr="00732D9A">
        <w:rPr>
          <w:lang w:val="en-GB"/>
        </w:rPr>
        <w:t>, McKinsey, 10 mars 2025.</w:t>
      </w:r>
    </w:p>
  </w:footnote>
  <w:footnote w:id="16">
    <w:p w14:paraId="19F19859" w14:textId="77777777" w:rsidR="008B1393" w:rsidRPr="00053E05" w:rsidRDefault="008B1393" w:rsidP="008B1393">
      <w:pPr>
        <w:pStyle w:val="FootnoteText"/>
      </w:pPr>
      <w:r>
        <w:rPr>
          <w:rStyle w:val="FootnoteReference"/>
        </w:rPr>
        <w:footnoteRef/>
      </w:r>
      <w:r>
        <w:tab/>
        <w:t>Proposition de règlement du Parlement européen et du Conseil modifiant le règlement (UE) 2019/631 en ce qui concerne les normes de performance en matière d’émissions de CO</w:t>
      </w:r>
      <w:r>
        <w:rPr>
          <w:vertAlign w:val="subscript"/>
        </w:rPr>
        <w:t>2</w:t>
      </w:r>
      <w:r>
        <w:t xml:space="preserve"> pour les véhicules utilitaires légers neufs et l’étiquetage des véhicules, et abrogeant la directive 1999/94/CE.</w:t>
      </w:r>
    </w:p>
  </w:footnote>
  <w:footnote w:id="17">
    <w:p w14:paraId="646E4674" w14:textId="77777777" w:rsidR="00520353" w:rsidRPr="00520353" w:rsidRDefault="00520353">
      <w:pPr>
        <w:pStyle w:val="FootnoteText"/>
      </w:pPr>
      <w:r>
        <w:rPr>
          <w:rStyle w:val="FootnoteReference"/>
        </w:rPr>
        <w:footnoteRef/>
      </w:r>
      <w:r>
        <w:tab/>
        <w:t>Proposition de règlement du Parlement européen et du Conseil relatif à des véhicules d’entreprise propres.</w:t>
      </w:r>
    </w:p>
  </w:footnote>
  <w:footnote w:id="18">
    <w:p w14:paraId="7591ABDA" w14:textId="77777777" w:rsidR="002A7B9E" w:rsidRPr="00693813" w:rsidRDefault="002A7B9E">
      <w:pPr>
        <w:pStyle w:val="FootnoteText"/>
      </w:pPr>
      <w:r>
        <w:rPr>
          <w:rStyle w:val="FootnoteReference"/>
        </w:rPr>
        <w:footnoteRef/>
      </w:r>
      <w:r>
        <w:tab/>
        <w:t>Les informations détaillées sont disponibles via l’outil «</w:t>
      </w:r>
      <w:hyperlink r:id="rId13" w:anchor="/procumementlocation" w:history="1">
        <w:r>
          <w:rPr>
            <w:rStyle w:val="Hyperlink"/>
          </w:rPr>
          <w:t>Procurement for Buyers</w:t>
        </w:r>
      </w:hyperlink>
      <w:r>
        <w:t>» de la Commission européenne sur le portail Access2Markets et aideront les entités adjudicatrices de l’UE à déterminer quels soumissionnaires peuvent participer aux procédures de passation de marchés publics ou de concessions dans les États membres de l’UE, sur la base des dispositions de l’accord de l’OMC sur les marchés publics (AMP) et des accords commerciaux bilatéraux de l’UE.</w:t>
      </w:r>
    </w:p>
  </w:footnote>
  <w:footnote w:id="19">
    <w:p w14:paraId="707AB09F" w14:textId="77777777" w:rsidR="007161E1" w:rsidRPr="006E76A7" w:rsidRDefault="007161E1">
      <w:pPr>
        <w:pStyle w:val="FootnoteText"/>
      </w:pPr>
      <w:r>
        <w:rPr>
          <w:rStyle w:val="FootnoteReference"/>
        </w:rPr>
        <w:footnoteRef/>
      </w:r>
      <w:r>
        <w:tab/>
        <w:t>Pour les mesures relatives aux marchés pilotes concernant le ciment, les exigences sont établies au niveau du béton et du mortier, étant donné qu’il s’agit des produits finaux pertinents utilisés dans la construction.</w:t>
      </w:r>
    </w:p>
  </w:footnote>
  <w:footnote w:id="20">
    <w:p w14:paraId="2DD6A94A" w14:textId="77777777" w:rsidR="0090184F" w:rsidRPr="005D5AD7" w:rsidRDefault="0090184F">
      <w:pPr>
        <w:pStyle w:val="FootnoteText"/>
      </w:pPr>
      <w:r>
        <w:rPr>
          <w:rStyle w:val="FootnoteReference"/>
        </w:rPr>
        <w:footnoteRef/>
      </w:r>
      <w:r>
        <w:tab/>
        <w:t>[…]. </w:t>
      </w:r>
    </w:p>
  </w:footnote>
  <w:footnote w:id="21">
    <w:p w14:paraId="1F295A85" w14:textId="77777777" w:rsidR="001603DB" w:rsidRPr="005D5AD7" w:rsidRDefault="001603DB">
      <w:pPr>
        <w:pStyle w:val="FootnoteText"/>
      </w:pPr>
      <w:r>
        <w:rPr>
          <w:rStyle w:val="FootnoteReference"/>
        </w:rPr>
        <w:footnoteRef/>
      </w:r>
      <w:r>
        <w:tab/>
        <w:t>[…]. </w:t>
      </w:r>
    </w:p>
  </w:footnote>
  <w:footnote w:id="22">
    <w:p w14:paraId="1082639B" w14:textId="77777777" w:rsidR="002B14CF" w:rsidRPr="005D5AD7" w:rsidRDefault="002B14CF" w:rsidP="002B14CF">
      <w:pPr>
        <w:pStyle w:val="FootnoteText"/>
      </w:pPr>
      <w:r>
        <w:rPr>
          <w:rStyle w:val="FootnoteReference"/>
        </w:rPr>
        <w:footnoteRef/>
      </w:r>
      <w:r>
        <w:tab/>
        <w:t>https://www.consilium.europa.eu/en/policies/european-economic-security/</w:t>
      </w:r>
    </w:p>
  </w:footnote>
  <w:footnote w:id="23">
    <w:p w14:paraId="7533E921" w14:textId="63DBF0D7" w:rsidR="00862074" w:rsidRPr="00E522E8" w:rsidRDefault="00862074" w:rsidP="00862074">
      <w:pPr>
        <w:pStyle w:val="FootnoteText"/>
      </w:pPr>
      <w:r>
        <w:rPr>
          <w:rStyle w:val="FootnoteReference"/>
        </w:rPr>
        <w:footnoteRef/>
      </w:r>
      <w:r>
        <w:tab/>
        <w:t>Communication conjointe au Parlement européen et au Conseil relative à la «stratégie européenne en matière de sécurité économique» [JOIN(2023) 20</w:t>
      </w:r>
      <w:r w:rsidR="00980FE6">
        <w:t> </w:t>
      </w:r>
      <w:r>
        <w:t>final].</w:t>
      </w:r>
    </w:p>
  </w:footnote>
  <w:footnote w:id="24">
    <w:p w14:paraId="63837D30" w14:textId="04C47DC5" w:rsidR="00862074" w:rsidRPr="006B6362" w:rsidRDefault="00862074" w:rsidP="00862074">
      <w:pPr>
        <w:pStyle w:val="FootnoteText"/>
      </w:pPr>
      <w:r>
        <w:rPr>
          <w:rStyle w:val="FootnoteReference"/>
        </w:rPr>
        <w:footnoteRef/>
      </w:r>
      <w:r>
        <w:tab/>
        <w:t>Communication conjointe au Parlement européen et au Conseil intitulée «Renforcer la sécurité économique de l’UE» [JOIN(2025) 977</w:t>
      </w:r>
      <w:r w:rsidR="00980FE6">
        <w:t> </w:t>
      </w:r>
      <w:r>
        <w:t>final].</w:t>
      </w:r>
    </w:p>
  </w:footnote>
  <w:footnote w:id="25">
    <w:p w14:paraId="46669159" w14:textId="77777777" w:rsidR="00862074" w:rsidRPr="00190A5B" w:rsidRDefault="00862074" w:rsidP="00862074">
      <w:pPr>
        <w:pStyle w:val="FootnoteText"/>
      </w:pPr>
      <w:r>
        <w:rPr>
          <w:rStyle w:val="FootnoteReference"/>
        </w:rPr>
        <w:footnoteRef/>
      </w:r>
      <w:r>
        <w:tab/>
        <w:t xml:space="preserve">À l’exception du code NACE C12, des liquides pour cigarettes électroniques utilisés dans les dispositifs de vapotage et des produits contenant de la nicotine relevant du code C20.59, ainsi que de la fabrication de cigarettes électroniques et de dispositifs de chauffage du tabac relevant du code C32.99 (à moins qu’ils ne soient autorisés en tant que médicaments ou certifiés en tant que dispositifs médicaux).  </w:t>
      </w:r>
    </w:p>
  </w:footnote>
  <w:footnote w:id="26">
    <w:p w14:paraId="67E2E749" w14:textId="77777777" w:rsidR="00BB6AA8" w:rsidRPr="002D28B8" w:rsidRDefault="00BB6AA8">
      <w:pPr>
        <w:pStyle w:val="FootnoteText"/>
      </w:pPr>
      <w:r>
        <w:rPr>
          <w:rStyle w:val="FootnoteReference"/>
        </w:rPr>
        <w:footnoteRef/>
      </w:r>
      <w:r>
        <w:tab/>
        <w:t>Communication de la Commission au Parlement européen, au Conseil, au Comité économique et social européen et au Comité des régions – Un cadre stratégique pour une bioéconomie européenne compétitive et durable [COM(2025)960].</w:t>
      </w:r>
    </w:p>
  </w:footnote>
  <w:footnote w:id="27">
    <w:p w14:paraId="06CFC133" w14:textId="4DA705F9" w:rsidR="00862074" w:rsidRPr="005C0B7B" w:rsidRDefault="00862074" w:rsidP="00862074">
      <w:pPr>
        <w:pStyle w:val="FootnoteText"/>
      </w:pPr>
      <w:r>
        <w:rPr>
          <w:rStyle w:val="FootnoteReference"/>
        </w:rPr>
        <w:footnoteRef/>
      </w:r>
      <w:r>
        <w:tab/>
        <w:t>Proposition de règlement du Parlement européen et du Conseil relatif à la création de portefeuilles européens d’identité numérique pour les entreprises [COM(2025) 838</w:t>
      </w:r>
      <w:r w:rsidR="00980FE6">
        <w:t> </w:t>
      </w:r>
      <w:r>
        <w:t>final].</w:t>
      </w:r>
    </w:p>
  </w:footnote>
  <w:footnote w:id="28">
    <w:p w14:paraId="6B3387A8" w14:textId="77777777" w:rsidR="00730A27" w:rsidRPr="002732C9" w:rsidRDefault="00730A27" w:rsidP="00730A27">
      <w:pPr>
        <w:pStyle w:val="FootnoteText"/>
      </w:pPr>
      <w:r>
        <w:rPr>
          <w:rStyle w:val="FootnoteReference"/>
        </w:rPr>
        <w:footnoteRef/>
      </w:r>
      <w:r>
        <w:tab/>
        <w:t>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http://data.europa.eu/eli/reg/2024/1735/oj).</w:t>
      </w:r>
    </w:p>
  </w:footnote>
  <w:footnote w:id="29">
    <w:p w14:paraId="32E838D6" w14:textId="77777777" w:rsidR="00730A27" w:rsidRPr="006A16A8" w:rsidRDefault="00730A27" w:rsidP="00730A27">
      <w:pPr>
        <w:pStyle w:val="FootnoteText"/>
      </w:pPr>
      <w:r>
        <w:rPr>
          <w:rStyle w:val="FootnoteReference"/>
        </w:rPr>
        <w:footnoteRef/>
      </w:r>
      <w:r>
        <w:tab/>
        <w:t>Règlement (UE) 2024/1252 du Parlement européen et du Conseil du 11 avril 2024 établissant un cadre visant à garantir un approvisionnement sûr et durable en matières premières critiques et modifiant les règlements (UE) n° 168/2013, (UE) 2018/858, (UE) 2018/1724 et (UE) 2019/1020 (JO L, 2024/1252, 3.5.2024, ELI: http://data.europa.eu/eli/reg/2024/1252/oj).</w:t>
      </w:r>
    </w:p>
  </w:footnote>
  <w:footnote w:id="30">
    <w:p w14:paraId="11D92683" w14:textId="77777777" w:rsidR="00730A27" w:rsidRPr="0057538F" w:rsidRDefault="00730A27" w:rsidP="00730A27">
      <w:pPr>
        <w:pStyle w:val="FootnoteText"/>
      </w:pPr>
      <w:r>
        <w:rPr>
          <w:rStyle w:val="FootnoteReference"/>
        </w:rPr>
        <w:footnoteRef/>
      </w:r>
      <w:r>
        <w:tab/>
        <w:t>Proposition de règlement du Parlement européen et du Conseil relatif à l’accélération des évaluations environnementales (COM/2025/984 final, 10.12.2025).</w:t>
      </w:r>
    </w:p>
  </w:footnote>
  <w:footnote w:id="31">
    <w:p w14:paraId="52A72EFA" w14:textId="77777777" w:rsidR="00D76DF6" w:rsidRPr="0091525F" w:rsidRDefault="00D76DF6" w:rsidP="00D76DF6">
      <w:pPr>
        <w:pStyle w:val="FootnoteText"/>
      </w:pPr>
      <w:r>
        <w:rPr>
          <w:rStyle w:val="FootnoteReference"/>
        </w:rPr>
        <w:footnoteRef/>
      </w:r>
      <w:r>
        <w:tab/>
        <w:t xml:space="preserve">Organisation mondiale du commerce (OMC), Accord sur les marchés publics 2012, disponible à l’adresse suivante: </w:t>
      </w:r>
      <w:hyperlink r:id="rId14" w:history="1">
        <w:r>
          <w:rPr>
            <w:rStyle w:val="Hyperlink"/>
          </w:rPr>
          <w:t>https://www.wto.org/french/docs_f/legal_f/rev-gpr-94_01_f.pdf</w:t>
        </w:r>
      </w:hyperlink>
      <w:r>
        <w:t>.</w:t>
      </w:r>
    </w:p>
  </w:footnote>
  <w:footnote w:id="32">
    <w:p w14:paraId="72C22048" w14:textId="0798D316" w:rsidR="00D76DF6" w:rsidRPr="00B07534" w:rsidRDefault="00D76DF6" w:rsidP="00D76DF6">
      <w:pPr>
        <w:pStyle w:val="FootnoteText"/>
        <w:rPr>
          <w:lang w:val="fr-BE"/>
        </w:rPr>
      </w:pPr>
      <w:r>
        <w:rPr>
          <w:rStyle w:val="FootnoteReference"/>
        </w:rPr>
        <w:footnoteRef/>
      </w:r>
      <w:r w:rsidRPr="00B07534">
        <w:rPr>
          <w:lang w:val="fr-BE"/>
        </w:rPr>
        <w:tab/>
      </w:r>
      <w:r w:rsidR="00B07534" w:rsidRPr="00B07534">
        <w:rPr>
          <w:lang w:val="fr-BE"/>
        </w:rPr>
        <w:t>Règlement (UE) 2024/3110 du Parlement européen et du Conseil du 27 novembre 2024 établissant des règles harmonisées de commercialisation pour les produits de construction et abrogeant le règlement (UE) no 305/2011 (JO L, 2024/3110, 18.12.2024, ELI:</w:t>
      </w:r>
      <w:r w:rsidR="00B07534">
        <w:rPr>
          <w:lang w:val="fr-BE"/>
        </w:rPr>
        <w:t xml:space="preserve"> </w:t>
      </w:r>
      <w:hyperlink r:id="rId15" w:history="1">
        <w:r w:rsidR="00B07534" w:rsidRPr="00FF41E1">
          <w:rPr>
            <w:rStyle w:val="Hyperlink"/>
            <w:lang w:val="fr-BE"/>
          </w:rPr>
          <w:t>http://data.europa.eu/eli/reg/2024/3110/oj</w:t>
        </w:r>
      </w:hyperlink>
      <w:r w:rsidRPr="00B07534">
        <w:rPr>
          <w:lang w:val="fr-BE"/>
        </w:rPr>
        <w:t>).</w:t>
      </w:r>
    </w:p>
  </w:footnote>
  <w:footnote w:id="33">
    <w:p w14:paraId="1C5D66D7" w14:textId="77777777" w:rsidR="00D76DF6" w:rsidRPr="002D382F" w:rsidRDefault="00D76DF6" w:rsidP="00D76DF6">
      <w:pPr>
        <w:pStyle w:val="FootnoteText"/>
      </w:pPr>
      <w:r>
        <w:rPr>
          <w:rStyle w:val="FootnoteReference"/>
        </w:rPr>
        <w:footnoteRef/>
      </w:r>
      <w:r>
        <w:tab/>
        <w:t xml:space="preserve">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 (JO L, 2024/1781, 28.6.2024, ELI: </w:t>
      </w:r>
      <w:hyperlink r:id="rId16" w:history="1">
        <w:r>
          <w:rPr>
            <w:rStyle w:val="Hyperlink"/>
          </w:rPr>
          <w:t>http://data.europa.eu/eli/reg/2024/1781/oj</w:t>
        </w:r>
      </w:hyperlink>
      <w:r>
        <w:t>).</w:t>
      </w:r>
    </w:p>
  </w:footnote>
  <w:footnote w:id="34">
    <w:p w14:paraId="463F032C" w14:textId="6F89D971" w:rsidR="00D76DF6" w:rsidRPr="008B35AB" w:rsidRDefault="00D76DF6" w:rsidP="00D76DF6">
      <w:pPr>
        <w:pStyle w:val="FootnoteText"/>
      </w:pPr>
      <w:r>
        <w:rPr>
          <w:rStyle w:val="FootnoteReference"/>
        </w:rPr>
        <w:footnoteRef/>
      </w:r>
      <w:r>
        <w:tab/>
        <w:t>Communication de la Commission au Parlement européen, au Conseil européen, au Conseil, au Comité économique et social européen et au Comité des régions: «Un plan industriel du pacte vert pour l’ère du zéro émission nette», [COM(2023) 62</w:t>
      </w:r>
      <w:r w:rsidR="00980FE6">
        <w:t> </w:t>
      </w:r>
      <w:r>
        <w:t>final, 1.2.2023].</w:t>
      </w:r>
    </w:p>
  </w:footnote>
  <w:footnote w:id="35">
    <w:p w14:paraId="7A698A3E" w14:textId="77777777" w:rsidR="00D76DF6" w:rsidRPr="00674E52" w:rsidRDefault="00D76DF6" w:rsidP="00D76DF6">
      <w:pPr>
        <w:pStyle w:val="FootnoteText"/>
      </w:pPr>
      <w:r>
        <w:rPr>
          <w:rStyle w:val="FootnoteReference"/>
        </w:rPr>
        <w:footnoteRef/>
      </w:r>
      <w:r>
        <w:tab/>
        <w:t>Règlement délégué (UE) 2019/331 de la Commission du 19 décembre 2018 définissant des règles transitoires pour l’ensemble de l’Union concernant l’allocation harmonisée de quotas d’émission à titre gratuit conformément à l’article 10 </w:t>
      </w:r>
      <w:r>
        <w:rPr>
          <w:i/>
          <w:iCs/>
        </w:rPr>
        <w:t>bis</w:t>
      </w:r>
      <w:r>
        <w:t xml:space="preserve"> de la directive 2003/87/CE du Parlement européen et du Conseil (JO L 59 du 27.2.2019, p. 8, ELI: </w:t>
      </w:r>
      <w:hyperlink r:id="rId17" w:history="1">
        <w:r>
          <w:rPr>
            <w:rStyle w:val="Hyperlink"/>
          </w:rPr>
          <w:t>http://data.europa.eu/eli/reg_del/2019/331/oj</w:t>
        </w:r>
      </w:hyperlink>
      <w:r>
        <w:t>).</w:t>
      </w:r>
    </w:p>
  </w:footnote>
  <w:footnote w:id="36">
    <w:p w14:paraId="3DE975DE" w14:textId="77777777" w:rsidR="00D76DF6" w:rsidRPr="00674E52" w:rsidRDefault="00D76DF6" w:rsidP="00D76DF6">
      <w:pPr>
        <w:pStyle w:val="FootnoteText"/>
      </w:pPr>
      <w:r>
        <w:rPr>
          <w:rStyle w:val="FootnoteReference"/>
        </w:rPr>
        <w:footnoteRef/>
      </w:r>
      <w:r>
        <w:tab/>
        <w:t xml:space="preserve">Règlement d’exécution (UE) 2018/2066 de la Commission du 19 décembre 2018 relatif à la surveillance et à la déclaration des émissions de gaz à effet de serre au titre de la directive 2003/87/CE du Parlement européen et du Conseil et modifiant le règlement (UE) nº 601/2012 de la Commission (JO L 334 du 31.12.2018, p. 1, ELI: </w:t>
      </w:r>
      <w:hyperlink r:id="rId18" w:history="1">
        <w:r>
          <w:rPr>
            <w:rStyle w:val="Hyperlink"/>
          </w:rPr>
          <w:t>http://data.europa.eu/eli/reg_impl/2018/2066/oj</w:t>
        </w:r>
      </w:hyperlink>
      <w:r>
        <w:t>).</w:t>
      </w:r>
    </w:p>
  </w:footnote>
  <w:footnote w:id="37">
    <w:p w14:paraId="405B9D8A" w14:textId="718A67A2" w:rsidR="00D76DF6" w:rsidRPr="00674E52" w:rsidRDefault="00D76DF6" w:rsidP="00D76DF6">
      <w:pPr>
        <w:pStyle w:val="FootnoteText"/>
      </w:pPr>
      <w:r w:rsidRPr="00001F1D">
        <w:rPr>
          <w:rStyle w:val="FootnoteReference"/>
        </w:rPr>
        <w:footnoteRef/>
      </w:r>
      <w:r w:rsidR="00001F1D">
        <w:tab/>
      </w:r>
      <w:r>
        <w:t xml:space="preserve">Règlement (UE) 2023/956 du Parlement européen et du Conseil du 10 mai 2023 établissant un mécanisme d’ajustement carbone aux frontières (JO L 130 du 16.5.2023, p. 52, ELI: </w:t>
      </w:r>
      <w:hyperlink r:id="rId19" w:history="1">
        <w:r>
          <w:rPr>
            <w:rStyle w:val="Hyperlink"/>
          </w:rPr>
          <w:t>http://data.europa.eu/eli/reg/2023/956/oj</w:t>
        </w:r>
      </w:hyperlink>
      <w:r>
        <w:t>).</w:t>
      </w:r>
    </w:p>
  </w:footnote>
  <w:footnote w:id="38">
    <w:p w14:paraId="15B79373" w14:textId="2D9FEBD6" w:rsidR="00D76DF6" w:rsidRPr="00674E52" w:rsidRDefault="00D76DF6" w:rsidP="00D76DF6">
      <w:pPr>
        <w:pStyle w:val="FootnoteText"/>
      </w:pPr>
      <w:r w:rsidRPr="00001F1D">
        <w:rPr>
          <w:rStyle w:val="FootnoteReference"/>
        </w:rPr>
        <w:footnoteRef/>
      </w:r>
      <w:r w:rsidR="00001F1D">
        <w:tab/>
      </w:r>
      <w:r>
        <w:t xml:space="preserve">Directive 2003/87/CE du Parlement européen et du Conseil du 13 octobre 2003 établissant un système d’échange de quotas d’émission de gaz à effet de serre dans l’Union et modifiant la directive 96/61/CE du Conseil (JO L 275 du 25.10.2003, p. 32, ELI: </w:t>
      </w:r>
      <w:hyperlink r:id="rId20" w:history="1">
        <w:r>
          <w:rPr>
            <w:rStyle w:val="Hyperlink"/>
          </w:rPr>
          <w:t>http://data.europa.eu/eli/dir/2003/87/oj</w:t>
        </w:r>
      </w:hyperlink>
      <w:r>
        <w:t>).</w:t>
      </w:r>
    </w:p>
  </w:footnote>
  <w:footnote w:id="39">
    <w:p w14:paraId="3EA04DDD" w14:textId="77777777" w:rsidR="002B14CF" w:rsidRPr="0098029F" w:rsidRDefault="002B14CF" w:rsidP="002B14CF">
      <w:pPr>
        <w:pStyle w:val="FootnoteText"/>
      </w:pPr>
      <w:r>
        <w:rPr>
          <w:rStyle w:val="FootnoteReference"/>
        </w:rPr>
        <w:footnoteRef/>
      </w:r>
      <w:r>
        <w:tab/>
        <w:t>Directive 2014/23/UE du Parlement européen et du Conseil du 26 février 2014 sur l’attribution de contrats de concession (JO L 94 du 28.3.2014, p. 1-64, ELI: </w:t>
      </w:r>
      <w:hyperlink r:id="rId21" w:tooltip="Permet d’accéder à ce document par l’intermédiaire de son URI ELI." w:history="1">
        <w:r>
          <w:rPr>
            <w:rStyle w:val="Hyperlink"/>
          </w:rPr>
          <w:t>http://data.europa.eu/eli/dir/2014/23/oj</w:t>
        </w:r>
      </w:hyperlink>
      <w:r>
        <w:t>).</w:t>
      </w:r>
    </w:p>
  </w:footnote>
  <w:footnote w:id="40">
    <w:p w14:paraId="26D7DBC5" w14:textId="77777777" w:rsidR="002B14CF" w:rsidRPr="002D6B69" w:rsidRDefault="002B14CF" w:rsidP="002B14CF">
      <w:pPr>
        <w:pStyle w:val="FootnoteText"/>
      </w:pPr>
      <w:r>
        <w:rPr>
          <w:rStyle w:val="FootnoteReference"/>
        </w:rPr>
        <w:footnoteRef/>
      </w:r>
      <w:r>
        <w:tab/>
        <w:t>Directive 2014/24/UE du Parlement européen et du Conseil du 26 février 2014 sur la passation des marchés publics et abrogeant la directive 2004/18/CE (JO L 94 du 28.3.2014, p. 65, ELI: </w:t>
      </w:r>
      <w:hyperlink r:id="rId22" w:tooltip="Permet d’accéder à ce document par l’intermédiaire de son URI ELI." w:history="1">
        <w:r>
          <w:rPr>
            <w:rStyle w:val="Hyperlink"/>
          </w:rPr>
          <w:t>http://data.europa.eu/eli/dir/2014/24/oj</w:t>
        </w:r>
      </w:hyperlink>
      <w:r>
        <w:t>).</w:t>
      </w:r>
    </w:p>
  </w:footnote>
  <w:footnote w:id="41">
    <w:p w14:paraId="4216EF28" w14:textId="77777777" w:rsidR="002B14CF" w:rsidRPr="002D6B69" w:rsidRDefault="002B14CF" w:rsidP="002B14CF">
      <w:pPr>
        <w:pStyle w:val="FootnoteText"/>
      </w:pPr>
      <w:r>
        <w:rPr>
          <w:rStyle w:val="FootnoteReference"/>
        </w:rPr>
        <w:footnoteRef/>
      </w:r>
      <w: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w:t>
      </w:r>
    </w:p>
  </w:footnote>
  <w:footnote w:id="42">
    <w:p w14:paraId="04E19C2A" w14:textId="6213E119" w:rsidR="000B1194" w:rsidRPr="00C81ABF" w:rsidRDefault="000B1194" w:rsidP="000B1194">
      <w:pPr>
        <w:pStyle w:val="FootnoteText"/>
      </w:pPr>
      <w:r>
        <w:rPr>
          <w:rStyle w:val="FootnoteReference"/>
        </w:rPr>
        <w:footnoteRef/>
      </w:r>
      <w:r>
        <w:tab/>
        <w:t>Règlement (UE) 2019/631 du Parlement européen et du Conseil du 17 avril 2019 établissant des normes de performance en matière d’émissions de CO</w:t>
      </w:r>
      <w:r>
        <w:rPr>
          <w:vertAlign w:val="superscript"/>
        </w:rPr>
        <w:t>2</w:t>
      </w:r>
      <w:r>
        <w:t xml:space="preserve"> pour les voitures particulières neuves et pour les véhicules utilitaires légers neufs, et abrogeant les règlements (CE) nº 443/2009 et (UE) nº 510/2011 (JO L 111 du 25.4.2019, p. 13. ELI: http://data.europa.eu/eli/reg/2019/631/oj).</w:t>
      </w:r>
    </w:p>
  </w:footnote>
  <w:footnote w:id="43">
    <w:p w14:paraId="5E30A76F" w14:textId="77777777" w:rsidR="00E6738E" w:rsidRPr="001A27CB" w:rsidRDefault="00E6738E" w:rsidP="00E6738E">
      <w:pPr>
        <w:pStyle w:val="FootnoteText"/>
      </w:pPr>
      <w:r>
        <w:rPr>
          <w:rStyle w:val="FootnoteReference"/>
        </w:rPr>
        <w:footnoteRef/>
      </w:r>
      <w: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 ELI: http://data.europa.eu/eli/reg/2018/858/oj).</w:t>
      </w:r>
    </w:p>
  </w:footnote>
  <w:footnote w:id="44">
    <w:p w14:paraId="0B9445AA" w14:textId="77777777" w:rsidR="00901E2C" w:rsidRPr="00B8166B" w:rsidRDefault="00901E2C" w:rsidP="00901E2C">
      <w:pPr>
        <w:pStyle w:val="FootnoteText"/>
      </w:pPr>
      <w:r>
        <w:rPr>
          <w:rStyle w:val="FootnoteReference"/>
        </w:rPr>
        <w:footnoteRef/>
      </w:r>
      <w:r>
        <w:tab/>
        <w:t>Règlement (UE) 2019/452 du Parlement européen et du Conseil du 19 mars 2019 établissant un cadre pour le filtrage des investissements directs étrangers dans l’Union (JO L 79I du 21.3.2019, p. 1, ELI: </w:t>
      </w:r>
      <w:hyperlink r:id="rId23" w:tooltip="Permet d’accéder à ce document par l’intermédiaire de son URI ELI." w:history="1">
        <w:r>
          <w:rPr>
            <w:rStyle w:val="Hyperlink"/>
          </w:rPr>
          <w:t>http://data.europa.eu/eli/reg/2019/452/oj</w:t>
        </w:r>
      </w:hyperlink>
      <w:r>
        <w:t>).</w:t>
      </w:r>
    </w:p>
  </w:footnote>
  <w:footnote w:id="45">
    <w:p w14:paraId="5241334B" w14:textId="7A83E3A8" w:rsidR="00901E2C" w:rsidRPr="00D45EC5" w:rsidRDefault="00901E2C" w:rsidP="00901E2C">
      <w:pPr>
        <w:pStyle w:val="FootnoteText"/>
      </w:pPr>
      <w:r>
        <w:rPr>
          <w:rStyle w:val="FootnoteReference"/>
        </w:rPr>
        <w:footnoteRef/>
      </w:r>
      <w:r>
        <w:tab/>
        <w:t>Règlement (UE) 2022/2560 du Parlement européen et du Conseil du 14 décembre 2022 relatif aux subventions étrangères faussant le marché intérieur (JO L 330 du 23.12.2022, p. 1, ELI: http://data.europa.eu/eli/reg/2022/2560/oj).</w:t>
      </w:r>
    </w:p>
  </w:footnote>
  <w:footnote w:id="46">
    <w:p w14:paraId="2A59A85A" w14:textId="6227A5D2" w:rsidR="00901E2C" w:rsidRPr="007E3F70" w:rsidRDefault="00901E2C" w:rsidP="00901E2C">
      <w:pPr>
        <w:pStyle w:val="FootnoteText"/>
      </w:pPr>
      <w:r>
        <w:rPr>
          <w:rStyle w:val="FootnoteReference"/>
        </w:rPr>
        <w:footnoteRef/>
      </w:r>
      <w:r>
        <w:tab/>
        <w:t>Règlement (CE) nº 139/2004 du Conseil du 20 janvier 2004 relatif au contrôle des concentrations entre entreprises (JO L 24 du 29.1.2004, p. 1, ELI: http://data.europa.eu/eli/reg/2004/139/oj).</w:t>
      </w:r>
    </w:p>
  </w:footnote>
  <w:footnote w:id="47">
    <w:p w14:paraId="4C9C51F2" w14:textId="24EF4E3A" w:rsidR="005503B6" w:rsidRPr="00297FC6" w:rsidRDefault="005503B6" w:rsidP="005503B6">
      <w:pPr>
        <w:pStyle w:val="FootnoteText"/>
      </w:pPr>
      <w:r>
        <w:rPr>
          <w:rStyle w:val="FootnoteReference"/>
        </w:rPr>
        <w:footnoteRef/>
      </w:r>
      <w:r>
        <w:tab/>
        <w:t>Proposition de règlement du Parlement européen et du Conseil établissant un Fonds européen pour la compétitivité, y compris le programme spécifique pour des activités de recherche et d’innovation dans le domaine de la défense, abrogeant les règlements (UE) 2021/522, (UE) 2021/694, (UE) 2021/697, (UE) 2021/783, abrogeant les dispositions des règlements (UE) 2021/696 et (UE) 2023/588, et modifiant le règlement (UE) [EDIP] [COM(2025) 555</w:t>
      </w:r>
      <w:r w:rsidR="00980FE6">
        <w:t> </w:t>
      </w:r>
      <w:r>
        <w:t>final du 16.7.2025].</w:t>
      </w:r>
    </w:p>
  </w:footnote>
  <w:footnote w:id="48">
    <w:p w14:paraId="2400952C" w14:textId="77777777" w:rsidR="00E76B75" w:rsidRPr="00C10402" w:rsidRDefault="00E76B75" w:rsidP="00E76B75">
      <w:pPr>
        <w:pStyle w:val="FootnoteText"/>
      </w:pPr>
      <w:r>
        <w:rPr>
          <w:rStyle w:val="FootnoteReference"/>
        </w:rPr>
        <w:footnoteRef/>
      </w:r>
      <w:r>
        <w:tab/>
        <w:t>Directive 2010/75/UE du Parlement européen et du Conseil du 24 novembre 2010 relative aux émissions industrielles (prévention et réduction intégrées de la pollution) (JO L 334 du 17.12.2010, p. 17, ELI: http://data.europa.eu/eli/dir/2010/75/oj).</w:t>
      </w:r>
      <w:r>
        <w:tab/>
      </w:r>
    </w:p>
  </w:footnote>
  <w:footnote w:id="49">
    <w:p w14:paraId="45676DCF" w14:textId="545C55E5" w:rsidR="00E76B75" w:rsidRPr="0084388D" w:rsidRDefault="00E76B75" w:rsidP="00E76B75">
      <w:pPr>
        <w:pStyle w:val="FootnoteText"/>
      </w:pPr>
      <w:r>
        <w:rPr>
          <w:rStyle w:val="FootnoteReference"/>
        </w:rPr>
        <w:footnoteRef/>
      </w:r>
      <w:r>
        <w:tab/>
        <w:t>JO L 123 du 12.5.2016, p. 1, http://data.europa.eu/eli/agree_interinstit/2016/512/oj.</w:t>
      </w:r>
    </w:p>
  </w:footnote>
  <w:footnote w:id="50">
    <w:p w14:paraId="2BEC7A36" w14:textId="77777777" w:rsidR="00E15A7B" w:rsidRPr="001A27CB" w:rsidRDefault="00E15A7B" w:rsidP="00E15A7B">
      <w:pPr>
        <w:pStyle w:val="FootnoteText"/>
      </w:pPr>
      <w:r>
        <w:rPr>
          <w:rStyle w:val="FootnoteReference"/>
        </w:rPr>
        <w:footnoteRef/>
      </w:r>
      <w:r>
        <w:tab/>
        <w:t xml:space="preserve">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24" w:history="1">
        <w:r>
          <w:rPr>
            <w:rStyle w:val="Hyperlink"/>
          </w:rPr>
          <w:t>http://data.europa.eu/eli/reg/2011/182/oj</w:t>
        </w:r>
      </w:hyperlink>
      <w:r>
        <w:t>).</w:t>
      </w:r>
    </w:p>
  </w:footnote>
  <w:footnote w:id="51">
    <w:p w14:paraId="2A19458E" w14:textId="77777777" w:rsidR="00143279" w:rsidRPr="00140283" w:rsidRDefault="00143279" w:rsidP="00143279">
      <w:pPr>
        <w:pStyle w:val="FootnoteText"/>
      </w:pPr>
      <w:r>
        <w:rPr>
          <w:rStyle w:val="FootnoteReference"/>
        </w:rPr>
        <w:footnoteRef/>
      </w:r>
      <w:r>
        <w:tab/>
        <w:t xml:space="preserve">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25" w:history="1">
        <w:r>
          <w:rPr>
            <w:rStyle w:val="Hyperlink"/>
          </w:rPr>
          <w:t>http://data.europa.eu/eli/reg/2018/1724/oj</w:t>
        </w:r>
      </w:hyperlink>
      <w:r>
        <w:t>).</w:t>
      </w:r>
    </w:p>
  </w:footnote>
  <w:footnote w:id="52">
    <w:p w14:paraId="268E2D8E" w14:textId="77777777" w:rsidR="004932A2" w:rsidRPr="00FE74F3" w:rsidRDefault="004932A2" w:rsidP="00FE74F3">
      <w:pPr>
        <w:pStyle w:val="FootnoteText"/>
      </w:pPr>
      <w:r>
        <w:rPr>
          <w:rStyle w:val="FootnoteReference"/>
        </w:rPr>
        <w:footnoteRef/>
      </w:r>
      <w:r>
        <w:tab/>
        <w:t>Directive 2003/96/CE du Conseil du 27 octobre 2003 restructurant le cadre communautaire de taxation des produits énergétiques et de l’électricité (JO L 283 du 31.10.2003, p. 51, ELI: </w:t>
      </w:r>
      <w:hyperlink r:id="rId26" w:tooltip="Permet d’accéder à ce document par l’intermédiaire de son URI ELI." w:history="1">
        <w:r>
          <w:rPr>
            <w:rStyle w:val="Hyperlink"/>
          </w:rPr>
          <w:t>http://data.europa.eu/eli/dir/2003/96/oj</w:t>
        </w:r>
      </w:hyperlink>
      <w:r>
        <w:t>).</w:t>
      </w:r>
    </w:p>
  </w:footnote>
  <w:footnote w:id="53">
    <w:p w14:paraId="377679AD" w14:textId="77777777" w:rsidR="00304B30" w:rsidRPr="004E1003" w:rsidRDefault="00304B30">
      <w:pPr>
        <w:pStyle w:val="FootnoteText"/>
      </w:pPr>
      <w:r>
        <w:rPr>
          <w:rStyle w:val="FootnoteReference"/>
        </w:rPr>
        <w:footnoteRef/>
      </w:r>
      <w:r>
        <w:tab/>
        <w:t>Proposition de directive du Parlement européen et du Conseil modifiant les directives (UE) 2018/2001, (UE) 2019/944 et (UE) 2024/1788 en ce qui concerne l’accélération des procédures d’octroi de permis [2025/0400 (COD)].</w:t>
      </w:r>
      <w:r>
        <w:tab/>
      </w:r>
    </w:p>
  </w:footnote>
  <w:footnote w:id="54">
    <w:p w14:paraId="5726BA90" w14:textId="77777777" w:rsidR="000D7CA4" w:rsidRPr="00E43573" w:rsidRDefault="000D7CA4" w:rsidP="00E43573">
      <w:pPr>
        <w:pStyle w:val="FootnoteText"/>
      </w:pPr>
      <w:r>
        <w:rPr>
          <w:rStyle w:val="FootnoteReference"/>
        </w:rPr>
        <w:footnoteRef/>
      </w:r>
      <w:r>
        <w:tab/>
        <w:t>Directive 2014/24/UE du Parlement européen et du Conseil du 26 février 2014 sur la passation des marchés publics et abrogeant la directive 2004/18/CE (JO L 94 du 28.3.2014, p. 65, ELI: </w:t>
      </w:r>
      <w:hyperlink r:id="rId27" w:tooltip="Permet d’accéder à ce document par l’intermédiaire de son URI ELI." w:history="1">
        <w:r>
          <w:rPr>
            <w:rStyle w:val="Hyperlink"/>
          </w:rPr>
          <w:t>http://data.europa.eu/eli/dir/2014/24/oj</w:t>
        </w:r>
      </w:hyperlink>
      <w:r>
        <w:t>).</w:t>
      </w:r>
    </w:p>
  </w:footnote>
  <w:footnote w:id="55">
    <w:p w14:paraId="03D0028E" w14:textId="77777777" w:rsidR="0000460A" w:rsidRPr="00C22746" w:rsidRDefault="0000460A" w:rsidP="00C22746">
      <w:pPr>
        <w:pStyle w:val="FootnoteText"/>
      </w:pPr>
      <w:r>
        <w:rPr>
          <w:rStyle w:val="FootnoteReference"/>
        </w:rPr>
        <w:footnoteRef/>
      </w:r>
      <w:r>
        <w:tab/>
        <w:t>Directive 2014/25/UE du Parlement européen et du Conseil du 26 février 2014 relative à la passation de marchés par des entités opérant dans les secteurs de l’eau, de l’énergie, des transports et des services postaux et abrogeant la directive 2004/17/CE (JO L 94 du 28.3.2014, p. 243, ELI: </w:t>
      </w:r>
      <w:hyperlink r:id="rId28" w:tooltip="Permet d’accéder à ce document par l’intermédiaire de son URI ELI." w:history="1">
        <w:r>
          <w:rPr>
            <w:rStyle w:val="Hyperlink"/>
          </w:rPr>
          <w:t>http://data.europa.eu/eli/dir/2014/25/oj</w:t>
        </w:r>
      </w:hyperlink>
      <w:r>
        <w:t>).</w:t>
      </w:r>
    </w:p>
  </w:footnote>
  <w:footnote w:id="56">
    <w:p w14:paraId="5DFEA5B3" w14:textId="77777777" w:rsidR="004B6885" w:rsidRPr="001A27CB" w:rsidRDefault="004B6885" w:rsidP="004B6885">
      <w:pPr>
        <w:pStyle w:val="FootnoteText"/>
      </w:pPr>
      <w:r>
        <w:rPr>
          <w:rStyle w:val="FootnoteReference"/>
        </w:rPr>
        <w:footnoteRef/>
      </w:r>
      <w: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 ELI: http://data.europa.eu/eli/reg/2018/858/oj).</w:t>
      </w:r>
    </w:p>
  </w:footnote>
  <w:footnote w:id="57">
    <w:p w14:paraId="0D27B300" w14:textId="20B9A401" w:rsidR="005E5997" w:rsidRPr="00A2664F" w:rsidRDefault="005E5997" w:rsidP="005E5997">
      <w:pPr>
        <w:pStyle w:val="FootnoteText"/>
      </w:pPr>
      <w:r>
        <w:rPr>
          <w:rStyle w:val="FootnoteReference"/>
        </w:rPr>
        <w:footnoteRef/>
      </w:r>
      <w:r>
        <w:tab/>
        <w:t>Règlement d’exécution (UE) 2025/1178 de la Commission du 23 mai 2025 portant modalités d’application du règlement (UE) 2024/1735 du Parlement européen et du Conseil en ce qui concerne la liste des produits finis de technologie zéro net et de leurs principaux composants spécifiques aux fins de l’évaluation de la contribution à la résilience (JO L, 2025/1178, 18.6.2025, ELI: http://data.europa.eu/eli/reg_impl/2025/1178/oj).</w:t>
      </w:r>
    </w:p>
  </w:footnote>
  <w:footnote w:id="58">
    <w:p w14:paraId="470ABADA" w14:textId="5EA94A5C" w:rsidR="00DE22C6" w:rsidRPr="00D772B8" w:rsidRDefault="00B105F9" w:rsidP="00DE22C6">
      <w:pPr>
        <w:pStyle w:val="FootnoteText"/>
      </w:pPr>
      <w:r>
        <w:rPr>
          <w:rStyle w:val="FootnoteReference"/>
        </w:rPr>
        <w:footnoteRef/>
      </w:r>
      <w:r>
        <w:tab/>
      </w:r>
    </w:p>
  </w:footnote>
  <w:footnote w:id="59">
    <w:p w14:paraId="01AF0B5A" w14:textId="77777777" w:rsidR="0065557B" w:rsidRDefault="0065557B" w:rsidP="0065557B">
      <w:pPr>
        <w:pStyle w:val="FootnoteText"/>
      </w:pPr>
      <w:r>
        <w:rPr>
          <w:rStyle w:val="FootnoteReference"/>
        </w:rPr>
        <w:footnoteRef/>
      </w:r>
      <w:r>
        <w:tab/>
        <w:t>Règlement (CE) nº 139/2004 du Conseil du 20 janvier 2004 relatif au contrôle des concentrations entre entreprises (</w:t>
      </w:r>
      <w:hyperlink r:id="rId29" w:history="1">
        <w:r>
          <w:rPr>
            <w:rStyle w:val="Hyperlink"/>
          </w:rPr>
          <w:t>JO L 24 du 29.1.2004, p. 1</w:t>
        </w:r>
      </w:hyperlink>
      <w:r>
        <w:t>).</w:t>
      </w:r>
    </w:p>
  </w:footnote>
  <w:footnote w:id="60">
    <w:p w14:paraId="33531A1E" w14:textId="6BF406BE" w:rsidR="00C672BE" w:rsidRPr="00D772B8" w:rsidRDefault="00C672BE" w:rsidP="00C672BE">
      <w:pPr>
        <w:pStyle w:val="FootnoteText"/>
      </w:pPr>
      <w:r>
        <w:rPr>
          <w:rStyle w:val="FootnoteReference"/>
        </w:rPr>
        <w:footnoteRef/>
      </w:r>
      <w:r>
        <w:tab/>
        <w:t>Règlement (UE) 2023/1542 du Parlement européen et du Conseil du 12 juillet 2023 relatif aux batteries et aux déchets de batteries, modifiant la directive 2008/98/CE et le règlement (UE) 2019/1020, et abrogeant la directive 2006/66/CE (JO L 191 du 28.7.2023, p. 1, ELI: http://data.europa.eu/eli/reg/2023/1542/oj).</w:t>
      </w:r>
    </w:p>
  </w:footnote>
  <w:footnote w:id="61">
    <w:p w14:paraId="161DC101" w14:textId="428559CE" w:rsidR="005F57F7" w:rsidRPr="00BE14FF" w:rsidRDefault="005F57F7" w:rsidP="005F57F7">
      <w:pPr>
        <w:pStyle w:val="FootnoteText"/>
      </w:pPr>
      <w:r>
        <w:rPr>
          <w:rStyle w:val="FootnoteReference"/>
        </w:rPr>
        <w:footnoteRef/>
      </w:r>
      <w:r>
        <w:tab/>
        <w:t xml:space="preserve">Règlement d’exécution (UE) 2018/2067 de la Commission du 19 décembre 2018 concernant la vérification des données et l’accréditation des vérificateurs conformément à la directive 2003/87/CE du Parlement européen et du Conseil (JO L 334 du 31.12.2018, p. 94, ELI: </w:t>
      </w:r>
      <w:hyperlink r:id="rId30" w:history="1">
        <w:r>
          <w:rPr>
            <w:rStyle w:val="Hyperlink"/>
          </w:rPr>
          <w:t>http://data.europa.eu/eli/reg_impl/2018/2067/oj</w:t>
        </w:r>
      </w:hyperlink>
      <w:r>
        <w:t>).</w:t>
      </w:r>
    </w:p>
  </w:footnote>
  <w:footnote w:id="62">
    <w:p w14:paraId="0E81EE27" w14:textId="0824D81D" w:rsidR="003E20F0" w:rsidRPr="00677547" w:rsidRDefault="003E20F0" w:rsidP="003E20F0">
      <w:pPr>
        <w:pStyle w:val="FootnoteText"/>
      </w:pPr>
      <w:r>
        <w:rPr>
          <w:rStyle w:val="FootnoteReference"/>
        </w:rPr>
        <w:footnoteRef/>
      </w:r>
      <w:r>
        <w:tab/>
        <w:t>Règlement (UE) 2021/1119 du Parlement européen et du Conseil du 30 juin 2021 établissant le cadre requis pour parvenir à la neutralité climatique et modifiant les règlements (CE) nº 401/2009 et (UE) 2018/1999 («loi européenne sur le climat») (JO L 243 du 9.7.2021, p. 1, ELI: http://data.europa.eu/eli/reg/2021/1119/oj).</w:t>
      </w:r>
    </w:p>
  </w:footnote>
  <w:footnote w:id="63">
    <w:p w14:paraId="2999F6C8" w14:textId="140B5BBE" w:rsidR="004D5305" w:rsidRPr="00796A81" w:rsidRDefault="004D5305" w:rsidP="004D5305">
      <w:pPr>
        <w:pStyle w:val="FootnoteText"/>
      </w:pPr>
      <w:r>
        <w:rPr>
          <w:rStyle w:val="FootnoteReference"/>
        </w:rPr>
        <w:footnoteRef/>
      </w:r>
      <w:r>
        <w:tab/>
        <w:t>Directive 2001/42/CE du Parlement européen et du Conseil du 27 juin 2001 relative à l’évaluation des incidences de certains plans et programmes sur l’environnement (JO L 197 du 21.7.2001, p. 30, ELI: http://data.europa.eu/eli/dir/2001/42/oj).</w:t>
      </w:r>
    </w:p>
  </w:footnote>
  <w:footnote w:id="64">
    <w:p w14:paraId="129D1B5E" w14:textId="278C4460" w:rsidR="004D5305" w:rsidRPr="00185A41" w:rsidRDefault="004D5305" w:rsidP="004D5305">
      <w:pPr>
        <w:pStyle w:val="FootnoteText"/>
      </w:pPr>
      <w:r>
        <w:rPr>
          <w:rStyle w:val="FootnoteReference"/>
        </w:rPr>
        <w:footnoteRef/>
      </w:r>
      <w:r>
        <w:tab/>
        <w:t>Directive 92/43/CEE du Conseil du 21 mai 1992 concernant la conservation des habitats naturels ainsi que de la faune et de la flore sauvages (JO L 206 du 22.7.1992, p. 7, ELI: http://data.europa.eu/eli/dir/1992/43/oj).</w:t>
      </w:r>
    </w:p>
  </w:footnote>
  <w:footnote w:id="65">
    <w:p w14:paraId="302FAE48" w14:textId="5FBBBF36" w:rsidR="004D5305" w:rsidRPr="00565892" w:rsidRDefault="004D5305" w:rsidP="004D5305">
      <w:pPr>
        <w:pStyle w:val="FootnoteText"/>
      </w:pPr>
      <w:r>
        <w:rPr>
          <w:rStyle w:val="FootnoteReference"/>
        </w:rPr>
        <w:footnoteRef/>
      </w:r>
      <w:r>
        <w:tab/>
        <w:t>Directive 2000/60/CE du Parlement européen et du Conseil du 23 octobre 2000 établissant un cadre pour une politique communautaire dans le domaine de l’eau (JO L 327 du 22.12.2000, p. 1, ELI: http://data.europa.eu/eli/dir/2000/60/oj).</w:t>
      </w:r>
    </w:p>
  </w:footnote>
  <w:footnote w:id="66">
    <w:p w14:paraId="303DBE6C" w14:textId="6DE05499" w:rsidR="00F009C1" w:rsidRPr="007F6CF8" w:rsidRDefault="00F009C1" w:rsidP="00F009C1">
      <w:pPr>
        <w:pStyle w:val="FootnoteText"/>
      </w:pPr>
      <w:r>
        <w:rPr>
          <w:rStyle w:val="FootnoteReference"/>
        </w:rPr>
        <w:footnoteRef/>
      </w:r>
      <w:r>
        <w:tab/>
        <w:t>Directive (UE) 2019/944 du Parlement européen et du Conseil du 5 juin 2019 concernant des règles communes pour le marché intérieur de l’électricité et modifiant la directive 2012/27/UE (JO L 158 du 14.6.2019, p. 125, ELI: http://data.europa.eu/eli/dir/2019/944/oj).</w:t>
      </w:r>
    </w:p>
  </w:footnote>
  <w:footnote w:id="67">
    <w:p w14:paraId="4BBF0CE6" w14:textId="7E55F1B9" w:rsidR="00151225" w:rsidRPr="00862DDB" w:rsidRDefault="00151225" w:rsidP="00151225">
      <w:pPr>
        <w:pStyle w:val="FootnoteText"/>
      </w:pPr>
      <w:r>
        <w:rPr>
          <w:rStyle w:val="FootnoteReference"/>
        </w:rPr>
        <w:footnoteRef/>
      </w:r>
      <w:r>
        <w:tab/>
        <w:t>Communication de la Commission au Parlement européen, au Conseil européen, au Conseil, au Comité économique et social européen et au Comité des régions, Une nouvelle stratégie industrielle pour l’Europe [COM(2020) 102</w:t>
      </w:r>
      <w:r w:rsidR="00980FE6">
        <w:t> </w:t>
      </w:r>
      <w:r>
        <w:t>final].</w:t>
      </w:r>
    </w:p>
  </w:footnote>
  <w:footnote w:id="68">
    <w:p w14:paraId="7B5EC152" w14:textId="79CD4468" w:rsidR="00B77A34" w:rsidRDefault="00B77A34" w:rsidP="00D714F7">
      <w:pPr>
        <w:pStyle w:val="FootnoteText"/>
      </w:pPr>
      <w:r>
        <w:rPr>
          <w:rStyle w:val="FootnoteReference"/>
        </w:rPr>
        <w:footnoteRef/>
      </w:r>
      <w:r>
        <w:tab/>
        <w:t>Communication de la Commission au Parlement européen, au Conseil, au Comité économique et social européen et au Comité des régions – stratégie européenne en matière de compétences en faveur de la compétitivité durable, de l’équité sociale et de la résilience [COM(2020) 274</w:t>
      </w:r>
      <w:r w:rsidR="00980FE6">
        <w:t> </w:t>
      </w:r>
      <w:r>
        <w:t>final].</w:t>
      </w:r>
    </w:p>
    <w:p w14:paraId="7D2B6AF6" w14:textId="77777777" w:rsidR="00B77A34" w:rsidRDefault="00B77A34" w:rsidP="00D714F7">
      <w:pPr>
        <w:pStyle w:val="FootnoteText"/>
        <w:ind w:left="0" w:firstLine="0"/>
      </w:pPr>
    </w:p>
  </w:footnote>
  <w:footnote w:id="69">
    <w:p w14:paraId="05B34918" w14:textId="77777777" w:rsidR="00CA7C31" w:rsidRDefault="00CA7C31" w:rsidP="00CA7C31">
      <w:pPr>
        <w:pStyle w:val="FootnoteText"/>
      </w:pPr>
      <w:r>
        <w:rPr>
          <w:rStyle w:val="FootnoteReference"/>
        </w:rPr>
        <w:footnoteRef/>
      </w:r>
      <w:r>
        <w:tab/>
        <w:t>Tel(le) que visé(e) à l’article 58, paragraphe 2, point a) ou b), du règlement financier.</w:t>
      </w:r>
    </w:p>
  </w:footnote>
  <w:footnote w:id="70">
    <w:p w14:paraId="4A07DC95" w14:textId="77777777" w:rsidR="00CA7C31" w:rsidRDefault="00CA7C31" w:rsidP="00CA7C31">
      <w:pPr>
        <w:pStyle w:val="FootnoteText"/>
        <w:rPr>
          <w:szCs w:val="24"/>
        </w:rPr>
      </w:pPr>
      <w:r>
        <w:rPr>
          <w:rStyle w:val="FootnoteReference"/>
        </w:rPr>
        <w:footnoteRef/>
      </w:r>
      <w:r>
        <w:tab/>
        <w:t>CD = crédits dissociés/CND = crédits non dissociés.</w:t>
      </w:r>
    </w:p>
  </w:footnote>
  <w:footnote w:id="71">
    <w:p w14:paraId="2AA6292E" w14:textId="77777777" w:rsidR="00CA7C31" w:rsidRDefault="00CA7C31" w:rsidP="00CA7C31">
      <w:pPr>
        <w:pStyle w:val="FootnoteText"/>
        <w:rPr>
          <w:szCs w:val="24"/>
        </w:rPr>
      </w:pPr>
      <w:r>
        <w:rPr>
          <w:rStyle w:val="FootnoteReference"/>
        </w:rPr>
        <w:footnoteRef/>
      </w:r>
      <w:r>
        <w:tab/>
        <w:t xml:space="preserve">AELE: Association européenne de libre-échange. </w:t>
      </w:r>
    </w:p>
  </w:footnote>
  <w:footnote w:id="72">
    <w:p w14:paraId="43869683" w14:textId="77777777" w:rsidR="00CA7C31" w:rsidRDefault="00CA7C31" w:rsidP="00CA7C31">
      <w:pPr>
        <w:pStyle w:val="FootnoteText"/>
        <w:rPr>
          <w:szCs w:val="24"/>
        </w:rPr>
      </w:pPr>
      <w:r>
        <w:rPr>
          <w:rStyle w:val="FootnoteReference"/>
        </w:rPr>
        <w:footnoteRef/>
      </w:r>
      <w:r>
        <w:tab/>
        <w:t>Pays candidats et, le cas échéant, pays candidats potentiels des Balkans occidentaux.</w:t>
      </w:r>
    </w:p>
  </w:footnote>
  <w:footnote w:id="73">
    <w:p w14:paraId="1D490066" w14:textId="77777777" w:rsidR="00A86410" w:rsidRPr="00A86410" w:rsidRDefault="00A86410">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4">
    <w:p w14:paraId="14A1169C" w14:textId="77777777" w:rsidR="00D630EC" w:rsidRPr="00D630EC" w:rsidRDefault="00D630EC">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5">
    <w:p w14:paraId="02ED1214" w14:textId="77777777" w:rsidR="00914E40" w:rsidRPr="00914E40" w:rsidRDefault="00914E40">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6">
    <w:p w14:paraId="5BDB2D9B" w14:textId="77777777" w:rsidR="00914E40" w:rsidRPr="00914E40" w:rsidRDefault="00914E40">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7">
    <w:p w14:paraId="027170D3" w14:textId="77777777" w:rsidR="00E81723" w:rsidRPr="00E81723" w:rsidRDefault="00E81723">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8">
    <w:p w14:paraId="55020D24" w14:textId="77777777" w:rsidR="007E3C0F" w:rsidRPr="007E3C0F" w:rsidRDefault="007E3C0F">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79">
    <w:p w14:paraId="4ABF0AA7" w14:textId="77777777" w:rsidR="007E3C0F" w:rsidRPr="007E3C0F" w:rsidRDefault="007E3C0F">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80">
    <w:p w14:paraId="1E087AB8" w14:textId="77777777" w:rsidR="007E3C0F" w:rsidRPr="007E3C0F" w:rsidRDefault="007E3C0F">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81">
    <w:p w14:paraId="46589459" w14:textId="77777777" w:rsidR="007E3C0F" w:rsidRPr="007E3C0F" w:rsidRDefault="007E3C0F">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82">
    <w:p w14:paraId="4F3FFA51" w14:textId="77777777" w:rsidR="007E3C0F" w:rsidRPr="007E3C0F" w:rsidRDefault="007E3C0F">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83">
    <w:p w14:paraId="6472C30D" w14:textId="77777777" w:rsidR="00CA7C31" w:rsidRDefault="00CA7C31" w:rsidP="00CA7C31">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84">
    <w:p w14:paraId="21B1AA75" w14:textId="77777777" w:rsidR="00CA7C31" w:rsidRDefault="00CA7C31" w:rsidP="00CA7C31">
      <w:pPr>
        <w:pStyle w:val="FootnoteText"/>
        <w:rPr>
          <w:szCs w:val="24"/>
        </w:rPr>
      </w:pPr>
      <w:r>
        <w:rPr>
          <w:rStyle w:val="FootnoteReference"/>
        </w:rPr>
        <w:footnoteRef/>
      </w:r>
      <w:r>
        <w:tab/>
        <w:t xml:space="preserve">Tel que décrit dans la section 1.3.2. «Objectif(s) spécifique(s)». </w:t>
      </w:r>
    </w:p>
  </w:footnote>
  <w:footnote w:id="85">
    <w:p w14:paraId="37E51116" w14:textId="77777777" w:rsidR="00666ED3" w:rsidRPr="00666ED3" w:rsidRDefault="00666ED3">
      <w:pPr>
        <w:pStyle w:val="FootnoteText"/>
      </w:pPr>
      <w:r>
        <w:rPr>
          <w:rStyle w:val="FootnoteReference"/>
        </w:rPr>
        <w:footnoteRef/>
      </w:r>
      <w:r>
        <w:tab/>
        <w:t>Les chiffres figurant dans le tableau ci-dessus sont tous strictement indicatifs dans l’attente de l’issue des négociations sur le CFP 2028-2034, dont on ne saurait préjuger.</w:t>
      </w:r>
    </w:p>
  </w:footnote>
  <w:footnote w:id="86">
    <w:p w14:paraId="69CD56E0" w14:textId="77777777" w:rsidR="00C76B8F" w:rsidRDefault="00C76B8F" w:rsidP="00CA7C31">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AFA0F" w14:textId="77777777" w:rsidR="0017255A" w:rsidRDefault="00172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E2AA" w14:textId="77777777" w:rsidR="0017255A" w:rsidRDefault="0017255A" w:rsidP="00172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5D796" w14:textId="77777777" w:rsidR="0017255A" w:rsidRPr="0017255A" w:rsidRDefault="0017255A" w:rsidP="0017255A">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78C9" w14:textId="77777777" w:rsidR="0017255A" w:rsidRPr="0017255A" w:rsidRDefault="0017255A" w:rsidP="00172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73461"/>
    <w:multiLevelType w:val="hybridMultilevel"/>
    <w:tmpl w:val="245661E6"/>
    <w:lvl w:ilvl="0" w:tplc="4E06BD9C">
      <w:start w:val="1"/>
      <w:numFmt w:val="decimal"/>
      <w:pStyle w:val="Point"/>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D47696"/>
    <w:multiLevelType w:val="hybridMultilevel"/>
    <w:tmpl w:val="84C60572"/>
    <w:lvl w:ilvl="0" w:tplc="24BC9BC8">
      <w:start w:val="1"/>
      <w:numFmt w:val="decimal"/>
      <w:pStyle w:val="NumPara1"/>
      <w:lvlText w:val="%1."/>
      <w:lvlJc w:val="left"/>
      <w:pPr>
        <w:ind w:left="360" w:hanging="360"/>
      </w:pPr>
      <w:rPr>
        <w:rFonts w:ascii="Aptos" w:eastAsia="Calibri" w:hAnsi="Aptos" w:cs="Times New Roman"/>
        <w:b w:val="0"/>
        <w:bCs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CD6765C"/>
    <w:multiLevelType w:val="hybridMultilevel"/>
    <w:tmpl w:val="EFA40E02"/>
    <w:lvl w:ilvl="0" w:tplc="87AA070A">
      <w:start w:val="1"/>
      <w:numFmt w:val="decimal"/>
      <w:pStyle w:val="Article"/>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4DCD04F8"/>
    <w:multiLevelType w:val="hybridMultilevel"/>
    <w:tmpl w:val="27985444"/>
    <w:lvl w:ilvl="0" w:tplc="FFFFFFFF">
      <w:start w:val="1"/>
      <w:numFmt w:val="decimal"/>
      <w:pStyle w:val="Point0num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Times New Roman" w:eastAsiaTheme="minorHAnsi" w:hAnsi="Times New Roman" w:cs="Times New Roman" w:hint="default"/>
      </w:rPr>
    </w:lvl>
    <w:lvl w:ilvl="3" w:tplc="FFFFFFFF">
      <w:start w:val="1"/>
      <w:numFmt w:val="decimal"/>
      <w:lvlText w:val="%4."/>
      <w:lvlJc w:val="left"/>
      <w:pPr>
        <w:ind w:left="502" w:hanging="360"/>
      </w:pPr>
    </w:lvl>
    <w:lvl w:ilvl="4" w:tplc="FFFFFFFF" w:tentative="1">
      <w:start w:val="1"/>
      <w:numFmt w:val="lowerLetter"/>
      <w:lvlText w:val="%5."/>
      <w:lvlJc w:val="left"/>
      <w:pPr>
        <w:ind w:left="3600" w:hanging="360"/>
      </w:pPr>
    </w:lvl>
    <w:lvl w:ilvl="5" w:tplc="FFFFFFFF">
      <w:start w:val="1"/>
      <w:numFmt w:val="decimal"/>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Point4number"/>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6"/>
  </w:num>
  <w:num w:numId="3">
    <w:abstractNumId w:val="17"/>
  </w:num>
  <w:num w:numId="4">
    <w:abstractNumId w:val="15"/>
  </w:num>
  <w:num w:numId="5">
    <w:abstractNumId w:val="28"/>
  </w:num>
  <w:num w:numId="6">
    <w:abstractNumId w:val="25"/>
  </w:num>
  <w:num w:numId="7">
    <w:abstractNumId w:val="29"/>
  </w:num>
  <w:num w:numId="8">
    <w:abstractNumId w:val="30"/>
  </w:num>
  <w:num w:numId="9">
    <w:abstractNumId w:val="8"/>
  </w:num>
  <w:num w:numId="10">
    <w:abstractNumId w:val="9"/>
  </w:num>
  <w:num w:numId="11">
    <w:abstractNumId w:val="7"/>
  </w:num>
  <w:num w:numId="12">
    <w:abstractNumId w:val="19"/>
  </w:num>
  <w:num w:numId="13">
    <w:abstractNumId w:val="5"/>
  </w:num>
  <w:num w:numId="14">
    <w:abstractNumId w:val="14"/>
    <w:lvlOverride w:ilvl="0">
      <w:startOverride w:val="1"/>
    </w:lvlOverride>
  </w:num>
  <w:num w:numId="15">
    <w:abstractNumId w:val="16"/>
  </w:num>
  <w:num w:numId="16">
    <w:abstractNumId w:val="0"/>
  </w:num>
  <w:num w:numId="17">
    <w:abstractNumId w:val="14"/>
    <w:lvlOverride w:ilvl="0">
      <w:startOverride w:val="1"/>
    </w:lvlOverride>
  </w:num>
  <w:num w:numId="18">
    <w:abstractNumId w:val="18"/>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24"/>
  </w:num>
  <w:num w:numId="22">
    <w:abstractNumId w:val="10"/>
  </w:num>
  <w:num w:numId="23">
    <w:abstractNumId w:val="27"/>
  </w:num>
  <w:num w:numId="24">
    <w:abstractNumId w:val="4"/>
  </w:num>
  <w:num w:numId="25">
    <w:abstractNumId w:val="12"/>
  </w:num>
  <w:num w:numId="26">
    <w:abstractNumId w:val="13"/>
  </w:num>
  <w:num w:numId="27">
    <w:abstractNumId w:val="2"/>
  </w:num>
  <w:num w:numId="28">
    <w:abstractNumId w:val="26"/>
  </w:num>
  <w:num w:numId="29">
    <w:abstractNumId w:val="1"/>
  </w:num>
  <w:num w:numId="30">
    <w:abstractNumId w:val="14"/>
  </w:num>
  <w:num w:numId="31">
    <w:abstractNumId w:val="23"/>
  </w:num>
  <w:num w:numId="32">
    <w:abstractNumId w:val="3"/>
  </w:num>
  <w:num w:numId="33">
    <w:abstractNumId w:val="20"/>
  </w:num>
  <w:num w:numId="34">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oNotTrackFormatting/>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56: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09088CA-B209-45EC-8929-3AD7045EF9C5"/>
    <w:docVar w:name="LW_COVERPAGE_TYPE" w:val="1"/>
    <w:docVar w:name="LW_CreatedUtc" w:val="2026-02-03T16:50:50.4244561Z"/>
    <w:docVar w:name="LW_CROSSREFERENCE" w:val="{SEC(2026) 70 final} - {SWD(2026) 70 final} - {SWD(2026) 71 final} - {SWD(2026) 72 final}"/>
    <w:docVar w:name="LW_DocType" w:val="COM"/>
    <w:docVar w:name="LW_EMISSION" w:val="4.3.2026"/>
    <w:docVar w:name="LW_EMISSION_ISODATE" w:val="2026-03-0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68"/>
    <w:docVar w:name="LW_REF.II.NEW.CP_YEAR" w:val="2026"/>
    <w:docVar w:name="LW_REF.INST.NEW" w:val="COM"/>
    <w:docVar w:name="LW_REF.INST.NEW_ADOPTED" w:val="final"/>
    <w:docVar w:name="LW_REF.INST.NEW_TEXT" w:val="(2026)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d\u8217?accélération du développement des capacités industrielles et de la décarbonation dans des secteurs stratégiques et modifiant les règlements (UE) 2018/1724, (UE) 2024/1735 et (UE) 2024/3110"/>
    <w:docVar w:name="LW_TYPE.DOC.CP" w:val="RÈGLEMENT DU PARLEMENT EUROPÉEN ET DU CONSEIL"/>
    <w:docVar w:name="LwApiVersions" w:val="LW4CoDe 1.24.5.0; LW 9.2, Build 20251112"/>
  </w:docVars>
  <w:rsids>
    <w:rsidRoot w:val="00440ED7"/>
    <w:rsid w:val="0000020E"/>
    <w:rsid w:val="000003E9"/>
    <w:rsid w:val="000004F0"/>
    <w:rsid w:val="00000520"/>
    <w:rsid w:val="00000544"/>
    <w:rsid w:val="00000592"/>
    <w:rsid w:val="00000616"/>
    <w:rsid w:val="00000828"/>
    <w:rsid w:val="00000A4E"/>
    <w:rsid w:val="00000AFC"/>
    <w:rsid w:val="00000C1C"/>
    <w:rsid w:val="00000CD6"/>
    <w:rsid w:val="00000D35"/>
    <w:rsid w:val="00001332"/>
    <w:rsid w:val="0000158D"/>
    <w:rsid w:val="000015D4"/>
    <w:rsid w:val="000016A2"/>
    <w:rsid w:val="0000180D"/>
    <w:rsid w:val="00001845"/>
    <w:rsid w:val="000018D6"/>
    <w:rsid w:val="00001B15"/>
    <w:rsid w:val="00001C07"/>
    <w:rsid w:val="00001C36"/>
    <w:rsid w:val="00001C6B"/>
    <w:rsid w:val="00001F1D"/>
    <w:rsid w:val="00001F93"/>
    <w:rsid w:val="00001FE9"/>
    <w:rsid w:val="00002111"/>
    <w:rsid w:val="00002183"/>
    <w:rsid w:val="000022D1"/>
    <w:rsid w:val="00002392"/>
    <w:rsid w:val="000023C8"/>
    <w:rsid w:val="0000259A"/>
    <w:rsid w:val="000025DB"/>
    <w:rsid w:val="0000261D"/>
    <w:rsid w:val="0000282F"/>
    <w:rsid w:val="00002A2F"/>
    <w:rsid w:val="00002B85"/>
    <w:rsid w:val="00002B9C"/>
    <w:rsid w:val="00002BDE"/>
    <w:rsid w:val="00002C03"/>
    <w:rsid w:val="00002F5C"/>
    <w:rsid w:val="00003246"/>
    <w:rsid w:val="00003446"/>
    <w:rsid w:val="00003604"/>
    <w:rsid w:val="000038EF"/>
    <w:rsid w:val="0000393B"/>
    <w:rsid w:val="00003988"/>
    <w:rsid w:val="00003AC7"/>
    <w:rsid w:val="00003BE2"/>
    <w:rsid w:val="00003DFF"/>
    <w:rsid w:val="00003F09"/>
    <w:rsid w:val="0000403A"/>
    <w:rsid w:val="0000409D"/>
    <w:rsid w:val="00004274"/>
    <w:rsid w:val="00004316"/>
    <w:rsid w:val="0000460A"/>
    <w:rsid w:val="000049B5"/>
    <w:rsid w:val="00004A96"/>
    <w:rsid w:val="00004B9A"/>
    <w:rsid w:val="00004BAD"/>
    <w:rsid w:val="00004BD2"/>
    <w:rsid w:val="00004F38"/>
    <w:rsid w:val="00004FF4"/>
    <w:rsid w:val="00005364"/>
    <w:rsid w:val="00005592"/>
    <w:rsid w:val="000056E5"/>
    <w:rsid w:val="000057E0"/>
    <w:rsid w:val="000059FB"/>
    <w:rsid w:val="00005ADD"/>
    <w:rsid w:val="00005DF8"/>
    <w:rsid w:val="00006117"/>
    <w:rsid w:val="0000618E"/>
    <w:rsid w:val="0000622B"/>
    <w:rsid w:val="00006257"/>
    <w:rsid w:val="00006284"/>
    <w:rsid w:val="000066C1"/>
    <w:rsid w:val="000066FC"/>
    <w:rsid w:val="0000670E"/>
    <w:rsid w:val="0000671E"/>
    <w:rsid w:val="0000688F"/>
    <w:rsid w:val="00006953"/>
    <w:rsid w:val="00006998"/>
    <w:rsid w:val="00006AEE"/>
    <w:rsid w:val="00006B0B"/>
    <w:rsid w:val="00006D8F"/>
    <w:rsid w:val="00006FDA"/>
    <w:rsid w:val="00007092"/>
    <w:rsid w:val="000073B9"/>
    <w:rsid w:val="00007812"/>
    <w:rsid w:val="0000799C"/>
    <w:rsid w:val="00007A24"/>
    <w:rsid w:val="00007AE4"/>
    <w:rsid w:val="00007AFC"/>
    <w:rsid w:val="00007C0E"/>
    <w:rsid w:val="00007D38"/>
    <w:rsid w:val="00007DC2"/>
    <w:rsid w:val="00007F3D"/>
    <w:rsid w:val="00007FA2"/>
    <w:rsid w:val="00007FB3"/>
    <w:rsid w:val="00007FC5"/>
    <w:rsid w:val="0001001A"/>
    <w:rsid w:val="000100F7"/>
    <w:rsid w:val="00010266"/>
    <w:rsid w:val="0001076F"/>
    <w:rsid w:val="000108E7"/>
    <w:rsid w:val="000108F9"/>
    <w:rsid w:val="00010952"/>
    <w:rsid w:val="00010A9C"/>
    <w:rsid w:val="00010B5D"/>
    <w:rsid w:val="00010D8E"/>
    <w:rsid w:val="00010E03"/>
    <w:rsid w:val="00011103"/>
    <w:rsid w:val="000112A1"/>
    <w:rsid w:val="0001131A"/>
    <w:rsid w:val="0001144E"/>
    <w:rsid w:val="00011557"/>
    <w:rsid w:val="00011BB9"/>
    <w:rsid w:val="00011BD5"/>
    <w:rsid w:val="00011C3C"/>
    <w:rsid w:val="00011DB6"/>
    <w:rsid w:val="00011DC6"/>
    <w:rsid w:val="00011E72"/>
    <w:rsid w:val="00011ED1"/>
    <w:rsid w:val="00012057"/>
    <w:rsid w:val="00012328"/>
    <w:rsid w:val="000123E2"/>
    <w:rsid w:val="000127B2"/>
    <w:rsid w:val="0001294A"/>
    <w:rsid w:val="00012AD6"/>
    <w:rsid w:val="00012CFC"/>
    <w:rsid w:val="00012DB1"/>
    <w:rsid w:val="00012F3D"/>
    <w:rsid w:val="00013010"/>
    <w:rsid w:val="000132EC"/>
    <w:rsid w:val="00013625"/>
    <w:rsid w:val="000137BA"/>
    <w:rsid w:val="000138BB"/>
    <w:rsid w:val="00013A3A"/>
    <w:rsid w:val="00013C50"/>
    <w:rsid w:val="00013ECF"/>
    <w:rsid w:val="00013F58"/>
    <w:rsid w:val="00013FA9"/>
    <w:rsid w:val="000143B5"/>
    <w:rsid w:val="00014574"/>
    <w:rsid w:val="000146E6"/>
    <w:rsid w:val="000146ED"/>
    <w:rsid w:val="00014796"/>
    <w:rsid w:val="000147EE"/>
    <w:rsid w:val="00014AA8"/>
    <w:rsid w:val="00014BC1"/>
    <w:rsid w:val="00014BFF"/>
    <w:rsid w:val="00014D85"/>
    <w:rsid w:val="00014E32"/>
    <w:rsid w:val="00014EA1"/>
    <w:rsid w:val="00015258"/>
    <w:rsid w:val="00015275"/>
    <w:rsid w:val="000155E6"/>
    <w:rsid w:val="000156A9"/>
    <w:rsid w:val="0001570A"/>
    <w:rsid w:val="0001597B"/>
    <w:rsid w:val="000159FC"/>
    <w:rsid w:val="00015C09"/>
    <w:rsid w:val="00015C69"/>
    <w:rsid w:val="0001622A"/>
    <w:rsid w:val="00016267"/>
    <w:rsid w:val="0001628B"/>
    <w:rsid w:val="000162AB"/>
    <w:rsid w:val="000163CA"/>
    <w:rsid w:val="0001689D"/>
    <w:rsid w:val="00016B71"/>
    <w:rsid w:val="00016F3B"/>
    <w:rsid w:val="000170BE"/>
    <w:rsid w:val="00017103"/>
    <w:rsid w:val="0001714F"/>
    <w:rsid w:val="00017209"/>
    <w:rsid w:val="00017389"/>
    <w:rsid w:val="000174D3"/>
    <w:rsid w:val="0001763D"/>
    <w:rsid w:val="000177AD"/>
    <w:rsid w:val="0001781B"/>
    <w:rsid w:val="000207DA"/>
    <w:rsid w:val="00020A95"/>
    <w:rsid w:val="00020BA0"/>
    <w:rsid w:val="00020DA4"/>
    <w:rsid w:val="00020DC9"/>
    <w:rsid w:val="00021109"/>
    <w:rsid w:val="00021282"/>
    <w:rsid w:val="0002147F"/>
    <w:rsid w:val="000215AE"/>
    <w:rsid w:val="00021688"/>
    <w:rsid w:val="00021898"/>
    <w:rsid w:val="00021B6F"/>
    <w:rsid w:val="00021CE4"/>
    <w:rsid w:val="00021D47"/>
    <w:rsid w:val="00021D8B"/>
    <w:rsid w:val="00021E7D"/>
    <w:rsid w:val="000220B6"/>
    <w:rsid w:val="0002231C"/>
    <w:rsid w:val="000225A1"/>
    <w:rsid w:val="000227D4"/>
    <w:rsid w:val="000227EB"/>
    <w:rsid w:val="00022829"/>
    <w:rsid w:val="000229AB"/>
    <w:rsid w:val="00022C4E"/>
    <w:rsid w:val="00022D1D"/>
    <w:rsid w:val="00022D36"/>
    <w:rsid w:val="00022FF6"/>
    <w:rsid w:val="00023000"/>
    <w:rsid w:val="0002322B"/>
    <w:rsid w:val="00023297"/>
    <w:rsid w:val="000234F5"/>
    <w:rsid w:val="00023721"/>
    <w:rsid w:val="00023749"/>
    <w:rsid w:val="00023871"/>
    <w:rsid w:val="00023980"/>
    <w:rsid w:val="000239C9"/>
    <w:rsid w:val="000239DB"/>
    <w:rsid w:val="00023EAE"/>
    <w:rsid w:val="00023F99"/>
    <w:rsid w:val="0002419E"/>
    <w:rsid w:val="0002432E"/>
    <w:rsid w:val="00024511"/>
    <w:rsid w:val="000247EA"/>
    <w:rsid w:val="00024923"/>
    <w:rsid w:val="000249F2"/>
    <w:rsid w:val="00024B52"/>
    <w:rsid w:val="00024E69"/>
    <w:rsid w:val="00024E9F"/>
    <w:rsid w:val="00025064"/>
    <w:rsid w:val="000250F4"/>
    <w:rsid w:val="000251B5"/>
    <w:rsid w:val="00025414"/>
    <w:rsid w:val="000259E2"/>
    <w:rsid w:val="00025A04"/>
    <w:rsid w:val="00025BEB"/>
    <w:rsid w:val="00025CC4"/>
    <w:rsid w:val="00025CD0"/>
    <w:rsid w:val="00025D10"/>
    <w:rsid w:val="00025F23"/>
    <w:rsid w:val="00025FF3"/>
    <w:rsid w:val="00026173"/>
    <w:rsid w:val="00026480"/>
    <w:rsid w:val="00026515"/>
    <w:rsid w:val="00026557"/>
    <w:rsid w:val="000265B9"/>
    <w:rsid w:val="000266C3"/>
    <w:rsid w:val="000269C3"/>
    <w:rsid w:val="00026A9B"/>
    <w:rsid w:val="00026C87"/>
    <w:rsid w:val="00026D50"/>
    <w:rsid w:val="00026DCD"/>
    <w:rsid w:val="00026DD0"/>
    <w:rsid w:val="00026ED0"/>
    <w:rsid w:val="0002702B"/>
    <w:rsid w:val="000272CA"/>
    <w:rsid w:val="000273D5"/>
    <w:rsid w:val="00027419"/>
    <w:rsid w:val="000274D6"/>
    <w:rsid w:val="000277EE"/>
    <w:rsid w:val="000278C6"/>
    <w:rsid w:val="00027929"/>
    <w:rsid w:val="00027B19"/>
    <w:rsid w:val="00027B74"/>
    <w:rsid w:val="00027BEA"/>
    <w:rsid w:val="000300BA"/>
    <w:rsid w:val="0003022D"/>
    <w:rsid w:val="00030344"/>
    <w:rsid w:val="00030A09"/>
    <w:rsid w:val="00030AD7"/>
    <w:rsid w:val="00030D4C"/>
    <w:rsid w:val="00030D95"/>
    <w:rsid w:val="00030FCE"/>
    <w:rsid w:val="00031078"/>
    <w:rsid w:val="00031092"/>
    <w:rsid w:val="000310F9"/>
    <w:rsid w:val="00031257"/>
    <w:rsid w:val="000315F6"/>
    <w:rsid w:val="00031766"/>
    <w:rsid w:val="00031BD2"/>
    <w:rsid w:val="00031DFE"/>
    <w:rsid w:val="00032070"/>
    <w:rsid w:val="00032124"/>
    <w:rsid w:val="00032146"/>
    <w:rsid w:val="000321EF"/>
    <w:rsid w:val="00032476"/>
    <w:rsid w:val="0003277E"/>
    <w:rsid w:val="0003280B"/>
    <w:rsid w:val="00032887"/>
    <w:rsid w:val="00032911"/>
    <w:rsid w:val="000329FF"/>
    <w:rsid w:val="00032AA2"/>
    <w:rsid w:val="00032AB8"/>
    <w:rsid w:val="00032E93"/>
    <w:rsid w:val="00032F3A"/>
    <w:rsid w:val="00032FD6"/>
    <w:rsid w:val="000330C0"/>
    <w:rsid w:val="000332C7"/>
    <w:rsid w:val="00033546"/>
    <w:rsid w:val="00033571"/>
    <w:rsid w:val="0003369C"/>
    <w:rsid w:val="000336A2"/>
    <w:rsid w:val="000336AC"/>
    <w:rsid w:val="000336D8"/>
    <w:rsid w:val="000337E2"/>
    <w:rsid w:val="00033CDF"/>
    <w:rsid w:val="00034028"/>
    <w:rsid w:val="00034087"/>
    <w:rsid w:val="000340E7"/>
    <w:rsid w:val="00034139"/>
    <w:rsid w:val="00034324"/>
    <w:rsid w:val="0003436C"/>
    <w:rsid w:val="00034440"/>
    <w:rsid w:val="00034711"/>
    <w:rsid w:val="0003480D"/>
    <w:rsid w:val="00034CDE"/>
    <w:rsid w:val="00034E5F"/>
    <w:rsid w:val="00034F69"/>
    <w:rsid w:val="00035512"/>
    <w:rsid w:val="00035537"/>
    <w:rsid w:val="000357BC"/>
    <w:rsid w:val="00035955"/>
    <w:rsid w:val="00035ACE"/>
    <w:rsid w:val="00035E2E"/>
    <w:rsid w:val="00035F46"/>
    <w:rsid w:val="00035FEA"/>
    <w:rsid w:val="00036064"/>
    <w:rsid w:val="00036081"/>
    <w:rsid w:val="00036125"/>
    <w:rsid w:val="000361BE"/>
    <w:rsid w:val="000361F0"/>
    <w:rsid w:val="000362D6"/>
    <w:rsid w:val="0003637F"/>
    <w:rsid w:val="000364C0"/>
    <w:rsid w:val="0003658C"/>
    <w:rsid w:val="000365E7"/>
    <w:rsid w:val="00036634"/>
    <w:rsid w:val="00036707"/>
    <w:rsid w:val="00036B24"/>
    <w:rsid w:val="00036CDD"/>
    <w:rsid w:val="00036E84"/>
    <w:rsid w:val="00036F3E"/>
    <w:rsid w:val="000371BD"/>
    <w:rsid w:val="00037320"/>
    <w:rsid w:val="000374EE"/>
    <w:rsid w:val="00037657"/>
    <w:rsid w:val="00037A7A"/>
    <w:rsid w:val="00037C92"/>
    <w:rsid w:val="00037CF1"/>
    <w:rsid w:val="0004005B"/>
    <w:rsid w:val="000402B6"/>
    <w:rsid w:val="00040303"/>
    <w:rsid w:val="0004055D"/>
    <w:rsid w:val="000406E4"/>
    <w:rsid w:val="00040AEC"/>
    <w:rsid w:val="00040BB0"/>
    <w:rsid w:val="00040D9F"/>
    <w:rsid w:val="00040DE4"/>
    <w:rsid w:val="00040EA5"/>
    <w:rsid w:val="00040F93"/>
    <w:rsid w:val="0004161A"/>
    <w:rsid w:val="00041692"/>
    <w:rsid w:val="000417D3"/>
    <w:rsid w:val="000417D9"/>
    <w:rsid w:val="00041C2B"/>
    <w:rsid w:val="00041D3C"/>
    <w:rsid w:val="00041F87"/>
    <w:rsid w:val="00042239"/>
    <w:rsid w:val="00042457"/>
    <w:rsid w:val="00042499"/>
    <w:rsid w:val="00042586"/>
    <w:rsid w:val="00042636"/>
    <w:rsid w:val="0004266C"/>
    <w:rsid w:val="00042808"/>
    <w:rsid w:val="00042E6E"/>
    <w:rsid w:val="00042ED6"/>
    <w:rsid w:val="00042EE2"/>
    <w:rsid w:val="00043264"/>
    <w:rsid w:val="00043340"/>
    <w:rsid w:val="00043382"/>
    <w:rsid w:val="000433D4"/>
    <w:rsid w:val="00043635"/>
    <w:rsid w:val="000436CD"/>
    <w:rsid w:val="00043B18"/>
    <w:rsid w:val="000440B9"/>
    <w:rsid w:val="00044138"/>
    <w:rsid w:val="00044292"/>
    <w:rsid w:val="000447CB"/>
    <w:rsid w:val="000447D2"/>
    <w:rsid w:val="00044822"/>
    <w:rsid w:val="00044825"/>
    <w:rsid w:val="00044996"/>
    <w:rsid w:val="00044A1C"/>
    <w:rsid w:val="00044A91"/>
    <w:rsid w:val="00044C94"/>
    <w:rsid w:val="00045033"/>
    <w:rsid w:val="00045165"/>
    <w:rsid w:val="0004525D"/>
    <w:rsid w:val="000452F0"/>
    <w:rsid w:val="0004554E"/>
    <w:rsid w:val="0004569E"/>
    <w:rsid w:val="00045A8C"/>
    <w:rsid w:val="00045B4F"/>
    <w:rsid w:val="00045BC3"/>
    <w:rsid w:val="00045CEF"/>
    <w:rsid w:val="00045D07"/>
    <w:rsid w:val="00045E7D"/>
    <w:rsid w:val="0004630D"/>
    <w:rsid w:val="00046467"/>
    <w:rsid w:val="00046AF1"/>
    <w:rsid w:val="00046C0C"/>
    <w:rsid w:val="00046D8C"/>
    <w:rsid w:val="00046DAB"/>
    <w:rsid w:val="00046E85"/>
    <w:rsid w:val="00046ED4"/>
    <w:rsid w:val="00046FD1"/>
    <w:rsid w:val="0004706E"/>
    <w:rsid w:val="0004709C"/>
    <w:rsid w:val="000472C2"/>
    <w:rsid w:val="000473B3"/>
    <w:rsid w:val="000473F0"/>
    <w:rsid w:val="000475C8"/>
    <w:rsid w:val="0004765E"/>
    <w:rsid w:val="00047747"/>
    <w:rsid w:val="00047946"/>
    <w:rsid w:val="00047D55"/>
    <w:rsid w:val="00047EE1"/>
    <w:rsid w:val="0005009B"/>
    <w:rsid w:val="000500D2"/>
    <w:rsid w:val="00050174"/>
    <w:rsid w:val="000504BB"/>
    <w:rsid w:val="00050789"/>
    <w:rsid w:val="000507FB"/>
    <w:rsid w:val="0005088D"/>
    <w:rsid w:val="000509CA"/>
    <w:rsid w:val="00050C16"/>
    <w:rsid w:val="00050E37"/>
    <w:rsid w:val="00050EF8"/>
    <w:rsid w:val="00051310"/>
    <w:rsid w:val="00051343"/>
    <w:rsid w:val="0005148A"/>
    <w:rsid w:val="000517FF"/>
    <w:rsid w:val="000518E9"/>
    <w:rsid w:val="000519A7"/>
    <w:rsid w:val="000519DB"/>
    <w:rsid w:val="000519F6"/>
    <w:rsid w:val="00051B8E"/>
    <w:rsid w:val="00051C82"/>
    <w:rsid w:val="00051DB7"/>
    <w:rsid w:val="00051E59"/>
    <w:rsid w:val="00051F12"/>
    <w:rsid w:val="00052020"/>
    <w:rsid w:val="000520B8"/>
    <w:rsid w:val="000520F8"/>
    <w:rsid w:val="0005270A"/>
    <w:rsid w:val="000527C9"/>
    <w:rsid w:val="00052885"/>
    <w:rsid w:val="000528BC"/>
    <w:rsid w:val="00052996"/>
    <w:rsid w:val="000529DD"/>
    <w:rsid w:val="00052A01"/>
    <w:rsid w:val="00052B02"/>
    <w:rsid w:val="00052B5C"/>
    <w:rsid w:val="00053013"/>
    <w:rsid w:val="0005307A"/>
    <w:rsid w:val="000530C1"/>
    <w:rsid w:val="00053199"/>
    <w:rsid w:val="000534C8"/>
    <w:rsid w:val="000536C0"/>
    <w:rsid w:val="00053879"/>
    <w:rsid w:val="000538DE"/>
    <w:rsid w:val="00053A97"/>
    <w:rsid w:val="00053BBE"/>
    <w:rsid w:val="00053C1E"/>
    <w:rsid w:val="00053ED5"/>
    <w:rsid w:val="00053F5B"/>
    <w:rsid w:val="000540FD"/>
    <w:rsid w:val="00054116"/>
    <w:rsid w:val="00054123"/>
    <w:rsid w:val="00054162"/>
    <w:rsid w:val="0005421E"/>
    <w:rsid w:val="00054605"/>
    <w:rsid w:val="000546F9"/>
    <w:rsid w:val="0005481B"/>
    <w:rsid w:val="000548BF"/>
    <w:rsid w:val="00054AEA"/>
    <w:rsid w:val="00054AFE"/>
    <w:rsid w:val="00054B9B"/>
    <w:rsid w:val="00054C16"/>
    <w:rsid w:val="00054CCE"/>
    <w:rsid w:val="00054D04"/>
    <w:rsid w:val="00054F02"/>
    <w:rsid w:val="0005507B"/>
    <w:rsid w:val="00055188"/>
    <w:rsid w:val="00055208"/>
    <w:rsid w:val="0005525F"/>
    <w:rsid w:val="00055267"/>
    <w:rsid w:val="000554E2"/>
    <w:rsid w:val="00055537"/>
    <w:rsid w:val="00055591"/>
    <w:rsid w:val="00055878"/>
    <w:rsid w:val="00055C7A"/>
    <w:rsid w:val="00055EC7"/>
    <w:rsid w:val="00055F75"/>
    <w:rsid w:val="00055F7C"/>
    <w:rsid w:val="00056018"/>
    <w:rsid w:val="00056083"/>
    <w:rsid w:val="000561BC"/>
    <w:rsid w:val="00056293"/>
    <w:rsid w:val="00056472"/>
    <w:rsid w:val="0005686A"/>
    <w:rsid w:val="00056966"/>
    <w:rsid w:val="00056971"/>
    <w:rsid w:val="00056B1E"/>
    <w:rsid w:val="00056CE6"/>
    <w:rsid w:val="00056F0F"/>
    <w:rsid w:val="00056F26"/>
    <w:rsid w:val="00056F36"/>
    <w:rsid w:val="00056F57"/>
    <w:rsid w:val="00057023"/>
    <w:rsid w:val="00057058"/>
    <w:rsid w:val="000570CF"/>
    <w:rsid w:val="000570E6"/>
    <w:rsid w:val="0005721B"/>
    <w:rsid w:val="000572C4"/>
    <w:rsid w:val="0005748C"/>
    <w:rsid w:val="0005766D"/>
    <w:rsid w:val="00057711"/>
    <w:rsid w:val="0005774D"/>
    <w:rsid w:val="000578E5"/>
    <w:rsid w:val="00057B71"/>
    <w:rsid w:val="00057B8A"/>
    <w:rsid w:val="00057C14"/>
    <w:rsid w:val="00057CBF"/>
    <w:rsid w:val="00060010"/>
    <w:rsid w:val="000600C9"/>
    <w:rsid w:val="00060124"/>
    <w:rsid w:val="00060265"/>
    <w:rsid w:val="00060683"/>
    <w:rsid w:val="00060BD6"/>
    <w:rsid w:val="00060BF7"/>
    <w:rsid w:val="00060C07"/>
    <w:rsid w:val="00060F2F"/>
    <w:rsid w:val="00060F6C"/>
    <w:rsid w:val="00061077"/>
    <w:rsid w:val="000610CE"/>
    <w:rsid w:val="000610DE"/>
    <w:rsid w:val="000611C3"/>
    <w:rsid w:val="00061261"/>
    <w:rsid w:val="0006139D"/>
    <w:rsid w:val="00061466"/>
    <w:rsid w:val="0006158D"/>
    <w:rsid w:val="0006160F"/>
    <w:rsid w:val="0006164A"/>
    <w:rsid w:val="000619AE"/>
    <w:rsid w:val="00061A23"/>
    <w:rsid w:val="00061A94"/>
    <w:rsid w:val="00061AFB"/>
    <w:rsid w:val="00061C0B"/>
    <w:rsid w:val="000627C0"/>
    <w:rsid w:val="00062A1B"/>
    <w:rsid w:val="00062C6A"/>
    <w:rsid w:val="00062D7E"/>
    <w:rsid w:val="00062E0E"/>
    <w:rsid w:val="00062E35"/>
    <w:rsid w:val="00063283"/>
    <w:rsid w:val="000633AF"/>
    <w:rsid w:val="000633FE"/>
    <w:rsid w:val="00063AD1"/>
    <w:rsid w:val="00063E62"/>
    <w:rsid w:val="000641A4"/>
    <w:rsid w:val="000641B7"/>
    <w:rsid w:val="000642E2"/>
    <w:rsid w:val="000643E0"/>
    <w:rsid w:val="00064542"/>
    <w:rsid w:val="000645D4"/>
    <w:rsid w:val="00064934"/>
    <w:rsid w:val="00064A87"/>
    <w:rsid w:val="00064C59"/>
    <w:rsid w:val="00064CCF"/>
    <w:rsid w:val="00064EA9"/>
    <w:rsid w:val="00064EAD"/>
    <w:rsid w:val="00065191"/>
    <w:rsid w:val="0006519B"/>
    <w:rsid w:val="0006526F"/>
    <w:rsid w:val="0006530B"/>
    <w:rsid w:val="00065495"/>
    <w:rsid w:val="00065719"/>
    <w:rsid w:val="000658C0"/>
    <w:rsid w:val="00065986"/>
    <w:rsid w:val="00065AD3"/>
    <w:rsid w:val="00065D6C"/>
    <w:rsid w:val="00066006"/>
    <w:rsid w:val="00066053"/>
    <w:rsid w:val="0006613B"/>
    <w:rsid w:val="00066265"/>
    <w:rsid w:val="000662B5"/>
    <w:rsid w:val="00066650"/>
    <w:rsid w:val="00066824"/>
    <w:rsid w:val="0006686B"/>
    <w:rsid w:val="00066A23"/>
    <w:rsid w:val="00066A5A"/>
    <w:rsid w:val="00066CDB"/>
    <w:rsid w:val="00066E2E"/>
    <w:rsid w:val="00066E65"/>
    <w:rsid w:val="000671B1"/>
    <w:rsid w:val="000674D1"/>
    <w:rsid w:val="00067A3C"/>
    <w:rsid w:val="00067CAF"/>
    <w:rsid w:val="00067FA7"/>
    <w:rsid w:val="00067FDD"/>
    <w:rsid w:val="00070009"/>
    <w:rsid w:val="00070446"/>
    <w:rsid w:val="000708FA"/>
    <w:rsid w:val="00070945"/>
    <w:rsid w:val="00070A4B"/>
    <w:rsid w:val="00070ADA"/>
    <w:rsid w:val="00070B40"/>
    <w:rsid w:val="00070CB3"/>
    <w:rsid w:val="00070EC6"/>
    <w:rsid w:val="00070F09"/>
    <w:rsid w:val="00070F22"/>
    <w:rsid w:val="000710F3"/>
    <w:rsid w:val="00071119"/>
    <w:rsid w:val="000712C6"/>
    <w:rsid w:val="000713FA"/>
    <w:rsid w:val="00071A62"/>
    <w:rsid w:val="00071B9E"/>
    <w:rsid w:val="00071D87"/>
    <w:rsid w:val="00071FAC"/>
    <w:rsid w:val="0007217C"/>
    <w:rsid w:val="000722C0"/>
    <w:rsid w:val="000724E6"/>
    <w:rsid w:val="00072880"/>
    <w:rsid w:val="00072AAA"/>
    <w:rsid w:val="00072B32"/>
    <w:rsid w:val="00072C30"/>
    <w:rsid w:val="00072C74"/>
    <w:rsid w:val="000730D3"/>
    <w:rsid w:val="00073279"/>
    <w:rsid w:val="00073303"/>
    <w:rsid w:val="000736DD"/>
    <w:rsid w:val="000736FA"/>
    <w:rsid w:val="0007395E"/>
    <w:rsid w:val="00073AE4"/>
    <w:rsid w:val="00073B28"/>
    <w:rsid w:val="00073EEB"/>
    <w:rsid w:val="00073F0C"/>
    <w:rsid w:val="00073F24"/>
    <w:rsid w:val="00074108"/>
    <w:rsid w:val="000742C7"/>
    <w:rsid w:val="000742E4"/>
    <w:rsid w:val="0007459E"/>
    <w:rsid w:val="000746FA"/>
    <w:rsid w:val="00074771"/>
    <w:rsid w:val="00074A2A"/>
    <w:rsid w:val="00074C3F"/>
    <w:rsid w:val="00074EFB"/>
    <w:rsid w:val="00074F10"/>
    <w:rsid w:val="00074FD2"/>
    <w:rsid w:val="0007503A"/>
    <w:rsid w:val="00075379"/>
    <w:rsid w:val="0007540E"/>
    <w:rsid w:val="00075438"/>
    <w:rsid w:val="000755DE"/>
    <w:rsid w:val="000755E6"/>
    <w:rsid w:val="000755F1"/>
    <w:rsid w:val="000756EF"/>
    <w:rsid w:val="00075730"/>
    <w:rsid w:val="000758CD"/>
    <w:rsid w:val="00075920"/>
    <w:rsid w:val="0007592D"/>
    <w:rsid w:val="00075ABE"/>
    <w:rsid w:val="00075CB8"/>
    <w:rsid w:val="00075F08"/>
    <w:rsid w:val="00075FD7"/>
    <w:rsid w:val="00076829"/>
    <w:rsid w:val="00076899"/>
    <w:rsid w:val="00076923"/>
    <w:rsid w:val="00076945"/>
    <w:rsid w:val="00076985"/>
    <w:rsid w:val="00076CDC"/>
    <w:rsid w:val="00077010"/>
    <w:rsid w:val="0007747C"/>
    <w:rsid w:val="00077601"/>
    <w:rsid w:val="0007762F"/>
    <w:rsid w:val="000777E4"/>
    <w:rsid w:val="000777E5"/>
    <w:rsid w:val="0007785E"/>
    <w:rsid w:val="00077A34"/>
    <w:rsid w:val="00077F0D"/>
    <w:rsid w:val="00077FA1"/>
    <w:rsid w:val="000801F8"/>
    <w:rsid w:val="00080238"/>
    <w:rsid w:val="000802E0"/>
    <w:rsid w:val="000804E8"/>
    <w:rsid w:val="00080858"/>
    <w:rsid w:val="000809C0"/>
    <w:rsid w:val="00080C9D"/>
    <w:rsid w:val="00080D15"/>
    <w:rsid w:val="00080F47"/>
    <w:rsid w:val="0008102D"/>
    <w:rsid w:val="00081049"/>
    <w:rsid w:val="0008108F"/>
    <w:rsid w:val="00081212"/>
    <w:rsid w:val="0008137C"/>
    <w:rsid w:val="000813B4"/>
    <w:rsid w:val="000813EA"/>
    <w:rsid w:val="00081481"/>
    <w:rsid w:val="00081493"/>
    <w:rsid w:val="00081792"/>
    <w:rsid w:val="000818BD"/>
    <w:rsid w:val="00081AE1"/>
    <w:rsid w:val="00081D13"/>
    <w:rsid w:val="00081FD1"/>
    <w:rsid w:val="0008231E"/>
    <w:rsid w:val="00082510"/>
    <w:rsid w:val="000825E0"/>
    <w:rsid w:val="00082E66"/>
    <w:rsid w:val="00082E90"/>
    <w:rsid w:val="00082F77"/>
    <w:rsid w:val="00083065"/>
    <w:rsid w:val="00083406"/>
    <w:rsid w:val="0008348F"/>
    <w:rsid w:val="00083654"/>
    <w:rsid w:val="00083756"/>
    <w:rsid w:val="000838F3"/>
    <w:rsid w:val="00083A26"/>
    <w:rsid w:val="00083AD3"/>
    <w:rsid w:val="00083AD6"/>
    <w:rsid w:val="00083C57"/>
    <w:rsid w:val="00083CF3"/>
    <w:rsid w:val="00083F9A"/>
    <w:rsid w:val="00084037"/>
    <w:rsid w:val="00084549"/>
    <w:rsid w:val="00084672"/>
    <w:rsid w:val="00084A7E"/>
    <w:rsid w:val="00084A8E"/>
    <w:rsid w:val="00084B28"/>
    <w:rsid w:val="00084C08"/>
    <w:rsid w:val="00084F2B"/>
    <w:rsid w:val="00085160"/>
    <w:rsid w:val="0008530A"/>
    <w:rsid w:val="000853D1"/>
    <w:rsid w:val="00085414"/>
    <w:rsid w:val="00085619"/>
    <w:rsid w:val="000856CC"/>
    <w:rsid w:val="0008572A"/>
    <w:rsid w:val="00085753"/>
    <w:rsid w:val="000857E8"/>
    <w:rsid w:val="00085DDE"/>
    <w:rsid w:val="000862B2"/>
    <w:rsid w:val="000862F4"/>
    <w:rsid w:val="00086CBC"/>
    <w:rsid w:val="00086D3D"/>
    <w:rsid w:val="00086D7F"/>
    <w:rsid w:val="00086ECC"/>
    <w:rsid w:val="00086F24"/>
    <w:rsid w:val="00087070"/>
    <w:rsid w:val="000872B7"/>
    <w:rsid w:val="00087459"/>
    <w:rsid w:val="00087479"/>
    <w:rsid w:val="00087781"/>
    <w:rsid w:val="000877DE"/>
    <w:rsid w:val="0008781B"/>
    <w:rsid w:val="00087AA3"/>
    <w:rsid w:val="00087AB7"/>
    <w:rsid w:val="00087C13"/>
    <w:rsid w:val="00087E5A"/>
    <w:rsid w:val="00087E64"/>
    <w:rsid w:val="00087EF5"/>
    <w:rsid w:val="00090337"/>
    <w:rsid w:val="00090372"/>
    <w:rsid w:val="0009042B"/>
    <w:rsid w:val="00090477"/>
    <w:rsid w:val="00090491"/>
    <w:rsid w:val="000905AC"/>
    <w:rsid w:val="00090813"/>
    <w:rsid w:val="00090860"/>
    <w:rsid w:val="00090930"/>
    <w:rsid w:val="00090ABE"/>
    <w:rsid w:val="00090CAC"/>
    <w:rsid w:val="00090CD6"/>
    <w:rsid w:val="00090FA5"/>
    <w:rsid w:val="00091071"/>
    <w:rsid w:val="0009127E"/>
    <w:rsid w:val="0009130C"/>
    <w:rsid w:val="00091372"/>
    <w:rsid w:val="00091507"/>
    <w:rsid w:val="0009161A"/>
    <w:rsid w:val="00091765"/>
    <w:rsid w:val="00091934"/>
    <w:rsid w:val="00091BC8"/>
    <w:rsid w:val="00091C91"/>
    <w:rsid w:val="00091C95"/>
    <w:rsid w:val="00091ED1"/>
    <w:rsid w:val="00091FAE"/>
    <w:rsid w:val="000922E2"/>
    <w:rsid w:val="000923F2"/>
    <w:rsid w:val="000924AE"/>
    <w:rsid w:val="0009278E"/>
    <w:rsid w:val="0009292E"/>
    <w:rsid w:val="00092C01"/>
    <w:rsid w:val="00092D7D"/>
    <w:rsid w:val="00092DFE"/>
    <w:rsid w:val="000934C4"/>
    <w:rsid w:val="00093850"/>
    <w:rsid w:val="00093891"/>
    <w:rsid w:val="000938AB"/>
    <w:rsid w:val="000939EC"/>
    <w:rsid w:val="00093DC3"/>
    <w:rsid w:val="000941A7"/>
    <w:rsid w:val="000942CA"/>
    <w:rsid w:val="00094310"/>
    <w:rsid w:val="00094442"/>
    <w:rsid w:val="0009457B"/>
    <w:rsid w:val="00094811"/>
    <w:rsid w:val="00094877"/>
    <w:rsid w:val="0009488A"/>
    <w:rsid w:val="00094951"/>
    <w:rsid w:val="00094975"/>
    <w:rsid w:val="00094AD0"/>
    <w:rsid w:val="00094BE0"/>
    <w:rsid w:val="00094BE7"/>
    <w:rsid w:val="00094F5A"/>
    <w:rsid w:val="00095150"/>
    <w:rsid w:val="00095365"/>
    <w:rsid w:val="0009548D"/>
    <w:rsid w:val="000954D7"/>
    <w:rsid w:val="00095662"/>
    <w:rsid w:val="0009571C"/>
    <w:rsid w:val="000958E0"/>
    <w:rsid w:val="00095906"/>
    <w:rsid w:val="00095B52"/>
    <w:rsid w:val="00095C23"/>
    <w:rsid w:val="00095C93"/>
    <w:rsid w:val="00095F67"/>
    <w:rsid w:val="000960A7"/>
    <w:rsid w:val="0009618B"/>
    <w:rsid w:val="00096200"/>
    <w:rsid w:val="00096216"/>
    <w:rsid w:val="00096384"/>
    <w:rsid w:val="00096424"/>
    <w:rsid w:val="000964B1"/>
    <w:rsid w:val="000965EE"/>
    <w:rsid w:val="0009664B"/>
    <w:rsid w:val="00096C40"/>
    <w:rsid w:val="00096D1F"/>
    <w:rsid w:val="00096D41"/>
    <w:rsid w:val="00096DA4"/>
    <w:rsid w:val="00096F29"/>
    <w:rsid w:val="00096F77"/>
    <w:rsid w:val="000972CA"/>
    <w:rsid w:val="00097526"/>
    <w:rsid w:val="00097884"/>
    <w:rsid w:val="0009790B"/>
    <w:rsid w:val="000979FC"/>
    <w:rsid w:val="00097B5F"/>
    <w:rsid w:val="00097E35"/>
    <w:rsid w:val="00097E4D"/>
    <w:rsid w:val="000A0168"/>
    <w:rsid w:val="000A03C1"/>
    <w:rsid w:val="000A0541"/>
    <w:rsid w:val="000A05E7"/>
    <w:rsid w:val="000A0631"/>
    <w:rsid w:val="000A0919"/>
    <w:rsid w:val="000A09D4"/>
    <w:rsid w:val="000A0AF6"/>
    <w:rsid w:val="000A11F7"/>
    <w:rsid w:val="000A14BF"/>
    <w:rsid w:val="000A159F"/>
    <w:rsid w:val="000A15A5"/>
    <w:rsid w:val="000A17C6"/>
    <w:rsid w:val="000A17E6"/>
    <w:rsid w:val="000A18EB"/>
    <w:rsid w:val="000A1B15"/>
    <w:rsid w:val="000A1B8C"/>
    <w:rsid w:val="000A1BB8"/>
    <w:rsid w:val="000A2023"/>
    <w:rsid w:val="000A21B8"/>
    <w:rsid w:val="000A226B"/>
    <w:rsid w:val="000A26B5"/>
    <w:rsid w:val="000A2A97"/>
    <w:rsid w:val="000A2ABE"/>
    <w:rsid w:val="000A2BEB"/>
    <w:rsid w:val="000A2C55"/>
    <w:rsid w:val="000A3138"/>
    <w:rsid w:val="000A31B6"/>
    <w:rsid w:val="000A31FD"/>
    <w:rsid w:val="000A368C"/>
    <w:rsid w:val="000A3699"/>
    <w:rsid w:val="000A372E"/>
    <w:rsid w:val="000A38C4"/>
    <w:rsid w:val="000A39D1"/>
    <w:rsid w:val="000A3A75"/>
    <w:rsid w:val="000A3AA7"/>
    <w:rsid w:val="000A3C92"/>
    <w:rsid w:val="000A3EA9"/>
    <w:rsid w:val="000A3F53"/>
    <w:rsid w:val="000A3FFA"/>
    <w:rsid w:val="000A4559"/>
    <w:rsid w:val="000A458F"/>
    <w:rsid w:val="000A467E"/>
    <w:rsid w:val="000A4AC3"/>
    <w:rsid w:val="000A4B85"/>
    <w:rsid w:val="000A5121"/>
    <w:rsid w:val="000A51C4"/>
    <w:rsid w:val="000A51E2"/>
    <w:rsid w:val="000A547D"/>
    <w:rsid w:val="000A5678"/>
    <w:rsid w:val="000A5770"/>
    <w:rsid w:val="000A5BC6"/>
    <w:rsid w:val="000A5C9E"/>
    <w:rsid w:val="000A5D85"/>
    <w:rsid w:val="000A5E31"/>
    <w:rsid w:val="000A5E43"/>
    <w:rsid w:val="000A5E6D"/>
    <w:rsid w:val="000A6375"/>
    <w:rsid w:val="000A6444"/>
    <w:rsid w:val="000A6501"/>
    <w:rsid w:val="000A65A6"/>
    <w:rsid w:val="000A6692"/>
    <w:rsid w:val="000A66AD"/>
    <w:rsid w:val="000A672D"/>
    <w:rsid w:val="000A68CB"/>
    <w:rsid w:val="000A6AF0"/>
    <w:rsid w:val="000A6CD9"/>
    <w:rsid w:val="000A6CEF"/>
    <w:rsid w:val="000A6D49"/>
    <w:rsid w:val="000A6FC8"/>
    <w:rsid w:val="000A700E"/>
    <w:rsid w:val="000A7160"/>
    <w:rsid w:val="000A7171"/>
    <w:rsid w:val="000A7272"/>
    <w:rsid w:val="000A747B"/>
    <w:rsid w:val="000A75A4"/>
    <w:rsid w:val="000A76B7"/>
    <w:rsid w:val="000A776C"/>
    <w:rsid w:val="000A7823"/>
    <w:rsid w:val="000A7986"/>
    <w:rsid w:val="000A7B9A"/>
    <w:rsid w:val="000A7BC2"/>
    <w:rsid w:val="000A7C27"/>
    <w:rsid w:val="000A7D02"/>
    <w:rsid w:val="000A7DCF"/>
    <w:rsid w:val="000A7E07"/>
    <w:rsid w:val="000A7EE8"/>
    <w:rsid w:val="000A7F8D"/>
    <w:rsid w:val="000B0011"/>
    <w:rsid w:val="000B0032"/>
    <w:rsid w:val="000B00DE"/>
    <w:rsid w:val="000B0298"/>
    <w:rsid w:val="000B0ADB"/>
    <w:rsid w:val="000B0D64"/>
    <w:rsid w:val="000B1147"/>
    <w:rsid w:val="000B1194"/>
    <w:rsid w:val="000B12C0"/>
    <w:rsid w:val="000B133E"/>
    <w:rsid w:val="000B1502"/>
    <w:rsid w:val="000B15B9"/>
    <w:rsid w:val="000B164E"/>
    <w:rsid w:val="000B1A41"/>
    <w:rsid w:val="000B1D14"/>
    <w:rsid w:val="000B1DE4"/>
    <w:rsid w:val="000B1E6A"/>
    <w:rsid w:val="000B2023"/>
    <w:rsid w:val="000B2079"/>
    <w:rsid w:val="000B20F0"/>
    <w:rsid w:val="000B22AA"/>
    <w:rsid w:val="000B255D"/>
    <w:rsid w:val="000B25D2"/>
    <w:rsid w:val="000B2634"/>
    <w:rsid w:val="000B27B4"/>
    <w:rsid w:val="000B2C35"/>
    <w:rsid w:val="000B2C6F"/>
    <w:rsid w:val="000B2C84"/>
    <w:rsid w:val="000B2CBD"/>
    <w:rsid w:val="000B2F31"/>
    <w:rsid w:val="000B2F76"/>
    <w:rsid w:val="000B30BA"/>
    <w:rsid w:val="000B317B"/>
    <w:rsid w:val="000B3359"/>
    <w:rsid w:val="000B3368"/>
    <w:rsid w:val="000B366F"/>
    <w:rsid w:val="000B3793"/>
    <w:rsid w:val="000B38E8"/>
    <w:rsid w:val="000B39A4"/>
    <w:rsid w:val="000B3A02"/>
    <w:rsid w:val="000B3AE6"/>
    <w:rsid w:val="000B3BEC"/>
    <w:rsid w:val="000B3C38"/>
    <w:rsid w:val="000B3C6E"/>
    <w:rsid w:val="000B3DC3"/>
    <w:rsid w:val="000B3E1C"/>
    <w:rsid w:val="000B3EAE"/>
    <w:rsid w:val="000B3FD4"/>
    <w:rsid w:val="000B401A"/>
    <w:rsid w:val="000B4039"/>
    <w:rsid w:val="000B415A"/>
    <w:rsid w:val="000B42CB"/>
    <w:rsid w:val="000B439E"/>
    <w:rsid w:val="000B4422"/>
    <w:rsid w:val="000B446C"/>
    <w:rsid w:val="000B44AB"/>
    <w:rsid w:val="000B451F"/>
    <w:rsid w:val="000B4726"/>
    <w:rsid w:val="000B480C"/>
    <w:rsid w:val="000B4A82"/>
    <w:rsid w:val="000B4B24"/>
    <w:rsid w:val="000B4D03"/>
    <w:rsid w:val="000B4D91"/>
    <w:rsid w:val="000B4F12"/>
    <w:rsid w:val="000B4F8F"/>
    <w:rsid w:val="000B5013"/>
    <w:rsid w:val="000B5147"/>
    <w:rsid w:val="000B519A"/>
    <w:rsid w:val="000B5354"/>
    <w:rsid w:val="000B5357"/>
    <w:rsid w:val="000B5373"/>
    <w:rsid w:val="000B53E8"/>
    <w:rsid w:val="000B59AE"/>
    <w:rsid w:val="000B5BBC"/>
    <w:rsid w:val="000B5D57"/>
    <w:rsid w:val="000B6077"/>
    <w:rsid w:val="000B6369"/>
    <w:rsid w:val="000B67EF"/>
    <w:rsid w:val="000B6992"/>
    <w:rsid w:val="000B6A76"/>
    <w:rsid w:val="000B6BA3"/>
    <w:rsid w:val="000B709E"/>
    <w:rsid w:val="000B727F"/>
    <w:rsid w:val="000B72D0"/>
    <w:rsid w:val="000B73BC"/>
    <w:rsid w:val="000B73F1"/>
    <w:rsid w:val="000B7521"/>
    <w:rsid w:val="000B76BC"/>
    <w:rsid w:val="000B7AA0"/>
    <w:rsid w:val="000B7AC2"/>
    <w:rsid w:val="000B7D9E"/>
    <w:rsid w:val="000C0039"/>
    <w:rsid w:val="000C0052"/>
    <w:rsid w:val="000C021B"/>
    <w:rsid w:val="000C0260"/>
    <w:rsid w:val="000C03B5"/>
    <w:rsid w:val="000C048B"/>
    <w:rsid w:val="000C0800"/>
    <w:rsid w:val="000C0911"/>
    <w:rsid w:val="000C0980"/>
    <w:rsid w:val="000C0B2E"/>
    <w:rsid w:val="000C0BF2"/>
    <w:rsid w:val="000C0E42"/>
    <w:rsid w:val="000C0FFE"/>
    <w:rsid w:val="000C119B"/>
    <w:rsid w:val="000C122C"/>
    <w:rsid w:val="000C1315"/>
    <w:rsid w:val="000C17C4"/>
    <w:rsid w:val="000C19BF"/>
    <w:rsid w:val="000C1B67"/>
    <w:rsid w:val="000C1BDA"/>
    <w:rsid w:val="000C1C40"/>
    <w:rsid w:val="000C1DCA"/>
    <w:rsid w:val="000C1EB3"/>
    <w:rsid w:val="000C1ED3"/>
    <w:rsid w:val="000C202C"/>
    <w:rsid w:val="000C22CB"/>
    <w:rsid w:val="000C22F7"/>
    <w:rsid w:val="000C243E"/>
    <w:rsid w:val="000C25C5"/>
    <w:rsid w:val="000C2612"/>
    <w:rsid w:val="000C28A9"/>
    <w:rsid w:val="000C2A9B"/>
    <w:rsid w:val="000C2AE3"/>
    <w:rsid w:val="000C2B7F"/>
    <w:rsid w:val="000C2C47"/>
    <w:rsid w:val="000C2F7C"/>
    <w:rsid w:val="000C2FB2"/>
    <w:rsid w:val="000C2FCE"/>
    <w:rsid w:val="000C3077"/>
    <w:rsid w:val="000C30A8"/>
    <w:rsid w:val="000C3167"/>
    <w:rsid w:val="000C3338"/>
    <w:rsid w:val="000C3406"/>
    <w:rsid w:val="000C3429"/>
    <w:rsid w:val="000C386B"/>
    <w:rsid w:val="000C3A33"/>
    <w:rsid w:val="000C3B51"/>
    <w:rsid w:val="000C3D43"/>
    <w:rsid w:val="000C3E24"/>
    <w:rsid w:val="000C4012"/>
    <w:rsid w:val="000C4122"/>
    <w:rsid w:val="000C4383"/>
    <w:rsid w:val="000C4A0B"/>
    <w:rsid w:val="000C4E34"/>
    <w:rsid w:val="000C51CB"/>
    <w:rsid w:val="000C5348"/>
    <w:rsid w:val="000C5377"/>
    <w:rsid w:val="000C5396"/>
    <w:rsid w:val="000C55AE"/>
    <w:rsid w:val="000C5640"/>
    <w:rsid w:val="000C5A1E"/>
    <w:rsid w:val="000C5C2B"/>
    <w:rsid w:val="000C5D8A"/>
    <w:rsid w:val="000C5DB8"/>
    <w:rsid w:val="000C5E79"/>
    <w:rsid w:val="000C5F83"/>
    <w:rsid w:val="000C604F"/>
    <w:rsid w:val="000C605C"/>
    <w:rsid w:val="000C616F"/>
    <w:rsid w:val="000C6197"/>
    <w:rsid w:val="000C6562"/>
    <w:rsid w:val="000C6699"/>
    <w:rsid w:val="000C66E9"/>
    <w:rsid w:val="000C680D"/>
    <w:rsid w:val="000C6837"/>
    <w:rsid w:val="000C6A84"/>
    <w:rsid w:val="000C6CD0"/>
    <w:rsid w:val="000C6D52"/>
    <w:rsid w:val="000C6F82"/>
    <w:rsid w:val="000C705D"/>
    <w:rsid w:val="000C7215"/>
    <w:rsid w:val="000C73BB"/>
    <w:rsid w:val="000C7568"/>
    <w:rsid w:val="000C75BE"/>
    <w:rsid w:val="000C77FF"/>
    <w:rsid w:val="000C781D"/>
    <w:rsid w:val="000C7821"/>
    <w:rsid w:val="000C787F"/>
    <w:rsid w:val="000C78C3"/>
    <w:rsid w:val="000C78E4"/>
    <w:rsid w:val="000C7985"/>
    <w:rsid w:val="000C7B2A"/>
    <w:rsid w:val="000C7BAA"/>
    <w:rsid w:val="000D02B3"/>
    <w:rsid w:val="000D0531"/>
    <w:rsid w:val="000D0556"/>
    <w:rsid w:val="000D0A3E"/>
    <w:rsid w:val="000D0A76"/>
    <w:rsid w:val="000D0ADF"/>
    <w:rsid w:val="000D0BA4"/>
    <w:rsid w:val="000D0C3B"/>
    <w:rsid w:val="000D0C3E"/>
    <w:rsid w:val="000D0F05"/>
    <w:rsid w:val="000D1159"/>
    <w:rsid w:val="000D1223"/>
    <w:rsid w:val="000D1596"/>
    <w:rsid w:val="000D1604"/>
    <w:rsid w:val="000D1993"/>
    <w:rsid w:val="000D1B59"/>
    <w:rsid w:val="000D1D80"/>
    <w:rsid w:val="000D1EE3"/>
    <w:rsid w:val="000D2074"/>
    <w:rsid w:val="000D20C5"/>
    <w:rsid w:val="000D24A2"/>
    <w:rsid w:val="000D2532"/>
    <w:rsid w:val="000D257D"/>
    <w:rsid w:val="000D2740"/>
    <w:rsid w:val="000D2756"/>
    <w:rsid w:val="000D28B6"/>
    <w:rsid w:val="000D29B8"/>
    <w:rsid w:val="000D2B57"/>
    <w:rsid w:val="000D2C31"/>
    <w:rsid w:val="000D2C94"/>
    <w:rsid w:val="000D2CAA"/>
    <w:rsid w:val="000D2E6B"/>
    <w:rsid w:val="000D2FEF"/>
    <w:rsid w:val="000D307A"/>
    <w:rsid w:val="000D311F"/>
    <w:rsid w:val="000D3323"/>
    <w:rsid w:val="000D3418"/>
    <w:rsid w:val="000D3578"/>
    <w:rsid w:val="000D37AC"/>
    <w:rsid w:val="000D37AE"/>
    <w:rsid w:val="000D3BF2"/>
    <w:rsid w:val="000D3E5D"/>
    <w:rsid w:val="000D3F5D"/>
    <w:rsid w:val="000D426C"/>
    <w:rsid w:val="000D437D"/>
    <w:rsid w:val="000D4437"/>
    <w:rsid w:val="000D4541"/>
    <w:rsid w:val="000D4577"/>
    <w:rsid w:val="000D46FD"/>
    <w:rsid w:val="000D47A5"/>
    <w:rsid w:val="000D4AB6"/>
    <w:rsid w:val="000D4B24"/>
    <w:rsid w:val="000D4C22"/>
    <w:rsid w:val="000D4CE0"/>
    <w:rsid w:val="000D4DEE"/>
    <w:rsid w:val="000D51D9"/>
    <w:rsid w:val="000D59D4"/>
    <w:rsid w:val="000D5B01"/>
    <w:rsid w:val="000D5ECD"/>
    <w:rsid w:val="000D6337"/>
    <w:rsid w:val="000D6368"/>
    <w:rsid w:val="000D655C"/>
    <w:rsid w:val="000D65DC"/>
    <w:rsid w:val="000D65F9"/>
    <w:rsid w:val="000D692F"/>
    <w:rsid w:val="000D6A09"/>
    <w:rsid w:val="000D6D5B"/>
    <w:rsid w:val="000D70E2"/>
    <w:rsid w:val="000D721C"/>
    <w:rsid w:val="000D749F"/>
    <w:rsid w:val="000D75B4"/>
    <w:rsid w:val="000D75B5"/>
    <w:rsid w:val="000D7815"/>
    <w:rsid w:val="000D7AE8"/>
    <w:rsid w:val="000D7BE0"/>
    <w:rsid w:val="000D7C84"/>
    <w:rsid w:val="000D7CA4"/>
    <w:rsid w:val="000E0151"/>
    <w:rsid w:val="000E0311"/>
    <w:rsid w:val="000E033E"/>
    <w:rsid w:val="000E0373"/>
    <w:rsid w:val="000E085E"/>
    <w:rsid w:val="000E08EB"/>
    <w:rsid w:val="000E0A55"/>
    <w:rsid w:val="000E0AF4"/>
    <w:rsid w:val="000E0B79"/>
    <w:rsid w:val="000E0C97"/>
    <w:rsid w:val="000E0C9E"/>
    <w:rsid w:val="000E0E0C"/>
    <w:rsid w:val="000E0E64"/>
    <w:rsid w:val="000E1408"/>
    <w:rsid w:val="000E14A2"/>
    <w:rsid w:val="000E14EC"/>
    <w:rsid w:val="000E1751"/>
    <w:rsid w:val="000E1914"/>
    <w:rsid w:val="000E19C2"/>
    <w:rsid w:val="000E1E02"/>
    <w:rsid w:val="000E1EA3"/>
    <w:rsid w:val="000E20B9"/>
    <w:rsid w:val="000E20F8"/>
    <w:rsid w:val="000E20FC"/>
    <w:rsid w:val="000E2323"/>
    <w:rsid w:val="000E241C"/>
    <w:rsid w:val="000E24A2"/>
    <w:rsid w:val="000E2504"/>
    <w:rsid w:val="000E2CCF"/>
    <w:rsid w:val="000E2F57"/>
    <w:rsid w:val="000E31A1"/>
    <w:rsid w:val="000E31C4"/>
    <w:rsid w:val="000E3257"/>
    <w:rsid w:val="000E3557"/>
    <w:rsid w:val="000E364A"/>
    <w:rsid w:val="000E40B8"/>
    <w:rsid w:val="000E40E4"/>
    <w:rsid w:val="000E425A"/>
    <w:rsid w:val="000E4288"/>
    <w:rsid w:val="000E43FA"/>
    <w:rsid w:val="000E4747"/>
    <w:rsid w:val="000E4805"/>
    <w:rsid w:val="000E4863"/>
    <w:rsid w:val="000E48D7"/>
    <w:rsid w:val="000E48DF"/>
    <w:rsid w:val="000E49A7"/>
    <w:rsid w:val="000E4CFA"/>
    <w:rsid w:val="000E4DE4"/>
    <w:rsid w:val="000E4E31"/>
    <w:rsid w:val="000E57BD"/>
    <w:rsid w:val="000E587A"/>
    <w:rsid w:val="000E58E2"/>
    <w:rsid w:val="000E5CBE"/>
    <w:rsid w:val="000E5E67"/>
    <w:rsid w:val="000E60B3"/>
    <w:rsid w:val="000E620E"/>
    <w:rsid w:val="000E62A8"/>
    <w:rsid w:val="000E62C6"/>
    <w:rsid w:val="000E64C9"/>
    <w:rsid w:val="000E676B"/>
    <w:rsid w:val="000E6819"/>
    <w:rsid w:val="000E6886"/>
    <w:rsid w:val="000E6CDB"/>
    <w:rsid w:val="000E7044"/>
    <w:rsid w:val="000E725C"/>
    <w:rsid w:val="000E72C4"/>
    <w:rsid w:val="000E7413"/>
    <w:rsid w:val="000E768F"/>
    <w:rsid w:val="000E78C4"/>
    <w:rsid w:val="000E7A02"/>
    <w:rsid w:val="000E7A71"/>
    <w:rsid w:val="000E7BE4"/>
    <w:rsid w:val="000E7F3E"/>
    <w:rsid w:val="000F00D3"/>
    <w:rsid w:val="000F09C3"/>
    <w:rsid w:val="000F0A2F"/>
    <w:rsid w:val="000F0A72"/>
    <w:rsid w:val="000F0EBA"/>
    <w:rsid w:val="000F10EE"/>
    <w:rsid w:val="000F1141"/>
    <w:rsid w:val="000F12DE"/>
    <w:rsid w:val="000F1502"/>
    <w:rsid w:val="000F155C"/>
    <w:rsid w:val="000F17C9"/>
    <w:rsid w:val="000F1876"/>
    <w:rsid w:val="000F1B05"/>
    <w:rsid w:val="000F1B7A"/>
    <w:rsid w:val="000F1C84"/>
    <w:rsid w:val="000F1CB3"/>
    <w:rsid w:val="000F1D51"/>
    <w:rsid w:val="000F1FF6"/>
    <w:rsid w:val="000F223C"/>
    <w:rsid w:val="000F2750"/>
    <w:rsid w:val="000F275F"/>
    <w:rsid w:val="000F27ED"/>
    <w:rsid w:val="000F29F5"/>
    <w:rsid w:val="000F2B63"/>
    <w:rsid w:val="000F3075"/>
    <w:rsid w:val="000F307B"/>
    <w:rsid w:val="000F30B5"/>
    <w:rsid w:val="000F3493"/>
    <w:rsid w:val="000F34B9"/>
    <w:rsid w:val="000F369D"/>
    <w:rsid w:val="000F36BB"/>
    <w:rsid w:val="000F37FB"/>
    <w:rsid w:val="000F3884"/>
    <w:rsid w:val="000F3893"/>
    <w:rsid w:val="000F3AD0"/>
    <w:rsid w:val="000F3CDD"/>
    <w:rsid w:val="000F3CE7"/>
    <w:rsid w:val="000F3D41"/>
    <w:rsid w:val="000F3D92"/>
    <w:rsid w:val="000F3DE5"/>
    <w:rsid w:val="000F43AA"/>
    <w:rsid w:val="000F43DA"/>
    <w:rsid w:val="000F446E"/>
    <w:rsid w:val="000F44C3"/>
    <w:rsid w:val="000F4500"/>
    <w:rsid w:val="000F4A26"/>
    <w:rsid w:val="000F4B2C"/>
    <w:rsid w:val="000F4CA6"/>
    <w:rsid w:val="000F4D5A"/>
    <w:rsid w:val="000F4E29"/>
    <w:rsid w:val="000F4FFD"/>
    <w:rsid w:val="000F5021"/>
    <w:rsid w:val="000F5143"/>
    <w:rsid w:val="000F5198"/>
    <w:rsid w:val="000F51B0"/>
    <w:rsid w:val="000F531D"/>
    <w:rsid w:val="000F5613"/>
    <w:rsid w:val="000F5AAC"/>
    <w:rsid w:val="000F5D25"/>
    <w:rsid w:val="000F5E93"/>
    <w:rsid w:val="000F5EFB"/>
    <w:rsid w:val="000F5F54"/>
    <w:rsid w:val="000F6082"/>
    <w:rsid w:val="000F63F0"/>
    <w:rsid w:val="000F649D"/>
    <w:rsid w:val="000F6802"/>
    <w:rsid w:val="000F6945"/>
    <w:rsid w:val="000F6CC5"/>
    <w:rsid w:val="000F6EF0"/>
    <w:rsid w:val="000F7284"/>
    <w:rsid w:val="000F7379"/>
    <w:rsid w:val="000F73D4"/>
    <w:rsid w:val="000F74D0"/>
    <w:rsid w:val="000F760D"/>
    <w:rsid w:val="000F7782"/>
    <w:rsid w:val="000F7A7E"/>
    <w:rsid w:val="000F7B05"/>
    <w:rsid w:val="000F7D2A"/>
    <w:rsid w:val="000F7D82"/>
    <w:rsid w:val="000F7E90"/>
    <w:rsid w:val="00100223"/>
    <w:rsid w:val="001003A8"/>
    <w:rsid w:val="001003E1"/>
    <w:rsid w:val="001005D5"/>
    <w:rsid w:val="001005FD"/>
    <w:rsid w:val="001006EC"/>
    <w:rsid w:val="001006EF"/>
    <w:rsid w:val="00100BB1"/>
    <w:rsid w:val="00100C5A"/>
    <w:rsid w:val="00100E2A"/>
    <w:rsid w:val="00100F0C"/>
    <w:rsid w:val="00101228"/>
    <w:rsid w:val="00101489"/>
    <w:rsid w:val="00101508"/>
    <w:rsid w:val="001015F0"/>
    <w:rsid w:val="001016FF"/>
    <w:rsid w:val="00101726"/>
    <w:rsid w:val="0010172D"/>
    <w:rsid w:val="0010175C"/>
    <w:rsid w:val="0010181B"/>
    <w:rsid w:val="00101A1D"/>
    <w:rsid w:val="00101A8F"/>
    <w:rsid w:val="00101C16"/>
    <w:rsid w:val="00101CC2"/>
    <w:rsid w:val="00101D07"/>
    <w:rsid w:val="00101E3C"/>
    <w:rsid w:val="00101F19"/>
    <w:rsid w:val="00101F73"/>
    <w:rsid w:val="00102248"/>
    <w:rsid w:val="00102269"/>
    <w:rsid w:val="001022E3"/>
    <w:rsid w:val="001023D6"/>
    <w:rsid w:val="0010246E"/>
    <w:rsid w:val="00102555"/>
    <w:rsid w:val="0010255F"/>
    <w:rsid w:val="001025B7"/>
    <w:rsid w:val="00102845"/>
    <w:rsid w:val="001029EE"/>
    <w:rsid w:val="001029FD"/>
    <w:rsid w:val="00102A37"/>
    <w:rsid w:val="00102A69"/>
    <w:rsid w:val="00102EE5"/>
    <w:rsid w:val="001030C2"/>
    <w:rsid w:val="001030F6"/>
    <w:rsid w:val="0010311D"/>
    <w:rsid w:val="0010321E"/>
    <w:rsid w:val="001033CF"/>
    <w:rsid w:val="001034A7"/>
    <w:rsid w:val="001035B3"/>
    <w:rsid w:val="0010388E"/>
    <w:rsid w:val="00103921"/>
    <w:rsid w:val="001039D4"/>
    <w:rsid w:val="00103DB1"/>
    <w:rsid w:val="00103E9C"/>
    <w:rsid w:val="00103F8A"/>
    <w:rsid w:val="001040B5"/>
    <w:rsid w:val="001047B8"/>
    <w:rsid w:val="0010495D"/>
    <w:rsid w:val="00104963"/>
    <w:rsid w:val="00104993"/>
    <w:rsid w:val="00104A51"/>
    <w:rsid w:val="00104B39"/>
    <w:rsid w:val="00104C30"/>
    <w:rsid w:val="00104EFF"/>
    <w:rsid w:val="00105054"/>
    <w:rsid w:val="0010507B"/>
    <w:rsid w:val="001052CC"/>
    <w:rsid w:val="00105310"/>
    <w:rsid w:val="00105542"/>
    <w:rsid w:val="001055A7"/>
    <w:rsid w:val="001055CD"/>
    <w:rsid w:val="001056C0"/>
    <w:rsid w:val="001058F6"/>
    <w:rsid w:val="00105A4C"/>
    <w:rsid w:val="00105ACC"/>
    <w:rsid w:val="00105CD2"/>
    <w:rsid w:val="00105CDF"/>
    <w:rsid w:val="00105D21"/>
    <w:rsid w:val="00105FB3"/>
    <w:rsid w:val="001065F5"/>
    <w:rsid w:val="001066A1"/>
    <w:rsid w:val="00106D29"/>
    <w:rsid w:val="00106F98"/>
    <w:rsid w:val="00107048"/>
    <w:rsid w:val="001070C1"/>
    <w:rsid w:val="001070C4"/>
    <w:rsid w:val="001070C7"/>
    <w:rsid w:val="00107167"/>
    <w:rsid w:val="00107384"/>
    <w:rsid w:val="001073B4"/>
    <w:rsid w:val="00107753"/>
    <w:rsid w:val="0010782A"/>
    <w:rsid w:val="001078A5"/>
    <w:rsid w:val="001078B2"/>
    <w:rsid w:val="0010794A"/>
    <w:rsid w:val="001079DA"/>
    <w:rsid w:val="00107A9D"/>
    <w:rsid w:val="0011026C"/>
    <w:rsid w:val="00110458"/>
    <w:rsid w:val="0011069D"/>
    <w:rsid w:val="001107D0"/>
    <w:rsid w:val="00110CD6"/>
    <w:rsid w:val="00110F83"/>
    <w:rsid w:val="0011136B"/>
    <w:rsid w:val="00111643"/>
    <w:rsid w:val="001119FE"/>
    <w:rsid w:val="00111C3A"/>
    <w:rsid w:val="001120A4"/>
    <w:rsid w:val="001122AA"/>
    <w:rsid w:val="0011238E"/>
    <w:rsid w:val="001123B7"/>
    <w:rsid w:val="00112533"/>
    <w:rsid w:val="0011253B"/>
    <w:rsid w:val="001125C5"/>
    <w:rsid w:val="00112988"/>
    <w:rsid w:val="00112BB8"/>
    <w:rsid w:val="00112F9F"/>
    <w:rsid w:val="0011301B"/>
    <w:rsid w:val="00113248"/>
    <w:rsid w:val="00113263"/>
    <w:rsid w:val="001132B2"/>
    <w:rsid w:val="001134DD"/>
    <w:rsid w:val="00113754"/>
    <w:rsid w:val="001139F5"/>
    <w:rsid w:val="00113A7B"/>
    <w:rsid w:val="00113E4E"/>
    <w:rsid w:val="00113E7E"/>
    <w:rsid w:val="00114220"/>
    <w:rsid w:val="00114384"/>
    <w:rsid w:val="00114494"/>
    <w:rsid w:val="001144BB"/>
    <w:rsid w:val="00114573"/>
    <w:rsid w:val="00114634"/>
    <w:rsid w:val="001146A6"/>
    <w:rsid w:val="00114A95"/>
    <w:rsid w:val="00114C54"/>
    <w:rsid w:val="00114C70"/>
    <w:rsid w:val="00114C9F"/>
    <w:rsid w:val="0011516D"/>
    <w:rsid w:val="001151C4"/>
    <w:rsid w:val="0011523A"/>
    <w:rsid w:val="0011539A"/>
    <w:rsid w:val="0011545F"/>
    <w:rsid w:val="0011567C"/>
    <w:rsid w:val="00115859"/>
    <w:rsid w:val="001158AF"/>
    <w:rsid w:val="001158B4"/>
    <w:rsid w:val="00115ABA"/>
    <w:rsid w:val="00115B56"/>
    <w:rsid w:val="00115B96"/>
    <w:rsid w:val="00115DA8"/>
    <w:rsid w:val="00115E7B"/>
    <w:rsid w:val="00115FBC"/>
    <w:rsid w:val="00116104"/>
    <w:rsid w:val="0011660C"/>
    <w:rsid w:val="00116826"/>
    <w:rsid w:val="001169D3"/>
    <w:rsid w:val="00116D20"/>
    <w:rsid w:val="00116F89"/>
    <w:rsid w:val="00117330"/>
    <w:rsid w:val="001175CA"/>
    <w:rsid w:val="00117753"/>
    <w:rsid w:val="00117786"/>
    <w:rsid w:val="00117AB1"/>
    <w:rsid w:val="00117AC4"/>
    <w:rsid w:val="00117DE2"/>
    <w:rsid w:val="00117F9B"/>
    <w:rsid w:val="00117FB3"/>
    <w:rsid w:val="00120159"/>
    <w:rsid w:val="0012036A"/>
    <w:rsid w:val="001207B5"/>
    <w:rsid w:val="00120809"/>
    <w:rsid w:val="001208FC"/>
    <w:rsid w:val="001209BF"/>
    <w:rsid w:val="00120B39"/>
    <w:rsid w:val="00120CA1"/>
    <w:rsid w:val="00121293"/>
    <w:rsid w:val="001213A8"/>
    <w:rsid w:val="00121530"/>
    <w:rsid w:val="001218FD"/>
    <w:rsid w:val="00121944"/>
    <w:rsid w:val="00121A13"/>
    <w:rsid w:val="00121B37"/>
    <w:rsid w:val="00121D2D"/>
    <w:rsid w:val="00121D34"/>
    <w:rsid w:val="00121DF6"/>
    <w:rsid w:val="001225BF"/>
    <w:rsid w:val="001227E9"/>
    <w:rsid w:val="00122882"/>
    <w:rsid w:val="00122CE7"/>
    <w:rsid w:val="00122D8E"/>
    <w:rsid w:val="00122F3B"/>
    <w:rsid w:val="0012316C"/>
    <w:rsid w:val="00123318"/>
    <w:rsid w:val="001233D6"/>
    <w:rsid w:val="0012359A"/>
    <w:rsid w:val="001235B9"/>
    <w:rsid w:val="001235DF"/>
    <w:rsid w:val="00123613"/>
    <w:rsid w:val="001237D1"/>
    <w:rsid w:val="00123839"/>
    <w:rsid w:val="001238EF"/>
    <w:rsid w:val="00123C4B"/>
    <w:rsid w:val="00123D5A"/>
    <w:rsid w:val="00123E1B"/>
    <w:rsid w:val="00123E3E"/>
    <w:rsid w:val="00123E79"/>
    <w:rsid w:val="00124011"/>
    <w:rsid w:val="00124160"/>
    <w:rsid w:val="00124174"/>
    <w:rsid w:val="001241FF"/>
    <w:rsid w:val="00124521"/>
    <w:rsid w:val="00124542"/>
    <w:rsid w:val="00124948"/>
    <w:rsid w:val="001249E1"/>
    <w:rsid w:val="001249F9"/>
    <w:rsid w:val="00124B85"/>
    <w:rsid w:val="00124EC9"/>
    <w:rsid w:val="00124F61"/>
    <w:rsid w:val="001250AC"/>
    <w:rsid w:val="001250C0"/>
    <w:rsid w:val="00125476"/>
    <w:rsid w:val="00125790"/>
    <w:rsid w:val="001258F3"/>
    <w:rsid w:val="0012595B"/>
    <w:rsid w:val="00125977"/>
    <w:rsid w:val="001259A4"/>
    <w:rsid w:val="00125CB5"/>
    <w:rsid w:val="00125DA7"/>
    <w:rsid w:val="00125E1E"/>
    <w:rsid w:val="001260D0"/>
    <w:rsid w:val="001264E4"/>
    <w:rsid w:val="001264E5"/>
    <w:rsid w:val="001264ED"/>
    <w:rsid w:val="00126550"/>
    <w:rsid w:val="0012664B"/>
    <w:rsid w:val="001266B7"/>
    <w:rsid w:val="001268A1"/>
    <w:rsid w:val="00126AF5"/>
    <w:rsid w:val="00126EFB"/>
    <w:rsid w:val="001271BC"/>
    <w:rsid w:val="001272D5"/>
    <w:rsid w:val="001273E5"/>
    <w:rsid w:val="00127611"/>
    <w:rsid w:val="00127721"/>
    <w:rsid w:val="00127D24"/>
    <w:rsid w:val="00130128"/>
    <w:rsid w:val="00130161"/>
    <w:rsid w:val="00130219"/>
    <w:rsid w:val="00130356"/>
    <w:rsid w:val="0013056F"/>
    <w:rsid w:val="001308B1"/>
    <w:rsid w:val="00130911"/>
    <w:rsid w:val="00130920"/>
    <w:rsid w:val="00130931"/>
    <w:rsid w:val="00130A1D"/>
    <w:rsid w:val="00130A5B"/>
    <w:rsid w:val="00130BEA"/>
    <w:rsid w:val="00130DE7"/>
    <w:rsid w:val="00130E0A"/>
    <w:rsid w:val="00130E8A"/>
    <w:rsid w:val="00130F28"/>
    <w:rsid w:val="00130F72"/>
    <w:rsid w:val="001310DD"/>
    <w:rsid w:val="00131753"/>
    <w:rsid w:val="001317BA"/>
    <w:rsid w:val="00131EB6"/>
    <w:rsid w:val="00131F10"/>
    <w:rsid w:val="001320BD"/>
    <w:rsid w:val="00132167"/>
    <w:rsid w:val="00132383"/>
    <w:rsid w:val="0013276B"/>
    <w:rsid w:val="001327C9"/>
    <w:rsid w:val="001329B1"/>
    <w:rsid w:val="001329EE"/>
    <w:rsid w:val="00132DC5"/>
    <w:rsid w:val="001331AB"/>
    <w:rsid w:val="001332B7"/>
    <w:rsid w:val="00133690"/>
    <w:rsid w:val="00133BF1"/>
    <w:rsid w:val="00133C76"/>
    <w:rsid w:val="00133FAB"/>
    <w:rsid w:val="0013414F"/>
    <w:rsid w:val="0013425B"/>
    <w:rsid w:val="001343E9"/>
    <w:rsid w:val="001346D6"/>
    <w:rsid w:val="001348CA"/>
    <w:rsid w:val="00134AA9"/>
    <w:rsid w:val="00134AAC"/>
    <w:rsid w:val="00134D60"/>
    <w:rsid w:val="00134F4A"/>
    <w:rsid w:val="00134F5B"/>
    <w:rsid w:val="00135486"/>
    <w:rsid w:val="001354A9"/>
    <w:rsid w:val="00135532"/>
    <w:rsid w:val="001356FA"/>
    <w:rsid w:val="001357E8"/>
    <w:rsid w:val="00135809"/>
    <w:rsid w:val="001359A8"/>
    <w:rsid w:val="00135C46"/>
    <w:rsid w:val="00135CC2"/>
    <w:rsid w:val="00135D33"/>
    <w:rsid w:val="00135E7B"/>
    <w:rsid w:val="0013604B"/>
    <w:rsid w:val="001360F5"/>
    <w:rsid w:val="00136141"/>
    <w:rsid w:val="001361C3"/>
    <w:rsid w:val="001361D1"/>
    <w:rsid w:val="00136207"/>
    <w:rsid w:val="001362EA"/>
    <w:rsid w:val="001363D9"/>
    <w:rsid w:val="001364CA"/>
    <w:rsid w:val="001367E5"/>
    <w:rsid w:val="001368CE"/>
    <w:rsid w:val="00136A23"/>
    <w:rsid w:val="00136A26"/>
    <w:rsid w:val="00136BC7"/>
    <w:rsid w:val="00136EF7"/>
    <w:rsid w:val="00137042"/>
    <w:rsid w:val="00137217"/>
    <w:rsid w:val="0013748A"/>
    <w:rsid w:val="00137658"/>
    <w:rsid w:val="00137F92"/>
    <w:rsid w:val="001400B6"/>
    <w:rsid w:val="00140244"/>
    <w:rsid w:val="00140283"/>
    <w:rsid w:val="00140699"/>
    <w:rsid w:val="00140736"/>
    <w:rsid w:val="00140749"/>
    <w:rsid w:val="00140757"/>
    <w:rsid w:val="001408D1"/>
    <w:rsid w:val="0014091D"/>
    <w:rsid w:val="00140A02"/>
    <w:rsid w:val="00140B7B"/>
    <w:rsid w:val="00140D37"/>
    <w:rsid w:val="00140E42"/>
    <w:rsid w:val="00140E6E"/>
    <w:rsid w:val="00140E71"/>
    <w:rsid w:val="0014113B"/>
    <w:rsid w:val="001411BD"/>
    <w:rsid w:val="00141230"/>
    <w:rsid w:val="001412A9"/>
    <w:rsid w:val="00141512"/>
    <w:rsid w:val="00141643"/>
    <w:rsid w:val="00141797"/>
    <w:rsid w:val="0014195E"/>
    <w:rsid w:val="00141992"/>
    <w:rsid w:val="00141ACB"/>
    <w:rsid w:val="00141DF8"/>
    <w:rsid w:val="00142165"/>
    <w:rsid w:val="001427C1"/>
    <w:rsid w:val="00142CD1"/>
    <w:rsid w:val="00142E61"/>
    <w:rsid w:val="00142F5D"/>
    <w:rsid w:val="00143036"/>
    <w:rsid w:val="00143258"/>
    <w:rsid w:val="00143279"/>
    <w:rsid w:val="00143327"/>
    <w:rsid w:val="00143451"/>
    <w:rsid w:val="00143717"/>
    <w:rsid w:val="001439D5"/>
    <w:rsid w:val="00143C3A"/>
    <w:rsid w:val="00143CC0"/>
    <w:rsid w:val="00143F12"/>
    <w:rsid w:val="0014400B"/>
    <w:rsid w:val="001441B0"/>
    <w:rsid w:val="001441B6"/>
    <w:rsid w:val="0014423C"/>
    <w:rsid w:val="001442D5"/>
    <w:rsid w:val="00144300"/>
    <w:rsid w:val="001444D3"/>
    <w:rsid w:val="00144532"/>
    <w:rsid w:val="0014455C"/>
    <w:rsid w:val="0014460C"/>
    <w:rsid w:val="0014476F"/>
    <w:rsid w:val="00144961"/>
    <w:rsid w:val="00144981"/>
    <w:rsid w:val="001449E8"/>
    <w:rsid w:val="00144A45"/>
    <w:rsid w:val="00144A5E"/>
    <w:rsid w:val="00144B32"/>
    <w:rsid w:val="00144B9E"/>
    <w:rsid w:val="00144C41"/>
    <w:rsid w:val="00144C96"/>
    <w:rsid w:val="00144CCD"/>
    <w:rsid w:val="00144DFD"/>
    <w:rsid w:val="00144EA8"/>
    <w:rsid w:val="00144FAE"/>
    <w:rsid w:val="0014528A"/>
    <w:rsid w:val="0014533F"/>
    <w:rsid w:val="001453EF"/>
    <w:rsid w:val="00145788"/>
    <w:rsid w:val="00145B7D"/>
    <w:rsid w:val="00145DBC"/>
    <w:rsid w:val="00145EE0"/>
    <w:rsid w:val="00145FE2"/>
    <w:rsid w:val="001463E5"/>
    <w:rsid w:val="00146794"/>
    <w:rsid w:val="00146807"/>
    <w:rsid w:val="00146934"/>
    <w:rsid w:val="00146A71"/>
    <w:rsid w:val="00146F79"/>
    <w:rsid w:val="0014703E"/>
    <w:rsid w:val="0014713C"/>
    <w:rsid w:val="0014722E"/>
    <w:rsid w:val="001472BD"/>
    <w:rsid w:val="00147337"/>
    <w:rsid w:val="001473B6"/>
    <w:rsid w:val="00147555"/>
    <w:rsid w:val="001475A4"/>
    <w:rsid w:val="00147A2A"/>
    <w:rsid w:val="00147AFD"/>
    <w:rsid w:val="00147D46"/>
    <w:rsid w:val="00147D7A"/>
    <w:rsid w:val="00147ED2"/>
    <w:rsid w:val="00150079"/>
    <w:rsid w:val="00150177"/>
    <w:rsid w:val="00150801"/>
    <w:rsid w:val="00150824"/>
    <w:rsid w:val="001508B2"/>
    <w:rsid w:val="0015090F"/>
    <w:rsid w:val="00150AA6"/>
    <w:rsid w:val="00150B2F"/>
    <w:rsid w:val="00150C46"/>
    <w:rsid w:val="00150DE1"/>
    <w:rsid w:val="00150E2B"/>
    <w:rsid w:val="00150EA5"/>
    <w:rsid w:val="00151087"/>
    <w:rsid w:val="0015108C"/>
    <w:rsid w:val="001511E7"/>
    <w:rsid w:val="00151225"/>
    <w:rsid w:val="0015123D"/>
    <w:rsid w:val="001516EF"/>
    <w:rsid w:val="00151731"/>
    <w:rsid w:val="00151776"/>
    <w:rsid w:val="0015187D"/>
    <w:rsid w:val="0015188E"/>
    <w:rsid w:val="00151AA1"/>
    <w:rsid w:val="00151AAB"/>
    <w:rsid w:val="00151AD1"/>
    <w:rsid w:val="00151DB6"/>
    <w:rsid w:val="0015211E"/>
    <w:rsid w:val="00152446"/>
    <w:rsid w:val="0015254D"/>
    <w:rsid w:val="001528FD"/>
    <w:rsid w:val="001529A0"/>
    <w:rsid w:val="00152C61"/>
    <w:rsid w:val="00152E28"/>
    <w:rsid w:val="00152FD0"/>
    <w:rsid w:val="00153029"/>
    <w:rsid w:val="001530CC"/>
    <w:rsid w:val="0015318E"/>
    <w:rsid w:val="001531D7"/>
    <w:rsid w:val="0015320E"/>
    <w:rsid w:val="00153659"/>
    <w:rsid w:val="00153679"/>
    <w:rsid w:val="001536F2"/>
    <w:rsid w:val="00153A46"/>
    <w:rsid w:val="00153BB1"/>
    <w:rsid w:val="00153BE8"/>
    <w:rsid w:val="00153E21"/>
    <w:rsid w:val="00153E34"/>
    <w:rsid w:val="00154335"/>
    <w:rsid w:val="001543A2"/>
    <w:rsid w:val="00154669"/>
    <w:rsid w:val="001546E3"/>
    <w:rsid w:val="0015486F"/>
    <w:rsid w:val="00154982"/>
    <w:rsid w:val="00154C92"/>
    <w:rsid w:val="00154D91"/>
    <w:rsid w:val="00154DD8"/>
    <w:rsid w:val="00155261"/>
    <w:rsid w:val="001553C9"/>
    <w:rsid w:val="0015541B"/>
    <w:rsid w:val="001554FC"/>
    <w:rsid w:val="00155733"/>
    <w:rsid w:val="0015574B"/>
    <w:rsid w:val="00155754"/>
    <w:rsid w:val="001557E3"/>
    <w:rsid w:val="00155821"/>
    <w:rsid w:val="001559E1"/>
    <w:rsid w:val="00155B48"/>
    <w:rsid w:val="00155B7C"/>
    <w:rsid w:val="00155D7D"/>
    <w:rsid w:val="00155DBC"/>
    <w:rsid w:val="00155F00"/>
    <w:rsid w:val="001560B1"/>
    <w:rsid w:val="00156158"/>
    <w:rsid w:val="001561C5"/>
    <w:rsid w:val="00156270"/>
    <w:rsid w:val="0015636E"/>
    <w:rsid w:val="001569CB"/>
    <w:rsid w:val="00156D9A"/>
    <w:rsid w:val="00156DFA"/>
    <w:rsid w:val="00156E1A"/>
    <w:rsid w:val="00156EE7"/>
    <w:rsid w:val="00156FC9"/>
    <w:rsid w:val="0015709D"/>
    <w:rsid w:val="001570E6"/>
    <w:rsid w:val="00157443"/>
    <w:rsid w:val="00157652"/>
    <w:rsid w:val="0015767B"/>
    <w:rsid w:val="00157AD2"/>
    <w:rsid w:val="00157B6B"/>
    <w:rsid w:val="00157F85"/>
    <w:rsid w:val="001600CF"/>
    <w:rsid w:val="0016019A"/>
    <w:rsid w:val="0016019E"/>
    <w:rsid w:val="00160273"/>
    <w:rsid w:val="001603DB"/>
    <w:rsid w:val="0016041B"/>
    <w:rsid w:val="001604A1"/>
    <w:rsid w:val="001604DF"/>
    <w:rsid w:val="0016061E"/>
    <w:rsid w:val="001606DD"/>
    <w:rsid w:val="001607DF"/>
    <w:rsid w:val="00160848"/>
    <w:rsid w:val="00160A44"/>
    <w:rsid w:val="00160B7E"/>
    <w:rsid w:val="00160E26"/>
    <w:rsid w:val="00160F28"/>
    <w:rsid w:val="001615D3"/>
    <w:rsid w:val="0016160A"/>
    <w:rsid w:val="00161623"/>
    <w:rsid w:val="00161725"/>
    <w:rsid w:val="00161748"/>
    <w:rsid w:val="0016177B"/>
    <w:rsid w:val="001617CD"/>
    <w:rsid w:val="00161918"/>
    <w:rsid w:val="001619B5"/>
    <w:rsid w:val="00161C1D"/>
    <w:rsid w:val="00161D82"/>
    <w:rsid w:val="00161EC0"/>
    <w:rsid w:val="00161FE6"/>
    <w:rsid w:val="001621D9"/>
    <w:rsid w:val="001622E4"/>
    <w:rsid w:val="00162399"/>
    <w:rsid w:val="001623C1"/>
    <w:rsid w:val="00162979"/>
    <w:rsid w:val="001629BF"/>
    <w:rsid w:val="00162A4A"/>
    <w:rsid w:val="00162BB6"/>
    <w:rsid w:val="00162E40"/>
    <w:rsid w:val="00163039"/>
    <w:rsid w:val="001632C3"/>
    <w:rsid w:val="001633D8"/>
    <w:rsid w:val="00163454"/>
    <w:rsid w:val="0016355A"/>
    <w:rsid w:val="0016373E"/>
    <w:rsid w:val="001638AA"/>
    <w:rsid w:val="0016396E"/>
    <w:rsid w:val="00163E08"/>
    <w:rsid w:val="00163E2C"/>
    <w:rsid w:val="00163E60"/>
    <w:rsid w:val="00164066"/>
    <w:rsid w:val="0016437A"/>
    <w:rsid w:val="001643C1"/>
    <w:rsid w:val="00164586"/>
    <w:rsid w:val="001646E7"/>
    <w:rsid w:val="001647C8"/>
    <w:rsid w:val="0016483F"/>
    <w:rsid w:val="00164841"/>
    <w:rsid w:val="00164862"/>
    <w:rsid w:val="00164A3C"/>
    <w:rsid w:val="00164A7A"/>
    <w:rsid w:val="00164AF6"/>
    <w:rsid w:val="00164EAC"/>
    <w:rsid w:val="00164F7C"/>
    <w:rsid w:val="00164FD3"/>
    <w:rsid w:val="00165140"/>
    <w:rsid w:val="00165363"/>
    <w:rsid w:val="0016552F"/>
    <w:rsid w:val="001656EB"/>
    <w:rsid w:val="00165887"/>
    <w:rsid w:val="00165916"/>
    <w:rsid w:val="00165953"/>
    <w:rsid w:val="00165960"/>
    <w:rsid w:val="001659A8"/>
    <w:rsid w:val="00165A63"/>
    <w:rsid w:val="00165B87"/>
    <w:rsid w:val="00165CA7"/>
    <w:rsid w:val="00165CC0"/>
    <w:rsid w:val="00165DDE"/>
    <w:rsid w:val="00165E02"/>
    <w:rsid w:val="00165E41"/>
    <w:rsid w:val="001660E3"/>
    <w:rsid w:val="001663C7"/>
    <w:rsid w:val="00166491"/>
    <w:rsid w:val="00166648"/>
    <w:rsid w:val="001667FA"/>
    <w:rsid w:val="001669BC"/>
    <w:rsid w:val="00166B5B"/>
    <w:rsid w:val="00166B74"/>
    <w:rsid w:val="00166CD5"/>
    <w:rsid w:val="00166DED"/>
    <w:rsid w:val="00166F17"/>
    <w:rsid w:val="00167270"/>
    <w:rsid w:val="001673EF"/>
    <w:rsid w:val="00167429"/>
    <w:rsid w:val="001674D6"/>
    <w:rsid w:val="0016750F"/>
    <w:rsid w:val="001677B3"/>
    <w:rsid w:val="001677EA"/>
    <w:rsid w:val="0016789A"/>
    <w:rsid w:val="0016789D"/>
    <w:rsid w:val="001678F4"/>
    <w:rsid w:val="0016794E"/>
    <w:rsid w:val="001679D2"/>
    <w:rsid w:val="00167AEB"/>
    <w:rsid w:val="00167C20"/>
    <w:rsid w:val="00167D98"/>
    <w:rsid w:val="00167F23"/>
    <w:rsid w:val="0017012D"/>
    <w:rsid w:val="0017044A"/>
    <w:rsid w:val="0017093D"/>
    <w:rsid w:val="0017096F"/>
    <w:rsid w:val="00170A74"/>
    <w:rsid w:val="00170B6E"/>
    <w:rsid w:val="00170E44"/>
    <w:rsid w:val="00170EB8"/>
    <w:rsid w:val="001712E5"/>
    <w:rsid w:val="001713CF"/>
    <w:rsid w:val="001714A3"/>
    <w:rsid w:val="001715A0"/>
    <w:rsid w:val="0017173A"/>
    <w:rsid w:val="00171844"/>
    <w:rsid w:val="00171ACF"/>
    <w:rsid w:val="00171D84"/>
    <w:rsid w:val="00171DCE"/>
    <w:rsid w:val="00171E95"/>
    <w:rsid w:val="0017200C"/>
    <w:rsid w:val="0017220A"/>
    <w:rsid w:val="0017249B"/>
    <w:rsid w:val="0017255A"/>
    <w:rsid w:val="001729DB"/>
    <w:rsid w:val="00172AB7"/>
    <w:rsid w:val="00172BB1"/>
    <w:rsid w:val="00172CA7"/>
    <w:rsid w:val="00172D3F"/>
    <w:rsid w:val="00172D73"/>
    <w:rsid w:val="00172F63"/>
    <w:rsid w:val="0017314B"/>
    <w:rsid w:val="00173223"/>
    <w:rsid w:val="001732A8"/>
    <w:rsid w:val="00173682"/>
    <w:rsid w:val="0017368A"/>
    <w:rsid w:val="00173824"/>
    <w:rsid w:val="00173C10"/>
    <w:rsid w:val="00173CAC"/>
    <w:rsid w:val="00173DBC"/>
    <w:rsid w:val="00174029"/>
    <w:rsid w:val="00174044"/>
    <w:rsid w:val="0017423D"/>
    <w:rsid w:val="00174950"/>
    <w:rsid w:val="001749E4"/>
    <w:rsid w:val="00174B3D"/>
    <w:rsid w:val="00174F9E"/>
    <w:rsid w:val="0017509E"/>
    <w:rsid w:val="001751CD"/>
    <w:rsid w:val="00175381"/>
    <w:rsid w:val="0017547C"/>
    <w:rsid w:val="00175496"/>
    <w:rsid w:val="001755E6"/>
    <w:rsid w:val="00175616"/>
    <w:rsid w:val="001758BD"/>
    <w:rsid w:val="00175D3D"/>
    <w:rsid w:val="00175F06"/>
    <w:rsid w:val="00175F5C"/>
    <w:rsid w:val="00176538"/>
    <w:rsid w:val="001766C9"/>
    <w:rsid w:val="001767D2"/>
    <w:rsid w:val="001767F6"/>
    <w:rsid w:val="00176A03"/>
    <w:rsid w:val="00176BD7"/>
    <w:rsid w:val="00176C60"/>
    <w:rsid w:val="00176CEE"/>
    <w:rsid w:val="00176D3B"/>
    <w:rsid w:val="00176DB5"/>
    <w:rsid w:val="00176DE1"/>
    <w:rsid w:val="001773B4"/>
    <w:rsid w:val="001774B8"/>
    <w:rsid w:val="001775BC"/>
    <w:rsid w:val="0017763C"/>
    <w:rsid w:val="001776D0"/>
    <w:rsid w:val="00177AFF"/>
    <w:rsid w:val="00177D72"/>
    <w:rsid w:val="00177DD8"/>
    <w:rsid w:val="001801AA"/>
    <w:rsid w:val="0018044A"/>
    <w:rsid w:val="00180508"/>
    <w:rsid w:val="00180642"/>
    <w:rsid w:val="001806BB"/>
    <w:rsid w:val="001806D8"/>
    <w:rsid w:val="001807A0"/>
    <w:rsid w:val="001807A1"/>
    <w:rsid w:val="00180820"/>
    <w:rsid w:val="001808B6"/>
    <w:rsid w:val="00180964"/>
    <w:rsid w:val="00180A19"/>
    <w:rsid w:val="00180CFD"/>
    <w:rsid w:val="001810BC"/>
    <w:rsid w:val="00181294"/>
    <w:rsid w:val="001813FF"/>
    <w:rsid w:val="001814A6"/>
    <w:rsid w:val="001814C2"/>
    <w:rsid w:val="0018156D"/>
    <w:rsid w:val="001815CB"/>
    <w:rsid w:val="00181967"/>
    <w:rsid w:val="001819CE"/>
    <w:rsid w:val="00181D80"/>
    <w:rsid w:val="00181EFA"/>
    <w:rsid w:val="001820EC"/>
    <w:rsid w:val="00182481"/>
    <w:rsid w:val="0018258F"/>
    <w:rsid w:val="001825FD"/>
    <w:rsid w:val="00182686"/>
    <w:rsid w:val="001827C5"/>
    <w:rsid w:val="00182A24"/>
    <w:rsid w:val="00182A3B"/>
    <w:rsid w:val="00182A49"/>
    <w:rsid w:val="00182DC2"/>
    <w:rsid w:val="00183255"/>
    <w:rsid w:val="001833E6"/>
    <w:rsid w:val="00183425"/>
    <w:rsid w:val="0018350F"/>
    <w:rsid w:val="00183715"/>
    <w:rsid w:val="00183729"/>
    <w:rsid w:val="001837EB"/>
    <w:rsid w:val="00183A0B"/>
    <w:rsid w:val="00183B2C"/>
    <w:rsid w:val="00183F01"/>
    <w:rsid w:val="00183FB6"/>
    <w:rsid w:val="0018411F"/>
    <w:rsid w:val="00184128"/>
    <w:rsid w:val="001841A2"/>
    <w:rsid w:val="00184532"/>
    <w:rsid w:val="0018461F"/>
    <w:rsid w:val="00184716"/>
    <w:rsid w:val="0018477D"/>
    <w:rsid w:val="001847D4"/>
    <w:rsid w:val="00184BBF"/>
    <w:rsid w:val="00184E99"/>
    <w:rsid w:val="00185054"/>
    <w:rsid w:val="00185257"/>
    <w:rsid w:val="001854FD"/>
    <w:rsid w:val="001855F7"/>
    <w:rsid w:val="00185603"/>
    <w:rsid w:val="0018570B"/>
    <w:rsid w:val="00185843"/>
    <w:rsid w:val="00185D3D"/>
    <w:rsid w:val="0018607F"/>
    <w:rsid w:val="001860A3"/>
    <w:rsid w:val="001861E5"/>
    <w:rsid w:val="00186217"/>
    <w:rsid w:val="00186302"/>
    <w:rsid w:val="00186672"/>
    <w:rsid w:val="00186904"/>
    <w:rsid w:val="00186D22"/>
    <w:rsid w:val="00186D5E"/>
    <w:rsid w:val="00186DD6"/>
    <w:rsid w:val="00186FFB"/>
    <w:rsid w:val="001870A5"/>
    <w:rsid w:val="0018723C"/>
    <w:rsid w:val="00187306"/>
    <w:rsid w:val="00187413"/>
    <w:rsid w:val="001874A5"/>
    <w:rsid w:val="0018759D"/>
    <w:rsid w:val="0018777A"/>
    <w:rsid w:val="001878B6"/>
    <w:rsid w:val="00187AF0"/>
    <w:rsid w:val="00187AF5"/>
    <w:rsid w:val="00187CAE"/>
    <w:rsid w:val="00187CBF"/>
    <w:rsid w:val="00187F6C"/>
    <w:rsid w:val="001901B5"/>
    <w:rsid w:val="001906B1"/>
    <w:rsid w:val="00190804"/>
    <w:rsid w:val="001908EC"/>
    <w:rsid w:val="00190E16"/>
    <w:rsid w:val="001910AA"/>
    <w:rsid w:val="00191145"/>
    <w:rsid w:val="001913EE"/>
    <w:rsid w:val="001918C8"/>
    <w:rsid w:val="001918DD"/>
    <w:rsid w:val="00191A2B"/>
    <w:rsid w:val="00191B78"/>
    <w:rsid w:val="00191DD9"/>
    <w:rsid w:val="00191F45"/>
    <w:rsid w:val="00191F8B"/>
    <w:rsid w:val="0019202D"/>
    <w:rsid w:val="001922F4"/>
    <w:rsid w:val="0019236F"/>
    <w:rsid w:val="00192410"/>
    <w:rsid w:val="0019278C"/>
    <w:rsid w:val="001929A4"/>
    <w:rsid w:val="001929B2"/>
    <w:rsid w:val="00192A36"/>
    <w:rsid w:val="00192A5D"/>
    <w:rsid w:val="00192B25"/>
    <w:rsid w:val="00192DDC"/>
    <w:rsid w:val="00192E9D"/>
    <w:rsid w:val="00193783"/>
    <w:rsid w:val="001939C3"/>
    <w:rsid w:val="00193C6B"/>
    <w:rsid w:val="00193E31"/>
    <w:rsid w:val="001942C6"/>
    <w:rsid w:val="00194397"/>
    <w:rsid w:val="0019441D"/>
    <w:rsid w:val="00194717"/>
    <w:rsid w:val="0019485B"/>
    <w:rsid w:val="001948CA"/>
    <w:rsid w:val="00194AE0"/>
    <w:rsid w:val="00194E64"/>
    <w:rsid w:val="00194FDB"/>
    <w:rsid w:val="001950DA"/>
    <w:rsid w:val="00195133"/>
    <w:rsid w:val="001956C7"/>
    <w:rsid w:val="00195A17"/>
    <w:rsid w:val="00195BE5"/>
    <w:rsid w:val="00195CA5"/>
    <w:rsid w:val="00195CB9"/>
    <w:rsid w:val="00195CE0"/>
    <w:rsid w:val="00195CEA"/>
    <w:rsid w:val="00195F57"/>
    <w:rsid w:val="001961CF"/>
    <w:rsid w:val="00196361"/>
    <w:rsid w:val="00196426"/>
    <w:rsid w:val="0019645D"/>
    <w:rsid w:val="00196806"/>
    <w:rsid w:val="001968C9"/>
    <w:rsid w:val="00196B23"/>
    <w:rsid w:val="00196CDE"/>
    <w:rsid w:val="00196D3B"/>
    <w:rsid w:val="00196ED8"/>
    <w:rsid w:val="00196FC3"/>
    <w:rsid w:val="00197015"/>
    <w:rsid w:val="00197410"/>
    <w:rsid w:val="00197432"/>
    <w:rsid w:val="00197439"/>
    <w:rsid w:val="00197613"/>
    <w:rsid w:val="001977B6"/>
    <w:rsid w:val="00197832"/>
    <w:rsid w:val="0019783D"/>
    <w:rsid w:val="001979E0"/>
    <w:rsid w:val="00197BA4"/>
    <w:rsid w:val="00197C97"/>
    <w:rsid w:val="00197CFF"/>
    <w:rsid w:val="00197D14"/>
    <w:rsid w:val="00197D3C"/>
    <w:rsid w:val="00197DDE"/>
    <w:rsid w:val="00197F3B"/>
    <w:rsid w:val="001A00AE"/>
    <w:rsid w:val="001A01E9"/>
    <w:rsid w:val="001A06A7"/>
    <w:rsid w:val="001A0776"/>
    <w:rsid w:val="001A0963"/>
    <w:rsid w:val="001A0BA0"/>
    <w:rsid w:val="001A0C96"/>
    <w:rsid w:val="001A0D2B"/>
    <w:rsid w:val="001A0E22"/>
    <w:rsid w:val="001A1195"/>
    <w:rsid w:val="001A11A3"/>
    <w:rsid w:val="001A14D1"/>
    <w:rsid w:val="001A14D5"/>
    <w:rsid w:val="001A1889"/>
    <w:rsid w:val="001A18D9"/>
    <w:rsid w:val="001A1BA6"/>
    <w:rsid w:val="001A1CE9"/>
    <w:rsid w:val="001A1DEF"/>
    <w:rsid w:val="001A1E76"/>
    <w:rsid w:val="001A1EBF"/>
    <w:rsid w:val="001A2330"/>
    <w:rsid w:val="001A2543"/>
    <w:rsid w:val="001A2966"/>
    <w:rsid w:val="001A2B0D"/>
    <w:rsid w:val="001A2B8E"/>
    <w:rsid w:val="001A2C76"/>
    <w:rsid w:val="001A2D03"/>
    <w:rsid w:val="001A2E55"/>
    <w:rsid w:val="001A2F9F"/>
    <w:rsid w:val="001A327C"/>
    <w:rsid w:val="001A332A"/>
    <w:rsid w:val="001A33C8"/>
    <w:rsid w:val="001A3660"/>
    <w:rsid w:val="001A3915"/>
    <w:rsid w:val="001A3999"/>
    <w:rsid w:val="001A39C0"/>
    <w:rsid w:val="001A3A51"/>
    <w:rsid w:val="001A3AF8"/>
    <w:rsid w:val="001A3B88"/>
    <w:rsid w:val="001A3C13"/>
    <w:rsid w:val="001A3C89"/>
    <w:rsid w:val="001A3CCE"/>
    <w:rsid w:val="001A3D79"/>
    <w:rsid w:val="001A3FE1"/>
    <w:rsid w:val="001A426A"/>
    <w:rsid w:val="001A433B"/>
    <w:rsid w:val="001A43B3"/>
    <w:rsid w:val="001A45C7"/>
    <w:rsid w:val="001A460F"/>
    <w:rsid w:val="001A49BF"/>
    <w:rsid w:val="001A4A64"/>
    <w:rsid w:val="001A4A88"/>
    <w:rsid w:val="001A4ABD"/>
    <w:rsid w:val="001A4BE4"/>
    <w:rsid w:val="001A4D3F"/>
    <w:rsid w:val="001A4D66"/>
    <w:rsid w:val="001A4D84"/>
    <w:rsid w:val="001A4DFF"/>
    <w:rsid w:val="001A4E65"/>
    <w:rsid w:val="001A4F65"/>
    <w:rsid w:val="001A4FFF"/>
    <w:rsid w:val="001A53AB"/>
    <w:rsid w:val="001A53D5"/>
    <w:rsid w:val="001A54CE"/>
    <w:rsid w:val="001A54FA"/>
    <w:rsid w:val="001A55DF"/>
    <w:rsid w:val="001A5920"/>
    <w:rsid w:val="001A5AC6"/>
    <w:rsid w:val="001A5D47"/>
    <w:rsid w:val="001A5E34"/>
    <w:rsid w:val="001A62FF"/>
    <w:rsid w:val="001A6332"/>
    <w:rsid w:val="001A634B"/>
    <w:rsid w:val="001A63D1"/>
    <w:rsid w:val="001A64C4"/>
    <w:rsid w:val="001A64D7"/>
    <w:rsid w:val="001A650E"/>
    <w:rsid w:val="001A67CB"/>
    <w:rsid w:val="001A68B7"/>
    <w:rsid w:val="001A6C9E"/>
    <w:rsid w:val="001A6CB6"/>
    <w:rsid w:val="001A6CF7"/>
    <w:rsid w:val="001A6E00"/>
    <w:rsid w:val="001A6E59"/>
    <w:rsid w:val="001A6E7A"/>
    <w:rsid w:val="001A6EBE"/>
    <w:rsid w:val="001A6F60"/>
    <w:rsid w:val="001A7053"/>
    <w:rsid w:val="001A709F"/>
    <w:rsid w:val="001A724A"/>
    <w:rsid w:val="001A75CC"/>
    <w:rsid w:val="001A7705"/>
    <w:rsid w:val="001A78E7"/>
    <w:rsid w:val="001A79E9"/>
    <w:rsid w:val="001A7B58"/>
    <w:rsid w:val="001B0047"/>
    <w:rsid w:val="001B014D"/>
    <w:rsid w:val="001B027E"/>
    <w:rsid w:val="001B0289"/>
    <w:rsid w:val="001B032C"/>
    <w:rsid w:val="001B046E"/>
    <w:rsid w:val="001B060A"/>
    <w:rsid w:val="001B06B6"/>
    <w:rsid w:val="001B0905"/>
    <w:rsid w:val="001B0928"/>
    <w:rsid w:val="001B09C4"/>
    <w:rsid w:val="001B0BEE"/>
    <w:rsid w:val="001B0C83"/>
    <w:rsid w:val="001B0D6E"/>
    <w:rsid w:val="001B0F70"/>
    <w:rsid w:val="001B10B0"/>
    <w:rsid w:val="001B10C4"/>
    <w:rsid w:val="001B10C5"/>
    <w:rsid w:val="001B112A"/>
    <w:rsid w:val="001B121F"/>
    <w:rsid w:val="001B14F7"/>
    <w:rsid w:val="001B1539"/>
    <w:rsid w:val="001B1680"/>
    <w:rsid w:val="001B184A"/>
    <w:rsid w:val="001B1B19"/>
    <w:rsid w:val="001B1B39"/>
    <w:rsid w:val="001B1CF0"/>
    <w:rsid w:val="001B2252"/>
    <w:rsid w:val="001B22F9"/>
    <w:rsid w:val="001B254B"/>
    <w:rsid w:val="001B281C"/>
    <w:rsid w:val="001B298A"/>
    <w:rsid w:val="001B2D30"/>
    <w:rsid w:val="001B2FCA"/>
    <w:rsid w:val="001B3050"/>
    <w:rsid w:val="001B330D"/>
    <w:rsid w:val="001B3424"/>
    <w:rsid w:val="001B362F"/>
    <w:rsid w:val="001B38AE"/>
    <w:rsid w:val="001B3959"/>
    <w:rsid w:val="001B3D62"/>
    <w:rsid w:val="001B3E12"/>
    <w:rsid w:val="001B4065"/>
    <w:rsid w:val="001B4350"/>
    <w:rsid w:val="001B44B8"/>
    <w:rsid w:val="001B44C2"/>
    <w:rsid w:val="001B452B"/>
    <w:rsid w:val="001B4881"/>
    <w:rsid w:val="001B4A1E"/>
    <w:rsid w:val="001B4AFE"/>
    <w:rsid w:val="001B4B78"/>
    <w:rsid w:val="001B4BFA"/>
    <w:rsid w:val="001B4DCB"/>
    <w:rsid w:val="001B4EBB"/>
    <w:rsid w:val="001B506C"/>
    <w:rsid w:val="001B529A"/>
    <w:rsid w:val="001B52E0"/>
    <w:rsid w:val="001B53C3"/>
    <w:rsid w:val="001B5597"/>
    <w:rsid w:val="001B56BF"/>
    <w:rsid w:val="001B576C"/>
    <w:rsid w:val="001B57E4"/>
    <w:rsid w:val="001B5872"/>
    <w:rsid w:val="001B58C2"/>
    <w:rsid w:val="001B5AA3"/>
    <w:rsid w:val="001B5AC5"/>
    <w:rsid w:val="001B5C94"/>
    <w:rsid w:val="001B5C97"/>
    <w:rsid w:val="001B63B3"/>
    <w:rsid w:val="001B6432"/>
    <w:rsid w:val="001B6580"/>
    <w:rsid w:val="001B66EA"/>
    <w:rsid w:val="001B6802"/>
    <w:rsid w:val="001B685C"/>
    <w:rsid w:val="001B692B"/>
    <w:rsid w:val="001B69D6"/>
    <w:rsid w:val="001B6AAB"/>
    <w:rsid w:val="001B6B18"/>
    <w:rsid w:val="001B6CDB"/>
    <w:rsid w:val="001B6FBC"/>
    <w:rsid w:val="001B7018"/>
    <w:rsid w:val="001B7093"/>
    <w:rsid w:val="001B730C"/>
    <w:rsid w:val="001B766E"/>
    <w:rsid w:val="001B7A8F"/>
    <w:rsid w:val="001B7B6B"/>
    <w:rsid w:val="001B7BE4"/>
    <w:rsid w:val="001B7E35"/>
    <w:rsid w:val="001B7EFC"/>
    <w:rsid w:val="001BD933"/>
    <w:rsid w:val="001C01C2"/>
    <w:rsid w:val="001C01D2"/>
    <w:rsid w:val="001C0297"/>
    <w:rsid w:val="001C038B"/>
    <w:rsid w:val="001C0543"/>
    <w:rsid w:val="001C0682"/>
    <w:rsid w:val="001C0696"/>
    <w:rsid w:val="001C0B5B"/>
    <w:rsid w:val="001C0CC4"/>
    <w:rsid w:val="001C0CE2"/>
    <w:rsid w:val="001C0E9B"/>
    <w:rsid w:val="001C119A"/>
    <w:rsid w:val="001C12A5"/>
    <w:rsid w:val="001C138C"/>
    <w:rsid w:val="001C13BC"/>
    <w:rsid w:val="001C1549"/>
    <w:rsid w:val="001C15E1"/>
    <w:rsid w:val="001C17E0"/>
    <w:rsid w:val="001C17F0"/>
    <w:rsid w:val="001C1AA6"/>
    <w:rsid w:val="001C1AB7"/>
    <w:rsid w:val="001C1BCF"/>
    <w:rsid w:val="001C1EBD"/>
    <w:rsid w:val="001C21CD"/>
    <w:rsid w:val="001C2234"/>
    <w:rsid w:val="001C2870"/>
    <w:rsid w:val="001C291C"/>
    <w:rsid w:val="001C2AEC"/>
    <w:rsid w:val="001C2AEE"/>
    <w:rsid w:val="001C2BAE"/>
    <w:rsid w:val="001C2D67"/>
    <w:rsid w:val="001C2DF4"/>
    <w:rsid w:val="001C2E8B"/>
    <w:rsid w:val="001C3043"/>
    <w:rsid w:val="001C313B"/>
    <w:rsid w:val="001C3170"/>
    <w:rsid w:val="001C31AA"/>
    <w:rsid w:val="001C37D4"/>
    <w:rsid w:val="001C37F1"/>
    <w:rsid w:val="001C3BB1"/>
    <w:rsid w:val="001C3D9E"/>
    <w:rsid w:val="001C408B"/>
    <w:rsid w:val="001C43C8"/>
    <w:rsid w:val="001C443C"/>
    <w:rsid w:val="001C4466"/>
    <w:rsid w:val="001C44B3"/>
    <w:rsid w:val="001C4765"/>
    <w:rsid w:val="001C47F4"/>
    <w:rsid w:val="001C4940"/>
    <w:rsid w:val="001C495E"/>
    <w:rsid w:val="001C4AD2"/>
    <w:rsid w:val="001C4BD6"/>
    <w:rsid w:val="001C4C04"/>
    <w:rsid w:val="001C4E68"/>
    <w:rsid w:val="001C53A8"/>
    <w:rsid w:val="001C5587"/>
    <w:rsid w:val="001C5775"/>
    <w:rsid w:val="001C5A4A"/>
    <w:rsid w:val="001C5D74"/>
    <w:rsid w:val="001C5DC0"/>
    <w:rsid w:val="001C5FD4"/>
    <w:rsid w:val="001C5FFE"/>
    <w:rsid w:val="001C6022"/>
    <w:rsid w:val="001C602F"/>
    <w:rsid w:val="001C6241"/>
    <w:rsid w:val="001C6375"/>
    <w:rsid w:val="001C66FD"/>
    <w:rsid w:val="001C67E2"/>
    <w:rsid w:val="001C6877"/>
    <w:rsid w:val="001C6A02"/>
    <w:rsid w:val="001C6C35"/>
    <w:rsid w:val="001C6F80"/>
    <w:rsid w:val="001C706C"/>
    <w:rsid w:val="001C7564"/>
    <w:rsid w:val="001C75E3"/>
    <w:rsid w:val="001C77C9"/>
    <w:rsid w:val="001C77FE"/>
    <w:rsid w:val="001C7879"/>
    <w:rsid w:val="001C797F"/>
    <w:rsid w:val="001C7A5D"/>
    <w:rsid w:val="001C7B04"/>
    <w:rsid w:val="001C7B16"/>
    <w:rsid w:val="001C7B28"/>
    <w:rsid w:val="001C7C40"/>
    <w:rsid w:val="001C7D58"/>
    <w:rsid w:val="001C7EF3"/>
    <w:rsid w:val="001C7F97"/>
    <w:rsid w:val="001D00BB"/>
    <w:rsid w:val="001D0362"/>
    <w:rsid w:val="001D03E6"/>
    <w:rsid w:val="001D0511"/>
    <w:rsid w:val="001D06D9"/>
    <w:rsid w:val="001D086E"/>
    <w:rsid w:val="001D08DC"/>
    <w:rsid w:val="001D0DDB"/>
    <w:rsid w:val="001D0E0B"/>
    <w:rsid w:val="001D0F76"/>
    <w:rsid w:val="001D0FE7"/>
    <w:rsid w:val="001D1017"/>
    <w:rsid w:val="001D125C"/>
    <w:rsid w:val="001D15A9"/>
    <w:rsid w:val="001D15FA"/>
    <w:rsid w:val="001D1644"/>
    <w:rsid w:val="001D1676"/>
    <w:rsid w:val="001D1697"/>
    <w:rsid w:val="001D16BF"/>
    <w:rsid w:val="001D17FC"/>
    <w:rsid w:val="001D19DE"/>
    <w:rsid w:val="001D1AEC"/>
    <w:rsid w:val="001D1B12"/>
    <w:rsid w:val="001D1C09"/>
    <w:rsid w:val="001D1E45"/>
    <w:rsid w:val="001D2035"/>
    <w:rsid w:val="001D21FF"/>
    <w:rsid w:val="001D224B"/>
    <w:rsid w:val="001D2596"/>
    <w:rsid w:val="001D271C"/>
    <w:rsid w:val="001D2823"/>
    <w:rsid w:val="001D2C24"/>
    <w:rsid w:val="001D2D09"/>
    <w:rsid w:val="001D2DF3"/>
    <w:rsid w:val="001D2E12"/>
    <w:rsid w:val="001D3115"/>
    <w:rsid w:val="001D31F3"/>
    <w:rsid w:val="001D3316"/>
    <w:rsid w:val="001D3797"/>
    <w:rsid w:val="001D3907"/>
    <w:rsid w:val="001D3AAE"/>
    <w:rsid w:val="001D3AF2"/>
    <w:rsid w:val="001D3BB2"/>
    <w:rsid w:val="001D3F23"/>
    <w:rsid w:val="001D42EF"/>
    <w:rsid w:val="001D4353"/>
    <w:rsid w:val="001D4A8B"/>
    <w:rsid w:val="001D4A9F"/>
    <w:rsid w:val="001D4AB6"/>
    <w:rsid w:val="001D4B54"/>
    <w:rsid w:val="001D4B67"/>
    <w:rsid w:val="001D4D00"/>
    <w:rsid w:val="001D4D5A"/>
    <w:rsid w:val="001D5001"/>
    <w:rsid w:val="001D50F9"/>
    <w:rsid w:val="001D51B6"/>
    <w:rsid w:val="001D528A"/>
    <w:rsid w:val="001D54A6"/>
    <w:rsid w:val="001D54B1"/>
    <w:rsid w:val="001D5658"/>
    <w:rsid w:val="001D5674"/>
    <w:rsid w:val="001D58B4"/>
    <w:rsid w:val="001D5A37"/>
    <w:rsid w:val="001D5F08"/>
    <w:rsid w:val="001D61A7"/>
    <w:rsid w:val="001D63BA"/>
    <w:rsid w:val="001D6BE3"/>
    <w:rsid w:val="001D6C40"/>
    <w:rsid w:val="001D6CC4"/>
    <w:rsid w:val="001D6E26"/>
    <w:rsid w:val="001D7010"/>
    <w:rsid w:val="001D70B3"/>
    <w:rsid w:val="001D7269"/>
    <w:rsid w:val="001D73FF"/>
    <w:rsid w:val="001D7462"/>
    <w:rsid w:val="001D7516"/>
    <w:rsid w:val="001D768A"/>
    <w:rsid w:val="001D7723"/>
    <w:rsid w:val="001D77F5"/>
    <w:rsid w:val="001D7829"/>
    <w:rsid w:val="001D7A26"/>
    <w:rsid w:val="001D7ABE"/>
    <w:rsid w:val="001D7B6D"/>
    <w:rsid w:val="001D7D3A"/>
    <w:rsid w:val="001D7D6E"/>
    <w:rsid w:val="001E00A6"/>
    <w:rsid w:val="001E052D"/>
    <w:rsid w:val="001E05F0"/>
    <w:rsid w:val="001E06C1"/>
    <w:rsid w:val="001E0A16"/>
    <w:rsid w:val="001E0B98"/>
    <w:rsid w:val="001E0BED"/>
    <w:rsid w:val="001E0D84"/>
    <w:rsid w:val="001E0DDB"/>
    <w:rsid w:val="001E0DF9"/>
    <w:rsid w:val="001E0E44"/>
    <w:rsid w:val="001E0F1E"/>
    <w:rsid w:val="001E11F5"/>
    <w:rsid w:val="001E136C"/>
    <w:rsid w:val="001E14A8"/>
    <w:rsid w:val="001E1562"/>
    <w:rsid w:val="001E15A0"/>
    <w:rsid w:val="001E16F0"/>
    <w:rsid w:val="001E1BCF"/>
    <w:rsid w:val="001E1E24"/>
    <w:rsid w:val="001E1F38"/>
    <w:rsid w:val="001E2044"/>
    <w:rsid w:val="001E21E9"/>
    <w:rsid w:val="001E22D6"/>
    <w:rsid w:val="001E23EA"/>
    <w:rsid w:val="001E2446"/>
    <w:rsid w:val="001E245D"/>
    <w:rsid w:val="001E2489"/>
    <w:rsid w:val="001E28AF"/>
    <w:rsid w:val="001E28C6"/>
    <w:rsid w:val="001E2A7A"/>
    <w:rsid w:val="001E2B8C"/>
    <w:rsid w:val="001E2C60"/>
    <w:rsid w:val="001E2DF0"/>
    <w:rsid w:val="001E3169"/>
    <w:rsid w:val="001E33F4"/>
    <w:rsid w:val="001E351A"/>
    <w:rsid w:val="001E359C"/>
    <w:rsid w:val="001E35F0"/>
    <w:rsid w:val="001E37B2"/>
    <w:rsid w:val="001E38F5"/>
    <w:rsid w:val="001E3B22"/>
    <w:rsid w:val="001E40B5"/>
    <w:rsid w:val="001E4333"/>
    <w:rsid w:val="001E4368"/>
    <w:rsid w:val="001E44D6"/>
    <w:rsid w:val="001E4528"/>
    <w:rsid w:val="001E49C0"/>
    <w:rsid w:val="001E49CB"/>
    <w:rsid w:val="001E4A0C"/>
    <w:rsid w:val="001E4B9D"/>
    <w:rsid w:val="001E4BFC"/>
    <w:rsid w:val="001E4D17"/>
    <w:rsid w:val="001E4DB9"/>
    <w:rsid w:val="001E4EC5"/>
    <w:rsid w:val="001E4EE8"/>
    <w:rsid w:val="001E573A"/>
    <w:rsid w:val="001E5963"/>
    <w:rsid w:val="001E59D4"/>
    <w:rsid w:val="001E59E6"/>
    <w:rsid w:val="001E5B1E"/>
    <w:rsid w:val="001E6032"/>
    <w:rsid w:val="001E6692"/>
    <w:rsid w:val="001E6CF9"/>
    <w:rsid w:val="001E6D8E"/>
    <w:rsid w:val="001E6D90"/>
    <w:rsid w:val="001E7141"/>
    <w:rsid w:val="001E724F"/>
    <w:rsid w:val="001E739A"/>
    <w:rsid w:val="001E7482"/>
    <w:rsid w:val="001E76B1"/>
    <w:rsid w:val="001E77F9"/>
    <w:rsid w:val="001E78CF"/>
    <w:rsid w:val="001E7B20"/>
    <w:rsid w:val="001E7CFB"/>
    <w:rsid w:val="001F00B4"/>
    <w:rsid w:val="001F04C4"/>
    <w:rsid w:val="001F0513"/>
    <w:rsid w:val="001F057C"/>
    <w:rsid w:val="001F05AC"/>
    <w:rsid w:val="001F06F2"/>
    <w:rsid w:val="001F0822"/>
    <w:rsid w:val="001F097E"/>
    <w:rsid w:val="001F0A7C"/>
    <w:rsid w:val="001F0CD4"/>
    <w:rsid w:val="001F0E85"/>
    <w:rsid w:val="001F1037"/>
    <w:rsid w:val="001F16BD"/>
    <w:rsid w:val="001F19A2"/>
    <w:rsid w:val="001F2046"/>
    <w:rsid w:val="001F22BD"/>
    <w:rsid w:val="001F2310"/>
    <w:rsid w:val="001F2422"/>
    <w:rsid w:val="001F275E"/>
    <w:rsid w:val="001F2941"/>
    <w:rsid w:val="001F2A82"/>
    <w:rsid w:val="001F2B88"/>
    <w:rsid w:val="001F3030"/>
    <w:rsid w:val="001F303F"/>
    <w:rsid w:val="001F31BE"/>
    <w:rsid w:val="001F3226"/>
    <w:rsid w:val="001F3261"/>
    <w:rsid w:val="001F32A5"/>
    <w:rsid w:val="001F3473"/>
    <w:rsid w:val="001F34D1"/>
    <w:rsid w:val="001F35F1"/>
    <w:rsid w:val="001F3636"/>
    <w:rsid w:val="001F3798"/>
    <w:rsid w:val="001F38F0"/>
    <w:rsid w:val="001F3976"/>
    <w:rsid w:val="001F39A1"/>
    <w:rsid w:val="001F3A2D"/>
    <w:rsid w:val="001F3A8B"/>
    <w:rsid w:val="001F3C11"/>
    <w:rsid w:val="001F3F7D"/>
    <w:rsid w:val="001F3F8F"/>
    <w:rsid w:val="001F426A"/>
    <w:rsid w:val="001F4380"/>
    <w:rsid w:val="001F43B2"/>
    <w:rsid w:val="001F4611"/>
    <w:rsid w:val="001F477A"/>
    <w:rsid w:val="001F4AE5"/>
    <w:rsid w:val="001F4B9F"/>
    <w:rsid w:val="001F5070"/>
    <w:rsid w:val="001F5330"/>
    <w:rsid w:val="001F537F"/>
    <w:rsid w:val="001F53B5"/>
    <w:rsid w:val="001F555E"/>
    <w:rsid w:val="001F5729"/>
    <w:rsid w:val="001F5760"/>
    <w:rsid w:val="001F57A3"/>
    <w:rsid w:val="001F5864"/>
    <w:rsid w:val="001F59B7"/>
    <w:rsid w:val="001F5AE2"/>
    <w:rsid w:val="001F5C81"/>
    <w:rsid w:val="001F5CCE"/>
    <w:rsid w:val="001F5E0A"/>
    <w:rsid w:val="001F5FC2"/>
    <w:rsid w:val="001F6177"/>
    <w:rsid w:val="001F6211"/>
    <w:rsid w:val="001F650C"/>
    <w:rsid w:val="001F6566"/>
    <w:rsid w:val="001F657E"/>
    <w:rsid w:val="001F658F"/>
    <w:rsid w:val="001F6857"/>
    <w:rsid w:val="001F6A91"/>
    <w:rsid w:val="001F6E1F"/>
    <w:rsid w:val="001F70D3"/>
    <w:rsid w:val="001F7104"/>
    <w:rsid w:val="001F7153"/>
    <w:rsid w:val="001F715D"/>
    <w:rsid w:val="001F7CA0"/>
    <w:rsid w:val="001F7D85"/>
    <w:rsid w:val="001F7F69"/>
    <w:rsid w:val="001F7FBD"/>
    <w:rsid w:val="002000C0"/>
    <w:rsid w:val="0020016F"/>
    <w:rsid w:val="002003A6"/>
    <w:rsid w:val="00200815"/>
    <w:rsid w:val="00200B68"/>
    <w:rsid w:val="00200BBB"/>
    <w:rsid w:val="00200DD6"/>
    <w:rsid w:val="00200EE3"/>
    <w:rsid w:val="00200F8A"/>
    <w:rsid w:val="002010A9"/>
    <w:rsid w:val="00201147"/>
    <w:rsid w:val="002011C1"/>
    <w:rsid w:val="00201555"/>
    <w:rsid w:val="00201621"/>
    <w:rsid w:val="002016AF"/>
    <w:rsid w:val="002018B0"/>
    <w:rsid w:val="00201955"/>
    <w:rsid w:val="00201A78"/>
    <w:rsid w:val="00201BE8"/>
    <w:rsid w:val="00201C3E"/>
    <w:rsid w:val="00201FDF"/>
    <w:rsid w:val="00201FE9"/>
    <w:rsid w:val="0020229A"/>
    <w:rsid w:val="0020298F"/>
    <w:rsid w:val="00202C81"/>
    <w:rsid w:val="00202C82"/>
    <w:rsid w:val="00202CEA"/>
    <w:rsid w:val="00202E80"/>
    <w:rsid w:val="00202FDA"/>
    <w:rsid w:val="0020318D"/>
    <w:rsid w:val="00203350"/>
    <w:rsid w:val="002034A8"/>
    <w:rsid w:val="00203500"/>
    <w:rsid w:val="002036B0"/>
    <w:rsid w:val="002036C5"/>
    <w:rsid w:val="0020372B"/>
    <w:rsid w:val="00203903"/>
    <w:rsid w:val="00203BFF"/>
    <w:rsid w:val="00203C1A"/>
    <w:rsid w:val="00203C6A"/>
    <w:rsid w:val="00203E66"/>
    <w:rsid w:val="00203F78"/>
    <w:rsid w:val="00203F9F"/>
    <w:rsid w:val="002041DC"/>
    <w:rsid w:val="0020445A"/>
    <w:rsid w:val="002044A9"/>
    <w:rsid w:val="00204633"/>
    <w:rsid w:val="00204667"/>
    <w:rsid w:val="002049D8"/>
    <w:rsid w:val="002049E5"/>
    <w:rsid w:val="00204FF9"/>
    <w:rsid w:val="0020515C"/>
    <w:rsid w:val="002055CF"/>
    <w:rsid w:val="00205731"/>
    <w:rsid w:val="002057EA"/>
    <w:rsid w:val="0020580A"/>
    <w:rsid w:val="00205824"/>
    <w:rsid w:val="002058CA"/>
    <w:rsid w:val="00205CED"/>
    <w:rsid w:val="00205D41"/>
    <w:rsid w:val="00205EBC"/>
    <w:rsid w:val="00206407"/>
    <w:rsid w:val="00206515"/>
    <w:rsid w:val="002066B0"/>
    <w:rsid w:val="002069FB"/>
    <w:rsid w:val="00206B0D"/>
    <w:rsid w:val="00206C6D"/>
    <w:rsid w:val="00206DC7"/>
    <w:rsid w:val="00206FEB"/>
    <w:rsid w:val="002070FF"/>
    <w:rsid w:val="002074EE"/>
    <w:rsid w:val="0020779C"/>
    <w:rsid w:val="0020795A"/>
    <w:rsid w:val="00207AD8"/>
    <w:rsid w:val="00207C47"/>
    <w:rsid w:val="00207D1B"/>
    <w:rsid w:val="00207D92"/>
    <w:rsid w:val="00210271"/>
    <w:rsid w:val="002104BC"/>
    <w:rsid w:val="00210541"/>
    <w:rsid w:val="00210574"/>
    <w:rsid w:val="002105C3"/>
    <w:rsid w:val="002105CA"/>
    <w:rsid w:val="002106A6"/>
    <w:rsid w:val="00210779"/>
    <w:rsid w:val="0021080B"/>
    <w:rsid w:val="0021088E"/>
    <w:rsid w:val="00210ABC"/>
    <w:rsid w:val="00210C6C"/>
    <w:rsid w:val="00210F78"/>
    <w:rsid w:val="002113BD"/>
    <w:rsid w:val="0021142D"/>
    <w:rsid w:val="00211467"/>
    <w:rsid w:val="002114DC"/>
    <w:rsid w:val="0021180B"/>
    <w:rsid w:val="00211903"/>
    <w:rsid w:val="00211A0E"/>
    <w:rsid w:val="00211B3A"/>
    <w:rsid w:val="00211C50"/>
    <w:rsid w:val="00211D82"/>
    <w:rsid w:val="00212030"/>
    <w:rsid w:val="0021203D"/>
    <w:rsid w:val="00212122"/>
    <w:rsid w:val="00212467"/>
    <w:rsid w:val="002126FA"/>
    <w:rsid w:val="00212808"/>
    <w:rsid w:val="002128E5"/>
    <w:rsid w:val="002129B2"/>
    <w:rsid w:val="00212AE1"/>
    <w:rsid w:val="00212AED"/>
    <w:rsid w:val="00212E5A"/>
    <w:rsid w:val="002130CF"/>
    <w:rsid w:val="0021325B"/>
    <w:rsid w:val="002133C7"/>
    <w:rsid w:val="00213679"/>
    <w:rsid w:val="0021387D"/>
    <w:rsid w:val="00213B2D"/>
    <w:rsid w:val="00213BAA"/>
    <w:rsid w:val="00213DF8"/>
    <w:rsid w:val="00213F0A"/>
    <w:rsid w:val="00214378"/>
    <w:rsid w:val="00214607"/>
    <w:rsid w:val="00214687"/>
    <w:rsid w:val="002146A8"/>
    <w:rsid w:val="002147D6"/>
    <w:rsid w:val="0021490F"/>
    <w:rsid w:val="00214962"/>
    <w:rsid w:val="00214999"/>
    <w:rsid w:val="00214A7D"/>
    <w:rsid w:val="00214BBA"/>
    <w:rsid w:val="00214E1A"/>
    <w:rsid w:val="00214FCE"/>
    <w:rsid w:val="00214FDB"/>
    <w:rsid w:val="002152B7"/>
    <w:rsid w:val="002152ED"/>
    <w:rsid w:val="002153BC"/>
    <w:rsid w:val="00215572"/>
    <w:rsid w:val="002158C8"/>
    <w:rsid w:val="00215C21"/>
    <w:rsid w:val="00215C28"/>
    <w:rsid w:val="00215D6B"/>
    <w:rsid w:val="00215DCC"/>
    <w:rsid w:val="002160A2"/>
    <w:rsid w:val="0021627C"/>
    <w:rsid w:val="002163FC"/>
    <w:rsid w:val="002164A8"/>
    <w:rsid w:val="00216577"/>
    <w:rsid w:val="00216603"/>
    <w:rsid w:val="00216679"/>
    <w:rsid w:val="0021687D"/>
    <w:rsid w:val="002168E0"/>
    <w:rsid w:val="00216965"/>
    <w:rsid w:val="00216971"/>
    <w:rsid w:val="00216A5C"/>
    <w:rsid w:val="00216A9C"/>
    <w:rsid w:val="00216AF8"/>
    <w:rsid w:val="00216B2F"/>
    <w:rsid w:val="00216BBE"/>
    <w:rsid w:val="00216BC8"/>
    <w:rsid w:val="00216BEC"/>
    <w:rsid w:val="00216C9C"/>
    <w:rsid w:val="00216FF6"/>
    <w:rsid w:val="0021708D"/>
    <w:rsid w:val="00217111"/>
    <w:rsid w:val="0021715A"/>
    <w:rsid w:val="002171DB"/>
    <w:rsid w:val="00217252"/>
    <w:rsid w:val="00217617"/>
    <w:rsid w:val="00217659"/>
    <w:rsid w:val="002178A2"/>
    <w:rsid w:val="00217C95"/>
    <w:rsid w:val="00217DD7"/>
    <w:rsid w:val="00217E79"/>
    <w:rsid w:val="00217EF7"/>
    <w:rsid w:val="00217EFA"/>
    <w:rsid w:val="0022017E"/>
    <w:rsid w:val="0022018E"/>
    <w:rsid w:val="00220284"/>
    <w:rsid w:val="00220287"/>
    <w:rsid w:val="002202DD"/>
    <w:rsid w:val="002202F7"/>
    <w:rsid w:val="0022035C"/>
    <w:rsid w:val="00220600"/>
    <w:rsid w:val="002207D1"/>
    <w:rsid w:val="002207EA"/>
    <w:rsid w:val="0022091F"/>
    <w:rsid w:val="0022092E"/>
    <w:rsid w:val="00220EB8"/>
    <w:rsid w:val="00221066"/>
    <w:rsid w:val="002211F1"/>
    <w:rsid w:val="002211F6"/>
    <w:rsid w:val="0022123A"/>
    <w:rsid w:val="00221375"/>
    <w:rsid w:val="0022148A"/>
    <w:rsid w:val="002215BA"/>
    <w:rsid w:val="00221609"/>
    <w:rsid w:val="002218AC"/>
    <w:rsid w:val="00221B1C"/>
    <w:rsid w:val="00221BE7"/>
    <w:rsid w:val="00221C73"/>
    <w:rsid w:val="00221D8A"/>
    <w:rsid w:val="00222057"/>
    <w:rsid w:val="002221D2"/>
    <w:rsid w:val="0022229C"/>
    <w:rsid w:val="0022230C"/>
    <w:rsid w:val="0022243F"/>
    <w:rsid w:val="00222440"/>
    <w:rsid w:val="002224F7"/>
    <w:rsid w:val="00222585"/>
    <w:rsid w:val="00222718"/>
    <w:rsid w:val="002227C5"/>
    <w:rsid w:val="00222885"/>
    <w:rsid w:val="002228E9"/>
    <w:rsid w:val="00222ADB"/>
    <w:rsid w:val="00222AFD"/>
    <w:rsid w:val="00222D8F"/>
    <w:rsid w:val="00222F89"/>
    <w:rsid w:val="00223663"/>
    <w:rsid w:val="00223886"/>
    <w:rsid w:val="00223CD3"/>
    <w:rsid w:val="00223F0A"/>
    <w:rsid w:val="00223F1A"/>
    <w:rsid w:val="00224149"/>
    <w:rsid w:val="00224304"/>
    <w:rsid w:val="00224337"/>
    <w:rsid w:val="00224B03"/>
    <w:rsid w:val="00224C77"/>
    <w:rsid w:val="0022518B"/>
    <w:rsid w:val="002253AD"/>
    <w:rsid w:val="00225453"/>
    <w:rsid w:val="002255E5"/>
    <w:rsid w:val="0022573C"/>
    <w:rsid w:val="00225741"/>
    <w:rsid w:val="00225744"/>
    <w:rsid w:val="00225ADB"/>
    <w:rsid w:val="00225D14"/>
    <w:rsid w:val="00225D32"/>
    <w:rsid w:val="00225D3C"/>
    <w:rsid w:val="0022611E"/>
    <w:rsid w:val="00226201"/>
    <w:rsid w:val="00226658"/>
    <w:rsid w:val="00226683"/>
    <w:rsid w:val="00226806"/>
    <w:rsid w:val="00226B3E"/>
    <w:rsid w:val="00226E00"/>
    <w:rsid w:val="00226EFD"/>
    <w:rsid w:val="00226F72"/>
    <w:rsid w:val="0022703F"/>
    <w:rsid w:val="002270EF"/>
    <w:rsid w:val="00227101"/>
    <w:rsid w:val="002272DF"/>
    <w:rsid w:val="00227552"/>
    <w:rsid w:val="002275CE"/>
    <w:rsid w:val="00227605"/>
    <w:rsid w:val="0022764A"/>
    <w:rsid w:val="0022773F"/>
    <w:rsid w:val="00227B00"/>
    <w:rsid w:val="00227B15"/>
    <w:rsid w:val="00227C68"/>
    <w:rsid w:val="00227ED6"/>
    <w:rsid w:val="002300DD"/>
    <w:rsid w:val="0023084C"/>
    <w:rsid w:val="00230854"/>
    <w:rsid w:val="002308F5"/>
    <w:rsid w:val="00230A0B"/>
    <w:rsid w:val="00230C7E"/>
    <w:rsid w:val="00230E22"/>
    <w:rsid w:val="00230F76"/>
    <w:rsid w:val="0023116D"/>
    <w:rsid w:val="002313C4"/>
    <w:rsid w:val="0023159E"/>
    <w:rsid w:val="002315DC"/>
    <w:rsid w:val="002317E9"/>
    <w:rsid w:val="00231C97"/>
    <w:rsid w:val="00231FE1"/>
    <w:rsid w:val="002323B8"/>
    <w:rsid w:val="002325AE"/>
    <w:rsid w:val="00232771"/>
    <w:rsid w:val="002327A2"/>
    <w:rsid w:val="002327CF"/>
    <w:rsid w:val="0023282B"/>
    <w:rsid w:val="002328FB"/>
    <w:rsid w:val="002329E8"/>
    <w:rsid w:val="00232A62"/>
    <w:rsid w:val="00232A6D"/>
    <w:rsid w:val="00232B92"/>
    <w:rsid w:val="00232C01"/>
    <w:rsid w:val="00232F04"/>
    <w:rsid w:val="0023318D"/>
    <w:rsid w:val="00233B8C"/>
    <w:rsid w:val="00233DC7"/>
    <w:rsid w:val="00233E0E"/>
    <w:rsid w:val="00233E3E"/>
    <w:rsid w:val="0023410A"/>
    <w:rsid w:val="00234567"/>
    <w:rsid w:val="00234691"/>
    <w:rsid w:val="00234A22"/>
    <w:rsid w:val="00234A8C"/>
    <w:rsid w:val="00234B33"/>
    <w:rsid w:val="00234B4B"/>
    <w:rsid w:val="00234BC3"/>
    <w:rsid w:val="00234C76"/>
    <w:rsid w:val="00234DC1"/>
    <w:rsid w:val="00234F05"/>
    <w:rsid w:val="0023510E"/>
    <w:rsid w:val="0023554D"/>
    <w:rsid w:val="002355C4"/>
    <w:rsid w:val="002356A6"/>
    <w:rsid w:val="002356CA"/>
    <w:rsid w:val="00235AE0"/>
    <w:rsid w:val="00235B42"/>
    <w:rsid w:val="00235D51"/>
    <w:rsid w:val="0023623B"/>
    <w:rsid w:val="00236249"/>
    <w:rsid w:val="00236483"/>
    <w:rsid w:val="002364F8"/>
    <w:rsid w:val="0023656F"/>
    <w:rsid w:val="002366C1"/>
    <w:rsid w:val="002366E3"/>
    <w:rsid w:val="002368A8"/>
    <w:rsid w:val="00236AD3"/>
    <w:rsid w:val="00236C5C"/>
    <w:rsid w:val="00236DB1"/>
    <w:rsid w:val="00236E00"/>
    <w:rsid w:val="0023745D"/>
    <w:rsid w:val="00237598"/>
    <w:rsid w:val="00237787"/>
    <w:rsid w:val="00237B28"/>
    <w:rsid w:val="00237B30"/>
    <w:rsid w:val="00240070"/>
    <w:rsid w:val="0024032E"/>
    <w:rsid w:val="00240422"/>
    <w:rsid w:val="00240452"/>
    <w:rsid w:val="0024061E"/>
    <w:rsid w:val="0024099E"/>
    <w:rsid w:val="00240AC6"/>
    <w:rsid w:val="00240AD8"/>
    <w:rsid w:val="00240B66"/>
    <w:rsid w:val="00240C9E"/>
    <w:rsid w:val="00240D49"/>
    <w:rsid w:val="00240F95"/>
    <w:rsid w:val="00241241"/>
    <w:rsid w:val="00241331"/>
    <w:rsid w:val="0024139A"/>
    <w:rsid w:val="002413BB"/>
    <w:rsid w:val="00241462"/>
    <w:rsid w:val="0024152E"/>
    <w:rsid w:val="0024182B"/>
    <w:rsid w:val="00241A7B"/>
    <w:rsid w:val="00241CBA"/>
    <w:rsid w:val="00241E3B"/>
    <w:rsid w:val="00242141"/>
    <w:rsid w:val="00242564"/>
    <w:rsid w:val="002425A7"/>
    <w:rsid w:val="002426B2"/>
    <w:rsid w:val="002426FB"/>
    <w:rsid w:val="0024297F"/>
    <w:rsid w:val="002429F2"/>
    <w:rsid w:val="002429FF"/>
    <w:rsid w:val="00242B1F"/>
    <w:rsid w:val="00243105"/>
    <w:rsid w:val="0024320E"/>
    <w:rsid w:val="0024336C"/>
    <w:rsid w:val="00243378"/>
    <w:rsid w:val="00243399"/>
    <w:rsid w:val="00243A27"/>
    <w:rsid w:val="00243A5C"/>
    <w:rsid w:val="00243B3C"/>
    <w:rsid w:val="00243B80"/>
    <w:rsid w:val="00243EB6"/>
    <w:rsid w:val="00244201"/>
    <w:rsid w:val="002444C4"/>
    <w:rsid w:val="002445F6"/>
    <w:rsid w:val="00244973"/>
    <w:rsid w:val="00244A44"/>
    <w:rsid w:val="00244C3B"/>
    <w:rsid w:val="00244DC4"/>
    <w:rsid w:val="00244E39"/>
    <w:rsid w:val="00244FA1"/>
    <w:rsid w:val="0024536A"/>
    <w:rsid w:val="00245840"/>
    <w:rsid w:val="00245A88"/>
    <w:rsid w:val="00245AFD"/>
    <w:rsid w:val="00245C1F"/>
    <w:rsid w:val="00245C76"/>
    <w:rsid w:val="00245CCE"/>
    <w:rsid w:val="00245CEE"/>
    <w:rsid w:val="00245D50"/>
    <w:rsid w:val="00245E4E"/>
    <w:rsid w:val="002466BF"/>
    <w:rsid w:val="00246804"/>
    <w:rsid w:val="00246856"/>
    <w:rsid w:val="00246896"/>
    <w:rsid w:val="00246A39"/>
    <w:rsid w:val="00246C06"/>
    <w:rsid w:val="00246D9A"/>
    <w:rsid w:val="00246E85"/>
    <w:rsid w:val="0024728D"/>
    <w:rsid w:val="0024728F"/>
    <w:rsid w:val="002472F4"/>
    <w:rsid w:val="00247360"/>
    <w:rsid w:val="002476D2"/>
    <w:rsid w:val="00247779"/>
    <w:rsid w:val="0024791D"/>
    <w:rsid w:val="00247999"/>
    <w:rsid w:val="00247DF8"/>
    <w:rsid w:val="00247FCA"/>
    <w:rsid w:val="002500AA"/>
    <w:rsid w:val="002500B8"/>
    <w:rsid w:val="002505CF"/>
    <w:rsid w:val="00250974"/>
    <w:rsid w:val="00250D13"/>
    <w:rsid w:val="00250D8A"/>
    <w:rsid w:val="00250FA1"/>
    <w:rsid w:val="00251013"/>
    <w:rsid w:val="0025102C"/>
    <w:rsid w:val="00251144"/>
    <w:rsid w:val="002511B6"/>
    <w:rsid w:val="0025127B"/>
    <w:rsid w:val="0025131F"/>
    <w:rsid w:val="002513F2"/>
    <w:rsid w:val="00251441"/>
    <w:rsid w:val="00251702"/>
    <w:rsid w:val="0025188B"/>
    <w:rsid w:val="00251A4A"/>
    <w:rsid w:val="00251C64"/>
    <w:rsid w:val="00251F7D"/>
    <w:rsid w:val="00252210"/>
    <w:rsid w:val="00252215"/>
    <w:rsid w:val="00252277"/>
    <w:rsid w:val="0025239D"/>
    <w:rsid w:val="002525B7"/>
    <w:rsid w:val="002527F2"/>
    <w:rsid w:val="002527FA"/>
    <w:rsid w:val="00252826"/>
    <w:rsid w:val="0025293C"/>
    <w:rsid w:val="002529B1"/>
    <w:rsid w:val="00252E3A"/>
    <w:rsid w:val="00252F3B"/>
    <w:rsid w:val="002530A9"/>
    <w:rsid w:val="0025313A"/>
    <w:rsid w:val="0025320E"/>
    <w:rsid w:val="00253243"/>
    <w:rsid w:val="0025324A"/>
    <w:rsid w:val="0025329E"/>
    <w:rsid w:val="002536E9"/>
    <w:rsid w:val="0025381D"/>
    <w:rsid w:val="00253A87"/>
    <w:rsid w:val="00253AFF"/>
    <w:rsid w:val="00253C3D"/>
    <w:rsid w:val="00253E8A"/>
    <w:rsid w:val="00253EE4"/>
    <w:rsid w:val="00254090"/>
    <w:rsid w:val="002541F8"/>
    <w:rsid w:val="00254261"/>
    <w:rsid w:val="00254286"/>
    <w:rsid w:val="002542C6"/>
    <w:rsid w:val="002545A6"/>
    <w:rsid w:val="002545B8"/>
    <w:rsid w:val="00254663"/>
    <w:rsid w:val="002549A5"/>
    <w:rsid w:val="00254B6E"/>
    <w:rsid w:val="00254B72"/>
    <w:rsid w:val="00254BCD"/>
    <w:rsid w:val="00254C19"/>
    <w:rsid w:val="00254F1F"/>
    <w:rsid w:val="00254F6F"/>
    <w:rsid w:val="002550D3"/>
    <w:rsid w:val="002551D9"/>
    <w:rsid w:val="002553F3"/>
    <w:rsid w:val="00255572"/>
    <w:rsid w:val="002556B1"/>
    <w:rsid w:val="00255707"/>
    <w:rsid w:val="002557CD"/>
    <w:rsid w:val="00255947"/>
    <w:rsid w:val="00255958"/>
    <w:rsid w:val="002559E7"/>
    <w:rsid w:val="00255BD7"/>
    <w:rsid w:val="00255C35"/>
    <w:rsid w:val="00255C6D"/>
    <w:rsid w:val="00255D96"/>
    <w:rsid w:val="00255E04"/>
    <w:rsid w:val="00255E52"/>
    <w:rsid w:val="00255ED8"/>
    <w:rsid w:val="00256130"/>
    <w:rsid w:val="00256136"/>
    <w:rsid w:val="00256204"/>
    <w:rsid w:val="00256257"/>
    <w:rsid w:val="00256371"/>
    <w:rsid w:val="00256512"/>
    <w:rsid w:val="00256A70"/>
    <w:rsid w:val="00256B6E"/>
    <w:rsid w:val="00256BB4"/>
    <w:rsid w:val="00256E24"/>
    <w:rsid w:val="002572E1"/>
    <w:rsid w:val="002574E8"/>
    <w:rsid w:val="0025753C"/>
    <w:rsid w:val="0025755B"/>
    <w:rsid w:val="002575E1"/>
    <w:rsid w:val="002577F8"/>
    <w:rsid w:val="00257840"/>
    <w:rsid w:val="0025799F"/>
    <w:rsid w:val="00257C8C"/>
    <w:rsid w:val="00257EFF"/>
    <w:rsid w:val="00260049"/>
    <w:rsid w:val="0026009A"/>
    <w:rsid w:val="002600B2"/>
    <w:rsid w:val="00260288"/>
    <w:rsid w:val="0026035C"/>
    <w:rsid w:val="002604A8"/>
    <w:rsid w:val="00260640"/>
    <w:rsid w:val="002606BC"/>
    <w:rsid w:val="002606D4"/>
    <w:rsid w:val="00260811"/>
    <w:rsid w:val="00260960"/>
    <w:rsid w:val="00260BA5"/>
    <w:rsid w:val="00260DF9"/>
    <w:rsid w:val="00260E07"/>
    <w:rsid w:val="00261052"/>
    <w:rsid w:val="00261343"/>
    <w:rsid w:val="002613F2"/>
    <w:rsid w:val="00261AC0"/>
    <w:rsid w:val="00261ACB"/>
    <w:rsid w:val="00261C2C"/>
    <w:rsid w:val="00261DC8"/>
    <w:rsid w:val="002620D3"/>
    <w:rsid w:val="00262134"/>
    <w:rsid w:val="002621C9"/>
    <w:rsid w:val="00262295"/>
    <w:rsid w:val="0026237D"/>
    <w:rsid w:val="00262560"/>
    <w:rsid w:val="0026273F"/>
    <w:rsid w:val="00262790"/>
    <w:rsid w:val="0026286E"/>
    <w:rsid w:val="002629E7"/>
    <w:rsid w:val="00262B22"/>
    <w:rsid w:val="00262BB4"/>
    <w:rsid w:val="00262D14"/>
    <w:rsid w:val="00262D85"/>
    <w:rsid w:val="00262DEB"/>
    <w:rsid w:val="00262E18"/>
    <w:rsid w:val="00262F54"/>
    <w:rsid w:val="002630C1"/>
    <w:rsid w:val="00263207"/>
    <w:rsid w:val="002635A8"/>
    <w:rsid w:val="002635F4"/>
    <w:rsid w:val="0026368A"/>
    <w:rsid w:val="00263984"/>
    <w:rsid w:val="00263BC7"/>
    <w:rsid w:val="00263C76"/>
    <w:rsid w:val="00263E62"/>
    <w:rsid w:val="002642BF"/>
    <w:rsid w:val="00264386"/>
    <w:rsid w:val="002643A5"/>
    <w:rsid w:val="0026466A"/>
    <w:rsid w:val="002646EE"/>
    <w:rsid w:val="00264948"/>
    <w:rsid w:val="00264959"/>
    <w:rsid w:val="00264C4B"/>
    <w:rsid w:val="00264CFC"/>
    <w:rsid w:val="00264CFD"/>
    <w:rsid w:val="00264F41"/>
    <w:rsid w:val="0026505E"/>
    <w:rsid w:val="0026542B"/>
    <w:rsid w:val="00265499"/>
    <w:rsid w:val="002654A0"/>
    <w:rsid w:val="00265582"/>
    <w:rsid w:val="0026562D"/>
    <w:rsid w:val="00265703"/>
    <w:rsid w:val="00265753"/>
    <w:rsid w:val="0026590A"/>
    <w:rsid w:val="00265A2B"/>
    <w:rsid w:val="00265E7B"/>
    <w:rsid w:val="00265F50"/>
    <w:rsid w:val="00265F8D"/>
    <w:rsid w:val="002660A9"/>
    <w:rsid w:val="002660DB"/>
    <w:rsid w:val="00266611"/>
    <w:rsid w:val="0026671C"/>
    <w:rsid w:val="0026676E"/>
    <w:rsid w:val="0026690D"/>
    <w:rsid w:val="00266977"/>
    <w:rsid w:val="00266C1F"/>
    <w:rsid w:val="00266C35"/>
    <w:rsid w:val="00266DFB"/>
    <w:rsid w:val="00267009"/>
    <w:rsid w:val="00267468"/>
    <w:rsid w:val="002675B7"/>
    <w:rsid w:val="002677A6"/>
    <w:rsid w:val="00267B3C"/>
    <w:rsid w:val="00267B9F"/>
    <w:rsid w:val="00267C2A"/>
    <w:rsid w:val="00267C7C"/>
    <w:rsid w:val="00267DB0"/>
    <w:rsid w:val="00267FF0"/>
    <w:rsid w:val="0027028C"/>
    <w:rsid w:val="002703BA"/>
    <w:rsid w:val="00270435"/>
    <w:rsid w:val="0027087E"/>
    <w:rsid w:val="00270D05"/>
    <w:rsid w:val="002711FF"/>
    <w:rsid w:val="002719DC"/>
    <w:rsid w:val="00271BC5"/>
    <w:rsid w:val="00271D35"/>
    <w:rsid w:val="00271DEF"/>
    <w:rsid w:val="00272001"/>
    <w:rsid w:val="00272161"/>
    <w:rsid w:val="0027220D"/>
    <w:rsid w:val="002723AD"/>
    <w:rsid w:val="002723CA"/>
    <w:rsid w:val="002724BE"/>
    <w:rsid w:val="0027259C"/>
    <w:rsid w:val="002725B0"/>
    <w:rsid w:val="0027261E"/>
    <w:rsid w:val="00272639"/>
    <w:rsid w:val="002726AF"/>
    <w:rsid w:val="00272706"/>
    <w:rsid w:val="002729AA"/>
    <w:rsid w:val="00272ECF"/>
    <w:rsid w:val="00272F8D"/>
    <w:rsid w:val="0027328B"/>
    <w:rsid w:val="00273553"/>
    <w:rsid w:val="002735F4"/>
    <w:rsid w:val="00273DE5"/>
    <w:rsid w:val="00274061"/>
    <w:rsid w:val="00274388"/>
    <w:rsid w:val="00274410"/>
    <w:rsid w:val="00274659"/>
    <w:rsid w:val="00274966"/>
    <w:rsid w:val="00274B1F"/>
    <w:rsid w:val="00274B4D"/>
    <w:rsid w:val="00274E22"/>
    <w:rsid w:val="00274ECE"/>
    <w:rsid w:val="00274FDD"/>
    <w:rsid w:val="00275012"/>
    <w:rsid w:val="00275081"/>
    <w:rsid w:val="002750A5"/>
    <w:rsid w:val="00275115"/>
    <w:rsid w:val="0027528E"/>
    <w:rsid w:val="002752A6"/>
    <w:rsid w:val="002753FC"/>
    <w:rsid w:val="0027548F"/>
    <w:rsid w:val="00275540"/>
    <w:rsid w:val="00275745"/>
    <w:rsid w:val="0027596F"/>
    <w:rsid w:val="00275AEC"/>
    <w:rsid w:val="0027615E"/>
    <w:rsid w:val="0027684B"/>
    <w:rsid w:val="00276885"/>
    <w:rsid w:val="00276D4F"/>
    <w:rsid w:val="00276EB9"/>
    <w:rsid w:val="0027730E"/>
    <w:rsid w:val="002773BF"/>
    <w:rsid w:val="00277519"/>
    <w:rsid w:val="0027752E"/>
    <w:rsid w:val="002775B2"/>
    <w:rsid w:val="0027764B"/>
    <w:rsid w:val="002777B2"/>
    <w:rsid w:val="002778EA"/>
    <w:rsid w:val="002779AC"/>
    <w:rsid w:val="00277ACC"/>
    <w:rsid w:val="00277AD4"/>
    <w:rsid w:val="00277C1C"/>
    <w:rsid w:val="00277C5E"/>
    <w:rsid w:val="00277D41"/>
    <w:rsid w:val="00277D8D"/>
    <w:rsid w:val="00280193"/>
    <w:rsid w:val="002802C7"/>
    <w:rsid w:val="00280459"/>
    <w:rsid w:val="00280476"/>
    <w:rsid w:val="002808BD"/>
    <w:rsid w:val="002808DA"/>
    <w:rsid w:val="00280C0E"/>
    <w:rsid w:val="00280C39"/>
    <w:rsid w:val="00280CFC"/>
    <w:rsid w:val="00280FB4"/>
    <w:rsid w:val="0028107E"/>
    <w:rsid w:val="002810E5"/>
    <w:rsid w:val="0028117D"/>
    <w:rsid w:val="002811BB"/>
    <w:rsid w:val="002811E7"/>
    <w:rsid w:val="00281234"/>
    <w:rsid w:val="00281866"/>
    <w:rsid w:val="00281E18"/>
    <w:rsid w:val="00281F97"/>
    <w:rsid w:val="00281FBE"/>
    <w:rsid w:val="0028201B"/>
    <w:rsid w:val="0028214A"/>
    <w:rsid w:val="00282466"/>
    <w:rsid w:val="00282935"/>
    <w:rsid w:val="00282B7D"/>
    <w:rsid w:val="00282DC2"/>
    <w:rsid w:val="00282E5B"/>
    <w:rsid w:val="00283025"/>
    <w:rsid w:val="0028323A"/>
    <w:rsid w:val="0028326E"/>
    <w:rsid w:val="002832C5"/>
    <w:rsid w:val="00283344"/>
    <w:rsid w:val="0028368B"/>
    <w:rsid w:val="00283B4C"/>
    <w:rsid w:val="00283B9C"/>
    <w:rsid w:val="00283C71"/>
    <w:rsid w:val="00283DBE"/>
    <w:rsid w:val="00283E2B"/>
    <w:rsid w:val="00283E5B"/>
    <w:rsid w:val="00283F2C"/>
    <w:rsid w:val="00284038"/>
    <w:rsid w:val="002842B6"/>
    <w:rsid w:val="00284439"/>
    <w:rsid w:val="0028449F"/>
    <w:rsid w:val="002844CC"/>
    <w:rsid w:val="002844F5"/>
    <w:rsid w:val="00284625"/>
    <w:rsid w:val="0028494A"/>
    <w:rsid w:val="00284B27"/>
    <w:rsid w:val="00284EA8"/>
    <w:rsid w:val="00284FB2"/>
    <w:rsid w:val="00285290"/>
    <w:rsid w:val="00285370"/>
    <w:rsid w:val="00285493"/>
    <w:rsid w:val="002855EE"/>
    <w:rsid w:val="002855F9"/>
    <w:rsid w:val="00285B51"/>
    <w:rsid w:val="00285BE2"/>
    <w:rsid w:val="00285BEE"/>
    <w:rsid w:val="00285D42"/>
    <w:rsid w:val="00285EF0"/>
    <w:rsid w:val="00285FD9"/>
    <w:rsid w:val="00286070"/>
    <w:rsid w:val="00286197"/>
    <w:rsid w:val="00286306"/>
    <w:rsid w:val="002863CD"/>
    <w:rsid w:val="00286479"/>
    <w:rsid w:val="00286503"/>
    <w:rsid w:val="00286599"/>
    <w:rsid w:val="00286C71"/>
    <w:rsid w:val="00286D98"/>
    <w:rsid w:val="00286DE6"/>
    <w:rsid w:val="00286E2D"/>
    <w:rsid w:val="00286E61"/>
    <w:rsid w:val="00287174"/>
    <w:rsid w:val="002871FB"/>
    <w:rsid w:val="0028735F"/>
    <w:rsid w:val="0028755C"/>
    <w:rsid w:val="0028755E"/>
    <w:rsid w:val="00287587"/>
    <w:rsid w:val="002877DF"/>
    <w:rsid w:val="0028784B"/>
    <w:rsid w:val="00287D05"/>
    <w:rsid w:val="002901B0"/>
    <w:rsid w:val="00290535"/>
    <w:rsid w:val="002905E5"/>
    <w:rsid w:val="00290640"/>
    <w:rsid w:val="0029079D"/>
    <w:rsid w:val="002908C3"/>
    <w:rsid w:val="002909CE"/>
    <w:rsid w:val="00290AA1"/>
    <w:rsid w:val="00290FF0"/>
    <w:rsid w:val="00291167"/>
    <w:rsid w:val="00291292"/>
    <w:rsid w:val="00291377"/>
    <w:rsid w:val="002913A3"/>
    <w:rsid w:val="002913CD"/>
    <w:rsid w:val="002914BE"/>
    <w:rsid w:val="0029171F"/>
    <w:rsid w:val="0029174D"/>
    <w:rsid w:val="00291869"/>
    <w:rsid w:val="00291CD0"/>
    <w:rsid w:val="00291DB3"/>
    <w:rsid w:val="00291F5B"/>
    <w:rsid w:val="0029204B"/>
    <w:rsid w:val="00292101"/>
    <w:rsid w:val="00292211"/>
    <w:rsid w:val="0029223D"/>
    <w:rsid w:val="0029224A"/>
    <w:rsid w:val="002922B1"/>
    <w:rsid w:val="00292508"/>
    <w:rsid w:val="00292819"/>
    <w:rsid w:val="0029282F"/>
    <w:rsid w:val="00292B58"/>
    <w:rsid w:val="00292BE1"/>
    <w:rsid w:val="00292C1E"/>
    <w:rsid w:val="00292D3B"/>
    <w:rsid w:val="00292EE0"/>
    <w:rsid w:val="00293009"/>
    <w:rsid w:val="0029316F"/>
    <w:rsid w:val="00293170"/>
    <w:rsid w:val="00293208"/>
    <w:rsid w:val="00293365"/>
    <w:rsid w:val="002934F1"/>
    <w:rsid w:val="00293619"/>
    <w:rsid w:val="002936CD"/>
    <w:rsid w:val="00293806"/>
    <w:rsid w:val="00293960"/>
    <w:rsid w:val="00293B4A"/>
    <w:rsid w:val="00293BF8"/>
    <w:rsid w:val="00293D4E"/>
    <w:rsid w:val="00294188"/>
    <w:rsid w:val="0029424F"/>
    <w:rsid w:val="00294284"/>
    <w:rsid w:val="002942C1"/>
    <w:rsid w:val="002944EB"/>
    <w:rsid w:val="00294559"/>
    <w:rsid w:val="00294959"/>
    <w:rsid w:val="002949C5"/>
    <w:rsid w:val="00294B93"/>
    <w:rsid w:val="00294E5B"/>
    <w:rsid w:val="00294E9E"/>
    <w:rsid w:val="00294FFD"/>
    <w:rsid w:val="0029533F"/>
    <w:rsid w:val="002955ED"/>
    <w:rsid w:val="0029584F"/>
    <w:rsid w:val="0029595E"/>
    <w:rsid w:val="00295AE4"/>
    <w:rsid w:val="00295C45"/>
    <w:rsid w:val="00295C8B"/>
    <w:rsid w:val="00295E57"/>
    <w:rsid w:val="00295EFD"/>
    <w:rsid w:val="002961E2"/>
    <w:rsid w:val="0029625B"/>
    <w:rsid w:val="002962C9"/>
    <w:rsid w:val="00296FCB"/>
    <w:rsid w:val="002970A5"/>
    <w:rsid w:val="002970BA"/>
    <w:rsid w:val="002971BA"/>
    <w:rsid w:val="00297309"/>
    <w:rsid w:val="00297469"/>
    <w:rsid w:val="00297651"/>
    <w:rsid w:val="002976C4"/>
    <w:rsid w:val="002977E6"/>
    <w:rsid w:val="00297B9D"/>
    <w:rsid w:val="00297BBA"/>
    <w:rsid w:val="00297CD4"/>
    <w:rsid w:val="00297D8D"/>
    <w:rsid w:val="00297DEE"/>
    <w:rsid w:val="00297E71"/>
    <w:rsid w:val="00297F9C"/>
    <w:rsid w:val="00297FC6"/>
    <w:rsid w:val="002A0078"/>
    <w:rsid w:val="002A030F"/>
    <w:rsid w:val="002A0314"/>
    <w:rsid w:val="002A039A"/>
    <w:rsid w:val="002A047A"/>
    <w:rsid w:val="002A0603"/>
    <w:rsid w:val="002A0620"/>
    <w:rsid w:val="002A06B5"/>
    <w:rsid w:val="002A06FA"/>
    <w:rsid w:val="002A0701"/>
    <w:rsid w:val="002A07BC"/>
    <w:rsid w:val="002A08F1"/>
    <w:rsid w:val="002A09A7"/>
    <w:rsid w:val="002A0BB2"/>
    <w:rsid w:val="002A0BFE"/>
    <w:rsid w:val="002A0BFF"/>
    <w:rsid w:val="002A0D0C"/>
    <w:rsid w:val="002A0D9E"/>
    <w:rsid w:val="002A0E6F"/>
    <w:rsid w:val="002A1112"/>
    <w:rsid w:val="002A1118"/>
    <w:rsid w:val="002A112C"/>
    <w:rsid w:val="002A1175"/>
    <w:rsid w:val="002A1228"/>
    <w:rsid w:val="002A166C"/>
    <w:rsid w:val="002A16F5"/>
    <w:rsid w:val="002A1938"/>
    <w:rsid w:val="002A202E"/>
    <w:rsid w:val="002A20ED"/>
    <w:rsid w:val="002A27EB"/>
    <w:rsid w:val="002A2803"/>
    <w:rsid w:val="002A2939"/>
    <w:rsid w:val="002A2A37"/>
    <w:rsid w:val="002A2AD0"/>
    <w:rsid w:val="002A2AF9"/>
    <w:rsid w:val="002A2FD5"/>
    <w:rsid w:val="002A3226"/>
    <w:rsid w:val="002A331B"/>
    <w:rsid w:val="002A33B1"/>
    <w:rsid w:val="002A367D"/>
    <w:rsid w:val="002A388C"/>
    <w:rsid w:val="002A397D"/>
    <w:rsid w:val="002A39EA"/>
    <w:rsid w:val="002A3A1A"/>
    <w:rsid w:val="002A3A7C"/>
    <w:rsid w:val="002A3A7E"/>
    <w:rsid w:val="002A3CEC"/>
    <w:rsid w:val="002A3CFA"/>
    <w:rsid w:val="002A4126"/>
    <w:rsid w:val="002A431D"/>
    <w:rsid w:val="002A4340"/>
    <w:rsid w:val="002A459B"/>
    <w:rsid w:val="002A45EF"/>
    <w:rsid w:val="002A47E5"/>
    <w:rsid w:val="002A4804"/>
    <w:rsid w:val="002A4CAF"/>
    <w:rsid w:val="002A4CBC"/>
    <w:rsid w:val="002A4F87"/>
    <w:rsid w:val="002A501F"/>
    <w:rsid w:val="002A523B"/>
    <w:rsid w:val="002A55DA"/>
    <w:rsid w:val="002A56F3"/>
    <w:rsid w:val="002A5A6E"/>
    <w:rsid w:val="002A5B2E"/>
    <w:rsid w:val="002A5C28"/>
    <w:rsid w:val="002A5CEE"/>
    <w:rsid w:val="002A6139"/>
    <w:rsid w:val="002A62FE"/>
    <w:rsid w:val="002A63CA"/>
    <w:rsid w:val="002A64A1"/>
    <w:rsid w:val="002A6657"/>
    <w:rsid w:val="002A67B6"/>
    <w:rsid w:val="002A6A01"/>
    <w:rsid w:val="002A6B48"/>
    <w:rsid w:val="002A6BBC"/>
    <w:rsid w:val="002A6C4F"/>
    <w:rsid w:val="002A6D28"/>
    <w:rsid w:val="002A6F29"/>
    <w:rsid w:val="002A7275"/>
    <w:rsid w:val="002A75F0"/>
    <w:rsid w:val="002A7648"/>
    <w:rsid w:val="002A7ACE"/>
    <w:rsid w:val="002A7AE8"/>
    <w:rsid w:val="002A7B9E"/>
    <w:rsid w:val="002A7BB8"/>
    <w:rsid w:val="002B001C"/>
    <w:rsid w:val="002B0216"/>
    <w:rsid w:val="002B0435"/>
    <w:rsid w:val="002B05DF"/>
    <w:rsid w:val="002B08E7"/>
    <w:rsid w:val="002B08F4"/>
    <w:rsid w:val="002B0926"/>
    <w:rsid w:val="002B0B8E"/>
    <w:rsid w:val="002B0CE5"/>
    <w:rsid w:val="002B0EC5"/>
    <w:rsid w:val="002B1467"/>
    <w:rsid w:val="002B14CF"/>
    <w:rsid w:val="002B15A2"/>
    <w:rsid w:val="002B15AA"/>
    <w:rsid w:val="002B1770"/>
    <w:rsid w:val="002B1B71"/>
    <w:rsid w:val="002B1BBF"/>
    <w:rsid w:val="002B1EA0"/>
    <w:rsid w:val="002B1FA6"/>
    <w:rsid w:val="002B209A"/>
    <w:rsid w:val="002B2168"/>
    <w:rsid w:val="002B22D3"/>
    <w:rsid w:val="002B235E"/>
    <w:rsid w:val="002B24BE"/>
    <w:rsid w:val="002B2529"/>
    <w:rsid w:val="002B277D"/>
    <w:rsid w:val="002B28E7"/>
    <w:rsid w:val="002B2AB0"/>
    <w:rsid w:val="002B2AF0"/>
    <w:rsid w:val="002B2DA4"/>
    <w:rsid w:val="002B2DCE"/>
    <w:rsid w:val="002B2FCA"/>
    <w:rsid w:val="002B30AF"/>
    <w:rsid w:val="002B311C"/>
    <w:rsid w:val="002B312E"/>
    <w:rsid w:val="002B31B6"/>
    <w:rsid w:val="002B32D6"/>
    <w:rsid w:val="002B34A4"/>
    <w:rsid w:val="002B3739"/>
    <w:rsid w:val="002B378D"/>
    <w:rsid w:val="002B379F"/>
    <w:rsid w:val="002B38C6"/>
    <w:rsid w:val="002B3B56"/>
    <w:rsid w:val="002B3E7A"/>
    <w:rsid w:val="002B3EE6"/>
    <w:rsid w:val="002B3F32"/>
    <w:rsid w:val="002B4378"/>
    <w:rsid w:val="002B4394"/>
    <w:rsid w:val="002B43A5"/>
    <w:rsid w:val="002B43C2"/>
    <w:rsid w:val="002B44BC"/>
    <w:rsid w:val="002B457C"/>
    <w:rsid w:val="002B46C2"/>
    <w:rsid w:val="002B4D61"/>
    <w:rsid w:val="002B500D"/>
    <w:rsid w:val="002B5152"/>
    <w:rsid w:val="002B51EF"/>
    <w:rsid w:val="002B52AE"/>
    <w:rsid w:val="002B538F"/>
    <w:rsid w:val="002B560D"/>
    <w:rsid w:val="002B561E"/>
    <w:rsid w:val="002B5BFD"/>
    <w:rsid w:val="002B5CEF"/>
    <w:rsid w:val="002B601A"/>
    <w:rsid w:val="002B6044"/>
    <w:rsid w:val="002B61CB"/>
    <w:rsid w:val="002B644A"/>
    <w:rsid w:val="002B6515"/>
    <w:rsid w:val="002B6530"/>
    <w:rsid w:val="002B6531"/>
    <w:rsid w:val="002B65BA"/>
    <w:rsid w:val="002B66A5"/>
    <w:rsid w:val="002B67D1"/>
    <w:rsid w:val="002B7063"/>
    <w:rsid w:val="002B7217"/>
    <w:rsid w:val="002B72A2"/>
    <w:rsid w:val="002B7308"/>
    <w:rsid w:val="002B73B6"/>
    <w:rsid w:val="002B7693"/>
    <w:rsid w:val="002B7E17"/>
    <w:rsid w:val="002C00B2"/>
    <w:rsid w:val="002C0120"/>
    <w:rsid w:val="002C0164"/>
    <w:rsid w:val="002C0176"/>
    <w:rsid w:val="002C0346"/>
    <w:rsid w:val="002C0545"/>
    <w:rsid w:val="002C0691"/>
    <w:rsid w:val="002C06BF"/>
    <w:rsid w:val="002C084C"/>
    <w:rsid w:val="002C085F"/>
    <w:rsid w:val="002C0AC6"/>
    <w:rsid w:val="002C0BB3"/>
    <w:rsid w:val="002C0C30"/>
    <w:rsid w:val="002C0CDC"/>
    <w:rsid w:val="002C0D4B"/>
    <w:rsid w:val="002C0EBB"/>
    <w:rsid w:val="002C0F22"/>
    <w:rsid w:val="002C0F98"/>
    <w:rsid w:val="002C0FC5"/>
    <w:rsid w:val="002C11C2"/>
    <w:rsid w:val="002C11D5"/>
    <w:rsid w:val="002C144C"/>
    <w:rsid w:val="002C155C"/>
    <w:rsid w:val="002C19F9"/>
    <w:rsid w:val="002C1AF5"/>
    <w:rsid w:val="002C1CBB"/>
    <w:rsid w:val="002C1E67"/>
    <w:rsid w:val="002C222E"/>
    <w:rsid w:val="002C2234"/>
    <w:rsid w:val="002C24E6"/>
    <w:rsid w:val="002C25C6"/>
    <w:rsid w:val="002C29EF"/>
    <w:rsid w:val="002C2A48"/>
    <w:rsid w:val="002C3139"/>
    <w:rsid w:val="002C33BC"/>
    <w:rsid w:val="002C354B"/>
    <w:rsid w:val="002C357E"/>
    <w:rsid w:val="002C372D"/>
    <w:rsid w:val="002C3849"/>
    <w:rsid w:val="002C38F3"/>
    <w:rsid w:val="002C3A41"/>
    <w:rsid w:val="002C3AF7"/>
    <w:rsid w:val="002C3D4E"/>
    <w:rsid w:val="002C4053"/>
    <w:rsid w:val="002C4088"/>
    <w:rsid w:val="002C43A0"/>
    <w:rsid w:val="002C4851"/>
    <w:rsid w:val="002C4AAB"/>
    <w:rsid w:val="002C4B24"/>
    <w:rsid w:val="002C4E83"/>
    <w:rsid w:val="002C4F43"/>
    <w:rsid w:val="002C4F56"/>
    <w:rsid w:val="002C4F97"/>
    <w:rsid w:val="002C5013"/>
    <w:rsid w:val="002C5068"/>
    <w:rsid w:val="002C5073"/>
    <w:rsid w:val="002C50F6"/>
    <w:rsid w:val="002C5109"/>
    <w:rsid w:val="002C5505"/>
    <w:rsid w:val="002C563A"/>
    <w:rsid w:val="002C5640"/>
    <w:rsid w:val="002C57FC"/>
    <w:rsid w:val="002C597A"/>
    <w:rsid w:val="002C5A70"/>
    <w:rsid w:val="002C5AE1"/>
    <w:rsid w:val="002C5B77"/>
    <w:rsid w:val="002C60B2"/>
    <w:rsid w:val="002C61EF"/>
    <w:rsid w:val="002C6201"/>
    <w:rsid w:val="002C669B"/>
    <w:rsid w:val="002C6758"/>
    <w:rsid w:val="002C682D"/>
    <w:rsid w:val="002C6837"/>
    <w:rsid w:val="002C68B8"/>
    <w:rsid w:val="002C6A6B"/>
    <w:rsid w:val="002C6B63"/>
    <w:rsid w:val="002C6C8A"/>
    <w:rsid w:val="002C6D65"/>
    <w:rsid w:val="002C6FFA"/>
    <w:rsid w:val="002C70E8"/>
    <w:rsid w:val="002C7149"/>
    <w:rsid w:val="002C742C"/>
    <w:rsid w:val="002C76BD"/>
    <w:rsid w:val="002C7824"/>
    <w:rsid w:val="002C78FC"/>
    <w:rsid w:val="002C798F"/>
    <w:rsid w:val="002C7BB1"/>
    <w:rsid w:val="002D0144"/>
    <w:rsid w:val="002D018A"/>
    <w:rsid w:val="002D01CA"/>
    <w:rsid w:val="002D0209"/>
    <w:rsid w:val="002D0935"/>
    <w:rsid w:val="002D09C3"/>
    <w:rsid w:val="002D09D6"/>
    <w:rsid w:val="002D09DC"/>
    <w:rsid w:val="002D0C01"/>
    <w:rsid w:val="002D105F"/>
    <w:rsid w:val="002D1122"/>
    <w:rsid w:val="002D1331"/>
    <w:rsid w:val="002D1416"/>
    <w:rsid w:val="002D1528"/>
    <w:rsid w:val="002D15FE"/>
    <w:rsid w:val="002D1621"/>
    <w:rsid w:val="002D185F"/>
    <w:rsid w:val="002D1990"/>
    <w:rsid w:val="002D1A93"/>
    <w:rsid w:val="002D1B0E"/>
    <w:rsid w:val="002D1CA6"/>
    <w:rsid w:val="002D1CB5"/>
    <w:rsid w:val="002D1F13"/>
    <w:rsid w:val="002D1FE4"/>
    <w:rsid w:val="002D20BA"/>
    <w:rsid w:val="002D213D"/>
    <w:rsid w:val="002D2196"/>
    <w:rsid w:val="002D222F"/>
    <w:rsid w:val="002D286A"/>
    <w:rsid w:val="002D28B8"/>
    <w:rsid w:val="002D29C2"/>
    <w:rsid w:val="002D2D7F"/>
    <w:rsid w:val="002D2E0E"/>
    <w:rsid w:val="002D2F8D"/>
    <w:rsid w:val="002D3314"/>
    <w:rsid w:val="002D373B"/>
    <w:rsid w:val="002D382F"/>
    <w:rsid w:val="002D39E1"/>
    <w:rsid w:val="002D3B84"/>
    <w:rsid w:val="002D4023"/>
    <w:rsid w:val="002D41BD"/>
    <w:rsid w:val="002D4278"/>
    <w:rsid w:val="002D4390"/>
    <w:rsid w:val="002D4439"/>
    <w:rsid w:val="002D44FD"/>
    <w:rsid w:val="002D456D"/>
    <w:rsid w:val="002D458A"/>
    <w:rsid w:val="002D4609"/>
    <w:rsid w:val="002D498A"/>
    <w:rsid w:val="002D49A5"/>
    <w:rsid w:val="002D4B09"/>
    <w:rsid w:val="002D4B5A"/>
    <w:rsid w:val="002D4E8A"/>
    <w:rsid w:val="002D4EDB"/>
    <w:rsid w:val="002D4EDF"/>
    <w:rsid w:val="002D4F28"/>
    <w:rsid w:val="002D5204"/>
    <w:rsid w:val="002D54F1"/>
    <w:rsid w:val="002D5741"/>
    <w:rsid w:val="002D57E3"/>
    <w:rsid w:val="002D582A"/>
    <w:rsid w:val="002D583B"/>
    <w:rsid w:val="002D58EE"/>
    <w:rsid w:val="002D5C0F"/>
    <w:rsid w:val="002D5C6D"/>
    <w:rsid w:val="002D5DEB"/>
    <w:rsid w:val="002D5FDF"/>
    <w:rsid w:val="002D5FEC"/>
    <w:rsid w:val="002D6166"/>
    <w:rsid w:val="002D6292"/>
    <w:rsid w:val="002D633E"/>
    <w:rsid w:val="002D6554"/>
    <w:rsid w:val="002D65E2"/>
    <w:rsid w:val="002D6664"/>
    <w:rsid w:val="002D66BC"/>
    <w:rsid w:val="002D671D"/>
    <w:rsid w:val="002D687A"/>
    <w:rsid w:val="002D6906"/>
    <w:rsid w:val="002D6AE8"/>
    <w:rsid w:val="002D6C74"/>
    <w:rsid w:val="002D6D6C"/>
    <w:rsid w:val="002D6DC8"/>
    <w:rsid w:val="002D6E63"/>
    <w:rsid w:val="002D6FA5"/>
    <w:rsid w:val="002D6FD6"/>
    <w:rsid w:val="002D7221"/>
    <w:rsid w:val="002D723F"/>
    <w:rsid w:val="002D724D"/>
    <w:rsid w:val="002D73CD"/>
    <w:rsid w:val="002D7450"/>
    <w:rsid w:val="002D75F7"/>
    <w:rsid w:val="002D760B"/>
    <w:rsid w:val="002D7982"/>
    <w:rsid w:val="002D7A13"/>
    <w:rsid w:val="002D7B2F"/>
    <w:rsid w:val="002D7BA9"/>
    <w:rsid w:val="002D7D13"/>
    <w:rsid w:val="002D7D73"/>
    <w:rsid w:val="002D7E59"/>
    <w:rsid w:val="002D7E5B"/>
    <w:rsid w:val="002D7FAB"/>
    <w:rsid w:val="002E0104"/>
    <w:rsid w:val="002E02EA"/>
    <w:rsid w:val="002E05E6"/>
    <w:rsid w:val="002E0659"/>
    <w:rsid w:val="002E070A"/>
    <w:rsid w:val="002E0785"/>
    <w:rsid w:val="002E07B7"/>
    <w:rsid w:val="002E0C3F"/>
    <w:rsid w:val="002E0C63"/>
    <w:rsid w:val="002E0D36"/>
    <w:rsid w:val="002E0E92"/>
    <w:rsid w:val="002E0F7B"/>
    <w:rsid w:val="002E110B"/>
    <w:rsid w:val="002E153D"/>
    <w:rsid w:val="002E15DC"/>
    <w:rsid w:val="002E1729"/>
    <w:rsid w:val="002E172D"/>
    <w:rsid w:val="002E1933"/>
    <w:rsid w:val="002E1A6D"/>
    <w:rsid w:val="002E1D5D"/>
    <w:rsid w:val="002E1DC8"/>
    <w:rsid w:val="002E1EB8"/>
    <w:rsid w:val="002E1F16"/>
    <w:rsid w:val="002E1F17"/>
    <w:rsid w:val="002E21DE"/>
    <w:rsid w:val="002E293B"/>
    <w:rsid w:val="002E2946"/>
    <w:rsid w:val="002E296D"/>
    <w:rsid w:val="002E2A8F"/>
    <w:rsid w:val="002E2AA2"/>
    <w:rsid w:val="002E2B29"/>
    <w:rsid w:val="002E2CF5"/>
    <w:rsid w:val="002E2D59"/>
    <w:rsid w:val="002E3021"/>
    <w:rsid w:val="002E303E"/>
    <w:rsid w:val="002E319B"/>
    <w:rsid w:val="002E31A0"/>
    <w:rsid w:val="002E34E5"/>
    <w:rsid w:val="002E362C"/>
    <w:rsid w:val="002E3641"/>
    <w:rsid w:val="002E373D"/>
    <w:rsid w:val="002E37CB"/>
    <w:rsid w:val="002E398D"/>
    <w:rsid w:val="002E3CB7"/>
    <w:rsid w:val="002E3F55"/>
    <w:rsid w:val="002E3FEA"/>
    <w:rsid w:val="002E40A6"/>
    <w:rsid w:val="002E4215"/>
    <w:rsid w:val="002E4329"/>
    <w:rsid w:val="002E4339"/>
    <w:rsid w:val="002E467C"/>
    <w:rsid w:val="002E4768"/>
    <w:rsid w:val="002E4942"/>
    <w:rsid w:val="002E49DD"/>
    <w:rsid w:val="002E4C73"/>
    <w:rsid w:val="002E4E15"/>
    <w:rsid w:val="002E4EE9"/>
    <w:rsid w:val="002E4F3A"/>
    <w:rsid w:val="002E4FE4"/>
    <w:rsid w:val="002E5274"/>
    <w:rsid w:val="002E544A"/>
    <w:rsid w:val="002E5490"/>
    <w:rsid w:val="002E554E"/>
    <w:rsid w:val="002E56CA"/>
    <w:rsid w:val="002E5707"/>
    <w:rsid w:val="002E5720"/>
    <w:rsid w:val="002E5AFE"/>
    <w:rsid w:val="002E5B02"/>
    <w:rsid w:val="002E5B13"/>
    <w:rsid w:val="002E5B1A"/>
    <w:rsid w:val="002E5BD0"/>
    <w:rsid w:val="002E5C49"/>
    <w:rsid w:val="002E5E84"/>
    <w:rsid w:val="002E5E99"/>
    <w:rsid w:val="002E5F95"/>
    <w:rsid w:val="002E6144"/>
    <w:rsid w:val="002E622C"/>
    <w:rsid w:val="002E6279"/>
    <w:rsid w:val="002E62ED"/>
    <w:rsid w:val="002E634B"/>
    <w:rsid w:val="002E6360"/>
    <w:rsid w:val="002E64DC"/>
    <w:rsid w:val="002E6839"/>
    <w:rsid w:val="002E688F"/>
    <w:rsid w:val="002E6901"/>
    <w:rsid w:val="002E72F0"/>
    <w:rsid w:val="002E73F0"/>
    <w:rsid w:val="002E7415"/>
    <w:rsid w:val="002E743A"/>
    <w:rsid w:val="002E7689"/>
    <w:rsid w:val="002E771A"/>
    <w:rsid w:val="002E79D5"/>
    <w:rsid w:val="002E79FB"/>
    <w:rsid w:val="002E7A62"/>
    <w:rsid w:val="002E7AC0"/>
    <w:rsid w:val="002E7B90"/>
    <w:rsid w:val="002E7BB3"/>
    <w:rsid w:val="002E7C01"/>
    <w:rsid w:val="002E7F14"/>
    <w:rsid w:val="002E7F43"/>
    <w:rsid w:val="002E7F44"/>
    <w:rsid w:val="002E7FAE"/>
    <w:rsid w:val="002F0038"/>
    <w:rsid w:val="002F01C1"/>
    <w:rsid w:val="002F029A"/>
    <w:rsid w:val="002F02D6"/>
    <w:rsid w:val="002F05F6"/>
    <w:rsid w:val="002F0608"/>
    <w:rsid w:val="002F0891"/>
    <w:rsid w:val="002F08FB"/>
    <w:rsid w:val="002F09FE"/>
    <w:rsid w:val="002F0A49"/>
    <w:rsid w:val="002F0A66"/>
    <w:rsid w:val="002F0CD4"/>
    <w:rsid w:val="002F0DC9"/>
    <w:rsid w:val="002F0E59"/>
    <w:rsid w:val="002F0F8E"/>
    <w:rsid w:val="002F1039"/>
    <w:rsid w:val="002F119F"/>
    <w:rsid w:val="002F11DE"/>
    <w:rsid w:val="002F1351"/>
    <w:rsid w:val="002F1810"/>
    <w:rsid w:val="002F1CC5"/>
    <w:rsid w:val="002F1E3D"/>
    <w:rsid w:val="002F2254"/>
    <w:rsid w:val="002F2349"/>
    <w:rsid w:val="002F2444"/>
    <w:rsid w:val="002F2464"/>
    <w:rsid w:val="002F2527"/>
    <w:rsid w:val="002F25AF"/>
    <w:rsid w:val="002F2742"/>
    <w:rsid w:val="002F2754"/>
    <w:rsid w:val="002F27A8"/>
    <w:rsid w:val="002F2954"/>
    <w:rsid w:val="002F2B42"/>
    <w:rsid w:val="002F2C6F"/>
    <w:rsid w:val="002F2DB4"/>
    <w:rsid w:val="002F2E15"/>
    <w:rsid w:val="002F3141"/>
    <w:rsid w:val="002F3185"/>
    <w:rsid w:val="002F31F8"/>
    <w:rsid w:val="002F33DC"/>
    <w:rsid w:val="002F3420"/>
    <w:rsid w:val="002F34C7"/>
    <w:rsid w:val="002F34E1"/>
    <w:rsid w:val="002F35F1"/>
    <w:rsid w:val="002F3637"/>
    <w:rsid w:val="002F38D7"/>
    <w:rsid w:val="002F399F"/>
    <w:rsid w:val="002F3A6F"/>
    <w:rsid w:val="002F3C2C"/>
    <w:rsid w:val="002F3C32"/>
    <w:rsid w:val="002F3FAB"/>
    <w:rsid w:val="002F4157"/>
    <w:rsid w:val="002F4290"/>
    <w:rsid w:val="002F439F"/>
    <w:rsid w:val="002F44A5"/>
    <w:rsid w:val="002F47B2"/>
    <w:rsid w:val="002F48BA"/>
    <w:rsid w:val="002F4D82"/>
    <w:rsid w:val="002F4E9F"/>
    <w:rsid w:val="002F507D"/>
    <w:rsid w:val="002F5198"/>
    <w:rsid w:val="002F52F0"/>
    <w:rsid w:val="002F548C"/>
    <w:rsid w:val="002F5532"/>
    <w:rsid w:val="002F58CA"/>
    <w:rsid w:val="002F5975"/>
    <w:rsid w:val="002F59AE"/>
    <w:rsid w:val="002F59B5"/>
    <w:rsid w:val="002F5A82"/>
    <w:rsid w:val="002F5E7F"/>
    <w:rsid w:val="002F6233"/>
    <w:rsid w:val="002F6531"/>
    <w:rsid w:val="002F66D7"/>
    <w:rsid w:val="002F67A2"/>
    <w:rsid w:val="002F6906"/>
    <w:rsid w:val="002F694F"/>
    <w:rsid w:val="002F6D80"/>
    <w:rsid w:val="002F73C6"/>
    <w:rsid w:val="002F7652"/>
    <w:rsid w:val="002F7712"/>
    <w:rsid w:val="002F7804"/>
    <w:rsid w:val="002F782F"/>
    <w:rsid w:val="002F786A"/>
    <w:rsid w:val="002F7935"/>
    <w:rsid w:val="002F7A59"/>
    <w:rsid w:val="002F7CC3"/>
    <w:rsid w:val="002F7F41"/>
    <w:rsid w:val="00300294"/>
    <w:rsid w:val="003003EC"/>
    <w:rsid w:val="00300596"/>
    <w:rsid w:val="0030062C"/>
    <w:rsid w:val="0030073F"/>
    <w:rsid w:val="00300780"/>
    <w:rsid w:val="003007D8"/>
    <w:rsid w:val="00300EFE"/>
    <w:rsid w:val="0030129A"/>
    <w:rsid w:val="00301383"/>
    <w:rsid w:val="003013E9"/>
    <w:rsid w:val="003014B4"/>
    <w:rsid w:val="003016CD"/>
    <w:rsid w:val="003016E0"/>
    <w:rsid w:val="00301777"/>
    <w:rsid w:val="00301916"/>
    <w:rsid w:val="00301D85"/>
    <w:rsid w:val="00301DD1"/>
    <w:rsid w:val="00301EBC"/>
    <w:rsid w:val="00301F47"/>
    <w:rsid w:val="0030225C"/>
    <w:rsid w:val="003022FE"/>
    <w:rsid w:val="003023DE"/>
    <w:rsid w:val="003024B1"/>
    <w:rsid w:val="003024E1"/>
    <w:rsid w:val="0030264E"/>
    <w:rsid w:val="003026EC"/>
    <w:rsid w:val="003028AA"/>
    <w:rsid w:val="00302901"/>
    <w:rsid w:val="003029B2"/>
    <w:rsid w:val="00302A19"/>
    <w:rsid w:val="00302ABF"/>
    <w:rsid w:val="00302B8B"/>
    <w:rsid w:val="00302D87"/>
    <w:rsid w:val="00302F5F"/>
    <w:rsid w:val="00303068"/>
    <w:rsid w:val="003030BD"/>
    <w:rsid w:val="00303320"/>
    <w:rsid w:val="00303396"/>
    <w:rsid w:val="003033F5"/>
    <w:rsid w:val="003034A8"/>
    <w:rsid w:val="00303A0B"/>
    <w:rsid w:val="00303A3F"/>
    <w:rsid w:val="00303AA0"/>
    <w:rsid w:val="00303D02"/>
    <w:rsid w:val="00303F6C"/>
    <w:rsid w:val="003042A3"/>
    <w:rsid w:val="0030435F"/>
    <w:rsid w:val="003043FB"/>
    <w:rsid w:val="003044D6"/>
    <w:rsid w:val="00304613"/>
    <w:rsid w:val="00304A6B"/>
    <w:rsid w:val="00304B30"/>
    <w:rsid w:val="00304C5A"/>
    <w:rsid w:val="00304C6D"/>
    <w:rsid w:val="00304CD6"/>
    <w:rsid w:val="00304DA1"/>
    <w:rsid w:val="00304E89"/>
    <w:rsid w:val="00304F1F"/>
    <w:rsid w:val="00304F66"/>
    <w:rsid w:val="00305259"/>
    <w:rsid w:val="003052DE"/>
    <w:rsid w:val="00305355"/>
    <w:rsid w:val="00305452"/>
    <w:rsid w:val="003054A9"/>
    <w:rsid w:val="003054CC"/>
    <w:rsid w:val="00305683"/>
    <w:rsid w:val="00305698"/>
    <w:rsid w:val="00305751"/>
    <w:rsid w:val="00305A2A"/>
    <w:rsid w:val="00305B4D"/>
    <w:rsid w:val="00305BE7"/>
    <w:rsid w:val="00305E80"/>
    <w:rsid w:val="00306200"/>
    <w:rsid w:val="0030659A"/>
    <w:rsid w:val="00306686"/>
    <w:rsid w:val="003067C9"/>
    <w:rsid w:val="00306828"/>
    <w:rsid w:val="0030692F"/>
    <w:rsid w:val="0030694E"/>
    <w:rsid w:val="00306BAE"/>
    <w:rsid w:val="00306C68"/>
    <w:rsid w:val="00306D07"/>
    <w:rsid w:val="00306FE4"/>
    <w:rsid w:val="00307266"/>
    <w:rsid w:val="0030736C"/>
    <w:rsid w:val="0030740D"/>
    <w:rsid w:val="00307506"/>
    <w:rsid w:val="00307939"/>
    <w:rsid w:val="00307980"/>
    <w:rsid w:val="00307A3E"/>
    <w:rsid w:val="00307F27"/>
    <w:rsid w:val="00310017"/>
    <w:rsid w:val="00310039"/>
    <w:rsid w:val="003101A4"/>
    <w:rsid w:val="00310245"/>
    <w:rsid w:val="003102FE"/>
    <w:rsid w:val="0031030C"/>
    <w:rsid w:val="00310366"/>
    <w:rsid w:val="0031043A"/>
    <w:rsid w:val="003105CF"/>
    <w:rsid w:val="003105FB"/>
    <w:rsid w:val="00310619"/>
    <w:rsid w:val="00310C62"/>
    <w:rsid w:val="00310D0C"/>
    <w:rsid w:val="00310D87"/>
    <w:rsid w:val="00310E9D"/>
    <w:rsid w:val="0031111E"/>
    <w:rsid w:val="0031146E"/>
    <w:rsid w:val="0031147C"/>
    <w:rsid w:val="00311561"/>
    <w:rsid w:val="003117FD"/>
    <w:rsid w:val="00311937"/>
    <w:rsid w:val="00311E11"/>
    <w:rsid w:val="00311E75"/>
    <w:rsid w:val="00312131"/>
    <w:rsid w:val="00312133"/>
    <w:rsid w:val="003121A5"/>
    <w:rsid w:val="003123D1"/>
    <w:rsid w:val="00312508"/>
    <w:rsid w:val="00312698"/>
    <w:rsid w:val="0031276F"/>
    <w:rsid w:val="00312790"/>
    <w:rsid w:val="003129D8"/>
    <w:rsid w:val="00312E21"/>
    <w:rsid w:val="0031308E"/>
    <w:rsid w:val="00313438"/>
    <w:rsid w:val="003134FF"/>
    <w:rsid w:val="00313512"/>
    <w:rsid w:val="00313611"/>
    <w:rsid w:val="0031361C"/>
    <w:rsid w:val="00313EBC"/>
    <w:rsid w:val="00313FF1"/>
    <w:rsid w:val="0031405D"/>
    <w:rsid w:val="00314107"/>
    <w:rsid w:val="00314818"/>
    <w:rsid w:val="00314E1D"/>
    <w:rsid w:val="00314FAF"/>
    <w:rsid w:val="003151BA"/>
    <w:rsid w:val="003151F1"/>
    <w:rsid w:val="0031530F"/>
    <w:rsid w:val="00315351"/>
    <w:rsid w:val="003156A5"/>
    <w:rsid w:val="003157A7"/>
    <w:rsid w:val="00315A65"/>
    <w:rsid w:val="00315A8D"/>
    <w:rsid w:val="00315C21"/>
    <w:rsid w:val="00315D19"/>
    <w:rsid w:val="00315F5F"/>
    <w:rsid w:val="00315F6B"/>
    <w:rsid w:val="003161C6"/>
    <w:rsid w:val="0031648E"/>
    <w:rsid w:val="003164B5"/>
    <w:rsid w:val="0031664E"/>
    <w:rsid w:val="00316BE7"/>
    <w:rsid w:val="00316CA6"/>
    <w:rsid w:val="00316DC2"/>
    <w:rsid w:val="00316E72"/>
    <w:rsid w:val="0031703A"/>
    <w:rsid w:val="0031712F"/>
    <w:rsid w:val="0031713D"/>
    <w:rsid w:val="003171C5"/>
    <w:rsid w:val="00317217"/>
    <w:rsid w:val="003172F8"/>
    <w:rsid w:val="0031745D"/>
    <w:rsid w:val="003175FC"/>
    <w:rsid w:val="00317620"/>
    <w:rsid w:val="0031782F"/>
    <w:rsid w:val="00317852"/>
    <w:rsid w:val="003178E2"/>
    <w:rsid w:val="00317AB1"/>
    <w:rsid w:val="00317BB8"/>
    <w:rsid w:val="00317C1A"/>
    <w:rsid w:val="00317C35"/>
    <w:rsid w:val="00317C40"/>
    <w:rsid w:val="0032002F"/>
    <w:rsid w:val="003200A4"/>
    <w:rsid w:val="003200DD"/>
    <w:rsid w:val="0032047A"/>
    <w:rsid w:val="0032057A"/>
    <w:rsid w:val="003206D6"/>
    <w:rsid w:val="00320760"/>
    <w:rsid w:val="003209B4"/>
    <w:rsid w:val="00320BF6"/>
    <w:rsid w:val="0032135B"/>
    <w:rsid w:val="0032166D"/>
    <w:rsid w:val="00321A2F"/>
    <w:rsid w:val="00321B31"/>
    <w:rsid w:val="00321B41"/>
    <w:rsid w:val="00321D91"/>
    <w:rsid w:val="003220F2"/>
    <w:rsid w:val="003224C5"/>
    <w:rsid w:val="003224CB"/>
    <w:rsid w:val="00322546"/>
    <w:rsid w:val="003225D2"/>
    <w:rsid w:val="0032267C"/>
    <w:rsid w:val="00322761"/>
    <w:rsid w:val="00322A14"/>
    <w:rsid w:val="00322A31"/>
    <w:rsid w:val="00322A96"/>
    <w:rsid w:val="00322E07"/>
    <w:rsid w:val="00323055"/>
    <w:rsid w:val="003232EF"/>
    <w:rsid w:val="00323371"/>
    <w:rsid w:val="003233F9"/>
    <w:rsid w:val="00323415"/>
    <w:rsid w:val="00323683"/>
    <w:rsid w:val="003236AE"/>
    <w:rsid w:val="00323886"/>
    <w:rsid w:val="00323A7E"/>
    <w:rsid w:val="00323D32"/>
    <w:rsid w:val="00323D4A"/>
    <w:rsid w:val="00323DAE"/>
    <w:rsid w:val="0032401E"/>
    <w:rsid w:val="003243A3"/>
    <w:rsid w:val="003245E0"/>
    <w:rsid w:val="00324747"/>
    <w:rsid w:val="003247F0"/>
    <w:rsid w:val="003248A2"/>
    <w:rsid w:val="00324BCC"/>
    <w:rsid w:val="00324C88"/>
    <w:rsid w:val="00324D56"/>
    <w:rsid w:val="00324EF8"/>
    <w:rsid w:val="00324F7E"/>
    <w:rsid w:val="00325525"/>
    <w:rsid w:val="0032564B"/>
    <w:rsid w:val="0032586A"/>
    <w:rsid w:val="00325A57"/>
    <w:rsid w:val="00325BD9"/>
    <w:rsid w:val="00325D8E"/>
    <w:rsid w:val="00325FE2"/>
    <w:rsid w:val="0032612F"/>
    <w:rsid w:val="00326188"/>
    <w:rsid w:val="00326359"/>
    <w:rsid w:val="00326389"/>
    <w:rsid w:val="003264C1"/>
    <w:rsid w:val="003266A6"/>
    <w:rsid w:val="003266D1"/>
    <w:rsid w:val="00326D50"/>
    <w:rsid w:val="00327032"/>
    <w:rsid w:val="00327068"/>
    <w:rsid w:val="0032731D"/>
    <w:rsid w:val="00327340"/>
    <w:rsid w:val="00327397"/>
    <w:rsid w:val="00327645"/>
    <w:rsid w:val="00327996"/>
    <w:rsid w:val="00327ADB"/>
    <w:rsid w:val="00327BC0"/>
    <w:rsid w:val="00327BE1"/>
    <w:rsid w:val="00327C47"/>
    <w:rsid w:val="00327C74"/>
    <w:rsid w:val="00327D95"/>
    <w:rsid w:val="00330134"/>
    <w:rsid w:val="0033022A"/>
    <w:rsid w:val="003302D2"/>
    <w:rsid w:val="0033032A"/>
    <w:rsid w:val="003304AE"/>
    <w:rsid w:val="003305B5"/>
    <w:rsid w:val="00330BE2"/>
    <w:rsid w:val="00330C17"/>
    <w:rsid w:val="003313E0"/>
    <w:rsid w:val="003313E5"/>
    <w:rsid w:val="00331534"/>
    <w:rsid w:val="00331769"/>
    <w:rsid w:val="00331E8B"/>
    <w:rsid w:val="00332186"/>
    <w:rsid w:val="0033225D"/>
    <w:rsid w:val="003322BD"/>
    <w:rsid w:val="00332371"/>
    <w:rsid w:val="0033240A"/>
    <w:rsid w:val="0033248C"/>
    <w:rsid w:val="003324A7"/>
    <w:rsid w:val="00332B05"/>
    <w:rsid w:val="00332BCD"/>
    <w:rsid w:val="0033344A"/>
    <w:rsid w:val="0033353D"/>
    <w:rsid w:val="00333644"/>
    <w:rsid w:val="0033368B"/>
    <w:rsid w:val="00333A9F"/>
    <w:rsid w:val="00333AB3"/>
    <w:rsid w:val="00333B0A"/>
    <w:rsid w:val="00333D3D"/>
    <w:rsid w:val="00333E14"/>
    <w:rsid w:val="00333E73"/>
    <w:rsid w:val="00333F29"/>
    <w:rsid w:val="00334007"/>
    <w:rsid w:val="00334137"/>
    <w:rsid w:val="00334568"/>
    <w:rsid w:val="0033477D"/>
    <w:rsid w:val="00334782"/>
    <w:rsid w:val="003348A4"/>
    <w:rsid w:val="00334A00"/>
    <w:rsid w:val="00334A5B"/>
    <w:rsid w:val="00334CED"/>
    <w:rsid w:val="00334DB9"/>
    <w:rsid w:val="00334F1D"/>
    <w:rsid w:val="00334F62"/>
    <w:rsid w:val="0033508C"/>
    <w:rsid w:val="003351D8"/>
    <w:rsid w:val="00335383"/>
    <w:rsid w:val="003353C8"/>
    <w:rsid w:val="003353C9"/>
    <w:rsid w:val="003354BB"/>
    <w:rsid w:val="003357A5"/>
    <w:rsid w:val="003357FE"/>
    <w:rsid w:val="0033585E"/>
    <w:rsid w:val="00335A3C"/>
    <w:rsid w:val="00335CFE"/>
    <w:rsid w:val="00335D4C"/>
    <w:rsid w:val="00335F17"/>
    <w:rsid w:val="00336043"/>
    <w:rsid w:val="00336451"/>
    <w:rsid w:val="003368B2"/>
    <w:rsid w:val="003368B4"/>
    <w:rsid w:val="00336C4F"/>
    <w:rsid w:val="00336D28"/>
    <w:rsid w:val="003371B9"/>
    <w:rsid w:val="003372F0"/>
    <w:rsid w:val="003374E3"/>
    <w:rsid w:val="00337538"/>
    <w:rsid w:val="003376F3"/>
    <w:rsid w:val="00337791"/>
    <w:rsid w:val="0033786C"/>
    <w:rsid w:val="00337C47"/>
    <w:rsid w:val="00337D53"/>
    <w:rsid w:val="00337D8A"/>
    <w:rsid w:val="00337EAD"/>
    <w:rsid w:val="00340009"/>
    <w:rsid w:val="003403EE"/>
    <w:rsid w:val="0034065C"/>
    <w:rsid w:val="00340775"/>
    <w:rsid w:val="0034079B"/>
    <w:rsid w:val="00340898"/>
    <w:rsid w:val="003408EE"/>
    <w:rsid w:val="00340A14"/>
    <w:rsid w:val="00340A26"/>
    <w:rsid w:val="00340A4B"/>
    <w:rsid w:val="00340AAF"/>
    <w:rsid w:val="00340E64"/>
    <w:rsid w:val="00340E84"/>
    <w:rsid w:val="00340EB5"/>
    <w:rsid w:val="00340EC9"/>
    <w:rsid w:val="00340F24"/>
    <w:rsid w:val="003410BD"/>
    <w:rsid w:val="00341313"/>
    <w:rsid w:val="003413E0"/>
    <w:rsid w:val="00341533"/>
    <w:rsid w:val="003417BD"/>
    <w:rsid w:val="00341867"/>
    <w:rsid w:val="00341963"/>
    <w:rsid w:val="00341BEE"/>
    <w:rsid w:val="00341E70"/>
    <w:rsid w:val="00342018"/>
    <w:rsid w:val="003420F4"/>
    <w:rsid w:val="003421DF"/>
    <w:rsid w:val="003422A3"/>
    <w:rsid w:val="0034239D"/>
    <w:rsid w:val="003423AC"/>
    <w:rsid w:val="00342404"/>
    <w:rsid w:val="00342642"/>
    <w:rsid w:val="00342673"/>
    <w:rsid w:val="00342AD5"/>
    <w:rsid w:val="00342C48"/>
    <w:rsid w:val="00342CBB"/>
    <w:rsid w:val="00342EB4"/>
    <w:rsid w:val="00342F45"/>
    <w:rsid w:val="00342FB9"/>
    <w:rsid w:val="00343046"/>
    <w:rsid w:val="00343186"/>
    <w:rsid w:val="003432F1"/>
    <w:rsid w:val="0034335C"/>
    <w:rsid w:val="00343439"/>
    <w:rsid w:val="0034353E"/>
    <w:rsid w:val="0034360B"/>
    <w:rsid w:val="00343646"/>
    <w:rsid w:val="003436BA"/>
    <w:rsid w:val="00343A93"/>
    <w:rsid w:val="00343B37"/>
    <w:rsid w:val="00343D1B"/>
    <w:rsid w:val="00343E0E"/>
    <w:rsid w:val="0034403E"/>
    <w:rsid w:val="0034423A"/>
    <w:rsid w:val="00344440"/>
    <w:rsid w:val="0034463A"/>
    <w:rsid w:val="003448BD"/>
    <w:rsid w:val="00344922"/>
    <w:rsid w:val="003449B5"/>
    <w:rsid w:val="00344BB5"/>
    <w:rsid w:val="00344FBF"/>
    <w:rsid w:val="00344FC5"/>
    <w:rsid w:val="00345031"/>
    <w:rsid w:val="00345182"/>
    <w:rsid w:val="00345278"/>
    <w:rsid w:val="0034545A"/>
    <w:rsid w:val="00345523"/>
    <w:rsid w:val="00345742"/>
    <w:rsid w:val="0034582C"/>
    <w:rsid w:val="00345875"/>
    <w:rsid w:val="0034597E"/>
    <w:rsid w:val="00345BE6"/>
    <w:rsid w:val="00345E0F"/>
    <w:rsid w:val="00345F19"/>
    <w:rsid w:val="0034601A"/>
    <w:rsid w:val="003461FD"/>
    <w:rsid w:val="003462B8"/>
    <w:rsid w:val="00346307"/>
    <w:rsid w:val="00346735"/>
    <w:rsid w:val="00346847"/>
    <w:rsid w:val="003468E2"/>
    <w:rsid w:val="00346922"/>
    <w:rsid w:val="00346A3C"/>
    <w:rsid w:val="00346AF9"/>
    <w:rsid w:val="00346B5B"/>
    <w:rsid w:val="00346CBD"/>
    <w:rsid w:val="00346E15"/>
    <w:rsid w:val="00346E28"/>
    <w:rsid w:val="00346E29"/>
    <w:rsid w:val="00346FEE"/>
    <w:rsid w:val="00347033"/>
    <w:rsid w:val="003472A9"/>
    <w:rsid w:val="0034750D"/>
    <w:rsid w:val="003476DC"/>
    <w:rsid w:val="00347C18"/>
    <w:rsid w:val="00347DA0"/>
    <w:rsid w:val="00347F52"/>
    <w:rsid w:val="003501E6"/>
    <w:rsid w:val="003505B9"/>
    <w:rsid w:val="003505F5"/>
    <w:rsid w:val="003507E6"/>
    <w:rsid w:val="003507F5"/>
    <w:rsid w:val="003508CD"/>
    <w:rsid w:val="00350937"/>
    <w:rsid w:val="00350A80"/>
    <w:rsid w:val="00350B46"/>
    <w:rsid w:val="00350EDD"/>
    <w:rsid w:val="00350F4E"/>
    <w:rsid w:val="00350F7A"/>
    <w:rsid w:val="003510B1"/>
    <w:rsid w:val="00351125"/>
    <w:rsid w:val="00351339"/>
    <w:rsid w:val="003513A0"/>
    <w:rsid w:val="0035143A"/>
    <w:rsid w:val="0035144E"/>
    <w:rsid w:val="003514C7"/>
    <w:rsid w:val="003517F1"/>
    <w:rsid w:val="003519CC"/>
    <w:rsid w:val="003519DC"/>
    <w:rsid w:val="00351A15"/>
    <w:rsid w:val="00351CE7"/>
    <w:rsid w:val="00351D0F"/>
    <w:rsid w:val="00351E8A"/>
    <w:rsid w:val="00351FB2"/>
    <w:rsid w:val="00352110"/>
    <w:rsid w:val="0035219D"/>
    <w:rsid w:val="00352335"/>
    <w:rsid w:val="00352545"/>
    <w:rsid w:val="003527C0"/>
    <w:rsid w:val="00352DA5"/>
    <w:rsid w:val="00352E77"/>
    <w:rsid w:val="00352E89"/>
    <w:rsid w:val="00352ED4"/>
    <w:rsid w:val="00352FE1"/>
    <w:rsid w:val="00353014"/>
    <w:rsid w:val="0035324E"/>
    <w:rsid w:val="003538AB"/>
    <w:rsid w:val="00354334"/>
    <w:rsid w:val="003547B7"/>
    <w:rsid w:val="0035480B"/>
    <w:rsid w:val="003548EF"/>
    <w:rsid w:val="00354A06"/>
    <w:rsid w:val="00354CF9"/>
    <w:rsid w:val="00354D3C"/>
    <w:rsid w:val="00354EAF"/>
    <w:rsid w:val="00354ED9"/>
    <w:rsid w:val="0035542A"/>
    <w:rsid w:val="003555D7"/>
    <w:rsid w:val="00355611"/>
    <w:rsid w:val="00355758"/>
    <w:rsid w:val="00355810"/>
    <w:rsid w:val="00355CAF"/>
    <w:rsid w:val="00355D50"/>
    <w:rsid w:val="00355DC5"/>
    <w:rsid w:val="00355EE7"/>
    <w:rsid w:val="00355F0A"/>
    <w:rsid w:val="00356081"/>
    <w:rsid w:val="003560F3"/>
    <w:rsid w:val="003566A8"/>
    <w:rsid w:val="003566B5"/>
    <w:rsid w:val="00356764"/>
    <w:rsid w:val="00356787"/>
    <w:rsid w:val="003567E6"/>
    <w:rsid w:val="00356839"/>
    <w:rsid w:val="00356CD0"/>
    <w:rsid w:val="00356EF0"/>
    <w:rsid w:val="00356FC0"/>
    <w:rsid w:val="00357168"/>
    <w:rsid w:val="003572BF"/>
    <w:rsid w:val="00357391"/>
    <w:rsid w:val="003573F8"/>
    <w:rsid w:val="003573FA"/>
    <w:rsid w:val="0035748A"/>
    <w:rsid w:val="003574C1"/>
    <w:rsid w:val="00357564"/>
    <w:rsid w:val="00357732"/>
    <w:rsid w:val="00357C62"/>
    <w:rsid w:val="00360078"/>
    <w:rsid w:val="003600BA"/>
    <w:rsid w:val="0036013F"/>
    <w:rsid w:val="0036021C"/>
    <w:rsid w:val="0036024B"/>
    <w:rsid w:val="0036049B"/>
    <w:rsid w:val="0036071C"/>
    <w:rsid w:val="003607FF"/>
    <w:rsid w:val="00360A37"/>
    <w:rsid w:val="00360D85"/>
    <w:rsid w:val="00360D87"/>
    <w:rsid w:val="00360DC2"/>
    <w:rsid w:val="00361064"/>
    <w:rsid w:val="003613F7"/>
    <w:rsid w:val="00361607"/>
    <w:rsid w:val="0036179B"/>
    <w:rsid w:val="00361946"/>
    <w:rsid w:val="00361B6F"/>
    <w:rsid w:val="00361BD3"/>
    <w:rsid w:val="00361C5E"/>
    <w:rsid w:val="00361C6D"/>
    <w:rsid w:val="00361C8A"/>
    <w:rsid w:val="00361E50"/>
    <w:rsid w:val="00361FDD"/>
    <w:rsid w:val="00362352"/>
    <w:rsid w:val="00362353"/>
    <w:rsid w:val="003623AB"/>
    <w:rsid w:val="003623C5"/>
    <w:rsid w:val="0036252E"/>
    <w:rsid w:val="003626C8"/>
    <w:rsid w:val="00362801"/>
    <w:rsid w:val="0036293B"/>
    <w:rsid w:val="003629E7"/>
    <w:rsid w:val="00362CE3"/>
    <w:rsid w:val="00363442"/>
    <w:rsid w:val="00363462"/>
    <w:rsid w:val="00363680"/>
    <w:rsid w:val="0036374C"/>
    <w:rsid w:val="003637B5"/>
    <w:rsid w:val="00363936"/>
    <w:rsid w:val="003639CA"/>
    <w:rsid w:val="00363A08"/>
    <w:rsid w:val="00363DC5"/>
    <w:rsid w:val="00363DDC"/>
    <w:rsid w:val="0036401A"/>
    <w:rsid w:val="00364068"/>
    <w:rsid w:val="003640A4"/>
    <w:rsid w:val="0036412A"/>
    <w:rsid w:val="00364185"/>
    <w:rsid w:val="00364306"/>
    <w:rsid w:val="0036445B"/>
    <w:rsid w:val="0036458D"/>
    <w:rsid w:val="00364824"/>
    <w:rsid w:val="00364D47"/>
    <w:rsid w:val="00364F26"/>
    <w:rsid w:val="00364F71"/>
    <w:rsid w:val="003650B9"/>
    <w:rsid w:val="0036535E"/>
    <w:rsid w:val="003653A7"/>
    <w:rsid w:val="00365714"/>
    <w:rsid w:val="00365835"/>
    <w:rsid w:val="00365841"/>
    <w:rsid w:val="00365BBE"/>
    <w:rsid w:val="00365D74"/>
    <w:rsid w:val="00365F92"/>
    <w:rsid w:val="00366446"/>
    <w:rsid w:val="003664D7"/>
    <w:rsid w:val="00366611"/>
    <w:rsid w:val="00366B63"/>
    <w:rsid w:val="00366B91"/>
    <w:rsid w:val="00366E55"/>
    <w:rsid w:val="00366F89"/>
    <w:rsid w:val="003673A8"/>
    <w:rsid w:val="00367464"/>
    <w:rsid w:val="003675BE"/>
    <w:rsid w:val="003678A3"/>
    <w:rsid w:val="003679FD"/>
    <w:rsid w:val="00367AA1"/>
    <w:rsid w:val="00367B66"/>
    <w:rsid w:val="00367C23"/>
    <w:rsid w:val="00367CAB"/>
    <w:rsid w:val="00367CC8"/>
    <w:rsid w:val="00367D1D"/>
    <w:rsid w:val="00367E2F"/>
    <w:rsid w:val="00367FC8"/>
    <w:rsid w:val="00370037"/>
    <w:rsid w:val="0037005F"/>
    <w:rsid w:val="0037014B"/>
    <w:rsid w:val="00370210"/>
    <w:rsid w:val="00370391"/>
    <w:rsid w:val="003703B8"/>
    <w:rsid w:val="0037055C"/>
    <w:rsid w:val="0037066C"/>
    <w:rsid w:val="003706DB"/>
    <w:rsid w:val="00370BF8"/>
    <w:rsid w:val="00370DAF"/>
    <w:rsid w:val="00370DFA"/>
    <w:rsid w:val="00370F90"/>
    <w:rsid w:val="00371356"/>
    <w:rsid w:val="00371609"/>
    <w:rsid w:val="00371702"/>
    <w:rsid w:val="00371766"/>
    <w:rsid w:val="003717A3"/>
    <w:rsid w:val="00371820"/>
    <w:rsid w:val="0037183F"/>
    <w:rsid w:val="0037197C"/>
    <w:rsid w:val="00371A09"/>
    <w:rsid w:val="00371A69"/>
    <w:rsid w:val="00371B9E"/>
    <w:rsid w:val="00371DC1"/>
    <w:rsid w:val="00371EC3"/>
    <w:rsid w:val="00372523"/>
    <w:rsid w:val="00372825"/>
    <w:rsid w:val="00372893"/>
    <w:rsid w:val="00372B82"/>
    <w:rsid w:val="00372C59"/>
    <w:rsid w:val="00372E82"/>
    <w:rsid w:val="003733DF"/>
    <w:rsid w:val="0037357C"/>
    <w:rsid w:val="00373A31"/>
    <w:rsid w:val="00373AD6"/>
    <w:rsid w:val="00373B2A"/>
    <w:rsid w:val="00373BB9"/>
    <w:rsid w:val="00373C1E"/>
    <w:rsid w:val="00373E85"/>
    <w:rsid w:val="0037413C"/>
    <w:rsid w:val="00374224"/>
    <w:rsid w:val="0037425F"/>
    <w:rsid w:val="003742B0"/>
    <w:rsid w:val="003745E3"/>
    <w:rsid w:val="003746F9"/>
    <w:rsid w:val="00374ABC"/>
    <w:rsid w:val="00374B5C"/>
    <w:rsid w:val="00374DF0"/>
    <w:rsid w:val="00374EEE"/>
    <w:rsid w:val="00374F54"/>
    <w:rsid w:val="0037512F"/>
    <w:rsid w:val="003751C8"/>
    <w:rsid w:val="003751CF"/>
    <w:rsid w:val="003751DF"/>
    <w:rsid w:val="003754DC"/>
    <w:rsid w:val="003755D7"/>
    <w:rsid w:val="00375605"/>
    <w:rsid w:val="003756EF"/>
    <w:rsid w:val="00375794"/>
    <w:rsid w:val="003757A1"/>
    <w:rsid w:val="00375E89"/>
    <w:rsid w:val="00375F8F"/>
    <w:rsid w:val="00376383"/>
    <w:rsid w:val="003763AA"/>
    <w:rsid w:val="00376557"/>
    <w:rsid w:val="00376578"/>
    <w:rsid w:val="00376685"/>
    <w:rsid w:val="00376828"/>
    <w:rsid w:val="003768D7"/>
    <w:rsid w:val="003769AA"/>
    <w:rsid w:val="00376AA0"/>
    <w:rsid w:val="00376CB1"/>
    <w:rsid w:val="00376D09"/>
    <w:rsid w:val="00376EF5"/>
    <w:rsid w:val="0037745D"/>
    <w:rsid w:val="00377523"/>
    <w:rsid w:val="003775E4"/>
    <w:rsid w:val="003777B3"/>
    <w:rsid w:val="003777D7"/>
    <w:rsid w:val="003777F3"/>
    <w:rsid w:val="00377BCE"/>
    <w:rsid w:val="00377D94"/>
    <w:rsid w:val="00377DF3"/>
    <w:rsid w:val="00377E18"/>
    <w:rsid w:val="00377EAD"/>
    <w:rsid w:val="00377EFE"/>
    <w:rsid w:val="00377FDB"/>
    <w:rsid w:val="0038021D"/>
    <w:rsid w:val="003803F4"/>
    <w:rsid w:val="00380523"/>
    <w:rsid w:val="00380972"/>
    <w:rsid w:val="00380995"/>
    <w:rsid w:val="00380A64"/>
    <w:rsid w:val="00380ADE"/>
    <w:rsid w:val="00380C59"/>
    <w:rsid w:val="00380FE3"/>
    <w:rsid w:val="00381195"/>
    <w:rsid w:val="003811FC"/>
    <w:rsid w:val="00381439"/>
    <w:rsid w:val="00381479"/>
    <w:rsid w:val="0038158C"/>
    <w:rsid w:val="00381810"/>
    <w:rsid w:val="00381B1C"/>
    <w:rsid w:val="00381D33"/>
    <w:rsid w:val="00382258"/>
    <w:rsid w:val="003823FB"/>
    <w:rsid w:val="0038246A"/>
    <w:rsid w:val="00382635"/>
    <w:rsid w:val="00382656"/>
    <w:rsid w:val="00382685"/>
    <w:rsid w:val="003829E9"/>
    <w:rsid w:val="00382B05"/>
    <w:rsid w:val="00382D4C"/>
    <w:rsid w:val="00382D6B"/>
    <w:rsid w:val="00382D81"/>
    <w:rsid w:val="00382E42"/>
    <w:rsid w:val="00382F06"/>
    <w:rsid w:val="003834DE"/>
    <w:rsid w:val="00383DF0"/>
    <w:rsid w:val="00383E48"/>
    <w:rsid w:val="00383E66"/>
    <w:rsid w:val="00383FE4"/>
    <w:rsid w:val="00383FFD"/>
    <w:rsid w:val="00384091"/>
    <w:rsid w:val="00384254"/>
    <w:rsid w:val="003842D0"/>
    <w:rsid w:val="003843BD"/>
    <w:rsid w:val="00384506"/>
    <w:rsid w:val="003845DB"/>
    <w:rsid w:val="003846C3"/>
    <w:rsid w:val="003846FA"/>
    <w:rsid w:val="0038481F"/>
    <w:rsid w:val="00384968"/>
    <w:rsid w:val="00384BEE"/>
    <w:rsid w:val="00384C7C"/>
    <w:rsid w:val="00384D8B"/>
    <w:rsid w:val="00384DBC"/>
    <w:rsid w:val="00384F47"/>
    <w:rsid w:val="0038501C"/>
    <w:rsid w:val="003853EB"/>
    <w:rsid w:val="0038557C"/>
    <w:rsid w:val="00385868"/>
    <w:rsid w:val="00385882"/>
    <w:rsid w:val="003859C3"/>
    <w:rsid w:val="003859DE"/>
    <w:rsid w:val="00385B53"/>
    <w:rsid w:val="00385B8A"/>
    <w:rsid w:val="00385C87"/>
    <w:rsid w:val="00385DDB"/>
    <w:rsid w:val="00385F7C"/>
    <w:rsid w:val="00385F85"/>
    <w:rsid w:val="00386383"/>
    <w:rsid w:val="0038639F"/>
    <w:rsid w:val="0038651F"/>
    <w:rsid w:val="00386537"/>
    <w:rsid w:val="00386B47"/>
    <w:rsid w:val="00386CB2"/>
    <w:rsid w:val="00386CB8"/>
    <w:rsid w:val="00386DA3"/>
    <w:rsid w:val="00386E50"/>
    <w:rsid w:val="00386E6C"/>
    <w:rsid w:val="00386EF3"/>
    <w:rsid w:val="00386EFE"/>
    <w:rsid w:val="0038707A"/>
    <w:rsid w:val="00387093"/>
    <w:rsid w:val="00387240"/>
    <w:rsid w:val="0038730C"/>
    <w:rsid w:val="003875D7"/>
    <w:rsid w:val="00387742"/>
    <w:rsid w:val="003877BA"/>
    <w:rsid w:val="00387982"/>
    <w:rsid w:val="003879CA"/>
    <w:rsid w:val="00387A6A"/>
    <w:rsid w:val="00387C31"/>
    <w:rsid w:val="00390344"/>
    <w:rsid w:val="00390439"/>
    <w:rsid w:val="003904A3"/>
    <w:rsid w:val="0039053E"/>
    <w:rsid w:val="003905C1"/>
    <w:rsid w:val="003905CD"/>
    <w:rsid w:val="00390890"/>
    <w:rsid w:val="00390A4E"/>
    <w:rsid w:val="00391071"/>
    <w:rsid w:val="003910B9"/>
    <w:rsid w:val="003910F0"/>
    <w:rsid w:val="00391129"/>
    <w:rsid w:val="003911E4"/>
    <w:rsid w:val="003911ED"/>
    <w:rsid w:val="00391375"/>
    <w:rsid w:val="00391389"/>
    <w:rsid w:val="003914AA"/>
    <w:rsid w:val="00391695"/>
    <w:rsid w:val="00391C48"/>
    <w:rsid w:val="00391CFB"/>
    <w:rsid w:val="00391F52"/>
    <w:rsid w:val="00391FA2"/>
    <w:rsid w:val="003924E5"/>
    <w:rsid w:val="00392556"/>
    <w:rsid w:val="00392924"/>
    <w:rsid w:val="00392B1C"/>
    <w:rsid w:val="00392C13"/>
    <w:rsid w:val="00392D08"/>
    <w:rsid w:val="00392EDB"/>
    <w:rsid w:val="00392F04"/>
    <w:rsid w:val="0039341E"/>
    <w:rsid w:val="003936A4"/>
    <w:rsid w:val="003937F3"/>
    <w:rsid w:val="003938D0"/>
    <w:rsid w:val="0039391C"/>
    <w:rsid w:val="00393AEB"/>
    <w:rsid w:val="00393B2C"/>
    <w:rsid w:val="00393C6A"/>
    <w:rsid w:val="0039438A"/>
    <w:rsid w:val="003945BA"/>
    <w:rsid w:val="0039463D"/>
    <w:rsid w:val="00394A43"/>
    <w:rsid w:val="00394CDA"/>
    <w:rsid w:val="00394D1C"/>
    <w:rsid w:val="00394D4E"/>
    <w:rsid w:val="00395025"/>
    <w:rsid w:val="003950EF"/>
    <w:rsid w:val="003951AB"/>
    <w:rsid w:val="00395935"/>
    <w:rsid w:val="00395C70"/>
    <w:rsid w:val="00395CB3"/>
    <w:rsid w:val="00395E29"/>
    <w:rsid w:val="0039610D"/>
    <w:rsid w:val="00396262"/>
    <w:rsid w:val="00396375"/>
    <w:rsid w:val="00396C4B"/>
    <w:rsid w:val="00396DA1"/>
    <w:rsid w:val="00396FD3"/>
    <w:rsid w:val="00397094"/>
    <w:rsid w:val="0039719C"/>
    <w:rsid w:val="00397230"/>
    <w:rsid w:val="00397477"/>
    <w:rsid w:val="00397588"/>
    <w:rsid w:val="00397632"/>
    <w:rsid w:val="003976C9"/>
    <w:rsid w:val="003977C0"/>
    <w:rsid w:val="00397AA9"/>
    <w:rsid w:val="00397B57"/>
    <w:rsid w:val="00397CB6"/>
    <w:rsid w:val="00397DCF"/>
    <w:rsid w:val="00397EED"/>
    <w:rsid w:val="00397F18"/>
    <w:rsid w:val="00397F2D"/>
    <w:rsid w:val="00397FFE"/>
    <w:rsid w:val="003A013C"/>
    <w:rsid w:val="003A0223"/>
    <w:rsid w:val="003A024F"/>
    <w:rsid w:val="003A0317"/>
    <w:rsid w:val="003A0507"/>
    <w:rsid w:val="003A0763"/>
    <w:rsid w:val="003A081F"/>
    <w:rsid w:val="003A08BA"/>
    <w:rsid w:val="003A0920"/>
    <w:rsid w:val="003A0A29"/>
    <w:rsid w:val="003A0B06"/>
    <w:rsid w:val="003A0B41"/>
    <w:rsid w:val="003A0C67"/>
    <w:rsid w:val="003A11B3"/>
    <w:rsid w:val="003A11F1"/>
    <w:rsid w:val="003A13D2"/>
    <w:rsid w:val="003A17F7"/>
    <w:rsid w:val="003A1954"/>
    <w:rsid w:val="003A1B88"/>
    <w:rsid w:val="003A1EAC"/>
    <w:rsid w:val="003A1F7A"/>
    <w:rsid w:val="003A2032"/>
    <w:rsid w:val="003A2048"/>
    <w:rsid w:val="003A2176"/>
    <w:rsid w:val="003A237D"/>
    <w:rsid w:val="003A2528"/>
    <w:rsid w:val="003A262A"/>
    <w:rsid w:val="003A29B9"/>
    <w:rsid w:val="003A2B2C"/>
    <w:rsid w:val="003A3068"/>
    <w:rsid w:val="003A3140"/>
    <w:rsid w:val="003A31F7"/>
    <w:rsid w:val="003A35CE"/>
    <w:rsid w:val="003A3644"/>
    <w:rsid w:val="003A37DD"/>
    <w:rsid w:val="003A39B7"/>
    <w:rsid w:val="003A3A7B"/>
    <w:rsid w:val="003A3DFF"/>
    <w:rsid w:val="003A3F98"/>
    <w:rsid w:val="003A416A"/>
    <w:rsid w:val="003A43E5"/>
    <w:rsid w:val="003A4E3F"/>
    <w:rsid w:val="003A4F3E"/>
    <w:rsid w:val="003A4FC5"/>
    <w:rsid w:val="003A4FEC"/>
    <w:rsid w:val="003A5294"/>
    <w:rsid w:val="003A5398"/>
    <w:rsid w:val="003A55C0"/>
    <w:rsid w:val="003A564C"/>
    <w:rsid w:val="003A591D"/>
    <w:rsid w:val="003A5A1A"/>
    <w:rsid w:val="003A5A30"/>
    <w:rsid w:val="003A6194"/>
    <w:rsid w:val="003A61F5"/>
    <w:rsid w:val="003A6544"/>
    <w:rsid w:val="003A667A"/>
    <w:rsid w:val="003A6761"/>
    <w:rsid w:val="003A6917"/>
    <w:rsid w:val="003A6946"/>
    <w:rsid w:val="003A69C1"/>
    <w:rsid w:val="003A6D79"/>
    <w:rsid w:val="003A6E76"/>
    <w:rsid w:val="003A6EBF"/>
    <w:rsid w:val="003A7049"/>
    <w:rsid w:val="003A7291"/>
    <w:rsid w:val="003A769E"/>
    <w:rsid w:val="003A76C5"/>
    <w:rsid w:val="003A7981"/>
    <w:rsid w:val="003A7ACB"/>
    <w:rsid w:val="003A7C0A"/>
    <w:rsid w:val="003A7C7B"/>
    <w:rsid w:val="003A7DD1"/>
    <w:rsid w:val="003A7E83"/>
    <w:rsid w:val="003B033E"/>
    <w:rsid w:val="003B0377"/>
    <w:rsid w:val="003B05A7"/>
    <w:rsid w:val="003B0CD6"/>
    <w:rsid w:val="003B0D33"/>
    <w:rsid w:val="003B0E1B"/>
    <w:rsid w:val="003B0E75"/>
    <w:rsid w:val="003B1101"/>
    <w:rsid w:val="003B1615"/>
    <w:rsid w:val="003B1642"/>
    <w:rsid w:val="003B1821"/>
    <w:rsid w:val="003B1EA8"/>
    <w:rsid w:val="003B2A99"/>
    <w:rsid w:val="003B2B60"/>
    <w:rsid w:val="003B2E02"/>
    <w:rsid w:val="003B3124"/>
    <w:rsid w:val="003B3247"/>
    <w:rsid w:val="003B324B"/>
    <w:rsid w:val="003B34CB"/>
    <w:rsid w:val="003B3580"/>
    <w:rsid w:val="003B39CC"/>
    <w:rsid w:val="003B3B19"/>
    <w:rsid w:val="003B3BB5"/>
    <w:rsid w:val="003B4026"/>
    <w:rsid w:val="003B40C9"/>
    <w:rsid w:val="003B41C3"/>
    <w:rsid w:val="003B4285"/>
    <w:rsid w:val="003B42B5"/>
    <w:rsid w:val="003B44EC"/>
    <w:rsid w:val="003B468A"/>
    <w:rsid w:val="003B47B4"/>
    <w:rsid w:val="003B49D9"/>
    <w:rsid w:val="003B4B47"/>
    <w:rsid w:val="003B4D82"/>
    <w:rsid w:val="003B4E17"/>
    <w:rsid w:val="003B51A6"/>
    <w:rsid w:val="003B54DD"/>
    <w:rsid w:val="003B5705"/>
    <w:rsid w:val="003B5712"/>
    <w:rsid w:val="003B590D"/>
    <w:rsid w:val="003B5B37"/>
    <w:rsid w:val="003B5C57"/>
    <w:rsid w:val="003B5CBC"/>
    <w:rsid w:val="003B5D54"/>
    <w:rsid w:val="003B5EA0"/>
    <w:rsid w:val="003B5F32"/>
    <w:rsid w:val="003B657D"/>
    <w:rsid w:val="003B65F1"/>
    <w:rsid w:val="003B68FC"/>
    <w:rsid w:val="003B6991"/>
    <w:rsid w:val="003B6B1C"/>
    <w:rsid w:val="003B6E7D"/>
    <w:rsid w:val="003B71C5"/>
    <w:rsid w:val="003B72F2"/>
    <w:rsid w:val="003B7464"/>
    <w:rsid w:val="003B7572"/>
    <w:rsid w:val="003B7C37"/>
    <w:rsid w:val="003B7C70"/>
    <w:rsid w:val="003B7D09"/>
    <w:rsid w:val="003B7F2E"/>
    <w:rsid w:val="003B7FC5"/>
    <w:rsid w:val="003C0032"/>
    <w:rsid w:val="003C0211"/>
    <w:rsid w:val="003C028B"/>
    <w:rsid w:val="003C02BD"/>
    <w:rsid w:val="003C02DF"/>
    <w:rsid w:val="003C02E9"/>
    <w:rsid w:val="003C041D"/>
    <w:rsid w:val="003C05C1"/>
    <w:rsid w:val="003C06AD"/>
    <w:rsid w:val="003C0721"/>
    <w:rsid w:val="003C084A"/>
    <w:rsid w:val="003C09ED"/>
    <w:rsid w:val="003C0DD5"/>
    <w:rsid w:val="003C0EA9"/>
    <w:rsid w:val="003C10C1"/>
    <w:rsid w:val="003C10FC"/>
    <w:rsid w:val="003C16D1"/>
    <w:rsid w:val="003C186D"/>
    <w:rsid w:val="003C187D"/>
    <w:rsid w:val="003C1A52"/>
    <w:rsid w:val="003C1FA7"/>
    <w:rsid w:val="003C204C"/>
    <w:rsid w:val="003C25EA"/>
    <w:rsid w:val="003C2755"/>
    <w:rsid w:val="003C2828"/>
    <w:rsid w:val="003C2893"/>
    <w:rsid w:val="003C2A2D"/>
    <w:rsid w:val="003C2A97"/>
    <w:rsid w:val="003C2D00"/>
    <w:rsid w:val="003C2D75"/>
    <w:rsid w:val="003C2D8D"/>
    <w:rsid w:val="003C2E43"/>
    <w:rsid w:val="003C2ED8"/>
    <w:rsid w:val="003C306C"/>
    <w:rsid w:val="003C3536"/>
    <w:rsid w:val="003C3988"/>
    <w:rsid w:val="003C3ADE"/>
    <w:rsid w:val="003C3C08"/>
    <w:rsid w:val="003C3D65"/>
    <w:rsid w:val="003C3D67"/>
    <w:rsid w:val="003C3F3E"/>
    <w:rsid w:val="003C417B"/>
    <w:rsid w:val="003C43F8"/>
    <w:rsid w:val="003C4422"/>
    <w:rsid w:val="003C4433"/>
    <w:rsid w:val="003C45E1"/>
    <w:rsid w:val="003C4761"/>
    <w:rsid w:val="003C4810"/>
    <w:rsid w:val="003C4894"/>
    <w:rsid w:val="003C4A0C"/>
    <w:rsid w:val="003C4A83"/>
    <w:rsid w:val="003C4C5C"/>
    <w:rsid w:val="003C4D56"/>
    <w:rsid w:val="003C4D8D"/>
    <w:rsid w:val="003C4EF6"/>
    <w:rsid w:val="003C4F2D"/>
    <w:rsid w:val="003C510C"/>
    <w:rsid w:val="003C55B3"/>
    <w:rsid w:val="003C55C2"/>
    <w:rsid w:val="003C5719"/>
    <w:rsid w:val="003C5DCD"/>
    <w:rsid w:val="003C60BF"/>
    <w:rsid w:val="003C62A0"/>
    <w:rsid w:val="003C62C0"/>
    <w:rsid w:val="003C62E5"/>
    <w:rsid w:val="003C634B"/>
    <w:rsid w:val="003C677C"/>
    <w:rsid w:val="003C68BD"/>
    <w:rsid w:val="003C6919"/>
    <w:rsid w:val="003C6968"/>
    <w:rsid w:val="003C69B1"/>
    <w:rsid w:val="003C6EF8"/>
    <w:rsid w:val="003C6F14"/>
    <w:rsid w:val="003C7065"/>
    <w:rsid w:val="003C717F"/>
    <w:rsid w:val="003C71E0"/>
    <w:rsid w:val="003C7204"/>
    <w:rsid w:val="003C7301"/>
    <w:rsid w:val="003C73F7"/>
    <w:rsid w:val="003C74B8"/>
    <w:rsid w:val="003C7784"/>
    <w:rsid w:val="003C77C5"/>
    <w:rsid w:val="003C78E5"/>
    <w:rsid w:val="003C7918"/>
    <w:rsid w:val="003C7D8D"/>
    <w:rsid w:val="003D023F"/>
    <w:rsid w:val="003D0364"/>
    <w:rsid w:val="003D03E2"/>
    <w:rsid w:val="003D062B"/>
    <w:rsid w:val="003D07E2"/>
    <w:rsid w:val="003D08DB"/>
    <w:rsid w:val="003D0A6C"/>
    <w:rsid w:val="003D0D6B"/>
    <w:rsid w:val="003D0DA8"/>
    <w:rsid w:val="003D0F09"/>
    <w:rsid w:val="003D102F"/>
    <w:rsid w:val="003D107D"/>
    <w:rsid w:val="003D124A"/>
    <w:rsid w:val="003D14CC"/>
    <w:rsid w:val="003D154F"/>
    <w:rsid w:val="003D1662"/>
    <w:rsid w:val="003D1851"/>
    <w:rsid w:val="003D1903"/>
    <w:rsid w:val="003D19EF"/>
    <w:rsid w:val="003D1A05"/>
    <w:rsid w:val="003D1AAA"/>
    <w:rsid w:val="003D1ABD"/>
    <w:rsid w:val="003D1B70"/>
    <w:rsid w:val="003D1DA0"/>
    <w:rsid w:val="003D1F66"/>
    <w:rsid w:val="003D1F94"/>
    <w:rsid w:val="003D21D7"/>
    <w:rsid w:val="003D21D8"/>
    <w:rsid w:val="003D22E7"/>
    <w:rsid w:val="003D250E"/>
    <w:rsid w:val="003D279D"/>
    <w:rsid w:val="003D2860"/>
    <w:rsid w:val="003D2F7C"/>
    <w:rsid w:val="003D301D"/>
    <w:rsid w:val="003D3070"/>
    <w:rsid w:val="003D3685"/>
    <w:rsid w:val="003D37D3"/>
    <w:rsid w:val="003D382F"/>
    <w:rsid w:val="003D38E7"/>
    <w:rsid w:val="003D3953"/>
    <w:rsid w:val="003D39B6"/>
    <w:rsid w:val="003D3DFB"/>
    <w:rsid w:val="003D3E31"/>
    <w:rsid w:val="003D3E74"/>
    <w:rsid w:val="003D40F0"/>
    <w:rsid w:val="003D4484"/>
    <w:rsid w:val="003D4530"/>
    <w:rsid w:val="003D45B3"/>
    <w:rsid w:val="003D468D"/>
    <w:rsid w:val="003D47F1"/>
    <w:rsid w:val="003D485F"/>
    <w:rsid w:val="003D49E6"/>
    <w:rsid w:val="003D4D89"/>
    <w:rsid w:val="003D5023"/>
    <w:rsid w:val="003D5038"/>
    <w:rsid w:val="003D5333"/>
    <w:rsid w:val="003D54F3"/>
    <w:rsid w:val="003D5632"/>
    <w:rsid w:val="003D5A3B"/>
    <w:rsid w:val="003D5B02"/>
    <w:rsid w:val="003D5B2B"/>
    <w:rsid w:val="003D5BD1"/>
    <w:rsid w:val="003D5DDB"/>
    <w:rsid w:val="003D60D6"/>
    <w:rsid w:val="003D62E8"/>
    <w:rsid w:val="003D63F5"/>
    <w:rsid w:val="003D6538"/>
    <w:rsid w:val="003D65C3"/>
    <w:rsid w:val="003D65C4"/>
    <w:rsid w:val="003D6661"/>
    <w:rsid w:val="003D6A79"/>
    <w:rsid w:val="003D6AD9"/>
    <w:rsid w:val="003D6B03"/>
    <w:rsid w:val="003D6BCF"/>
    <w:rsid w:val="003D6FD6"/>
    <w:rsid w:val="003D7087"/>
    <w:rsid w:val="003D72CC"/>
    <w:rsid w:val="003D72FC"/>
    <w:rsid w:val="003D72FE"/>
    <w:rsid w:val="003D73B2"/>
    <w:rsid w:val="003D7533"/>
    <w:rsid w:val="003D75F6"/>
    <w:rsid w:val="003D776B"/>
    <w:rsid w:val="003D77AE"/>
    <w:rsid w:val="003D78A6"/>
    <w:rsid w:val="003D7993"/>
    <w:rsid w:val="003D79E1"/>
    <w:rsid w:val="003D7A25"/>
    <w:rsid w:val="003D7D12"/>
    <w:rsid w:val="003D7ED7"/>
    <w:rsid w:val="003E0062"/>
    <w:rsid w:val="003E00F8"/>
    <w:rsid w:val="003E0149"/>
    <w:rsid w:val="003E036A"/>
    <w:rsid w:val="003E0750"/>
    <w:rsid w:val="003E07AC"/>
    <w:rsid w:val="003E07DC"/>
    <w:rsid w:val="003E0BBB"/>
    <w:rsid w:val="003E1307"/>
    <w:rsid w:val="003E140F"/>
    <w:rsid w:val="003E1526"/>
    <w:rsid w:val="003E15A3"/>
    <w:rsid w:val="003E17F9"/>
    <w:rsid w:val="003E17FD"/>
    <w:rsid w:val="003E1A4E"/>
    <w:rsid w:val="003E1BEA"/>
    <w:rsid w:val="003E1E77"/>
    <w:rsid w:val="003E1EF1"/>
    <w:rsid w:val="003E20F0"/>
    <w:rsid w:val="003E2221"/>
    <w:rsid w:val="003E23EC"/>
    <w:rsid w:val="003E2621"/>
    <w:rsid w:val="003E2643"/>
    <w:rsid w:val="003E27AB"/>
    <w:rsid w:val="003E27DF"/>
    <w:rsid w:val="003E2A8E"/>
    <w:rsid w:val="003E2CE7"/>
    <w:rsid w:val="003E2D63"/>
    <w:rsid w:val="003E2DFB"/>
    <w:rsid w:val="003E2ECA"/>
    <w:rsid w:val="003E2F35"/>
    <w:rsid w:val="003E2F55"/>
    <w:rsid w:val="003E2F91"/>
    <w:rsid w:val="003E306F"/>
    <w:rsid w:val="003E3792"/>
    <w:rsid w:val="003E3937"/>
    <w:rsid w:val="003E398E"/>
    <w:rsid w:val="003E3A11"/>
    <w:rsid w:val="003E3B27"/>
    <w:rsid w:val="003E3B39"/>
    <w:rsid w:val="003E3E4B"/>
    <w:rsid w:val="003E404B"/>
    <w:rsid w:val="003E4177"/>
    <w:rsid w:val="003E42D4"/>
    <w:rsid w:val="003E4417"/>
    <w:rsid w:val="003E45B2"/>
    <w:rsid w:val="003E4653"/>
    <w:rsid w:val="003E4695"/>
    <w:rsid w:val="003E4861"/>
    <w:rsid w:val="003E4CC0"/>
    <w:rsid w:val="003E4E88"/>
    <w:rsid w:val="003E4E8D"/>
    <w:rsid w:val="003E4F2E"/>
    <w:rsid w:val="003E5479"/>
    <w:rsid w:val="003E5498"/>
    <w:rsid w:val="003E58C2"/>
    <w:rsid w:val="003E59C8"/>
    <w:rsid w:val="003E5B79"/>
    <w:rsid w:val="003E5C0C"/>
    <w:rsid w:val="003E5C73"/>
    <w:rsid w:val="003E5D56"/>
    <w:rsid w:val="003E5DA9"/>
    <w:rsid w:val="003E5FAE"/>
    <w:rsid w:val="003E61CC"/>
    <w:rsid w:val="003E6336"/>
    <w:rsid w:val="003E65A9"/>
    <w:rsid w:val="003E66F0"/>
    <w:rsid w:val="003E6760"/>
    <w:rsid w:val="003E679F"/>
    <w:rsid w:val="003E69DE"/>
    <w:rsid w:val="003E6A17"/>
    <w:rsid w:val="003E6B90"/>
    <w:rsid w:val="003E6C59"/>
    <w:rsid w:val="003E6C61"/>
    <w:rsid w:val="003E6CCA"/>
    <w:rsid w:val="003E6D04"/>
    <w:rsid w:val="003E6DCA"/>
    <w:rsid w:val="003E6F54"/>
    <w:rsid w:val="003E6F8F"/>
    <w:rsid w:val="003E73B5"/>
    <w:rsid w:val="003E772D"/>
    <w:rsid w:val="003E7D13"/>
    <w:rsid w:val="003E7E86"/>
    <w:rsid w:val="003E7EAA"/>
    <w:rsid w:val="003E7FD0"/>
    <w:rsid w:val="003F0180"/>
    <w:rsid w:val="003F0554"/>
    <w:rsid w:val="003F0557"/>
    <w:rsid w:val="003F0738"/>
    <w:rsid w:val="003F0A9A"/>
    <w:rsid w:val="003F0B6B"/>
    <w:rsid w:val="003F0C6A"/>
    <w:rsid w:val="003F0C93"/>
    <w:rsid w:val="003F0E90"/>
    <w:rsid w:val="003F0F04"/>
    <w:rsid w:val="003F0FF8"/>
    <w:rsid w:val="003F129A"/>
    <w:rsid w:val="003F1359"/>
    <w:rsid w:val="003F135B"/>
    <w:rsid w:val="003F1391"/>
    <w:rsid w:val="003F139F"/>
    <w:rsid w:val="003F13CD"/>
    <w:rsid w:val="003F14A3"/>
    <w:rsid w:val="003F16C2"/>
    <w:rsid w:val="003F170A"/>
    <w:rsid w:val="003F1828"/>
    <w:rsid w:val="003F1915"/>
    <w:rsid w:val="003F1967"/>
    <w:rsid w:val="003F1A15"/>
    <w:rsid w:val="003F1ABD"/>
    <w:rsid w:val="003F1B3C"/>
    <w:rsid w:val="003F1BC8"/>
    <w:rsid w:val="003F1E9C"/>
    <w:rsid w:val="003F1EAB"/>
    <w:rsid w:val="003F1F78"/>
    <w:rsid w:val="003F210F"/>
    <w:rsid w:val="003F21C5"/>
    <w:rsid w:val="003F21D1"/>
    <w:rsid w:val="003F21FC"/>
    <w:rsid w:val="003F22C0"/>
    <w:rsid w:val="003F22F3"/>
    <w:rsid w:val="003F2350"/>
    <w:rsid w:val="003F24AD"/>
    <w:rsid w:val="003F2586"/>
    <w:rsid w:val="003F26B4"/>
    <w:rsid w:val="003F270D"/>
    <w:rsid w:val="003F29CA"/>
    <w:rsid w:val="003F2C32"/>
    <w:rsid w:val="003F2CE0"/>
    <w:rsid w:val="003F2D28"/>
    <w:rsid w:val="003F2DE3"/>
    <w:rsid w:val="003F2E07"/>
    <w:rsid w:val="003F3000"/>
    <w:rsid w:val="003F3249"/>
    <w:rsid w:val="003F3262"/>
    <w:rsid w:val="003F327E"/>
    <w:rsid w:val="003F32AD"/>
    <w:rsid w:val="003F32F2"/>
    <w:rsid w:val="003F33F0"/>
    <w:rsid w:val="003F35BC"/>
    <w:rsid w:val="003F3607"/>
    <w:rsid w:val="003F3B46"/>
    <w:rsid w:val="003F3D10"/>
    <w:rsid w:val="003F3DD9"/>
    <w:rsid w:val="003F3FDB"/>
    <w:rsid w:val="003F42B8"/>
    <w:rsid w:val="003F431C"/>
    <w:rsid w:val="003F454D"/>
    <w:rsid w:val="003F46B9"/>
    <w:rsid w:val="003F4928"/>
    <w:rsid w:val="003F497F"/>
    <w:rsid w:val="003F49F4"/>
    <w:rsid w:val="003F4B4A"/>
    <w:rsid w:val="003F4CC8"/>
    <w:rsid w:val="003F4CEB"/>
    <w:rsid w:val="003F4ED5"/>
    <w:rsid w:val="003F58A2"/>
    <w:rsid w:val="003F5BDE"/>
    <w:rsid w:val="003F5C40"/>
    <w:rsid w:val="003F5CE2"/>
    <w:rsid w:val="003F5CF5"/>
    <w:rsid w:val="003F5E72"/>
    <w:rsid w:val="003F5EFB"/>
    <w:rsid w:val="003F5F85"/>
    <w:rsid w:val="003F631B"/>
    <w:rsid w:val="003F6335"/>
    <w:rsid w:val="003F648A"/>
    <w:rsid w:val="003F66E4"/>
    <w:rsid w:val="003F68FC"/>
    <w:rsid w:val="003F68FD"/>
    <w:rsid w:val="003F6C6D"/>
    <w:rsid w:val="003F6CC5"/>
    <w:rsid w:val="003F6DF1"/>
    <w:rsid w:val="003F6E1E"/>
    <w:rsid w:val="003F6ED9"/>
    <w:rsid w:val="003F6EE9"/>
    <w:rsid w:val="003F700F"/>
    <w:rsid w:val="003F7200"/>
    <w:rsid w:val="003F7297"/>
    <w:rsid w:val="003F748F"/>
    <w:rsid w:val="003F74A9"/>
    <w:rsid w:val="003F766E"/>
    <w:rsid w:val="003F7670"/>
    <w:rsid w:val="003F774A"/>
    <w:rsid w:val="003F7794"/>
    <w:rsid w:val="003F77A0"/>
    <w:rsid w:val="003F784F"/>
    <w:rsid w:val="003F7AB7"/>
    <w:rsid w:val="003F7BEB"/>
    <w:rsid w:val="003F7BFF"/>
    <w:rsid w:val="003F7C8E"/>
    <w:rsid w:val="00400017"/>
    <w:rsid w:val="00400171"/>
    <w:rsid w:val="004001BF"/>
    <w:rsid w:val="004001C8"/>
    <w:rsid w:val="004001FB"/>
    <w:rsid w:val="00400268"/>
    <w:rsid w:val="004002BB"/>
    <w:rsid w:val="00400395"/>
    <w:rsid w:val="004003F2"/>
    <w:rsid w:val="0040097D"/>
    <w:rsid w:val="0040098F"/>
    <w:rsid w:val="00400A9C"/>
    <w:rsid w:val="00400D75"/>
    <w:rsid w:val="0040116C"/>
    <w:rsid w:val="0040117C"/>
    <w:rsid w:val="004011D6"/>
    <w:rsid w:val="0040120E"/>
    <w:rsid w:val="004015D3"/>
    <w:rsid w:val="004015E6"/>
    <w:rsid w:val="0040165D"/>
    <w:rsid w:val="00401B46"/>
    <w:rsid w:val="00401BCD"/>
    <w:rsid w:val="00401E54"/>
    <w:rsid w:val="00401E84"/>
    <w:rsid w:val="004021CD"/>
    <w:rsid w:val="004022A9"/>
    <w:rsid w:val="004023D3"/>
    <w:rsid w:val="004024A8"/>
    <w:rsid w:val="004025BD"/>
    <w:rsid w:val="00402750"/>
    <w:rsid w:val="00402771"/>
    <w:rsid w:val="0040298F"/>
    <w:rsid w:val="00402AC8"/>
    <w:rsid w:val="004032C1"/>
    <w:rsid w:val="00403788"/>
    <w:rsid w:val="00403922"/>
    <w:rsid w:val="00403A7E"/>
    <w:rsid w:val="00403B02"/>
    <w:rsid w:val="00403BC4"/>
    <w:rsid w:val="00403E1C"/>
    <w:rsid w:val="00404242"/>
    <w:rsid w:val="00404353"/>
    <w:rsid w:val="00404448"/>
    <w:rsid w:val="00404452"/>
    <w:rsid w:val="00404646"/>
    <w:rsid w:val="0040469B"/>
    <w:rsid w:val="00404CB2"/>
    <w:rsid w:val="00404E86"/>
    <w:rsid w:val="00404EB5"/>
    <w:rsid w:val="00404F93"/>
    <w:rsid w:val="00404F9F"/>
    <w:rsid w:val="00405026"/>
    <w:rsid w:val="00405210"/>
    <w:rsid w:val="0040526D"/>
    <w:rsid w:val="0040589F"/>
    <w:rsid w:val="00405928"/>
    <w:rsid w:val="00405C8F"/>
    <w:rsid w:val="00406018"/>
    <w:rsid w:val="00406444"/>
    <w:rsid w:val="00406761"/>
    <w:rsid w:val="00406860"/>
    <w:rsid w:val="00406AA9"/>
    <w:rsid w:val="00406E77"/>
    <w:rsid w:val="00406EEB"/>
    <w:rsid w:val="00406F5F"/>
    <w:rsid w:val="004070DC"/>
    <w:rsid w:val="004070E7"/>
    <w:rsid w:val="0040721B"/>
    <w:rsid w:val="0040728C"/>
    <w:rsid w:val="00407318"/>
    <w:rsid w:val="00407610"/>
    <w:rsid w:val="0040763E"/>
    <w:rsid w:val="0040792A"/>
    <w:rsid w:val="00407A65"/>
    <w:rsid w:val="00407A66"/>
    <w:rsid w:val="00407AB3"/>
    <w:rsid w:val="00407BC6"/>
    <w:rsid w:val="00407CF0"/>
    <w:rsid w:val="00407FAD"/>
    <w:rsid w:val="0041000C"/>
    <w:rsid w:val="004101D0"/>
    <w:rsid w:val="004102F8"/>
    <w:rsid w:val="004104E5"/>
    <w:rsid w:val="004108A1"/>
    <w:rsid w:val="00410C8B"/>
    <w:rsid w:val="00410E39"/>
    <w:rsid w:val="00410F89"/>
    <w:rsid w:val="0041104A"/>
    <w:rsid w:val="00411214"/>
    <w:rsid w:val="004113A2"/>
    <w:rsid w:val="004114F0"/>
    <w:rsid w:val="00411716"/>
    <w:rsid w:val="00411796"/>
    <w:rsid w:val="00411ADB"/>
    <w:rsid w:val="00411D29"/>
    <w:rsid w:val="00411E7A"/>
    <w:rsid w:val="00411EBC"/>
    <w:rsid w:val="0041201C"/>
    <w:rsid w:val="0041206C"/>
    <w:rsid w:val="0041234E"/>
    <w:rsid w:val="0041271F"/>
    <w:rsid w:val="00412853"/>
    <w:rsid w:val="00412DF1"/>
    <w:rsid w:val="00412E3B"/>
    <w:rsid w:val="00412FB0"/>
    <w:rsid w:val="00412FC4"/>
    <w:rsid w:val="00413045"/>
    <w:rsid w:val="004131D7"/>
    <w:rsid w:val="004133E8"/>
    <w:rsid w:val="004134F8"/>
    <w:rsid w:val="0041391A"/>
    <w:rsid w:val="0041396F"/>
    <w:rsid w:val="00414244"/>
    <w:rsid w:val="004143C2"/>
    <w:rsid w:val="004145C2"/>
    <w:rsid w:val="0041462E"/>
    <w:rsid w:val="00414947"/>
    <w:rsid w:val="00414A4C"/>
    <w:rsid w:val="00414B5A"/>
    <w:rsid w:val="00414B6E"/>
    <w:rsid w:val="00414D4F"/>
    <w:rsid w:val="00414DA4"/>
    <w:rsid w:val="00415191"/>
    <w:rsid w:val="00415224"/>
    <w:rsid w:val="00415295"/>
    <w:rsid w:val="004158BF"/>
    <w:rsid w:val="004159CC"/>
    <w:rsid w:val="00415A5F"/>
    <w:rsid w:val="00415A68"/>
    <w:rsid w:val="00415BCD"/>
    <w:rsid w:val="00415C80"/>
    <w:rsid w:val="00415FAE"/>
    <w:rsid w:val="00415FBD"/>
    <w:rsid w:val="004161EB"/>
    <w:rsid w:val="0041625D"/>
    <w:rsid w:val="004162BB"/>
    <w:rsid w:val="00416336"/>
    <w:rsid w:val="0041667A"/>
    <w:rsid w:val="0041681D"/>
    <w:rsid w:val="00416973"/>
    <w:rsid w:val="00416C41"/>
    <w:rsid w:val="00416C8C"/>
    <w:rsid w:val="00416CE5"/>
    <w:rsid w:val="00416CFA"/>
    <w:rsid w:val="00416DCE"/>
    <w:rsid w:val="004171E1"/>
    <w:rsid w:val="0041733C"/>
    <w:rsid w:val="0041733F"/>
    <w:rsid w:val="00417553"/>
    <w:rsid w:val="00417754"/>
    <w:rsid w:val="004178AD"/>
    <w:rsid w:val="004179C7"/>
    <w:rsid w:val="00417A6D"/>
    <w:rsid w:val="00417D6D"/>
    <w:rsid w:val="004203D2"/>
    <w:rsid w:val="00420831"/>
    <w:rsid w:val="004209AB"/>
    <w:rsid w:val="00420BBA"/>
    <w:rsid w:val="00420E6E"/>
    <w:rsid w:val="00420F37"/>
    <w:rsid w:val="00420FA7"/>
    <w:rsid w:val="00421237"/>
    <w:rsid w:val="004212AE"/>
    <w:rsid w:val="004213A8"/>
    <w:rsid w:val="004213E2"/>
    <w:rsid w:val="0042172F"/>
    <w:rsid w:val="0042189B"/>
    <w:rsid w:val="00421973"/>
    <w:rsid w:val="004219A1"/>
    <w:rsid w:val="00421BAA"/>
    <w:rsid w:val="00421C36"/>
    <w:rsid w:val="00421C58"/>
    <w:rsid w:val="00421D42"/>
    <w:rsid w:val="00421DE6"/>
    <w:rsid w:val="00421F05"/>
    <w:rsid w:val="00422202"/>
    <w:rsid w:val="0042244C"/>
    <w:rsid w:val="00422461"/>
    <w:rsid w:val="0042249B"/>
    <w:rsid w:val="004224FA"/>
    <w:rsid w:val="00422873"/>
    <w:rsid w:val="0042296C"/>
    <w:rsid w:val="00422D1B"/>
    <w:rsid w:val="00422E44"/>
    <w:rsid w:val="00422F58"/>
    <w:rsid w:val="00423031"/>
    <w:rsid w:val="004230A0"/>
    <w:rsid w:val="004230C5"/>
    <w:rsid w:val="0042319D"/>
    <w:rsid w:val="004231CA"/>
    <w:rsid w:val="00423311"/>
    <w:rsid w:val="00423384"/>
    <w:rsid w:val="00423606"/>
    <w:rsid w:val="004236DD"/>
    <w:rsid w:val="00423B94"/>
    <w:rsid w:val="00423F03"/>
    <w:rsid w:val="00424284"/>
    <w:rsid w:val="004242D2"/>
    <w:rsid w:val="00424363"/>
    <w:rsid w:val="004243B1"/>
    <w:rsid w:val="004243F5"/>
    <w:rsid w:val="004244E0"/>
    <w:rsid w:val="004245E0"/>
    <w:rsid w:val="0042469B"/>
    <w:rsid w:val="004248B8"/>
    <w:rsid w:val="00424904"/>
    <w:rsid w:val="0042490E"/>
    <w:rsid w:val="00424975"/>
    <w:rsid w:val="00424A15"/>
    <w:rsid w:val="00424B94"/>
    <w:rsid w:val="00424CFF"/>
    <w:rsid w:val="004250B7"/>
    <w:rsid w:val="00425212"/>
    <w:rsid w:val="00425296"/>
    <w:rsid w:val="004252D2"/>
    <w:rsid w:val="00425365"/>
    <w:rsid w:val="0042552B"/>
    <w:rsid w:val="004257D3"/>
    <w:rsid w:val="0042594E"/>
    <w:rsid w:val="0042599B"/>
    <w:rsid w:val="00425A5A"/>
    <w:rsid w:val="00425BD6"/>
    <w:rsid w:val="00425E8E"/>
    <w:rsid w:val="00426110"/>
    <w:rsid w:val="004262E6"/>
    <w:rsid w:val="0042648E"/>
    <w:rsid w:val="00426A9C"/>
    <w:rsid w:val="00426DFE"/>
    <w:rsid w:val="004270E2"/>
    <w:rsid w:val="00427139"/>
    <w:rsid w:val="00427F8F"/>
    <w:rsid w:val="00430110"/>
    <w:rsid w:val="004303DB"/>
    <w:rsid w:val="0043063E"/>
    <w:rsid w:val="0043077B"/>
    <w:rsid w:val="0043094A"/>
    <w:rsid w:val="00430BDD"/>
    <w:rsid w:val="00430DD8"/>
    <w:rsid w:val="00430EB7"/>
    <w:rsid w:val="00430EBE"/>
    <w:rsid w:val="00430F4D"/>
    <w:rsid w:val="00430FBD"/>
    <w:rsid w:val="00431139"/>
    <w:rsid w:val="00431180"/>
    <w:rsid w:val="00431358"/>
    <w:rsid w:val="0043139C"/>
    <w:rsid w:val="0043162E"/>
    <w:rsid w:val="0043166B"/>
    <w:rsid w:val="0043169F"/>
    <w:rsid w:val="0043194A"/>
    <w:rsid w:val="00431CD9"/>
    <w:rsid w:val="00431F30"/>
    <w:rsid w:val="0043205F"/>
    <w:rsid w:val="004320AA"/>
    <w:rsid w:val="00432135"/>
    <w:rsid w:val="00432685"/>
    <w:rsid w:val="004326CB"/>
    <w:rsid w:val="004326F6"/>
    <w:rsid w:val="00432951"/>
    <w:rsid w:val="00432A13"/>
    <w:rsid w:val="00432C8D"/>
    <w:rsid w:val="00432CE8"/>
    <w:rsid w:val="00432E80"/>
    <w:rsid w:val="00432EB1"/>
    <w:rsid w:val="00432FF4"/>
    <w:rsid w:val="0043316C"/>
    <w:rsid w:val="00433299"/>
    <w:rsid w:val="0043329B"/>
    <w:rsid w:val="00433331"/>
    <w:rsid w:val="00433391"/>
    <w:rsid w:val="0043346D"/>
    <w:rsid w:val="004336FB"/>
    <w:rsid w:val="0043384E"/>
    <w:rsid w:val="004338F9"/>
    <w:rsid w:val="00433D23"/>
    <w:rsid w:val="00433D2C"/>
    <w:rsid w:val="00433E01"/>
    <w:rsid w:val="00433E47"/>
    <w:rsid w:val="00433F9F"/>
    <w:rsid w:val="00434107"/>
    <w:rsid w:val="004344F7"/>
    <w:rsid w:val="00434518"/>
    <w:rsid w:val="0043459E"/>
    <w:rsid w:val="00434B87"/>
    <w:rsid w:val="00434CED"/>
    <w:rsid w:val="00434F77"/>
    <w:rsid w:val="004351F4"/>
    <w:rsid w:val="004353AE"/>
    <w:rsid w:val="004355C8"/>
    <w:rsid w:val="0043576B"/>
    <w:rsid w:val="0043599E"/>
    <w:rsid w:val="00435AFF"/>
    <w:rsid w:val="00435C0D"/>
    <w:rsid w:val="00435FC9"/>
    <w:rsid w:val="00436085"/>
    <w:rsid w:val="004360E8"/>
    <w:rsid w:val="0043622C"/>
    <w:rsid w:val="00436249"/>
    <w:rsid w:val="004362D4"/>
    <w:rsid w:val="0043657C"/>
    <w:rsid w:val="00436860"/>
    <w:rsid w:val="004368BA"/>
    <w:rsid w:val="0043694D"/>
    <w:rsid w:val="00436BD4"/>
    <w:rsid w:val="00436C2C"/>
    <w:rsid w:val="00436CB7"/>
    <w:rsid w:val="00436F9E"/>
    <w:rsid w:val="004370C3"/>
    <w:rsid w:val="004371C5"/>
    <w:rsid w:val="0043720E"/>
    <w:rsid w:val="004374E6"/>
    <w:rsid w:val="0043786D"/>
    <w:rsid w:val="0043789A"/>
    <w:rsid w:val="004378A0"/>
    <w:rsid w:val="00437AB3"/>
    <w:rsid w:val="00437BF9"/>
    <w:rsid w:val="00437DA8"/>
    <w:rsid w:val="0044018B"/>
    <w:rsid w:val="00440566"/>
    <w:rsid w:val="004407E7"/>
    <w:rsid w:val="00440895"/>
    <w:rsid w:val="00440C2A"/>
    <w:rsid w:val="00440EBB"/>
    <w:rsid w:val="00440ED7"/>
    <w:rsid w:val="00440FE9"/>
    <w:rsid w:val="00441047"/>
    <w:rsid w:val="004410D6"/>
    <w:rsid w:val="00441314"/>
    <w:rsid w:val="0044132B"/>
    <w:rsid w:val="004417F8"/>
    <w:rsid w:val="00441964"/>
    <w:rsid w:val="00441BB8"/>
    <w:rsid w:val="00441E92"/>
    <w:rsid w:val="004421C9"/>
    <w:rsid w:val="0044223D"/>
    <w:rsid w:val="00442485"/>
    <w:rsid w:val="00442503"/>
    <w:rsid w:val="00442660"/>
    <w:rsid w:val="00442835"/>
    <w:rsid w:val="004429DB"/>
    <w:rsid w:val="00442BEA"/>
    <w:rsid w:val="004430DA"/>
    <w:rsid w:val="004430FD"/>
    <w:rsid w:val="00443283"/>
    <w:rsid w:val="00443309"/>
    <w:rsid w:val="0044336C"/>
    <w:rsid w:val="004435EF"/>
    <w:rsid w:val="00443628"/>
    <w:rsid w:val="00443725"/>
    <w:rsid w:val="00443728"/>
    <w:rsid w:val="004437E1"/>
    <w:rsid w:val="004438CA"/>
    <w:rsid w:val="00443987"/>
    <w:rsid w:val="0044399F"/>
    <w:rsid w:val="004439F4"/>
    <w:rsid w:val="00443B37"/>
    <w:rsid w:val="00443B50"/>
    <w:rsid w:val="00443C71"/>
    <w:rsid w:val="00443CB0"/>
    <w:rsid w:val="00443D2A"/>
    <w:rsid w:val="00443F30"/>
    <w:rsid w:val="004440E5"/>
    <w:rsid w:val="00444118"/>
    <w:rsid w:val="00444156"/>
    <w:rsid w:val="00444184"/>
    <w:rsid w:val="0044433A"/>
    <w:rsid w:val="004445AF"/>
    <w:rsid w:val="004449D2"/>
    <w:rsid w:val="00444A45"/>
    <w:rsid w:val="00444AE4"/>
    <w:rsid w:val="00444B16"/>
    <w:rsid w:val="00444D49"/>
    <w:rsid w:val="00445106"/>
    <w:rsid w:val="004451C2"/>
    <w:rsid w:val="004452A8"/>
    <w:rsid w:val="004453CA"/>
    <w:rsid w:val="00445589"/>
    <w:rsid w:val="00445700"/>
    <w:rsid w:val="00445771"/>
    <w:rsid w:val="0044589C"/>
    <w:rsid w:val="0044592F"/>
    <w:rsid w:val="004459AC"/>
    <w:rsid w:val="004459DE"/>
    <w:rsid w:val="00445AA5"/>
    <w:rsid w:val="00445C86"/>
    <w:rsid w:val="00446352"/>
    <w:rsid w:val="00446447"/>
    <w:rsid w:val="00446665"/>
    <w:rsid w:val="00446711"/>
    <w:rsid w:val="00446716"/>
    <w:rsid w:val="00446768"/>
    <w:rsid w:val="00446BA4"/>
    <w:rsid w:val="00446D1C"/>
    <w:rsid w:val="00446D5A"/>
    <w:rsid w:val="00446D9B"/>
    <w:rsid w:val="00446DB6"/>
    <w:rsid w:val="00446E2F"/>
    <w:rsid w:val="00447335"/>
    <w:rsid w:val="00447403"/>
    <w:rsid w:val="00447590"/>
    <w:rsid w:val="00447607"/>
    <w:rsid w:val="004476CC"/>
    <w:rsid w:val="00447821"/>
    <w:rsid w:val="00447935"/>
    <w:rsid w:val="00447A64"/>
    <w:rsid w:val="00447B63"/>
    <w:rsid w:val="00447BC0"/>
    <w:rsid w:val="00447C97"/>
    <w:rsid w:val="00447CA2"/>
    <w:rsid w:val="00450144"/>
    <w:rsid w:val="004502DE"/>
    <w:rsid w:val="0045069A"/>
    <w:rsid w:val="0045076C"/>
    <w:rsid w:val="00450A26"/>
    <w:rsid w:val="00450AE5"/>
    <w:rsid w:val="00450B08"/>
    <w:rsid w:val="00450F3E"/>
    <w:rsid w:val="00450FF4"/>
    <w:rsid w:val="00451397"/>
    <w:rsid w:val="004513AC"/>
    <w:rsid w:val="00451657"/>
    <w:rsid w:val="00451748"/>
    <w:rsid w:val="00451A2A"/>
    <w:rsid w:val="00451B0D"/>
    <w:rsid w:val="00451EB8"/>
    <w:rsid w:val="004521B9"/>
    <w:rsid w:val="0045247A"/>
    <w:rsid w:val="004526FE"/>
    <w:rsid w:val="004527F8"/>
    <w:rsid w:val="0045286B"/>
    <w:rsid w:val="0045290D"/>
    <w:rsid w:val="00452986"/>
    <w:rsid w:val="00452BA6"/>
    <w:rsid w:val="00452EDF"/>
    <w:rsid w:val="00452FB6"/>
    <w:rsid w:val="00453101"/>
    <w:rsid w:val="00453415"/>
    <w:rsid w:val="0045351B"/>
    <w:rsid w:val="004538DC"/>
    <w:rsid w:val="0045391C"/>
    <w:rsid w:val="00453A1D"/>
    <w:rsid w:val="00453C15"/>
    <w:rsid w:val="00453D9A"/>
    <w:rsid w:val="00453E8A"/>
    <w:rsid w:val="00453EC2"/>
    <w:rsid w:val="00453FB1"/>
    <w:rsid w:val="004540F1"/>
    <w:rsid w:val="0045421E"/>
    <w:rsid w:val="00454275"/>
    <w:rsid w:val="0045432B"/>
    <w:rsid w:val="004544B1"/>
    <w:rsid w:val="00454599"/>
    <w:rsid w:val="00454639"/>
    <w:rsid w:val="004546DA"/>
    <w:rsid w:val="00454AD1"/>
    <w:rsid w:val="00454F97"/>
    <w:rsid w:val="0045504F"/>
    <w:rsid w:val="004550E0"/>
    <w:rsid w:val="00455349"/>
    <w:rsid w:val="004553C9"/>
    <w:rsid w:val="00455431"/>
    <w:rsid w:val="004554D1"/>
    <w:rsid w:val="004555A9"/>
    <w:rsid w:val="00455685"/>
    <w:rsid w:val="004557C5"/>
    <w:rsid w:val="00455CB1"/>
    <w:rsid w:val="00455F41"/>
    <w:rsid w:val="00456011"/>
    <w:rsid w:val="00456140"/>
    <w:rsid w:val="0045617D"/>
    <w:rsid w:val="004562AC"/>
    <w:rsid w:val="00456322"/>
    <w:rsid w:val="00456439"/>
    <w:rsid w:val="00456682"/>
    <w:rsid w:val="00456689"/>
    <w:rsid w:val="00456743"/>
    <w:rsid w:val="004568EA"/>
    <w:rsid w:val="00456916"/>
    <w:rsid w:val="004569EB"/>
    <w:rsid w:val="00456B8A"/>
    <w:rsid w:val="004570FC"/>
    <w:rsid w:val="004572BE"/>
    <w:rsid w:val="004573BB"/>
    <w:rsid w:val="00457491"/>
    <w:rsid w:val="00457831"/>
    <w:rsid w:val="004578A1"/>
    <w:rsid w:val="00457D2E"/>
    <w:rsid w:val="00457E41"/>
    <w:rsid w:val="004602EC"/>
    <w:rsid w:val="0046030B"/>
    <w:rsid w:val="00460378"/>
    <w:rsid w:val="004607D1"/>
    <w:rsid w:val="00460AA3"/>
    <w:rsid w:val="00460B00"/>
    <w:rsid w:val="00460D1D"/>
    <w:rsid w:val="00460D3C"/>
    <w:rsid w:val="00460F48"/>
    <w:rsid w:val="00461181"/>
    <w:rsid w:val="004615C1"/>
    <w:rsid w:val="004616DE"/>
    <w:rsid w:val="004618E2"/>
    <w:rsid w:val="004619B2"/>
    <w:rsid w:val="00461BA9"/>
    <w:rsid w:val="00461D83"/>
    <w:rsid w:val="00461DA8"/>
    <w:rsid w:val="00461EC5"/>
    <w:rsid w:val="00461F45"/>
    <w:rsid w:val="00461F91"/>
    <w:rsid w:val="00462133"/>
    <w:rsid w:val="00462226"/>
    <w:rsid w:val="0046245C"/>
    <w:rsid w:val="004625A2"/>
    <w:rsid w:val="004626FE"/>
    <w:rsid w:val="00462746"/>
    <w:rsid w:val="00462990"/>
    <w:rsid w:val="00462BA6"/>
    <w:rsid w:val="00462DA8"/>
    <w:rsid w:val="00462FFE"/>
    <w:rsid w:val="0046337B"/>
    <w:rsid w:val="00463672"/>
    <w:rsid w:val="004638DC"/>
    <w:rsid w:val="00463AE5"/>
    <w:rsid w:val="00463B19"/>
    <w:rsid w:val="00463B4F"/>
    <w:rsid w:val="00463C39"/>
    <w:rsid w:val="00463C56"/>
    <w:rsid w:val="00463CB6"/>
    <w:rsid w:val="00463E78"/>
    <w:rsid w:val="00463F80"/>
    <w:rsid w:val="00463F87"/>
    <w:rsid w:val="00464248"/>
    <w:rsid w:val="0046424D"/>
    <w:rsid w:val="004643D5"/>
    <w:rsid w:val="004643D9"/>
    <w:rsid w:val="004646FD"/>
    <w:rsid w:val="0046486B"/>
    <w:rsid w:val="00464D32"/>
    <w:rsid w:val="00464DA8"/>
    <w:rsid w:val="00464DC2"/>
    <w:rsid w:val="00464FF8"/>
    <w:rsid w:val="00465120"/>
    <w:rsid w:val="004651BB"/>
    <w:rsid w:val="00465217"/>
    <w:rsid w:val="004652D2"/>
    <w:rsid w:val="004654CE"/>
    <w:rsid w:val="0046567E"/>
    <w:rsid w:val="004656E4"/>
    <w:rsid w:val="004657F6"/>
    <w:rsid w:val="004658C8"/>
    <w:rsid w:val="00465A33"/>
    <w:rsid w:val="00465A3E"/>
    <w:rsid w:val="00465B42"/>
    <w:rsid w:val="00465C18"/>
    <w:rsid w:val="00465CAE"/>
    <w:rsid w:val="00465DAF"/>
    <w:rsid w:val="00465DFA"/>
    <w:rsid w:val="004661CD"/>
    <w:rsid w:val="00466295"/>
    <w:rsid w:val="00466440"/>
    <w:rsid w:val="004665AF"/>
    <w:rsid w:val="00466689"/>
    <w:rsid w:val="00466714"/>
    <w:rsid w:val="00466A1F"/>
    <w:rsid w:val="00466D4A"/>
    <w:rsid w:val="00466FDD"/>
    <w:rsid w:val="00467000"/>
    <w:rsid w:val="0046716E"/>
    <w:rsid w:val="00467351"/>
    <w:rsid w:val="004677F6"/>
    <w:rsid w:val="0046783E"/>
    <w:rsid w:val="00467BD3"/>
    <w:rsid w:val="00467C3D"/>
    <w:rsid w:val="00467D3F"/>
    <w:rsid w:val="00470110"/>
    <w:rsid w:val="004705BF"/>
    <w:rsid w:val="00470649"/>
    <w:rsid w:val="00470796"/>
    <w:rsid w:val="00470AF6"/>
    <w:rsid w:val="00470D7B"/>
    <w:rsid w:val="00470D85"/>
    <w:rsid w:val="0047120C"/>
    <w:rsid w:val="0047141B"/>
    <w:rsid w:val="004717BB"/>
    <w:rsid w:val="00471819"/>
    <w:rsid w:val="004718DA"/>
    <w:rsid w:val="00471BCA"/>
    <w:rsid w:val="00471C3C"/>
    <w:rsid w:val="00471D35"/>
    <w:rsid w:val="00472040"/>
    <w:rsid w:val="00472079"/>
    <w:rsid w:val="004720B0"/>
    <w:rsid w:val="004722F0"/>
    <w:rsid w:val="00472328"/>
    <w:rsid w:val="0047250A"/>
    <w:rsid w:val="004725DC"/>
    <w:rsid w:val="0047275F"/>
    <w:rsid w:val="004728BB"/>
    <w:rsid w:val="004728C6"/>
    <w:rsid w:val="00472B0B"/>
    <w:rsid w:val="00472D17"/>
    <w:rsid w:val="00472E8B"/>
    <w:rsid w:val="00472F97"/>
    <w:rsid w:val="00473078"/>
    <w:rsid w:val="004732C6"/>
    <w:rsid w:val="004732E8"/>
    <w:rsid w:val="0047336D"/>
    <w:rsid w:val="004733F6"/>
    <w:rsid w:val="004735B3"/>
    <w:rsid w:val="004736B3"/>
    <w:rsid w:val="0047373D"/>
    <w:rsid w:val="004737F0"/>
    <w:rsid w:val="004738A3"/>
    <w:rsid w:val="004738C1"/>
    <w:rsid w:val="004738D1"/>
    <w:rsid w:val="00473936"/>
    <w:rsid w:val="00473DCD"/>
    <w:rsid w:val="00474352"/>
    <w:rsid w:val="0047436B"/>
    <w:rsid w:val="004745D8"/>
    <w:rsid w:val="0047485D"/>
    <w:rsid w:val="00474878"/>
    <w:rsid w:val="00474C50"/>
    <w:rsid w:val="00474F40"/>
    <w:rsid w:val="00475097"/>
    <w:rsid w:val="0047512D"/>
    <w:rsid w:val="00475551"/>
    <w:rsid w:val="004757C3"/>
    <w:rsid w:val="00475944"/>
    <w:rsid w:val="00475A52"/>
    <w:rsid w:val="00475A84"/>
    <w:rsid w:val="00475CAB"/>
    <w:rsid w:val="00475F1B"/>
    <w:rsid w:val="00475F47"/>
    <w:rsid w:val="00475FD2"/>
    <w:rsid w:val="00476098"/>
    <w:rsid w:val="004761A2"/>
    <w:rsid w:val="0047621E"/>
    <w:rsid w:val="0047638D"/>
    <w:rsid w:val="00476580"/>
    <w:rsid w:val="0047663E"/>
    <w:rsid w:val="00476848"/>
    <w:rsid w:val="00476F37"/>
    <w:rsid w:val="004770B4"/>
    <w:rsid w:val="00477211"/>
    <w:rsid w:val="00477212"/>
    <w:rsid w:val="0047747D"/>
    <w:rsid w:val="004779FD"/>
    <w:rsid w:val="00477A09"/>
    <w:rsid w:val="00477DA2"/>
    <w:rsid w:val="00480073"/>
    <w:rsid w:val="004801DC"/>
    <w:rsid w:val="004801F1"/>
    <w:rsid w:val="004802AF"/>
    <w:rsid w:val="004803B5"/>
    <w:rsid w:val="004803DC"/>
    <w:rsid w:val="0048090E"/>
    <w:rsid w:val="00480939"/>
    <w:rsid w:val="004809DC"/>
    <w:rsid w:val="00480A6E"/>
    <w:rsid w:val="00480B46"/>
    <w:rsid w:val="00480CD9"/>
    <w:rsid w:val="00480E49"/>
    <w:rsid w:val="00480FDA"/>
    <w:rsid w:val="0048110C"/>
    <w:rsid w:val="00481203"/>
    <w:rsid w:val="00481242"/>
    <w:rsid w:val="004812BB"/>
    <w:rsid w:val="00481362"/>
    <w:rsid w:val="004813F1"/>
    <w:rsid w:val="004815B1"/>
    <w:rsid w:val="004816EE"/>
    <w:rsid w:val="0048182C"/>
    <w:rsid w:val="00481990"/>
    <w:rsid w:val="00481ACB"/>
    <w:rsid w:val="00481B73"/>
    <w:rsid w:val="00481D59"/>
    <w:rsid w:val="00481FC1"/>
    <w:rsid w:val="00482539"/>
    <w:rsid w:val="00482854"/>
    <w:rsid w:val="00482DB9"/>
    <w:rsid w:val="004831FE"/>
    <w:rsid w:val="00483328"/>
    <w:rsid w:val="0048348E"/>
    <w:rsid w:val="00483534"/>
    <w:rsid w:val="004836B7"/>
    <w:rsid w:val="00483940"/>
    <w:rsid w:val="00483A39"/>
    <w:rsid w:val="00483BDD"/>
    <w:rsid w:val="0048401A"/>
    <w:rsid w:val="00484210"/>
    <w:rsid w:val="00484301"/>
    <w:rsid w:val="00484742"/>
    <w:rsid w:val="00484898"/>
    <w:rsid w:val="0048497D"/>
    <w:rsid w:val="0048498D"/>
    <w:rsid w:val="00484ED2"/>
    <w:rsid w:val="00484EE4"/>
    <w:rsid w:val="00484FFC"/>
    <w:rsid w:val="00485166"/>
    <w:rsid w:val="00485202"/>
    <w:rsid w:val="0048530F"/>
    <w:rsid w:val="0048542E"/>
    <w:rsid w:val="004854E9"/>
    <w:rsid w:val="00485626"/>
    <w:rsid w:val="004858A8"/>
    <w:rsid w:val="00485943"/>
    <w:rsid w:val="004859E9"/>
    <w:rsid w:val="00485A8A"/>
    <w:rsid w:val="00485AF2"/>
    <w:rsid w:val="00485CF0"/>
    <w:rsid w:val="00485FD7"/>
    <w:rsid w:val="004860B9"/>
    <w:rsid w:val="004860CF"/>
    <w:rsid w:val="00486386"/>
    <w:rsid w:val="00486467"/>
    <w:rsid w:val="0048649E"/>
    <w:rsid w:val="004864DF"/>
    <w:rsid w:val="0048654F"/>
    <w:rsid w:val="00486580"/>
    <w:rsid w:val="00486670"/>
    <w:rsid w:val="0048670D"/>
    <w:rsid w:val="004869D3"/>
    <w:rsid w:val="004869E5"/>
    <w:rsid w:val="00486AC0"/>
    <w:rsid w:val="00486D6D"/>
    <w:rsid w:val="00486EDB"/>
    <w:rsid w:val="00486EFC"/>
    <w:rsid w:val="00486FF3"/>
    <w:rsid w:val="00487236"/>
    <w:rsid w:val="004873D1"/>
    <w:rsid w:val="004873F9"/>
    <w:rsid w:val="004875B6"/>
    <w:rsid w:val="004879A8"/>
    <w:rsid w:val="004879AE"/>
    <w:rsid w:val="00487AAB"/>
    <w:rsid w:val="00487DB1"/>
    <w:rsid w:val="00487DFD"/>
    <w:rsid w:val="00487F7C"/>
    <w:rsid w:val="00490172"/>
    <w:rsid w:val="00490357"/>
    <w:rsid w:val="00490359"/>
    <w:rsid w:val="00490410"/>
    <w:rsid w:val="00490437"/>
    <w:rsid w:val="00490478"/>
    <w:rsid w:val="00490563"/>
    <w:rsid w:val="004905DC"/>
    <w:rsid w:val="00490655"/>
    <w:rsid w:val="00490740"/>
    <w:rsid w:val="00490866"/>
    <w:rsid w:val="004908F1"/>
    <w:rsid w:val="00490A8D"/>
    <w:rsid w:val="00490AE7"/>
    <w:rsid w:val="00490E3F"/>
    <w:rsid w:val="00490F37"/>
    <w:rsid w:val="00490F41"/>
    <w:rsid w:val="00490F80"/>
    <w:rsid w:val="004911BA"/>
    <w:rsid w:val="004912D3"/>
    <w:rsid w:val="00491434"/>
    <w:rsid w:val="004914BD"/>
    <w:rsid w:val="004918FD"/>
    <w:rsid w:val="0049191C"/>
    <w:rsid w:val="00491A32"/>
    <w:rsid w:val="00491AA9"/>
    <w:rsid w:val="00491B9B"/>
    <w:rsid w:val="00491E83"/>
    <w:rsid w:val="00492012"/>
    <w:rsid w:val="00492282"/>
    <w:rsid w:val="00492851"/>
    <w:rsid w:val="00492915"/>
    <w:rsid w:val="00492949"/>
    <w:rsid w:val="0049296E"/>
    <w:rsid w:val="00492A03"/>
    <w:rsid w:val="00492B07"/>
    <w:rsid w:val="00492BE3"/>
    <w:rsid w:val="00492C74"/>
    <w:rsid w:val="00492C92"/>
    <w:rsid w:val="00492CC6"/>
    <w:rsid w:val="00492D15"/>
    <w:rsid w:val="00492D55"/>
    <w:rsid w:val="00492E85"/>
    <w:rsid w:val="00492EB4"/>
    <w:rsid w:val="0049327E"/>
    <w:rsid w:val="004932A2"/>
    <w:rsid w:val="0049339A"/>
    <w:rsid w:val="004933CF"/>
    <w:rsid w:val="00493561"/>
    <w:rsid w:val="004935FB"/>
    <w:rsid w:val="004936D2"/>
    <w:rsid w:val="004937A3"/>
    <w:rsid w:val="00493CCD"/>
    <w:rsid w:val="00493F79"/>
    <w:rsid w:val="00493F92"/>
    <w:rsid w:val="004944DC"/>
    <w:rsid w:val="004947AA"/>
    <w:rsid w:val="00494851"/>
    <w:rsid w:val="00494B97"/>
    <w:rsid w:val="00494CF5"/>
    <w:rsid w:val="004954EA"/>
    <w:rsid w:val="00495538"/>
    <w:rsid w:val="004955B9"/>
    <w:rsid w:val="004958D6"/>
    <w:rsid w:val="0049593B"/>
    <w:rsid w:val="00495B86"/>
    <w:rsid w:val="00495DC6"/>
    <w:rsid w:val="00495DDD"/>
    <w:rsid w:val="00495E07"/>
    <w:rsid w:val="004961E4"/>
    <w:rsid w:val="00496249"/>
    <w:rsid w:val="00496342"/>
    <w:rsid w:val="004963AE"/>
    <w:rsid w:val="004965EA"/>
    <w:rsid w:val="004968C0"/>
    <w:rsid w:val="00496ADA"/>
    <w:rsid w:val="00497046"/>
    <w:rsid w:val="004973F1"/>
    <w:rsid w:val="0049741F"/>
    <w:rsid w:val="00497528"/>
    <w:rsid w:val="00497947"/>
    <w:rsid w:val="00497D9F"/>
    <w:rsid w:val="00497F0E"/>
    <w:rsid w:val="00497F14"/>
    <w:rsid w:val="004A009C"/>
    <w:rsid w:val="004A0128"/>
    <w:rsid w:val="004A033D"/>
    <w:rsid w:val="004A03B5"/>
    <w:rsid w:val="004A06EB"/>
    <w:rsid w:val="004A075E"/>
    <w:rsid w:val="004A091D"/>
    <w:rsid w:val="004A09C0"/>
    <w:rsid w:val="004A0A9C"/>
    <w:rsid w:val="004A0B5C"/>
    <w:rsid w:val="004A0E03"/>
    <w:rsid w:val="004A0F91"/>
    <w:rsid w:val="004A0FA8"/>
    <w:rsid w:val="004A1140"/>
    <w:rsid w:val="004A1143"/>
    <w:rsid w:val="004A1189"/>
    <w:rsid w:val="004A13C6"/>
    <w:rsid w:val="004A1499"/>
    <w:rsid w:val="004A1715"/>
    <w:rsid w:val="004A1892"/>
    <w:rsid w:val="004A1C58"/>
    <w:rsid w:val="004A1C79"/>
    <w:rsid w:val="004A1FCD"/>
    <w:rsid w:val="004A20A1"/>
    <w:rsid w:val="004A219B"/>
    <w:rsid w:val="004A2250"/>
    <w:rsid w:val="004A2601"/>
    <w:rsid w:val="004A29D9"/>
    <w:rsid w:val="004A2B67"/>
    <w:rsid w:val="004A2EFB"/>
    <w:rsid w:val="004A2FA7"/>
    <w:rsid w:val="004A303C"/>
    <w:rsid w:val="004A305A"/>
    <w:rsid w:val="004A30A6"/>
    <w:rsid w:val="004A3271"/>
    <w:rsid w:val="004A3347"/>
    <w:rsid w:val="004A3639"/>
    <w:rsid w:val="004A3788"/>
    <w:rsid w:val="004A3A4A"/>
    <w:rsid w:val="004A3B61"/>
    <w:rsid w:val="004A3C5D"/>
    <w:rsid w:val="004A3D73"/>
    <w:rsid w:val="004A3E8F"/>
    <w:rsid w:val="004A3F30"/>
    <w:rsid w:val="004A4006"/>
    <w:rsid w:val="004A40DC"/>
    <w:rsid w:val="004A41D0"/>
    <w:rsid w:val="004A4259"/>
    <w:rsid w:val="004A4260"/>
    <w:rsid w:val="004A432B"/>
    <w:rsid w:val="004A476E"/>
    <w:rsid w:val="004A489B"/>
    <w:rsid w:val="004A48A0"/>
    <w:rsid w:val="004A4999"/>
    <w:rsid w:val="004A4AB0"/>
    <w:rsid w:val="004A4AB4"/>
    <w:rsid w:val="004A4B7D"/>
    <w:rsid w:val="004A4EA5"/>
    <w:rsid w:val="004A52F3"/>
    <w:rsid w:val="004A53B8"/>
    <w:rsid w:val="004A55D0"/>
    <w:rsid w:val="004A570E"/>
    <w:rsid w:val="004A58B1"/>
    <w:rsid w:val="004A5D5F"/>
    <w:rsid w:val="004A5E28"/>
    <w:rsid w:val="004A5EF7"/>
    <w:rsid w:val="004A618D"/>
    <w:rsid w:val="004A61F6"/>
    <w:rsid w:val="004A637A"/>
    <w:rsid w:val="004A651E"/>
    <w:rsid w:val="004A65F3"/>
    <w:rsid w:val="004A6681"/>
    <w:rsid w:val="004A6910"/>
    <w:rsid w:val="004A6B6E"/>
    <w:rsid w:val="004A6D91"/>
    <w:rsid w:val="004A6E30"/>
    <w:rsid w:val="004A7077"/>
    <w:rsid w:val="004A71C9"/>
    <w:rsid w:val="004A744F"/>
    <w:rsid w:val="004A75E1"/>
    <w:rsid w:val="004A7D36"/>
    <w:rsid w:val="004A7EFC"/>
    <w:rsid w:val="004B0569"/>
    <w:rsid w:val="004B06BA"/>
    <w:rsid w:val="004B0783"/>
    <w:rsid w:val="004B0872"/>
    <w:rsid w:val="004B08DA"/>
    <w:rsid w:val="004B0B89"/>
    <w:rsid w:val="004B0C4E"/>
    <w:rsid w:val="004B0D90"/>
    <w:rsid w:val="004B0FEA"/>
    <w:rsid w:val="004B145E"/>
    <w:rsid w:val="004B1502"/>
    <w:rsid w:val="004B167A"/>
    <w:rsid w:val="004B1938"/>
    <w:rsid w:val="004B1B84"/>
    <w:rsid w:val="004B1BB4"/>
    <w:rsid w:val="004B1D26"/>
    <w:rsid w:val="004B1D93"/>
    <w:rsid w:val="004B1EAB"/>
    <w:rsid w:val="004B202E"/>
    <w:rsid w:val="004B2297"/>
    <w:rsid w:val="004B2567"/>
    <w:rsid w:val="004B26B0"/>
    <w:rsid w:val="004B27D7"/>
    <w:rsid w:val="004B288D"/>
    <w:rsid w:val="004B2996"/>
    <w:rsid w:val="004B2B06"/>
    <w:rsid w:val="004B2C77"/>
    <w:rsid w:val="004B2E41"/>
    <w:rsid w:val="004B3209"/>
    <w:rsid w:val="004B36FD"/>
    <w:rsid w:val="004B371F"/>
    <w:rsid w:val="004B38B2"/>
    <w:rsid w:val="004B38EF"/>
    <w:rsid w:val="004B3AB9"/>
    <w:rsid w:val="004B3C5E"/>
    <w:rsid w:val="004B3D08"/>
    <w:rsid w:val="004B3F5A"/>
    <w:rsid w:val="004B3F99"/>
    <w:rsid w:val="004B4120"/>
    <w:rsid w:val="004B4484"/>
    <w:rsid w:val="004B4534"/>
    <w:rsid w:val="004B4587"/>
    <w:rsid w:val="004B46BA"/>
    <w:rsid w:val="004B492F"/>
    <w:rsid w:val="004B49DC"/>
    <w:rsid w:val="004B4A54"/>
    <w:rsid w:val="004B4B2C"/>
    <w:rsid w:val="004B4B9B"/>
    <w:rsid w:val="004B5097"/>
    <w:rsid w:val="004B5189"/>
    <w:rsid w:val="004B51CE"/>
    <w:rsid w:val="004B52DE"/>
    <w:rsid w:val="004B5318"/>
    <w:rsid w:val="004B5363"/>
    <w:rsid w:val="004B5489"/>
    <w:rsid w:val="004B5965"/>
    <w:rsid w:val="004B5B9C"/>
    <w:rsid w:val="004B5E93"/>
    <w:rsid w:val="004B616C"/>
    <w:rsid w:val="004B6280"/>
    <w:rsid w:val="004B6342"/>
    <w:rsid w:val="004B6527"/>
    <w:rsid w:val="004B6605"/>
    <w:rsid w:val="004B6698"/>
    <w:rsid w:val="004B67FF"/>
    <w:rsid w:val="004B6880"/>
    <w:rsid w:val="004B6885"/>
    <w:rsid w:val="004B6B45"/>
    <w:rsid w:val="004B6DAE"/>
    <w:rsid w:val="004B6E38"/>
    <w:rsid w:val="004B6F66"/>
    <w:rsid w:val="004B7357"/>
    <w:rsid w:val="004B7366"/>
    <w:rsid w:val="004B740F"/>
    <w:rsid w:val="004B748B"/>
    <w:rsid w:val="004B74AA"/>
    <w:rsid w:val="004B765D"/>
    <w:rsid w:val="004B7712"/>
    <w:rsid w:val="004B77AD"/>
    <w:rsid w:val="004B7BAF"/>
    <w:rsid w:val="004B7C6B"/>
    <w:rsid w:val="004B7D34"/>
    <w:rsid w:val="004B7E7D"/>
    <w:rsid w:val="004C008C"/>
    <w:rsid w:val="004C01CE"/>
    <w:rsid w:val="004C0296"/>
    <w:rsid w:val="004C02A8"/>
    <w:rsid w:val="004C04CE"/>
    <w:rsid w:val="004C0565"/>
    <w:rsid w:val="004C065B"/>
    <w:rsid w:val="004C0711"/>
    <w:rsid w:val="004C0887"/>
    <w:rsid w:val="004C090D"/>
    <w:rsid w:val="004C098E"/>
    <w:rsid w:val="004C09E7"/>
    <w:rsid w:val="004C0A76"/>
    <w:rsid w:val="004C0B6A"/>
    <w:rsid w:val="004C0BDA"/>
    <w:rsid w:val="004C0C47"/>
    <w:rsid w:val="004C0D0C"/>
    <w:rsid w:val="004C0E66"/>
    <w:rsid w:val="004C0E88"/>
    <w:rsid w:val="004C100F"/>
    <w:rsid w:val="004C156A"/>
    <w:rsid w:val="004C16DA"/>
    <w:rsid w:val="004C190B"/>
    <w:rsid w:val="004C1981"/>
    <w:rsid w:val="004C1A81"/>
    <w:rsid w:val="004C1B5C"/>
    <w:rsid w:val="004C1C61"/>
    <w:rsid w:val="004C1C86"/>
    <w:rsid w:val="004C218F"/>
    <w:rsid w:val="004C25BD"/>
    <w:rsid w:val="004C27C2"/>
    <w:rsid w:val="004C2A43"/>
    <w:rsid w:val="004C2B3F"/>
    <w:rsid w:val="004C2BFD"/>
    <w:rsid w:val="004C2CFA"/>
    <w:rsid w:val="004C2D74"/>
    <w:rsid w:val="004C2F9E"/>
    <w:rsid w:val="004C31F6"/>
    <w:rsid w:val="004C3299"/>
    <w:rsid w:val="004C32B1"/>
    <w:rsid w:val="004C350F"/>
    <w:rsid w:val="004C35BA"/>
    <w:rsid w:val="004C3635"/>
    <w:rsid w:val="004C36E9"/>
    <w:rsid w:val="004C3773"/>
    <w:rsid w:val="004C3800"/>
    <w:rsid w:val="004C38AC"/>
    <w:rsid w:val="004C3AEC"/>
    <w:rsid w:val="004C3CF9"/>
    <w:rsid w:val="004C3D40"/>
    <w:rsid w:val="004C3F0C"/>
    <w:rsid w:val="004C3F67"/>
    <w:rsid w:val="004C4098"/>
    <w:rsid w:val="004C4208"/>
    <w:rsid w:val="004C437D"/>
    <w:rsid w:val="004C43F0"/>
    <w:rsid w:val="004C4592"/>
    <w:rsid w:val="004C46CF"/>
    <w:rsid w:val="004C4811"/>
    <w:rsid w:val="004C4A7A"/>
    <w:rsid w:val="004C4AA4"/>
    <w:rsid w:val="004C4C56"/>
    <w:rsid w:val="004C4C85"/>
    <w:rsid w:val="004C4ECD"/>
    <w:rsid w:val="004C4EE4"/>
    <w:rsid w:val="004C500B"/>
    <w:rsid w:val="004C535E"/>
    <w:rsid w:val="004C55C7"/>
    <w:rsid w:val="004C57CE"/>
    <w:rsid w:val="004C5972"/>
    <w:rsid w:val="004C598D"/>
    <w:rsid w:val="004C599A"/>
    <w:rsid w:val="004C59F6"/>
    <w:rsid w:val="004C5C4D"/>
    <w:rsid w:val="004C5FCA"/>
    <w:rsid w:val="004C61A3"/>
    <w:rsid w:val="004C61BC"/>
    <w:rsid w:val="004C6379"/>
    <w:rsid w:val="004C63A1"/>
    <w:rsid w:val="004C64FC"/>
    <w:rsid w:val="004C6616"/>
    <w:rsid w:val="004C662D"/>
    <w:rsid w:val="004C663C"/>
    <w:rsid w:val="004C66D6"/>
    <w:rsid w:val="004C68D0"/>
    <w:rsid w:val="004C6EE6"/>
    <w:rsid w:val="004C6F1D"/>
    <w:rsid w:val="004C7068"/>
    <w:rsid w:val="004C712E"/>
    <w:rsid w:val="004C726E"/>
    <w:rsid w:val="004C7305"/>
    <w:rsid w:val="004C731E"/>
    <w:rsid w:val="004C7461"/>
    <w:rsid w:val="004C78B0"/>
    <w:rsid w:val="004C7B77"/>
    <w:rsid w:val="004C7BB3"/>
    <w:rsid w:val="004C7BD2"/>
    <w:rsid w:val="004C7DCE"/>
    <w:rsid w:val="004C7DD8"/>
    <w:rsid w:val="004D0052"/>
    <w:rsid w:val="004D00C3"/>
    <w:rsid w:val="004D027B"/>
    <w:rsid w:val="004D02CC"/>
    <w:rsid w:val="004D04D2"/>
    <w:rsid w:val="004D052A"/>
    <w:rsid w:val="004D0551"/>
    <w:rsid w:val="004D0650"/>
    <w:rsid w:val="004D081D"/>
    <w:rsid w:val="004D09D4"/>
    <w:rsid w:val="004D0A0C"/>
    <w:rsid w:val="004D0B50"/>
    <w:rsid w:val="004D0B8C"/>
    <w:rsid w:val="004D0CA4"/>
    <w:rsid w:val="004D0E28"/>
    <w:rsid w:val="004D12D1"/>
    <w:rsid w:val="004D130F"/>
    <w:rsid w:val="004D1391"/>
    <w:rsid w:val="004D1716"/>
    <w:rsid w:val="004D17F8"/>
    <w:rsid w:val="004D1817"/>
    <w:rsid w:val="004D1B3A"/>
    <w:rsid w:val="004D1B6B"/>
    <w:rsid w:val="004D1BB3"/>
    <w:rsid w:val="004D1C05"/>
    <w:rsid w:val="004D1CAF"/>
    <w:rsid w:val="004D1CBA"/>
    <w:rsid w:val="004D1CDB"/>
    <w:rsid w:val="004D1D03"/>
    <w:rsid w:val="004D1F57"/>
    <w:rsid w:val="004D1FB2"/>
    <w:rsid w:val="004D20E7"/>
    <w:rsid w:val="004D2131"/>
    <w:rsid w:val="004D2147"/>
    <w:rsid w:val="004D2247"/>
    <w:rsid w:val="004D23D9"/>
    <w:rsid w:val="004D2411"/>
    <w:rsid w:val="004D28D2"/>
    <w:rsid w:val="004D2D80"/>
    <w:rsid w:val="004D2EB5"/>
    <w:rsid w:val="004D31BA"/>
    <w:rsid w:val="004D32E5"/>
    <w:rsid w:val="004D3393"/>
    <w:rsid w:val="004D33FD"/>
    <w:rsid w:val="004D3607"/>
    <w:rsid w:val="004D361E"/>
    <w:rsid w:val="004D3667"/>
    <w:rsid w:val="004D36CD"/>
    <w:rsid w:val="004D3926"/>
    <w:rsid w:val="004D3F8F"/>
    <w:rsid w:val="004D409D"/>
    <w:rsid w:val="004D40C9"/>
    <w:rsid w:val="004D4265"/>
    <w:rsid w:val="004D42F3"/>
    <w:rsid w:val="004D44C0"/>
    <w:rsid w:val="004D4600"/>
    <w:rsid w:val="004D46F3"/>
    <w:rsid w:val="004D4737"/>
    <w:rsid w:val="004D48CC"/>
    <w:rsid w:val="004D4945"/>
    <w:rsid w:val="004D4C21"/>
    <w:rsid w:val="004D4CE7"/>
    <w:rsid w:val="004D4E7F"/>
    <w:rsid w:val="004D4F5F"/>
    <w:rsid w:val="004D513A"/>
    <w:rsid w:val="004D51A6"/>
    <w:rsid w:val="004D5305"/>
    <w:rsid w:val="004D537C"/>
    <w:rsid w:val="004D5418"/>
    <w:rsid w:val="004D5446"/>
    <w:rsid w:val="004D5466"/>
    <w:rsid w:val="004D5658"/>
    <w:rsid w:val="004D580D"/>
    <w:rsid w:val="004D5945"/>
    <w:rsid w:val="004D5C90"/>
    <w:rsid w:val="004D6144"/>
    <w:rsid w:val="004D62CD"/>
    <w:rsid w:val="004D6579"/>
    <w:rsid w:val="004D67B9"/>
    <w:rsid w:val="004D6808"/>
    <w:rsid w:val="004D6993"/>
    <w:rsid w:val="004D69A5"/>
    <w:rsid w:val="004D6A65"/>
    <w:rsid w:val="004D6A95"/>
    <w:rsid w:val="004D6C17"/>
    <w:rsid w:val="004D6C5B"/>
    <w:rsid w:val="004D6C8D"/>
    <w:rsid w:val="004D6E82"/>
    <w:rsid w:val="004D6EE9"/>
    <w:rsid w:val="004D6F79"/>
    <w:rsid w:val="004D7057"/>
    <w:rsid w:val="004D70C8"/>
    <w:rsid w:val="004D72B6"/>
    <w:rsid w:val="004D72F0"/>
    <w:rsid w:val="004D7375"/>
    <w:rsid w:val="004D73DB"/>
    <w:rsid w:val="004D7563"/>
    <w:rsid w:val="004D764F"/>
    <w:rsid w:val="004D77C5"/>
    <w:rsid w:val="004D77D8"/>
    <w:rsid w:val="004D79D3"/>
    <w:rsid w:val="004D7DDB"/>
    <w:rsid w:val="004D7F42"/>
    <w:rsid w:val="004D7F57"/>
    <w:rsid w:val="004D7FF5"/>
    <w:rsid w:val="004E001D"/>
    <w:rsid w:val="004E034C"/>
    <w:rsid w:val="004E0459"/>
    <w:rsid w:val="004E04A0"/>
    <w:rsid w:val="004E04DD"/>
    <w:rsid w:val="004E050B"/>
    <w:rsid w:val="004E07CB"/>
    <w:rsid w:val="004E09A8"/>
    <w:rsid w:val="004E0AEB"/>
    <w:rsid w:val="004E0D4B"/>
    <w:rsid w:val="004E0E24"/>
    <w:rsid w:val="004E0EBD"/>
    <w:rsid w:val="004E0ECF"/>
    <w:rsid w:val="004E0F79"/>
    <w:rsid w:val="004E1003"/>
    <w:rsid w:val="004E10AD"/>
    <w:rsid w:val="004E11DC"/>
    <w:rsid w:val="004E1244"/>
    <w:rsid w:val="004E1295"/>
    <w:rsid w:val="004E1377"/>
    <w:rsid w:val="004E145D"/>
    <w:rsid w:val="004E17AA"/>
    <w:rsid w:val="004E18C2"/>
    <w:rsid w:val="004E1A83"/>
    <w:rsid w:val="004E1A93"/>
    <w:rsid w:val="004E1CB9"/>
    <w:rsid w:val="004E1CCB"/>
    <w:rsid w:val="004E1EC0"/>
    <w:rsid w:val="004E1F10"/>
    <w:rsid w:val="004E2205"/>
    <w:rsid w:val="004E27AA"/>
    <w:rsid w:val="004E27D8"/>
    <w:rsid w:val="004E283A"/>
    <w:rsid w:val="004E28D0"/>
    <w:rsid w:val="004E28F8"/>
    <w:rsid w:val="004E2979"/>
    <w:rsid w:val="004E29B1"/>
    <w:rsid w:val="004E2B3F"/>
    <w:rsid w:val="004E2C10"/>
    <w:rsid w:val="004E2DB2"/>
    <w:rsid w:val="004E2EEF"/>
    <w:rsid w:val="004E2F4B"/>
    <w:rsid w:val="004E2F8D"/>
    <w:rsid w:val="004E3049"/>
    <w:rsid w:val="004E3432"/>
    <w:rsid w:val="004E374A"/>
    <w:rsid w:val="004E3760"/>
    <w:rsid w:val="004E3873"/>
    <w:rsid w:val="004E38C0"/>
    <w:rsid w:val="004E3A23"/>
    <w:rsid w:val="004E3C1B"/>
    <w:rsid w:val="004E3C6C"/>
    <w:rsid w:val="004E3C77"/>
    <w:rsid w:val="004E3CC2"/>
    <w:rsid w:val="004E3FD6"/>
    <w:rsid w:val="004E446B"/>
    <w:rsid w:val="004E460F"/>
    <w:rsid w:val="004E4D9D"/>
    <w:rsid w:val="004E4E25"/>
    <w:rsid w:val="004E4EFE"/>
    <w:rsid w:val="004E4FA6"/>
    <w:rsid w:val="004E508B"/>
    <w:rsid w:val="004E5144"/>
    <w:rsid w:val="004E5204"/>
    <w:rsid w:val="004E544E"/>
    <w:rsid w:val="004E57FE"/>
    <w:rsid w:val="004E5889"/>
    <w:rsid w:val="004E597C"/>
    <w:rsid w:val="004E59BF"/>
    <w:rsid w:val="004E5B27"/>
    <w:rsid w:val="004E5C72"/>
    <w:rsid w:val="004E5CD7"/>
    <w:rsid w:val="004E5D27"/>
    <w:rsid w:val="004E60D0"/>
    <w:rsid w:val="004E60F4"/>
    <w:rsid w:val="004E63D9"/>
    <w:rsid w:val="004E6508"/>
    <w:rsid w:val="004E6550"/>
    <w:rsid w:val="004E6637"/>
    <w:rsid w:val="004E6685"/>
    <w:rsid w:val="004E66F3"/>
    <w:rsid w:val="004E684A"/>
    <w:rsid w:val="004E690A"/>
    <w:rsid w:val="004E6AC0"/>
    <w:rsid w:val="004E6AF5"/>
    <w:rsid w:val="004E6BF4"/>
    <w:rsid w:val="004E6E68"/>
    <w:rsid w:val="004E6F2D"/>
    <w:rsid w:val="004E702C"/>
    <w:rsid w:val="004E7069"/>
    <w:rsid w:val="004E7429"/>
    <w:rsid w:val="004E7848"/>
    <w:rsid w:val="004E7BD4"/>
    <w:rsid w:val="004E7D08"/>
    <w:rsid w:val="004E7D40"/>
    <w:rsid w:val="004E7E15"/>
    <w:rsid w:val="004E7FAA"/>
    <w:rsid w:val="004F0298"/>
    <w:rsid w:val="004F03C9"/>
    <w:rsid w:val="004F04B2"/>
    <w:rsid w:val="004F0560"/>
    <w:rsid w:val="004F0591"/>
    <w:rsid w:val="004F0877"/>
    <w:rsid w:val="004F0A97"/>
    <w:rsid w:val="004F0B0D"/>
    <w:rsid w:val="004F0B2D"/>
    <w:rsid w:val="004F0D22"/>
    <w:rsid w:val="004F0E35"/>
    <w:rsid w:val="004F0F8F"/>
    <w:rsid w:val="004F0FE3"/>
    <w:rsid w:val="004F1010"/>
    <w:rsid w:val="004F10B5"/>
    <w:rsid w:val="004F1343"/>
    <w:rsid w:val="004F1553"/>
    <w:rsid w:val="004F17BD"/>
    <w:rsid w:val="004F1ACA"/>
    <w:rsid w:val="004F1C6F"/>
    <w:rsid w:val="004F1E71"/>
    <w:rsid w:val="004F1EF9"/>
    <w:rsid w:val="004F1FA2"/>
    <w:rsid w:val="004F1FE2"/>
    <w:rsid w:val="004F2120"/>
    <w:rsid w:val="004F29FC"/>
    <w:rsid w:val="004F2ACD"/>
    <w:rsid w:val="004F2BEB"/>
    <w:rsid w:val="004F2D9B"/>
    <w:rsid w:val="004F2ED6"/>
    <w:rsid w:val="004F2FFF"/>
    <w:rsid w:val="004F3020"/>
    <w:rsid w:val="004F31D4"/>
    <w:rsid w:val="004F3258"/>
    <w:rsid w:val="004F3469"/>
    <w:rsid w:val="004F3509"/>
    <w:rsid w:val="004F3716"/>
    <w:rsid w:val="004F37DF"/>
    <w:rsid w:val="004F3849"/>
    <w:rsid w:val="004F3A55"/>
    <w:rsid w:val="004F3A91"/>
    <w:rsid w:val="004F3B9B"/>
    <w:rsid w:val="004F3F68"/>
    <w:rsid w:val="004F3F71"/>
    <w:rsid w:val="004F409A"/>
    <w:rsid w:val="004F42C6"/>
    <w:rsid w:val="004F43CD"/>
    <w:rsid w:val="004F43F4"/>
    <w:rsid w:val="004F44D2"/>
    <w:rsid w:val="004F4546"/>
    <w:rsid w:val="004F478A"/>
    <w:rsid w:val="004F47B9"/>
    <w:rsid w:val="004F49E8"/>
    <w:rsid w:val="004F4BF1"/>
    <w:rsid w:val="004F4DAC"/>
    <w:rsid w:val="004F4F87"/>
    <w:rsid w:val="004F5119"/>
    <w:rsid w:val="004F5207"/>
    <w:rsid w:val="004F5211"/>
    <w:rsid w:val="004F5441"/>
    <w:rsid w:val="004F575D"/>
    <w:rsid w:val="004F57C9"/>
    <w:rsid w:val="004F57F8"/>
    <w:rsid w:val="004F5917"/>
    <w:rsid w:val="004F63E4"/>
    <w:rsid w:val="004F6BD5"/>
    <w:rsid w:val="004F6ED4"/>
    <w:rsid w:val="004F6EE5"/>
    <w:rsid w:val="004F70E3"/>
    <w:rsid w:val="004F749B"/>
    <w:rsid w:val="004F776C"/>
    <w:rsid w:val="004F7A88"/>
    <w:rsid w:val="004F7AB6"/>
    <w:rsid w:val="004F7D7A"/>
    <w:rsid w:val="004F7EDB"/>
    <w:rsid w:val="004F7FDE"/>
    <w:rsid w:val="0050008B"/>
    <w:rsid w:val="00500170"/>
    <w:rsid w:val="005001D2"/>
    <w:rsid w:val="0050038A"/>
    <w:rsid w:val="005005E8"/>
    <w:rsid w:val="005007E8"/>
    <w:rsid w:val="00500951"/>
    <w:rsid w:val="00500C57"/>
    <w:rsid w:val="00500CA5"/>
    <w:rsid w:val="00500CBE"/>
    <w:rsid w:val="00500EEC"/>
    <w:rsid w:val="00500EFF"/>
    <w:rsid w:val="005010BA"/>
    <w:rsid w:val="0050148F"/>
    <w:rsid w:val="005016C7"/>
    <w:rsid w:val="005017C3"/>
    <w:rsid w:val="00501835"/>
    <w:rsid w:val="005019CF"/>
    <w:rsid w:val="00501B4E"/>
    <w:rsid w:val="00501B71"/>
    <w:rsid w:val="00501C23"/>
    <w:rsid w:val="00501D47"/>
    <w:rsid w:val="00501DD5"/>
    <w:rsid w:val="00501DEE"/>
    <w:rsid w:val="00501F91"/>
    <w:rsid w:val="00502190"/>
    <w:rsid w:val="00502316"/>
    <w:rsid w:val="00502361"/>
    <w:rsid w:val="00502749"/>
    <w:rsid w:val="00502754"/>
    <w:rsid w:val="0050299D"/>
    <w:rsid w:val="00502A63"/>
    <w:rsid w:val="00502CBF"/>
    <w:rsid w:val="00502D19"/>
    <w:rsid w:val="00502EA3"/>
    <w:rsid w:val="00503045"/>
    <w:rsid w:val="005030E8"/>
    <w:rsid w:val="0050313B"/>
    <w:rsid w:val="00503173"/>
    <w:rsid w:val="005032AF"/>
    <w:rsid w:val="00503481"/>
    <w:rsid w:val="00503591"/>
    <w:rsid w:val="00503711"/>
    <w:rsid w:val="0050376A"/>
    <w:rsid w:val="005037FB"/>
    <w:rsid w:val="005038F8"/>
    <w:rsid w:val="005039D0"/>
    <w:rsid w:val="00503BB3"/>
    <w:rsid w:val="00503C1D"/>
    <w:rsid w:val="00503D33"/>
    <w:rsid w:val="00503ED3"/>
    <w:rsid w:val="00504165"/>
    <w:rsid w:val="005047A8"/>
    <w:rsid w:val="005049A0"/>
    <w:rsid w:val="00504AC2"/>
    <w:rsid w:val="00504BF9"/>
    <w:rsid w:val="00504DE6"/>
    <w:rsid w:val="00504EDD"/>
    <w:rsid w:val="00504F58"/>
    <w:rsid w:val="00504FDF"/>
    <w:rsid w:val="0050502F"/>
    <w:rsid w:val="005050AD"/>
    <w:rsid w:val="005053A0"/>
    <w:rsid w:val="0050543A"/>
    <w:rsid w:val="005054CE"/>
    <w:rsid w:val="0050576F"/>
    <w:rsid w:val="00505789"/>
    <w:rsid w:val="00505907"/>
    <w:rsid w:val="00505983"/>
    <w:rsid w:val="00505A94"/>
    <w:rsid w:val="00505C7B"/>
    <w:rsid w:val="00505D7B"/>
    <w:rsid w:val="00505DFC"/>
    <w:rsid w:val="005061B0"/>
    <w:rsid w:val="00506243"/>
    <w:rsid w:val="00506261"/>
    <w:rsid w:val="00506338"/>
    <w:rsid w:val="0050644D"/>
    <w:rsid w:val="005064EB"/>
    <w:rsid w:val="005066BF"/>
    <w:rsid w:val="005067A1"/>
    <w:rsid w:val="00506AA0"/>
    <w:rsid w:val="00506C5B"/>
    <w:rsid w:val="00506E2F"/>
    <w:rsid w:val="00506F75"/>
    <w:rsid w:val="00507161"/>
    <w:rsid w:val="005072CB"/>
    <w:rsid w:val="00507455"/>
    <w:rsid w:val="00507558"/>
    <w:rsid w:val="00507726"/>
    <w:rsid w:val="00507753"/>
    <w:rsid w:val="005077D0"/>
    <w:rsid w:val="005078AF"/>
    <w:rsid w:val="005078C8"/>
    <w:rsid w:val="005078D3"/>
    <w:rsid w:val="00507CF2"/>
    <w:rsid w:val="00507D3F"/>
    <w:rsid w:val="00507DE4"/>
    <w:rsid w:val="00507E23"/>
    <w:rsid w:val="0051001B"/>
    <w:rsid w:val="005100DE"/>
    <w:rsid w:val="005101C6"/>
    <w:rsid w:val="00510260"/>
    <w:rsid w:val="00510268"/>
    <w:rsid w:val="00510421"/>
    <w:rsid w:val="00510472"/>
    <w:rsid w:val="005104D1"/>
    <w:rsid w:val="005107C2"/>
    <w:rsid w:val="00510A1C"/>
    <w:rsid w:val="00510BC9"/>
    <w:rsid w:val="00510D3B"/>
    <w:rsid w:val="00510EF3"/>
    <w:rsid w:val="00510F45"/>
    <w:rsid w:val="00511057"/>
    <w:rsid w:val="00511306"/>
    <w:rsid w:val="00511567"/>
    <w:rsid w:val="00511684"/>
    <w:rsid w:val="00511695"/>
    <w:rsid w:val="00511873"/>
    <w:rsid w:val="00511AFA"/>
    <w:rsid w:val="00511B74"/>
    <w:rsid w:val="00511CCE"/>
    <w:rsid w:val="00511DB1"/>
    <w:rsid w:val="00511DCB"/>
    <w:rsid w:val="00511E8B"/>
    <w:rsid w:val="00511EE3"/>
    <w:rsid w:val="00511FF8"/>
    <w:rsid w:val="00512202"/>
    <w:rsid w:val="005122C9"/>
    <w:rsid w:val="005124EF"/>
    <w:rsid w:val="005128DB"/>
    <w:rsid w:val="00512AEF"/>
    <w:rsid w:val="00512C8A"/>
    <w:rsid w:val="00512E0F"/>
    <w:rsid w:val="00512EB1"/>
    <w:rsid w:val="00512EFA"/>
    <w:rsid w:val="00513110"/>
    <w:rsid w:val="005132E5"/>
    <w:rsid w:val="005133B2"/>
    <w:rsid w:val="005136E3"/>
    <w:rsid w:val="00513E3E"/>
    <w:rsid w:val="00513EA5"/>
    <w:rsid w:val="00514130"/>
    <w:rsid w:val="0051419A"/>
    <w:rsid w:val="0051442C"/>
    <w:rsid w:val="0051450E"/>
    <w:rsid w:val="00514540"/>
    <w:rsid w:val="0051475E"/>
    <w:rsid w:val="005147C5"/>
    <w:rsid w:val="00514949"/>
    <w:rsid w:val="00514AA4"/>
    <w:rsid w:val="00514E2E"/>
    <w:rsid w:val="00514E5A"/>
    <w:rsid w:val="00515149"/>
    <w:rsid w:val="005151C5"/>
    <w:rsid w:val="005153B0"/>
    <w:rsid w:val="00515516"/>
    <w:rsid w:val="005158CB"/>
    <w:rsid w:val="00515AC3"/>
    <w:rsid w:val="00515B4D"/>
    <w:rsid w:val="00515BB4"/>
    <w:rsid w:val="00515C84"/>
    <w:rsid w:val="00515CDD"/>
    <w:rsid w:val="00515EA4"/>
    <w:rsid w:val="005161E7"/>
    <w:rsid w:val="005163AA"/>
    <w:rsid w:val="0051651B"/>
    <w:rsid w:val="00516689"/>
    <w:rsid w:val="00516B0B"/>
    <w:rsid w:val="00516D48"/>
    <w:rsid w:val="00517074"/>
    <w:rsid w:val="005171AF"/>
    <w:rsid w:val="0051720B"/>
    <w:rsid w:val="005174E1"/>
    <w:rsid w:val="005176F0"/>
    <w:rsid w:val="00517768"/>
    <w:rsid w:val="00517B27"/>
    <w:rsid w:val="00517C4B"/>
    <w:rsid w:val="00517C5C"/>
    <w:rsid w:val="00517C5E"/>
    <w:rsid w:val="00517CCA"/>
    <w:rsid w:val="00517D5A"/>
    <w:rsid w:val="00517DD0"/>
    <w:rsid w:val="00517E69"/>
    <w:rsid w:val="00520353"/>
    <w:rsid w:val="00520403"/>
    <w:rsid w:val="0052042A"/>
    <w:rsid w:val="00520DFE"/>
    <w:rsid w:val="00520F69"/>
    <w:rsid w:val="0052105B"/>
    <w:rsid w:val="00521065"/>
    <w:rsid w:val="005210C0"/>
    <w:rsid w:val="005210D5"/>
    <w:rsid w:val="00521182"/>
    <w:rsid w:val="005211BA"/>
    <w:rsid w:val="005214CA"/>
    <w:rsid w:val="0052173D"/>
    <w:rsid w:val="005218DC"/>
    <w:rsid w:val="00522153"/>
    <w:rsid w:val="00522329"/>
    <w:rsid w:val="005225F7"/>
    <w:rsid w:val="005227D1"/>
    <w:rsid w:val="005228EB"/>
    <w:rsid w:val="00522D85"/>
    <w:rsid w:val="00522EA8"/>
    <w:rsid w:val="00523022"/>
    <w:rsid w:val="0052321C"/>
    <w:rsid w:val="005233C2"/>
    <w:rsid w:val="005236A0"/>
    <w:rsid w:val="005236A6"/>
    <w:rsid w:val="0052390F"/>
    <w:rsid w:val="00523987"/>
    <w:rsid w:val="00523C53"/>
    <w:rsid w:val="00523D9E"/>
    <w:rsid w:val="00523E6C"/>
    <w:rsid w:val="00523FA1"/>
    <w:rsid w:val="005241E5"/>
    <w:rsid w:val="0052431F"/>
    <w:rsid w:val="00524611"/>
    <w:rsid w:val="0052473D"/>
    <w:rsid w:val="005247D9"/>
    <w:rsid w:val="00524828"/>
    <w:rsid w:val="00524AD2"/>
    <w:rsid w:val="00524C49"/>
    <w:rsid w:val="00524E2E"/>
    <w:rsid w:val="00524E72"/>
    <w:rsid w:val="00524EB4"/>
    <w:rsid w:val="0052523E"/>
    <w:rsid w:val="00525244"/>
    <w:rsid w:val="005252A6"/>
    <w:rsid w:val="0052537C"/>
    <w:rsid w:val="005253D3"/>
    <w:rsid w:val="0052541C"/>
    <w:rsid w:val="0052585B"/>
    <w:rsid w:val="005258A4"/>
    <w:rsid w:val="00525A64"/>
    <w:rsid w:val="00525ABE"/>
    <w:rsid w:val="00525F40"/>
    <w:rsid w:val="00525F73"/>
    <w:rsid w:val="00525FC9"/>
    <w:rsid w:val="00526065"/>
    <w:rsid w:val="005260AB"/>
    <w:rsid w:val="005260D3"/>
    <w:rsid w:val="00526446"/>
    <w:rsid w:val="005265C5"/>
    <w:rsid w:val="00526774"/>
    <w:rsid w:val="00526844"/>
    <w:rsid w:val="005268B8"/>
    <w:rsid w:val="00526941"/>
    <w:rsid w:val="0052698A"/>
    <w:rsid w:val="00526BDC"/>
    <w:rsid w:val="00526C0C"/>
    <w:rsid w:val="00526F41"/>
    <w:rsid w:val="00527054"/>
    <w:rsid w:val="00527170"/>
    <w:rsid w:val="00527228"/>
    <w:rsid w:val="00527404"/>
    <w:rsid w:val="00527432"/>
    <w:rsid w:val="00527578"/>
    <w:rsid w:val="00527673"/>
    <w:rsid w:val="005276A6"/>
    <w:rsid w:val="00527781"/>
    <w:rsid w:val="005277D4"/>
    <w:rsid w:val="00527A21"/>
    <w:rsid w:val="00527A32"/>
    <w:rsid w:val="00527A63"/>
    <w:rsid w:val="00527E1D"/>
    <w:rsid w:val="00527FDA"/>
    <w:rsid w:val="00530333"/>
    <w:rsid w:val="00530796"/>
    <w:rsid w:val="005307BD"/>
    <w:rsid w:val="0053080A"/>
    <w:rsid w:val="0053083B"/>
    <w:rsid w:val="00530AD4"/>
    <w:rsid w:val="00530C06"/>
    <w:rsid w:val="00530FCA"/>
    <w:rsid w:val="00531003"/>
    <w:rsid w:val="0053147A"/>
    <w:rsid w:val="00531900"/>
    <w:rsid w:val="00531A2C"/>
    <w:rsid w:val="00531ABD"/>
    <w:rsid w:val="00531CEA"/>
    <w:rsid w:val="00531DF3"/>
    <w:rsid w:val="00531E54"/>
    <w:rsid w:val="00531E96"/>
    <w:rsid w:val="00531FCF"/>
    <w:rsid w:val="0053208F"/>
    <w:rsid w:val="005321A1"/>
    <w:rsid w:val="005322D4"/>
    <w:rsid w:val="00532373"/>
    <w:rsid w:val="00532930"/>
    <w:rsid w:val="00532C89"/>
    <w:rsid w:val="00532D12"/>
    <w:rsid w:val="00532DAB"/>
    <w:rsid w:val="00532EE5"/>
    <w:rsid w:val="00532F0A"/>
    <w:rsid w:val="00532FE7"/>
    <w:rsid w:val="005331DC"/>
    <w:rsid w:val="00533208"/>
    <w:rsid w:val="005334AF"/>
    <w:rsid w:val="00533515"/>
    <w:rsid w:val="005337CE"/>
    <w:rsid w:val="00533800"/>
    <w:rsid w:val="0053391E"/>
    <w:rsid w:val="005339A6"/>
    <w:rsid w:val="00533CA0"/>
    <w:rsid w:val="00534022"/>
    <w:rsid w:val="0053404B"/>
    <w:rsid w:val="00534456"/>
    <w:rsid w:val="00534537"/>
    <w:rsid w:val="005346FC"/>
    <w:rsid w:val="00534723"/>
    <w:rsid w:val="005347B1"/>
    <w:rsid w:val="00534849"/>
    <w:rsid w:val="00534C54"/>
    <w:rsid w:val="00534D0A"/>
    <w:rsid w:val="00534E58"/>
    <w:rsid w:val="00535056"/>
    <w:rsid w:val="0053520A"/>
    <w:rsid w:val="005352A1"/>
    <w:rsid w:val="005355F4"/>
    <w:rsid w:val="0053565E"/>
    <w:rsid w:val="005356B3"/>
    <w:rsid w:val="00535763"/>
    <w:rsid w:val="00535817"/>
    <w:rsid w:val="00535B8D"/>
    <w:rsid w:val="00535BB9"/>
    <w:rsid w:val="00535E54"/>
    <w:rsid w:val="00535E75"/>
    <w:rsid w:val="00535F09"/>
    <w:rsid w:val="0053616C"/>
    <w:rsid w:val="0053620E"/>
    <w:rsid w:val="00536540"/>
    <w:rsid w:val="005366BA"/>
    <w:rsid w:val="005368C2"/>
    <w:rsid w:val="005368F7"/>
    <w:rsid w:val="005369DE"/>
    <w:rsid w:val="00536A22"/>
    <w:rsid w:val="00536A7C"/>
    <w:rsid w:val="00536E36"/>
    <w:rsid w:val="0053700B"/>
    <w:rsid w:val="00537071"/>
    <w:rsid w:val="00537136"/>
    <w:rsid w:val="0053721E"/>
    <w:rsid w:val="005373DB"/>
    <w:rsid w:val="00537497"/>
    <w:rsid w:val="005375A5"/>
    <w:rsid w:val="00537B25"/>
    <w:rsid w:val="00537B6C"/>
    <w:rsid w:val="00537C7B"/>
    <w:rsid w:val="00537DF7"/>
    <w:rsid w:val="00537FCA"/>
    <w:rsid w:val="0054007E"/>
    <w:rsid w:val="00540269"/>
    <w:rsid w:val="00540320"/>
    <w:rsid w:val="0054053A"/>
    <w:rsid w:val="005409F5"/>
    <w:rsid w:val="00540F46"/>
    <w:rsid w:val="0054183A"/>
    <w:rsid w:val="0054185E"/>
    <w:rsid w:val="005418DB"/>
    <w:rsid w:val="005419CA"/>
    <w:rsid w:val="005419D4"/>
    <w:rsid w:val="00541C26"/>
    <w:rsid w:val="00541CEF"/>
    <w:rsid w:val="00541F29"/>
    <w:rsid w:val="005421C6"/>
    <w:rsid w:val="00542284"/>
    <w:rsid w:val="005422D5"/>
    <w:rsid w:val="0054249B"/>
    <w:rsid w:val="00542620"/>
    <w:rsid w:val="00542C08"/>
    <w:rsid w:val="00542D99"/>
    <w:rsid w:val="00542EB3"/>
    <w:rsid w:val="00542EE6"/>
    <w:rsid w:val="005430DB"/>
    <w:rsid w:val="005434DB"/>
    <w:rsid w:val="0054356D"/>
    <w:rsid w:val="00543573"/>
    <w:rsid w:val="00543641"/>
    <w:rsid w:val="0054396D"/>
    <w:rsid w:val="005439E4"/>
    <w:rsid w:val="005439FE"/>
    <w:rsid w:val="00543AE4"/>
    <w:rsid w:val="00543BC4"/>
    <w:rsid w:val="00543C63"/>
    <w:rsid w:val="00543CBB"/>
    <w:rsid w:val="00543E11"/>
    <w:rsid w:val="00543E8B"/>
    <w:rsid w:val="00543EAF"/>
    <w:rsid w:val="00543EB3"/>
    <w:rsid w:val="00543F7A"/>
    <w:rsid w:val="005440C4"/>
    <w:rsid w:val="005441BD"/>
    <w:rsid w:val="00544298"/>
    <w:rsid w:val="005442ED"/>
    <w:rsid w:val="00544474"/>
    <w:rsid w:val="00544501"/>
    <w:rsid w:val="00544985"/>
    <w:rsid w:val="005449B2"/>
    <w:rsid w:val="00544BF2"/>
    <w:rsid w:val="00544CD5"/>
    <w:rsid w:val="00544DA4"/>
    <w:rsid w:val="00544DDE"/>
    <w:rsid w:val="00544E8A"/>
    <w:rsid w:val="00544E95"/>
    <w:rsid w:val="00544FFB"/>
    <w:rsid w:val="005450E9"/>
    <w:rsid w:val="0054518A"/>
    <w:rsid w:val="005454BB"/>
    <w:rsid w:val="005454D9"/>
    <w:rsid w:val="0054555F"/>
    <w:rsid w:val="005455E5"/>
    <w:rsid w:val="00545770"/>
    <w:rsid w:val="00545927"/>
    <w:rsid w:val="0054595D"/>
    <w:rsid w:val="00545D44"/>
    <w:rsid w:val="0054628D"/>
    <w:rsid w:val="005465B4"/>
    <w:rsid w:val="00546696"/>
    <w:rsid w:val="00546717"/>
    <w:rsid w:val="00546ACA"/>
    <w:rsid w:val="00546B38"/>
    <w:rsid w:val="00546ED1"/>
    <w:rsid w:val="00546F57"/>
    <w:rsid w:val="0054724F"/>
    <w:rsid w:val="005472C4"/>
    <w:rsid w:val="0054768B"/>
    <w:rsid w:val="00547767"/>
    <w:rsid w:val="00547892"/>
    <w:rsid w:val="00547955"/>
    <w:rsid w:val="00547A53"/>
    <w:rsid w:val="00547BB7"/>
    <w:rsid w:val="00547DED"/>
    <w:rsid w:val="00550218"/>
    <w:rsid w:val="00550388"/>
    <w:rsid w:val="005503B6"/>
    <w:rsid w:val="005503CE"/>
    <w:rsid w:val="005508AE"/>
    <w:rsid w:val="005508FC"/>
    <w:rsid w:val="005509A5"/>
    <w:rsid w:val="005509CB"/>
    <w:rsid w:val="00550A6F"/>
    <w:rsid w:val="00550B48"/>
    <w:rsid w:val="00550BE4"/>
    <w:rsid w:val="00550E87"/>
    <w:rsid w:val="00551230"/>
    <w:rsid w:val="0055142A"/>
    <w:rsid w:val="005515A4"/>
    <w:rsid w:val="0055182C"/>
    <w:rsid w:val="00551879"/>
    <w:rsid w:val="00551AA9"/>
    <w:rsid w:val="00551AC1"/>
    <w:rsid w:val="00551CFE"/>
    <w:rsid w:val="00551DD8"/>
    <w:rsid w:val="00552599"/>
    <w:rsid w:val="0055262B"/>
    <w:rsid w:val="0055290B"/>
    <w:rsid w:val="00552973"/>
    <w:rsid w:val="00552C90"/>
    <w:rsid w:val="0055328C"/>
    <w:rsid w:val="005534C2"/>
    <w:rsid w:val="0055368A"/>
    <w:rsid w:val="005537CC"/>
    <w:rsid w:val="005537D7"/>
    <w:rsid w:val="00553B2A"/>
    <w:rsid w:val="00553B59"/>
    <w:rsid w:val="00553C44"/>
    <w:rsid w:val="00553DC3"/>
    <w:rsid w:val="00553E20"/>
    <w:rsid w:val="00553EFC"/>
    <w:rsid w:val="00554291"/>
    <w:rsid w:val="005545CD"/>
    <w:rsid w:val="0055495B"/>
    <w:rsid w:val="00555012"/>
    <w:rsid w:val="00555066"/>
    <w:rsid w:val="005550E3"/>
    <w:rsid w:val="00555138"/>
    <w:rsid w:val="0055517C"/>
    <w:rsid w:val="005551D5"/>
    <w:rsid w:val="005551FA"/>
    <w:rsid w:val="00555349"/>
    <w:rsid w:val="005553F3"/>
    <w:rsid w:val="0055548B"/>
    <w:rsid w:val="005554BE"/>
    <w:rsid w:val="0055550A"/>
    <w:rsid w:val="005556A8"/>
    <w:rsid w:val="00555797"/>
    <w:rsid w:val="005557EC"/>
    <w:rsid w:val="005558A8"/>
    <w:rsid w:val="00555953"/>
    <w:rsid w:val="00555AB4"/>
    <w:rsid w:val="0055603B"/>
    <w:rsid w:val="005561C8"/>
    <w:rsid w:val="005561F2"/>
    <w:rsid w:val="0055626A"/>
    <w:rsid w:val="005562EA"/>
    <w:rsid w:val="00556341"/>
    <w:rsid w:val="0055652B"/>
    <w:rsid w:val="00556552"/>
    <w:rsid w:val="0055670A"/>
    <w:rsid w:val="00556960"/>
    <w:rsid w:val="0055697D"/>
    <w:rsid w:val="00556E19"/>
    <w:rsid w:val="00556E53"/>
    <w:rsid w:val="00556FF8"/>
    <w:rsid w:val="00557032"/>
    <w:rsid w:val="0055738F"/>
    <w:rsid w:val="00557724"/>
    <w:rsid w:val="00557859"/>
    <w:rsid w:val="00557906"/>
    <w:rsid w:val="00557989"/>
    <w:rsid w:val="00557AA2"/>
    <w:rsid w:val="00557AA7"/>
    <w:rsid w:val="00557B1F"/>
    <w:rsid w:val="00557B81"/>
    <w:rsid w:val="00557B9F"/>
    <w:rsid w:val="00557E8F"/>
    <w:rsid w:val="00557F7D"/>
    <w:rsid w:val="00557F93"/>
    <w:rsid w:val="00557FD9"/>
    <w:rsid w:val="00560071"/>
    <w:rsid w:val="005600B6"/>
    <w:rsid w:val="00560106"/>
    <w:rsid w:val="0056032F"/>
    <w:rsid w:val="0056056C"/>
    <w:rsid w:val="0056080D"/>
    <w:rsid w:val="00560883"/>
    <w:rsid w:val="00560AB3"/>
    <w:rsid w:val="00560B08"/>
    <w:rsid w:val="00560BE4"/>
    <w:rsid w:val="00560BED"/>
    <w:rsid w:val="00560DC0"/>
    <w:rsid w:val="0056109A"/>
    <w:rsid w:val="005611C0"/>
    <w:rsid w:val="005616C8"/>
    <w:rsid w:val="00561844"/>
    <w:rsid w:val="0056186F"/>
    <w:rsid w:val="00561AA4"/>
    <w:rsid w:val="00561AF8"/>
    <w:rsid w:val="00561AFE"/>
    <w:rsid w:val="00561D84"/>
    <w:rsid w:val="00561E5F"/>
    <w:rsid w:val="00561F77"/>
    <w:rsid w:val="00561FD5"/>
    <w:rsid w:val="005620C5"/>
    <w:rsid w:val="005622F0"/>
    <w:rsid w:val="005623DE"/>
    <w:rsid w:val="005627AE"/>
    <w:rsid w:val="00562871"/>
    <w:rsid w:val="00562904"/>
    <w:rsid w:val="005629D2"/>
    <w:rsid w:val="00562B2C"/>
    <w:rsid w:val="00562B67"/>
    <w:rsid w:val="00562C1C"/>
    <w:rsid w:val="00562E6D"/>
    <w:rsid w:val="00563205"/>
    <w:rsid w:val="00563310"/>
    <w:rsid w:val="0056331A"/>
    <w:rsid w:val="005633F0"/>
    <w:rsid w:val="0056357E"/>
    <w:rsid w:val="005635E2"/>
    <w:rsid w:val="005636BB"/>
    <w:rsid w:val="005637FA"/>
    <w:rsid w:val="0056380A"/>
    <w:rsid w:val="005638D2"/>
    <w:rsid w:val="00563B6B"/>
    <w:rsid w:val="00563D31"/>
    <w:rsid w:val="00563D92"/>
    <w:rsid w:val="00563F02"/>
    <w:rsid w:val="00564255"/>
    <w:rsid w:val="005643C9"/>
    <w:rsid w:val="0056480D"/>
    <w:rsid w:val="00564B29"/>
    <w:rsid w:val="00564BED"/>
    <w:rsid w:val="00564C27"/>
    <w:rsid w:val="00564CCE"/>
    <w:rsid w:val="00564EAB"/>
    <w:rsid w:val="00564EBF"/>
    <w:rsid w:val="00564FD7"/>
    <w:rsid w:val="00565099"/>
    <w:rsid w:val="005651E0"/>
    <w:rsid w:val="00565314"/>
    <w:rsid w:val="0056547C"/>
    <w:rsid w:val="005654C3"/>
    <w:rsid w:val="005659AB"/>
    <w:rsid w:val="00565B23"/>
    <w:rsid w:val="00566050"/>
    <w:rsid w:val="00566213"/>
    <w:rsid w:val="00566237"/>
    <w:rsid w:val="00566385"/>
    <w:rsid w:val="005665AB"/>
    <w:rsid w:val="00566964"/>
    <w:rsid w:val="00566993"/>
    <w:rsid w:val="005669D5"/>
    <w:rsid w:val="005669EE"/>
    <w:rsid w:val="00566B1E"/>
    <w:rsid w:val="005670C2"/>
    <w:rsid w:val="00567320"/>
    <w:rsid w:val="005673AB"/>
    <w:rsid w:val="005674F8"/>
    <w:rsid w:val="00567570"/>
    <w:rsid w:val="005676FC"/>
    <w:rsid w:val="0056777F"/>
    <w:rsid w:val="0056796E"/>
    <w:rsid w:val="00567B08"/>
    <w:rsid w:val="00567BD1"/>
    <w:rsid w:val="00567D79"/>
    <w:rsid w:val="005700C4"/>
    <w:rsid w:val="005702FF"/>
    <w:rsid w:val="0057042D"/>
    <w:rsid w:val="0057046F"/>
    <w:rsid w:val="005706A9"/>
    <w:rsid w:val="00570896"/>
    <w:rsid w:val="0057099E"/>
    <w:rsid w:val="00570B03"/>
    <w:rsid w:val="00570BAF"/>
    <w:rsid w:val="00570BB3"/>
    <w:rsid w:val="00570BEF"/>
    <w:rsid w:val="00570CF4"/>
    <w:rsid w:val="00570E3D"/>
    <w:rsid w:val="00570E5B"/>
    <w:rsid w:val="0057100E"/>
    <w:rsid w:val="005711CD"/>
    <w:rsid w:val="0057137F"/>
    <w:rsid w:val="005713F0"/>
    <w:rsid w:val="0057145E"/>
    <w:rsid w:val="005714C4"/>
    <w:rsid w:val="005717D0"/>
    <w:rsid w:val="005718B9"/>
    <w:rsid w:val="005718C0"/>
    <w:rsid w:val="00571D70"/>
    <w:rsid w:val="00571FE9"/>
    <w:rsid w:val="005720CA"/>
    <w:rsid w:val="00572100"/>
    <w:rsid w:val="005721A0"/>
    <w:rsid w:val="005726F2"/>
    <w:rsid w:val="00572807"/>
    <w:rsid w:val="00572855"/>
    <w:rsid w:val="00572AEB"/>
    <w:rsid w:val="00573244"/>
    <w:rsid w:val="00573558"/>
    <w:rsid w:val="0057373A"/>
    <w:rsid w:val="00573745"/>
    <w:rsid w:val="00573B3B"/>
    <w:rsid w:val="00573D56"/>
    <w:rsid w:val="00573EA8"/>
    <w:rsid w:val="00573FD8"/>
    <w:rsid w:val="005741D5"/>
    <w:rsid w:val="00574349"/>
    <w:rsid w:val="00574881"/>
    <w:rsid w:val="00574920"/>
    <w:rsid w:val="00574A07"/>
    <w:rsid w:val="00574AEA"/>
    <w:rsid w:val="00574AFF"/>
    <w:rsid w:val="00574B11"/>
    <w:rsid w:val="00574DC3"/>
    <w:rsid w:val="00574DF3"/>
    <w:rsid w:val="00575259"/>
    <w:rsid w:val="0057584B"/>
    <w:rsid w:val="005759B3"/>
    <w:rsid w:val="005759F5"/>
    <w:rsid w:val="00575A25"/>
    <w:rsid w:val="00575C1E"/>
    <w:rsid w:val="00575D5D"/>
    <w:rsid w:val="00575F7C"/>
    <w:rsid w:val="005761AC"/>
    <w:rsid w:val="005762E1"/>
    <w:rsid w:val="00576340"/>
    <w:rsid w:val="0057634A"/>
    <w:rsid w:val="0057638B"/>
    <w:rsid w:val="005766EB"/>
    <w:rsid w:val="00576799"/>
    <w:rsid w:val="00576850"/>
    <w:rsid w:val="0057694E"/>
    <w:rsid w:val="00576BF0"/>
    <w:rsid w:val="00576C57"/>
    <w:rsid w:val="00577110"/>
    <w:rsid w:val="00577B55"/>
    <w:rsid w:val="00577BB3"/>
    <w:rsid w:val="00577BEB"/>
    <w:rsid w:val="00577C94"/>
    <w:rsid w:val="00577CA2"/>
    <w:rsid w:val="00577E2D"/>
    <w:rsid w:val="00580057"/>
    <w:rsid w:val="00580064"/>
    <w:rsid w:val="005801C9"/>
    <w:rsid w:val="005807B2"/>
    <w:rsid w:val="0058086E"/>
    <w:rsid w:val="00580883"/>
    <w:rsid w:val="005808B6"/>
    <w:rsid w:val="00580CF7"/>
    <w:rsid w:val="00580DF5"/>
    <w:rsid w:val="00580E76"/>
    <w:rsid w:val="005813BD"/>
    <w:rsid w:val="0058146E"/>
    <w:rsid w:val="00581505"/>
    <w:rsid w:val="0058156D"/>
    <w:rsid w:val="00581593"/>
    <w:rsid w:val="00581709"/>
    <w:rsid w:val="00581831"/>
    <w:rsid w:val="005819B3"/>
    <w:rsid w:val="005819B5"/>
    <w:rsid w:val="00581B97"/>
    <w:rsid w:val="00581C82"/>
    <w:rsid w:val="00581D26"/>
    <w:rsid w:val="00581E5D"/>
    <w:rsid w:val="00581EBB"/>
    <w:rsid w:val="00582100"/>
    <w:rsid w:val="0058233A"/>
    <w:rsid w:val="00582450"/>
    <w:rsid w:val="0058247B"/>
    <w:rsid w:val="00582638"/>
    <w:rsid w:val="0058292F"/>
    <w:rsid w:val="00582C1F"/>
    <w:rsid w:val="00582E2E"/>
    <w:rsid w:val="00583180"/>
    <w:rsid w:val="0058324C"/>
    <w:rsid w:val="00583408"/>
    <w:rsid w:val="00583562"/>
    <w:rsid w:val="00583ADE"/>
    <w:rsid w:val="00583BD0"/>
    <w:rsid w:val="00583DF4"/>
    <w:rsid w:val="00583EBD"/>
    <w:rsid w:val="00583F9D"/>
    <w:rsid w:val="005842BA"/>
    <w:rsid w:val="0058443E"/>
    <w:rsid w:val="00584608"/>
    <w:rsid w:val="00584718"/>
    <w:rsid w:val="005848E0"/>
    <w:rsid w:val="00584BC1"/>
    <w:rsid w:val="0058526B"/>
    <w:rsid w:val="0058556E"/>
    <w:rsid w:val="00585CE0"/>
    <w:rsid w:val="00585DC8"/>
    <w:rsid w:val="00585E44"/>
    <w:rsid w:val="00585F8E"/>
    <w:rsid w:val="0058622D"/>
    <w:rsid w:val="0058624F"/>
    <w:rsid w:val="005862C6"/>
    <w:rsid w:val="005864DB"/>
    <w:rsid w:val="0058683B"/>
    <w:rsid w:val="005868BC"/>
    <w:rsid w:val="00586B4A"/>
    <w:rsid w:val="00586D69"/>
    <w:rsid w:val="00586DE0"/>
    <w:rsid w:val="00586F81"/>
    <w:rsid w:val="00586FEB"/>
    <w:rsid w:val="00587043"/>
    <w:rsid w:val="00587181"/>
    <w:rsid w:val="00587576"/>
    <w:rsid w:val="0058766A"/>
    <w:rsid w:val="00587811"/>
    <w:rsid w:val="0058782E"/>
    <w:rsid w:val="00587917"/>
    <w:rsid w:val="00587B9B"/>
    <w:rsid w:val="00587BA2"/>
    <w:rsid w:val="00587BEB"/>
    <w:rsid w:val="00587CCD"/>
    <w:rsid w:val="00587EC3"/>
    <w:rsid w:val="00587FC3"/>
    <w:rsid w:val="00590642"/>
    <w:rsid w:val="00590677"/>
    <w:rsid w:val="00590689"/>
    <w:rsid w:val="0059069B"/>
    <w:rsid w:val="00590A87"/>
    <w:rsid w:val="00590AE7"/>
    <w:rsid w:val="00590CB0"/>
    <w:rsid w:val="00590DBD"/>
    <w:rsid w:val="005910DC"/>
    <w:rsid w:val="005911A6"/>
    <w:rsid w:val="0059171E"/>
    <w:rsid w:val="0059176D"/>
    <w:rsid w:val="00591A92"/>
    <w:rsid w:val="00591B68"/>
    <w:rsid w:val="0059201B"/>
    <w:rsid w:val="00592443"/>
    <w:rsid w:val="005924B9"/>
    <w:rsid w:val="005924BA"/>
    <w:rsid w:val="005925AA"/>
    <w:rsid w:val="00592730"/>
    <w:rsid w:val="00592890"/>
    <w:rsid w:val="00592B4F"/>
    <w:rsid w:val="00592BA6"/>
    <w:rsid w:val="00592DA1"/>
    <w:rsid w:val="00592EEE"/>
    <w:rsid w:val="00592FFD"/>
    <w:rsid w:val="005930A9"/>
    <w:rsid w:val="005932F2"/>
    <w:rsid w:val="005933E0"/>
    <w:rsid w:val="00593533"/>
    <w:rsid w:val="00593578"/>
    <w:rsid w:val="005937B5"/>
    <w:rsid w:val="00593841"/>
    <w:rsid w:val="00593861"/>
    <w:rsid w:val="005939F2"/>
    <w:rsid w:val="005939FF"/>
    <w:rsid w:val="00593C7A"/>
    <w:rsid w:val="00593C97"/>
    <w:rsid w:val="00594571"/>
    <w:rsid w:val="005945F1"/>
    <w:rsid w:val="00594657"/>
    <w:rsid w:val="005946BC"/>
    <w:rsid w:val="005947A2"/>
    <w:rsid w:val="00594A09"/>
    <w:rsid w:val="00594BDD"/>
    <w:rsid w:val="00594E77"/>
    <w:rsid w:val="00594ECB"/>
    <w:rsid w:val="00594F8C"/>
    <w:rsid w:val="0059528C"/>
    <w:rsid w:val="0059545A"/>
    <w:rsid w:val="00595678"/>
    <w:rsid w:val="00595745"/>
    <w:rsid w:val="005958FE"/>
    <w:rsid w:val="0059590E"/>
    <w:rsid w:val="00595966"/>
    <w:rsid w:val="00595A3B"/>
    <w:rsid w:val="00595C8F"/>
    <w:rsid w:val="00595CD9"/>
    <w:rsid w:val="00595CDB"/>
    <w:rsid w:val="00595EDD"/>
    <w:rsid w:val="00596051"/>
    <w:rsid w:val="005960F1"/>
    <w:rsid w:val="00596132"/>
    <w:rsid w:val="00596280"/>
    <w:rsid w:val="00596294"/>
    <w:rsid w:val="005964C0"/>
    <w:rsid w:val="00596604"/>
    <w:rsid w:val="005966F8"/>
    <w:rsid w:val="00596809"/>
    <w:rsid w:val="0059682F"/>
    <w:rsid w:val="00596C0D"/>
    <w:rsid w:val="00596C8E"/>
    <w:rsid w:val="00596E14"/>
    <w:rsid w:val="00597292"/>
    <w:rsid w:val="005972E2"/>
    <w:rsid w:val="005972E5"/>
    <w:rsid w:val="005973ED"/>
    <w:rsid w:val="00597478"/>
    <w:rsid w:val="00597609"/>
    <w:rsid w:val="00597737"/>
    <w:rsid w:val="0059793E"/>
    <w:rsid w:val="00597972"/>
    <w:rsid w:val="00597BF3"/>
    <w:rsid w:val="00597D9B"/>
    <w:rsid w:val="00597DB3"/>
    <w:rsid w:val="00597DE8"/>
    <w:rsid w:val="00597E79"/>
    <w:rsid w:val="005A00BB"/>
    <w:rsid w:val="005A00D3"/>
    <w:rsid w:val="005A0313"/>
    <w:rsid w:val="005A039A"/>
    <w:rsid w:val="005A03A8"/>
    <w:rsid w:val="005A03BA"/>
    <w:rsid w:val="005A048C"/>
    <w:rsid w:val="005A04BB"/>
    <w:rsid w:val="005A055B"/>
    <w:rsid w:val="005A0955"/>
    <w:rsid w:val="005A0A99"/>
    <w:rsid w:val="005A0B5F"/>
    <w:rsid w:val="005A0C02"/>
    <w:rsid w:val="005A0F74"/>
    <w:rsid w:val="005A10E6"/>
    <w:rsid w:val="005A1167"/>
    <w:rsid w:val="005A1200"/>
    <w:rsid w:val="005A134F"/>
    <w:rsid w:val="005A165A"/>
    <w:rsid w:val="005A16E3"/>
    <w:rsid w:val="005A17B6"/>
    <w:rsid w:val="005A1850"/>
    <w:rsid w:val="005A18AE"/>
    <w:rsid w:val="005A1901"/>
    <w:rsid w:val="005A1C9D"/>
    <w:rsid w:val="005A1CEC"/>
    <w:rsid w:val="005A1DA5"/>
    <w:rsid w:val="005A1EEF"/>
    <w:rsid w:val="005A2007"/>
    <w:rsid w:val="005A2313"/>
    <w:rsid w:val="005A24CC"/>
    <w:rsid w:val="005A26FB"/>
    <w:rsid w:val="005A2732"/>
    <w:rsid w:val="005A276A"/>
    <w:rsid w:val="005A2778"/>
    <w:rsid w:val="005A279C"/>
    <w:rsid w:val="005A2CFA"/>
    <w:rsid w:val="005A2F40"/>
    <w:rsid w:val="005A30A1"/>
    <w:rsid w:val="005A313A"/>
    <w:rsid w:val="005A317B"/>
    <w:rsid w:val="005A322C"/>
    <w:rsid w:val="005A32A3"/>
    <w:rsid w:val="005A37CE"/>
    <w:rsid w:val="005A3B75"/>
    <w:rsid w:val="005A3BF5"/>
    <w:rsid w:val="005A3C87"/>
    <w:rsid w:val="005A405E"/>
    <w:rsid w:val="005A407B"/>
    <w:rsid w:val="005A41D7"/>
    <w:rsid w:val="005A42C0"/>
    <w:rsid w:val="005A42D0"/>
    <w:rsid w:val="005A461D"/>
    <w:rsid w:val="005A474D"/>
    <w:rsid w:val="005A4937"/>
    <w:rsid w:val="005A49BF"/>
    <w:rsid w:val="005A4A36"/>
    <w:rsid w:val="005A4B25"/>
    <w:rsid w:val="005A4BC8"/>
    <w:rsid w:val="005A4C22"/>
    <w:rsid w:val="005A4D14"/>
    <w:rsid w:val="005A4D80"/>
    <w:rsid w:val="005A4DD0"/>
    <w:rsid w:val="005A4E5D"/>
    <w:rsid w:val="005A50A7"/>
    <w:rsid w:val="005A5164"/>
    <w:rsid w:val="005A51C0"/>
    <w:rsid w:val="005A526C"/>
    <w:rsid w:val="005A5557"/>
    <w:rsid w:val="005A5574"/>
    <w:rsid w:val="005A5647"/>
    <w:rsid w:val="005A5A7C"/>
    <w:rsid w:val="005A5B70"/>
    <w:rsid w:val="005A5C69"/>
    <w:rsid w:val="005A5D33"/>
    <w:rsid w:val="005A5DF8"/>
    <w:rsid w:val="005A5E97"/>
    <w:rsid w:val="005A604A"/>
    <w:rsid w:val="005A61C9"/>
    <w:rsid w:val="005A6240"/>
    <w:rsid w:val="005A6332"/>
    <w:rsid w:val="005A6371"/>
    <w:rsid w:val="005A6495"/>
    <w:rsid w:val="005A64B8"/>
    <w:rsid w:val="005A688A"/>
    <w:rsid w:val="005A68A7"/>
    <w:rsid w:val="005A6AA8"/>
    <w:rsid w:val="005A6C3D"/>
    <w:rsid w:val="005A6E11"/>
    <w:rsid w:val="005A706A"/>
    <w:rsid w:val="005A70D8"/>
    <w:rsid w:val="005A70F5"/>
    <w:rsid w:val="005A746B"/>
    <w:rsid w:val="005A7594"/>
    <w:rsid w:val="005A76AA"/>
    <w:rsid w:val="005A78C2"/>
    <w:rsid w:val="005A7A4E"/>
    <w:rsid w:val="005A7FCF"/>
    <w:rsid w:val="005B0113"/>
    <w:rsid w:val="005B023D"/>
    <w:rsid w:val="005B05B4"/>
    <w:rsid w:val="005B0A0D"/>
    <w:rsid w:val="005B0A67"/>
    <w:rsid w:val="005B0E21"/>
    <w:rsid w:val="005B0E41"/>
    <w:rsid w:val="005B0F1F"/>
    <w:rsid w:val="005B113C"/>
    <w:rsid w:val="005B1520"/>
    <w:rsid w:val="005B1524"/>
    <w:rsid w:val="005B16AA"/>
    <w:rsid w:val="005B1757"/>
    <w:rsid w:val="005B18E8"/>
    <w:rsid w:val="005B1BEC"/>
    <w:rsid w:val="005B1C00"/>
    <w:rsid w:val="005B1EB6"/>
    <w:rsid w:val="005B203E"/>
    <w:rsid w:val="005B2240"/>
    <w:rsid w:val="005B226F"/>
    <w:rsid w:val="005B229E"/>
    <w:rsid w:val="005B2453"/>
    <w:rsid w:val="005B25BC"/>
    <w:rsid w:val="005B265C"/>
    <w:rsid w:val="005B297F"/>
    <w:rsid w:val="005B29B4"/>
    <w:rsid w:val="005B2AAB"/>
    <w:rsid w:val="005B2AB9"/>
    <w:rsid w:val="005B2AD2"/>
    <w:rsid w:val="005B2ADE"/>
    <w:rsid w:val="005B2C62"/>
    <w:rsid w:val="005B2E20"/>
    <w:rsid w:val="005B2FD2"/>
    <w:rsid w:val="005B300C"/>
    <w:rsid w:val="005B303E"/>
    <w:rsid w:val="005B3295"/>
    <w:rsid w:val="005B3587"/>
    <w:rsid w:val="005B370B"/>
    <w:rsid w:val="005B37E2"/>
    <w:rsid w:val="005B38FD"/>
    <w:rsid w:val="005B3B19"/>
    <w:rsid w:val="005B3FB3"/>
    <w:rsid w:val="005B40A0"/>
    <w:rsid w:val="005B40E2"/>
    <w:rsid w:val="005B4153"/>
    <w:rsid w:val="005B437A"/>
    <w:rsid w:val="005B445F"/>
    <w:rsid w:val="005B4463"/>
    <w:rsid w:val="005B45DC"/>
    <w:rsid w:val="005B4673"/>
    <w:rsid w:val="005B4729"/>
    <w:rsid w:val="005B4889"/>
    <w:rsid w:val="005B5062"/>
    <w:rsid w:val="005B5097"/>
    <w:rsid w:val="005B54D6"/>
    <w:rsid w:val="005B54F2"/>
    <w:rsid w:val="005B557B"/>
    <w:rsid w:val="005B58CE"/>
    <w:rsid w:val="005B59D3"/>
    <w:rsid w:val="005B5B12"/>
    <w:rsid w:val="005B5BC4"/>
    <w:rsid w:val="005B5D95"/>
    <w:rsid w:val="005B5DCD"/>
    <w:rsid w:val="005B5F6E"/>
    <w:rsid w:val="005B5F8A"/>
    <w:rsid w:val="005B5F9E"/>
    <w:rsid w:val="005B62E6"/>
    <w:rsid w:val="005B63CA"/>
    <w:rsid w:val="005B63F3"/>
    <w:rsid w:val="005B641D"/>
    <w:rsid w:val="005B655B"/>
    <w:rsid w:val="005B65E3"/>
    <w:rsid w:val="005B66B5"/>
    <w:rsid w:val="005B6787"/>
    <w:rsid w:val="005B695F"/>
    <w:rsid w:val="005B6BE4"/>
    <w:rsid w:val="005B6C7B"/>
    <w:rsid w:val="005B70B5"/>
    <w:rsid w:val="005B7122"/>
    <w:rsid w:val="005B7372"/>
    <w:rsid w:val="005B737C"/>
    <w:rsid w:val="005B7438"/>
    <w:rsid w:val="005B74F0"/>
    <w:rsid w:val="005B770D"/>
    <w:rsid w:val="005B791F"/>
    <w:rsid w:val="005B7998"/>
    <w:rsid w:val="005B7AEA"/>
    <w:rsid w:val="005B7E88"/>
    <w:rsid w:val="005B7FAD"/>
    <w:rsid w:val="005C0390"/>
    <w:rsid w:val="005C045A"/>
    <w:rsid w:val="005C083C"/>
    <w:rsid w:val="005C08B3"/>
    <w:rsid w:val="005C0A61"/>
    <w:rsid w:val="005C0DE5"/>
    <w:rsid w:val="005C1927"/>
    <w:rsid w:val="005C1A83"/>
    <w:rsid w:val="005C1B05"/>
    <w:rsid w:val="005C1F49"/>
    <w:rsid w:val="005C1F87"/>
    <w:rsid w:val="005C1F95"/>
    <w:rsid w:val="005C2058"/>
    <w:rsid w:val="005C2197"/>
    <w:rsid w:val="005C21BD"/>
    <w:rsid w:val="005C26C0"/>
    <w:rsid w:val="005C2772"/>
    <w:rsid w:val="005C2E70"/>
    <w:rsid w:val="005C2E7F"/>
    <w:rsid w:val="005C32F1"/>
    <w:rsid w:val="005C36B5"/>
    <w:rsid w:val="005C383A"/>
    <w:rsid w:val="005C3890"/>
    <w:rsid w:val="005C3CDA"/>
    <w:rsid w:val="005C3D2F"/>
    <w:rsid w:val="005C3D6E"/>
    <w:rsid w:val="005C3F9D"/>
    <w:rsid w:val="005C3FAB"/>
    <w:rsid w:val="005C4069"/>
    <w:rsid w:val="005C44C2"/>
    <w:rsid w:val="005C45F0"/>
    <w:rsid w:val="005C4971"/>
    <w:rsid w:val="005C4CDA"/>
    <w:rsid w:val="005C4ED7"/>
    <w:rsid w:val="005C4FE7"/>
    <w:rsid w:val="005C54E6"/>
    <w:rsid w:val="005C559A"/>
    <w:rsid w:val="005C5738"/>
    <w:rsid w:val="005C585F"/>
    <w:rsid w:val="005C5871"/>
    <w:rsid w:val="005C5890"/>
    <w:rsid w:val="005C58F6"/>
    <w:rsid w:val="005C5A3B"/>
    <w:rsid w:val="005C5C2D"/>
    <w:rsid w:val="005C5C6E"/>
    <w:rsid w:val="005C5CAE"/>
    <w:rsid w:val="005C5CEA"/>
    <w:rsid w:val="005C5F33"/>
    <w:rsid w:val="005C6197"/>
    <w:rsid w:val="005C6276"/>
    <w:rsid w:val="005C6467"/>
    <w:rsid w:val="005C6603"/>
    <w:rsid w:val="005C6698"/>
    <w:rsid w:val="005C66FF"/>
    <w:rsid w:val="005C67AA"/>
    <w:rsid w:val="005C6813"/>
    <w:rsid w:val="005C6A8D"/>
    <w:rsid w:val="005C6A96"/>
    <w:rsid w:val="005C6B20"/>
    <w:rsid w:val="005C6BC1"/>
    <w:rsid w:val="005C6C3E"/>
    <w:rsid w:val="005C6E08"/>
    <w:rsid w:val="005C74D9"/>
    <w:rsid w:val="005C76A2"/>
    <w:rsid w:val="005C7797"/>
    <w:rsid w:val="005C7874"/>
    <w:rsid w:val="005C78C1"/>
    <w:rsid w:val="005C7956"/>
    <w:rsid w:val="005C7A0A"/>
    <w:rsid w:val="005C7A0B"/>
    <w:rsid w:val="005C7E17"/>
    <w:rsid w:val="005C7E1D"/>
    <w:rsid w:val="005C7E63"/>
    <w:rsid w:val="005D0035"/>
    <w:rsid w:val="005D00C6"/>
    <w:rsid w:val="005D00E9"/>
    <w:rsid w:val="005D0357"/>
    <w:rsid w:val="005D0358"/>
    <w:rsid w:val="005D03F7"/>
    <w:rsid w:val="005D0460"/>
    <w:rsid w:val="005D05BC"/>
    <w:rsid w:val="005D06A9"/>
    <w:rsid w:val="005D06AE"/>
    <w:rsid w:val="005D06B4"/>
    <w:rsid w:val="005D0951"/>
    <w:rsid w:val="005D09DE"/>
    <w:rsid w:val="005D0D83"/>
    <w:rsid w:val="005D0E97"/>
    <w:rsid w:val="005D0EB1"/>
    <w:rsid w:val="005D0F05"/>
    <w:rsid w:val="005D0F10"/>
    <w:rsid w:val="005D0F5E"/>
    <w:rsid w:val="005D0FEE"/>
    <w:rsid w:val="005D1074"/>
    <w:rsid w:val="005D1414"/>
    <w:rsid w:val="005D15F3"/>
    <w:rsid w:val="005D170D"/>
    <w:rsid w:val="005D172A"/>
    <w:rsid w:val="005D1A22"/>
    <w:rsid w:val="005D1A62"/>
    <w:rsid w:val="005D1A70"/>
    <w:rsid w:val="005D1B95"/>
    <w:rsid w:val="005D1C0D"/>
    <w:rsid w:val="005D1CA9"/>
    <w:rsid w:val="005D1F90"/>
    <w:rsid w:val="005D21D5"/>
    <w:rsid w:val="005D228E"/>
    <w:rsid w:val="005D2317"/>
    <w:rsid w:val="005D24FC"/>
    <w:rsid w:val="005D25C7"/>
    <w:rsid w:val="005D26A5"/>
    <w:rsid w:val="005D2B3B"/>
    <w:rsid w:val="005D3074"/>
    <w:rsid w:val="005D3131"/>
    <w:rsid w:val="005D3235"/>
    <w:rsid w:val="005D33E6"/>
    <w:rsid w:val="005D36F4"/>
    <w:rsid w:val="005D3748"/>
    <w:rsid w:val="005D38F4"/>
    <w:rsid w:val="005D3949"/>
    <w:rsid w:val="005D3C4B"/>
    <w:rsid w:val="005D3DF5"/>
    <w:rsid w:val="005D4022"/>
    <w:rsid w:val="005D4137"/>
    <w:rsid w:val="005D4261"/>
    <w:rsid w:val="005D43CC"/>
    <w:rsid w:val="005D4427"/>
    <w:rsid w:val="005D4538"/>
    <w:rsid w:val="005D474F"/>
    <w:rsid w:val="005D4ADA"/>
    <w:rsid w:val="005D4DD9"/>
    <w:rsid w:val="005D4E48"/>
    <w:rsid w:val="005D4EB8"/>
    <w:rsid w:val="005D4F9F"/>
    <w:rsid w:val="005D50E3"/>
    <w:rsid w:val="005D511B"/>
    <w:rsid w:val="005D5158"/>
    <w:rsid w:val="005D5309"/>
    <w:rsid w:val="005D54BE"/>
    <w:rsid w:val="005D5543"/>
    <w:rsid w:val="005D57D6"/>
    <w:rsid w:val="005D58E6"/>
    <w:rsid w:val="005D5AD7"/>
    <w:rsid w:val="005D5C2E"/>
    <w:rsid w:val="005D5C6E"/>
    <w:rsid w:val="005D5DED"/>
    <w:rsid w:val="005D5E36"/>
    <w:rsid w:val="005D5E5A"/>
    <w:rsid w:val="005D5FEB"/>
    <w:rsid w:val="005D6071"/>
    <w:rsid w:val="005D612C"/>
    <w:rsid w:val="005D61A0"/>
    <w:rsid w:val="005D62CA"/>
    <w:rsid w:val="005D630C"/>
    <w:rsid w:val="005D64B1"/>
    <w:rsid w:val="005D6560"/>
    <w:rsid w:val="005D6643"/>
    <w:rsid w:val="005D670D"/>
    <w:rsid w:val="005D67E3"/>
    <w:rsid w:val="005D685F"/>
    <w:rsid w:val="005D6D3A"/>
    <w:rsid w:val="005D6F1C"/>
    <w:rsid w:val="005D6FA2"/>
    <w:rsid w:val="005D70A2"/>
    <w:rsid w:val="005D7168"/>
    <w:rsid w:val="005D71CE"/>
    <w:rsid w:val="005D72E7"/>
    <w:rsid w:val="005D7453"/>
    <w:rsid w:val="005D7529"/>
    <w:rsid w:val="005D753A"/>
    <w:rsid w:val="005D7BA1"/>
    <w:rsid w:val="005D7C46"/>
    <w:rsid w:val="005D7DAE"/>
    <w:rsid w:val="005D7E49"/>
    <w:rsid w:val="005D7E85"/>
    <w:rsid w:val="005D7F57"/>
    <w:rsid w:val="005E0018"/>
    <w:rsid w:val="005E0144"/>
    <w:rsid w:val="005E0173"/>
    <w:rsid w:val="005E022A"/>
    <w:rsid w:val="005E04F9"/>
    <w:rsid w:val="005E04FA"/>
    <w:rsid w:val="005E0524"/>
    <w:rsid w:val="005E07FE"/>
    <w:rsid w:val="005E0928"/>
    <w:rsid w:val="005E0A54"/>
    <w:rsid w:val="005E0B46"/>
    <w:rsid w:val="005E0DEA"/>
    <w:rsid w:val="005E0E35"/>
    <w:rsid w:val="005E0F17"/>
    <w:rsid w:val="005E100C"/>
    <w:rsid w:val="005E10A4"/>
    <w:rsid w:val="005E10AC"/>
    <w:rsid w:val="005E1250"/>
    <w:rsid w:val="005E12FE"/>
    <w:rsid w:val="005E1420"/>
    <w:rsid w:val="005E16D1"/>
    <w:rsid w:val="005E1910"/>
    <w:rsid w:val="005E1AB4"/>
    <w:rsid w:val="005E1C44"/>
    <w:rsid w:val="005E1C53"/>
    <w:rsid w:val="005E1D76"/>
    <w:rsid w:val="005E1ECB"/>
    <w:rsid w:val="005E2020"/>
    <w:rsid w:val="005E208C"/>
    <w:rsid w:val="005E2115"/>
    <w:rsid w:val="005E22EB"/>
    <w:rsid w:val="005E2333"/>
    <w:rsid w:val="005E2451"/>
    <w:rsid w:val="005E2520"/>
    <w:rsid w:val="005E2525"/>
    <w:rsid w:val="005E2548"/>
    <w:rsid w:val="005E263E"/>
    <w:rsid w:val="005E270C"/>
    <w:rsid w:val="005E2792"/>
    <w:rsid w:val="005E2B96"/>
    <w:rsid w:val="005E2C56"/>
    <w:rsid w:val="005E2C9B"/>
    <w:rsid w:val="005E2EEA"/>
    <w:rsid w:val="005E3082"/>
    <w:rsid w:val="005E3222"/>
    <w:rsid w:val="005E32A4"/>
    <w:rsid w:val="005E330E"/>
    <w:rsid w:val="005E350F"/>
    <w:rsid w:val="005E38C1"/>
    <w:rsid w:val="005E3942"/>
    <w:rsid w:val="005E3E22"/>
    <w:rsid w:val="005E3F9B"/>
    <w:rsid w:val="005E41E7"/>
    <w:rsid w:val="005E43EA"/>
    <w:rsid w:val="005E4441"/>
    <w:rsid w:val="005E47B8"/>
    <w:rsid w:val="005E481E"/>
    <w:rsid w:val="005E4871"/>
    <w:rsid w:val="005E4AE0"/>
    <w:rsid w:val="005E4CE6"/>
    <w:rsid w:val="005E4DB4"/>
    <w:rsid w:val="005E4E59"/>
    <w:rsid w:val="005E5608"/>
    <w:rsid w:val="005E5997"/>
    <w:rsid w:val="005E5AD1"/>
    <w:rsid w:val="005E5BE8"/>
    <w:rsid w:val="005E5C13"/>
    <w:rsid w:val="005E6381"/>
    <w:rsid w:val="005E6468"/>
    <w:rsid w:val="005E6643"/>
    <w:rsid w:val="005E6A56"/>
    <w:rsid w:val="005E6AA2"/>
    <w:rsid w:val="005E6ACD"/>
    <w:rsid w:val="005E6C1E"/>
    <w:rsid w:val="005E6CBF"/>
    <w:rsid w:val="005E6DBE"/>
    <w:rsid w:val="005E7181"/>
    <w:rsid w:val="005E75C0"/>
    <w:rsid w:val="005E7679"/>
    <w:rsid w:val="005E776F"/>
    <w:rsid w:val="005E7777"/>
    <w:rsid w:val="005E78AB"/>
    <w:rsid w:val="005E7B23"/>
    <w:rsid w:val="005E7C13"/>
    <w:rsid w:val="005E7DF2"/>
    <w:rsid w:val="005E7E3B"/>
    <w:rsid w:val="005E7F86"/>
    <w:rsid w:val="005F00FC"/>
    <w:rsid w:val="005F06FE"/>
    <w:rsid w:val="005F08B2"/>
    <w:rsid w:val="005F0DED"/>
    <w:rsid w:val="005F1028"/>
    <w:rsid w:val="005F11CC"/>
    <w:rsid w:val="005F12D7"/>
    <w:rsid w:val="005F1410"/>
    <w:rsid w:val="005F153D"/>
    <w:rsid w:val="005F16EC"/>
    <w:rsid w:val="005F1737"/>
    <w:rsid w:val="005F17F7"/>
    <w:rsid w:val="005F1921"/>
    <w:rsid w:val="005F199E"/>
    <w:rsid w:val="005F1B61"/>
    <w:rsid w:val="005F1C8C"/>
    <w:rsid w:val="005F1DDE"/>
    <w:rsid w:val="005F22C7"/>
    <w:rsid w:val="005F24BD"/>
    <w:rsid w:val="005F2659"/>
    <w:rsid w:val="005F26A8"/>
    <w:rsid w:val="005F2B6A"/>
    <w:rsid w:val="005F2EB8"/>
    <w:rsid w:val="005F3095"/>
    <w:rsid w:val="005F3135"/>
    <w:rsid w:val="005F3210"/>
    <w:rsid w:val="005F32A5"/>
    <w:rsid w:val="005F380E"/>
    <w:rsid w:val="005F392E"/>
    <w:rsid w:val="005F3B6E"/>
    <w:rsid w:val="005F3BEE"/>
    <w:rsid w:val="005F3C58"/>
    <w:rsid w:val="005F3F27"/>
    <w:rsid w:val="005F40F7"/>
    <w:rsid w:val="005F4294"/>
    <w:rsid w:val="005F4548"/>
    <w:rsid w:val="005F4557"/>
    <w:rsid w:val="005F46A3"/>
    <w:rsid w:val="005F4733"/>
    <w:rsid w:val="005F475E"/>
    <w:rsid w:val="005F4864"/>
    <w:rsid w:val="005F48B0"/>
    <w:rsid w:val="005F492D"/>
    <w:rsid w:val="005F51C2"/>
    <w:rsid w:val="005F526A"/>
    <w:rsid w:val="005F52D3"/>
    <w:rsid w:val="005F542F"/>
    <w:rsid w:val="005F54CB"/>
    <w:rsid w:val="005F54EC"/>
    <w:rsid w:val="005F55B9"/>
    <w:rsid w:val="005F57F7"/>
    <w:rsid w:val="005F5953"/>
    <w:rsid w:val="005F5A20"/>
    <w:rsid w:val="005F5DE6"/>
    <w:rsid w:val="005F5E91"/>
    <w:rsid w:val="005F5F80"/>
    <w:rsid w:val="005F62E8"/>
    <w:rsid w:val="005F6435"/>
    <w:rsid w:val="005F6480"/>
    <w:rsid w:val="005F65E8"/>
    <w:rsid w:val="005F67DC"/>
    <w:rsid w:val="005F6D42"/>
    <w:rsid w:val="005F6DDC"/>
    <w:rsid w:val="005F7012"/>
    <w:rsid w:val="005F705F"/>
    <w:rsid w:val="005F70E9"/>
    <w:rsid w:val="005F722E"/>
    <w:rsid w:val="005F743B"/>
    <w:rsid w:val="005F74AF"/>
    <w:rsid w:val="005F76DA"/>
    <w:rsid w:val="005F76E5"/>
    <w:rsid w:val="005F7721"/>
    <w:rsid w:val="005F780F"/>
    <w:rsid w:val="005F7940"/>
    <w:rsid w:val="005F79FF"/>
    <w:rsid w:val="005F7A2D"/>
    <w:rsid w:val="005F7BD7"/>
    <w:rsid w:val="005F7DE1"/>
    <w:rsid w:val="005F7F6A"/>
    <w:rsid w:val="006000A8"/>
    <w:rsid w:val="006004BE"/>
    <w:rsid w:val="006004EE"/>
    <w:rsid w:val="0060069A"/>
    <w:rsid w:val="006008D5"/>
    <w:rsid w:val="0060097E"/>
    <w:rsid w:val="00600996"/>
    <w:rsid w:val="0060099A"/>
    <w:rsid w:val="00600A7B"/>
    <w:rsid w:val="00600AFC"/>
    <w:rsid w:val="00600BA9"/>
    <w:rsid w:val="00600C4C"/>
    <w:rsid w:val="00600CC8"/>
    <w:rsid w:val="00600DB5"/>
    <w:rsid w:val="00600E3C"/>
    <w:rsid w:val="00600F1D"/>
    <w:rsid w:val="00600F96"/>
    <w:rsid w:val="006010AF"/>
    <w:rsid w:val="00601167"/>
    <w:rsid w:val="00601193"/>
    <w:rsid w:val="006011B0"/>
    <w:rsid w:val="0060133E"/>
    <w:rsid w:val="006014A2"/>
    <w:rsid w:val="006014AD"/>
    <w:rsid w:val="00601942"/>
    <w:rsid w:val="00601944"/>
    <w:rsid w:val="00601E08"/>
    <w:rsid w:val="0060207C"/>
    <w:rsid w:val="006021A8"/>
    <w:rsid w:val="006023BD"/>
    <w:rsid w:val="006026DC"/>
    <w:rsid w:val="00602708"/>
    <w:rsid w:val="006028EB"/>
    <w:rsid w:val="00602B1B"/>
    <w:rsid w:val="00602CB3"/>
    <w:rsid w:val="00602CD7"/>
    <w:rsid w:val="0060304B"/>
    <w:rsid w:val="00603098"/>
    <w:rsid w:val="006030B4"/>
    <w:rsid w:val="00603183"/>
    <w:rsid w:val="0060331C"/>
    <w:rsid w:val="00603444"/>
    <w:rsid w:val="0060352B"/>
    <w:rsid w:val="006035A2"/>
    <w:rsid w:val="00603636"/>
    <w:rsid w:val="006036AC"/>
    <w:rsid w:val="00603864"/>
    <w:rsid w:val="00603946"/>
    <w:rsid w:val="006039A5"/>
    <w:rsid w:val="00603C48"/>
    <w:rsid w:val="0060412B"/>
    <w:rsid w:val="006041D7"/>
    <w:rsid w:val="00604546"/>
    <w:rsid w:val="0060467A"/>
    <w:rsid w:val="0060482D"/>
    <w:rsid w:val="00604C15"/>
    <w:rsid w:val="00604C4F"/>
    <w:rsid w:val="006050D3"/>
    <w:rsid w:val="0060513E"/>
    <w:rsid w:val="00605342"/>
    <w:rsid w:val="006056C9"/>
    <w:rsid w:val="006056D2"/>
    <w:rsid w:val="006058B0"/>
    <w:rsid w:val="00605ACA"/>
    <w:rsid w:val="00605B5F"/>
    <w:rsid w:val="00605BA1"/>
    <w:rsid w:val="00605DDD"/>
    <w:rsid w:val="00605EF3"/>
    <w:rsid w:val="006060B1"/>
    <w:rsid w:val="006060DF"/>
    <w:rsid w:val="006062DE"/>
    <w:rsid w:val="00606366"/>
    <w:rsid w:val="006065EE"/>
    <w:rsid w:val="00606611"/>
    <w:rsid w:val="006067B9"/>
    <w:rsid w:val="00606850"/>
    <w:rsid w:val="00606863"/>
    <w:rsid w:val="00606CBD"/>
    <w:rsid w:val="00606E91"/>
    <w:rsid w:val="00606EF8"/>
    <w:rsid w:val="0060703D"/>
    <w:rsid w:val="006071E9"/>
    <w:rsid w:val="00607294"/>
    <w:rsid w:val="0060732E"/>
    <w:rsid w:val="0060756B"/>
    <w:rsid w:val="00607644"/>
    <w:rsid w:val="00607677"/>
    <w:rsid w:val="0060778E"/>
    <w:rsid w:val="0060782D"/>
    <w:rsid w:val="0060786E"/>
    <w:rsid w:val="006078D8"/>
    <w:rsid w:val="006079CB"/>
    <w:rsid w:val="00607A90"/>
    <w:rsid w:val="00607B2B"/>
    <w:rsid w:val="00607B8F"/>
    <w:rsid w:val="00607BA6"/>
    <w:rsid w:val="006105A7"/>
    <w:rsid w:val="00610608"/>
    <w:rsid w:val="00610842"/>
    <w:rsid w:val="00610C00"/>
    <w:rsid w:val="00610DEA"/>
    <w:rsid w:val="00610F1D"/>
    <w:rsid w:val="00610FDD"/>
    <w:rsid w:val="00611221"/>
    <w:rsid w:val="0061149F"/>
    <w:rsid w:val="006114EE"/>
    <w:rsid w:val="00611592"/>
    <w:rsid w:val="006115BA"/>
    <w:rsid w:val="0061166E"/>
    <w:rsid w:val="0061170B"/>
    <w:rsid w:val="00611747"/>
    <w:rsid w:val="00611B17"/>
    <w:rsid w:val="00611CE2"/>
    <w:rsid w:val="0061230C"/>
    <w:rsid w:val="00612602"/>
    <w:rsid w:val="0061264B"/>
    <w:rsid w:val="00612A6A"/>
    <w:rsid w:val="00612CBC"/>
    <w:rsid w:val="00612CD2"/>
    <w:rsid w:val="00612EF9"/>
    <w:rsid w:val="00612F97"/>
    <w:rsid w:val="00613051"/>
    <w:rsid w:val="00613397"/>
    <w:rsid w:val="00613580"/>
    <w:rsid w:val="006135AE"/>
    <w:rsid w:val="00613879"/>
    <w:rsid w:val="006138D4"/>
    <w:rsid w:val="006138E3"/>
    <w:rsid w:val="00613C43"/>
    <w:rsid w:val="00613EBA"/>
    <w:rsid w:val="006140E8"/>
    <w:rsid w:val="0061416E"/>
    <w:rsid w:val="00614175"/>
    <w:rsid w:val="00614263"/>
    <w:rsid w:val="0061431C"/>
    <w:rsid w:val="006147B7"/>
    <w:rsid w:val="006147C6"/>
    <w:rsid w:val="00614B49"/>
    <w:rsid w:val="00614B60"/>
    <w:rsid w:val="00615146"/>
    <w:rsid w:val="00615200"/>
    <w:rsid w:val="0061558B"/>
    <w:rsid w:val="0061564F"/>
    <w:rsid w:val="006157C7"/>
    <w:rsid w:val="00615895"/>
    <w:rsid w:val="00615A04"/>
    <w:rsid w:val="00615ABF"/>
    <w:rsid w:val="006162EE"/>
    <w:rsid w:val="006163BD"/>
    <w:rsid w:val="0061650F"/>
    <w:rsid w:val="00616856"/>
    <w:rsid w:val="00616933"/>
    <w:rsid w:val="00616C51"/>
    <w:rsid w:val="00616E39"/>
    <w:rsid w:val="00616E44"/>
    <w:rsid w:val="006174C3"/>
    <w:rsid w:val="006176CB"/>
    <w:rsid w:val="006176DD"/>
    <w:rsid w:val="0061778E"/>
    <w:rsid w:val="00617B6D"/>
    <w:rsid w:val="00617CEC"/>
    <w:rsid w:val="00617EC0"/>
    <w:rsid w:val="00620053"/>
    <w:rsid w:val="00620169"/>
    <w:rsid w:val="006201E1"/>
    <w:rsid w:val="00620277"/>
    <w:rsid w:val="00620821"/>
    <w:rsid w:val="006209D0"/>
    <w:rsid w:val="00620C2C"/>
    <w:rsid w:val="00620E7C"/>
    <w:rsid w:val="00620EF5"/>
    <w:rsid w:val="00621223"/>
    <w:rsid w:val="006212DA"/>
    <w:rsid w:val="006212F7"/>
    <w:rsid w:val="00621577"/>
    <w:rsid w:val="006215FE"/>
    <w:rsid w:val="006216D3"/>
    <w:rsid w:val="0062179E"/>
    <w:rsid w:val="006221AE"/>
    <w:rsid w:val="006221C8"/>
    <w:rsid w:val="00622257"/>
    <w:rsid w:val="0062225F"/>
    <w:rsid w:val="006224C4"/>
    <w:rsid w:val="006224D8"/>
    <w:rsid w:val="006229E5"/>
    <w:rsid w:val="00622A73"/>
    <w:rsid w:val="00622FD3"/>
    <w:rsid w:val="006232A2"/>
    <w:rsid w:val="006234AA"/>
    <w:rsid w:val="0062391B"/>
    <w:rsid w:val="00623A2E"/>
    <w:rsid w:val="00623B49"/>
    <w:rsid w:val="00623D38"/>
    <w:rsid w:val="00623DA5"/>
    <w:rsid w:val="00623DF3"/>
    <w:rsid w:val="00623FFE"/>
    <w:rsid w:val="00624181"/>
    <w:rsid w:val="006241DC"/>
    <w:rsid w:val="00624220"/>
    <w:rsid w:val="0062430F"/>
    <w:rsid w:val="00624415"/>
    <w:rsid w:val="0062443A"/>
    <w:rsid w:val="006245DF"/>
    <w:rsid w:val="006247FF"/>
    <w:rsid w:val="00624899"/>
    <w:rsid w:val="00624938"/>
    <w:rsid w:val="00624D19"/>
    <w:rsid w:val="00624F51"/>
    <w:rsid w:val="00625213"/>
    <w:rsid w:val="00625252"/>
    <w:rsid w:val="006252A5"/>
    <w:rsid w:val="0062535A"/>
    <w:rsid w:val="006254FC"/>
    <w:rsid w:val="00625511"/>
    <w:rsid w:val="006257A6"/>
    <w:rsid w:val="006257B2"/>
    <w:rsid w:val="006258EC"/>
    <w:rsid w:val="006259D8"/>
    <w:rsid w:val="00625AFC"/>
    <w:rsid w:val="00625B43"/>
    <w:rsid w:val="00625CA6"/>
    <w:rsid w:val="00625D3A"/>
    <w:rsid w:val="00625DDE"/>
    <w:rsid w:val="00625E01"/>
    <w:rsid w:val="00626025"/>
    <w:rsid w:val="00626279"/>
    <w:rsid w:val="00626329"/>
    <w:rsid w:val="006266E5"/>
    <w:rsid w:val="006266FF"/>
    <w:rsid w:val="0062677E"/>
    <w:rsid w:val="006268B4"/>
    <w:rsid w:val="00626942"/>
    <w:rsid w:val="0062697F"/>
    <w:rsid w:val="00626A36"/>
    <w:rsid w:val="00626B4A"/>
    <w:rsid w:val="00626C29"/>
    <w:rsid w:val="00626E7C"/>
    <w:rsid w:val="0062704A"/>
    <w:rsid w:val="006271DD"/>
    <w:rsid w:val="006272EE"/>
    <w:rsid w:val="0062742C"/>
    <w:rsid w:val="006278A9"/>
    <w:rsid w:val="006279F7"/>
    <w:rsid w:val="00627AE9"/>
    <w:rsid w:val="00627E75"/>
    <w:rsid w:val="00630071"/>
    <w:rsid w:val="0063009C"/>
    <w:rsid w:val="006301BB"/>
    <w:rsid w:val="0063031B"/>
    <w:rsid w:val="0063049B"/>
    <w:rsid w:val="006305F5"/>
    <w:rsid w:val="0063068B"/>
    <w:rsid w:val="00630701"/>
    <w:rsid w:val="00630885"/>
    <w:rsid w:val="00630928"/>
    <w:rsid w:val="00630A60"/>
    <w:rsid w:val="00630AC5"/>
    <w:rsid w:val="00630B54"/>
    <w:rsid w:val="00630BD7"/>
    <w:rsid w:val="00630C41"/>
    <w:rsid w:val="00630D78"/>
    <w:rsid w:val="00630DA4"/>
    <w:rsid w:val="00630E1A"/>
    <w:rsid w:val="00630E3B"/>
    <w:rsid w:val="00631479"/>
    <w:rsid w:val="00631573"/>
    <w:rsid w:val="006317EE"/>
    <w:rsid w:val="00631817"/>
    <w:rsid w:val="0063185B"/>
    <w:rsid w:val="00631A1F"/>
    <w:rsid w:val="00631A53"/>
    <w:rsid w:val="00631A57"/>
    <w:rsid w:val="00631E7F"/>
    <w:rsid w:val="00631F9C"/>
    <w:rsid w:val="00631FC3"/>
    <w:rsid w:val="00631FD0"/>
    <w:rsid w:val="00632005"/>
    <w:rsid w:val="006320F4"/>
    <w:rsid w:val="006321A5"/>
    <w:rsid w:val="00632209"/>
    <w:rsid w:val="006323C4"/>
    <w:rsid w:val="00632671"/>
    <w:rsid w:val="006327EC"/>
    <w:rsid w:val="006328EB"/>
    <w:rsid w:val="00632951"/>
    <w:rsid w:val="00632966"/>
    <w:rsid w:val="00632976"/>
    <w:rsid w:val="00632A05"/>
    <w:rsid w:val="00632D68"/>
    <w:rsid w:val="00632D97"/>
    <w:rsid w:val="00633053"/>
    <w:rsid w:val="006330E9"/>
    <w:rsid w:val="00633622"/>
    <w:rsid w:val="00633624"/>
    <w:rsid w:val="006337AB"/>
    <w:rsid w:val="00633970"/>
    <w:rsid w:val="00633A9F"/>
    <w:rsid w:val="00633CA2"/>
    <w:rsid w:val="00633DFA"/>
    <w:rsid w:val="0063401B"/>
    <w:rsid w:val="00634096"/>
    <w:rsid w:val="00634306"/>
    <w:rsid w:val="00634627"/>
    <w:rsid w:val="00634735"/>
    <w:rsid w:val="006348A4"/>
    <w:rsid w:val="00634B44"/>
    <w:rsid w:val="00634B9B"/>
    <w:rsid w:val="00634C88"/>
    <w:rsid w:val="00634D20"/>
    <w:rsid w:val="00634E10"/>
    <w:rsid w:val="00634EEE"/>
    <w:rsid w:val="00634EF8"/>
    <w:rsid w:val="0063502E"/>
    <w:rsid w:val="00635156"/>
    <w:rsid w:val="006351A0"/>
    <w:rsid w:val="006355DF"/>
    <w:rsid w:val="00635725"/>
    <w:rsid w:val="0063578A"/>
    <w:rsid w:val="00635A06"/>
    <w:rsid w:val="00635A83"/>
    <w:rsid w:val="00635E4E"/>
    <w:rsid w:val="00635EDB"/>
    <w:rsid w:val="00635EFA"/>
    <w:rsid w:val="00635FD3"/>
    <w:rsid w:val="006361CD"/>
    <w:rsid w:val="00636322"/>
    <w:rsid w:val="00636458"/>
    <w:rsid w:val="00636490"/>
    <w:rsid w:val="00636620"/>
    <w:rsid w:val="006366A4"/>
    <w:rsid w:val="0063696D"/>
    <w:rsid w:val="006369AC"/>
    <w:rsid w:val="00636B14"/>
    <w:rsid w:val="00636B57"/>
    <w:rsid w:val="00637330"/>
    <w:rsid w:val="00637344"/>
    <w:rsid w:val="006376F3"/>
    <w:rsid w:val="0063776F"/>
    <w:rsid w:val="00637B45"/>
    <w:rsid w:val="00637C88"/>
    <w:rsid w:val="00637E20"/>
    <w:rsid w:val="00637EE6"/>
    <w:rsid w:val="00637EF6"/>
    <w:rsid w:val="006400BB"/>
    <w:rsid w:val="00640104"/>
    <w:rsid w:val="00640143"/>
    <w:rsid w:val="006404DB"/>
    <w:rsid w:val="0064072C"/>
    <w:rsid w:val="0064084C"/>
    <w:rsid w:val="00640A00"/>
    <w:rsid w:val="00640C33"/>
    <w:rsid w:val="00640CE1"/>
    <w:rsid w:val="00640D28"/>
    <w:rsid w:val="00640E00"/>
    <w:rsid w:val="00641174"/>
    <w:rsid w:val="006416BA"/>
    <w:rsid w:val="006416D8"/>
    <w:rsid w:val="006419D5"/>
    <w:rsid w:val="00641A7E"/>
    <w:rsid w:val="00641D7F"/>
    <w:rsid w:val="00641EAB"/>
    <w:rsid w:val="00641F2F"/>
    <w:rsid w:val="00641F41"/>
    <w:rsid w:val="00642315"/>
    <w:rsid w:val="00642332"/>
    <w:rsid w:val="00642495"/>
    <w:rsid w:val="006425C9"/>
    <w:rsid w:val="0064265B"/>
    <w:rsid w:val="0064279E"/>
    <w:rsid w:val="00642959"/>
    <w:rsid w:val="00642AE1"/>
    <w:rsid w:val="00642D27"/>
    <w:rsid w:val="00642F60"/>
    <w:rsid w:val="00643241"/>
    <w:rsid w:val="00643516"/>
    <w:rsid w:val="006436D5"/>
    <w:rsid w:val="0064376B"/>
    <w:rsid w:val="00643915"/>
    <w:rsid w:val="00643B21"/>
    <w:rsid w:val="00643D8D"/>
    <w:rsid w:val="00643DA6"/>
    <w:rsid w:val="00643F81"/>
    <w:rsid w:val="006441E6"/>
    <w:rsid w:val="00644281"/>
    <w:rsid w:val="0064434B"/>
    <w:rsid w:val="006443C3"/>
    <w:rsid w:val="00644485"/>
    <w:rsid w:val="006448DD"/>
    <w:rsid w:val="00644DAD"/>
    <w:rsid w:val="00644F32"/>
    <w:rsid w:val="00644F58"/>
    <w:rsid w:val="006450BF"/>
    <w:rsid w:val="00645263"/>
    <w:rsid w:val="006452A1"/>
    <w:rsid w:val="00645315"/>
    <w:rsid w:val="006454D9"/>
    <w:rsid w:val="00645522"/>
    <w:rsid w:val="0064566A"/>
    <w:rsid w:val="00645886"/>
    <w:rsid w:val="0064596C"/>
    <w:rsid w:val="00645EFE"/>
    <w:rsid w:val="00646315"/>
    <w:rsid w:val="00646354"/>
    <w:rsid w:val="0064635A"/>
    <w:rsid w:val="00646505"/>
    <w:rsid w:val="00646555"/>
    <w:rsid w:val="00646591"/>
    <w:rsid w:val="0064669E"/>
    <w:rsid w:val="0064677D"/>
    <w:rsid w:val="006468AF"/>
    <w:rsid w:val="00646B1C"/>
    <w:rsid w:val="00646B6D"/>
    <w:rsid w:val="00646E36"/>
    <w:rsid w:val="00647020"/>
    <w:rsid w:val="00647185"/>
    <w:rsid w:val="0064719D"/>
    <w:rsid w:val="006471B7"/>
    <w:rsid w:val="006471FE"/>
    <w:rsid w:val="0064721D"/>
    <w:rsid w:val="0064744C"/>
    <w:rsid w:val="0064749A"/>
    <w:rsid w:val="0064761A"/>
    <w:rsid w:val="006476F3"/>
    <w:rsid w:val="006477D3"/>
    <w:rsid w:val="0064797B"/>
    <w:rsid w:val="00647B07"/>
    <w:rsid w:val="00647C3A"/>
    <w:rsid w:val="006500D9"/>
    <w:rsid w:val="00650333"/>
    <w:rsid w:val="00650374"/>
    <w:rsid w:val="0065037D"/>
    <w:rsid w:val="00650792"/>
    <w:rsid w:val="0065083F"/>
    <w:rsid w:val="00650888"/>
    <w:rsid w:val="00650ABC"/>
    <w:rsid w:val="00650AF6"/>
    <w:rsid w:val="00650E4B"/>
    <w:rsid w:val="00650E4F"/>
    <w:rsid w:val="00650FF5"/>
    <w:rsid w:val="00651027"/>
    <w:rsid w:val="0065150D"/>
    <w:rsid w:val="00651556"/>
    <w:rsid w:val="0065166F"/>
    <w:rsid w:val="006516A6"/>
    <w:rsid w:val="006516E3"/>
    <w:rsid w:val="006516ED"/>
    <w:rsid w:val="0065177C"/>
    <w:rsid w:val="00651B1F"/>
    <w:rsid w:val="00651B2D"/>
    <w:rsid w:val="00651D5F"/>
    <w:rsid w:val="0065248C"/>
    <w:rsid w:val="006525DB"/>
    <w:rsid w:val="00652703"/>
    <w:rsid w:val="00652F39"/>
    <w:rsid w:val="0065334D"/>
    <w:rsid w:val="00653358"/>
    <w:rsid w:val="006533FA"/>
    <w:rsid w:val="00653488"/>
    <w:rsid w:val="006536F9"/>
    <w:rsid w:val="00653725"/>
    <w:rsid w:val="0065372C"/>
    <w:rsid w:val="0065385F"/>
    <w:rsid w:val="00653923"/>
    <w:rsid w:val="0065398C"/>
    <w:rsid w:val="006539B7"/>
    <w:rsid w:val="00653AF9"/>
    <w:rsid w:val="00653B7A"/>
    <w:rsid w:val="00653EE1"/>
    <w:rsid w:val="00653FAB"/>
    <w:rsid w:val="00654263"/>
    <w:rsid w:val="0065433F"/>
    <w:rsid w:val="00654375"/>
    <w:rsid w:val="006543A6"/>
    <w:rsid w:val="006545B5"/>
    <w:rsid w:val="006546D5"/>
    <w:rsid w:val="006549AE"/>
    <w:rsid w:val="00654A2D"/>
    <w:rsid w:val="00654B94"/>
    <w:rsid w:val="00654C7D"/>
    <w:rsid w:val="00654CDF"/>
    <w:rsid w:val="00654DD7"/>
    <w:rsid w:val="00654E40"/>
    <w:rsid w:val="00655041"/>
    <w:rsid w:val="006550A5"/>
    <w:rsid w:val="0065519E"/>
    <w:rsid w:val="006551A8"/>
    <w:rsid w:val="00655288"/>
    <w:rsid w:val="0065557B"/>
    <w:rsid w:val="006555A9"/>
    <w:rsid w:val="006555B8"/>
    <w:rsid w:val="0065562E"/>
    <w:rsid w:val="006558B1"/>
    <w:rsid w:val="00655A55"/>
    <w:rsid w:val="00656230"/>
    <w:rsid w:val="006564D7"/>
    <w:rsid w:val="00656571"/>
    <w:rsid w:val="0065678E"/>
    <w:rsid w:val="006567F5"/>
    <w:rsid w:val="006569A9"/>
    <w:rsid w:val="006569F8"/>
    <w:rsid w:val="00656B71"/>
    <w:rsid w:val="00656CFC"/>
    <w:rsid w:val="00656D19"/>
    <w:rsid w:val="00656DA5"/>
    <w:rsid w:val="00656E90"/>
    <w:rsid w:val="006570A9"/>
    <w:rsid w:val="006570FB"/>
    <w:rsid w:val="0065710D"/>
    <w:rsid w:val="00657172"/>
    <w:rsid w:val="00657472"/>
    <w:rsid w:val="00657521"/>
    <w:rsid w:val="006577AA"/>
    <w:rsid w:val="00657835"/>
    <w:rsid w:val="00657C45"/>
    <w:rsid w:val="0066031A"/>
    <w:rsid w:val="0066058C"/>
    <w:rsid w:val="0066061D"/>
    <w:rsid w:val="0066068C"/>
    <w:rsid w:val="006606A1"/>
    <w:rsid w:val="00660746"/>
    <w:rsid w:val="006608F2"/>
    <w:rsid w:val="00660CD5"/>
    <w:rsid w:val="00660EE1"/>
    <w:rsid w:val="00660F19"/>
    <w:rsid w:val="006614BE"/>
    <w:rsid w:val="006615D1"/>
    <w:rsid w:val="00661613"/>
    <w:rsid w:val="006617FB"/>
    <w:rsid w:val="0066181A"/>
    <w:rsid w:val="00661893"/>
    <w:rsid w:val="006618CF"/>
    <w:rsid w:val="00661983"/>
    <w:rsid w:val="006619A7"/>
    <w:rsid w:val="00661D4C"/>
    <w:rsid w:val="00661F32"/>
    <w:rsid w:val="00661FE4"/>
    <w:rsid w:val="006620BA"/>
    <w:rsid w:val="00662184"/>
    <w:rsid w:val="00662670"/>
    <w:rsid w:val="00662731"/>
    <w:rsid w:val="0066275C"/>
    <w:rsid w:val="0066285E"/>
    <w:rsid w:val="00662A1D"/>
    <w:rsid w:val="00662BDF"/>
    <w:rsid w:val="00662DE0"/>
    <w:rsid w:val="00663058"/>
    <w:rsid w:val="006631C5"/>
    <w:rsid w:val="006634CC"/>
    <w:rsid w:val="00663532"/>
    <w:rsid w:val="00663781"/>
    <w:rsid w:val="0066391F"/>
    <w:rsid w:val="00663CCC"/>
    <w:rsid w:val="00663DA7"/>
    <w:rsid w:val="00663DBF"/>
    <w:rsid w:val="00663FA3"/>
    <w:rsid w:val="00664042"/>
    <w:rsid w:val="0066416B"/>
    <w:rsid w:val="006641A0"/>
    <w:rsid w:val="00664309"/>
    <w:rsid w:val="0066431A"/>
    <w:rsid w:val="0066439F"/>
    <w:rsid w:val="0066449D"/>
    <w:rsid w:val="00664633"/>
    <w:rsid w:val="0066470E"/>
    <w:rsid w:val="00664871"/>
    <w:rsid w:val="00664AB6"/>
    <w:rsid w:val="00664BC0"/>
    <w:rsid w:val="00664C8A"/>
    <w:rsid w:val="00664EF8"/>
    <w:rsid w:val="0066507B"/>
    <w:rsid w:val="00665302"/>
    <w:rsid w:val="00665376"/>
    <w:rsid w:val="00665487"/>
    <w:rsid w:val="00665508"/>
    <w:rsid w:val="00665515"/>
    <w:rsid w:val="00665A0E"/>
    <w:rsid w:val="00665A48"/>
    <w:rsid w:val="00665C2E"/>
    <w:rsid w:val="00665C4E"/>
    <w:rsid w:val="00665D83"/>
    <w:rsid w:val="006660C5"/>
    <w:rsid w:val="00666125"/>
    <w:rsid w:val="006661FC"/>
    <w:rsid w:val="00666324"/>
    <w:rsid w:val="00666644"/>
    <w:rsid w:val="006667AB"/>
    <w:rsid w:val="006667BE"/>
    <w:rsid w:val="00666842"/>
    <w:rsid w:val="00666880"/>
    <w:rsid w:val="006669B7"/>
    <w:rsid w:val="006669EF"/>
    <w:rsid w:val="00666B14"/>
    <w:rsid w:val="00666B17"/>
    <w:rsid w:val="00666B56"/>
    <w:rsid w:val="00666B8F"/>
    <w:rsid w:val="00666E6B"/>
    <w:rsid w:val="00666ED3"/>
    <w:rsid w:val="00666F79"/>
    <w:rsid w:val="00666FFF"/>
    <w:rsid w:val="0066712B"/>
    <w:rsid w:val="006671B8"/>
    <w:rsid w:val="006671F9"/>
    <w:rsid w:val="006672A4"/>
    <w:rsid w:val="006674B2"/>
    <w:rsid w:val="00667699"/>
    <w:rsid w:val="00667798"/>
    <w:rsid w:val="00667829"/>
    <w:rsid w:val="006678E7"/>
    <w:rsid w:val="00667957"/>
    <w:rsid w:val="00667AF7"/>
    <w:rsid w:val="00667CDF"/>
    <w:rsid w:val="006704D3"/>
    <w:rsid w:val="0067055A"/>
    <w:rsid w:val="006705A4"/>
    <w:rsid w:val="006707C9"/>
    <w:rsid w:val="0067088D"/>
    <w:rsid w:val="006708AB"/>
    <w:rsid w:val="006708FE"/>
    <w:rsid w:val="00670BC0"/>
    <w:rsid w:val="00670BEA"/>
    <w:rsid w:val="00670D90"/>
    <w:rsid w:val="00670F9F"/>
    <w:rsid w:val="006713D9"/>
    <w:rsid w:val="0067146B"/>
    <w:rsid w:val="006716F5"/>
    <w:rsid w:val="006718BA"/>
    <w:rsid w:val="00671952"/>
    <w:rsid w:val="00671BDF"/>
    <w:rsid w:val="00671C5A"/>
    <w:rsid w:val="00671F13"/>
    <w:rsid w:val="00672133"/>
    <w:rsid w:val="00672692"/>
    <w:rsid w:val="0067276F"/>
    <w:rsid w:val="006728D0"/>
    <w:rsid w:val="00672BB0"/>
    <w:rsid w:val="00672BF8"/>
    <w:rsid w:val="00672E64"/>
    <w:rsid w:val="00672E92"/>
    <w:rsid w:val="00672ED0"/>
    <w:rsid w:val="00673082"/>
    <w:rsid w:val="00673819"/>
    <w:rsid w:val="00673972"/>
    <w:rsid w:val="006739EE"/>
    <w:rsid w:val="00673A42"/>
    <w:rsid w:val="00673B26"/>
    <w:rsid w:val="00673B3B"/>
    <w:rsid w:val="00673B65"/>
    <w:rsid w:val="00673CFA"/>
    <w:rsid w:val="00673D14"/>
    <w:rsid w:val="00673D84"/>
    <w:rsid w:val="00673F83"/>
    <w:rsid w:val="00674027"/>
    <w:rsid w:val="00674091"/>
    <w:rsid w:val="0067410B"/>
    <w:rsid w:val="00674AC9"/>
    <w:rsid w:val="00674B7C"/>
    <w:rsid w:val="00674C10"/>
    <w:rsid w:val="00674C81"/>
    <w:rsid w:val="00674E52"/>
    <w:rsid w:val="00674FEC"/>
    <w:rsid w:val="006750E1"/>
    <w:rsid w:val="00675332"/>
    <w:rsid w:val="0067539C"/>
    <w:rsid w:val="006754F5"/>
    <w:rsid w:val="00675658"/>
    <w:rsid w:val="0067569E"/>
    <w:rsid w:val="006756D9"/>
    <w:rsid w:val="00675906"/>
    <w:rsid w:val="00675D7C"/>
    <w:rsid w:val="006761DD"/>
    <w:rsid w:val="006762E2"/>
    <w:rsid w:val="00676568"/>
    <w:rsid w:val="006765FC"/>
    <w:rsid w:val="00676698"/>
    <w:rsid w:val="0067690A"/>
    <w:rsid w:val="0067693A"/>
    <w:rsid w:val="00676A0D"/>
    <w:rsid w:val="00676B6E"/>
    <w:rsid w:val="00676C10"/>
    <w:rsid w:val="00676E3A"/>
    <w:rsid w:val="0067712B"/>
    <w:rsid w:val="006772C1"/>
    <w:rsid w:val="00677EB5"/>
    <w:rsid w:val="00677F5D"/>
    <w:rsid w:val="0068030E"/>
    <w:rsid w:val="00680392"/>
    <w:rsid w:val="006803DB"/>
    <w:rsid w:val="0068072A"/>
    <w:rsid w:val="006807B1"/>
    <w:rsid w:val="00680B43"/>
    <w:rsid w:val="00680B7F"/>
    <w:rsid w:val="00680D31"/>
    <w:rsid w:val="00680E17"/>
    <w:rsid w:val="00680ECA"/>
    <w:rsid w:val="00680EF2"/>
    <w:rsid w:val="00680F0A"/>
    <w:rsid w:val="00680FAF"/>
    <w:rsid w:val="006811B7"/>
    <w:rsid w:val="00681209"/>
    <w:rsid w:val="00681263"/>
    <w:rsid w:val="00681440"/>
    <w:rsid w:val="00681460"/>
    <w:rsid w:val="00681466"/>
    <w:rsid w:val="006816A6"/>
    <w:rsid w:val="0068188A"/>
    <w:rsid w:val="00681993"/>
    <w:rsid w:val="00681A52"/>
    <w:rsid w:val="00681AD0"/>
    <w:rsid w:val="00681CBD"/>
    <w:rsid w:val="00681FC0"/>
    <w:rsid w:val="006824E6"/>
    <w:rsid w:val="00682567"/>
    <w:rsid w:val="0068270C"/>
    <w:rsid w:val="006827CF"/>
    <w:rsid w:val="00682974"/>
    <w:rsid w:val="00682A00"/>
    <w:rsid w:val="00682A80"/>
    <w:rsid w:val="00682DDC"/>
    <w:rsid w:val="00683245"/>
    <w:rsid w:val="00683286"/>
    <w:rsid w:val="0068333A"/>
    <w:rsid w:val="00683400"/>
    <w:rsid w:val="00683406"/>
    <w:rsid w:val="0068344C"/>
    <w:rsid w:val="00683630"/>
    <w:rsid w:val="00683746"/>
    <w:rsid w:val="006837D0"/>
    <w:rsid w:val="00683924"/>
    <w:rsid w:val="00683A9C"/>
    <w:rsid w:val="00683E9F"/>
    <w:rsid w:val="00683EE4"/>
    <w:rsid w:val="00684027"/>
    <w:rsid w:val="00684266"/>
    <w:rsid w:val="006843E5"/>
    <w:rsid w:val="0068457F"/>
    <w:rsid w:val="006845BA"/>
    <w:rsid w:val="0068469A"/>
    <w:rsid w:val="00684808"/>
    <w:rsid w:val="0068494F"/>
    <w:rsid w:val="00684A6F"/>
    <w:rsid w:val="00684C07"/>
    <w:rsid w:val="00684C51"/>
    <w:rsid w:val="006852C5"/>
    <w:rsid w:val="0068552B"/>
    <w:rsid w:val="00685534"/>
    <w:rsid w:val="006857C3"/>
    <w:rsid w:val="006857E8"/>
    <w:rsid w:val="0068583C"/>
    <w:rsid w:val="00685A6A"/>
    <w:rsid w:val="00685AA3"/>
    <w:rsid w:val="00685CA1"/>
    <w:rsid w:val="00685D90"/>
    <w:rsid w:val="00685E29"/>
    <w:rsid w:val="00686029"/>
    <w:rsid w:val="006860A7"/>
    <w:rsid w:val="006863F1"/>
    <w:rsid w:val="006864E5"/>
    <w:rsid w:val="006868E1"/>
    <w:rsid w:val="00686920"/>
    <w:rsid w:val="00686938"/>
    <w:rsid w:val="00686988"/>
    <w:rsid w:val="00686B8E"/>
    <w:rsid w:val="00686C53"/>
    <w:rsid w:val="00686C77"/>
    <w:rsid w:val="00686F98"/>
    <w:rsid w:val="006870C8"/>
    <w:rsid w:val="006871A8"/>
    <w:rsid w:val="006871EF"/>
    <w:rsid w:val="006874CD"/>
    <w:rsid w:val="00687556"/>
    <w:rsid w:val="006875A2"/>
    <w:rsid w:val="00687613"/>
    <w:rsid w:val="00687B32"/>
    <w:rsid w:val="00687DA2"/>
    <w:rsid w:val="00687E61"/>
    <w:rsid w:val="00687F12"/>
    <w:rsid w:val="0069009B"/>
    <w:rsid w:val="006900BB"/>
    <w:rsid w:val="00690119"/>
    <w:rsid w:val="006901A9"/>
    <w:rsid w:val="0069020C"/>
    <w:rsid w:val="00690215"/>
    <w:rsid w:val="006902D9"/>
    <w:rsid w:val="0069031A"/>
    <w:rsid w:val="0069048E"/>
    <w:rsid w:val="00690490"/>
    <w:rsid w:val="00690516"/>
    <w:rsid w:val="00690524"/>
    <w:rsid w:val="006905CB"/>
    <w:rsid w:val="00690665"/>
    <w:rsid w:val="00690940"/>
    <w:rsid w:val="00690A07"/>
    <w:rsid w:val="00690A7E"/>
    <w:rsid w:val="00690AB8"/>
    <w:rsid w:val="00690AD0"/>
    <w:rsid w:val="00690E7F"/>
    <w:rsid w:val="006911F5"/>
    <w:rsid w:val="0069139A"/>
    <w:rsid w:val="0069168B"/>
    <w:rsid w:val="0069188C"/>
    <w:rsid w:val="00691A24"/>
    <w:rsid w:val="00691D1B"/>
    <w:rsid w:val="00691D1E"/>
    <w:rsid w:val="00691D49"/>
    <w:rsid w:val="00691D80"/>
    <w:rsid w:val="00691E47"/>
    <w:rsid w:val="0069214A"/>
    <w:rsid w:val="00692481"/>
    <w:rsid w:val="00692556"/>
    <w:rsid w:val="006925BB"/>
    <w:rsid w:val="006926D8"/>
    <w:rsid w:val="006927C9"/>
    <w:rsid w:val="00692899"/>
    <w:rsid w:val="006928C9"/>
    <w:rsid w:val="006928F3"/>
    <w:rsid w:val="006929A0"/>
    <w:rsid w:val="00692A64"/>
    <w:rsid w:val="00692A9F"/>
    <w:rsid w:val="00692AB8"/>
    <w:rsid w:val="00692B09"/>
    <w:rsid w:val="00692D32"/>
    <w:rsid w:val="00692E33"/>
    <w:rsid w:val="00692F84"/>
    <w:rsid w:val="00692F8E"/>
    <w:rsid w:val="00693038"/>
    <w:rsid w:val="00693160"/>
    <w:rsid w:val="006932BF"/>
    <w:rsid w:val="0069351D"/>
    <w:rsid w:val="0069361D"/>
    <w:rsid w:val="00693638"/>
    <w:rsid w:val="00693656"/>
    <w:rsid w:val="006936B5"/>
    <w:rsid w:val="00693813"/>
    <w:rsid w:val="00693829"/>
    <w:rsid w:val="00693871"/>
    <w:rsid w:val="00693AF8"/>
    <w:rsid w:val="00693B86"/>
    <w:rsid w:val="00693BA1"/>
    <w:rsid w:val="00693C5F"/>
    <w:rsid w:val="00693CAA"/>
    <w:rsid w:val="00693EBA"/>
    <w:rsid w:val="00693FE5"/>
    <w:rsid w:val="006941D4"/>
    <w:rsid w:val="0069422A"/>
    <w:rsid w:val="00694293"/>
    <w:rsid w:val="00694302"/>
    <w:rsid w:val="006944DE"/>
    <w:rsid w:val="006944E4"/>
    <w:rsid w:val="00694639"/>
    <w:rsid w:val="006949B7"/>
    <w:rsid w:val="00694AAD"/>
    <w:rsid w:val="00694CE2"/>
    <w:rsid w:val="006950D2"/>
    <w:rsid w:val="00695163"/>
    <w:rsid w:val="00695436"/>
    <w:rsid w:val="00695459"/>
    <w:rsid w:val="00695534"/>
    <w:rsid w:val="006956D6"/>
    <w:rsid w:val="00695712"/>
    <w:rsid w:val="0069574F"/>
    <w:rsid w:val="006957C4"/>
    <w:rsid w:val="0069581F"/>
    <w:rsid w:val="00695B1E"/>
    <w:rsid w:val="00695C1C"/>
    <w:rsid w:val="00695E67"/>
    <w:rsid w:val="00695EC2"/>
    <w:rsid w:val="00695F14"/>
    <w:rsid w:val="006962FD"/>
    <w:rsid w:val="00696369"/>
    <w:rsid w:val="006965D1"/>
    <w:rsid w:val="0069661A"/>
    <w:rsid w:val="00696680"/>
    <w:rsid w:val="006969A0"/>
    <w:rsid w:val="00696BBE"/>
    <w:rsid w:val="00696C6E"/>
    <w:rsid w:val="00696E7C"/>
    <w:rsid w:val="006970FD"/>
    <w:rsid w:val="0069760D"/>
    <w:rsid w:val="00697689"/>
    <w:rsid w:val="006978A5"/>
    <w:rsid w:val="00697A6B"/>
    <w:rsid w:val="00697AA7"/>
    <w:rsid w:val="00697C73"/>
    <w:rsid w:val="00697EA8"/>
    <w:rsid w:val="00697F4D"/>
    <w:rsid w:val="006A0345"/>
    <w:rsid w:val="006A038A"/>
    <w:rsid w:val="006A03D3"/>
    <w:rsid w:val="006A0A50"/>
    <w:rsid w:val="006A0A87"/>
    <w:rsid w:val="006A0B64"/>
    <w:rsid w:val="006A0C7E"/>
    <w:rsid w:val="006A0CE2"/>
    <w:rsid w:val="006A0F60"/>
    <w:rsid w:val="006A0FC3"/>
    <w:rsid w:val="006A103A"/>
    <w:rsid w:val="006A18E0"/>
    <w:rsid w:val="006A1A59"/>
    <w:rsid w:val="006A1B32"/>
    <w:rsid w:val="006A1B6E"/>
    <w:rsid w:val="006A1F10"/>
    <w:rsid w:val="006A20CE"/>
    <w:rsid w:val="006A2192"/>
    <w:rsid w:val="006A23FC"/>
    <w:rsid w:val="006A27A1"/>
    <w:rsid w:val="006A2856"/>
    <w:rsid w:val="006A2AE9"/>
    <w:rsid w:val="006A2B44"/>
    <w:rsid w:val="006A2C08"/>
    <w:rsid w:val="006A2C28"/>
    <w:rsid w:val="006A2C6C"/>
    <w:rsid w:val="006A2CCF"/>
    <w:rsid w:val="006A3089"/>
    <w:rsid w:val="006A31D0"/>
    <w:rsid w:val="006A34F8"/>
    <w:rsid w:val="006A34FB"/>
    <w:rsid w:val="006A3513"/>
    <w:rsid w:val="006A370B"/>
    <w:rsid w:val="006A397B"/>
    <w:rsid w:val="006A3A18"/>
    <w:rsid w:val="006A3B04"/>
    <w:rsid w:val="006A3B83"/>
    <w:rsid w:val="006A3D4C"/>
    <w:rsid w:val="006A3D4E"/>
    <w:rsid w:val="006A3FD8"/>
    <w:rsid w:val="006A42C4"/>
    <w:rsid w:val="006A42CE"/>
    <w:rsid w:val="006A4655"/>
    <w:rsid w:val="006A46B6"/>
    <w:rsid w:val="006A482E"/>
    <w:rsid w:val="006A496B"/>
    <w:rsid w:val="006A4E12"/>
    <w:rsid w:val="006A4FBA"/>
    <w:rsid w:val="006A53B4"/>
    <w:rsid w:val="006A547C"/>
    <w:rsid w:val="006A54C2"/>
    <w:rsid w:val="006A54E4"/>
    <w:rsid w:val="006A54EA"/>
    <w:rsid w:val="006A54EF"/>
    <w:rsid w:val="006A55DF"/>
    <w:rsid w:val="006A583F"/>
    <w:rsid w:val="006A5C34"/>
    <w:rsid w:val="006A5D8C"/>
    <w:rsid w:val="006A5EEC"/>
    <w:rsid w:val="006A5F0F"/>
    <w:rsid w:val="006A61E1"/>
    <w:rsid w:val="006A62CD"/>
    <w:rsid w:val="006A62E9"/>
    <w:rsid w:val="006A6643"/>
    <w:rsid w:val="006A66CC"/>
    <w:rsid w:val="006A6761"/>
    <w:rsid w:val="006A6870"/>
    <w:rsid w:val="006A6A5A"/>
    <w:rsid w:val="006A6BDB"/>
    <w:rsid w:val="006A6C38"/>
    <w:rsid w:val="006A6CD0"/>
    <w:rsid w:val="006A6F67"/>
    <w:rsid w:val="006A7060"/>
    <w:rsid w:val="006A7216"/>
    <w:rsid w:val="006A7563"/>
    <w:rsid w:val="006A761F"/>
    <w:rsid w:val="006A76D7"/>
    <w:rsid w:val="006A7824"/>
    <w:rsid w:val="006A7909"/>
    <w:rsid w:val="006A795B"/>
    <w:rsid w:val="006A7B6B"/>
    <w:rsid w:val="006A7B9F"/>
    <w:rsid w:val="006A7C13"/>
    <w:rsid w:val="006A7C4E"/>
    <w:rsid w:val="006B01F3"/>
    <w:rsid w:val="006B02F9"/>
    <w:rsid w:val="006B0358"/>
    <w:rsid w:val="006B0381"/>
    <w:rsid w:val="006B061A"/>
    <w:rsid w:val="006B07C7"/>
    <w:rsid w:val="006B0857"/>
    <w:rsid w:val="006B0A00"/>
    <w:rsid w:val="006B0AFB"/>
    <w:rsid w:val="006B0BBD"/>
    <w:rsid w:val="006B0E0A"/>
    <w:rsid w:val="006B0EC4"/>
    <w:rsid w:val="006B0F1C"/>
    <w:rsid w:val="006B1031"/>
    <w:rsid w:val="006B10F8"/>
    <w:rsid w:val="006B1174"/>
    <w:rsid w:val="006B129F"/>
    <w:rsid w:val="006B13B2"/>
    <w:rsid w:val="006B15B1"/>
    <w:rsid w:val="006B17B9"/>
    <w:rsid w:val="006B1859"/>
    <w:rsid w:val="006B1C18"/>
    <w:rsid w:val="006B1E8E"/>
    <w:rsid w:val="006B1EAF"/>
    <w:rsid w:val="006B1F47"/>
    <w:rsid w:val="006B1FEC"/>
    <w:rsid w:val="006B20B9"/>
    <w:rsid w:val="006B2185"/>
    <w:rsid w:val="006B21AB"/>
    <w:rsid w:val="006B21EB"/>
    <w:rsid w:val="006B24EF"/>
    <w:rsid w:val="006B2734"/>
    <w:rsid w:val="006B279D"/>
    <w:rsid w:val="006B2A56"/>
    <w:rsid w:val="006B2D02"/>
    <w:rsid w:val="006B2D9B"/>
    <w:rsid w:val="006B2DB8"/>
    <w:rsid w:val="006B2E41"/>
    <w:rsid w:val="006B2E5E"/>
    <w:rsid w:val="006B2EC0"/>
    <w:rsid w:val="006B2FB4"/>
    <w:rsid w:val="006B3103"/>
    <w:rsid w:val="006B31D4"/>
    <w:rsid w:val="006B3522"/>
    <w:rsid w:val="006B35FF"/>
    <w:rsid w:val="006B3790"/>
    <w:rsid w:val="006B3B35"/>
    <w:rsid w:val="006B3E04"/>
    <w:rsid w:val="006B3F11"/>
    <w:rsid w:val="006B3F2F"/>
    <w:rsid w:val="006B3FF3"/>
    <w:rsid w:val="006B4303"/>
    <w:rsid w:val="006B4474"/>
    <w:rsid w:val="006B45B1"/>
    <w:rsid w:val="006B45BC"/>
    <w:rsid w:val="006B45EA"/>
    <w:rsid w:val="006B4A8B"/>
    <w:rsid w:val="006B4BA2"/>
    <w:rsid w:val="006B4F43"/>
    <w:rsid w:val="006B5072"/>
    <w:rsid w:val="006B52B0"/>
    <w:rsid w:val="006B536D"/>
    <w:rsid w:val="006B56BA"/>
    <w:rsid w:val="006B5764"/>
    <w:rsid w:val="006B583A"/>
    <w:rsid w:val="006B5AA2"/>
    <w:rsid w:val="006B5CED"/>
    <w:rsid w:val="006B5D5A"/>
    <w:rsid w:val="006B5E35"/>
    <w:rsid w:val="006B5E46"/>
    <w:rsid w:val="006B6105"/>
    <w:rsid w:val="006B65A6"/>
    <w:rsid w:val="006B671F"/>
    <w:rsid w:val="006B672F"/>
    <w:rsid w:val="006B691A"/>
    <w:rsid w:val="006B6C4B"/>
    <w:rsid w:val="006B6C6A"/>
    <w:rsid w:val="006B6E9E"/>
    <w:rsid w:val="006B6EBD"/>
    <w:rsid w:val="006B6F44"/>
    <w:rsid w:val="006B708A"/>
    <w:rsid w:val="006B756C"/>
    <w:rsid w:val="006B78C1"/>
    <w:rsid w:val="006B7921"/>
    <w:rsid w:val="006B7C2A"/>
    <w:rsid w:val="006B7C4F"/>
    <w:rsid w:val="006B7D84"/>
    <w:rsid w:val="006B7DEA"/>
    <w:rsid w:val="006B7E09"/>
    <w:rsid w:val="006B7E21"/>
    <w:rsid w:val="006B7E80"/>
    <w:rsid w:val="006C00BB"/>
    <w:rsid w:val="006C00BC"/>
    <w:rsid w:val="006C00CA"/>
    <w:rsid w:val="006C011F"/>
    <w:rsid w:val="006C047E"/>
    <w:rsid w:val="006C04D5"/>
    <w:rsid w:val="006C07AD"/>
    <w:rsid w:val="006C08B8"/>
    <w:rsid w:val="006C0B57"/>
    <w:rsid w:val="006C0BEA"/>
    <w:rsid w:val="006C0C4C"/>
    <w:rsid w:val="006C0CFC"/>
    <w:rsid w:val="006C0F89"/>
    <w:rsid w:val="006C0FED"/>
    <w:rsid w:val="006C1079"/>
    <w:rsid w:val="006C10EF"/>
    <w:rsid w:val="006C129D"/>
    <w:rsid w:val="006C138C"/>
    <w:rsid w:val="006C14A8"/>
    <w:rsid w:val="006C1894"/>
    <w:rsid w:val="006C1BF5"/>
    <w:rsid w:val="006C1CDB"/>
    <w:rsid w:val="006C1CE4"/>
    <w:rsid w:val="006C226A"/>
    <w:rsid w:val="006C23CD"/>
    <w:rsid w:val="006C270A"/>
    <w:rsid w:val="006C27B5"/>
    <w:rsid w:val="006C2C74"/>
    <w:rsid w:val="006C2C80"/>
    <w:rsid w:val="006C2CB5"/>
    <w:rsid w:val="006C2CDF"/>
    <w:rsid w:val="006C2D7D"/>
    <w:rsid w:val="006C2DC7"/>
    <w:rsid w:val="006C3027"/>
    <w:rsid w:val="006C32C2"/>
    <w:rsid w:val="006C32EF"/>
    <w:rsid w:val="006C346F"/>
    <w:rsid w:val="006C3641"/>
    <w:rsid w:val="006C3660"/>
    <w:rsid w:val="006C369D"/>
    <w:rsid w:val="006C36F7"/>
    <w:rsid w:val="006C37BD"/>
    <w:rsid w:val="006C3A0A"/>
    <w:rsid w:val="006C3D74"/>
    <w:rsid w:val="006C3E1D"/>
    <w:rsid w:val="006C3EBB"/>
    <w:rsid w:val="006C3EF9"/>
    <w:rsid w:val="006C413A"/>
    <w:rsid w:val="006C43ED"/>
    <w:rsid w:val="006C4475"/>
    <w:rsid w:val="006C458B"/>
    <w:rsid w:val="006C46B1"/>
    <w:rsid w:val="006C47D8"/>
    <w:rsid w:val="006C49CE"/>
    <w:rsid w:val="006C4C09"/>
    <w:rsid w:val="006C4CA4"/>
    <w:rsid w:val="006C5202"/>
    <w:rsid w:val="006C5352"/>
    <w:rsid w:val="006C5434"/>
    <w:rsid w:val="006C55AD"/>
    <w:rsid w:val="006C56E8"/>
    <w:rsid w:val="006C57C6"/>
    <w:rsid w:val="006C58F2"/>
    <w:rsid w:val="006C59B1"/>
    <w:rsid w:val="006C5B0B"/>
    <w:rsid w:val="006C5BB1"/>
    <w:rsid w:val="006C5BD1"/>
    <w:rsid w:val="006C5BFD"/>
    <w:rsid w:val="006C5C7C"/>
    <w:rsid w:val="006C5CF7"/>
    <w:rsid w:val="006C5DED"/>
    <w:rsid w:val="006C5FB7"/>
    <w:rsid w:val="006C6247"/>
    <w:rsid w:val="006C65F6"/>
    <w:rsid w:val="006C66D3"/>
    <w:rsid w:val="006C6746"/>
    <w:rsid w:val="006C6BBF"/>
    <w:rsid w:val="006C6BF4"/>
    <w:rsid w:val="006C6CE0"/>
    <w:rsid w:val="006C6F0F"/>
    <w:rsid w:val="006C712F"/>
    <w:rsid w:val="006C71D6"/>
    <w:rsid w:val="006C72EC"/>
    <w:rsid w:val="006C731D"/>
    <w:rsid w:val="006C7402"/>
    <w:rsid w:val="006C75E9"/>
    <w:rsid w:val="006C7608"/>
    <w:rsid w:val="006C76BF"/>
    <w:rsid w:val="006C78E0"/>
    <w:rsid w:val="006C790F"/>
    <w:rsid w:val="006C79C6"/>
    <w:rsid w:val="006C79CD"/>
    <w:rsid w:val="006C7B97"/>
    <w:rsid w:val="006C7F85"/>
    <w:rsid w:val="006D00DE"/>
    <w:rsid w:val="006D018F"/>
    <w:rsid w:val="006D01DB"/>
    <w:rsid w:val="006D0529"/>
    <w:rsid w:val="006D08DC"/>
    <w:rsid w:val="006D0A77"/>
    <w:rsid w:val="006D1262"/>
    <w:rsid w:val="006D1493"/>
    <w:rsid w:val="006D15A6"/>
    <w:rsid w:val="006D1651"/>
    <w:rsid w:val="006D169D"/>
    <w:rsid w:val="006D16D7"/>
    <w:rsid w:val="006D1885"/>
    <w:rsid w:val="006D1CB8"/>
    <w:rsid w:val="006D24A4"/>
    <w:rsid w:val="006D252E"/>
    <w:rsid w:val="006D25C7"/>
    <w:rsid w:val="006D25F2"/>
    <w:rsid w:val="006D26FD"/>
    <w:rsid w:val="006D2740"/>
    <w:rsid w:val="006D275F"/>
    <w:rsid w:val="006D296A"/>
    <w:rsid w:val="006D29D7"/>
    <w:rsid w:val="006D2CB5"/>
    <w:rsid w:val="006D303F"/>
    <w:rsid w:val="006D311E"/>
    <w:rsid w:val="006D3126"/>
    <w:rsid w:val="006D314A"/>
    <w:rsid w:val="006D31E4"/>
    <w:rsid w:val="006D33E4"/>
    <w:rsid w:val="006D359F"/>
    <w:rsid w:val="006D37D7"/>
    <w:rsid w:val="006D3C05"/>
    <w:rsid w:val="006D3D26"/>
    <w:rsid w:val="006D3F5B"/>
    <w:rsid w:val="006D406E"/>
    <w:rsid w:val="006D4204"/>
    <w:rsid w:val="006D42CA"/>
    <w:rsid w:val="006D43D6"/>
    <w:rsid w:val="006D4485"/>
    <w:rsid w:val="006D44CF"/>
    <w:rsid w:val="006D4501"/>
    <w:rsid w:val="006D45C7"/>
    <w:rsid w:val="006D462A"/>
    <w:rsid w:val="006D4996"/>
    <w:rsid w:val="006D4B66"/>
    <w:rsid w:val="006D4BEF"/>
    <w:rsid w:val="006D4D52"/>
    <w:rsid w:val="006D4FB2"/>
    <w:rsid w:val="006D5186"/>
    <w:rsid w:val="006D52F7"/>
    <w:rsid w:val="006D541C"/>
    <w:rsid w:val="006D5635"/>
    <w:rsid w:val="006D5666"/>
    <w:rsid w:val="006D589D"/>
    <w:rsid w:val="006D5CFD"/>
    <w:rsid w:val="006D5F58"/>
    <w:rsid w:val="006D6137"/>
    <w:rsid w:val="006D6449"/>
    <w:rsid w:val="006D6528"/>
    <w:rsid w:val="006D6587"/>
    <w:rsid w:val="006D6682"/>
    <w:rsid w:val="006D669D"/>
    <w:rsid w:val="006D681A"/>
    <w:rsid w:val="006D6A6E"/>
    <w:rsid w:val="006D6CDC"/>
    <w:rsid w:val="006D7167"/>
    <w:rsid w:val="006D72A0"/>
    <w:rsid w:val="006D741F"/>
    <w:rsid w:val="006D7573"/>
    <w:rsid w:val="006D783D"/>
    <w:rsid w:val="006D7860"/>
    <w:rsid w:val="006D78FA"/>
    <w:rsid w:val="006D791A"/>
    <w:rsid w:val="006D7A52"/>
    <w:rsid w:val="006D7C56"/>
    <w:rsid w:val="006D7EEC"/>
    <w:rsid w:val="006D7F23"/>
    <w:rsid w:val="006E0016"/>
    <w:rsid w:val="006E010B"/>
    <w:rsid w:val="006E0293"/>
    <w:rsid w:val="006E02B1"/>
    <w:rsid w:val="006E03E1"/>
    <w:rsid w:val="006E04E8"/>
    <w:rsid w:val="006E05DC"/>
    <w:rsid w:val="006E0632"/>
    <w:rsid w:val="006E06B6"/>
    <w:rsid w:val="006E07A8"/>
    <w:rsid w:val="006E08C0"/>
    <w:rsid w:val="006E0B4D"/>
    <w:rsid w:val="006E0DA1"/>
    <w:rsid w:val="006E0EAA"/>
    <w:rsid w:val="006E0F3F"/>
    <w:rsid w:val="006E0FE2"/>
    <w:rsid w:val="006E1025"/>
    <w:rsid w:val="006E1080"/>
    <w:rsid w:val="006E10F3"/>
    <w:rsid w:val="006E139D"/>
    <w:rsid w:val="006E13CF"/>
    <w:rsid w:val="006E1420"/>
    <w:rsid w:val="006E1654"/>
    <w:rsid w:val="006E1695"/>
    <w:rsid w:val="006E178D"/>
    <w:rsid w:val="006E1A77"/>
    <w:rsid w:val="006E1FDB"/>
    <w:rsid w:val="006E2022"/>
    <w:rsid w:val="006E2436"/>
    <w:rsid w:val="006E2481"/>
    <w:rsid w:val="006E292A"/>
    <w:rsid w:val="006E2DF0"/>
    <w:rsid w:val="006E2E5B"/>
    <w:rsid w:val="006E2F6A"/>
    <w:rsid w:val="006E304D"/>
    <w:rsid w:val="006E37B2"/>
    <w:rsid w:val="006E3876"/>
    <w:rsid w:val="006E3AB5"/>
    <w:rsid w:val="006E3BDA"/>
    <w:rsid w:val="006E3D5F"/>
    <w:rsid w:val="006E3D9E"/>
    <w:rsid w:val="006E3E97"/>
    <w:rsid w:val="006E3EA0"/>
    <w:rsid w:val="006E4187"/>
    <w:rsid w:val="006E4261"/>
    <w:rsid w:val="006E443D"/>
    <w:rsid w:val="006E47D8"/>
    <w:rsid w:val="006E47EC"/>
    <w:rsid w:val="006E4D38"/>
    <w:rsid w:val="006E4FCE"/>
    <w:rsid w:val="006E52E6"/>
    <w:rsid w:val="006E53C6"/>
    <w:rsid w:val="006E56EE"/>
    <w:rsid w:val="006E5711"/>
    <w:rsid w:val="006E576F"/>
    <w:rsid w:val="006E5B26"/>
    <w:rsid w:val="006E5B7F"/>
    <w:rsid w:val="006E5F34"/>
    <w:rsid w:val="006E6050"/>
    <w:rsid w:val="006E6084"/>
    <w:rsid w:val="006E6122"/>
    <w:rsid w:val="006E6155"/>
    <w:rsid w:val="006E6246"/>
    <w:rsid w:val="006E6292"/>
    <w:rsid w:val="006E64AB"/>
    <w:rsid w:val="006E64CB"/>
    <w:rsid w:val="006E6A39"/>
    <w:rsid w:val="006E6D91"/>
    <w:rsid w:val="006E719B"/>
    <w:rsid w:val="006E71E9"/>
    <w:rsid w:val="006E7449"/>
    <w:rsid w:val="006E75E1"/>
    <w:rsid w:val="006E75E4"/>
    <w:rsid w:val="006E76A7"/>
    <w:rsid w:val="006E771E"/>
    <w:rsid w:val="006E771F"/>
    <w:rsid w:val="006E78E4"/>
    <w:rsid w:val="006E79F3"/>
    <w:rsid w:val="006E7A05"/>
    <w:rsid w:val="006E7B4A"/>
    <w:rsid w:val="006E7BC2"/>
    <w:rsid w:val="006E7C9E"/>
    <w:rsid w:val="006E7F0A"/>
    <w:rsid w:val="006F092B"/>
    <w:rsid w:val="006F0EAE"/>
    <w:rsid w:val="006F0F8D"/>
    <w:rsid w:val="006F1172"/>
    <w:rsid w:val="006F11CF"/>
    <w:rsid w:val="006F15CB"/>
    <w:rsid w:val="006F1AB9"/>
    <w:rsid w:val="006F1BD5"/>
    <w:rsid w:val="006F21D8"/>
    <w:rsid w:val="006F22BC"/>
    <w:rsid w:val="006F267B"/>
    <w:rsid w:val="006F2A6E"/>
    <w:rsid w:val="006F2CBD"/>
    <w:rsid w:val="006F2D71"/>
    <w:rsid w:val="006F2DD6"/>
    <w:rsid w:val="006F2E1F"/>
    <w:rsid w:val="006F2F25"/>
    <w:rsid w:val="006F3554"/>
    <w:rsid w:val="006F3562"/>
    <w:rsid w:val="006F3A82"/>
    <w:rsid w:val="006F3A8A"/>
    <w:rsid w:val="006F3B60"/>
    <w:rsid w:val="006F3BE7"/>
    <w:rsid w:val="006F4203"/>
    <w:rsid w:val="006F4496"/>
    <w:rsid w:val="006F47F4"/>
    <w:rsid w:val="006F4828"/>
    <w:rsid w:val="006F49E3"/>
    <w:rsid w:val="006F4A49"/>
    <w:rsid w:val="006F4A7A"/>
    <w:rsid w:val="006F4D0D"/>
    <w:rsid w:val="006F4D4D"/>
    <w:rsid w:val="006F4EC7"/>
    <w:rsid w:val="006F4EEC"/>
    <w:rsid w:val="006F5432"/>
    <w:rsid w:val="006F55AB"/>
    <w:rsid w:val="006F56ED"/>
    <w:rsid w:val="006F5886"/>
    <w:rsid w:val="006F59BA"/>
    <w:rsid w:val="006F59FD"/>
    <w:rsid w:val="006F5C72"/>
    <w:rsid w:val="006F6356"/>
    <w:rsid w:val="006F650E"/>
    <w:rsid w:val="006F6793"/>
    <w:rsid w:val="006F68D9"/>
    <w:rsid w:val="006F6EF0"/>
    <w:rsid w:val="006F728A"/>
    <w:rsid w:val="006F7326"/>
    <w:rsid w:val="006F76E3"/>
    <w:rsid w:val="006F7AB1"/>
    <w:rsid w:val="006F7B61"/>
    <w:rsid w:val="006F7B8C"/>
    <w:rsid w:val="006F7BCE"/>
    <w:rsid w:val="00700046"/>
    <w:rsid w:val="007000CB"/>
    <w:rsid w:val="007001D1"/>
    <w:rsid w:val="00700388"/>
    <w:rsid w:val="00700445"/>
    <w:rsid w:val="00700653"/>
    <w:rsid w:val="0070072A"/>
    <w:rsid w:val="00700817"/>
    <w:rsid w:val="00700E47"/>
    <w:rsid w:val="007010D8"/>
    <w:rsid w:val="0070122C"/>
    <w:rsid w:val="00701271"/>
    <w:rsid w:val="00701355"/>
    <w:rsid w:val="007013A6"/>
    <w:rsid w:val="007015DB"/>
    <w:rsid w:val="007016F7"/>
    <w:rsid w:val="0070196F"/>
    <w:rsid w:val="00701C61"/>
    <w:rsid w:val="00701CF7"/>
    <w:rsid w:val="00701D82"/>
    <w:rsid w:val="0070217A"/>
    <w:rsid w:val="0070225E"/>
    <w:rsid w:val="0070233E"/>
    <w:rsid w:val="00702392"/>
    <w:rsid w:val="0070266A"/>
    <w:rsid w:val="00702682"/>
    <w:rsid w:val="0070291B"/>
    <w:rsid w:val="00702BA6"/>
    <w:rsid w:val="00703126"/>
    <w:rsid w:val="00703231"/>
    <w:rsid w:val="007033D3"/>
    <w:rsid w:val="0070346B"/>
    <w:rsid w:val="00703BFE"/>
    <w:rsid w:val="00703C56"/>
    <w:rsid w:val="00703D1E"/>
    <w:rsid w:val="00703E91"/>
    <w:rsid w:val="00703ED9"/>
    <w:rsid w:val="00704177"/>
    <w:rsid w:val="007043F1"/>
    <w:rsid w:val="0070481B"/>
    <w:rsid w:val="00704903"/>
    <w:rsid w:val="007049F3"/>
    <w:rsid w:val="00704A73"/>
    <w:rsid w:val="00704AE6"/>
    <w:rsid w:val="00704C9D"/>
    <w:rsid w:val="00704D16"/>
    <w:rsid w:val="00704E3D"/>
    <w:rsid w:val="00704F17"/>
    <w:rsid w:val="00704F4E"/>
    <w:rsid w:val="00704F8B"/>
    <w:rsid w:val="007050F2"/>
    <w:rsid w:val="007052B1"/>
    <w:rsid w:val="0070533C"/>
    <w:rsid w:val="0070544D"/>
    <w:rsid w:val="007055F2"/>
    <w:rsid w:val="00705688"/>
    <w:rsid w:val="0070576E"/>
    <w:rsid w:val="0070596D"/>
    <w:rsid w:val="00705AF3"/>
    <w:rsid w:val="00705AFD"/>
    <w:rsid w:val="00705B8D"/>
    <w:rsid w:val="00705BE2"/>
    <w:rsid w:val="00705BFD"/>
    <w:rsid w:val="00705E24"/>
    <w:rsid w:val="00705FA2"/>
    <w:rsid w:val="00706584"/>
    <w:rsid w:val="00706637"/>
    <w:rsid w:val="0070678C"/>
    <w:rsid w:val="007068D1"/>
    <w:rsid w:val="00706919"/>
    <w:rsid w:val="00706A45"/>
    <w:rsid w:val="00706B63"/>
    <w:rsid w:val="00706B91"/>
    <w:rsid w:val="00706D1D"/>
    <w:rsid w:val="00706D43"/>
    <w:rsid w:val="00706D88"/>
    <w:rsid w:val="00706DEA"/>
    <w:rsid w:val="00706F02"/>
    <w:rsid w:val="00707022"/>
    <w:rsid w:val="00707188"/>
    <w:rsid w:val="00707252"/>
    <w:rsid w:val="00707444"/>
    <w:rsid w:val="00707650"/>
    <w:rsid w:val="007077D7"/>
    <w:rsid w:val="00707936"/>
    <w:rsid w:val="00707C7E"/>
    <w:rsid w:val="00707D2F"/>
    <w:rsid w:val="00707D64"/>
    <w:rsid w:val="00707EB8"/>
    <w:rsid w:val="00707FD1"/>
    <w:rsid w:val="007103ED"/>
    <w:rsid w:val="00710777"/>
    <w:rsid w:val="0071080C"/>
    <w:rsid w:val="0071083A"/>
    <w:rsid w:val="00710971"/>
    <w:rsid w:val="00710989"/>
    <w:rsid w:val="00710A8A"/>
    <w:rsid w:val="00710BDE"/>
    <w:rsid w:val="00710CE6"/>
    <w:rsid w:val="00710D02"/>
    <w:rsid w:val="00710ECB"/>
    <w:rsid w:val="00710EF6"/>
    <w:rsid w:val="00711334"/>
    <w:rsid w:val="007113C5"/>
    <w:rsid w:val="00711453"/>
    <w:rsid w:val="007115F0"/>
    <w:rsid w:val="0071187B"/>
    <w:rsid w:val="00711A44"/>
    <w:rsid w:val="00711C6D"/>
    <w:rsid w:val="00711E58"/>
    <w:rsid w:val="00711E78"/>
    <w:rsid w:val="00711FB7"/>
    <w:rsid w:val="007120A9"/>
    <w:rsid w:val="00712103"/>
    <w:rsid w:val="007121E2"/>
    <w:rsid w:val="00712249"/>
    <w:rsid w:val="00712336"/>
    <w:rsid w:val="007124A6"/>
    <w:rsid w:val="0071257F"/>
    <w:rsid w:val="00712A15"/>
    <w:rsid w:val="00712CCD"/>
    <w:rsid w:val="00712D24"/>
    <w:rsid w:val="00712DA8"/>
    <w:rsid w:val="00712E90"/>
    <w:rsid w:val="00713138"/>
    <w:rsid w:val="0071333F"/>
    <w:rsid w:val="00713379"/>
    <w:rsid w:val="00713613"/>
    <w:rsid w:val="00713711"/>
    <w:rsid w:val="0071375B"/>
    <w:rsid w:val="00713A1F"/>
    <w:rsid w:val="00713A46"/>
    <w:rsid w:val="00713AE1"/>
    <w:rsid w:val="00713C31"/>
    <w:rsid w:val="00713FCA"/>
    <w:rsid w:val="00714118"/>
    <w:rsid w:val="00714227"/>
    <w:rsid w:val="007142DD"/>
    <w:rsid w:val="0071431D"/>
    <w:rsid w:val="00714492"/>
    <w:rsid w:val="007145C6"/>
    <w:rsid w:val="007145CD"/>
    <w:rsid w:val="0071482B"/>
    <w:rsid w:val="007148E1"/>
    <w:rsid w:val="00714AAB"/>
    <w:rsid w:val="00714ABD"/>
    <w:rsid w:val="00714B5A"/>
    <w:rsid w:val="00714BA4"/>
    <w:rsid w:val="00714DD9"/>
    <w:rsid w:val="00714EB0"/>
    <w:rsid w:val="00714F3D"/>
    <w:rsid w:val="007150FB"/>
    <w:rsid w:val="00715121"/>
    <w:rsid w:val="0071527C"/>
    <w:rsid w:val="007153D0"/>
    <w:rsid w:val="00715502"/>
    <w:rsid w:val="00715545"/>
    <w:rsid w:val="00715673"/>
    <w:rsid w:val="007156F5"/>
    <w:rsid w:val="00715ACC"/>
    <w:rsid w:val="00715C22"/>
    <w:rsid w:val="00715C50"/>
    <w:rsid w:val="00715C53"/>
    <w:rsid w:val="00715D4C"/>
    <w:rsid w:val="00715D5C"/>
    <w:rsid w:val="00715F75"/>
    <w:rsid w:val="0071609E"/>
    <w:rsid w:val="007161E1"/>
    <w:rsid w:val="007163D4"/>
    <w:rsid w:val="007164F1"/>
    <w:rsid w:val="007167C3"/>
    <w:rsid w:val="0071691A"/>
    <w:rsid w:val="00716F23"/>
    <w:rsid w:val="00716F42"/>
    <w:rsid w:val="007172C8"/>
    <w:rsid w:val="007173CE"/>
    <w:rsid w:val="0071745F"/>
    <w:rsid w:val="007174F0"/>
    <w:rsid w:val="00717595"/>
    <w:rsid w:val="0071770D"/>
    <w:rsid w:val="00717932"/>
    <w:rsid w:val="00717BAA"/>
    <w:rsid w:val="00717C71"/>
    <w:rsid w:val="00717D3C"/>
    <w:rsid w:val="00717D73"/>
    <w:rsid w:val="0072001B"/>
    <w:rsid w:val="00720126"/>
    <w:rsid w:val="0072016E"/>
    <w:rsid w:val="0072037C"/>
    <w:rsid w:val="007203F5"/>
    <w:rsid w:val="0072072A"/>
    <w:rsid w:val="0072082B"/>
    <w:rsid w:val="0072094D"/>
    <w:rsid w:val="00720965"/>
    <w:rsid w:val="00720A6B"/>
    <w:rsid w:val="00720B17"/>
    <w:rsid w:val="00720EAB"/>
    <w:rsid w:val="00721222"/>
    <w:rsid w:val="00721294"/>
    <w:rsid w:val="0072132A"/>
    <w:rsid w:val="007214F4"/>
    <w:rsid w:val="007216DC"/>
    <w:rsid w:val="0072194B"/>
    <w:rsid w:val="007219A0"/>
    <w:rsid w:val="007219C0"/>
    <w:rsid w:val="00721A05"/>
    <w:rsid w:val="00721A9F"/>
    <w:rsid w:val="00721B07"/>
    <w:rsid w:val="00721BE3"/>
    <w:rsid w:val="00721CA5"/>
    <w:rsid w:val="00721F01"/>
    <w:rsid w:val="00722028"/>
    <w:rsid w:val="00722077"/>
    <w:rsid w:val="0072219B"/>
    <w:rsid w:val="00722243"/>
    <w:rsid w:val="00722409"/>
    <w:rsid w:val="0072251D"/>
    <w:rsid w:val="00722570"/>
    <w:rsid w:val="0072257D"/>
    <w:rsid w:val="0072274A"/>
    <w:rsid w:val="0072284F"/>
    <w:rsid w:val="0072296F"/>
    <w:rsid w:val="00722E52"/>
    <w:rsid w:val="00723087"/>
    <w:rsid w:val="007231B1"/>
    <w:rsid w:val="00723376"/>
    <w:rsid w:val="0072343E"/>
    <w:rsid w:val="007234AE"/>
    <w:rsid w:val="007234F4"/>
    <w:rsid w:val="0072371A"/>
    <w:rsid w:val="00723C42"/>
    <w:rsid w:val="00723DB9"/>
    <w:rsid w:val="00724128"/>
    <w:rsid w:val="007244E2"/>
    <w:rsid w:val="0072452E"/>
    <w:rsid w:val="00724585"/>
    <w:rsid w:val="00724835"/>
    <w:rsid w:val="007248C1"/>
    <w:rsid w:val="007248C5"/>
    <w:rsid w:val="00724C66"/>
    <w:rsid w:val="00724CBC"/>
    <w:rsid w:val="00724FA9"/>
    <w:rsid w:val="00724FAD"/>
    <w:rsid w:val="00725066"/>
    <w:rsid w:val="007251D7"/>
    <w:rsid w:val="007252DC"/>
    <w:rsid w:val="007256F5"/>
    <w:rsid w:val="0072596A"/>
    <w:rsid w:val="00725D3E"/>
    <w:rsid w:val="0072614D"/>
    <w:rsid w:val="0072632C"/>
    <w:rsid w:val="007263CA"/>
    <w:rsid w:val="00726467"/>
    <w:rsid w:val="0072653B"/>
    <w:rsid w:val="0072657B"/>
    <w:rsid w:val="007266D7"/>
    <w:rsid w:val="007267CD"/>
    <w:rsid w:val="00726AD2"/>
    <w:rsid w:val="00726B9B"/>
    <w:rsid w:val="0072711B"/>
    <w:rsid w:val="00727124"/>
    <w:rsid w:val="0072724A"/>
    <w:rsid w:val="007273D4"/>
    <w:rsid w:val="0072754D"/>
    <w:rsid w:val="007276D8"/>
    <w:rsid w:val="00727A84"/>
    <w:rsid w:val="00727BCA"/>
    <w:rsid w:val="00727D11"/>
    <w:rsid w:val="00727F42"/>
    <w:rsid w:val="007300E5"/>
    <w:rsid w:val="007302E5"/>
    <w:rsid w:val="00730375"/>
    <w:rsid w:val="00730538"/>
    <w:rsid w:val="0073057A"/>
    <w:rsid w:val="007306F5"/>
    <w:rsid w:val="0073088A"/>
    <w:rsid w:val="007308EC"/>
    <w:rsid w:val="00730909"/>
    <w:rsid w:val="00730994"/>
    <w:rsid w:val="00730A0D"/>
    <w:rsid w:val="00730A27"/>
    <w:rsid w:val="00730BB7"/>
    <w:rsid w:val="00730E90"/>
    <w:rsid w:val="00731081"/>
    <w:rsid w:val="007312C1"/>
    <w:rsid w:val="00731362"/>
    <w:rsid w:val="0073147B"/>
    <w:rsid w:val="007315DD"/>
    <w:rsid w:val="007315E2"/>
    <w:rsid w:val="007316AF"/>
    <w:rsid w:val="00731868"/>
    <w:rsid w:val="00731CCD"/>
    <w:rsid w:val="00731E4D"/>
    <w:rsid w:val="00731FC0"/>
    <w:rsid w:val="00732749"/>
    <w:rsid w:val="00732824"/>
    <w:rsid w:val="00732831"/>
    <w:rsid w:val="0073290F"/>
    <w:rsid w:val="00732916"/>
    <w:rsid w:val="00732959"/>
    <w:rsid w:val="00732B13"/>
    <w:rsid w:val="00732B21"/>
    <w:rsid w:val="00732C26"/>
    <w:rsid w:val="00732D9A"/>
    <w:rsid w:val="00732F60"/>
    <w:rsid w:val="00733123"/>
    <w:rsid w:val="0073313A"/>
    <w:rsid w:val="00733470"/>
    <w:rsid w:val="00733474"/>
    <w:rsid w:val="0073349C"/>
    <w:rsid w:val="0073361F"/>
    <w:rsid w:val="00733626"/>
    <w:rsid w:val="007338A4"/>
    <w:rsid w:val="00733A3E"/>
    <w:rsid w:val="00733CE0"/>
    <w:rsid w:val="00733CF3"/>
    <w:rsid w:val="00733D2C"/>
    <w:rsid w:val="00733D79"/>
    <w:rsid w:val="00733DD5"/>
    <w:rsid w:val="00733DF2"/>
    <w:rsid w:val="00733E3F"/>
    <w:rsid w:val="00733E7F"/>
    <w:rsid w:val="00733FFB"/>
    <w:rsid w:val="0073408B"/>
    <w:rsid w:val="007340B3"/>
    <w:rsid w:val="0073442E"/>
    <w:rsid w:val="00734460"/>
    <w:rsid w:val="007347EA"/>
    <w:rsid w:val="00734C61"/>
    <w:rsid w:val="00734D17"/>
    <w:rsid w:val="00735019"/>
    <w:rsid w:val="00735417"/>
    <w:rsid w:val="0073543A"/>
    <w:rsid w:val="00735463"/>
    <w:rsid w:val="00735521"/>
    <w:rsid w:val="007356D6"/>
    <w:rsid w:val="00735759"/>
    <w:rsid w:val="007359E0"/>
    <w:rsid w:val="00735B15"/>
    <w:rsid w:val="00735D56"/>
    <w:rsid w:val="00735F8E"/>
    <w:rsid w:val="00735FD3"/>
    <w:rsid w:val="00736281"/>
    <w:rsid w:val="00736621"/>
    <w:rsid w:val="007366F0"/>
    <w:rsid w:val="0073672F"/>
    <w:rsid w:val="0073683B"/>
    <w:rsid w:val="007368CC"/>
    <w:rsid w:val="00736AD8"/>
    <w:rsid w:val="00736EEB"/>
    <w:rsid w:val="00736F87"/>
    <w:rsid w:val="00737311"/>
    <w:rsid w:val="00737477"/>
    <w:rsid w:val="007375D1"/>
    <w:rsid w:val="00737657"/>
    <w:rsid w:val="00737698"/>
    <w:rsid w:val="00737829"/>
    <w:rsid w:val="00737850"/>
    <w:rsid w:val="0073786B"/>
    <w:rsid w:val="00737A6D"/>
    <w:rsid w:val="00737CDE"/>
    <w:rsid w:val="00737E33"/>
    <w:rsid w:val="00737E91"/>
    <w:rsid w:val="007400F6"/>
    <w:rsid w:val="00740339"/>
    <w:rsid w:val="00740358"/>
    <w:rsid w:val="00740515"/>
    <w:rsid w:val="0074057C"/>
    <w:rsid w:val="00740D39"/>
    <w:rsid w:val="00740DAD"/>
    <w:rsid w:val="00740E54"/>
    <w:rsid w:val="00740EE6"/>
    <w:rsid w:val="00740FA7"/>
    <w:rsid w:val="0074120C"/>
    <w:rsid w:val="0074165A"/>
    <w:rsid w:val="00741971"/>
    <w:rsid w:val="00741AB1"/>
    <w:rsid w:val="00741B99"/>
    <w:rsid w:val="00741E60"/>
    <w:rsid w:val="00741E89"/>
    <w:rsid w:val="00741EEA"/>
    <w:rsid w:val="00742023"/>
    <w:rsid w:val="0074292F"/>
    <w:rsid w:val="00742B37"/>
    <w:rsid w:val="00742EE7"/>
    <w:rsid w:val="00742FC3"/>
    <w:rsid w:val="00743157"/>
    <w:rsid w:val="00743220"/>
    <w:rsid w:val="00743259"/>
    <w:rsid w:val="00743341"/>
    <w:rsid w:val="007435D1"/>
    <w:rsid w:val="007436D9"/>
    <w:rsid w:val="007437B2"/>
    <w:rsid w:val="0074389C"/>
    <w:rsid w:val="007442E3"/>
    <w:rsid w:val="00744599"/>
    <w:rsid w:val="0074469E"/>
    <w:rsid w:val="007446DA"/>
    <w:rsid w:val="0074488E"/>
    <w:rsid w:val="00744894"/>
    <w:rsid w:val="00744A4C"/>
    <w:rsid w:val="00744A6E"/>
    <w:rsid w:val="00744AA7"/>
    <w:rsid w:val="00744B3B"/>
    <w:rsid w:val="00744C7E"/>
    <w:rsid w:val="00744DC3"/>
    <w:rsid w:val="00744E35"/>
    <w:rsid w:val="00745234"/>
    <w:rsid w:val="007452C6"/>
    <w:rsid w:val="0074559D"/>
    <w:rsid w:val="0074568B"/>
    <w:rsid w:val="00745919"/>
    <w:rsid w:val="00745DE0"/>
    <w:rsid w:val="00745F0E"/>
    <w:rsid w:val="007461E8"/>
    <w:rsid w:val="0074623D"/>
    <w:rsid w:val="00746262"/>
    <w:rsid w:val="0074634E"/>
    <w:rsid w:val="007463D4"/>
    <w:rsid w:val="007463EA"/>
    <w:rsid w:val="0074650B"/>
    <w:rsid w:val="00746641"/>
    <w:rsid w:val="00746693"/>
    <w:rsid w:val="00746778"/>
    <w:rsid w:val="00746834"/>
    <w:rsid w:val="00746B4C"/>
    <w:rsid w:val="00746CC2"/>
    <w:rsid w:val="00746D2F"/>
    <w:rsid w:val="00747127"/>
    <w:rsid w:val="0074720F"/>
    <w:rsid w:val="00747298"/>
    <w:rsid w:val="0074731D"/>
    <w:rsid w:val="0074732F"/>
    <w:rsid w:val="00747350"/>
    <w:rsid w:val="00747525"/>
    <w:rsid w:val="007475AF"/>
    <w:rsid w:val="007478A5"/>
    <w:rsid w:val="00747A26"/>
    <w:rsid w:val="00747A33"/>
    <w:rsid w:val="00747A34"/>
    <w:rsid w:val="00747DAD"/>
    <w:rsid w:val="00747DF7"/>
    <w:rsid w:val="00747E67"/>
    <w:rsid w:val="00747EEA"/>
    <w:rsid w:val="00750290"/>
    <w:rsid w:val="007502C5"/>
    <w:rsid w:val="007502E1"/>
    <w:rsid w:val="00750359"/>
    <w:rsid w:val="00750374"/>
    <w:rsid w:val="007505D9"/>
    <w:rsid w:val="00750859"/>
    <w:rsid w:val="0075099D"/>
    <w:rsid w:val="00750B68"/>
    <w:rsid w:val="00750DE5"/>
    <w:rsid w:val="00750F4A"/>
    <w:rsid w:val="0075107B"/>
    <w:rsid w:val="00751111"/>
    <w:rsid w:val="00751238"/>
    <w:rsid w:val="00751280"/>
    <w:rsid w:val="00751412"/>
    <w:rsid w:val="00751540"/>
    <w:rsid w:val="00751613"/>
    <w:rsid w:val="0075198B"/>
    <w:rsid w:val="00751A6F"/>
    <w:rsid w:val="00751E28"/>
    <w:rsid w:val="00751EFC"/>
    <w:rsid w:val="00752120"/>
    <w:rsid w:val="0075227A"/>
    <w:rsid w:val="00752316"/>
    <w:rsid w:val="007523D3"/>
    <w:rsid w:val="0075284A"/>
    <w:rsid w:val="0075292C"/>
    <w:rsid w:val="00752A60"/>
    <w:rsid w:val="00752BC0"/>
    <w:rsid w:val="00752C63"/>
    <w:rsid w:val="00752D19"/>
    <w:rsid w:val="00752E3D"/>
    <w:rsid w:val="00752F91"/>
    <w:rsid w:val="007531AB"/>
    <w:rsid w:val="00753274"/>
    <w:rsid w:val="0075379A"/>
    <w:rsid w:val="00753875"/>
    <w:rsid w:val="00753921"/>
    <w:rsid w:val="00753966"/>
    <w:rsid w:val="00753A7F"/>
    <w:rsid w:val="00753BBD"/>
    <w:rsid w:val="00753C1B"/>
    <w:rsid w:val="00753FD4"/>
    <w:rsid w:val="00754615"/>
    <w:rsid w:val="0075463E"/>
    <w:rsid w:val="00754E5C"/>
    <w:rsid w:val="00755201"/>
    <w:rsid w:val="00755C95"/>
    <w:rsid w:val="00755CA8"/>
    <w:rsid w:val="00755EEA"/>
    <w:rsid w:val="00756117"/>
    <w:rsid w:val="00756369"/>
    <w:rsid w:val="00756628"/>
    <w:rsid w:val="0075677A"/>
    <w:rsid w:val="00756845"/>
    <w:rsid w:val="00756A53"/>
    <w:rsid w:val="00756E1D"/>
    <w:rsid w:val="00757029"/>
    <w:rsid w:val="007570D9"/>
    <w:rsid w:val="00757113"/>
    <w:rsid w:val="00757150"/>
    <w:rsid w:val="007574F9"/>
    <w:rsid w:val="00757881"/>
    <w:rsid w:val="00757B1F"/>
    <w:rsid w:val="00757D70"/>
    <w:rsid w:val="00757FF8"/>
    <w:rsid w:val="007602C5"/>
    <w:rsid w:val="007607AB"/>
    <w:rsid w:val="00760B1A"/>
    <w:rsid w:val="00760B9A"/>
    <w:rsid w:val="00760C86"/>
    <w:rsid w:val="00760CE9"/>
    <w:rsid w:val="00760D85"/>
    <w:rsid w:val="00760DA7"/>
    <w:rsid w:val="007613B4"/>
    <w:rsid w:val="007613C9"/>
    <w:rsid w:val="007614AE"/>
    <w:rsid w:val="007615ED"/>
    <w:rsid w:val="007617F6"/>
    <w:rsid w:val="00761837"/>
    <w:rsid w:val="00761A0B"/>
    <w:rsid w:val="00761AD6"/>
    <w:rsid w:val="007621D5"/>
    <w:rsid w:val="00762232"/>
    <w:rsid w:val="007626C0"/>
    <w:rsid w:val="007627A2"/>
    <w:rsid w:val="00762C06"/>
    <w:rsid w:val="00762D34"/>
    <w:rsid w:val="00762DD6"/>
    <w:rsid w:val="00763086"/>
    <w:rsid w:val="00763150"/>
    <w:rsid w:val="007632E5"/>
    <w:rsid w:val="007634B2"/>
    <w:rsid w:val="0076351B"/>
    <w:rsid w:val="00763821"/>
    <w:rsid w:val="0076387D"/>
    <w:rsid w:val="00763951"/>
    <w:rsid w:val="00763A40"/>
    <w:rsid w:val="00763A8D"/>
    <w:rsid w:val="00763C2F"/>
    <w:rsid w:val="00763E40"/>
    <w:rsid w:val="00763EAE"/>
    <w:rsid w:val="00764005"/>
    <w:rsid w:val="00764085"/>
    <w:rsid w:val="00764114"/>
    <w:rsid w:val="007645F2"/>
    <w:rsid w:val="00764781"/>
    <w:rsid w:val="00764B70"/>
    <w:rsid w:val="00764F7B"/>
    <w:rsid w:val="007650B8"/>
    <w:rsid w:val="007655F6"/>
    <w:rsid w:val="007656D9"/>
    <w:rsid w:val="007659DD"/>
    <w:rsid w:val="00765A41"/>
    <w:rsid w:val="00765C0B"/>
    <w:rsid w:val="00765D59"/>
    <w:rsid w:val="00765E0B"/>
    <w:rsid w:val="00766165"/>
    <w:rsid w:val="00766295"/>
    <w:rsid w:val="007663B5"/>
    <w:rsid w:val="0076662C"/>
    <w:rsid w:val="007668AB"/>
    <w:rsid w:val="0076693A"/>
    <w:rsid w:val="00766C69"/>
    <w:rsid w:val="00766D13"/>
    <w:rsid w:val="00766DCE"/>
    <w:rsid w:val="00766E87"/>
    <w:rsid w:val="00766FAD"/>
    <w:rsid w:val="00767296"/>
    <w:rsid w:val="0076733B"/>
    <w:rsid w:val="00767AC6"/>
    <w:rsid w:val="00767E9B"/>
    <w:rsid w:val="00767FED"/>
    <w:rsid w:val="00770013"/>
    <w:rsid w:val="00770023"/>
    <w:rsid w:val="0077006E"/>
    <w:rsid w:val="00770147"/>
    <w:rsid w:val="00770464"/>
    <w:rsid w:val="00770503"/>
    <w:rsid w:val="007705B8"/>
    <w:rsid w:val="007705CF"/>
    <w:rsid w:val="00770714"/>
    <w:rsid w:val="00770892"/>
    <w:rsid w:val="007709C8"/>
    <w:rsid w:val="00770A5D"/>
    <w:rsid w:val="0077108F"/>
    <w:rsid w:val="007711CE"/>
    <w:rsid w:val="0077121D"/>
    <w:rsid w:val="0077123E"/>
    <w:rsid w:val="00771502"/>
    <w:rsid w:val="007715C2"/>
    <w:rsid w:val="00771616"/>
    <w:rsid w:val="00771645"/>
    <w:rsid w:val="0077164D"/>
    <w:rsid w:val="00771A6A"/>
    <w:rsid w:val="00771AA3"/>
    <w:rsid w:val="00771D81"/>
    <w:rsid w:val="00771EF6"/>
    <w:rsid w:val="00771F13"/>
    <w:rsid w:val="00771FA1"/>
    <w:rsid w:val="00772197"/>
    <w:rsid w:val="007722F4"/>
    <w:rsid w:val="00772332"/>
    <w:rsid w:val="00772351"/>
    <w:rsid w:val="00772414"/>
    <w:rsid w:val="00772525"/>
    <w:rsid w:val="00772566"/>
    <w:rsid w:val="007727F2"/>
    <w:rsid w:val="00772CB1"/>
    <w:rsid w:val="00772D94"/>
    <w:rsid w:val="00772DF5"/>
    <w:rsid w:val="007730E2"/>
    <w:rsid w:val="00773103"/>
    <w:rsid w:val="00773229"/>
    <w:rsid w:val="00773260"/>
    <w:rsid w:val="00773331"/>
    <w:rsid w:val="007734C3"/>
    <w:rsid w:val="00773519"/>
    <w:rsid w:val="00773674"/>
    <w:rsid w:val="00773789"/>
    <w:rsid w:val="0077385F"/>
    <w:rsid w:val="00773969"/>
    <w:rsid w:val="00773DA0"/>
    <w:rsid w:val="007740E6"/>
    <w:rsid w:val="007741FA"/>
    <w:rsid w:val="0077425A"/>
    <w:rsid w:val="007746AE"/>
    <w:rsid w:val="00774A2E"/>
    <w:rsid w:val="00774B3E"/>
    <w:rsid w:val="00774CD0"/>
    <w:rsid w:val="00774EFB"/>
    <w:rsid w:val="00774FF9"/>
    <w:rsid w:val="0077505F"/>
    <w:rsid w:val="007750B7"/>
    <w:rsid w:val="00775150"/>
    <w:rsid w:val="007751AF"/>
    <w:rsid w:val="0077537E"/>
    <w:rsid w:val="00775437"/>
    <w:rsid w:val="00775625"/>
    <w:rsid w:val="007757BA"/>
    <w:rsid w:val="007757DB"/>
    <w:rsid w:val="00775A64"/>
    <w:rsid w:val="0077605C"/>
    <w:rsid w:val="00776088"/>
    <w:rsid w:val="0077614D"/>
    <w:rsid w:val="007761A1"/>
    <w:rsid w:val="00776217"/>
    <w:rsid w:val="0077644A"/>
    <w:rsid w:val="007767F3"/>
    <w:rsid w:val="007767FB"/>
    <w:rsid w:val="00776810"/>
    <w:rsid w:val="007768B6"/>
    <w:rsid w:val="007768D4"/>
    <w:rsid w:val="0077690F"/>
    <w:rsid w:val="0077692C"/>
    <w:rsid w:val="00776B2B"/>
    <w:rsid w:val="00776B3F"/>
    <w:rsid w:val="00776C48"/>
    <w:rsid w:val="00776CED"/>
    <w:rsid w:val="00776D1A"/>
    <w:rsid w:val="00776D4A"/>
    <w:rsid w:val="00777544"/>
    <w:rsid w:val="0077771A"/>
    <w:rsid w:val="007778D3"/>
    <w:rsid w:val="00777CE0"/>
    <w:rsid w:val="00777E65"/>
    <w:rsid w:val="00780628"/>
    <w:rsid w:val="0078099C"/>
    <w:rsid w:val="007809F8"/>
    <w:rsid w:val="00780A38"/>
    <w:rsid w:val="00780B8F"/>
    <w:rsid w:val="00780C6E"/>
    <w:rsid w:val="00781180"/>
    <w:rsid w:val="0078124F"/>
    <w:rsid w:val="00781381"/>
    <w:rsid w:val="007813D0"/>
    <w:rsid w:val="00781405"/>
    <w:rsid w:val="007814AB"/>
    <w:rsid w:val="0078151C"/>
    <w:rsid w:val="0078158D"/>
    <w:rsid w:val="007817E8"/>
    <w:rsid w:val="00781925"/>
    <w:rsid w:val="00781963"/>
    <w:rsid w:val="007819A8"/>
    <w:rsid w:val="00781B63"/>
    <w:rsid w:val="00781C5C"/>
    <w:rsid w:val="00781C7A"/>
    <w:rsid w:val="00781E11"/>
    <w:rsid w:val="00782280"/>
    <w:rsid w:val="0078238A"/>
    <w:rsid w:val="007826BB"/>
    <w:rsid w:val="0078280D"/>
    <w:rsid w:val="007828FE"/>
    <w:rsid w:val="0078290C"/>
    <w:rsid w:val="0078296D"/>
    <w:rsid w:val="00782C48"/>
    <w:rsid w:val="00782CDB"/>
    <w:rsid w:val="00782D59"/>
    <w:rsid w:val="00782DE2"/>
    <w:rsid w:val="00782EE1"/>
    <w:rsid w:val="00782F51"/>
    <w:rsid w:val="00782F6B"/>
    <w:rsid w:val="00782FDD"/>
    <w:rsid w:val="0078325F"/>
    <w:rsid w:val="007832AE"/>
    <w:rsid w:val="00783720"/>
    <w:rsid w:val="0078384F"/>
    <w:rsid w:val="007838AF"/>
    <w:rsid w:val="00783B72"/>
    <w:rsid w:val="00783C8B"/>
    <w:rsid w:val="00783D2B"/>
    <w:rsid w:val="00783D7E"/>
    <w:rsid w:val="00783EC0"/>
    <w:rsid w:val="00784320"/>
    <w:rsid w:val="0078457A"/>
    <w:rsid w:val="0078461E"/>
    <w:rsid w:val="00784621"/>
    <w:rsid w:val="00784652"/>
    <w:rsid w:val="00784715"/>
    <w:rsid w:val="007849CA"/>
    <w:rsid w:val="00784A46"/>
    <w:rsid w:val="00784E0B"/>
    <w:rsid w:val="00784F04"/>
    <w:rsid w:val="0078507C"/>
    <w:rsid w:val="0078522F"/>
    <w:rsid w:val="00785378"/>
    <w:rsid w:val="00785394"/>
    <w:rsid w:val="007853AB"/>
    <w:rsid w:val="007853B0"/>
    <w:rsid w:val="007854B3"/>
    <w:rsid w:val="007854F5"/>
    <w:rsid w:val="007856AB"/>
    <w:rsid w:val="007857B1"/>
    <w:rsid w:val="0078597C"/>
    <w:rsid w:val="00785B69"/>
    <w:rsid w:val="00785D36"/>
    <w:rsid w:val="00785FAF"/>
    <w:rsid w:val="007861C1"/>
    <w:rsid w:val="0078628E"/>
    <w:rsid w:val="007862A4"/>
    <w:rsid w:val="00786539"/>
    <w:rsid w:val="007866AA"/>
    <w:rsid w:val="00786747"/>
    <w:rsid w:val="00786A58"/>
    <w:rsid w:val="00786AE9"/>
    <w:rsid w:val="00786B3A"/>
    <w:rsid w:val="00786B94"/>
    <w:rsid w:val="00786CF0"/>
    <w:rsid w:val="00786D67"/>
    <w:rsid w:val="00787071"/>
    <w:rsid w:val="007870AD"/>
    <w:rsid w:val="007870E6"/>
    <w:rsid w:val="007871F6"/>
    <w:rsid w:val="00787243"/>
    <w:rsid w:val="00787366"/>
    <w:rsid w:val="00787395"/>
    <w:rsid w:val="00787529"/>
    <w:rsid w:val="0078785B"/>
    <w:rsid w:val="007878A2"/>
    <w:rsid w:val="007878CE"/>
    <w:rsid w:val="00787AC5"/>
    <w:rsid w:val="00787B49"/>
    <w:rsid w:val="00787B4C"/>
    <w:rsid w:val="00787D16"/>
    <w:rsid w:val="00787F18"/>
    <w:rsid w:val="007900D3"/>
    <w:rsid w:val="00790279"/>
    <w:rsid w:val="00790327"/>
    <w:rsid w:val="007903CE"/>
    <w:rsid w:val="00790760"/>
    <w:rsid w:val="00790823"/>
    <w:rsid w:val="00790B97"/>
    <w:rsid w:val="00790C00"/>
    <w:rsid w:val="00790F7D"/>
    <w:rsid w:val="007912D0"/>
    <w:rsid w:val="00791594"/>
    <w:rsid w:val="007917B5"/>
    <w:rsid w:val="00791D91"/>
    <w:rsid w:val="00791EEE"/>
    <w:rsid w:val="00791F0E"/>
    <w:rsid w:val="00791FC3"/>
    <w:rsid w:val="00792123"/>
    <w:rsid w:val="0079272E"/>
    <w:rsid w:val="007927AB"/>
    <w:rsid w:val="00792B56"/>
    <w:rsid w:val="00792E29"/>
    <w:rsid w:val="00792FFB"/>
    <w:rsid w:val="00793189"/>
    <w:rsid w:val="00793248"/>
    <w:rsid w:val="007932EF"/>
    <w:rsid w:val="0079348D"/>
    <w:rsid w:val="00793662"/>
    <w:rsid w:val="00793809"/>
    <w:rsid w:val="0079392D"/>
    <w:rsid w:val="00793A8E"/>
    <w:rsid w:val="00793B2D"/>
    <w:rsid w:val="007940B7"/>
    <w:rsid w:val="00794118"/>
    <w:rsid w:val="00794221"/>
    <w:rsid w:val="0079429B"/>
    <w:rsid w:val="007943A4"/>
    <w:rsid w:val="007943ED"/>
    <w:rsid w:val="00794407"/>
    <w:rsid w:val="0079444B"/>
    <w:rsid w:val="00794472"/>
    <w:rsid w:val="00794646"/>
    <w:rsid w:val="007946C0"/>
    <w:rsid w:val="007946DE"/>
    <w:rsid w:val="0079473F"/>
    <w:rsid w:val="007947F3"/>
    <w:rsid w:val="00794AC7"/>
    <w:rsid w:val="00794AF5"/>
    <w:rsid w:val="00794C85"/>
    <w:rsid w:val="00794E61"/>
    <w:rsid w:val="00795107"/>
    <w:rsid w:val="00795189"/>
    <w:rsid w:val="007954C3"/>
    <w:rsid w:val="007954CE"/>
    <w:rsid w:val="007956A6"/>
    <w:rsid w:val="00795731"/>
    <w:rsid w:val="00795738"/>
    <w:rsid w:val="007957AE"/>
    <w:rsid w:val="007959D6"/>
    <w:rsid w:val="007959F4"/>
    <w:rsid w:val="00795CB4"/>
    <w:rsid w:val="00795CEC"/>
    <w:rsid w:val="0079612D"/>
    <w:rsid w:val="007961FC"/>
    <w:rsid w:val="00796229"/>
    <w:rsid w:val="0079623E"/>
    <w:rsid w:val="007962E0"/>
    <w:rsid w:val="007963FF"/>
    <w:rsid w:val="0079648D"/>
    <w:rsid w:val="00796500"/>
    <w:rsid w:val="007965F0"/>
    <w:rsid w:val="00796910"/>
    <w:rsid w:val="0079693B"/>
    <w:rsid w:val="007969E1"/>
    <w:rsid w:val="00796E5C"/>
    <w:rsid w:val="00796FC4"/>
    <w:rsid w:val="00797204"/>
    <w:rsid w:val="00797277"/>
    <w:rsid w:val="007973BB"/>
    <w:rsid w:val="007977FD"/>
    <w:rsid w:val="0079780A"/>
    <w:rsid w:val="00797989"/>
    <w:rsid w:val="00797B37"/>
    <w:rsid w:val="00797BDD"/>
    <w:rsid w:val="00797EB3"/>
    <w:rsid w:val="007A04C9"/>
    <w:rsid w:val="007A055A"/>
    <w:rsid w:val="007A0563"/>
    <w:rsid w:val="007A06E3"/>
    <w:rsid w:val="007A0737"/>
    <w:rsid w:val="007A07B1"/>
    <w:rsid w:val="007A0AE3"/>
    <w:rsid w:val="007A100A"/>
    <w:rsid w:val="007A113E"/>
    <w:rsid w:val="007A1276"/>
    <w:rsid w:val="007A1389"/>
    <w:rsid w:val="007A148D"/>
    <w:rsid w:val="007A14E1"/>
    <w:rsid w:val="007A1757"/>
    <w:rsid w:val="007A17CB"/>
    <w:rsid w:val="007A18B1"/>
    <w:rsid w:val="007A1BB2"/>
    <w:rsid w:val="007A1DF6"/>
    <w:rsid w:val="007A1F42"/>
    <w:rsid w:val="007A20A8"/>
    <w:rsid w:val="007A2200"/>
    <w:rsid w:val="007A2220"/>
    <w:rsid w:val="007A2287"/>
    <w:rsid w:val="007A2289"/>
    <w:rsid w:val="007A23D6"/>
    <w:rsid w:val="007A25AB"/>
    <w:rsid w:val="007A27D4"/>
    <w:rsid w:val="007A2955"/>
    <w:rsid w:val="007A29A0"/>
    <w:rsid w:val="007A2A1D"/>
    <w:rsid w:val="007A2CC6"/>
    <w:rsid w:val="007A2EC6"/>
    <w:rsid w:val="007A2F9F"/>
    <w:rsid w:val="007A3072"/>
    <w:rsid w:val="007A318D"/>
    <w:rsid w:val="007A31AA"/>
    <w:rsid w:val="007A31CE"/>
    <w:rsid w:val="007A3223"/>
    <w:rsid w:val="007A35E0"/>
    <w:rsid w:val="007A381E"/>
    <w:rsid w:val="007A39F5"/>
    <w:rsid w:val="007A3AD3"/>
    <w:rsid w:val="007A3AEC"/>
    <w:rsid w:val="007A3BB3"/>
    <w:rsid w:val="007A3D4F"/>
    <w:rsid w:val="007A3F2A"/>
    <w:rsid w:val="007A3F8F"/>
    <w:rsid w:val="007A40A8"/>
    <w:rsid w:val="007A41C3"/>
    <w:rsid w:val="007A425A"/>
    <w:rsid w:val="007A43B7"/>
    <w:rsid w:val="007A4443"/>
    <w:rsid w:val="007A470A"/>
    <w:rsid w:val="007A471D"/>
    <w:rsid w:val="007A4A03"/>
    <w:rsid w:val="007A4A61"/>
    <w:rsid w:val="007A4B52"/>
    <w:rsid w:val="007A4BC8"/>
    <w:rsid w:val="007A4DA5"/>
    <w:rsid w:val="007A4E62"/>
    <w:rsid w:val="007A51BC"/>
    <w:rsid w:val="007A5250"/>
    <w:rsid w:val="007A528E"/>
    <w:rsid w:val="007A54B7"/>
    <w:rsid w:val="007A55C2"/>
    <w:rsid w:val="007A5745"/>
    <w:rsid w:val="007A59B5"/>
    <w:rsid w:val="007A5BD3"/>
    <w:rsid w:val="007A5C7A"/>
    <w:rsid w:val="007A5E58"/>
    <w:rsid w:val="007A5F69"/>
    <w:rsid w:val="007A601F"/>
    <w:rsid w:val="007A60AB"/>
    <w:rsid w:val="007A6208"/>
    <w:rsid w:val="007A6244"/>
    <w:rsid w:val="007A63E8"/>
    <w:rsid w:val="007A645B"/>
    <w:rsid w:val="007A64A4"/>
    <w:rsid w:val="007A654A"/>
    <w:rsid w:val="007A65DE"/>
    <w:rsid w:val="007A66A6"/>
    <w:rsid w:val="007A6883"/>
    <w:rsid w:val="007A69FD"/>
    <w:rsid w:val="007A6DC7"/>
    <w:rsid w:val="007A6F71"/>
    <w:rsid w:val="007A7000"/>
    <w:rsid w:val="007A7192"/>
    <w:rsid w:val="007A72B6"/>
    <w:rsid w:val="007A73A5"/>
    <w:rsid w:val="007A760B"/>
    <w:rsid w:val="007A766A"/>
    <w:rsid w:val="007A766C"/>
    <w:rsid w:val="007A78ED"/>
    <w:rsid w:val="007A7961"/>
    <w:rsid w:val="007A79DE"/>
    <w:rsid w:val="007A7B69"/>
    <w:rsid w:val="007A7C5A"/>
    <w:rsid w:val="007B0841"/>
    <w:rsid w:val="007B09E4"/>
    <w:rsid w:val="007B0DD3"/>
    <w:rsid w:val="007B0E04"/>
    <w:rsid w:val="007B123A"/>
    <w:rsid w:val="007B1333"/>
    <w:rsid w:val="007B17B3"/>
    <w:rsid w:val="007B1E4F"/>
    <w:rsid w:val="007B1F34"/>
    <w:rsid w:val="007B21BF"/>
    <w:rsid w:val="007B21EF"/>
    <w:rsid w:val="007B241F"/>
    <w:rsid w:val="007B27A1"/>
    <w:rsid w:val="007B27A2"/>
    <w:rsid w:val="007B27D4"/>
    <w:rsid w:val="007B27EA"/>
    <w:rsid w:val="007B2C61"/>
    <w:rsid w:val="007B2CDD"/>
    <w:rsid w:val="007B2D5C"/>
    <w:rsid w:val="007B2D91"/>
    <w:rsid w:val="007B2DD3"/>
    <w:rsid w:val="007B2F61"/>
    <w:rsid w:val="007B315C"/>
    <w:rsid w:val="007B3224"/>
    <w:rsid w:val="007B32E9"/>
    <w:rsid w:val="007B39A6"/>
    <w:rsid w:val="007B3C37"/>
    <w:rsid w:val="007B3D97"/>
    <w:rsid w:val="007B3EDB"/>
    <w:rsid w:val="007B41C0"/>
    <w:rsid w:val="007B4289"/>
    <w:rsid w:val="007B4476"/>
    <w:rsid w:val="007B44EA"/>
    <w:rsid w:val="007B4719"/>
    <w:rsid w:val="007B49FE"/>
    <w:rsid w:val="007B4B48"/>
    <w:rsid w:val="007B4D15"/>
    <w:rsid w:val="007B4DA4"/>
    <w:rsid w:val="007B4E26"/>
    <w:rsid w:val="007B4EF7"/>
    <w:rsid w:val="007B543E"/>
    <w:rsid w:val="007B5563"/>
    <w:rsid w:val="007B5667"/>
    <w:rsid w:val="007B59AD"/>
    <w:rsid w:val="007B59B9"/>
    <w:rsid w:val="007B5AEB"/>
    <w:rsid w:val="007B5D55"/>
    <w:rsid w:val="007B5E1E"/>
    <w:rsid w:val="007B5E51"/>
    <w:rsid w:val="007B61A3"/>
    <w:rsid w:val="007B6361"/>
    <w:rsid w:val="007B645D"/>
    <w:rsid w:val="007B673E"/>
    <w:rsid w:val="007B67A2"/>
    <w:rsid w:val="007B67D9"/>
    <w:rsid w:val="007B6B52"/>
    <w:rsid w:val="007B6BEF"/>
    <w:rsid w:val="007B6CBE"/>
    <w:rsid w:val="007B6D15"/>
    <w:rsid w:val="007B6E83"/>
    <w:rsid w:val="007B6F36"/>
    <w:rsid w:val="007B6FBA"/>
    <w:rsid w:val="007B7043"/>
    <w:rsid w:val="007B735B"/>
    <w:rsid w:val="007B736C"/>
    <w:rsid w:val="007B73E5"/>
    <w:rsid w:val="007B7407"/>
    <w:rsid w:val="007B747D"/>
    <w:rsid w:val="007B753D"/>
    <w:rsid w:val="007B76ED"/>
    <w:rsid w:val="007B792A"/>
    <w:rsid w:val="007B7933"/>
    <w:rsid w:val="007B798B"/>
    <w:rsid w:val="007B7AAD"/>
    <w:rsid w:val="007B7E72"/>
    <w:rsid w:val="007B7EF2"/>
    <w:rsid w:val="007B7F37"/>
    <w:rsid w:val="007B7FDD"/>
    <w:rsid w:val="007C0031"/>
    <w:rsid w:val="007C00AC"/>
    <w:rsid w:val="007C0330"/>
    <w:rsid w:val="007C035C"/>
    <w:rsid w:val="007C03E2"/>
    <w:rsid w:val="007C051D"/>
    <w:rsid w:val="007C060E"/>
    <w:rsid w:val="007C07D1"/>
    <w:rsid w:val="007C0913"/>
    <w:rsid w:val="007C093B"/>
    <w:rsid w:val="007C0A4B"/>
    <w:rsid w:val="007C0A51"/>
    <w:rsid w:val="007C0B59"/>
    <w:rsid w:val="007C0BE0"/>
    <w:rsid w:val="007C1261"/>
    <w:rsid w:val="007C18EA"/>
    <w:rsid w:val="007C1AA5"/>
    <w:rsid w:val="007C1EC9"/>
    <w:rsid w:val="007C1F06"/>
    <w:rsid w:val="007C20A3"/>
    <w:rsid w:val="007C23FA"/>
    <w:rsid w:val="007C25B3"/>
    <w:rsid w:val="007C271C"/>
    <w:rsid w:val="007C2A0E"/>
    <w:rsid w:val="007C2A8E"/>
    <w:rsid w:val="007C2A9A"/>
    <w:rsid w:val="007C2E22"/>
    <w:rsid w:val="007C3254"/>
    <w:rsid w:val="007C3451"/>
    <w:rsid w:val="007C3555"/>
    <w:rsid w:val="007C3584"/>
    <w:rsid w:val="007C35F4"/>
    <w:rsid w:val="007C36CE"/>
    <w:rsid w:val="007C37B6"/>
    <w:rsid w:val="007C3971"/>
    <w:rsid w:val="007C3A3E"/>
    <w:rsid w:val="007C3AA1"/>
    <w:rsid w:val="007C3B76"/>
    <w:rsid w:val="007C3D6B"/>
    <w:rsid w:val="007C4055"/>
    <w:rsid w:val="007C4152"/>
    <w:rsid w:val="007C41F7"/>
    <w:rsid w:val="007C42B2"/>
    <w:rsid w:val="007C4365"/>
    <w:rsid w:val="007C43EC"/>
    <w:rsid w:val="007C43FD"/>
    <w:rsid w:val="007C4504"/>
    <w:rsid w:val="007C45BC"/>
    <w:rsid w:val="007C467B"/>
    <w:rsid w:val="007C46FD"/>
    <w:rsid w:val="007C4C48"/>
    <w:rsid w:val="007C4D3D"/>
    <w:rsid w:val="007C4EBB"/>
    <w:rsid w:val="007C503B"/>
    <w:rsid w:val="007C5051"/>
    <w:rsid w:val="007C5284"/>
    <w:rsid w:val="007C549E"/>
    <w:rsid w:val="007C54E8"/>
    <w:rsid w:val="007C555D"/>
    <w:rsid w:val="007C55FC"/>
    <w:rsid w:val="007C575D"/>
    <w:rsid w:val="007C598B"/>
    <w:rsid w:val="007C5994"/>
    <w:rsid w:val="007C5A53"/>
    <w:rsid w:val="007C5BF0"/>
    <w:rsid w:val="007C5C53"/>
    <w:rsid w:val="007C6205"/>
    <w:rsid w:val="007C642B"/>
    <w:rsid w:val="007C650A"/>
    <w:rsid w:val="007C6B94"/>
    <w:rsid w:val="007C6C8A"/>
    <w:rsid w:val="007C6D3E"/>
    <w:rsid w:val="007C6D7C"/>
    <w:rsid w:val="007C701C"/>
    <w:rsid w:val="007C710F"/>
    <w:rsid w:val="007C76AB"/>
    <w:rsid w:val="007C787D"/>
    <w:rsid w:val="007C7BC0"/>
    <w:rsid w:val="007C7BD5"/>
    <w:rsid w:val="007C7C2E"/>
    <w:rsid w:val="007C7C4D"/>
    <w:rsid w:val="007D004A"/>
    <w:rsid w:val="007D005D"/>
    <w:rsid w:val="007D04A1"/>
    <w:rsid w:val="007D0529"/>
    <w:rsid w:val="007D06AD"/>
    <w:rsid w:val="007D0720"/>
    <w:rsid w:val="007D0722"/>
    <w:rsid w:val="007D086C"/>
    <w:rsid w:val="007D08D4"/>
    <w:rsid w:val="007D09EA"/>
    <w:rsid w:val="007D0A3E"/>
    <w:rsid w:val="007D0C1E"/>
    <w:rsid w:val="007D0DCE"/>
    <w:rsid w:val="007D1218"/>
    <w:rsid w:val="007D12AD"/>
    <w:rsid w:val="007D14C5"/>
    <w:rsid w:val="007D14F3"/>
    <w:rsid w:val="007D1580"/>
    <w:rsid w:val="007D15A8"/>
    <w:rsid w:val="007D161A"/>
    <w:rsid w:val="007D171F"/>
    <w:rsid w:val="007D17F2"/>
    <w:rsid w:val="007D192D"/>
    <w:rsid w:val="007D1975"/>
    <w:rsid w:val="007D1B23"/>
    <w:rsid w:val="007D1B2F"/>
    <w:rsid w:val="007D1B67"/>
    <w:rsid w:val="007D1F3E"/>
    <w:rsid w:val="007D20EF"/>
    <w:rsid w:val="007D2178"/>
    <w:rsid w:val="007D2670"/>
    <w:rsid w:val="007D29E3"/>
    <w:rsid w:val="007D2A92"/>
    <w:rsid w:val="007D2E8D"/>
    <w:rsid w:val="007D3084"/>
    <w:rsid w:val="007D328D"/>
    <w:rsid w:val="007D32DF"/>
    <w:rsid w:val="007D333A"/>
    <w:rsid w:val="007D345D"/>
    <w:rsid w:val="007D350E"/>
    <w:rsid w:val="007D365A"/>
    <w:rsid w:val="007D39CA"/>
    <w:rsid w:val="007D3ABE"/>
    <w:rsid w:val="007D3AD2"/>
    <w:rsid w:val="007D4124"/>
    <w:rsid w:val="007D417C"/>
    <w:rsid w:val="007D4503"/>
    <w:rsid w:val="007D4676"/>
    <w:rsid w:val="007D46C4"/>
    <w:rsid w:val="007D46F2"/>
    <w:rsid w:val="007D4750"/>
    <w:rsid w:val="007D4A11"/>
    <w:rsid w:val="007D4A9A"/>
    <w:rsid w:val="007D4E51"/>
    <w:rsid w:val="007D4FB6"/>
    <w:rsid w:val="007D51AF"/>
    <w:rsid w:val="007D52A5"/>
    <w:rsid w:val="007D544D"/>
    <w:rsid w:val="007D57B8"/>
    <w:rsid w:val="007D59BB"/>
    <w:rsid w:val="007D5A30"/>
    <w:rsid w:val="007D5A90"/>
    <w:rsid w:val="007D5AFB"/>
    <w:rsid w:val="007D5B3C"/>
    <w:rsid w:val="007D60A2"/>
    <w:rsid w:val="007D6190"/>
    <w:rsid w:val="007D61D9"/>
    <w:rsid w:val="007D6279"/>
    <w:rsid w:val="007D6290"/>
    <w:rsid w:val="007D6366"/>
    <w:rsid w:val="007D63D0"/>
    <w:rsid w:val="007D649F"/>
    <w:rsid w:val="007D660C"/>
    <w:rsid w:val="007D6614"/>
    <w:rsid w:val="007D66FF"/>
    <w:rsid w:val="007D680D"/>
    <w:rsid w:val="007D6831"/>
    <w:rsid w:val="007D6859"/>
    <w:rsid w:val="007D6943"/>
    <w:rsid w:val="007D6E40"/>
    <w:rsid w:val="007D6E65"/>
    <w:rsid w:val="007D6F01"/>
    <w:rsid w:val="007D6F6D"/>
    <w:rsid w:val="007D6F72"/>
    <w:rsid w:val="007D7082"/>
    <w:rsid w:val="007D7128"/>
    <w:rsid w:val="007D71D7"/>
    <w:rsid w:val="007D76CB"/>
    <w:rsid w:val="007D7823"/>
    <w:rsid w:val="007D7A38"/>
    <w:rsid w:val="007D7E57"/>
    <w:rsid w:val="007D7FDF"/>
    <w:rsid w:val="007E00B6"/>
    <w:rsid w:val="007E0374"/>
    <w:rsid w:val="007E040C"/>
    <w:rsid w:val="007E0490"/>
    <w:rsid w:val="007E049B"/>
    <w:rsid w:val="007E0573"/>
    <w:rsid w:val="007E05B0"/>
    <w:rsid w:val="007E070E"/>
    <w:rsid w:val="007E077B"/>
    <w:rsid w:val="007E07ED"/>
    <w:rsid w:val="007E090B"/>
    <w:rsid w:val="007E0B48"/>
    <w:rsid w:val="007E0F26"/>
    <w:rsid w:val="007E1360"/>
    <w:rsid w:val="007E1693"/>
    <w:rsid w:val="007E169B"/>
    <w:rsid w:val="007E173E"/>
    <w:rsid w:val="007E18BA"/>
    <w:rsid w:val="007E196B"/>
    <w:rsid w:val="007E1D24"/>
    <w:rsid w:val="007E1F40"/>
    <w:rsid w:val="007E20D1"/>
    <w:rsid w:val="007E20E0"/>
    <w:rsid w:val="007E2282"/>
    <w:rsid w:val="007E22FA"/>
    <w:rsid w:val="007E23F7"/>
    <w:rsid w:val="007E24B1"/>
    <w:rsid w:val="007E2744"/>
    <w:rsid w:val="007E275F"/>
    <w:rsid w:val="007E2844"/>
    <w:rsid w:val="007E29AB"/>
    <w:rsid w:val="007E29C2"/>
    <w:rsid w:val="007E2D02"/>
    <w:rsid w:val="007E2D74"/>
    <w:rsid w:val="007E2FFF"/>
    <w:rsid w:val="007E301F"/>
    <w:rsid w:val="007E30D0"/>
    <w:rsid w:val="007E314B"/>
    <w:rsid w:val="007E340B"/>
    <w:rsid w:val="007E3700"/>
    <w:rsid w:val="007E3753"/>
    <w:rsid w:val="007E391E"/>
    <w:rsid w:val="007E3998"/>
    <w:rsid w:val="007E3BC8"/>
    <w:rsid w:val="007E3BCB"/>
    <w:rsid w:val="007E3C0F"/>
    <w:rsid w:val="007E3EA9"/>
    <w:rsid w:val="007E3EF9"/>
    <w:rsid w:val="007E4033"/>
    <w:rsid w:val="007E415F"/>
    <w:rsid w:val="007E4693"/>
    <w:rsid w:val="007E48A9"/>
    <w:rsid w:val="007E4924"/>
    <w:rsid w:val="007E49B6"/>
    <w:rsid w:val="007E4BA5"/>
    <w:rsid w:val="007E4C50"/>
    <w:rsid w:val="007E4CB6"/>
    <w:rsid w:val="007E4D76"/>
    <w:rsid w:val="007E4E09"/>
    <w:rsid w:val="007E4F62"/>
    <w:rsid w:val="007E50FD"/>
    <w:rsid w:val="007E5134"/>
    <w:rsid w:val="007E53B6"/>
    <w:rsid w:val="007E55BD"/>
    <w:rsid w:val="007E5679"/>
    <w:rsid w:val="007E5768"/>
    <w:rsid w:val="007E579D"/>
    <w:rsid w:val="007E584A"/>
    <w:rsid w:val="007E5855"/>
    <w:rsid w:val="007E5BBB"/>
    <w:rsid w:val="007E5F1E"/>
    <w:rsid w:val="007E642B"/>
    <w:rsid w:val="007E645C"/>
    <w:rsid w:val="007E665C"/>
    <w:rsid w:val="007E67EA"/>
    <w:rsid w:val="007E6C9D"/>
    <w:rsid w:val="007E6DF3"/>
    <w:rsid w:val="007E6E47"/>
    <w:rsid w:val="007E6F8B"/>
    <w:rsid w:val="007E702E"/>
    <w:rsid w:val="007E7297"/>
    <w:rsid w:val="007E72B0"/>
    <w:rsid w:val="007E73C4"/>
    <w:rsid w:val="007E741A"/>
    <w:rsid w:val="007E7571"/>
    <w:rsid w:val="007E75E3"/>
    <w:rsid w:val="007E76BC"/>
    <w:rsid w:val="007E799B"/>
    <w:rsid w:val="007E7C5A"/>
    <w:rsid w:val="007E7DBB"/>
    <w:rsid w:val="007E7F76"/>
    <w:rsid w:val="007F0080"/>
    <w:rsid w:val="007F01AA"/>
    <w:rsid w:val="007F038A"/>
    <w:rsid w:val="007F0445"/>
    <w:rsid w:val="007F0D97"/>
    <w:rsid w:val="007F0DF0"/>
    <w:rsid w:val="007F0EA8"/>
    <w:rsid w:val="007F1071"/>
    <w:rsid w:val="007F121D"/>
    <w:rsid w:val="007F142E"/>
    <w:rsid w:val="007F1596"/>
    <w:rsid w:val="007F1D7C"/>
    <w:rsid w:val="007F1DC5"/>
    <w:rsid w:val="007F1E88"/>
    <w:rsid w:val="007F204C"/>
    <w:rsid w:val="007F21CD"/>
    <w:rsid w:val="007F21E8"/>
    <w:rsid w:val="007F2814"/>
    <w:rsid w:val="007F28FC"/>
    <w:rsid w:val="007F2942"/>
    <w:rsid w:val="007F2953"/>
    <w:rsid w:val="007F2AA9"/>
    <w:rsid w:val="007F2D3B"/>
    <w:rsid w:val="007F2DBA"/>
    <w:rsid w:val="007F2E84"/>
    <w:rsid w:val="007F2F98"/>
    <w:rsid w:val="007F30BB"/>
    <w:rsid w:val="007F3154"/>
    <w:rsid w:val="007F3250"/>
    <w:rsid w:val="007F34B2"/>
    <w:rsid w:val="007F365E"/>
    <w:rsid w:val="007F3783"/>
    <w:rsid w:val="007F37D4"/>
    <w:rsid w:val="007F37DE"/>
    <w:rsid w:val="007F3EFB"/>
    <w:rsid w:val="007F4021"/>
    <w:rsid w:val="007F41B2"/>
    <w:rsid w:val="007F4597"/>
    <w:rsid w:val="007F459E"/>
    <w:rsid w:val="007F462C"/>
    <w:rsid w:val="007F4816"/>
    <w:rsid w:val="007F4B18"/>
    <w:rsid w:val="007F4C9E"/>
    <w:rsid w:val="007F4D9E"/>
    <w:rsid w:val="007F4FEE"/>
    <w:rsid w:val="007F541D"/>
    <w:rsid w:val="007F5488"/>
    <w:rsid w:val="007F55C9"/>
    <w:rsid w:val="007F596D"/>
    <w:rsid w:val="007F5B3B"/>
    <w:rsid w:val="007F5BB3"/>
    <w:rsid w:val="007F5CD6"/>
    <w:rsid w:val="007F5CE5"/>
    <w:rsid w:val="007F5F43"/>
    <w:rsid w:val="007F5FAF"/>
    <w:rsid w:val="007F5FD5"/>
    <w:rsid w:val="007F6136"/>
    <w:rsid w:val="007F61F1"/>
    <w:rsid w:val="007F62E7"/>
    <w:rsid w:val="007F63BD"/>
    <w:rsid w:val="007F63E6"/>
    <w:rsid w:val="007F6716"/>
    <w:rsid w:val="007F7045"/>
    <w:rsid w:val="007F7132"/>
    <w:rsid w:val="007F71EC"/>
    <w:rsid w:val="007F7454"/>
    <w:rsid w:val="007F7723"/>
    <w:rsid w:val="007F7896"/>
    <w:rsid w:val="007F7BBD"/>
    <w:rsid w:val="007F7BC5"/>
    <w:rsid w:val="007F7C01"/>
    <w:rsid w:val="007F7F0A"/>
    <w:rsid w:val="008000F1"/>
    <w:rsid w:val="00800183"/>
    <w:rsid w:val="008002E7"/>
    <w:rsid w:val="0080033A"/>
    <w:rsid w:val="008007D4"/>
    <w:rsid w:val="0080087F"/>
    <w:rsid w:val="00800B64"/>
    <w:rsid w:val="00800C51"/>
    <w:rsid w:val="0080111C"/>
    <w:rsid w:val="00801130"/>
    <w:rsid w:val="0080122E"/>
    <w:rsid w:val="00801577"/>
    <w:rsid w:val="008015A7"/>
    <w:rsid w:val="008015E9"/>
    <w:rsid w:val="0080161E"/>
    <w:rsid w:val="008016F0"/>
    <w:rsid w:val="0080174C"/>
    <w:rsid w:val="008017EC"/>
    <w:rsid w:val="00801B1C"/>
    <w:rsid w:val="00801F35"/>
    <w:rsid w:val="00802147"/>
    <w:rsid w:val="0080224E"/>
    <w:rsid w:val="008026E1"/>
    <w:rsid w:val="0080282F"/>
    <w:rsid w:val="008028DC"/>
    <w:rsid w:val="008028F8"/>
    <w:rsid w:val="0080295B"/>
    <w:rsid w:val="00802A13"/>
    <w:rsid w:val="00802A6C"/>
    <w:rsid w:val="00802A98"/>
    <w:rsid w:val="00802B7B"/>
    <w:rsid w:val="00802BC2"/>
    <w:rsid w:val="008030EA"/>
    <w:rsid w:val="00803129"/>
    <w:rsid w:val="00803429"/>
    <w:rsid w:val="00803823"/>
    <w:rsid w:val="00803AAB"/>
    <w:rsid w:val="00803AC8"/>
    <w:rsid w:val="00803D38"/>
    <w:rsid w:val="00804185"/>
    <w:rsid w:val="0080436C"/>
    <w:rsid w:val="0080479C"/>
    <w:rsid w:val="00804A5C"/>
    <w:rsid w:val="00804AF9"/>
    <w:rsid w:val="00804B4E"/>
    <w:rsid w:val="00804BB8"/>
    <w:rsid w:val="00804CC9"/>
    <w:rsid w:val="00804D67"/>
    <w:rsid w:val="00804E74"/>
    <w:rsid w:val="00804F16"/>
    <w:rsid w:val="00805104"/>
    <w:rsid w:val="00805124"/>
    <w:rsid w:val="0080512D"/>
    <w:rsid w:val="00805248"/>
    <w:rsid w:val="00805413"/>
    <w:rsid w:val="00805737"/>
    <w:rsid w:val="00805863"/>
    <w:rsid w:val="00805A3B"/>
    <w:rsid w:val="00805B89"/>
    <w:rsid w:val="00805C67"/>
    <w:rsid w:val="00805D30"/>
    <w:rsid w:val="00805E94"/>
    <w:rsid w:val="00805F21"/>
    <w:rsid w:val="00805F4F"/>
    <w:rsid w:val="00805F77"/>
    <w:rsid w:val="00805FC9"/>
    <w:rsid w:val="0080604E"/>
    <w:rsid w:val="008061F3"/>
    <w:rsid w:val="0080621E"/>
    <w:rsid w:val="00806504"/>
    <w:rsid w:val="00806535"/>
    <w:rsid w:val="008066EC"/>
    <w:rsid w:val="008066FE"/>
    <w:rsid w:val="008069A4"/>
    <w:rsid w:val="00806B68"/>
    <w:rsid w:val="00806B81"/>
    <w:rsid w:val="00806E09"/>
    <w:rsid w:val="00806FD8"/>
    <w:rsid w:val="00806FEA"/>
    <w:rsid w:val="008070B7"/>
    <w:rsid w:val="008071F3"/>
    <w:rsid w:val="00807350"/>
    <w:rsid w:val="0080736C"/>
    <w:rsid w:val="008073C7"/>
    <w:rsid w:val="0080747A"/>
    <w:rsid w:val="0080758D"/>
    <w:rsid w:val="0080774A"/>
    <w:rsid w:val="008078BB"/>
    <w:rsid w:val="00807942"/>
    <w:rsid w:val="00807C48"/>
    <w:rsid w:val="00807C81"/>
    <w:rsid w:val="0081005B"/>
    <w:rsid w:val="0081006F"/>
    <w:rsid w:val="008101FA"/>
    <w:rsid w:val="008102BF"/>
    <w:rsid w:val="00810539"/>
    <w:rsid w:val="008108BD"/>
    <w:rsid w:val="00810996"/>
    <w:rsid w:val="00810C05"/>
    <w:rsid w:val="00810E67"/>
    <w:rsid w:val="0081112D"/>
    <w:rsid w:val="008111AA"/>
    <w:rsid w:val="008111DC"/>
    <w:rsid w:val="00811564"/>
    <w:rsid w:val="008116B8"/>
    <w:rsid w:val="008116D0"/>
    <w:rsid w:val="008117C3"/>
    <w:rsid w:val="00811D23"/>
    <w:rsid w:val="00811D9D"/>
    <w:rsid w:val="00811E29"/>
    <w:rsid w:val="00811E9C"/>
    <w:rsid w:val="0081210F"/>
    <w:rsid w:val="00812274"/>
    <w:rsid w:val="008122ED"/>
    <w:rsid w:val="00812430"/>
    <w:rsid w:val="00812476"/>
    <w:rsid w:val="0081268C"/>
    <w:rsid w:val="0081271D"/>
    <w:rsid w:val="00812A49"/>
    <w:rsid w:val="00812B4D"/>
    <w:rsid w:val="00812B88"/>
    <w:rsid w:val="00812BED"/>
    <w:rsid w:val="00812C70"/>
    <w:rsid w:val="00812D63"/>
    <w:rsid w:val="00813224"/>
    <w:rsid w:val="00813308"/>
    <w:rsid w:val="00813511"/>
    <w:rsid w:val="00813919"/>
    <w:rsid w:val="00813A2F"/>
    <w:rsid w:val="00813A5D"/>
    <w:rsid w:val="00813B39"/>
    <w:rsid w:val="00813C28"/>
    <w:rsid w:val="00813D68"/>
    <w:rsid w:val="00813ED5"/>
    <w:rsid w:val="00813F79"/>
    <w:rsid w:val="00814060"/>
    <w:rsid w:val="0081426D"/>
    <w:rsid w:val="008142EC"/>
    <w:rsid w:val="008143C5"/>
    <w:rsid w:val="00814443"/>
    <w:rsid w:val="00814547"/>
    <w:rsid w:val="00814620"/>
    <w:rsid w:val="0081465B"/>
    <w:rsid w:val="0081466B"/>
    <w:rsid w:val="008147BA"/>
    <w:rsid w:val="00814809"/>
    <w:rsid w:val="0081495B"/>
    <w:rsid w:val="00814A31"/>
    <w:rsid w:val="00814A47"/>
    <w:rsid w:val="00814A79"/>
    <w:rsid w:val="00814B02"/>
    <w:rsid w:val="00814B63"/>
    <w:rsid w:val="00814CF5"/>
    <w:rsid w:val="00815070"/>
    <w:rsid w:val="00815078"/>
    <w:rsid w:val="0081514C"/>
    <w:rsid w:val="00815169"/>
    <w:rsid w:val="008151DE"/>
    <w:rsid w:val="008153F9"/>
    <w:rsid w:val="0081543B"/>
    <w:rsid w:val="008157D8"/>
    <w:rsid w:val="00815894"/>
    <w:rsid w:val="008158F4"/>
    <w:rsid w:val="00815A1A"/>
    <w:rsid w:val="00815BC3"/>
    <w:rsid w:val="00815D75"/>
    <w:rsid w:val="00815E32"/>
    <w:rsid w:val="00815F02"/>
    <w:rsid w:val="00815F65"/>
    <w:rsid w:val="00815F7A"/>
    <w:rsid w:val="008160DA"/>
    <w:rsid w:val="00816586"/>
    <w:rsid w:val="0081660D"/>
    <w:rsid w:val="0081661E"/>
    <w:rsid w:val="00816716"/>
    <w:rsid w:val="0081674B"/>
    <w:rsid w:val="0081682F"/>
    <w:rsid w:val="00816B10"/>
    <w:rsid w:val="00816C17"/>
    <w:rsid w:val="00816D4F"/>
    <w:rsid w:val="00816D56"/>
    <w:rsid w:val="00816FAD"/>
    <w:rsid w:val="00816FFC"/>
    <w:rsid w:val="0081705C"/>
    <w:rsid w:val="0081747D"/>
    <w:rsid w:val="008174F9"/>
    <w:rsid w:val="0081752A"/>
    <w:rsid w:val="00817535"/>
    <w:rsid w:val="0081760E"/>
    <w:rsid w:val="00817847"/>
    <w:rsid w:val="00817C15"/>
    <w:rsid w:val="00817C7F"/>
    <w:rsid w:val="00817E19"/>
    <w:rsid w:val="00817F56"/>
    <w:rsid w:val="00817FF9"/>
    <w:rsid w:val="00820140"/>
    <w:rsid w:val="008201C3"/>
    <w:rsid w:val="00820378"/>
    <w:rsid w:val="0082056A"/>
    <w:rsid w:val="008208DA"/>
    <w:rsid w:val="00820A9D"/>
    <w:rsid w:val="00820EBF"/>
    <w:rsid w:val="00820F83"/>
    <w:rsid w:val="00821087"/>
    <w:rsid w:val="00821175"/>
    <w:rsid w:val="008216E9"/>
    <w:rsid w:val="00821945"/>
    <w:rsid w:val="00822043"/>
    <w:rsid w:val="00822131"/>
    <w:rsid w:val="008221D8"/>
    <w:rsid w:val="008222E7"/>
    <w:rsid w:val="008225FD"/>
    <w:rsid w:val="00822637"/>
    <w:rsid w:val="008226A3"/>
    <w:rsid w:val="00822874"/>
    <w:rsid w:val="008228CD"/>
    <w:rsid w:val="0082297D"/>
    <w:rsid w:val="00822BD2"/>
    <w:rsid w:val="00822C34"/>
    <w:rsid w:val="00822C73"/>
    <w:rsid w:val="00822C9B"/>
    <w:rsid w:val="00822E41"/>
    <w:rsid w:val="00822E86"/>
    <w:rsid w:val="0082303F"/>
    <w:rsid w:val="008230D8"/>
    <w:rsid w:val="00823925"/>
    <w:rsid w:val="008239AF"/>
    <w:rsid w:val="008239CB"/>
    <w:rsid w:val="00823CC8"/>
    <w:rsid w:val="00824197"/>
    <w:rsid w:val="008241C3"/>
    <w:rsid w:val="0082435F"/>
    <w:rsid w:val="00824427"/>
    <w:rsid w:val="008246DA"/>
    <w:rsid w:val="0082470B"/>
    <w:rsid w:val="008248D5"/>
    <w:rsid w:val="008249B6"/>
    <w:rsid w:val="00824A32"/>
    <w:rsid w:val="00824A7A"/>
    <w:rsid w:val="00824B1E"/>
    <w:rsid w:val="00824C28"/>
    <w:rsid w:val="00824CE8"/>
    <w:rsid w:val="00824E66"/>
    <w:rsid w:val="00824ECB"/>
    <w:rsid w:val="00824EDF"/>
    <w:rsid w:val="00825001"/>
    <w:rsid w:val="0082516B"/>
    <w:rsid w:val="008251DB"/>
    <w:rsid w:val="00825311"/>
    <w:rsid w:val="00825916"/>
    <w:rsid w:val="00825A2B"/>
    <w:rsid w:val="00825C1E"/>
    <w:rsid w:val="00825D7B"/>
    <w:rsid w:val="00825E77"/>
    <w:rsid w:val="00826057"/>
    <w:rsid w:val="0082633E"/>
    <w:rsid w:val="008265A8"/>
    <w:rsid w:val="00826605"/>
    <w:rsid w:val="0082660F"/>
    <w:rsid w:val="008267F1"/>
    <w:rsid w:val="00826AB5"/>
    <w:rsid w:val="00826CC2"/>
    <w:rsid w:val="00826E25"/>
    <w:rsid w:val="00827162"/>
    <w:rsid w:val="008271FD"/>
    <w:rsid w:val="008275D0"/>
    <w:rsid w:val="00827785"/>
    <w:rsid w:val="00827B63"/>
    <w:rsid w:val="00827FE5"/>
    <w:rsid w:val="00830061"/>
    <w:rsid w:val="0083007C"/>
    <w:rsid w:val="00830200"/>
    <w:rsid w:val="0083074F"/>
    <w:rsid w:val="00830B99"/>
    <w:rsid w:val="00830EAE"/>
    <w:rsid w:val="00830FD8"/>
    <w:rsid w:val="0083103A"/>
    <w:rsid w:val="0083135E"/>
    <w:rsid w:val="008313D5"/>
    <w:rsid w:val="008316F1"/>
    <w:rsid w:val="0083196C"/>
    <w:rsid w:val="00831C73"/>
    <w:rsid w:val="00831D0D"/>
    <w:rsid w:val="00831E72"/>
    <w:rsid w:val="00831F7B"/>
    <w:rsid w:val="00832196"/>
    <w:rsid w:val="008321C5"/>
    <w:rsid w:val="00832242"/>
    <w:rsid w:val="00832368"/>
    <w:rsid w:val="00832447"/>
    <w:rsid w:val="00832A30"/>
    <w:rsid w:val="00832ADB"/>
    <w:rsid w:val="00832ADF"/>
    <w:rsid w:val="00832B29"/>
    <w:rsid w:val="00832E4D"/>
    <w:rsid w:val="00833097"/>
    <w:rsid w:val="0083315B"/>
    <w:rsid w:val="00833160"/>
    <w:rsid w:val="00833231"/>
    <w:rsid w:val="008333EB"/>
    <w:rsid w:val="008336D7"/>
    <w:rsid w:val="0083379C"/>
    <w:rsid w:val="00833902"/>
    <w:rsid w:val="00833A37"/>
    <w:rsid w:val="00833BBF"/>
    <w:rsid w:val="00833BE3"/>
    <w:rsid w:val="00833C9E"/>
    <w:rsid w:val="00833EFD"/>
    <w:rsid w:val="00833FDE"/>
    <w:rsid w:val="00833FF2"/>
    <w:rsid w:val="00834018"/>
    <w:rsid w:val="00834472"/>
    <w:rsid w:val="0083473B"/>
    <w:rsid w:val="0083492C"/>
    <w:rsid w:val="00834940"/>
    <w:rsid w:val="00834949"/>
    <w:rsid w:val="00834EA5"/>
    <w:rsid w:val="00834EED"/>
    <w:rsid w:val="00835073"/>
    <w:rsid w:val="008350D2"/>
    <w:rsid w:val="00835259"/>
    <w:rsid w:val="008353DA"/>
    <w:rsid w:val="008354F8"/>
    <w:rsid w:val="008355BC"/>
    <w:rsid w:val="00835826"/>
    <w:rsid w:val="008358E6"/>
    <w:rsid w:val="00835A12"/>
    <w:rsid w:val="00835E97"/>
    <w:rsid w:val="00836401"/>
    <w:rsid w:val="00836490"/>
    <w:rsid w:val="0083650E"/>
    <w:rsid w:val="0083657E"/>
    <w:rsid w:val="008368F2"/>
    <w:rsid w:val="00836958"/>
    <w:rsid w:val="00836A68"/>
    <w:rsid w:val="00836CE7"/>
    <w:rsid w:val="00836D60"/>
    <w:rsid w:val="00837023"/>
    <w:rsid w:val="0083705E"/>
    <w:rsid w:val="00837418"/>
    <w:rsid w:val="008374C5"/>
    <w:rsid w:val="0083773B"/>
    <w:rsid w:val="00837A57"/>
    <w:rsid w:val="00837B2B"/>
    <w:rsid w:val="00837C61"/>
    <w:rsid w:val="00837CEF"/>
    <w:rsid w:val="0084011F"/>
    <w:rsid w:val="0084018A"/>
    <w:rsid w:val="00840241"/>
    <w:rsid w:val="008402F2"/>
    <w:rsid w:val="008403D7"/>
    <w:rsid w:val="008403ED"/>
    <w:rsid w:val="008403F1"/>
    <w:rsid w:val="008404C3"/>
    <w:rsid w:val="0084057D"/>
    <w:rsid w:val="008405A5"/>
    <w:rsid w:val="0084060F"/>
    <w:rsid w:val="008407B4"/>
    <w:rsid w:val="0084098C"/>
    <w:rsid w:val="00840A93"/>
    <w:rsid w:val="00840EA9"/>
    <w:rsid w:val="00841008"/>
    <w:rsid w:val="0084110D"/>
    <w:rsid w:val="00841208"/>
    <w:rsid w:val="0084139F"/>
    <w:rsid w:val="00841431"/>
    <w:rsid w:val="008414FE"/>
    <w:rsid w:val="00841B0E"/>
    <w:rsid w:val="00841BFE"/>
    <w:rsid w:val="00841DDA"/>
    <w:rsid w:val="00841FDC"/>
    <w:rsid w:val="008422B8"/>
    <w:rsid w:val="00842426"/>
    <w:rsid w:val="008426F2"/>
    <w:rsid w:val="0084293E"/>
    <w:rsid w:val="00842943"/>
    <w:rsid w:val="00842B8A"/>
    <w:rsid w:val="00842CEC"/>
    <w:rsid w:val="00842E71"/>
    <w:rsid w:val="0084320C"/>
    <w:rsid w:val="008432E7"/>
    <w:rsid w:val="00843372"/>
    <w:rsid w:val="00843617"/>
    <w:rsid w:val="00843794"/>
    <w:rsid w:val="008437C0"/>
    <w:rsid w:val="00843924"/>
    <w:rsid w:val="008439FC"/>
    <w:rsid w:val="00843D1A"/>
    <w:rsid w:val="00843D32"/>
    <w:rsid w:val="008440C3"/>
    <w:rsid w:val="00844388"/>
    <w:rsid w:val="0084455F"/>
    <w:rsid w:val="00844692"/>
    <w:rsid w:val="00844737"/>
    <w:rsid w:val="0084478F"/>
    <w:rsid w:val="00844815"/>
    <w:rsid w:val="008449AE"/>
    <w:rsid w:val="00844B24"/>
    <w:rsid w:val="00844D8B"/>
    <w:rsid w:val="00844E25"/>
    <w:rsid w:val="00844E47"/>
    <w:rsid w:val="00844EFD"/>
    <w:rsid w:val="00844F19"/>
    <w:rsid w:val="00844F8B"/>
    <w:rsid w:val="0084513E"/>
    <w:rsid w:val="008451F6"/>
    <w:rsid w:val="0084522E"/>
    <w:rsid w:val="00845235"/>
    <w:rsid w:val="008453BA"/>
    <w:rsid w:val="008454C6"/>
    <w:rsid w:val="008459B2"/>
    <w:rsid w:val="008459DB"/>
    <w:rsid w:val="00845C46"/>
    <w:rsid w:val="00845E76"/>
    <w:rsid w:val="00846065"/>
    <w:rsid w:val="008460D9"/>
    <w:rsid w:val="00846390"/>
    <w:rsid w:val="008467A7"/>
    <w:rsid w:val="00846A54"/>
    <w:rsid w:val="00846B66"/>
    <w:rsid w:val="00846E58"/>
    <w:rsid w:val="00846E93"/>
    <w:rsid w:val="00846F62"/>
    <w:rsid w:val="00847039"/>
    <w:rsid w:val="0084709F"/>
    <w:rsid w:val="0084710A"/>
    <w:rsid w:val="00847304"/>
    <w:rsid w:val="00847496"/>
    <w:rsid w:val="00847574"/>
    <w:rsid w:val="00847721"/>
    <w:rsid w:val="00847784"/>
    <w:rsid w:val="00847D0A"/>
    <w:rsid w:val="00847E4B"/>
    <w:rsid w:val="00847EC3"/>
    <w:rsid w:val="008500EA"/>
    <w:rsid w:val="00850113"/>
    <w:rsid w:val="00850131"/>
    <w:rsid w:val="008501BE"/>
    <w:rsid w:val="008503B5"/>
    <w:rsid w:val="00850484"/>
    <w:rsid w:val="008505AC"/>
    <w:rsid w:val="008505BD"/>
    <w:rsid w:val="00850897"/>
    <w:rsid w:val="00850BED"/>
    <w:rsid w:val="00850C3F"/>
    <w:rsid w:val="00850EF8"/>
    <w:rsid w:val="00850FA3"/>
    <w:rsid w:val="00851027"/>
    <w:rsid w:val="0085127D"/>
    <w:rsid w:val="0085146C"/>
    <w:rsid w:val="008515AB"/>
    <w:rsid w:val="00851922"/>
    <w:rsid w:val="008519ED"/>
    <w:rsid w:val="00851B4B"/>
    <w:rsid w:val="00851CFF"/>
    <w:rsid w:val="00851DA9"/>
    <w:rsid w:val="0085226D"/>
    <w:rsid w:val="008525AF"/>
    <w:rsid w:val="00852762"/>
    <w:rsid w:val="008527C7"/>
    <w:rsid w:val="00852860"/>
    <w:rsid w:val="00853054"/>
    <w:rsid w:val="00853098"/>
    <w:rsid w:val="008533D5"/>
    <w:rsid w:val="0085368C"/>
    <w:rsid w:val="00853DEE"/>
    <w:rsid w:val="00853F04"/>
    <w:rsid w:val="0085400D"/>
    <w:rsid w:val="00854236"/>
    <w:rsid w:val="0085430B"/>
    <w:rsid w:val="00854341"/>
    <w:rsid w:val="0085437A"/>
    <w:rsid w:val="00854418"/>
    <w:rsid w:val="00854479"/>
    <w:rsid w:val="0085454D"/>
    <w:rsid w:val="0085495D"/>
    <w:rsid w:val="00854AED"/>
    <w:rsid w:val="00854BE0"/>
    <w:rsid w:val="00854C30"/>
    <w:rsid w:val="00854D6C"/>
    <w:rsid w:val="00855072"/>
    <w:rsid w:val="00855602"/>
    <w:rsid w:val="008558EF"/>
    <w:rsid w:val="00855956"/>
    <w:rsid w:val="008559E6"/>
    <w:rsid w:val="00855A11"/>
    <w:rsid w:val="00855BC9"/>
    <w:rsid w:val="00855D31"/>
    <w:rsid w:val="00855DDD"/>
    <w:rsid w:val="00855F93"/>
    <w:rsid w:val="00856011"/>
    <w:rsid w:val="00856058"/>
    <w:rsid w:val="00856485"/>
    <w:rsid w:val="008564E1"/>
    <w:rsid w:val="00856512"/>
    <w:rsid w:val="00856599"/>
    <w:rsid w:val="0085694C"/>
    <w:rsid w:val="00856AEF"/>
    <w:rsid w:val="00856F84"/>
    <w:rsid w:val="00857042"/>
    <w:rsid w:val="008570DD"/>
    <w:rsid w:val="00857125"/>
    <w:rsid w:val="008573F4"/>
    <w:rsid w:val="008576B6"/>
    <w:rsid w:val="008578DB"/>
    <w:rsid w:val="00857973"/>
    <w:rsid w:val="0085798D"/>
    <w:rsid w:val="0085798E"/>
    <w:rsid w:val="00857BC4"/>
    <w:rsid w:val="008600A7"/>
    <w:rsid w:val="0086012D"/>
    <w:rsid w:val="00860235"/>
    <w:rsid w:val="00860283"/>
    <w:rsid w:val="0086051B"/>
    <w:rsid w:val="0086059E"/>
    <w:rsid w:val="008607A8"/>
    <w:rsid w:val="0086082E"/>
    <w:rsid w:val="00860897"/>
    <w:rsid w:val="008608E6"/>
    <w:rsid w:val="008609B0"/>
    <w:rsid w:val="00860AC9"/>
    <w:rsid w:val="00860B08"/>
    <w:rsid w:val="00860E39"/>
    <w:rsid w:val="00860FF5"/>
    <w:rsid w:val="008613C6"/>
    <w:rsid w:val="00861527"/>
    <w:rsid w:val="008615A0"/>
    <w:rsid w:val="008618A2"/>
    <w:rsid w:val="00861A02"/>
    <w:rsid w:val="00861A83"/>
    <w:rsid w:val="00861CEC"/>
    <w:rsid w:val="00861E9E"/>
    <w:rsid w:val="0086204D"/>
    <w:rsid w:val="00862074"/>
    <w:rsid w:val="008620B1"/>
    <w:rsid w:val="008621F2"/>
    <w:rsid w:val="008623C8"/>
    <w:rsid w:val="008623EC"/>
    <w:rsid w:val="00862496"/>
    <w:rsid w:val="008624FC"/>
    <w:rsid w:val="008628EB"/>
    <w:rsid w:val="00862BE1"/>
    <w:rsid w:val="008633AE"/>
    <w:rsid w:val="00863663"/>
    <w:rsid w:val="00863785"/>
    <w:rsid w:val="00863882"/>
    <w:rsid w:val="00863A47"/>
    <w:rsid w:val="00863C9E"/>
    <w:rsid w:val="00863E08"/>
    <w:rsid w:val="008642D2"/>
    <w:rsid w:val="008644A7"/>
    <w:rsid w:val="008645AB"/>
    <w:rsid w:val="00864804"/>
    <w:rsid w:val="00864A98"/>
    <w:rsid w:val="00864AB1"/>
    <w:rsid w:val="00864BBE"/>
    <w:rsid w:val="00864DDB"/>
    <w:rsid w:val="00864DF0"/>
    <w:rsid w:val="008650CC"/>
    <w:rsid w:val="008650F6"/>
    <w:rsid w:val="00865126"/>
    <w:rsid w:val="008651BB"/>
    <w:rsid w:val="00865606"/>
    <w:rsid w:val="0086560A"/>
    <w:rsid w:val="008658C5"/>
    <w:rsid w:val="00865A8F"/>
    <w:rsid w:val="00865C7E"/>
    <w:rsid w:val="00865E95"/>
    <w:rsid w:val="0086609F"/>
    <w:rsid w:val="0086616D"/>
    <w:rsid w:val="00866479"/>
    <w:rsid w:val="008665FB"/>
    <w:rsid w:val="00866620"/>
    <w:rsid w:val="00866933"/>
    <w:rsid w:val="0086695F"/>
    <w:rsid w:val="00866A0B"/>
    <w:rsid w:val="00866A9A"/>
    <w:rsid w:val="00866C59"/>
    <w:rsid w:val="00866DCE"/>
    <w:rsid w:val="00866E63"/>
    <w:rsid w:val="00866F0D"/>
    <w:rsid w:val="008671BC"/>
    <w:rsid w:val="008671E7"/>
    <w:rsid w:val="00867398"/>
    <w:rsid w:val="0086739A"/>
    <w:rsid w:val="008677C1"/>
    <w:rsid w:val="00867A93"/>
    <w:rsid w:val="00867AD7"/>
    <w:rsid w:val="00867D41"/>
    <w:rsid w:val="00867F57"/>
    <w:rsid w:val="00870018"/>
    <w:rsid w:val="00870083"/>
    <w:rsid w:val="008700E0"/>
    <w:rsid w:val="008701D2"/>
    <w:rsid w:val="00870434"/>
    <w:rsid w:val="008704B1"/>
    <w:rsid w:val="00870516"/>
    <w:rsid w:val="008705F5"/>
    <w:rsid w:val="00870617"/>
    <w:rsid w:val="00870953"/>
    <w:rsid w:val="008710EB"/>
    <w:rsid w:val="0087117B"/>
    <w:rsid w:val="008711A9"/>
    <w:rsid w:val="0087127F"/>
    <w:rsid w:val="0087131B"/>
    <w:rsid w:val="00871447"/>
    <w:rsid w:val="008719D3"/>
    <w:rsid w:val="00871A6C"/>
    <w:rsid w:val="00871BA2"/>
    <w:rsid w:val="00871C37"/>
    <w:rsid w:val="00871D4D"/>
    <w:rsid w:val="00871D70"/>
    <w:rsid w:val="00872270"/>
    <w:rsid w:val="00872444"/>
    <w:rsid w:val="00872498"/>
    <w:rsid w:val="00872962"/>
    <w:rsid w:val="00872B04"/>
    <w:rsid w:val="00872BB5"/>
    <w:rsid w:val="00872EFD"/>
    <w:rsid w:val="008730D9"/>
    <w:rsid w:val="008731B7"/>
    <w:rsid w:val="008732CA"/>
    <w:rsid w:val="00873495"/>
    <w:rsid w:val="00873557"/>
    <w:rsid w:val="00873696"/>
    <w:rsid w:val="00873B61"/>
    <w:rsid w:val="00873BC3"/>
    <w:rsid w:val="00873DA7"/>
    <w:rsid w:val="00873F4F"/>
    <w:rsid w:val="00873F78"/>
    <w:rsid w:val="00874193"/>
    <w:rsid w:val="008741FE"/>
    <w:rsid w:val="008743CE"/>
    <w:rsid w:val="0087465F"/>
    <w:rsid w:val="00874666"/>
    <w:rsid w:val="0087470E"/>
    <w:rsid w:val="00874739"/>
    <w:rsid w:val="0087486D"/>
    <w:rsid w:val="00874936"/>
    <w:rsid w:val="00874A1C"/>
    <w:rsid w:val="00874B48"/>
    <w:rsid w:val="00874BB3"/>
    <w:rsid w:val="00874C3B"/>
    <w:rsid w:val="00874C85"/>
    <w:rsid w:val="00874D22"/>
    <w:rsid w:val="00874DAF"/>
    <w:rsid w:val="00874ED0"/>
    <w:rsid w:val="00874F08"/>
    <w:rsid w:val="008750E1"/>
    <w:rsid w:val="0087510D"/>
    <w:rsid w:val="00875346"/>
    <w:rsid w:val="00875384"/>
    <w:rsid w:val="008753EB"/>
    <w:rsid w:val="00875562"/>
    <w:rsid w:val="00875644"/>
    <w:rsid w:val="00875947"/>
    <w:rsid w:val="00875C83"/>
    <w:rsid w:val="008761BB"/>
    <w:rsid w:val="008762ED"/>
    <w:rsid w:val="008764CB"/>
    <w:rsid w:val="00876573"/>
    <w:rsid w:val="008765AE"/>
    <w:rsid w:val="00876731"/>
    <w:rsid w:val="00876931"/>
    <w:rsid w:val="00876A3B"/>
    <w:rsid w:val="00876ECC"/>
    <w:rsid w:val="00876EF3"/>
    <w:rsid w:val="00876FED"/>
    <w:rsid w:val="00876FF0"/>
    <w:rsid w:val="0087706D"/>
    <w:rsid w:val="0087718B"/>
    <w:rsid w:val="0087737E"/>
    <w:rsid w:val="008774B5"/>
    <w:rsid w:val="00877659"/>
    <w:rsid w:val="0087775D"/>
    <w:rsid w:val="0087775F"/>
    <w:rsid w:val="0087786D"/>
    <w:rsid w:val="00877AB7"/>
    <w:rsid w:val="00877B52"/>
    <w:rsid w:val="00877BC4"/>
    <w:rsid w:val="00877D04"/>
    <w:rsid w:val="00877E34"/>
    <w:rsid w:val="00877E9D"/>
    <w:rsid w:val="0088003F"/>
    <w:rsid w:val="00880054"/>
    <w:rsid w:val="00880287"/>
    <w:rsid w:val="008803FD"/>
    <w:rsid w:val="0088049D"/>
    <w:rsid w:val="008806AE"/>
    <w:rsid w:val="00880B15"/>
    <w:rsid w:val="00880B51"/>
    <w:rsid w:val="00880BEF"/>
    <w:rsid w:val="00880F49"/>
    <w:rsid w:val="0088122D"/>
    <w:rsid w:val="0088144F"/>
    <w:rsid w:val="0088178F"/>
    <w:rsid w:val="00881804"/>
    <w:rsid w:val="008819B6"/>
    <w:rsid w:val="00881B4B"/>
    <w:rsid w:val="00881C21"/>
    <w:rsid w:val="00881F72"/>
    <w:rsid w:val="00882239"/>
    <w:rsid w:val="008824F8"/>
    <w:rsid w:val="00882566"/>
    <w:rsid w:val="008825D7"/>
    <w:rsid w:val="008828F9"/>
    <w:rsid w:val="008829B7"/>
    <w:rsid w:val="008830B0"/>
    <w:rsid w:val="00883137"/>
    <w:rsid w:val="00883170"/>
    <w:rsid w:val="0088340D"/>
    <w:rsid w:val="00883846"/>
    <w:rsid w:val="00883879"/>
    <w:rsid w:val="00883A75"/>
    <w:rsid w:val="00883AD4"/>
    <w:rsid w:val="00883D02"/>
    <w:rsid w:val="00883D1D"/>
    <w:rsid w:val="00883E25"/>
    <w:rsid w:val="00883EA8"/>
    <w:rsid w:val="00883EE7"/>
    <w:rsid w:val="008843D4"/>
    <w:rsid w:val="00884473"/>
    <w:rsid w:val="00884AAC"/>
    <w:rsid w:val="00884AFC"/>
    <w:rsid w:val="0088552B"/>
    <w:rsid w:val="00885667"/>
    <w:rsid w:val="00885918"/>
    <w:rsid w:val="00885AFA"/>
    <w:rsid w:val="00886139"/>
    <w:rsid w:val="00886177"/>
    <w:rsid w:val="008861C4"/>
    <w:rsid w:val="008863C9"/>
    <w:rsid w:val="008864C7"/>
    <w:rsid w:val="008865B9"/>
    <w:rsid w:val="0088664C"/>
    <w:rsid w:val="00886665"/>
    <w:rsid w:val="00886672"/>
    <w:rsid w:val="00886706"/>
    <w:rsid w:val="00886714"/>
    <w:rsid w:val="008867A0"/>
    <w:rsid w:val="008867F1"/>
    <w:rsid w:val="00886886"/>
    <w:rsid w:val="008868D9"/>
    <w:rsid w:val="00886BCB"/>
    <w:rsid w:val="00886CAC"/>
    <w:rsid w:val="00886D1D"/>
    <w:rsid w:val="00886DA7"/>
    <w:rsid w:val="00886E54"/>
    <w:rsid w:val="00886FAA"/>
    <w:rsid w:val="008870EB"/>
    <w:rsid w:val="008871E9"/>
    <w:rsid w:val="008872A5"/>
    <w:rsid w:val="00887438"/>
    <w:rsid w:val="008877BF"/>
    <w:rsid w:val="00887B2C"/>
    <w:rsid w:val="00887C70"/>
    <w:rsid w:val="00887E2A"/>
    <w:rsid w:val="00890006"/>
    <w:rsid w:val="008902C6"/>
    <w:rsid w:val="00890347"/>
    <w:rsid w:val="00890371"/>
    <w:rsid w:val="00890527"/>
    <w:rsid w:val="008906CA"/>
    <w:rsid w:val="008909FB"/>
    <w:rsid w:val="00890CA5"/>
    <w:rsid w:val="00890E99"/>
    <w:rsid w:val="008913CA"/>
    <w:rsid w:val="008914A0"/>
    <w:rsid w:val="0089157B"/>
    <w:rsid w:val="0089183D"/>
    <w:rsid w:val="0089186C"/>
    <w:rsid w:val="00891886"/>
    <w:rsid w:val="00891924"/>
    <w:rsid w:val="00891969"/>
    <w:rsid w:val="00891A20"/>
    <w:rsid w:val="00891A8C"/>
    <w:rsid w:val="00891AC5"/>
    <w:rsid w:val="00891B56"/>
    <w:rsid w:val="00891E8F"/>
    <w:rsid w:val="00891EA6"/>
    <w:rsid w:val="008920EB"/>
    <w:rsid w:val="008924E5"/>
    <w:rsid w:val="00892603"/>
    <w:rsid w:val="00892655"/>
    <w:rsid w:val="00892767"/>
    <w:rsid w:val="008928B8"/>
    <w:rsid w:val="0089296B"/>
    <w:rsid w:val="00892A61"/>
    <w:rsid w:val="00892B41"/>
    <w:rsid w:val="00892B5E"/>
    <w:rsid w:val="00892B6D"/>
    <w:rsid w:val="00892D17"/>
    <w:rsid w:val="00892D2F"/>
    <w:rsid w:val="00893161"/>
    <w:rsid w:val="00893374"/>
    <w:rsid w:val="008933B1"/>
    <w:rsid w:val="008936BA"/>
    <w:rsid w:val="008936E1"/>
    <w:rsid w:val="00893808"/>
    <w:rsid w:val="0089392F"/>
    <w:rsid w:val="00893949"/>
    <w:rsid w:val="008939AC"/>
    <w:rsid w:val="00893C4E"/>
    <w:rsid w:val="00893DB8"/>
    <w:rsid w:val="00893F37"/>
    <w:rsid w:val="00893F63"/>
    <w:rsid w:val="00894131"/>
    <w:rsid w:val="0089417D"/>
    <w:rsid w:val="008941F4"/>
    <w:rsid w:val="0089436D"/>
    <w:rsid w:val="00894575"/>
    <w:rsid w:val="008945AC"/>
    <w:rsid w:val="0089488B"/>
    <w:rsid w:val="00894E1B"/>
    <w:rsid w:val="00894EE5"/>
    <w:rsid w:val="00894FB0"/>
    <w:rsid w:val="008951EB"/>
    <w:rsid w:val="0089544D"/>
    <w:rsid w:val="00895635"/>
    <w:rsid w:val="00895C78"/>
    <w:rsid w:val="008967B7"/>
    <w:rsid w:val="00896989"/>
    <w:rsid w:val="00896A94"/>
    <w:rsid w:val="008970BE"/>
    <w:rsid w:val="00897364"/>
    <w:rsid w:val="00897A48"/>
    <w:rsid w:val="00897BD3"/>
    <w:rsid w:val="00897DDD"/>
    <w:rsid w:val="00897DFE"/>
    <w:rsid w:val="008A01E6"/>
    <w:rsid w:val="008A0589"/>
    <w:rsid w:val="008A0949"/>
    <w:rsid w:val="008A09A7"/>
    <w:rsid w:val="008A09B3"/>
    <w:rsid w:val="008A0A8F"/>
    <w:rsid w:val="008A0C27"/>
    <w:rsid w:val="008A0F15"/>
    <w:rsid w:val="008A1302"/>
    <w:rsid w:val="008A1322"/>
    <w:rsid w:val="008A1E3E"/>
    <w:rsid w:val="008A1EBD"/>
    <w:rsid w:val="008A1F7D"/>
    <w:rsid w:val="008A2284"/>
    <w:rsid w:val="008A2379"/>
    <w:rsid w:val="008A2503"/>
    <w:rsid w:val="008A2623"/>
    <w:rsid w:val="008A2638"/>
    <w:rsid w:val="008A276A"/>
    <w:rsid w:val="008A27A6"/>
    <w:rsid w:val="008A2831"/>
    <w:rsid w:val="008A28F5"/>
    <w:rsid w:val="008A2914"/>
    <w:rsid w:val="008A2915"/>
    <w:rsid w:val="008A2B2A"/>
    <w:rsid w:val="008A2BC1"/>
    <w:rsid w:val="008A32B5"/>
    <w:rsid w:val="008A367C"/>
    <w:rsid w:val="008A37FA"/>
    <w:rsid w:val="008A3B26"/>
    <w:rsid w:val="008A3CF4"/>
    <w:rsid w:val="008A3D22"/>
    <w:rsid w:val="008A3D9C"/>
    <w:rsid w:val="008A3EF7"/>
    <w:rsid w:val="008A4050"/>
    <w:rsid w:val="008A40CC"/>
    <w:rsid w:val="008A46DF"/>
    <w:rsid w:val="008A4866"/>
    <w:rsid w:val="008A4B26"/>
    <w:rsid w:val="008A4BB1"/>
    <w:rsid w:val="008A4C1A"/>
    <w:rsid w:val="008A5061"/>
    <w:rsid w:val="008A5310"/>
    <w:rsid w:val="008A5538"/>
    <w:rsid w:val="008A578A"/>
    <w:rsid w:val="008A5906"/>
    <w:rsid w:val="008A595C"/>
    <w:rsid w:val="008A5980"/>
    <w:rsid w:val="008A5995"/>
    <w:rsid w:val="008A5A5C"/>
    <w:rsid w:val="008A5DC2"/>
    <w:rsid w:val="008A5EFB"/>
    <w:rsid w:val="008A5F58"/>
    <w:rsid w:val="008A6283"/>
    <w:rsid w:val="008A634B"/>
    <w:rsid w:val="008A64E6"/>
    <w:rsid w:val="008A6A78"/>
    <w:rsid w:val="008A6CD2"/>
    <w:rsid w:val="008A6E2E"/>
    <w:rsid w:val="008A6FDA"/>
    <w:rsid w:val="008A7086"/>
    <w:rsid w:val="008A71DF"/>
    <w:rsid w:val="008A72A3"/>
    <w:rsid w:val="008A733C"/>
    <w:rsid w:val="008A73CD"/>
    <w:rsid w:val="008A763F"/>
    <w:rsid w:val="008A7648"/>
    <w:rsid w:val="008A78D8"/>
    <w:rsid w:val="008A7923"/>
    <w:rsid w:val="008A7C37"/>
    <w:rsid w:val="008A7D69"/>
    <w:rsid w:val="008A7FD4"/>
    <w:rsid w:val="008B008F"/>
    <w:rsid w:val="008B01AD"/>
    <w:rsid w:val="008B0278"/>
    <w:rsid w:val="008B0469"/>
    <w:rsid w:val="008B0494"/>
    <w:rsid w:val="008B059A"/>
    <w:rsid w:val="008B0784"/>
    <w:rsid w:val="008B080A"/>
    <w:rsid w:val="008B0D3F"/>
    <w:rsid w:val="008B0E08"/>
    <w:rsid w:val="008B1179"/>
    <w:rsid w:val="008B1257"/>
    <w:rsid w:val="008B1393"/>
    <w:rsid w:val="008B146A"/>
    <w:rsid w:val="008B14DD"/>
    <w:rsid w:val="008B1607"/>
    <w:rsid w:val="008B1669"/>
    <w:rsid w:val="008B1A74"/>
    <w:rsid w:val="008B1BDA"/>
    <w:rsid w:val="008B1E29"/>
    <w:rsid w:val="008B1E49"/>
    <w:rsid w:val="008B1F25"/>
    <w:rsid w:val="008B2012"/>
    <w:rsid w:val="008B207A"/>
    <w:rsid w:val="008B20FE"/>
    <w:rsid w:val="008B2450"/>
    <w:rsid w:val="008B24BD"/>
    <w:rsid w:val="008B24E0"/>
    <w:rsid w:val="008B2593"/>
    <w:rsid w:val="008B276D"/>
    <w:rsid w:val="008B27FD"/>
    <w:rsid w:val="008B2844"/>
    <w:rsid w:val="008B29D2"/>
    <w:rsid w:val="008B2AAB"/>
    <w:rsid w:val="008B2B73"/>
    <w:rsid w:val="008B2B99"/>
    <w:rsid w:val="008B2C21"/>
    <w:rsid w:val="008B2DC0"/>
    <w:rsid w:val="008B312E"/>
    <w:rsid w:val="008B31C4"/>
    <w:rsid w:val="008B31CB"/>
    <w:rsid w:val="008B3425"/>
    <w:rsid w:val="008B35AB"/>
    <w:rsid w:val="008B3629"/>
    <w:rsid w:val="008B3771"/>
    <w:rsid w:val="008B3850"/>
    <w:rsid w:val="008B3A42"/>
    <w:rsid w:val="008B3B23"/>
    <w:rsid w:val="008B3ED3"/>
    <w:rsid w:val="008B3FDE"/>
    <w:rsid w:val="008B4058"/>
    <w:rsid w:val="008B415D"/>
    <w:rsid w:val="008B4321"/>
    <w:rsid w:val="008B4626"/>
    <w:rsid w:val="008B482C"/>
    <w:rsid w:val="008B48A4"/>
    <w:rsid w:val="008B490C"/>
    <w:rsid w:val="008B4DDB"/>
    <w:rsid w:val="008B4E67"/>
    <w:rsid w:val="008B4F01"/>
    <w:rsid w:val="008B4FA2"/>
    <w:rsid w:val="008B5076"/>
    <w:rsid w:val="008B5102"/>
    <w:rsid w:val="008B51FA"/>
    <w:rsid w:val="008B5224"/>
    <w:rsid w:val="008B532D"/>
    <w:rsid w:val="008B5373"/>
    <w:rsid w:val="008B5480"/>
    <w:rsid w:val="008B5585"/>
    <w:rsid w:val="008B5754"/>
    <w:rsid w:val="008B5996"/>
    <w:rsid w:val="008B5A53"/>
    <w:rsid w:val="008B5AAC"/>
    <w:rsid w:val="008B5B35"/>
    <w:rsid w:val="008B5CAD"/>
    <w:rsid w:val="008B5F1D"/>
    <w:rsid w:val="008B6135"/>
    <w:rsid w:val="008B6137"/>
    <w:rsid w:val="008B6146"/>
    <w:rsid w:val="008B66BB"/>
    <w:rsid w:val="008B66D5"/>
    <w:rsid w:val="008B6872"/>
    <w:rsid w:val="008B6C64"/>
    <w:rsid w:val="008B6DCD"/>
    <w:rsid w:val="008B6F3B"/>
    <w:rsid w:val="008B6F72"/>
    <w:rsid w:val="008B6F92"/>
    <w:rsid w:val="008B7035"/>
    <w:rsid w:val="008B70D5"/>
    <w:rsid w:val="008B7201"/>
    <w:rsid w:val="008B758E"/>
    <w:rsid w:val="008B7770"/>
    <w:rsid w:val="008B77BD"/>
    <w:rsid w:val="008B7C1F"/>
    <w:rsid w:val="008B7C3B"/>
    <w:rsid w:val="008B7D07"/>
    <w:rsid w:val="008B7D2B"/>
    <w:rsid w:val="008B7FDE"/>
    <w:rsid w:val="008C0480"/>
    <w:rsid w:val="008C0511"/>
    <w:rsid w:val="008C07F8"/>
    <w:rsid w:val="008C0965"/>
    <w:rsid w:val="008C09A3"/>
    <w:rsid w:val="008C09DD"/>
    <w:rsid w:val="008C0A0E"/>
    <w:rsid w:val="008C0E33"/>
    <w:rsid w:val="008C0F24"/>
    <w:rsid w:val="008C1019"/>
    <w:rsid w:val="008C1220"/>
    <w:rsid w:val="008C1485"/>
    <w:rsid w:val="008C1543"/>
    <w:rsid w:val="008C159C"/>
    <w:rsid w:val="008C15F7"/>
    <w:rsid w:val="008C17D3"/>
    <w:rsid w:val="008C19F6"/>
    <w:rsid w:val="008C1B98"/>
    <w:rsid w:val="008C1E9C"/>
    <w:rsid w:val="008C208F"/>
    <w:rsid w:val="008C21BD"/>
    <w:rsid w:val="008C26BA"/>
    <w:rsid w:val="008C2740"/>
    <w:rsid w:val="008C2833"/>
    <w:rsid w:val="008C2A01"/>
    <w:rsid w:val="008C2CE8"/>
    <w:rsid w:val="008C2D18"/>
    <w:rsid w:val="008C2D26"/>
    <w:rsid w:val="008C2DD7"/>
    <w:rsid w:val="008C304A"/>
    <w:rsid w:val="008C31AD"/>
    <w:rsid w:val="008C3204"/>
    <w:rsid w:val="008C3312"/>
    <w:rsid w:val="008C33BA"/>
    <w:rsid w:val="008C343B"/>
    <w:rsid w:val="008C3762"/>
    <w:rsid w:val="008C37E6"/>
    <w:rsid w:val="008C3A77"/>
    <w:rsid w:val="008C3BE8"/>
    <w:rsid w:val="008C3C41"/>
    <w:rsid w:val="008C3CAD"/>
    <w:rsid w:val="008C3E3A"/>
    <w:rsid w:val="008C4053"/>
    <w:rsid w:val="008C41ED"/>
    <w:rsid w:val="008C425F"/>
    <w:rsid w:val="008C44C4"/>
    <w:rsid w:val="008C4584"/>
    <w:rsid w:val="008C4721"/>
    <w:rsid w:val="008C473D"/>
    <w:rsid w:val="008C4778"/>
    <w:rsid w:val="008C47EB"/>
    <w:rsid w:val="008C48D1"/>
    <w:rsid w:val="008C48E1"/>
    <w:rsid w:val="008C490F"/>
    <w:rsid w:val="008C4AF7"/>
    <w:rsid w:val="008C4CA0"/>
    <w:rsid w:val="008C4CAA"/>
    <w:rsid w:val="008C4D15"/>
    <w:rsid w:val="008C4F05"/>
    <w:rsid w:val="008C566B"/>
    <w:rsid w:val="008C5842"/>
    <w:rsid w:val="008C58FE"/>
    <w:rsid w:val="008C58FF"/>
    <w:rsid w:val="008C5D2D"/>
    <w:rsid w:val="008C5E38"/>
    <w:rsid w:val="008C6016"/>
    <w:rsid w:val="008C6310"/>
    <w:rsid w:val="008C64DD"/>
    <w:rsid w:val="008C6546"/>
    <w:rsid w:val="008C67D0"/>
    <w:rsid w:val="008C68DC"/>
    <w:rsid w:val="008C698D"/>
    <w:rsid w:val="008C6A11"/>
    <w:rsid w:val="008C6C22"/>
    <w:rsid w:val="008C6CAF"/>
    <w:rsid w:val="008C6D0F"/>
    <w:rsid w:val="008C6FFA"/>
    <w:rsid w:val="008C70B9"/>
    <w:rsid w:val="008C7177"/>
    <w:rsid w:val="008C7326"/>
    <w:rsid w:val="008C7615"/>
    <w:rsid w:val="008C77E8"/>
    <w:rsid w:val="008C7891"/>
    <w:rsid w:val="008C7923"/>
    <w:rsid w:val="008C7993"/>
    <w:rsid w:val="008C7AFD"/>
    <w:rsid w:val="008C7B20"/>
    <w:rsid w:val="008C7CE2"/>
    <w:rsid w:val="008C7F00"/>
    <w:rsid w:val="008D010D"/>
    <w:rsid w:val="008D0253"/>
    <w:rsid w:val="008D036E"/>
    <w:rsid w:val="008D0473"/>
    <w:rsid w:val="008D07A7"/>
    <w:rsid w:val="008D08E8"/>
    <w:rsid w:val="008D0B08"/>
    <w:rsid w:val="008D0EDE"/>
    <w:rsid w:val="008D0FF4"/>
    <w:rsid w:val="008D1072"/>
    <w:rsid w:val="008D12F6"/>
    <w:rsid w:val="008D17CA"/>
    <w:rsid w:val="008D1E56"/>
    <w:rsid w:val="008D22D1"/>
    <w:rsid w:val="008D2410"/>
    <w:rsid w:val="008D2414"/>
    <w:rsid w:val="008D27A0"/>
    <w:rsid w:val="008D27EE"/>
    <w:rsid w:val="008D2933"/>
    <w:rsid w:val="008D2D56"/>
    <w:rsid w:val="008D2DE9"/>
    <w:rsid w:val="008D2E2A"/>
    <w:rsid w:val="008D2E40"/>
    <w:rsid w:val="008D2E47"/>
    <w:rsid w:val="008D3016"/>
    <w:rsid w:val="008D3141"/>
    <w:rsid w:val="008D3317"/>
    <w:rsid w:val="008D3C6C"/>
    <w:rsid w:val="008D3E60"/>
    <w:rsid w:val="008D4102"/>
    <w:rsid w:val="008D41AB"/>
    <w:rsid w:val="008D4318"/>
    <w:rsid w:val="008D4631"/>
    <w:rsid w:val="008D4A4D"/>
    <w:rsid w:val="008D4A5F"/>
    <w:rsid w:val="008D4BF5"/>
    <w:rsid w:val="008D4DDA"/>
    <w:rsid w:val="008D51A7"/>
    <w:rsid w:val="008D51BA"/>
    <w:rsid w:val="008D51CB"/>
    <w:rsid w:val="008D520E"/>
    <w:rsid w:val="008D533A"/>
    <w:rsid w:val="008D53C7"/>
    <w:rsid w:val="008D5725"/>
    <w:rsid w:val="008D575A"/>
    <w:rsid w:val="008D58AE"/>
    <w:rsid w:val="008D58EC"/>
    <w:rsid w:val="008D5DE7"/>
    <w:rsid w:val="008D5F58"/>
    <w:rsid w:val="008D5FC5"/>
    <w:rsid w:val="008D61A5"/>
    <w:rsid w:val="008D6670"/>
    <w:rsid w:val="008D6795"/>
    <w:rsid w:val="008D6797"/>
    <w:rsid w:val="008D68A1"/>
    <w:rsid w:val="008D68D7"/>
    <w:rsid w:val="008D6AA8"/>
    <w:rsid w:val="008D6AC6"/>
    <w:rsid w:val="008D6CCA"/>
    <w:rsid w:val="008D6D13"/>
    <w:rsid w:val="008D6DC9"/>
    <w:rsid w:val="008D6EA6"/>
    <w:rsid w:val="008D6EB2"/>
    <w:rsid w:val="008D6EC5"/>
    <w:rsid w:val="008D70B1"/>
    <w:rsid w:val="008D7389"/>
    <w:rsid w:val="008D7527"/>
    <w:rsid w:val="008D7574"/>
    <w:rsid w:val="008D7619"/>
    <w:rsid w:val="008D7679"/>
    <w:rsid w:val="008D773F"/>
    <w:rsid w:val="008D777D"/>
    <w:rsid w:val="008D7813"/>
    <w:rsid w:val="008D79D6"/>
    <w:rsid w:val="008D7BFE"/>
    <w:rsid w:val="008D7E54"/>
    <w:rsid w:val="008D7F70"/>
    <w:rsid w:val="008E0095"/>
    <w:rsid w:val="008E0218"/>
    <w:rsid w:val="008E0506"/>
    <w:rsid w:val="008E05BC"/>
    <w:rsid w:val="008E0B05"/>
    <w:rsid w:val="008E0EB8"/>
    <w:rsid w:val="008E0F21"/>
    <w:rsid w:val="008E0F34"/>
    <w:rsid w:val="008E15A3"/>
    <w:rsid w:val="008E182E"/>
    <w:rsid w:val="008E1C63"/>
    <w:rsid w:val="008E1ED3"/>
    <w:rsid w:val="008E1F1D"/>
    <w:rsid w:val="008E1FAD"/>
    <w:rsid w:val="008E210A"/>
    <w:rsid w:val="008E21BD"/>
    <w:rsid w:val="008E22CD"/>
    <w:rsid w:val="008E2429"/>
    <w:rsid w:val="008E247C"/>
    <w:rsid w:val="008E27F1"/>
    <w:rsid w:val="008E2C53"/>
    <w:rsid w:val="008E2DEB"/>
    <w:rsid w:val="008E33DC"/>
    <w:rsid w:val="008E344E"/>
    <w:rsid w:val="008E345C"/>
    <w:rsid w:val="008E3531"/>
    <w:rsid w:val="008E3AD5"/>
    <w:rsid w:val="008E3B5E"/>
    <w:rsid w:val="008E3DA9"/>
    <w:rsid w:val="008E4385"/>
    <w:rsid w:val="008E43DB"/>
    <w:rsid w:val="008E455A"/>
    <w:rsid w:val="008E45F8"/>
    <w:rsid w:val="008E466B"/>
    <w:rsid w:val="008E483A"/>
    <w:rsid w:val="008E4900"/>
    <w:rsid w:val="008E4921"/>
    <w:rsid w:val="008E4B3A"/>
    <w:rsid w:val="008E4C1D"/>
    <w:rsid w:val="008E4C80"/>
    <w:rsid w:val="008E4D47"/>
    <w:rsid w:val="008E4D51"/>
    <w:rsid w:val="008E4D8E"/>
    <w:rsid w:val="008E4E14"/>
    <w:rsid w:val="008E4FE2"/>
    <w:rsid w:val="008E53C3"/>
    <w:rsid w:val="008E556B"/>
    <w:rsid w:val="008E587B"/>
    <w:rsid w:val="008E58C1"/>
    <w:rsid w:val="008E59BA"/>
    <w:rsid w:val="008E5B4A"/>
    <w:rsid w:val="008E5C9F"/>
    <w:rsid w:val="008E5E6C"/>
    <w:rsid w:val="008E5E8E"/>
    <w:rsid w:val="008E6043"/>
    <w:rsid w:val="008E60F9"/>
    <w:rsid w:val="008E61E8"/>
    <w:rsid w:val="008E643A"/>
    <w:rsid w:val="008E64DA"/>
    <w:rsid w:val="008E6839"/>
    <w:rsid w:val="008E68D3"/>
    <w:rsid w:val="008E69FA"/>
    <w:rsid w:val="008E6C4B"/>
    <w:rsid w:val="008E6CEF"/>
    <w:rsid w:val="008E6EB8"/>
    <w:rsid w:val="008E70FA"/>
    <w:rsid w:val="008E710B"/>
    <w:rsid w:val="008E7156"/>
    <w:rsid w:val="008E7258"/>
    <w:rsid w:val="008E7396"/>
    <w:rsid w:val="008E73C3"/>
    <w:rsid w:val="008E73EA"/>
    <w:rsid w:val="008E76DD"/>
    <w:rsid w:val="008E7B93"/>
    <w:rsid w:val="008E7F06"/>
    <w:rsid w:val="008E7F5C"/>
    <w:rsid w:val="008F00D5"/>
    <w:rsid w:val="008F035C"/>
    <w:rsid w:val="008F03A2"/>
    <w:rsid w:val="008F03A5"/>
    <w:rsid w:val="008F0454"/>
    <w:rsid w:val="008F04AE"/>
    <w:rsid w:val="008F0589"/>
    <w:rsid w:val="008F066F"/>
    <w:rsid w:val="008F06AD"/>
    <w:rsid w:val="008F06B2"/>
    <w:rsid w:val="008F0978"/>
    <w:rsid w:val="008F0B2B"/>
    <w:rsid w:val="008F0CB4"/>
    <w:rsid w:val="008F0D30"/>
    <w:rsid w:val="008F0FB2"/>
    <w:rsid w:val="008F1146"/>
    <w:rsid w:val="008F144E"/>
    <w:rsid w:val="008F15A2"/>
    <w:rsid w:val="008F17C3"/>
    <w:rsid w:val="008F18FB"/>
    <w:rsid w:val="008F1A87"/>
    <w:rsid w:val="008F1ABA"/>
    <w:rsid w:val="008F1C89"/>
    <w:rsid w:val="008F1E37"/>
    <w:rsid w:val="008F1ED7"/>
    <w:rsid w:val="008F1F76"/>
    <w:rsid w:val="008F21B1"/>
    <w:rsid w:val="008F21E9"/>
    <w:rsid w:val="008F2226"/>
    <w:rsid w:val="008F23FD"/>
    <w:rsid w:val="008F244E"/>
    <w:rsid w:val="008F251B"/>
    <w:rsid w:val="008F2636"/>
    <w:rsid w:val="008F2729"/>
    <w:rsid w:val="008F2C3B"/>
    <w:rsid w:val="008F2CC0"/>
    <w:rsid w:val="008F2CF0"/>
    <w:rsid w:val="008F2E57"/>
    <w:rsid w:val="008F2F86"/>
    <w:rsid w:val="008F3193"/>
    <w:rsid w:val="008F34AD"/>
    <w:rsid w:val="008F3618"/>
    <w:rsid w:val="008F38B8"/>
    <w:rsid w:val="008F3924"/>
    <w:rsid w:val="008F3ABB"/>
    <w:rsid w:val="008F3B91"/>
    <w:rsid w:val="008F3E0C"/>
    <w:rsid w:val="008F3EE2"/>
    <w:rsid w:val="008F3FCA"/>
    <w:rsid w:val="008F4328"/>
    <w:rsid w:val="008F4367"/>
    <w:rsid w:val="008F4378"/>
    <w:rsid w:val="008F456F"/>
    <w:rsid w:val="008F483D"/>
    <w:rsid w:val="008F4971"/>
    <w:rsid w:val="008F4D0F"/>
    <w:rsid w:val="008F4D40"/>
    <w:rsid w:val="008F4DCC"/>
    <w:rsid w:val="008F4F44"/>
    <w:rsid w:val="008F4F81"/>
    <w:rsid w:val="008F506B"/>
    <w:rsid w:val="008F5159"/>
    <w:rsid w:val="008F5225"/>
    <w:rsid w:val="008F575F"/>
    <w:rsid w:val="008F58A9"/>
    <w:rsid w:val="008F5914"/>
    <w:rsid w:val="008F5975"/>
    <w:rsid w:val="008F5989"/>
    <w:rsid w:val="008F5A91"/>
    <w:rsid w:val="008F5B25"/>
    <w:rsid w:val="008F5CC1"/>
    <w:rsid w:val="008F5F8C"/>
    <w:rsid w:val="008F609C"/>
    <w:rsid w:val="008F60E5"/>
    <w:rsid w:val="008F614B"/>
    <w:rsid w:val="008F64A9"/>
    <w:rsid w:val="008F658D"/>
    <w:rsid w:val="008F6742"/>
    <w:rsid w:val="008F69D0"/>
    <w:rsid w:val="008F6A7F"/>
    <w:rsid w:val="008F6AE3"/>
    <w:rsid w:val="008F6B65"/>
    <w:rsid w:val="008F6DE8"/>
    <w:rsid w:val="008F6EB5"/>
    <w:rsid w:val="008F6F25"/>
    <w:rsid w:val="008F74E3"/>
    <w:rsid w:val="008F75F3"/>
    <w:rsid w:val="008F7662"/>
    <w:rsid w:val="008F7824"/>
    <w:rsid w:val="008F788D"/>
    <w:rsid w:val="008F79CD"/>
    <w:rsid w:val="008F7C91"/>
    <w:rsid w:val="008F7DDE"/>
    <w:rsid w:val="009000F1"/>
    <w:rsid w:val="009002A2"/>
    <w:rsid w:val="009002E0"/>
    <w:rsid w:val="0090039A"/>
    <w:rsid w:val="0090043C"/>
    <w:rsid w:val="009005C4"/>
    <w:rsid w:val="00900965"/>
    <w:rsid w:val="00900BB7"/>
    <w:rsid w:val="00900DEF"/>
    <w:rsid w:val="00901055"/>
    <w:rsid w:val="009011A7"/>
    <w:rsid w:val="009011A8"/>
    <w:rsid w:val="009014B4"/>
    <w:rsid w:val="0090184F"/>
    <w:rsid w:val="00901A01"/>
    <w:rsid w:val="00901E2C"/>
    <w:rsid w:val="00901F59"/>
    <w:rsid w:val="009021AE"/>
    <w:rsid w:val="009029A0"/>
    <w:rsid w:val="00902CB6"/>
    <w:rsid w:val="00902E9D"/>
    <w:rsid w:val="00902FF5"/>
    <w:rsid w:val="0090304F"/>
    <w:rsid w:val="0090340A"/>
    <w:rsid w:val="009034FE"/>
    <w:rsid w:val="00903B0A"/>
    <w:rsid w:val="00903BF1"/>
    <w:rsid w:val="00903EAE"/>
    <w:rsid w:val="00903EEC"/>
    <w:rsid w:val="00904125"/>
    <w:rsid w:val="009042A7"/>
    <w:rsid w:val="00904313"/>
    <w:rsid w:val="009043E2"/>
    <w:rsid w:val="009043F2"/>
    <w:rsid w:val="009045B9"/>
    <w:rsid w:val="0090468F"/>
    <w:rsid w:val="0090471B"/>
    <w:rsid w:val="009049C0"/>
    <w:rsid w:val="009049EB"/>
    <w:rsid w:val="00904AE5"/>
    <w:rsid w:val="00904CB1"/>
    <w:rsid w:val="00905068"/>
    <w:rsid w:val="00905097"/>
    <w:rsid w:val="009050D0"/>
    <w:rsid w:val="009051F8"/>
    <w:rsid w:val="009053E1"/>
    <w:rsid w:val="009053F9"/>
    <w:rsid w:val="0090543F"/>
    <w:rsid w:val="009054AA"/>
    <w:rsid w:val="009056C1"/>
    <w:rsid w:val="00905773"/>
    <w:rsid w:val="0090577B"/>
    <w:rsid w:val="0090581C"/>
    <w:rsid w:val="009058A4"/>
    <w:rsid w:val="00905AAC"/>
    <w:rsid w:val="00905D36"/>
    <w:rsid w:val="00906105"/>
    <w:rsid w:val="00906224"/>
    <w:rsid w:val="00906309"/>
    <w:rsid w:val="0090644D"/>
    <w:rsid w:val="0090644E"/>
    <w:rsid w:val="009064EA"/>
    <w:rsid w:val="0090682A"/>
    <w:rsid w:val="009069EF"/>
    <w:rsid w:val="00906B3B"/>
    <w:rsid w:val="00906B78"/>
    <w:rsid w:val="00906B7E"/>
    <w:rsid w:val="00906C3F"/>
    <w:rsid w:val="00906C83"/>
    <w:rsid w:val="00906E4D"/>
    <w:rsid w:val="00906EE2"/>
    <w:rsid w:val="00906F41"/>
    <w:rsid w:val="009071B0"/>
    <w:rsid w:val="009071B3"/>
    <w:rsid w:val="00907291"/>
    <w:rsid w:val="009072BF"/>
    <w:rsid w:val="00907315"/>
    <w:rsid w:val="00907595"/>
    <w:rsid w:val="009076ED"/>
    <w:rsid w:val="0090774F"/>
    <w:rsid w:val="009078D2"/>
    <w:rsid w:val="00907919"/>
    <w:rsid w:val="009079B7"/>
    <w:rsid w:val="00907A26"/>
    <w:rsid w:val="00910036"/>
    <w:rsid w:val="009100DC"/>
    <w:rsid w:val="00910172"/>
    <w:rsid w:val="00910176"/>
    <w:rsid w:val="00910208"/>
    <w:rsid w:val="00910419"/>
    <w:rsid w:val="00910702"/>
    <w:rsid w:val="00910A8F"/>
    <w:rsid w:val="00910B86"/>
    <w:rsid w:val="00910C5F"/>
    <w:rsid w:val="00910F3A"/>
    <w:rsid w:val="00911455"/>
    <w:rsid w:val="009114FA"/>
    <w:rsid w:val="0091159A"/>
    <w:rsid w:val="0091168E"/>
    <w:rsid w:val="00911A29"/>
    <w:rsid w:val="00911B30"/>
    <w:rsid w:val="00911BFA"/>
    <w:rsid w:val="009121BD"/>
    <w:rsid w:val="009122FC"/>
    <w:rsid w:val="0091232B"/>
    <w:rsid w:val="0091233C"/>
    <w:rsid w:val="00912345"/>
    <w:rsid w:val="009123A1"/>
    <w:rsid w:val="00912570"/>
    <w:rsid w:val="009125B0"/>
    <w:rsid w:val="00912693"/>
    <w:rsid w:val="0091298F"/>
    <w:rsid w:val="00912A0A"/>
    <w:rsid w:val="00912A26"/>
    <w:rsid w:val="00912A45"/>
    <w:rsid w:val="00912AD5"/>
    <w:rsid w:val="00912B0E"/>
    <w:rsid w:val="00912EA0"/>
    <w:rsid w:val="00912F85"/>
    <w:rsid w:val="009132EE"/>
    <w:rsid w:val="009133E9"/>
    <w:rsid w:val="009134A6"/>
    <w:rsid w:val="009138B1"/>
    <w:rsid w:val="009139A4"/>
    <w:rsid w:val="00913ABD"/>
    <w:rsid w:val="00913C4C"/>
    <w:rsid w:val="00914231"/>
    <w:rsid w:val="009144FB"/>
    <w:rsid w:val="0091496E"/>
    <w:rsid w:val="00914B27"/>
    <w:rsid w:val="00914D0A"/>
    <w:rsid w:val="00914DE2"/>
    <w:rsid w:val="00914E40"/>
    <w:rsid w:val="00914E7B"/>
    <w:rsid w:val="00914F4A"/>
    <w:rsid w:val="0091525F"/>
    <w:rsid w:val="00915283"/>
    <w:rsid w:val="009159F5"/>
    <w:rsid w:val="00915AD5"/>
    <w:rsid w:val="00915B62"/>
    <w:rsid w:val="00915E9B"/>
    <w:rsid w:val="00915ED7"/>
    <w:rsid w:val="00915F4F"/>
    <w:rsid w:val="00916426"/>
    <w:rsid w:val="009165A7"/>
    <w:rsid w:val="00916835"/>
    <w:rsid w:val="00916AD3"/>
    <w:rsid w:val="00916C10"/>
    <w:rsid w:val="009170FC"/>
    <w:rsid w:val="00917115"/>
    <w:rsid w:val="0091717D"/>
    <w:rsid w:val="00917230"/>
    <w:rsid w:val="0091723D"/>
    <w:rsid w:val="009177EC"/>
    <w:rsid w:val="00917817"/>
    <w:rsid w:val="00917CB1"/>
    <w:rsid w:val="00917D1C"/>
    <w:rsid w:val="00917E72"/>
    <w:rsid w:val="0092039E"/>
    <w:rsid w:val="0092061D"/>
    <w:rsid w:val="00920622"/>
    <w:rsid w:val="0092078F"/>
    <w:rsid w:val="009207B3"/>
    <w:rsid w:val="00920AF1"/>
    <w:rsid w:val="00920E0D"/>
    <w:rsid w:val="00920F45"/>
    <w:rsid w:val="00921080"/>
    <w:rsid w:val="009210BB"/>
    <w:rsid w:val="00921686"/>
    <w:rsid w:val="009216DB"/>
    <w:rsid w:val="009217B6"/>
    <w:rsid w:val="009219CE"/>
    <w:rsid w:val="00921BDF"/>
    <w:rsid w:val="00921D6F"/>
    <w:rsid w:val="00921DEF"/>
    <w:rsid w:val="00921E23"/>
    <w:rsid w:val="00921ECD"/>
    <w:rsid w:val="00921F2A"/>
    <w:rsid w:val="0092261B"/>
    <w:rsid w:val="0092276C"/>
    <w:rsid w:val="00922835"/>
    <w:rsid w:val="0092291F"/>
    <w:rsid w:val="00922D4F"/>
    <w:rsid w:val="00922D56"/>
    <w:rsid w:val="00922EDD"/>
    <w:rsid w:val="00922F4F"/>
    <w:rsid w:val="00923008"/>
    <w:rsid w:val="009233D3"/>
    <w:rsid w:val="009234AE"/>
    <w:rsid w:val="00923740"/>
    <w:rsid w:val="0092395E"/>
    <w:rsid w:val="009239AB"/>
    <w:rsid w:val="00923A52"/>
    <w:rsid w:val="00923A8D"/>
    <w:rsid w:val="00923D78"/>
    <w:rsid w:val="009241B0"/>
    <w:rsid w:val="009242B2"/>
    <w:rsid w:val="0092449B"/>
    <w:rsid w:val="00924571"/>
    <w:rsid w:val="009248AB"/>
    <w:rsid w:val="009248D6"/>
    <w:rsid w:val="009249CD"/>
    <w:rsid w:val="00924B2C"/>
    <w:rsid w:val="00924CDE"/>
    <w:rsid w:val="00924EDD"/>
    <w:rsid w:val="009251DA"/>
    <w:rsid w:val="009255A2"/>
    <w:rsid w:val="00925695"/>
    <w:rsid w:val="009256AC"/>
    <w:rsid w:val="0092586D"/>
    <w:rsid w:val="009259E3"/>
    <w:rsid w:val="00925AD3"/>
    <w:rsid w:val="00925B19"/>
    <w:rsid w:val="00925B26"/>
    <w:rsid w:val="00925F0C"/>
    <w:rsid w:val="0092607A"/>
    <w:rsid w:val="00926146"/>
    <w:rsid w:val="0092624F"/>
    <w:rsid w:val="00926276"/>
    <w:rsid w:val="00926443"/>
    <w:rsid w:val="009265E6"/>
    <w:rsid w:val="0092680D"/>
    <w:rsid w:val="00926CCF"/>
    <w:rsid w:val="00926F3E"/>
    <w:rsid w:val="009274A7"/>
    <w:rsid w:val="009276E6"/>
    <w:rsid w:val="00927821"/>
    <w:rsid w:val="009279EF"/>
    <w:rsid w:val="00927B27"/>
    <w:rsid w:val="00927E0F"/>
    <w:rsid w:val="00927FA4"/>
    <w:rsid w:val="00930005"/>
    <w:rsid w:val="00930161"/>
    <w:rsid w:val="00930239"/>
    <w:rsid w:val="0093025B"/>
    <w:rsid w:val="0093036B"/>
    <w:rsid w:val="009303EA"/>
    <w:rsid w:val="0093057D"/>
    <w:rsid w:val="00930868"/>
    <w:rsid w:val="00930881"/>
    <w:rsid w:val="009309CF"/>
    <w:rsid w:val="00931183"/>
    <w:rsid w:val="009311B4"/>
    <w:rsid w:val="009313A6"/>
    <w:rsid w:val="0093163E"/>
    <w:rsid w:val="00931679"/>
    <w:rsid w:val="00931772"/>
    <w:rsid w:val="00931787"/>
    <w:rsid w:val="009317F4"/>
    <w:rsid w:val="00931985"/>
    <w:rsid w:val="00931BD3"/>
    <w:rsid w:val="00931C1F"/>
    <w:rsid w:val="00931CA4"/>
    <w:rsid w:val="00931DB1"/>
    <w:rsid w:val="00931F35"/>
    <w:rsid w:val="00931F87"/>
    <w:rsid w:val="00931FE0"/>
    <w:rsid w:val="009320C5"/>
    <w:rsid w:val="009323F0"/>
    <w:rsid w:val="009324BD"/>
    <w:rsid w:val="00932594"/>
    <w:rsid w:val="009326A6"/>
    <w:rsid w:val="0093276F"/>
    <w:rsid w:val="00932780"/>
    <w:rsid w:val="009327B7"/>
    <w:rsid w:val="00932883"/>
    <w:rsid w:val="00932B0B"/>
    <w:rsid w:val="00932B22"/>
    <w:rsid w:val="00932B9B"/>
    <w:rsid w:val="00932BD6"/>
    <w:rsid w:val="00932D6C"/>
    <w:rsid w:val="00932D77"/>
    <w:rsid w:val="00932FB8"/>
    <w:rsid w:val="00933165"/>
    <w:rsid w:val="009332BD"/>
    <w:rsid w:val="009333EF"/>
    <w:rsid w:val="0093346A"/>
    <w:rsid w:val="0093351F"/>
    <w:rsid w:val="00933687"/>
    <w:rsid w:val="009336EB"/>
    <w:rsid w:val="009338ED"/>
    <w:rsid w:val="0093396C"/>
    <w:rsid w:val="00933C42"/>
    <w:rsid w:val="00933DED"/>
    <w:rsid w:val="00934371"/>
    <w:rsid w:val="00934427"/>
    <w:rsid w:val="009344F6"/>
    <w:rsid w:val="00934540"/>
    <w:rsid w:val="0093496F"/>
    <w:rsid w:val="009349CC"/>
    <w:rsid w:val="00934A00"/>
    <w:rsid w:val="00934A29"/>
    <w:rsid w:val="00934BFA"/>
    <w:rsid w:val="00934D45"/>
    <w:rsid w:val="00934E1D"/>
    <w:rsid w:val="00934E2B"/>
    <w:rsid w:val="009354D2"/>
    <w:rsid w:val="00935731"/>
    <w:rsid w:val="009357CE"/>
    <w:rsid w:val="0093589D"/>
    <w:rsid w:val="00935961"/>
    <w:rsid w:val="00935A49"/>
    <w:rsid w:val="00935B23"/>
    <w:rsid w:val="00935CCC"/>
    <w:rsid w:val="00935E21"/>
    <w:rsid w:val="00936228"/>
    <w:rsid w:val="00936477"/>
    <w:rsid w:val="0093656A"/>
    <w:rsid w:val="009366A9"/>
    <w:rsid w:val="00936713"/>
    <w:rsid w:val="00936962"/>
    <w:rsid w:val="009369A7"/>
    <w:rsid w:val="00936A4B"/>
    <w:rsid w:val="00936B01"/>
    <w:rsid w:val="00936B0E"/>
    <w:rsid w:val="00936B14"/>
    <w:rsid w:val="00936C46"/>
    <w:rsid w:val="00936E63"/>
    <w:rsid w:val="00936EE3"/>
    <w:rsid w:val="00937071"/>
    <w:rsid w:val="0093713A"/>
    <w:rsid w:val="0093736E"/>
    <w:rsid w:val="0093762B"/>
    <w:rsid w:val="0093765F"/>
    <w:rsid w:val="009379F6"/>
    <w:rsid w:val="00937B44"/>
    <w:rsid w:val="00937BA6"/>
    <w:rsid w:val="00937CE2"/>
    <w:rsid w:val="00937FF8"/>
    <w:rsid w:val="00940034"/>
    <w:rsid w:val="00940225"/>
    <w:rsid w:val="00940444"/>
    <w:rsid w:val="00940502"/>
    <w:rsid w:val="00940701"/>
    <w:rsid w:val="0094077B"/>
    <w:rsid w:val="00940A96"/>
    <w:rsid w:val="00940F78"/>
    <w:rsid w:val="00941048"/>
    <w:rsid w:val="009412A6"/>
    <w:rsid w:val="00941331"/>
    <w:rsid w:val="00941653"/>
    <w:rsid w:val="00941668"/>
    <w:rsid w:val="00941717"/>
    <w:rsid w:val="0094171D"/>
    <w:rsid w:val="00941804"/>
    <w:rsid w:val="009418BD"/>
    <w:rsid w:val="009418EF"/>
    <w:rsid w:val="00941985"/>
    <w:rsid w:val="00941A3E"/>
    <w:rsid w:val="00941B08"/>
    <w:rsid w:val="00941E39"/>
    <w:rsid w:val="00941F46"/>
    <w:rsid w:val="009421F7"/>
    <w:rsid w:val="00942259"/>
    <w:rsid w:val="009422CE"/>
    <w:rsid w:val="009425D4"/>
    <w:rsid w:val="009427FD"/>
    <w:rsid w:val="0094293F"/>
    <w:rsid w:val="00942AAD"/>
    <w:rsid w:val="00942B8A"/>
    <w:rsid w:val="00942C02"/>
    <w:rsid w:val="00942D20"/>
    <w:rsid w:val="00942E58"/>
    <w:rsid w:val="00943162"/>
    <w:rsid w:val="009434AA"/>
    <w:rsid w:val="00943568"/>
    <w:rsid w:val="00943743"/>
    <w:rsid w:val="00943899"/>
    <w:rsid w:val="009439B4"/>
    <w:rsid w:val="00943A02"/>
    <w:rsid w:val="00943DBA"/>
    <w:rsid w:val="00943F25"/>
    <w:rsid w:val="00944004"/>
    <w:rsid w:val="00944157"/>
    <w:rsid w:val="0094468A"/>
    <w:rsid w:val="00944733"/>
    <w:rsid w:val="0094480D"/>
    <w:rsid w:val="00944944"/>
    <w:rsid w:val="00944A42"/>
    <w:rsid w:val="00944B22"/>
    <w:rsid w:val="00944EAE"/>
    <w:rsid w:val="00945056"/>
    <w:rsid w:val="00945221"/>
    <w:rsid w:val="009452E8"/>
    <w:rsid w:val="00945401"/>
    <w:rsid w:val="009454C2"/>
    <w:rsid w:val="00945552"/>
    <w:rsid w:val="00945691"/>
    <w:rsid w:val="0094572B"/>
    <w:rsid w:val="00945800"/>
    <w:rsid w:val="00945DC8"/>
    <w:rsid w:val="00945ECF"/>
    <w:rsid w:val="00945EDA"/>
    <w:rsid w:val="00945EF8"/>
    <w:rsid w:val="00946030"/>
    <w:rsid w:val="0094616E"/>
    <w:rsid w:val="009461D3"/>
    <w:rsid w:val="009461ED"/>
    <w:rsid w:val="0094620A"/>
    <w:rsid w:val="0094627F"/>
    <w:rsid w:val="00946336"/>
    <w:rsid w:val="0094648D"/>
    <w:rsid w:val="0094675F"/>
    <w:rsid w:val="009469EF"/>
    <w:rsid w:val="00946ACA"/>
    <w:rsid w:val="00946BC5"/>
    <w:rsid w:val="00946DD8"/>
    <w:rsid w:val="00946ED4"/>
    <w:rsid w:val="009472C1"/>
    <w:rsid w:val="00947321"/>
    <w:rsid w:val="0094736B"/>
    <w:rsid w:val="00947494"/>
    <w:rsid w:val="009474B1"/>
    <w:rsid w:val="00947527"/>
    <w:rsid w:val="00947537"/>
    <w:rsid w:val="00947544"/>
    <w:rsid w:val="00947ACF"/>
    <w:rsid w:val="00947E6F"/>
    <w:rsid w:val="00947EB7"/>
    <w:rsid w:val="00947EE3"/>
    <w:rsid w:val="00947FC1"/>
    <w:rsid w:val="0095000B"/>
    <w:rsid w:val="009501C3"/>
    <w:rsid w:val="00950546"/>
    <w:rsid w:val="00950992"/>
    <w:rsid w:val="00950A12"/>
    <w:rsid w:val="00950A2C"/>
    <w:rsid w:val="0095108B"/>
    <w:rsid w:val="0095120D"/>
    <w:rsid w:val="009512F9"/>
    <w:rsid w:val="009515F1"/>
    <w:rsid w:val="009518BB"/>
    <w:rsid w:val="00951AEB"/>
    <w:rsid w:val="00951BA7"/>
    <w:rsid w:val="00951C2C"/>
    <w:rsid w:val="00951C63"/>
    <w:rsid w:val="00951FAA"/>
    <w:rsid w:val="0095253E"/>
    <w:rsid w:val="009525A0"/>
    <w:rsid w:val="00952684"/>
    <w:rsid w:val="009526EC"/>
    <w:rsid w:val="009527A7"/>
    <w:rsid w:val="00952892"/>
    <w:rsid w:val="00952925"/>
    <w:rsid w:val="0095293D"/>
    <w:rsid w:val="0095295C"/>
    <w:rsid w:val="00952A17"/>
    <w:rsid w:val="00952F97"/>
    <w:rsid w:val="00952FB1"/>
    <w:rsid w:val="00953012"/>
    <w:rsid w:val="0095342F"/>
    <w:rsid w:val="0095347D"/>
    <w:rsid w:val="009534FE"/>
    <w:rsid w:val="00953767"/>
    <w:rsid w:val="009537EA"/>
    <w:rsid w:val="0095397B"/>
    <w:rsid w:val="00953C92"/>
    <w:rsid w:val="00953DF1"/>
    <w:rsid w:val="00953F24"/>
    <w:rsid w:val="00954114"/>
    <w:rsid w:val="0095425C"/>
    <w:rsid w:val="00954263"/>
    <w:rsid w:val="00954267"/>
    <w:rsid w:val="0095469F"/>
    <w:rsid w:val="009546A5"/>
    <w:rsid w:val="00954A4D"/>
    <w:rsid w:val="00954AC7"/>
    <w:rsid w:val="00954D43"/>
    <w:rsid w:val="00955501"/>
    <w:rsid w:val="009555C4"/>
    <w:rsid w:val="009556F6"/>
    <w:rsid w:val="00955810"/>
    <w:rsid w:val="0095588B"/>
    <w:rsid w:val="00955A0D"/>
    <w:rsid w:val="00955A58"/>
    <w:rsid w:val="00955A68"/>
    <w:rsid w:val="00955A9A"/>
    <w:rsid w:val="00955AA7"/>
    <w:rsid w:val="00955B51"/>
    <w:rsid w:val="00955C8F"/>
    <w:rsid w:val="00955DB3"/>
    <w:rsid w:val="00955DEA"/>
    <w:rsid w:val="0095601E"/>
    <w:rsid w:val="0095615A"/>
    <w:rsid w:val="009562CD"/>
    <w:rsid w:val="0095676F"/>
    <w:rsid w:val="009567CE"/>
    <w:rsid w:val="00956BD1"/>
    <w:rsid w:val="00956C6B"/>
    <w:rsid w:val="00956CF1"/>
    <w:rsid w:val="00956FAA"/>
    <w:rsid w:val="009570E0"/>
    <w:rsid w:val="009571B4"/>
    <w:rsid w:val="009571B5"/>
    <w:rsid w:val="009572B4"/>
    <w:rsid w:val="00957324"/>
    <w:rsid w:val="009575AA"/>
    <w:rsid w:val="009577CE"/>
    <w:rsid w:val="009578C2"/>
    <w:rsid w:val="0095797F"/>
    <w:rsid w:val="00957D51"/>
    <w:rsid w:val="00957D81"/>
    <w:rsid w:val="00960200"/>
    <w:rsid w:val="00960365"/>
    <w:rsid w:val="009603B2"/>
    <w:rsid w:val="0096054A"/>
    <w:rsid w:val="009606DE"/>
    <w:rsid w:val="00960713"/>
    <w:rsid w:val="009607A5"/>
    <w:rsid w:val="00960976"/>
    <w:rsid w:val="00960994"/>
    <w:rsid w:val="00960F17"/>
    <w:rsid w:val="00960F75"/>
    <w:rsid w:val="00961016"/>
    <w:rsid w:val="00961045"/>
    <w:rsid w:val="0096141E"/>
    <w:rsid w:val="00961561"/>
    <w:rsid w:val="009617AC"/>
    <w:rsid w:val="00961802"/>
    <w:rsid w:val="0096181D"/>
    <w:rsid w:val="0096192E"/>
    <w:rsid w:val="00961A4F"/>
    <w:rsid w:val="0096211F"/>
    <w:rsid w:val="0096217A"/>
    <w:rsid w:val="009622B4"/>
    <w:rsid w:val="0096244A"/>
    <w:rsid w:val="009625A3"/>
    <w:rsid w:val="00962E65"/>
    <w:rsid w:val="00962EBB"/>
    <w:rsid w:val="00962F9F"/>
    <w:rsid w:val="0096319A"/>
    <w:rsid w:val="009632EE"/>
    <w:rsid w:val="00963495"/>
    <w:rsid w:val="00963661"/>
    <w:rsid w:val="0096366D"/>
    <w:rsid w:val="00963816"/>
    <w:rsid w:val="009638F5"/>
    <w:rsid w:val="00963B95"/>
    <w:rsid w:val="00963C0C"/>
    <w:rsid w:val="00963C53"/>
    <w:rsid w:val="00963CC0"/>
    <w:rsid w:val="00963E50"/>
    <w:rsid w:val="00964342"/>
    <w:rsid w:val="009643C2"/>
    <w:rsid w:val="009646C4"/>
    <w:rsid w:val="009646FC"/>
    <w:rsid w:val="009648AB"/>
    <w:rsid w:val="00964D9B"/>
    <w:rsid w:val="00965383"/>
    <w:rsid w:val="009655DA"/>
    <w:rsid w:val="00965660"/>
    <w:rsid w:val="009656AC"/>
    <w:rsid w:val="009656B7"/>
    <w:rsid w:val="00965AFD"/>
    <w:rsid w:val="00965D6F"/>
    <w:rsid w:val="00965E95"/>
    <w:rsid w:val="00965EB7"/>
    <w:rsid w:val="00966092"/>
    <w:rsid w:val="00966249"/>
    <w:rsid w:val="0096638D"/>
    <w:rsid w:val="009663DB"/>
    <w:rsid w:val="009664B7"/>
    <w:rsid w:val="009664D6"/>
    <w:rsid w:val="009664E9"/>
    <w:rsid w:val="009665E9"/>
    <w:rsid w:val="009665ED"/>
    <w:rsid w:val="009667D9"/>
    <w:rsid w:val="009669C9"/>
    <w:rsid w:val="00966ADB"/>
    <w:rsid w:val="00966BC5"/>
    <w:rsid w:val="00966C3D"/>
    <w:rsid w:val="00966E81"/>
    <w:rsid w:val="00966EC4"/>
    <w:rsid w:val="00966EE7"/>
    <w:rsid w:val="00966F1F"/>
    <w:rsid w:val="0096706F"/>
    <w:rsid w:val="0096727C"/>
    <w:rsid w:val="009672A0"/>
    <w:rsid w:val="00967501"/>
    <w:rsid w:val="0096779A"/>
    <w:rsid w:val="0096783A"/>
    <w:rsid w:val="00967A85"/>
    <w:rsid w:val="00967E23"/>
    <w:rsid w:val="00967E42"/>
    <w:rsid w:val="00967EBF"/>
    <w:rsid w:val="00967ED3"/>
    <w:rsid w:val="0097006D"/>
    <w:rsid w:val="00970433"/>
    <w:rsid w:val="00970514"/>
    <w:rsid w:val="00970544"/>
    <w:rsid w:val="00970694"/>
    <w:rsid w:val="009706D6"/>
    <w:rsid w:val="0097085D"/>
    <w:rsid w:val="0097089C"/>
    <w:rsid w:val="00970977"/>
    <w:rsid w:val="00970D1D"/>
    <w:rsid w:val="00970E43"/>
    <w:rsid w:val="00971061"/>
    <w:rsid w:val="009710AA"/>
    <w:rsid w:val="009713C1"/>
    <w:rsid w:val="0097153A"/>
    <w:rsid w:val="00971710"/>
    <w:rsid w:val="00971720"/>
    <w:rsid w:val="009718E2"/>
    <w:rsid w:val="00971AD9"/>
    <w:rsid w:val="00971EF0"/>
    <w:rsid w:val="00971F5C"/>
    <w:rsid w:val="00972046"/>
    <w:rsid w:val="00972178"/>
    <w:rsid w:val="0097243D"/>
    <w:rsid w:val="00972495"/>
    <w:rsid w:val="00972641"/>
    <w:rsid w:val="0097299E"/>
    <w:rsid w:val="00972A18"/>
    <w:rsid w:val="00972BD7"/>
    <w:rsid w:val="00972C25"/>
    <w:rsid w:val="00972C90"/>
    <w:rsid w:val="00972CA2"/>
    <w:rsid w:val="00972CC3"/>
    <w:rsid w:val="00972D27"/>
    <w:rsid w:val="00972E78"/>
    <w:rsid w:val="00972E98"/>
    <w:rsid w:val="00973088"/>
    <w:rsid w:val="009730D5"/>
    <w:rsid w:val="00973362"/>
    <w:rsid w:val="009734D3"/>
    <w:rsid w:val="009735CB"/>
    <w:rsid w:val="00973763"/>
    <w:rsid w:val="00973777"/>
    <w:rsid w:val="00973862"/>
    <w:rsid w:val="00973A14"/>
    <w:rsid w:val="00973A66"/>
    <w:rsid w:val="00973B0E"/>
    <w:rsid w:val="00973B37"/>
    <w:rsid w:val="00973CB8"/>
    <w:rsid w:val="00973D1F"/>
    <w:rsid w:val="00973DE9"/>
    <w:rsid w:val="00974176"/>
    <w:rsid w:val="009743FA"/>
    <w:rsid w:val="009743FE"/>
    <w:rsid w:val="0097452D"/>
    <w:rsid w:val="00974699"/>
    <w:rsid w:val="0097472F"/>
    <w:rsid w:val="009747BE"/>
    <w:rsid w:val="009747ED"/>
    <w:rsid w:val="00974818"/>
    <w:rsid w:val="009748CF"/>
    <w:rsid w:val="00974994"/>
    <w:rsid w:val="00974AB0"/>
    <w:rsid w:val="00974AE6"/>
    <w:rsid w:val="00974B0C"/>
    <w:rsid w:val="00974B73"/>
    <w:rsid w:val="00974C15"/>
    <w:rsid w:val="00974CBC"/>
    <w:rsid w:val="00975347"/>
    <w:rsid w:val="009753EC"/>
    <w:rsid w:val="009758BF"/>
    <w:rsid w:val="00975928"/>
    <w:rsid w:val="00975941"/>
    <w:rsid w:val="00975D07"/>
    <w:rsid w:val="00975F2C"/>
    <w:rsid w:val="00976217"/>
    <w:rsid w:val="00976772"/>
    <w:rsid w:val="0097688A"/>
    <w:rsid w:val="0097695E"/>
    <w:rsid w:val="009769F6"/>
    <w:rsid w:val="00976A01"/>
    <w:rsid w:val="00976AAB"/>
    <w:rsid w:val="00976B60"/>
    <w:rsid w:val="00976CF1"/>
    <w:rsid w:val="00976E2D"/>
    <w:rsid w:val="00976EE8"/>
    <w:rsid w:val="00976EEF"/>
    <w:rsid w:val="00977142"/>
    <w:rsid w:val="00977229"/>
    <w:rsid w:val="00977301"/>
    <w:rsid w:val="009773D6"/>
    <w:rsid w:val="00977789"/>
    <w:rsid w:val="009778C7"/>
    <w:rsid w:val="009778C8"/>
    <w:rsid w:val="009778D2"/>
    <w:rsid w:val="00977D85"/>
    <w:rsid w:val="00977DAA"/>
    <w:rsid w:val="00977E01"/>
    <w:rsid w:val="00977E23"/>
    <w:rsid w:val="00980176"/>
    <w:rsid w:val="009801C4"/>
    <w:rsid w:val="00980223"/>
    <w:rsid w:val="00980260"/>
    <w:rsid w:val="009802AD"/>
    <w:rsid w:val="009807BB"/>
    <w:rsid w:val="00980917"/>
    <w:rsid w:val="00980994"/>
    <w:rsid w:val="00980B11"/>
    <w:rsid w:val="00980B1F"/>
    <w:rsid w:val="00980D71"/>
    <w:rsid w:val="00980E86"/>
    <w:rsid w:val="00980FC1"/>
    <w:rsid w:val="00980FE6"/>
    <w:rsid w:val="00981292"/>
    <w:rsid w:val="00981395"/>
    <w:rsid w:val="00981404"/>
    <w:rsid w:val="00981495"/>
    <w:rsid w:val="00981589"/>
    <w:rsid w:val="009815AC"/>
    <w:rsid w:val="00981768"/>
    <w:rsid w:val="00981BB7"/>
    <w:rsid w:val="00981C89"/>
    <w:rsid w:val="00981D8D"/>
    <w:rsid w:val="00981DBB"/>
    <w:rsid w:val="00981E80"/>
    <w:rsid w:val="00982128"/>
    <w:rsid w:val="009822CC"/>
    <w:rsid w:val="0098278E"/>
    <w:rsid w:val="009829D0"/>
    <w:rsid w:val="00982B3D"/>
    <w:rsid w:val="00982B98"/>
    <w:rsid w:val="00982BB3"/>
    <w:rsid w:val="00982DAA"/>
    <w:rsid w:val="00982F0B"/>
    <w:rsid w:val="009831AF"/>
    <w:rsid w:val="009831BF"/>
    <w:rsid w:val="00983271"/>
    <w:rsid w:val="009834A7"/>
    <w:rsid w:val="009835F8"/>
    <w:rsid w:val="00983889"/>
    <w:rsid w:val="0098389E"/>
    <w:rsid w:val="00983949"/>
    <w:rsid w:val="00983A2E"/>
    <w:rsid w:val="00983A94"/>
    <w:rsid w:val="00983B2E"/>
    <w:rsid w:val="00983B8E"/>
    <w:rsid w:val="00983C57"/>
    <w:rsid w:val="00984611"/>
    <w:rsid w:val="00984634"/>
    <w:rsid w:val="009846EC"/>
    <w:rsid w:val="00984787"/>
    <w:rsid w:val="009848A9"/>
    <w:rsid w:val="00984BB4"/>
    <w:rsid w:val="00984FC1"/>
    <w:rsid w:val="00984FF7"/>
    <w:rsid w:val="0098503C"/>
    <w:rsid w:val="0098585F"/>
    <w:rsid w:val="009859CA"/>
    <w:rsid w:val="00985AED"/>
    <w:rsid w:val="00985DC9"/>
    <w:rsid w:val="00985F80"/>
    <w:rsid w:val="00986135"/>
    <w:rsid w:val="009861F7"/>
    <w:rsid w:val="0098620B"/>
    <w:rsid w:val="009867A3"/>
    <w:rsid w:val="009869D4"/>
    <w:rsid w:val="00986D14"/>
    <w:rsid w:val="00986D16"/>
    <w:rsid w:val="00986EC4"/>
    <w:rsid w:val="00986F29"/>
    <w:rsid w:val="009870A7"/>
    <w:rsid w:val="0098722E"/>
    <w:rsid w:val="009873B0"/>
    <w:rsid w:val="00987430"/>
    <w:rsid w:val="00987867"/>
    <w:rsid w:val="0098793A"/>
    <w:rsid w:val="00987E73"/>
    <w:rsid w:val="00987FCC"/>
    <w:rsid w:val="009900BA"/>
    <w:rsid w:val="00990259"/>
    <w:rsid w:val="0099029D"/>
    <w:rsid w:val="009903A6"/>
    <w:rsid w:val="009903A9"/>
    <w:rsid w:val="00990608"/>
    <w:rsid w:val="009906AB"/>
    <w:rsid w:val="009908B8"/>
    <w:rsid w:val="009908FA"/>
    <w:rsid w:val="00990A24"/>
    <w:rsid w:val="00990E2D"/>
    <w:rsid w:val="00991086"/>
    <w:rsid w:val="009910AA"/>
    <w:rsid w:val="00991283"/>
    <w:rsid w:val="00991457"/>
    <w:rsid w:val="00991667"/>
    <w:rsid w:val="00991715"/>
    <w:rsid w:val="00991843"/>
    <w:rsid w:val="00991A6B"/>
    <w:rsid w:val="00991C22"/>
    <w:rsid w:val="00991C71"/>
    <w:rsid w:val="009921A3"/>
    <w:rsid w:val="0099240E"/>
    <w:rsid w:val="00992544"/>
    <w:rsid w:val="00992552"/>
    <w:rsid w:val="00992694"/>
    <w:rsid w:val="009926EB"/>
    <w:rsid w:val="009926F5"/>
    <w:rsid w:val="009928C6"/>
    <w:rsid w:val="00992B96"/>
    <w:rsid w:val="00992CA5"/>
    <w:rsid w:val="00992D79"/>
    <w:rsid w:val="00992D86"/>
    <w:rsid w:val="00993195"/>
    <w:rsid w:val="0099324A"/>
    <w:rsid w:val="00993282"/>
    <w:rsid w:val="00993346"/>
    <w:rsid w:val="009935B4"/>
    <w:rsid w:val="009938D7"/>
    <w:rsid w:val="00993B5A"/>
    <w:rsid w:val="00993B65"/>
    <w:rsid w:val="00993DB0"/>
    <w:rsid w:val="00994154"/>
    <w:rsid w:val="009943D9"/>
    <w:rsid w:val="0099465A"/>
    <w:rsid w:val="00994772"/>
    <w:rsid w:val="00994969"/>
    <w:rsid w:val="009949E6"/>
    <w:rsid w:val="00994AF2"/>
    <w:rsid w:val="00994C71"/>
    <w:rsid w:val="00995125"/>
    <w:rsid w:val="009951C6"/>
    <w:rsid w:val="00995200"/>
    <w:rsid w:val="009953A5"/>
    <w:rsid w:val="009953F0"/>
    <w:rsid w:val="009954B2"/>
    <w:rsid w:val="009954CA"/>
    <w:rsid w:val="00995610"/>
    <w:rsid w:val="0099568D"/>
    <w:rsid w:val="009956FE"/>
    <w:rsid w:val="0099578F"/>
    <w:rsid w:val="009958BD"/>
    <w:rsid w:val="009958FE"/>
    <w:rsid w:val="00995C8E"/>
    <w:rsid w:val="00995F37"/>
    <w:rsid w:val="00995F7B"/>
    <w:rsid w:val="0099604A"/>
    <w:rsid w:val="0099623C"/>
    <w:rsid w:val="00996377"/>
    <w:rsid w:val="0099659B"/>
    <w:rsid w:val="00996794"/>
    <w:rsid w:val="00996A99"/>
    <w:rsid w:val="00996C8F"/>
    <w:rsid w:val="00996DA8"/>
    <w:rsid w:val="009970BA"/>
    <w:rsid w:val="00997263"/>
    <w:rsid w:val="009972DD"/>
    <w:rsid w:val="009975B6"/>
    <w:rsid w:val="00997697"/>
    <w:rsid w:val="00997727"/>
    <w:rsid w:val="009978AF"/>
    <w:rsid w:val="00997B89"/>
    <w:rsid w:val="00997D04"/>
    <w:rsid w:val="00997D32"/>
    <w:rsid w:val="00997F4A"/>
    <w:rsid w:val="009A0101"/>
    <w:rsid w:val="009A0370"/>
    <w:rsid w:val="009A03AF"/>
    <w:rsid w:val="009A04F9"/>
    <w:rsid w:val="009A0721"/>
    <w:rsid w:val="009A0728"/>
    <w:rsid w:val="009A0985"/>
    <w:rsid w:val="009A0BEB"/>
    <w:rsid w:val="009A0DF8"/>
    <w:rsid w:val="009A10FC"/>
    <w:rsid w:val="009A14E4"/>
    <w:rsid w:val="009A155B"/>
    <w:rsid w:val="009A191F"/>
    <w:rsid w:val="009A19AE"/>
    <w:rsid w:val="009A1B7F"/>
    <w:rsid w:val="009A1C13"/>
    <w:rsid w:val="009A1D56"/>
    <w:rsid w:val="009A1E59"/>
    <w:rsid w:val="009A1EF1"/>
    <w:rsid w:val="009A1EF5"/>
    <w:rsid w:val="009A1F01"/>
    <w:rsid w:val="009A2099"/>
    <w:rsid w:val="009A2408"/>
    <w:rsid w:val="009A242B"/>
    <w:rsid w:val="009A251C"/>
    <w:rsid w:val="009A252B"/>
    <w:rsid w:val="009A2AC1"/>
    <w:rsid w:val="009A2AE7"/>
    <w:rsid w:val="009A2B88"/>
    <w:rsid w:val="009A2B91"/>
    <w:rsid w:val="009A2F1F"/>
    <w:rsid w:val="009A3150"/>
    <w:rsid w:val="009A31AA"/>
    <w:rsid w:val="009A3659"/>
    <w:rsid w:val="009A369E"/>
    <w:rsid w:val="009A3A74"/>
    <w:rsid w:val="009A3B21"/>
    <w:rsid w:val="009A3E85"/>
    <w:rsid w:val="009A40EB"/>
    <w:rsid w:val="009A41BF"/>
    <w:rsid w:val="009A41C5"/>
    <w:rsid w:val="009A455F"/>
    <w:rsid w:val="009A456C"/>
    <w:rsid w:val="009A4571"/>
    <w:rsid w:val="009A4572"/>
    <w:rsid w:val="009A45D5"/>
    <w:rsid w:val="009A46AD"/>
    <w:rsid w:val="009A4717"/>
    <w:rsid w:val="009A4B80"/>
    <w:rsid w:val="009A4EB1"/>
    <w:rsid w:val="009A4ED2"/>
    <w:rsid w:val="009A5089"/>
    <w:rsid w:val="009A50E6"/>
    <w:rsid w:val="009A51F7"/>
    <w:rsid w:val="009A523B"/>
    <w:rsid w:val="009A5259"/>
    <w:rsid w:val="009A53A3"/>
    <w:rsid w:val="009A596A"/>
    <w:rsid w:val="009A5A75"/>
    <w:rsid w:val="009A5C5E"/>
    <w:rsid w:val="009A5DA4"/>
    <w:rsid w:val="009A5E2B"/>
    <w:rsid w:val="009A602C"/>
    <w:rsid w:val="009A60C4"/>
    <w:rsid w:val="009A6155"/>
    <w:rsid w:val="009A623B"/>
    <w:rsid w:val="009A62D8"/>
    <w:rsid w:val="009A633C"/>
    <w:rsid w:val="009A680E"/>
    <w:rsid w:val="009A6875"/>
    <w:rsid w:val="009A6B39"/>
    <w:rsid w:val="009A6C0F"/>
    <w:rsid w:val="009A6C5A"/>
    <w:rsid w:val="009A6C9A"/>
    <w:rsid w:val="009A709B"/>
    <w:rsid w:val="009A726C"/>
    <w:rsid w:val="009A736B"/>
    <w:rsid w:val="009A7A5A"/>
    <w:rsid w:val="009A7E0F"/>
    <w:rsid w:val="009B005A"/>
    <w:rsid w:val="009B02B1"/>
    <w:rsid w:val="009B0564"/>
    <w:rsid w:val="009B079E"/>
    <w:rsid w:val="009B0851"/>
    <w:rsid w:val="009B08F5"/>
    <w:rsid w:val="009B090B"/>
    <w:rsid w:val="009B09C7"/>
    <w:rsid w:val="009B0CD3"/>
    <w:rsid w:val="009B103E"/>
    <w:rsid w:val="009B109F"/>
    <w:rsid w:val="009B112D"/>
    <w:rsid w:val="009B1261"/>
    <w:rsid w:val="009B12B6"/>
    <w:rsid w:val="009B1569"/>
    <w:rsid w:val="009B169F"/>
    <w:rsid w:val="009B16FA"/>
    <w:rsid w:val="009B1797"/>
    <w:rsid w:val="009B17CF"/>
    <w:rsid w:val="009B196D"/>
    <w:rsid w:val="009B1A2B"/>
    <w:rsid w:val="009B1A35"/>
    <w:rsid w:val="009B1CA3"/>
    <w:rsid w:val="009B1D2C"/>
    <w:rsid w:val="009B2062"/>
    <w:rsid w:val="009B2342"/>
    <w:rsid w:val="009B2378"/>
    <w:rsid w:val="009B2558"/>
    <w:rsid w:val="009B2835"/>
    <w:rsid w:val="009B2924"/>
    <w:rsid w:val="009B2B85"/>
    <w:rsid w:val="009B2C62"/>
    <w:rsid w:val="009B2CF4"/>
    <w:rsid w:val="009B2DE8"/>
    <w:rsid w:val="009B2E5E"/>
    <w:rsid w:val="009B2FBF"/>
    <w:rsid w:val="009B30D9"/>
    <w:rsid w:val="009B31C7"/>
    <w:rsid w:val="009B31E9"/>
    <w:rsid w:val="009B31F0"/>
    <w:rsid w:val="009B327C"/>
    <w:rsid w:val="009B3435"/>
    <w:rsid w:val="009B37E0"/>
    <w:rsid w:val="009B38C8"/>
    <w:rsid w:val="009B3CEC"/>
    <w:rsid w:val="009B4220"/>
    <w:rsid w:val="009B42D0"/>
    <w:rsid w:val="009B43A3"/>
    <w:rsid w:val="009B43C7"/>
    <w:rsid w:val="009B44D2"/>
    <w:rsid w:val="009B45FE"/>
    <w:rsid w:val="009B460A"/>
    <w:rsid w:val="009B467C"/>
    <w:rsid w:val="009B4893"/>
    <w:rsid w:val="009B4F49"/>
    <w:rsid w:val="009B5387"/>
    <w:rsid w:val="009B5513"/>
    <w:rsid w:val="009B5528"/>
    <w:rsid w:val="009B592F"/>
    <w:rsid w:val="009B5D4B"/>
    <w:rsid w:val="009B61AD"/>
    <w:rsid w:val="009B6481"/>
    <w:rsid w:val="009B656A"/>
    <w:rsid w:val="009B65D3"/>
    <w:rsid w:val="009B6820"/>
    <w:rsid w:val="009B68C9"/>
    <w:rsid w:val="009B703C"/>
    <w:rsid w:val="009B7214"/>
    <w:rsid w:val="009B7246"/>
    <w:rsid w:val="009B73B8"/>
    <w:rsid w:val="009B74BF"/>
    <w:rsid w:val="009B7A4C"/>
    <w:rsid w:val="009B7C77"/>
    <w:rsid w:val="009B7CEE"/>
    <w:rsid w:val="009B7D50"/>
    <w:rsid w:val="009B7E11"/>
    <w:rsid w:val="009B7FA4"/>
    <w:rsid w:val="009C023F"/>
    <w:rsid w:val="009C043F"/>
    <w:rsid w:val="009C05E3"/>
    <w:rsid w:val="009C077F"/>
    <w:rsid w:val="009C07A2"/>
    <w:rsid w:val="009C0A46"/>
    <w:rsid w:val="009C0AAD"/>
    <w:rsid w:val="009C0B1E"/>
    <w:rsid w:val="009C0B27"/>
    <w:rsid w:val="009C1204"/>
    <w:rsid w:val="009C121E"/>
    <w:rsid w:val="009C16CD"/>
    <w:rsid w:val="009C1984"/>
    <w:rsid w:val="009C1B27"/>
    <w:rsid w:val="009C1B9D"/>
    <w:rsid w:val="009C1D76"/>
    <w:rsid w:val="009C1E8C"/>
    <w:rsid w:val="009C200D"/>
    <w:rsid w:val="009C20CA"/>
    <w:rsid w:val="009C2301"/>
    <w:rsid w:val="009C23E7"/>
    <w:rsid w:val="009C2498"/>
    <w:rsid w:val="009C2570"/>
    <w:rsid w:val="009C25C1"/>
    <w:rsid w:val="009C267D"/>
    <w:rsid w:val="009C27A7"/>
    <w:rsid w:val="009C2860"/>
    <w:rsid w:val="009C2A4D"/>
    <w:rsid w:val="009C2BA2"/>
    <w:rsid w:val="009C2E1E"/>
    <w:rsid w:val="009C2E29"/>
    <w:rsid w:val="009C2EB7"/>
    <w:rsid w:val="009C2EC3"/>
    <w:rsid w:val="009C31D7"/>
    <w:rsid w:val="009C31FC"/>
    <w:rsid w:val="009C3446"/>
    <w:rsid w:val="009C3451"/>
    <w:rsid w:val="009C34A6"/>
    <w:rsid w:val="009C374B"/>
    <w:rsid w:val="009C3B7E"/>
    <w:rsid w:val="009C3C38"/>
    <w:rsid w:val="009C3ECC"/>
    <w:rsid w:val="009C4449"/>
    <w:rsid w:val="009C4631"/>
    <w:rsid w:val="009C4737"/>
    <w:rsid w:val="009C473F"/>
    <w:rsid w:val="009C4953"/>
    <w:rsid w:val="009C4992"/>
    <w:rsid w:val="009C49DF"/>
    <w:rsid w:val="009C4E6A"/>
    <w:rsid w:val="009C51B9"/>
    <w:rsid w:val="009C52A1"/>
    <w:rsid w:val="009C52A7"/>
    <w:rsid w:val="009C5636"/>
    <w:rsid w:val="009C56FD"/>
    <w:rsid w:val="009C57FA"/>
    <w:rsid w:val="009C580D"/>
    <w:rsid w:val="009C58C1"/>
    <w:rsid w:val="009C59C7"/>
    <w:rsid w:val="009C5B57"/>
    <w:rsid w:val="009C5BF2"/>
    <w:rsid w:val="009C5CEA"/>
    <w:rsid w:val="009C5D13"/>
    <w:rsid w:val="009C5FAC"/>
    <w:rsid w:val="009C6084"/>
    <w:rsid w:val="009C61C8"/>
    <w:rsid w:val="009C6475"/>
    <w:rsid w:val="009C64F4"/>
    <w:rsid w:val="009C6AC8"/>
    <w:rsid w:val="009C6B95"/>
    <w:rsid w:val="009C6FD5"/>
    <w:rsid w:val="009C7321"/>
    <w:rsid w:val="009C74CB"/>
    <w:rsid w:val="009C75F3"/>
    <w:rsid w:val="009C77E7"/>
    <w:rsid w:val="009C7BED"/>
    <w:rsid w:val="009D0112"/>
    <w:rsid w:val="009D0175"/>
    <w:rsid w:val="009D01DF"/>
    <w:rsid w:val="009D022D"/>
    <w:rsid w:val="009D0239"/>
    <w:rsid w:val="009D0503"/>
    <w:rsid w:val="009D07CD"/>
    <w:rsid w:val="009D0A8E"/>
    <w:rsid w:val="009D0D02"/>
    <w:rsid w:val="009D0E1F"/>
    <w:rsid w:val="009D0E6D"/>
    <w:rsid w:val="009D0ECC"/>
    <w:rsid w:val="009D0EEA"/>
    <w:rsid w:val="009D1119"/>
    <w:rsid w:val="009D1198"/>
    <w:rsid w:val="009D11FA"/>
    <w:rsid w:val="009D12D5"/>
    <w:rsid w:val="009D138D"/>
    <w:rsid w:val="009D1463"/>
    <w:rsid w:val="009D152F"/>
    <w:rsid w:val="009D164F"/>
    <w:rsid w:val="009D188B"/>
    <w:rsid w:val="009D19EE"/>
    <w:rsid w:val="009D1EBB"/>
    <w:rsid w:val="009D267E"/>
    <w:rsid w:val="009D26F7"/>
    <w:rsid w:val="009D2BDE"/>
    <w:rsid w:val="009D2EC8"/>
    <w:rsid w:val="009D3060"/>
    <w:rsid w:val="009D3166"/>
    <w:rsid w:val="009D330E"/>
    <w:rsid w:val="009D331C"/>
    <w:rsid w:val="009D335D"/>
    <w:rsid w:val="009D33E9"/>
    <w:rsid w:val="009D343A"/>
    <w:rsid w:val="009D35C5"/>
    <w:rsid w:val="009D3667"/>
    <w:rsid w:val="009D3803"/>
    <w:rsid w:val="009D3A33"/>
    <w:rsid w:val="009D3BA8"/>
    <w:rsid w:val="009D3BD6"/>
    <w:rsid w:val="009D3D2A"/>
    <w:rsid w:val="009D3F55"/>
    <w:rsid w:val="009D3FE7"/>
    <w:rsid w:val="009D43A2"/>
    <w:rsid w:val="009D4447"/>
    <w:rsid w:val="009D4461"/>
    <w:rsid w:val="009D45E9"/>
    <w:rsid w:val="009D46E9"/>
    <w:rsid w:val="009D473A"/>
    <w:rsid w:val="009D48B1"/>
    <w:rsid w:val="009D4998"/>
    <w:rsid w:val="009D49A6"/>
    <w:rsid w:val="009D4BAB"/>
    <w:rsid w:val="009D4D3D"/>
    <w:rsid w:val="009D4EBE"/>
    <w:rsid w:val="009D5085"/>
    <w:rsid w:val="009D5089"/>
    <w:rsid w:val="009D50FC"/>
    <w:rsid w:val="009D5260"/>
    <w:rsid w:val="009D52C1"/>
    <w:rsid w:val="009D5364"/>
    <w:rsid w:val="009D5422"/>
    <w:rsid w:val="009D548F"/>
    <w:rsid w:val="009D5683"/>
    <w:rsid w:val="009D5732"/>
    <w:rsid w:val="009D5745"/>
    <w:rsid w:val="009D5A37"/>
    <w:rsid w:val="009D5C8D"/>
    <w:rsid w:val="009D6219"/>
    <w:rsid w:val="009D6267"/>
    <w:rsid w:val="009D6300"/>
    <w:rsid w:val="009D63F8"/>
    <w:rsid w:val="009D64F5"/>
    <w:rsid w:val="009D6510"/>
    <w:rsid w:val="009D65C3"/>
    <w:rsid w:val="009D685E"/>
    <w:rsid w:val="009D6899"/>
    <w:rsid w:val="009D6D70"/>
    <w:rsid w:val="009D72E1"/>
    <w:rsid w:val="009D7317"/>
    <w:rsid w:val="009D75CB"/>
    <w:rsid w:val="009D79AC"/>
    <w:rsid w:val="009D7A39"/>
    <w:rsid w:val="009D7A60"/>
    <w:rsid w:val="009D7B04"/>
    <w:rsid w:val="009D7D8D"/>
    <w:rsid w:val="009D7E24"/>
    <w:rsid w:val="009D7EB9"/>
    <w:rsid w:val="009E0217"/>
    <w:rsid w:val="009E02E0"/>
    <w:rsid w:val="009E030F"/>
    <w:rsid w:val="009E043B"/>
    <w:rsid w:val="009E052E"/>
    <w:rsid w:val="009E064D"/>
    <w:rsid w:val="009E06AE"/>
    <w:rsid w:val="009E0C3B"/>
    <w:rsid w:val="009E0D62"/>
    <w:rsid w:val="009E0EBE"/>
    <w:rsid w:val="009E0EC5"/>
    <w:rsid w:val="009E1002"/>
    <w:rsid w:val="009E1073"/>
    <w:rsid w:val="009E1132"/>
    <w:rsid w:val="009E120E"/>
    <w:rsid w:val="009E1287"/>
    <w:rsid w:val="009E12E1"/>
    <w:rsid w:val="009E130A"/>
    <w:rsid w:val="009E140C"/>
    <w:rsid w:val="009E1433"/>
    <w:rsid w:val="009E1EBE"/>
    <w:rsid w:val="009E1F0B"/>
    <w:rsid w:val="009E226B"/>
    <w:rsid w:val="009E22F9"/>
    <w:rsid w:val="009E244B"/>
    <w:rsid w:val="009E2490"/>
    <w:rsid w:val="009E26AC"/>
    <w:rsid w:val="009E27AF"/>
    <w:rsid w:val="009E2886"/>
    <w:rsid w:val="009E2E63"/>
    <w:rsid w:val="009E2F77"/>
    <w:rsid w:val="009E327E"/>
    <w:rsid w:val="009E32AF"/>
    <w:rsid w:val="009E33C7"/>
    <w:rsid w:val="009E3621"/>
    <w:rsid w:val="009E3746"/>
    <w:rsid w:val="009E3B68"/>
    <w:rsid w:val="009E3BFB"/>
    <w:rsid w:val="009E3CEB"/>
    <w:rsid w:val="009E3CF6"/>
    <w:rsid w:val="009E3DEF"/>
    <w:rsid w:val="009E3FBB"/>
    <w:rsid w:val="009E4345"/>
    <w:rsid w:val="009E43F3"/>
    <w:rsid w:val="009E442C"/>
    <w:rsid w:val="009E45A9"/>
    <w:rsid w:val="009E45BC"/>
    <w:rsid w:val="009E489E"/>
    <w:rsid w:val="009E4B3A"/>
    <w:rsid w:val="009E4B7A"/>
    <w:rsid w:val="009E4C40"/>
    <w:rsid w:val="009E4E3E"/>
    <w:rsid w:val="009E5380"/>
    <w:rsid w:val="009E5581"/>
    <w:rsid w:val="009E559C"/>
    <w:rsid w:val="009E5706"/>
    <w:rsid w:val="009E5749"/>
    <w:rsid w:val="009E5769"/>
    <w:rsid w:val="009E57B6"/>
    <w:rsid w:val="009E586B"/>
    <w:rsid w:val="009E5939"/>
    <w:rsid w:val="009E5976"/>
    <w:rsid w:val="009E599E"/>
    <w:rsid w:val="009E6197"/>
    <w:rsid w:val="009E622E"/>
    <w:rsid w:val="009E6B76"/>
    <w:rsid w:val="009E6B92"/>
    <w:rsid w:val="009E6C85"/>
    <w:rsid w:val="009E6E2F"/>
    <w:rsid w:val="009E706D"/>
    <w:rsid w:val="009E7455"/>
    <w:rsid w:val="009E78CC"/>
    <w:rsid w:val="009E79C4"/>
    <w:rsid w:val="009E79DE"/>
    <w:rsid w:val="009E7B5B"/>
    <w:rsid w:val="009E7CD3"/>
    <w:rsid w:val="009E7D12"/>
    <w:rsid w:val="009E7D94"/>
    <w:rsid w:val="009E7EC0"/>
    <w:rsid w:val="009F00A7"/>
    <w:rsid w:val="009F00BC"/>
    <w:rsid w:val="009F0237"/>
    <w:rsid w:val="009F0336"/>
    <w:rsid w:val="009F0468"/>
    <w:rsid w:val="009F04C2"/>
    <w:rsid w:val="009F0548"/>
    <w:rsid w:val="009F05CD"/>
    <w:rsid w:val="009F092E"/>
    <w:rsid w:val="009F0C22"/>
    <w:rsid w:val="009F0C78"/>
    <w:rsid w:val="009F0D3A"/>
    <w:rsid w:val="009F0DA4"/>
    <w:rsid w:val="009F10E2"/>
    <w:rsid w:val="009F1243"/>
    <w:rsid w:val="009F1284"/>
    <w:rsid w:val="009F132B"/>
    <w:rsid w:val="009F136F"/>
    <w:rsid w:val="009F13F0"/>
    <w:rsid w:val="009F15B5"/>
    <w:rsid w:val="009F1A37"/>
    <w:rsid w:val="009F1BF5"/>
    <w:rsid w:val="009F1CD4"/>
    <w:rsid w:val="009F1DA4"/>
    <w:rsid w:val="009F2240"/>
    <w:rsid w:val="009F25BE"/>
    <w:rsid w:val="009F2631"/>
    <w:rsid w:val="009F2692"/>
    <w:rsid w:val="009F269A"/>
    <w:rsid w:val="009F277E"/>
    <w:rsid w:val="009F2A78"/>
    <w:rsid w:val="009F2A8E"/>
    <w:rsid w:val="009F2B0D"/>
    <w:rsid w:val="009F2BB8"/>
    <w:rsid w:val="009F2E61"/>
    <w:rsid w:val="009F2FE8"/>
    <w:rsid w:val="009F2FF9"/>
    <w:rsid w:val="009F34D7"/>
    <w:rsid w:val="009F3572"/>
    <w:rsid w:val="009F35F8"/>
    <w:rsid w:val="009F3C22"/>
    <w:rsid w:val="009F3DD1"/>
    <w:rsid w:val="009F3DEB"/>
    <w:rsid w:val="009F441D"/>
    <w:rsid w:val="009F449C"/>
    <w:rsid w:val="009F44D3"/>
    <w:rsid w:val="009F4547"/>
    <w:rsid w:val="009F45E5"/>
    <w:rsid w:val="009F4B20"/>
    <w:rsid w:val="009F4CC6"/>
    <w:rsid w:val="009F4E2D"/>
    <w:rsid w:val="009F4F0B"/>
    <w:rsid w:val="009F51F3"/>
    <w:rsid w:val="009F52AE"/>
    <w:rsid w:val="009F5351"/>
    <w:rsid w:val="009F5354"/>
    <w:rsid w:val="009F53A5"/>
    <w:rsid w:val="009F53CF"/>
    <w:rsid w:val="009F5666"/>
    <w:rsid w:val="009F572F"/>
    <w:rsid w:val="009F5926"/>
    <w:rsid w:val="009F61D1"/>
    <w:rsid w:val="009F63DC"/>
    <w:rsid w:val="009F6438"/>
    <w:rsid w:val="009F6445"/>
    <w:rsid w:val="009F65F6"/>
    <w:rsid w:val="009F6799"/>
    <w:rsid w:val="009F6BBA"/>
    <w:rsid w:val="009F6CE0"/>
    <w:rsid w:val="009F6DA6"/>
    <w:rsid w:val="009F6DE1"/>
    <w:rsid w:val="009F6FCD"/>
    <w:rsid w:val="009F720F"/>
    <w:rsid w:val="009F7289"/>
    <w:rsid w:val="009F7673"/>
    <w:rsid w:val="009F7A8A"/>
    <w:rsid w:val="009F7D1D"/>
    <w:rsid w:val="009FA2A5"/>
    <w:rsid w:val="00A001D9"/>
    <w:rsid w:val="00A00363"/>
    <w:rsid w:val="00A005C2"/>
    <w:rsid w:val="00A0076E"/>
    <w:rsid w:val="00A007EE"/>
    <w:rsid w:val="00A0091E"/>
    <w:rsid w:val="00A00C23"/>
    <w:rsid w:val="00A00CD8"/>
    <w:rsid w:val="00A00FE4"/>
    <w:rsid w:val="00A010F3"/>
    <w:rsid w:val="00A0128F"/>
    <w:rsid w:val="00A01388"/>
    <w:rsid w:val="00A01667"/>
    <w:rsid w:val="00A0185F"/>
    <w:rsid w:val="00A0186B"/>
    <w:rsid w:val="00A018C8"/>
    <w:rsid w:val="00A018CA"/>
    <w:rsid w:val="00A018E5"/>
    <w:rsid w:val="00A01940"/>
    <w:rsid w:val="00A019A7"/>
    <w:rsid w:val="00A019F3"/>
    <w:rsid w:val="00A01C37"/>
    <w:rsid w:val="00A01D57"/>
    <w:rsid w:val="00A01F3D"/>
    <w:rsid w:val="00A0240F"/>
    <w:rsid w:val="00A024D0"/>
    <w:rsid w:val="00A0269B"/>
    <w:rsid w:val="00A0274B"/>
    <w:rsid w:val="00A027C1"/>
    <w:rsid w:val="00A02826"/>
    <w:rsid w:val="00A02933"/>
    <w:rsid w:val="00A029DA"/>
    <w:rsid w:val="00A02EF1"/>
    <w:rsid w:val="00A02F36"/>
    <w:rsid w:val="00A030B3"/>
    <w:rsid w:val="00A03106"/>
    <w:rsid w:val="00A03167"/>
    <w:rsid w:val="00A0317A"/>
    <w:rsid w:val="00A0356E"/>
    <w:rsid w:val="00A03724"/>
    <w:rsid w:val="00A03B1F"/>
    <w:rsid w:val="00A03B69"/>
    <w:rsid w:val="00A03C5E"/>
    <w:rsid w:val="00A03C81"/>
    <w:rsid w:val="00A03D4E"/>
    <w:rsid w:val="00A03D84"/>
    <w:rsid w:val="00A03E16"/>
    <w:rsid w:val="00A04310"/>
    <w:rsid w:val="00A0431F"/>
    <w:rsid w:val="00A04394"/>
    <w:rsid w:val="00A0477E"/>
    <w:rsid w:val="00A047EE"/>
    <w:rsid w:val="00A04928"/>
    <w:rsid w:val="00A04B0C"/>
    <w:rsid w:val="00A04B14"/>
    <w:rsid w:val="00A04C62"/>
    <w:rsid w:val="00A04F49"/>
    <w:rsid w:val="00A05032"/>
    <w:rsid w:val="00A05058"/>
    <w:rsid w:val="00A05171"/>
    <w:rsid w:val="00A05488"/>
    <w:rsid w:val="00A057AD"/>
    <w:rsid w:val="00A0580F"/>
    <w:rsid w:val="00A05A1B"/>
    <w:rsid w:val="00A05BEC"/>
    <w:rsid w:val="00A05C63"/>
    <w:rsid w:val="00A05E55"/>
    <w:rsid w:val="00A0628A"/>
    <w:rsid w:val="00A065B8"/>
    <w:rsid w:val="00A06765"/>
    <w:rsid w:val="00A067F2"/>
    <w:rsid w:val="00A0691B"/>
    <w:rsid w:val="00A0692F"/>
    <w:rsid w:val="00A06931"/>
    <w:rsid w:val="00A06975"/>
    <w:rsid w:val="00A069AD"/>
    <w:rsid w:val="00A070C3"/>
    <w:rsid w:val="00A071EC"/>
    <w:rsid w:val="00A0725E"/>
    <w:rsid w:val="00A07558"/>
    <w:rsid w:val="00A07591"/>
    <w:rsid w:val="00A075F3"/>
    <w:rsid w:val="00A078AF"/>
    <w:rsid w:val="00A078D0"/>
    <w:rsid w:val="00A079D0"/>
    <w:rsid w:val="00A07A53"/>
    <w:rsid w:val="00A07A7C"/>
    <w:rsid w:val="00A07B6C"/>
    <w:rsid w:val="00A07C14"/>
    <w:rsid w:val="00A07C4E"/>
    <w:rsid w:val="00A07F02"/>
    <w:rsid w:val="00A1010D"/>
    <w:rsid w:val="00A102E3"/>
    <w:rsid w:val="00A10315"/>
    <w:rsid w:val="00A103F4"/>
    <w:rsid w:val="00A10418"/>
    <w:rsid w:val="00A1090B"/>
    <w:rsid w:val="00A10C4D"/>
    <w:rsid w:val="00A10C69"/>
    <w:rsid w:val="00A10EC0"/>
    <w:rsid w:val="00A10FCC"/>
    <w:rsid w:val="00A11000"/>
    <w:rsid w:val="00A11043"/>
    <w:rsid w:val="00A110EC"/>
    <w:rsid w:val="00A113F6"/>
    <w:rsid w:val="00A11452"/>
    <w:rsid w:val="00A114E1"/>
    <w:rsid w:val="00A11871"/>
    <w:rsid w:val="00A11921"/>
    <w:rsid w:val="00A11966"/>
    <w:rsid w:val="00A1198A"/>
    <w:rsid w:val="00A11C9A"/>
    <w:rsid w:val="00A11C9B"/>
    <w:rsid w:val="00A11D58"/>
    <w:rsid w:val="00A1211D"/>
    <w:rsid w:val="00A12127"/>
    <w:rsid w:val="00A12192"/>
    <w:rsid w:val="00A12805"/>
    <w:rsid w:val="00A12B8E"/>
    <w:rsid w:val="00A12C4C"/>
    <w:rsid w:val="00A12C67"/>
    <w:rsid w:val="00A12ED5"/>
    <w:rsid w:val="00A12EE0"/>
    <w:rsid w:val="00A12F2B"/>
    <w:rsid w:val="00A132AC"/>
    <w:rsid w:val="00A137D9"/>
    <w:rsid w:val="00A13916"/>
    <w:rsid w:val="00A13C97"/>
    <w:rsid w:val="00A13D66"/>
    <w:rsid w:val="00A13EED"/>
    <w:rsid w:val="00A13F98"/>
    <w:rsid w:val="00A14122"/>
    <w:rsid w:val="00A14146"/>
    <w:rsid w:val="00A14334"/>
    <w:rsid w:val="00A1438A"/>
    <w:rsid w:val="00A144FC"/>
    <w:rsid w:val="00A1461C"/>
    <w:rsid w:val="00A14623"/>
    <w:rsid w:val="00A14636"/>
    <w:rsid w:val="00A1479E"/>
    <w:rsid w:val="00A147A6"/>
    <w:rsid w:val="00A147F1"/>
    <w:rsid w:val="00A14A10"/>
    <w:rsid w:val="00A14B2D"/>
    <w:rsid w:val="00A14BB6"/>
    <w:rsid w:val="00A14C21"/>
    <w:rsid w:val="00A14C53"/>
    <w:rsid w:val="00A150D1"/>
    <w:rsid w:val="00A153DC"/>
    <w:rsid w:val="00A153E5"/>
    <w:rsid w:val="00A154BF"/>
    <w:rsid w:val="00A156EA"/>
    <w:rsid w:val="00A158C8"/>
    <w:rsid w:val="00A15961"/>
    <w:rsid w:val="00A15AC3"/>
    <w:rsid w:val="00A15B3A"/>
    <w:rsid w:val="00A15B8B"/>
    <w:rsid w:val="00A15B9D"/>
    <w:rsid w:val="00A15D4C"/>
    <w:rsid w:val="00A1601A"/>
    <w:rsid w:val="00A161C2"/>
    <w:rsid w:val="00A164D3"/>
    <w:rsid w:val="00A16569"/>
    <w:rsid w:val="00A16A49"/>
    <w:rsid w:val="00A16C4A"/>
    <w:rsid w:val="00A16DE1"/>
    <w:rsid w:val="00A16E34"/>
    <w:rsid w:val="00A17057"/>
    <w:rsid w:val="00A170D9"/>
    <w:rsid w:val="00A1735D"/>
    <w:rsid w:val="00A173FA"/>
    <w:rsid w:val="00A1751C"/>
    <w:rsid w:val="00A179AF"/>
    <w:rsid w:val="00A17AEB"/>
    <w:rsid w:val="00A17B76"/>
    <w:rsid w:val="00A17C03"/>
    <w:rsid w:val="00A17E48"/>
    <w:rsid w:val="00A17E72"/>
    <w:rsid w:val="00A17EB2"/>
    <w:rsid w:val="00A17EE3"/>
    <w:rsid w:val="00A20079"/>
    <w:rsid w:val="00A200D7"/>
    <w:rsid w:val="00A2010A"/>
    <w:rsid w:val="00A20200"/>
    <w:rsid w:val="00A20297"/>
    <w:rsid w:val="00A203A7"/>
    <w:rsid w:val="00A204EE"/>
    <w:rsid w:val="00A20553"/>
    <w:rsid w:val="00A205E7"/>
    <w:rsid w:val="00A20690"/>
    <w:rsid w:val="00A20902"/>
    <w:rsid w:val="00A20966"/>
    <w:rsid w:val="00A209C7"/>
    <w:rsid w:val="00A20C58"/>
    <w:rsid w:val="00A20E5E"/>
    <w:rsid w:val="00A21095"/>
    <w:rsid w:val="00A2112D"/>
    <w:rsid w:val="00A21335"/>
    <w:rsid w:val="00A217CB"/>
    <w:rsid w:val="00A2188F"/>
    <w:rsid w:val="00A21AAC"/>
    <w:rsid w:val="00A21CB7"/>
    <w:rsid w:val="00A21DC8"/>
    <w:rsid w:val="00A21EA2"/>
    <w:rsid w:val="00A21F04"/>
    <w:rsid w:val="00A21F1D"/>
    <w:rsid w:val="00A2217B"/>
    <w:rsid w:val="00A223E1"/>
    <w:rsid w:val="00A2241B"/>
    <w:rsid w:val="00A22617"/>
    <w:rsid w:val="00A22927"/>
    <w:rsid w:val="00A229A1"/>
    <w:rsid w:val="00A22CC5"/>
    <w:rsid w:val="00A22E53"/>
    <w:rsid w:val="00A22F02"/>
    <w:rsid w:val="00A23179"/>
    <w:rsid w:val="00A231C7"/>
    <w:rsid w:val="00A232A7"/>
    <w:rsid w:val="00A2330A"/>
    <w:rsid w:val="00A2351C"/>
    <w:rsid w:val="00A2365D"/>
    <w:rsid w:val="00A238AA"/>
    <w:rsid w:val="00A23AE6"/>
    <w:rsid w:val="00A23B90"/>
    <w:rsid w:val="00A23DD1"/>
    <w:rsid w:val="00A23DD3"/>
    <w:rsid w:val="00A23FD9"/>
    <w:rsid w:val="00A24159"/>
    <w:rsid w:val="00A2449B"/>
    <w:rsid w:val="00A24621"/>
    <w:rsid w:val="00A24667"/>
    <w:rsid w:val="00A247FC"/>
    <w:rsid w:val="00A24A56"/>
    <w:rsid w:val="00A24F2F"/>
    <w:rsid w:val="00A24FBA"/>
    <w:rsid w:val="00A25319"/>
    <w:rsid w:val="00A2558C"/>
    <w:rsid w:val="00A257E4"/>
    <w:rsid w:val="00A25804"/>
    <w:rsid w:val="00A25875"/>
    <w:rsid w:val="00A25A0C"/>
    <w:rsid w:val="00A25AE8"/>
    <w:rsid w:val="00A25B01"/>
    <w:rsid w:val="00A25B5A"/>
    <w:rsid w:val="00A25F64"/>
    <w:rsid w:val="00A2627A"/>
    <w:rsid w:val="00A26359"/>
    <w:rsid w:val="00A26426"/>
    <w:rsid w:val="00A265D8"/>
    <w:rsid w:val="00A26643"/>
    <w:rsid w:val="00A26788"/>
    <w:rsid w:val="00A26846"/>
    <w:rsid w:val="00A26944"/>
    <w:rsid w:val="00A26B4F"/>
    <w:rsid w:val="00A26E1B"/>
    <w:rsid w:val="00A26E73"/>
    <w:rsid w:val="00A26F87"/>
    <w:rsid w:val="00A26FAE"/>
    <w:rsid w:val="00A270B8"/>
    <w:rsid w:val="00A270D3"/>
    <w:rsid w:val="00A272AC"/>
    <w:rsid w:val="00A273BA"/>
    <w:rsid w:val="00A274B2"/>
    <w:rsid w:val="00A27536"/>
    <w:rsid w:val="00A276CA"/>
    <w:rsid w:val="00A27753"/>
    <w:rsid w:val="00A27918"/>
    <w:rsid w:val="00A27A5E"/>
    <w:rsid w:val="00A27AD5"/>
    <w:rsid w:val="00A27AF6"/>
    <w:rsid w:val="00A27BBE"/>
    <w:rsid w:val="00A27C90"/>
    <w:rsid w:val="00A27CBF"/>
    <w:rsid w:val="00A27EFE"/>
    <w:rsid w:val="00A300E7"/>
    <w:rsid w:val="00A301B9"/>
    <w:rsid w:val="00A30502"/>
    <w:rsid w:val="00A306A5"/>
    <w:rsid w:val="00A30AA1"/>
    <w:rsid w:val="00A30AEE"/>
    <w:rsid w:val="00A30DB4"/>
    <w:rsid w:val="00A310CB"/>
    <w:rsid w:val="00A310D8"/>
    <w:rsid w:val="00A31111"/>
    <w:rsid w:val="00A31195"/>
    <w:rsid w:val="00A3126E"/>
    <w:rsid w:val="00A31540"/>
    <w:rsid w:val="00A315E0"/>
    <w:rsid w:val="00A31792"/>
    <w:rsid w:val="00A318D3"/>
    <w:rsid w:val="00A31968"/>
    <w:rsid w:val="00A31BE2"/>
    <w:rsid w:val="00A31C92"/>
    <w:rsid w:val="00A31E99"/>
    <w:rsid w:val="00A31FEE"/>
    <w:rsid w:val="00A32163"/>
    <w:rsid w:val="00A321F8"/>
    <w:rsid w:val="00A32578"/>
    <w:rsid w:val="00A325DA"/>
    <w:rsid w:val="00A32837"/>
    <w:rsid w:val="00A3283C"/>
    <w:rsid w:val="00A3283E"/>
    <w:rsid w:val="00A32867"/>
    <w:rsid w:val="00A3295D"/>
    <w:rsid w:val="00A32A60"/>
    <w:rsid w:val="00A32B0C"/>
    <w:rsid w:val="00A32D16"/>
    <w:rsid w:val="00A32DF5"/>
    <w:rsid w:val="00A32E39"/>
    <w:rsid w:val="00A32F9D"/>
    <w:rsid w:val="00A331C4"/>
    <w:rsid w:val="00A33235"/>
    <w:rsid w:val="00A332AE"/>
    <w:rsid w:val="00A333AD"/>
    <w:rsid w:val="00A333B0"/>
    <w:rsid w:val="00A3360E"/>
    <w:rsid w:val="00A33663"/>
    <w:rsid w:val="00A33735"/>
    <w:rsid w:val="00A337AA"/>
    <w:rsid w:val="00A3381D"/>
    <w:rsid w:val="00A3399F"/>
    <w:rsid w:val="00A339AF"/>
    <w:rsid w:val="00A33BE2"/>
    <w:rsid w:val="00A33E65"/>
    <w:rsid w:val="00A33FE4"/>
    <w:rsid w:val="00A340BE"/>
    <w:rsid w:val="00A34114"/>
    <w:rsid w:val="00A342A4"/>
    <w:rsid w:val="00A3478D"/>
    <w:rsid w:val="00A34800"/>
    <w:rsid w:val="00A34884"/>
    <w:rsid w:val="00A34C32"/>
    <w:rsid w:val="00A34C61"/>
    <w:rsid w:val="00A34D13"/>
    <w:rsid w:val="00A34DE1"/>
    <w:rsid w:val="00A34F2B"/>
    <w:rsid w:val="00A34F5F"/>
    <w:rsid w:val="00A34F86"/>
    <w:rsid w:val="00A35312"/>
    <w:rsid w:val="00A35378"/>
    <w:rsid w:val="00A353E3"/>
    <w:rsid w:val="00A3545F"/>
    <w:rsid w:val="00A35498"/>
    <w:rsid w:val="00A35619"/>
    <w:rsid w:val="00A3572A"/>
    <w:rsid w:val="00A357F3"/>
    <w:rsid w:val="00A358EB"/>
    <w:rsid w:val="00A35914"/>
    <w:rsid w:val="00A359BB"/>
    <w:rsid w:val="00A35ACC"/>
    <w:rsid w:val="00A35D10"/>
    <w:rsid w:val="00A35D88"/>
    <w:rsid w:val="00A35E17"/>
    <w:rsid w:val="00A3629F"/>
    <w:rsid w:val="00A36614"/>
    <w:rsid w:val="00A36876"/>
    <w:rsid w:val="00A368E7"/>
    <w:rsid w:val="00A36C82"/>
    <w:rsid w:val="00A36CD7"/>
    <w:rsid w:val="00A36CE5"/>
    <w:rsid w:val="00A36EF4"/>
    <w:rsid w:val="00A37016"/>
    <w:rsid w:val="00A3710B"/>
    <w:rsid w:val="00A371A6"/>
    <w:rsid w:val="00A3727F"/>
    <w:rsid w:val="00A374A8"/>
    <w:rsid w:val="00A374BA"/>
    <w:rsid w:val="00A37747"/>
    <w:rsid w:val="00A3780B"/>
    <w:rsid w:val="00A379BE"/>
    <w:rsid w:val="00A379DD"/>
    <w:rsid w:val="00A37A6D"/>
    <w:rsid w:val="00A37A71"/>
    <w:rsid w:val="00A37A80"/>
    <w:rsid w:val="00A37B3F"/>
    <w:rsid w:val="00A37BF8"/>
    <w:rsid w:val="00A37C6D"/>
    <w:rsid w:val="00A37DC0"/>
    <w:rsid w:val="00A37EAF"/>
    <w:rsid w:val="00A37F4F"/>
    <w:rsid w:val="00A38B66"/>
    <w:rsid w:val="00A4011D"/>
    <w:rsid w:val="00A40427"/>
    <w:rsid w:val="00A405A7"/>
    <w:rsid w:val="00A40729"/>
    <w:rsid w:val="00A40778"/>
    <w:rsid w:val="00A407C9"/>
    <w:rsid w:val="00A408D3"/>
    <w:rsid w:val="00A40A70"/>
    <w:rsid w:val="00A40CAC"/>
    <w:rsid w:val="00A40DA5"/>
    <w:rsid w:val="00A40DC9"/>
    <w:rsid w:val="00A40E11"/>
    <w:rsid w:val="00A40E12"/>
    <w:rsid w:val="00A40E66"/>
    <w:rsid w:val="00A410CA"/>
    <w:rsid w:val="00A410E3"/>
    <w:rsid w:val="00A411C7"/>
    <w:rsid w:val="00A411F2"/>
    <w:rsid w:val="00A41265"/>
    <w:rsid w:val="00A41308"/>
    <w:rsid w:val="00A41B6A"/>
    <w:rsid w:val="00A41CB8"/>
    <w:rsid w:val="00A41CD8"/>
    <w:rsid w:val="00A41D63"/>
    <w:rsid w:val="00A41E4C"/>
    <w:rsid w:val="00A41EDC"/>
    <w:rsid w:val="00A423F2"/>
    <w:rsid w:val="00A4249C"/>
    <w:rsid w:val="00A428BE"/>
    <w:rsid w:val="00A429A0"/>
    <w:rsid w:val="00A42AE6"/>
    <w:rsid w:val="00A42B11"/>
    <w:rsid w:val="00A42D2B"/>
    <w:rsid w:val="00A42DE9"/>
    <w:rsid w:val="00A42F61"/>
    <w:rsid w:val="00A43054"/>
    <w:rsid w:val="00A431AA"/>
    <w:rsid w:val="00A4336E"/>
    <w:rsid w:val="00A434B6"/>
    <w:rsid w:val="00A43BE3"/>
    <w:rsid w:val="00A43D9F"/>
    <w:rsid w:val="00A43E5A"/>
    <w:rsid w:val="00A43EA8"/>
    <w:rsid w:val="00A43ED5"/>
    <w:rsid w:val="00A43F50"/>
    <w:rsid w:val="00A44141"/>
    <w:rsid w:val="00A4418D"/>
    <w:rsid w:val="00A442B2"/>
    <w:rsid w:val="00A44397"/>
    <w:rsid w:val="00A445AA"/>
    <w:rsid w:val="00A446B5"/>
    <w:rsid w:val="00A4484A"/>
    <w:rsid w:val="00A44893"/>
    <w:rsid w:val="00A44AD6"/>
    <w:rsid w:val="00A44BA3"/>
    <w:rsid w:val="00A44BED"/>
    <w:rsid w:val="00A44CD0"/>
    <w:rsid w:val="00A44D19"/>
    <w:rsid w:val="00A44D98"/>
    <w:rsid w:val="00A44DA1"/>
    <w:rsid w:val="00A44E93"/>
    <w:rsid w:val="00A44F70"/>
    <w:rsid w:val="00A4545B"/>
    <w:rsid w:val="00A45532"/>
    <w:rsid w:val="00A45594"/>
    <w:rsid w:val="00A4559D"/>
    <w:rsid w:val="00A455EB"/>
    <w:rsid w:val="00A45780"/>
    <w:rsid w:val="00A45BFA"/>
    <w:rsid w:val="00A45D41"/>
    <w:rsid w:val="00A45EED"/>
    <w:rsid w:val="00A45F22"/>
    <w:rsid w:val="00A45F6D"/>
    <w:rsid w:val="00A45F7B"/>
    <w:rsid w:val="00A45F9C"/>
    <w:rsid w:val="00A46304"/>
    <w:rsid w:val="00A4654B"/>
    <w:rsid w:val="00A465A3"/>
    <w:rsid w:val="00A46740"/>
    <w:rsid w:val="00A46B71"/>
    <w:rsid w:val="00A46C3F"/>
    <w:rsid w:val="00A46DDB"/>
    <w:rsid w:val="00A46EC1"/>
    <w:rsid w:val="00A46F58"/>
    <w:rsid w:val="00A46FDA"/>
    <w:rsid w:val="00A47558"/>
    <w:rsid w:val="00A477C6"/>
    <w:rsid w:val="00A47AB9"/>
    <w:rsid w:val="00A47B16"/>
    <w:rsid w:val="00A47C08"/>
    <w:rsid w:val="00A50572"/>
    <w:rsid w:val="00A5090D"/>
    <w:rsid w:val="00A50B1B"/>
    <w:rsid w:val="00A50B45"/>
    <w:rsid w:val="00A50C6A"/>
    <w:rsid w:val="00A50CA2"/>
    <w:rsid w:val="00A50DD4"/>
    <w:rsid w:val="00A510D8"/>
    <w:rsid w:val="00A51130"/>
    <w:rsid w:val="00A5148A"/>
    <w:rsid w:val="00A515C9"/>
    <w:rsid w:val="00A515FA"/>
    <w:rsid w:val="00A519A4"/>
    <w:rsid w:val="00A51A67"/>
    <w:rsid w:val="00A51CC6"/>
    <w:rsid w:val="00A51CD3"/>
    <w:rsid w:val="00A51D68"/>
    <w:rsid w:val="00A51D93"/>
    <w:rsid w:val="00A51E22"/>
    <w:rsid w:val="00A51E5D"/>
    <w:rsid w:val="00A520C2"/>
    <w:rsid w:val="00A521FB"/>
    <w:rsid w:val="00A52393"/>
    <w:rsid w:val="00A523CC"/>
    <w:rsid w:val="00A52463"/>
    <w:rsid w:val="00A52513"/>
    <w:rsid w:val="00A52680"/>
    <w:rsid w:val="00A5289D"/>
    <w:rsid w:val="00A52B0D"/>
    <w:rsid w:val="00A52B84"/>
    <w:rsid w:val="00A52EE6"/>
    <w:rsid w:val="00A52F59"/>
    <w:rsid w:val="00A5304E"/>
    <w:rsid w:val="00A531BD"/>
    <w:rsid w:val="00A532CC"/>
    <w:rsid w:val="00A532FF"/>
    <w:rsid w:val="00A533B2"/>
    <w:rsid w:val="00A53614"/>
    <w:rsid w:val="00A53789"/>
    <w:rsid w:val="00A53B38"/>
    <w:rsid w:val="00A53B4A"/>
    <w:rsid w:val="00A53D91"/>
    <w:rsid w:val="00A5439A"/>
    <w:rsid w:val="00A549EE"/>
    <w:rsid w:val="00A54ABE"/>
    <w:rsid w:val="00A54AE2"/>
    <w:rsid w:val="00A54D4D"/>
    <w:rsid w:val="00A54D6C"/>
    <w:rsid w:val="00A54DD3"/>
    <w:rsid w:val="00A54E6C"/>
    <w:rsid w:val="00A5509B"/>
    <w:rsid w:val="00A55288"/>
    <w:rsid w:val="00A5574F"/>
    <w:rsid w:val="00A557D7"/>
    <w:rsid w:val="00A558EE"/>
    <w:rsid w:val="00A559A2"/>
    <w:rsid w:val="00A55BE3"/>
    <w:rsid w:val="00A55D77"/>
    <w:rsid w:val="00A55E11"/>
    <w:rsid w:val="00A55E50"/>
    <w:rsid w:val="00A55EE3"/>
    <w:rsid w:val="00A55F8A"/>
    <w:rsid w:val="00A55F91"/>
    <w:rsid w:val="00A5629D"/>
    <w:rsid w:val="00A56358"/>
    <w:rsid w:val="00A5643D"/>
    <w:rsid w:val="00A564F5"/>
    <w:rsid w:val="00A565DF"/>
    <w:rsid w:val="00A5669C"/>
    <w:rsid w:val="00A5676F"/>
    <w:rsid w:val="00A56D49"/>
    <w:rsid w:val="00A56E7D"/>
    <w:rsid w:val="00A57015"/>
    <w:rsid w:val="00A570BC"/>
    <w:rsid w:val="00A5716E"/>
    <w:rsid w:val="00A57248"/>
    <w:rsid w:val="00A57304"/>
    <w:rsid w:val="00A5733F"/>
    <w:rsid w:val="00A57AC3"/>
    <w:rsid w:val="00A57EDB"/>
    <w:rsid w:val="00A57F38"/>
    <w:rsid w:val="00A60072"/>
    <w:rsid w:val="00A600A8"/>
    <w:rsid w:val="00A600DA"/>
    <w:rsid w:val="00A601D6"/>
    <w:rsid w:val="00A603B4"/>
    <w:rsid w:val="00A60773"/>
    <w:rsid w:val="00A608EE"/>
    <w:rsid w:val="00A6094D"/>
    <w:rsid w:val="00A60A86"/>
    <w:rsid w:val="00A60BE3"/>
    <w:rsid w:val="00A60D02"/>
    <w:rsid w:val="00A60D4A"/>
    <w:rsid w:val="00A60F73"/>
    <w:rsid w:val="00A612CF"/>
    <w:rsid w:val="00A612F2"/>
    <w:rsid w:val="00A61335"/>
    <w:rsid w:val="00A6135D"/>
    <w:rsid w:val="00A6137C"/>
    <w:rsid w:val="00A613AE"/>
    <w:rsid w:val="00A6159B"/>
    <w:rsid w:val="00A61632"/>
    <w:rsid w:val="00A61808"/>
    <w:rsid w:val="00A61A24"/>
    <w:rsid w:val="00A61A50"/>
    <w:rsid w:val="00A61B92"/>
    <w:rsid w:val="00A61BD8"/>
    <w:rsid w:val="00A61BDA"/>
    <w:rsid w:val="00A61D42"/>
    <w:rsid w:val="00A6213A"/>
    <w:rsid w:val="00A6220E"/>
    <w:rsid w:val="00A623D9"/>
    <w:rsid w:val="00A624D8"/>
    <w:rsid w:val="00A626A2"/>
    <w:rsid w:val="00A62A89"/>
    <w:rsid w:val="00A62C2E"/>
    <w:rsid w:val="00A62CAD"/>
    <w:rsid w:val="00A62DE5"/>
    <w:rsid w:val="00A63050"/>
    <w:rsid w:val="00A63145"/>
    <w:rsid w:val="00A6316F"/>
    <w:rsid w:val="00A631E7"/>
    <w:rsid w:val="00A632EC"/>
    <w:rsid w:val="00A635FA"/>
    <w:rsid w:val="00A63833"/>
    <w:rsid w:val="00A6384E"/>
    <w:rsid w:val="00A638B5"/>
    <w:rsid w:val="00A63B5E"/>
    <w:rsid w:val="00A63B94"/>
    <w:rsid w:val="00A63BBA"/>
    <w:rsid w:val="00A63C62"/>
    <w:rsid w:val="00A63C8F"/>
    <w:rsid w:val="00A63CB6"/>
    <w:rsid w:val="00A63D7B"/>
    <w:rsid w:val="00A64097"/>
    <w:rsid w:val="00A64196"/>
    <w:rsid w:val="00A6430E"/>
    <w:rsid w:val="00A64427"/>
    <w:rsid w:val="00A64706"/>
    <w:rsid w:val="00A648CB"/>
    <w:rsid w:val="00A64977"/>
    <w:rsid w:val="00A64A48"/>
    <w:rsid w:val="00A64B38"/>
    <w:rsid w:val="00A64B4D"/>
    <w:rsid w:val="00A64BCE"/>
    <w:rsid w:val="00A64BE5"/>
    <w:rsid w:val="00A64D43"/>
    <w:rsid w:val="00A64D6B"/>
    <w:rsid w:val="00A64F9F"/>
    <w:rsid w:val="00A650AA"/>
    <w:rsid w:val="00A65102"/>
    <w:rsid w:val="00A65170"/>
    <w:rsid w:val="00A652C7"/>
    <w:rsid w:val="00A65325"/>
    <w:rsid w:val="00A65434"/>
    <w:rsid w:val="00A65496"/>
    <w:rsid w:val="00A65614"/>
    <w:rsid w:val="00A65670"/>
    <w:rsid w:val="00A6587D"/>
    <w:rsid w:val="00A65952"/>
    <w:rsid w:val="00A659D0"/>
    <w:rsid w:val="00A659E6"/>
    <w:rsid w:val="00A65C95"/>
    <w:rsid w:val="00A6631B"/>
    <w:rsid w:val="00A6666F"/>
    <w:rsid w:val="00A666F5"/>
    <w:rsid w:val="00A66750"/>
    <w:rsid w:val="00A6696D"/>
    <w:rsid w:val="00A66AD1"/>
    <w:rsid w:val="00A66C41"/>
    <w:rsid w:val="00A66D04"/>
    <w:rsid w:val="00A66FB1"/>
    <w:rsid w:val="00A6703E"/>
    <w:rsid w:val="00A67242"/>
    <w:rsid w:val="00A6735B"/>
    <w:rsid w:val="00A673AC"/>
    <w:rsid w:val="00A6763A"/>
    <w:rsid w:val="00A678C4"/>
    <w:rsid w:val="00A679E0"/>
    <w:rsid w:val="00A67A46"/>
    <w:rsid w:val="00A67BA2"/>
    <w:rsid w:val="00A67C82"/>
    <w:rsid w:val="00A67F77"/>
    <w:rsid w:val="00A67FDE"/>
    <w:rsid w:val="00A70443"/>
    <w:rsid w:val="00A704B5"/>
    <w:rsid w:val="00A70833"/>
    <w:rsid w:val="00A70983"/>
    <w:rsid w:val="00A7099A"/>
    <w:rsid w:val="00A70E1A"/>
    <w:rsid w:val="00A70E95"/>
    <w:rsid w:val="00A70F79"/>
    <w:rsid w:val="00A7109F"/>
    <w:rsid w:val="00A71257"/>
    <w:rsid w:val="00A71AA7"/>
    <w:rsid w:val="00A71AEE"/>
    <w:rsid w:val="00A71D07"/>
    <w:rsid w:val="00A71D91"/>
    <w:rsid w:val="00A72241"/>
    <w:rsid w:val="00A72298"/>
    <w:rsid w:val="00A72314"/>
    <w:rsid w:val="00A723A0"/>
    <w:rsid w:val="00A723FF"/>
    <w:rsid w:val="00A727FE"/>
    <w:rsid w:val="00A728C4"/>
    <w:rsid w:val="00A728D5"/>
    <w:rsid w:val="00A7296C"/>
    <w:rsid w:val="00A7297C"/>
    <w:rsid w:val="00A72A17"/>
    <w:rsid w:val="00A7306B"/>
    <w:rsid w:val="00A736BE"/>
    <w:rsid w:val="00A73781"/>
    <w:rsid w:val="00A7387C"/>
    <w:rsid w:val="00A73910"/>
    <w:rsid w:val="00A73A7E"/>
    <w:rsid w:val="00A73BD7"/>
    <w:rsid w:val="00A7445B"/>
    <w:rsid w:val="00A745E7"/>
    <w:rsid w:val="00A74639"/>
    <w:rsid w:val="00A74736"/>
    <w:rsid w:val="00A74791"/>
    <w:rsid w:val="00A74985"/>
    <w:rsid w:val="00A749D8"/>
    <w:rsid w:val="00A74AFF"/>
    <w:rsid w:val="00A74B3F"/>
    <w:rsid w:val="00A74BC9"/>
    <w:rsid w:val="00A74F69"/>
    <w:rsid w:val="00A74F79"/>
    <w:rsid w:val="00A74FDB"/>
    <w:rsid w:val="00A75039"/>
    <w:rsid w:val="00A75750"/>
    <w:rsid w:val="00A7589E"/>
    <w:rsid w:val="00A75A3A"/>
    <w:rsid w:val="00A75AB3"/>
    <w:rsid w:val="00A75B2E"/>
    <w:rsid w:val="00A75D71"/>
    <w:rsid w:val="00A75F02"/>
    <w:rsid w:val="00A7610B"/>
    <w:rsid w:val="00A76117"/>
    <w:rsid w:val="00A761B0"/>
    <w:rsid w:val="00A7638B"/>
    <w:rsid w:val="00A7642D"/>
    <w:rsid w:val="00A76570"/>
    <w:rsid w:val="00A766B3"/>
    <w:rsid w:val="00A766D7"/>
    <w:rsid w:val="00A767FA"/>
    <w:rsid w:val="00A768D9"/>
    <w:rsid w:val="00A76ACD"/>
    <w:rsid w:val="00A76B53"/>
    <w:rsid w:val="00A76C2F"/>
    <w:rsid w:val="00A76CC4"/>
    <w:rsid w:val="00A76D3F"/>
    <w:rsid w:val="00A76D41"/>
    <w:rsid w:val="00A770D8"/>
    <w:rsid w:val="00A77106"/>
    <w:rsid w:val="00A77194"/>
    <w:rsid w:val="00A77471"/>
    <w:rsid w:val="00A77525"/>
    <w:rsid w:val="00A77528"/>
    <w:rsid w:val="00A77569"/>
    <w:rsid w:val="00A775FE"/>
    <w:rsid w:val="00A7760A"/>
    <w:rsid w:val="00A77637"/>
    <w:rsid w:val="00A777A2"/>
    <w:rsid w:val="00A777EE"/>
    <w:rsid w:val="00A77A2B"/>
    <w:rsid w:val="00A77B28"/>
    <w:rsid w:val="00A77C76"/>
    <w:rsid w:val="00A77DE7"/>
    <w:rsid w:val="00A77E6C"/>
    <w:rsid w:val="00A77F65"/>
    <w:rsid w:val="00A80296"/>
    <w:rsid w:val="00A80330"/>
    <w:rsid w:val="00A80469"/>
    <w:rsid w:val="00A8096B"/>
    <w:rsid w:val="00A80980"/>
    <w:rsid w:val="00A80A3B"/>
    <w:rsid w:val="00A80B02"/>
    <w:rsid w:val="00A80B88"/>
    <w:rsid w:val="00A80D28"/>
    <w:rsid w:val="00A80F9E"/>
    <w:rsid w:val="00A81073"/>
    <w:rsid w:val="00A81094"/>
    <w:rsid w:val="00A8135E"/>
    <w:rsid w:val="00A81838"/>
    <w:rsid w:val="00A8198A"/>
    <w:rsid w:val="00A8201D"/>
    <w:rsid w:val="00A82489"/>
    <w:rsid w:val="00A82686"/>
    <w:rsid w:val="00A8286B"/>
    <w:rsid w:val="00A82C11"/>
    <w:rsid w:val="00A82FFB"/>
    <w:rsid w:val="00A831BC"/>
    <w:rsid w:val="00A83350"/>
    <w:rsid w:val="00A8335C"/>
    <w:rsid w:val="00A83664"/>
    <w:rsid w:val="00A836B0"/>
    <w:rsid w:val="00A8382B"/>
    <w:rsid w:val="00A839CC"/>
    <w:rsid w:val="00A839F6"/>
    <w:rsid w:val="00A83AA0"/>
    <w:rsid w:val="00A83AD0"/>
    <w:rsid w:val="00A83B07"/>
    <w:rsid w:val="00A83B8C"/>
    <w:rsid w:val="00A83BBE"/>
    <w:rsid w:val="00A83C2A"/>
    <w:rsid w:val="00A83C6B"/>
    <w:rsid w:val="00A84226"/>
    <w:rsid w:val="00A843F6"/>
    <w:rsid w:val="00A8448F"/>
    <w:rsid w:val="00A8475E"/>
    <w:rsid w:val="00A84AA9"/>
    <w:rsid w:val="00A84B51"/>
    <w:rsid w:val="00A84CF9"/>
    <w:rsid w:val="00A84E2B"/>
    <w:rsid w:val="00A84EEE"/>
    <w:rsid w:val="00A84F85"/>
    <w:rsid w:val="00A851F1"/>
    <w:rsid w:val="00A85320"/>
    <w:rsid w:val="00A85393"/>
    <w:rsid w:val="00A85509"/>
    <w:rsid w:val="00A8550B"/>
    <w:rsid w:val="00A85655"/>
    <w:rsid w:val="00A8585C"/>
    <w:rsid w:val="00A858B7"/>
    <w:rsid w:val="00A859B4"/>
    <w:rsid w:val="00A85B33"/>
    <w:rsid w:val="00A85CCD"/>
    <w:rsid w:val="00A8617A"/>
    <w:rsid w:val="00A86261"/>
    <w:rsid w:val="00A863D6"/>
    <w:rsid w:val="00A863DD"/>
    <w:rsid w:val="00A86410"/>
    <w:rsid w:val="00A864CE"/>
    <w:rsid w:val="00A865F9"/>
    <w:rsid w:val="00A867D5"/>
    <w:rsid w:val="00A869F9"/>
    <w:rsid w:val="00A86DA4"/>
    <w:rsid w:val="00A8746D"/>
    <w:rsid w:val="00A8762F"/>
    <w:rsid w:val="00A87758"/>
    <w:rsid w:val="00A87867"/>
    <w:rsid w:val="00A8787F"/>
    <w:rsid w:val="00A87999"/>
    <w:rsid w:val="00A87A87"/>
    <w:rsid w:val="00A87EE6"/>
    <w:rsid w:val="00A90021"/>
    <w:rsid w:val="00A90096"/>
    <w:rsid w:val="00A9016C"/>
    <w:rsid w:val="00A901A7"/>
    <w:rsid w:val="00A90284"/>
    <w:rsid w:val="00A9062C"/>
    <w:rsid w:val="00A9075D"/>
    <w:rsid w:val="00A90778"/>
    <w:rsid w:val="00A907A1"/>
    <w:rsid w:val="00A90A4D"/>
    <w:rsid w:val="00A90BD1"/>
    <w:rsid w:val="00A90D70"/>
    <w:rsid w:val="00A90FB1"/>
    <w:rsid w:val="00A9100C"/>
    <w:rsid w:val="00A91046"/>
    <w:rsid w:val="00A91453"/>
    <w:rsid w:val="00A9148A"/>
    <w:rsid w:val="00A91691"/>
    <w:rsid w:val="00A9173C"/>
    <w:rsid w:val="00A91DCE"/>
    <w:rsid w:val="00A91ECB"/>
    <w:rsid w:val="00A92013"/>
    <w:rsid w:val="00A92035"/>
    <w:rsid w:val="00A921E8"/>
    <w:rsid w:val="00A923FA"/>
    <w:rsid w:val="00A9249F"/>
    <w:rsid w:val="00A928E9"/>
    <w:rsid w:val="00A92909"/>
    <w:rsid w:val="00A92B30"/>
    <w:rsid w:val="00A92DB0"/>
    <w:rsid w:val="00A92EC7"/>
    <w:rsid w:val="00A930AF"/>
    <w:rsid w:val="00A930B7"/>
    <w:rsid w:val="00A93363"/>
    <w:rsid w:val="00A934BA"/>
    <w:rsid w:val="00A93851"/>
    <w:rsid w:val="00A93B0E"/>
    <w:rsid w:val="00A93CF9"/>
    <w:rsid w:val="00A93E02"/>
    <w:rsid w:val="00A94078"/>
    <w:rsid w:val="00A94084"/>
    <w:rsid w:val="00A940C5"/>
    <w:rsid w:val="00A94112"/>
    <w:rsid w:val="00A94275"/>
    <w:rsid w:val="00A942E0"/>
    <w:rsid w:val="00A94316"/>
    <w:rsid w:val="00A94344"/>
    <w:rsid w:val="00A94406"/>
    <w:rsid w:val="00A944EE"/>
    <w:rsid w:val="00A94618"/>
    <w:rsid w:val="00A94693"/>
    <w:rsid w:val="00A947DE"/>
    <w:rsid w:val="00A94885"/>
    <w:rsid w:val="00A94981"/>
    <w:rsid w:val="00A94BBF"/>
    <w:rsid w:val="00A94C8D"/>
    <w:rsid w:val="00A94EC9"/>
    <w:rsid w:val="00A94ECD"/>
    <w:rsid w:val="00A94FCF"/>
    <w:rsid w:val="00A951A2"/>
    <w:rsid w:val="00A95497"/>
    <w:rsid w:val="00A956BC"/>
    <w:rsid w:val="00A956E9"/>
    <w:rsid w:val="00A95AD9"/>
    <w:rsid w:val="00A95C90"/>
    <w:rsid w:val="00A95D60"/>
    <w:rsid w:val="00A95DDA"/>
    <w:rsid w:val="00A95E26"/>
    <w:rsid w:val="00A9605A"/>
    <w:rsid w:val="00A96370"/>
    <w:rsid w:val="00A96414"/>
    <w:rsid w:val="00A96728"/>
    <w:rsid w:val="00A967EA"/>
    <w:rsid w:val="00A9698B"/>
    <w:rsid w:val="00A969BB"/>
    <w:rsid w:val="00A96A80"/>
    <w:rsid w:val="00A96A9F"/>
    <w:rsid w:val="00A97017"/>
    <w:rsid w:val="00A9703B"/>
    <w:rsid w:val="00A970D9"/>
    <w:rsid w:val="00A97227"/>
    <w:rsid w:val="00A973FF"/>
    <w:rsid w:val="00A97409"/>
    <w:rsid w:val="00A974B1"/>
    <w:rsid w:val="00A97737"/>
    <w:rsid w:val="00A97B04"/>
    <w:rsid w:val="00AA0119"/>
    <w:rsid w:val="00AA013B"/>
    <w:rsid w:val="00AA01AA"/>
    <w:rsid w:val="00AA01D0"/>
    <w:rsid w:val="00AA03EF"/>
    <w:rsid w:val="00AA06F2"/>
    <w:rsid w:val="00AA0A39"/>
    <w:rsid w:val="00AA0B1F"/>
    <w:rsid w:val="00AA0BFF"/>
    <w:rsid w:val="00AA10FE"/>
    <w:rsid w:val="00AA1191"/>
    <w:rsid w:val="00AA1227"/>
    <w:rsid w:val="00AA1250"/>
    <w:rsid w:val="00AA13B9"/>
    <w:rsid w:val="00AA15CA"/>
    <w:rsid w:val="00AA17C0"/>
    <w:rsid w:val="00AA1978"/>
    <w:rsid w:val="00AA1BC7"/>
    <w:rsid w:val="00AA1CB7"/>
    <w:rsid w:val="00AA1EDB"/>
    <w:rsid w:val="00AA2086"/>
    <w:rsid w:val="00AA2168"/>
    <w:rsid w:val="00AA223E"/>
    <w:rsid w:val="00AA2274"/>
    <w:rsid w:val="00AA232C"/>
    <w:rsid w:val="00AA2332"/>
    <w:rsid w:val="00AA2484"/>
    <w:rsid w:val="00AA24E0"/>
    <w:rsid w:val="00AA2629"/>
    <w:rsid w:val="00AA27DC"/>
    <w:rsid w:val="00AA2A63"/>
    <w:rsid w:val="00AA2C35"/>
    <w:rsid w:val="00AA2CC7"/>
    <w:rsid w:val="00AA2D5B"/>
    <w:rsid w:val="00AA2E7C"/>
    <w:rsid w:val="00AA2EF6"/>
    <w:rsid w:val="00AA2F0C"/>
    <w:rsid w:val="00AA3001"/>
    <w:rsid w:val="00AA30F5"/>
    <w:rsid w:val="00AA310F"/>
    <w:rsid w:val="00AA31BB"/>
    <w:rsid w:val="00AA33DD"/>
    <w:rsid w:val="00AA35A8"/>
    <w:rsid w:val="00AA37D1"/>
    <w:rsid w:val="00AA3946"/>
    <w:rsid w:val="00AA39C0"/>
    <w:rsid w:val="00AA3A72"/>
    <w:rsid w:val="00AA3AFA"/>
    <w:rsid w:val="00AA3C41"/>
    <w:rsid w:val="00AA3DAF"/>
    <w:rsid w:val="00AA3DCB"/>
    <w:rsid w:val="00AA3E90"/>
    <w:rsid w:val="00AA3F01"/>
    <w:rsid w:val="00AA3F6E"/>
    <w:rsid w:val="00AA3F89"/>
    <w:rsid w:val="00AA43A0"/>
    <w:rsid w:val="00AA43BD"/>
    <w:rsid w:val="00AA459E"/>
    <w:rsid w:val="00AA463A"/>
    <w:rsid w:val="00AA4731"/>
    <w:rsid w:val="00AA47D0"/>
    <w:rsid w:val="00AA4835"/>
    <w:rsid w:val="00AA4C7B"/>
    <w:rsid w:val="00AA5105"/>
    <w:rsid w:val="00AA5373"/>
    <w:rsid w:val="00AA5827"/>
    <w:rsid w:val="00AA5861"/>
    <w:rsid w:val="00AA590E"/>
    <w:rsid w:val="00AA5AA6"/>
    <w:rsid w:val="00AA5D22"/>
    <w:rsid w:val="00AA5D7D"/>
    <w:rsid w:val="00AA6192"/>
    <w:rsid w:val="00AA64ED"/>
    <w:rsid w:val="00AA64F2"/>
    <w:rsid w:val="00AA671C"/>
    <w:rsid w:val="00AA673D"/>
    <w:rsid w:val="00AA6867"/>
    <w:rsid w:val="00AA68C2"/>
    <w:rsid w:val="00AA692E"/>
    <w:rsid w:val="00AA7023"/>
    <w:rsid w:val="00AA758E"/>
    <w:rsid w:val="00AA7AFB"/>
    <w:rsid w:val="00AA7C05"/>
    <w:rsid w:val="00AA7C1B"/>
    <w:rsid w:val="00AA7D21"/>
    <w:rsid w:val="00AA7F37"/>
    <w:rsid w:val="00AB022D"/>
    <w:rsid w:val="00AB031F"/>
    <w:rsid w:val="00AB0331"/>
    <w:rsid w:val="00AB0453"/>
    <w:rsid w:val="00AB0724"/>
    <w:rsid w:val="00AB07A1"/>
    <w:rsid w:val="00AB0963"/>
    <w:rsid w:val="00AB09EE"/>
    <w:rsid w:val="00AB0BC6"/>
    <w:rsid w:val="00AB0CEF"/>
    <w:rsid w:val="00AB0E3D"/>
    <w:rsid w:val="00AB0EFA"/>
    <w:rsid w:val="00AB0F3F"/>
    <w:rsid w:val="00AB0F48"/>
    <w:rsid w:val="00AB100B"/>
    <w:rsid w:val="00AB11F1"/>
    <w:rsid w:val="00AB1456"/>
    <w:rsid w:val="00AB1794"/>
    <w:rsid w:val="00AB1A6B"/>
    <w:rsid w:val="00AB1D00"/>
    <w:rsid w:val="00AB1D74"/>
    <w:rsid w:val="00AB1FFE"/>
    <w:rsid w:val="00AB2214"/>
    <w:rsid w:val="00AB22AA"/>
    <w:rsid w:val="00AB23A9"/>
    <w:rsid w:val="00AB25C5"/>
    <w:rsid w:val="00AB27AC"/>
    <w:rsid w:val="00AB27E2"/>
    <w:rsid w:val="00AB28EA"/>
    <w:rsid w:val="00AB2A00"/>
    <w:rsid w:val="00AB2A7C"/>
    <w:rsid w:val="00AB2B3E"/>
    <w:rsid w:val="00AB2CA7"/>
    <w:rsid w:val="00AB2D59"/>
    <w:rsid w:val="00AB2E1C"/>
    <w:rsid w:val="00AB2F3A"/>
    <w:rsid w:val="00AB30F6"/>
    <w:rsid w:val="00AB3171"/>
    <w:rsid w:val="00AB31E7"/>
    <w:rsid w:val="00AB3392"/>
    <w:rsid w:val="00AB34C7"/>
    <w:rsid w:val="00AB34D9"/>
    <w:rsid w:val="00AB3753"/>
    <w:rsid w:val="00AB37F4"/>
    <w:rsid w:val="00AB38AA"/>
    <w:rsid w:val="00AB3A59"/>
    <w:rsid w:val="00AB3AA1"/>
    <w:rsid w:val="00AB3C45"/>
    <w:rsid w:val="00AB3D4F"/>
    <w:rsid w:val="00AB3E9C"/>
    <w:rsid w:val="00AB3F4E"/>
    <w:rsid w:val="00AB443F"/>
    <w:rsid w:val="00AB4547"/>
    <w:rsid w:val="00AB4560"/>
    <w:rsid w:val="00AB4774"/>
    <w:rsid w:val="00AB49A1"/>
    <w:rsid w:val="00AB4A4D"/>
    <w:rsid w:val="00AB4AA3"/>
    <w:rsid w:val="00AB4BA3"/>
    <w:rsid w:val="00AB4E13"/>
    <w:rsid w:val="00AB4F58"/>
    <w:rsid w:val="00AB4FDC"/>
    <w:rsid w:val="00AB5580"/>
    <w:rsid w:val="00AB55EA"/>
    <w:rsid w:val="00AB56E2"/>
    <w:rsid w:val="00AB5767"/>
    <w:rsid w:val="00AB577B"/>
    <w:rsid w:val="00AB57D9"/>
    <w:rsid w:val="00AB58C4"/>
    <w:rsid w:val="00AB6068"/>
    <w:rsid w:val="00AB6101"/>
    <w:rsid w:val="00AB6247"/>
    <w:rsid w:val="00AB6274"/>
    <w:rsid w:val="00AB6C66"/>
    <w:rsid w:val="00AB6EBF"/>
    <w:rsid w:val="00AB6F42"/>
    <w:rsid w:val="00AB7107"/>
    <w:rsid w:val="00AB712E"/>
    <w:rsid w:val="00AB71B4"/>
    <w:rsid w:val="00AB74F6"/>
    <w:rsid w:val="00AB783B"/>
    <w:rsid w:val="00AB7922"/>
    <w:rsid w:val="00AB7929"/>
    <w:rsid w:val="00AC0453"/>
    <w:rsid w:val="00AC046C"/>
    <w:rsid w:val="00AC0652"/>
    <w:rsid w:val="00AC07DF"/>
    <w:rsid w:val="00AC0DCE"/>
    <w:rsid w:val="00AC0E90"/>
    <w:rsid w:val="00AC0EAF"/>
    <w:rsid w:val="00AC0F4C"/>
    <w:rsid w:val="00AC124A"/>
    <w:rsid w:val="00AC1318"/>
    <w:rsid w:val="00AC132D"/>
    <w:rsid w:val="00AC13F3"/>
    <w:rsid w:val="00AC1674"/>
    <w:rsid w:val="00AC16E3"/>
    <w:rsid w:val="00AC171B"/>
    <w:rsid w:val="00AC1747"/>
    <w:rsid w:val="00AC17E5"/>
    <w:rsid w:val="00AC190F"/>
    <w:rsid w:val="00AC194E"/>
    <w:rsid w:val="00AC1E31"/>
    <w:rsid w:val="00AC1EE6"/>
    <w:rsid w:val="00AC2267"/>
    <w:rsid w:val="00AC25A1"/>
    <w:rsid w:val="00AC26C7"/>
    <w:rsid w:val="00AC280D"/>
    <w:rsid w:val="00AC29EE"/>
    <w:rsid w:val="00AC2B0D"/>
    <w:rsid w:val="00AC2F50"/>
    <w:rsid w:val="00AC2FF1"/>
    <w:rsid w:val="00AC3194"/>
    <w:rsid w:val="00AC31C8"/>
    <w:rsid w:val="00AC32CA"/>
    <w:rsid w:val="00AC33A0"/>
    <w:rsid w:val="00AC344C"/>
    <w:rsid w:val="00AC350E"/>
    <w:rsid w:val="00AC364C"/>
    <w:rsid w:val="00AC3654"/>
    <w:rsid w:val="00AC3718"/>
    <w:rsid w:val="00AC37C8"/>
    <w:rsid w:val="00AC380A"/>
    <w:rsid w:val="00AC397D"/>
    <w:rsid w:val="00AC3B7F"/>
    <w:rsid w:val="00AC3BA1"/>
    <w:rsid w:val="00AC3BDD"/>
    <w:rsid w:val="00AC3C6F"/>
    <w:rsid w:val="00AC3DAC"/>
    <w:rsid w:val="00AC3E89"/>
    <w:rsid w:val="00AC3EBD"/>
    <w:rsid w:val="00AC3EE8"/>
    <w:rsid w:val="00AC3F2F"/>
    <w:rsid w:val="00AC40CF"/>
    <w:rsid w:val="00AC4136"/>
    <w:rsid w:val="00AC43A7"/>
    <w:rsid w:val="00AC46D6"/>
    <w:rsid w:val="00AC493A"/>
    <w:rsid w:val="00AC4A38"/>
    <w:rsid w:val="00AC4ABF"/>
    <w:rsid w:val="00AC4BE0"/>
    <w:rsid w:val="00AC4DF0"/>
    <w:rsid w:val="00AC500D"/>
    <w:rsid w:val="00AC533C"/>
    <w:rsid w:val="00AC54A4"/>
    <w:rsid w:val="00AC56B9"/>
    <w:rsid w:val="00AC5966"/>
    <w:rsid w:val="00AC59E2"/>
    <w:rsid w:val="00AC5D04"/>
    <w:rsid w:val="00AC5D5F"/>
    <w:rsid w:val="00AC5FF5"/>
    <w:rsid w:val="00AC61B5"/>
    <w:rsid w:val="00AC620E"/>
    <w:rsid w:val="00AC6428"/>
    <w:rsid w:val="00AC6431"/>
    <w:rsid w:val="00AC70A7"/>
    <w:rsid w:val="00AC71BA"/>
    <w:rsid w:val="00AC7363"/>
    <w:rsid w:val="00AC74BA"/>
    <w:rsid w:val="00AC766C"/>
    <w:rsid w:val="00AC7810"/>
    <w:rsid w:val="00AC78E6"/>
    <w:rsid w:val="00AC7AD0"/>
    <w:rsid w:val="00AC7EB5"/>
    <w:rsid w:val="00AC7EC6"/>
    <w:rsid w:val="00AD0006"/>
    <w:rsid w:val="00AD00E3"/>
    <w:rsid w:val="00AD01B4"/>
    <w:rsid w:val="00AD01EA"/>
    <w:rsid w:val="00AD027B"/>
    <w:rsid w:val="00AD030D"/>
    <w:rsid w:val="00AD037B"/>
    <w:rsid w:val="00AD0501"/>
    <w:rsid w:val="00AD05F4"/>
    <w:rsid w:val="00AD0755"/>
    <w:rsid w:val="00AD0874"/>
    <w:rsid w:val="00AD09CB"/>
    <w:rsid w:val="00AD0C81"/>
    <w:rsid w:val="00AD0C99"/>
    <w:rsid w:val="00AD0EA4"/>
    <w:rsid w:val="00AD112A"/>
    <w:rsid w:val="00AD1268"/>
    <w:rsid w:val="00AD1541"/>
    <w:rsid w:val="00AD162E"/>
    <w:rsid w:val="00AD1726"/>
    <w:rsid w:val="00AD17C4"/>
    <w:rsid w:val="00AD1879"/>
    <w:rsid w:val="00AD1893"/>
    <w:rsid w:val="00AD18F2"/>
    <w:rsid w:val="00AD1963"/>
    <w:rsid w:val="00AD1AA2"/>
    <w:rsid w:val="00AD1BC4"/>
    <w:rsid w:val="00AD1BFC"/>
    <w:rsid w:val="00AD1CFB"/>
    <w:rsid w:val="00AD1D1E"/>
    <w:rsid w:val="00AD1D9C"/>
    <w:rsid w:val="00AD1FF1"/>
    <w:rsid w:val="00AD20D8"/>
    <w:rsid w:val="00AD21FF"/>
    <w:rsid w:val="00AD244F"/>
    <w:rsid w:val="00AD24F3"/>
    <w:rsid w:val="00AD25EA"/>
    <w:rsid w:val="00AD2701"/>
    <w:rsid w:val="00AD27B9"/>
    <w:rsid w:val="00AD27F7"/>
    <w:rsid w:val="00AD2A06"/>
    <w:rsid w:val="00AD2AF4"/>
    <w:rsid w:val="00AD2B0B"/>
    <w:rsid w:val="00AD2B6A"/>
    <w:rsid w:val="00AD2C0B"/>
    <w:rsid w:val="00AD2CBA"/>
    <w:rsid w:val="00AD2D40"/>
    <w:rsid w:val="00AD2EA0"/>
    <w:rsid w:val="00AD31DF"/>
    <w:rsid w:val="00AD31F4"/>
    <w:rsid w:val="00AD3288"/>
    <w:rsid w:val="00AD3462"/>
    <w:rsid w:val="00AD37E8"/>
    <w:rsid w:val="00AD3ECB"/>
    <w:rsid w:val="00AD3F6F"/>
    <w:rsid w:val="00AD4198"/>
    <w:rsid w:val="00AD41D4"/>
    <w:rsid w:val="00AD4274"/>
    <w:rsid w:val="00AD4424"/>
    <w:rsid w:val="00AD4443"/>
    <w:rsid w:val="00AD4508"/>
    <w:rsid w:val="00AD45A0"/>
    <w:rsid w:val="00AD4663"/>
    <w:rsid w:val="00AD49D4"/>
    <w:rsid w:val="00AD4AD5"/>
    <w:rsid w:val="00AD4CED"/>
    <w:rsid w:val="00AD4D51"/>
    <w:rsid w:val="00AD4E7F"/>
    <w:rsid w:val="00AD4FA7"/>
    <w:rsid w:val="00AD500C"/>
    <w:rsid w:val="00AD5049"/>
    <w:rsid w:val="00AD5106"/>
    <w:rsid w:val="00AD5153"/>
    <w:rsid w:val="00AD5204"/>
    <w:rsid w:val="00AD527C"/>
    <w:rsid w:val="00AD53F5"/>
    <w:rsid w:val="00AD560D"/>
    <w:rsid w:val="00AD56FA"/>
    <w:rsid w:val="00AD5854"/>
    <w:rsid w:val="00AD59AA"/>
    <w:rsid w:val="00AD5A44"/>
    <w:rsid w:val="00AD5A95"/>
    <w:rsid w:val="00AD5EB4"/>
    <w:rsid w:val="00AD5F70"/>
    <w:rsid w:val="00AD5F7F"/>
    <w:rsid w:val="00AD604F"/>
    <w:rsid w:val="00AD608F"/>
    <w:rsid w:val="00AD65D2"/>
    <w:rsid w:val="00AD6663"/>
    <w:rsid w:val="00AD6737"/>
    <w:rsid w:val="00AD67C2"/>
    <w:rsid w:val="00AD6B83"/>
    <w:rsid w:val="00AD6C59"/>
    <w:rsid w:val="00AD6D46"/>
    <w:rsid w:val="00AD6F9C"/>
    <w:rsid w:val="00AD6FF7"/>
    <w:rsid w:val="00AD7205"/>
    <w:rsid w:val="00AD7398"/>
    <w:rsid w:val="00AD73E1"/>
    <w:rsid w:val="00AD757C"/>
    <w:rsid w:val="00AD7610"/>
    <w:rsid w:val="00AD7679"/>
    <w:rsid w:val="00AD771C"/>
    <w:rsid w:val="00AD7740"/>
    <w:rsid w:val="00AD77E0"/>
    <w:rsid w:val="00AD783A"/>
    <w:rsid w:val="00AD7B42"/>
    <w:rsid w:val="00AD7BB7"/>
    <w:rsid w:val="00AD7CB8"/>
    <w:rsid w:val="00AD7EE3"/>
    <w:rsid w:val="00AD7FE9"/>
    <w:rsid w:val="00AE01CE"/>
    <w:rsid w:val="00AE0495"/>
    <w:rsid w:val="00AE06D3"/>
    <w:rsid w:val="00AE0729"/>
    <w:rsid w:val="00AE079E"/>
    <w:rsid w:val="00AE09E0"/>
    <w:rsid w:val="00AE0B40"/>
    <w:rsid w:val="00AE0C28"/>
    <w:rsid w:val="00AE0DF5"/>
    <w:rsid w:val="00AE0E48"/>
    <w:rsid w:val="00AE0F5A"/>
    <w:rsid w:val="00AE107D"/>
    <w:rsid w:val="00AE1145"/>
    <w:rsid w:val="00AE1298"/>
    <w:rsid w:val="00AE12A9"/>
    <w:rsid w:val="00AE14D2"/>
    <w:rsid w:val="00AE14DA"/>
    <w:rsid w:val="00AE1635"/>
    <w:rsid w:val="00AE19DE"/>
    <w:rsid w:val="00AE19FF"/>
    <w:rsid w:val="00AE1CA7"/>
    <w:rsid w:val="00AE1DB9"/>
    <w:rsid w:val="00AE1DC5"/>
    <w:rsid w:val="00AE1E30"/>
    <w:rsid w:val="00AE2283"/>
    <w:rsid w:val="00AE23A2"/>
    <w:rsid w:val="00AE2468"/>
    <w:rsid w:val="00AE250E"/>
    <w:rsid w:val="00AE2594"/>
    <w:rsid w:val="00AE2832"/>
    <w:rsid w:val="00AE2B9C"/>
    <w:rsid w:val="00AE2BB4"/>
    <w:rsid w:val="00AE2EA3"/>
    <w:rsid w:val="00AE2F19"/>
    <w:rsid w:val="00AE2F75"/>
    <w:rsid w:val="00AE32A8"/>
    <w:rsid w:val="00AE32AA"/>
    <w:rsid w:val="00AE32E4"/>
    <w:rsid w:val="00AE34C2"/>
    <w:rsid w:val="00AE363A"/>
    <w:rsid w:val="00AE3BD7"/>
    <w:rsid w:val="00AE3D05"/>
    <w:rsid w:val="00AE3D1D"/>
    <w:rsid w:val="00AE3D46"/>
    <w:rsid w:val="00AE3E16"/>
    <w:rsid w:val="00AE3E84"/>
    <w:rsid w:val="00AE4194"/>
    <w:rsid w:val="00AE4353"/>
    <w:rsid w:val="00AE44CF"/>
    <w:rsid w:val="00AE45BB"/>
    <w:rsid w:val="00AE45FD"/>
    <w:rsid w:val="00AE481B"/>
    <w:rsid w:val="00AE4CB8"/>
    <w:rsid w:val="00AE4CC4"/>
    <w:rsid w:val="00AE4CDC"/>
    <w:rsid w:val="00AE5040"/>
    <w:rsid w:val="00AE5109"/>
    <w:rsid w:val="00AE58A7"/>
    <w:rsid w:val="00AE5C6F"/>
    <w:rsid w:val="00AE5D0F"/>
    <w:rsid w:val="00AE5E67"/>
    <w:rsid w:val="00AE5F55"/>
    <w:rsid w:val="00AE60AF"/>
    <w:rsid w:val="00AE634F"/>
    <w:rsid w:val="00AE63ED"/>
    <w:rsid w:val="00AE6430"/>
    <w:rsid w:val="00AE6441"/>
    <w:rsid w:val="00AE6464"/>
    <w:rsid w:val="00AE65C2"/>
    <w:rsid w:val="00AE678E"/>
    <w:rsid w:val="00AE6888"/>
    <w:rsid w:val="00AE68ED"/>
    <w:rsid w:val="00AE6F7A"/>
    <w:rsid w:val="00AE73A5"/>
    <w:rsid w:val="00AE7523"/>
    <w:rsid w:val="00AE7789"/>
    <w:rsid w:val="00AE78C4"/>
    <w:rsid w:val="00AE792F"/>
    <w:rsid w:val="00AE7C8D"/>
    <w:rsid w:val="00AF00FA"/>
    <w:rsid w:val="00AF02EA"/>
    <w:rsid w:val="00AF02FC"/>
    <w:rsid w:val="00AF03EB"/>
    <w:rsid w:val="00AF0735"/>
    <w:rsid w:val="00AF0915"/>
    <w:rsid w:val="00AF0A42"/>
    <w:rsid w:val="00AF0C54"/>
    <w:rsid w:val="00AF0D12"/>
    <w:rsid w:val="00AF0D71"/>
    <w:rsid w:val="00AF0DA8"/>
    <w:rsid w:val="00AF1066"/>
    <w:rsid w:val="00AF11FC"/>
    <w:rsid w:val="00AF1526"/>
    <w:rsid w:val="00AF1535"/>
    <w:rsid w:val="00AF16B6"/>
    <w:rsid w:val="00AF1888"/>
    <w:rsid w:val="00AF20C6"/>
    <w:rsid w:val="00AF2139"/>
    <w:rsid w:val="00AF21EB"/>
    <w:rsid w:val="00AF2407"/>
    <w:rsid w:val="00AF26B9"/>
    <w:rsid w:val="00AF2796"/>
    <w:rsid w:val="00AF2A93"/>
    <w:rsid w:val="00AF2C23"/>
    <w:rsid w:val="00AF2C35"/>
    <w:rsid w:val="00AF2D40"/>
    <w:rsid w:val="00AF2D54"/>
    <w:rsid w:val="00AF2F05"/>
    <w:rsid w:val="00AF3321"/>
    <w:rsid w:val="00AF3AB5"/>
    <w:rsid w:val="00AF3F17"/>
    <w:rsid w:val="00AF413D"/>
    <w:rsid w:val="00AF41B5"/>
    <w:rsid w:val="00AF42A4"/>
    <w:rsid w:val="00AF430F"/>
    <w:rsid w:val="00AF4502"/>
    <w:rsid w:val="00AF4668"/>
    <w:rsid w:val="00AF499E"/>
    <w:rsid w:val="00AF4B62"/>
    <w:rsid w:val="00AF4B63"/>
    <w:rsid w:val="00AF4D56"/>
    <w:rsid w:val="00AF4E35"/>
    <w:rsid w:val="00AF4EEE"/>
    <w:rsid w:val="00AF5088"/>
    <w:rsid w:val="00AF519F"/>
    <w:rsid w:val="00AF52A4"/>
    <w:rsid w:val="00AF538E"/>
    <w:rsid w:val="00AF54EB"/>
    <w:rsid w:val="00AF553D"/>
    <w:rsid w:val="00AF55B7"/>
    <w:rsid w:val="00AF568D"/>
    <w:rsid w:val="00AF5A71"/>
    <w:rsid w:val="00AF5B1A"/>
    <w:rsid w:val="00AF5D2A"/>
    <w:rsid w:val="00AF5D5A"/>
    <w:rsid w:val="00AF5D6E"/>
    <w:rsid w:val="00AF5D92"/>
    <w:rsid w:val="00AF5ED8"/>
    <w:rsid w:val="00AF6053"/>
    <w:rsid w:val="00AF6553"/>
    <w:rsid w:val="00AF6AE8"/>
    <w:rsid w:val="00AF6B4F"/>
    <w:rsid w:val="00AF6B68"/>
    <w:rsid w:val="00AF6CCC"/>
    <w:rsid w:val="00AF70DF"/>
    <w:rsid w:val="00AF73BA"/>
    <w:rsid w:val="00AF74F3"/>
    <w:rsid w:val="00AF76B2"/>
    <w:rsid w:val="00AF76DE"/>
    <w:rsid w:val="00AF7A87"/>
    <w:rsid w:val="00AF7AAD"/>
    <w:rsid w:val="00AF7B1C"/>
    <w:rsid w:val="00AF7CE4"/>
    <w:rsid w:val="00AF7E84"/>
    <w:rsid w:val="00AF7F6E"/>
    <w:rsid w:val="00B000B2"/>
    <w:rsid w:val="00B0011A"/>
    <w:rsid w:val="00B0016F"/>
    <w:rsid w:val="00B001F2"/>
    <w:rsid w:val="00B001F5"/>
    <w:rsid w:val="00B002CC"/>
    <w:rsid w:val="00B00344"/>
    <w:rsid w:val="00B003C5"/>
    <w:rsid w:val="00B0044A"/>
    <w:rsid w:val="00B0049F"/>
    <w:rsid w:val="00B00508"/>
    <w:rsid w:val="00B00546"/>
    <w:rsid w:val="00B005FC"/>
    <w:rsid w:val="00B006F5"/>
    <w:rsid w:val="00B008F2"/>
    <w:rsid w:val="00B00935"/>
    <w:rsid w:val="00B00A18"/>
    <w:rsid w:val="00B00D9A"/>
    <w:rsid w:val="00B00DBA"/>
    <w:rsid w:val="00B00E3D"/>
    <w:rsid w:val="00B00E91"/>
    <w:rsid w:val="00B00F3C"/>
    <w:rsid w:val="00B011B5"/>
    <w:rsid w:val="00B01891"/>
    <w:rsid w:val="00B01B73"/>
    <w:rsid w:val="00B01BE7"/>
    <w:rsid w:val="00B01FB9"/>
    <w:rsid w:val="00B022BC"/>
    <w:rsid w:val="00B02398"/>
    <w:rsid w:val="00B023E3"/>
    <w:rsid w:val="00B02557"/>
    <w:rsid w:val="00B02740"/>
    <w:rsid w:val="00B027CC"/>
    <w:rsid w:val="00B0287D"/>
    <w:rsid w:val="00B029A7"/>
    <w:rsid w:val="00B029FC"/>
    <w:rsid w:val="00B02CC0"/>
    <w:rsid w:val="00B02F90"/>
    <w:rsid w:val="00B0320E"/>
    <w:rsid w:val="00B03244"/>
    <w:rsid w:val="00B032C8"/>
    <w:rsid w:val="00B033E8"/>
    <w:rsid w:val="00B0373C"/>
    <w:rsid w:val="00B03792"/>
    <w:rsid w:val="00B03843"/>
    <w:rsid w:val="00B0384B"/>
    <w:rsid w:val="00B03882"/>
    <w:rsid w:val="00B03A09"/>
    <w:rsid w:val="00B03A5D"/>
    <w:rsid w:val="00B03B22"/>
    <w:rsid w:val="00B03DBB"/>
    <w:rsid w:val="00B03F3E"/>
    <w:rsid w:val="00B041FF"/>
    <w:rsid w:val="00B0427C"/>
    <w:rsid w:val="00B042CA"/>
    <w:rsid w:val="00B0433C"/>
    <w:rsid w:val="00B04351"/>
    <w:rsid w:val="00B04390"/>
    <w:rsid w:val="00B0488E"/>
    <w:rsid w:val="00B04A32"/>
    <w:rsid w:val="00B04B22"/>
    <w:rsid w:val="00B04C1E"/>
    <w:rsid w:val="00B04E4F"/>
    <w:rsid w:val="00B04E8F"/>
    <w:rsid w:val="00B052CE"/>
    <w:rsid w:val="00B0551A"/>
    <w:rsid w:val="00B0564B"/>
    <w:rsid w:val="00B05746"/>
    <w:rsid w:val="00B0598D"/>
    <w:rsid w:val="00B0598F"/>
    <w:rsid w:val="00B059F0"/>
    <w:rsid w:val="00B05B73"/>
    <w:rsid w:val="00B05F71"/>
    <w:rsid w:val="00B0624E"/>
    <w:rsid w:val="00B063A8"/>
    <w:rsid w:val="00B065D6"/>
    <w:rsid w:val="00B0678F"/>
    <w:rsid w:val="00B0688F"/>
    <w:rsid w:val="00B06A44"/>
    <w:rsid w:val="00B06A67"/>
    <w:rsid w:val="00B06BC7"/>
    <w:rsid w:val="00B070B6"/>
    <w:rsid w:val="00B072A8"/>
    <w:rsid w:val="00B072DB"/>
    <w:rsid w:val="00B0738E"/>
    <w:rsid w:val="00B073A3"/>
    <w:rsid w:val="00B073AF"/>
    <w:rsid w:val="00B07534"/>
    <w:rsid w:val="00B076D1"/>
    <w:rsid w:val="00B078DB"/>
    <w:rsid w:val="00B079D8"/>
    <w:rsid w:val="00B07CD6"/>
    <w:rsid w:val="00B07E79"/>
    <w:rsid w:val="00B07FAE"/>
    <w:rsid w:val="00B10194"/>
    <w:rsid w:val="00B104EF"/>
    <w:rsid w:val="00B10584"/>
    <w:rsid w:val="00B105F9"/>
    <w:rsid w:val="00B10839"/>
    <w:rsid w:val="00B10AB1"/>
    <w:rsid w:val="00B10AEC"/>
    <w:rsid w:val="00B10DC3"/>
    <w:rsid w:val="00B11004"/>
    <w:rsid w:val="00B1102B"/>
    <w:rsid w:val="00B110C3"/>
    <w:rsid w:val="00B110EF"/>
    <w:rsid w:val="00B1116E"/>
    <w:rsid w:val="00B1145B"/>
    <w:rsid w:val="00B1157F"/>
    <w:rsid w:val="00B115A5"/>
    <w:rsid w:val="00B11685"/>
    <w:rsid w:val="00B117A5"/>
    <w:rsid w:val="00B11818"/>
    <w:rsid w:val="00B118B3"/>
    <w:rsid w:val="00B11C25"/>
    <w:rsid w:val="00B11D9A"/>
    <w:rsid w:val="00B11E88"/>
    <w:rsid w:val="00B12570"/>
    <w:rsid w:val="00B1287F"/>
    <w:rsid w:val="00B12887"/>
    <w:rsid w:val="00B128C1"/>
    <w:rsid w:val="00B128DB"/>
    <w:rsid w:val="00B1296D"/>
    <w:rsid w:val="00B129D8"/>
    <w:rsid w:val="00B12A91"/>
    <w:rsid w:val="00B12BF1"/>
    <w:rsid w:val="00B12E6B"/>
    <w:rsid w:val="00B12ED1"/>
    <w:rsid w:val="00B12F2E"/>
    <w:rsid w:val="00B1309A"/>
    <w:rsid w:val="00B132D9"/>
    <w:rsid w:val="00B13372"/>
    <w:rsid w:val="00B1350F"/>
    <w:rsid w:val="00B13677"/>
    <w:rsid w:val="00B136E8"/>
    <w:rsid w:val="00B13A00"/>
    <w:rsid w:val="00B13B95"/>
    <w:rsid w:val="00B13B99"/>
    <w:rsid w:val="00B13E5C"/>
    <w:rsid w:val="00B13FFF"/>
    <w:rsid w:val="00B1428A"/>
    <w:rsid w:val="00B1457A"/>
    <w:rsid w:val="00B14913"/>
    <w:rsid w:val="00B14AC8"/>
    <w:rsid w:val="00B14C49"/>
    <w:rsid w:val="00B15181"/>
    <w:rsid w:val="00B15249"/>
    <w:rsid w:val="00B153B0"/>
    <w:rsid w:val="00B15906"/>
    <w:rsid w:val="00B159A1"/>
    <w:rsid w:val="00B159BC"/>
    <w:rsid w:val="00B15CEE"/>
    <w:rsid w:val="00B15CF0"/>
    <w:rsid w:val="00B15D5C"/>
    <w:rsid w:val="00B15DAD"/>
    <w:rsid w:val="00B160CF"/>
    <w:rsid w:val="00B160D1"/>
    <w:rsid w:val="00B16395"/>
    <w:rsid w:val="00B1690C"/>
    <w:rsid w:val="00B16A4F"/>
    <w:rsid w:val="00B16AED"/>
    <w:rsid w:val="00B16D34"/>
    <w:rsid w:val="00B171D3"/>
    <w:rsid w:val="00B172D1"/>
    <w:rsid w:val="00B17449"/>
    <w:rsid w:val="00B17473"/>
    <w:rsid w:val="00B17502"/>
    <w:rsid w:val="00B17592"/>
    <w:rsid w:val="00B1765F"/>
    <w:rsid w:val="00B176EA"/>
    <w:rsid w:val="00B1772C"/>
    <w:rsid w:val="00B17944"/>
    <w:rsid w:val="00B17A33"/>
    <w:rsid w:val="00B17A8B"/>
    <w:rsid w:val="00B17B19"/>
    <w:rsid w:val="00B17B32"/>
    <w:rsid w:val="00B17B56"/>
    <w:rsid w:val="00B17D2D"/>
    <w:rsid w:val="00B17D67"/>
    <w:rsid w:val="00B17D75"/>
    <w:rsid w:val="00B17E26"/>
    <w:rsid w:val="00B20045"/>
    <w:rsid w:val="00B201E8"/>
    <w:rsid w:val="00B206CD"/>
    <w:rsid w:val="00B20784"/>
    <w:rsid w:val="00B2084B"/>
    <w:rsid w:val="00B20854"/>
    <w:rsid w:val="00B209E4"/>
    <w:rsid w:val="00B20B24"/>
    <w:rsid w:val="00B20DA9"/>
    <w:rsid w:val="00B21088"/>
    <w:rsid w:val="00B211C4"/>
    <w:rsid w:val="00B213CF"/>
    <w:rsid w:val="00B214A8"/>
    <w:rsid w:val="00B2177B"/>
    <w:rsid w:val="00B21892"/>
    <w:rsid w:val="00B21917"/>
    <w:rsid w:val="00B21B4F"/>
    <w:rsid w:val="00B21B59"/>
    <w:rsid w:val="00B21B89"/>
    <w:rsid w:val="00B220BF"/>
    <w:rsid w:val="00B227A0"/>
    <w:rsid w:val="00B228A8"/>
    <w:rsid w:val="00B22B35"/>
    <w:rsid w:val="00B22CAD"/>
    <w:rsid w:val="00B22E9A"/>
    <w:rsid w:val="00B22F8C"/>
    <w:rsid w:val="00B22FD2"/>
    <w:rsid w:val="00B231E1"/>
    <w:rsid w:val="00B234AE"/>
    <w:rsid w:val="00B235C2"/>
    <w:rsid w:val="00B2367F"/>
    <w:rsid w:val="00B23782"/>
    <w:rsid w:val="00B2381C"/>
    <w:rsid w:val="00B2382E"/>
    <w:rsid w:val="00B239CA"/>
    <w:rsid w:val="00B23B10"/>
    <w:rsid w:val="00B23B97"/>
    <w:rsid w:val="00B23C1F"/>
    <w:rsid w:val="00B23C26"/>
    <w:rsid w:val="00B23DD0"/>
    <w:rsid w:val="00B23FC7"/>
    <w:rsid w:val="00B24036"/>
    <w:rsid w:val="00B2415A"/>
    <w:rsid w:val="00B241E2"/>
    <w:rsid w:val="00B242DB"/>
    <w:rsid w:val="00B24340"/>
    <w:rsid w:val="00B24447"/>
    <w:rsid w:val="00B245C9"/>
    <w:rsid w:val="00B2473B"/>
    <w:rsid w:val="00B24770"/>
    <w:rsid w:val="00B24843"/>
    <w:rsid w:val="00B24854"/>
    <w:rsid w:val="00B24994"/>
    <w:rsid w:val="00B24A36"/>
    <w:rsid w:val="00B24A42"/>
    <w:rsid w:val="00B24B8C"/>
    <w:rsid w:val="00B24F89"/>
    <w:rsid w:val="00B2503F"/>
    <w:rsid w:val="00B25282"/>
    <w:rsid w:val="00B2540C"/>
    <w:rsid w:val="00B254FB"/>
    <w:rsid w:val="00B2563C"/>
    <w:rsid w:val="00B2579A"/>
    <w:rsid w:val="00B257A7"/>
    <w:rsid w:val="00B25AAC"/>
    <w:rsid w:val="00B25AFA"/>
    <w:rsid w:val="00B25C6A"/>
    <w:rsid w:val="00B25C78"/>
    <w:rsid w:val="00B25D6D"/>
    <w:rsid w:val="00B25EB0"/>
    <w:rsid w:val="00B25F6F"/>
    <w:rsid w:val="00B26278"/>
    <w:rsid w:val="00B2630C"/>
    <w:rsid w:val="00B263F0"/>
    <w:rsid w:val="00B26ADC"/>
    <w:rsid w:val="00B26E38"/>
    <w:rsid w:val="00B26EF3"/>
    <w:rsid w:val="00B26F01"/>
    <w:rsid w:val="00B271C1"/>
    <w:rsid w:val="00B27402"/>
    <w:rsid w:val="00B275FF"/>
    <w:rsid w:val="00B2775F"/>
    <w:rsid w:val="00B278B2"/>
    <w:rsid w:val="00B27BA1"/>
    <w:rsid w:val="00B27BA9"/>
    <w:rsid w:val="00B27DD8"/>
    <w:rsid w:val="00B30333"/>
    <w:rsid w:val="00B30802"/>
    <w:rsid w:val="00B3088F"/>
    <w:rsid w:val="00B30C0B"/>
    <w:rsid w:val="00B30C6D"/>
    <w:rsid w:val="00B30F98"/>
    <w:rsid w:val="00B31081"/>
    <w:rsid w:val="00B310E6"/>
    <w:rsid w:val="00B31962"/>
    <w:rsid w:val="00B319DA"/>
    <w:rsid w:val="00B31AB1"/>
    <w:rsid w:val="00B31DC9"/>
    <w:rsid w:val="00B31EFD"/>
    <w:rsid w:val="00B32258"/>
    <w:rsid w:val="00B3237D"/>
    <w:rsid w:val="00B32A20"/>
    <w:rsid w:val="00B32A3D"/>
    <w:rsid w:val="00B32BC9"/>
    <w:rsid w:val="00B32CB6"/>
    <w:rsid w:val="00B32CE3"/>
    <w:rsid w:val="00B32D0D"/>
    <w:rsid w:val="00B32DC8"/>
    <w:rsid w:val="00B331E0"/>
    <w:rsid w:val="00B334B2"/>
    <w:rsid w:val="00B33BC3"/>
    <w:rsid w:val="00B33CBC"/>
    <w:rsid w:val="00B33D84"/>
    <w:rsid w:val="00B33DF9"/>
    <w:rsid w:val="00B33F16"/>
    <w:rsid w:val="00B33F2F"/>
    <w:rsid w:val="00B344D8"/>
    <w:rsid w:val="00B3468D"/>
    <w:rsid w:val="00B3483C"/>
    <w:rsid w:val="00B34BC9"/>
    <w:rsid w:val="00B34EDC"/>
    <w:rsid w:val="00B3524A"/>
    <w:rsid w:val="00B35356"/>
    <w:rsid w:val="00B3541A"/>
    <w:rsid w:val="00B35448"/>
    <w:rsid w:val="00B35506"/>
    <w:rsid w:val="00B35A55"/>
    <w:rsid w:val="00B35AC8"/>
    <w:rsid w:val="00B35AD4"/>
    <w:rsid w:val="00B35B69"/>
    <w:rsid w:val="00B35B7A"/>
    <w:rsid w:val="00B35EA4"/>
    <w:rsid w:val="00B361B5"/>
    <w:rsid w:val="00B361DF"/>
    <w:rsid w:val="00B3635F"/>
    <w:rsid w:val="00B366AA"/>
    <w:rsid w:val="00B367C5"/>
    <w:rsid w:val="00B36A68"/>
    <w:rsid w:val="00B36B3C"/>
    <w:rsid w:val="00B36C09"/>
    <w:rsid w:val="00B36CE4"/>
    <w:rsid w:val="00B3702E"/>
    <w:rsid w:val="00B37081"/>
    <w:rsid w:val="00B372E8"/>
    <w:rsid w:val="00B37424"/>
    <w:rsid w:val="00B37522"/>
    <w:rsid w:val="00B375E2"/>
    <w:rsid w:val="00B376CD"/>
    <w:rsid w:val="00B37788"/>
    <w:rsid w:val="00B377B0"/>
    <w:rsid w:val="00B37A87"/>
    <w:rsid w:val="00B37B58"/>
    <w:rsid w:val="00B37BF7"/>
    <w:rsid w:val="00B37DD8"/>
    <w:rsid w:val="00B400BB"/>
    <w:rsid w:val="00B402E1"/>
    <w:rsid w:val="00B403C8"/>
    <w:rsid w:val="00B404B9"/>
    <w:rsid w:val="00B4056D"/>
    <w:rsid w:val="00B406FA"/>
    <w:rsid w:val="00B40C71"/>
    <w:rsid w:val="00B40C77"/>
    <w:rsid w:val="00B40F51"/>
    <w:rsid w:val="00B40F52"/>
    <w:rsid w:val="00B4104D"/>
    <w:rsid w:val="00B41106"/>
    <w:rsid w:val="00B4136A"/>
    <w:rsid w:val="00B4136E"/>
    <w:rsid w:val="00B41503"/>
    <w:rsid w:val="00B41960"/>
    <w:rsid w:val="00B41968"/>
    <w:rsid w:val="00B419BD"/>
    <w:rsid w:val="00B41A59"/>
    <w:rsid w:val="00B41BDE"/>
    <w:rsid w:val="00B41C0D"/>
    <w:rsid w:val="00B41D94"/>
    <w:rsid w:val="00B41EBA"/>
    <w:rsid w:val="00B41FBB"/>
    <w:rsid w:val="00B41FE3"/>
    <w:rsid w:val="00B4208F"/>
    <w:rsid w:val="00B42479"/>
    <w:rsid w:val="00B424ED"/>
    <w:rsid w:val="00B42503"/>
    <w:rsid w:val="00B4274F"/>
    <w:rsid w:val="00B427D5"/>
    <w:rsid w:val="00B42996"/>
    <w:rsid w:val="00B42BAD"/>
    <w:rsid w:val="00B42C3B"/>
    <w:rsid w:val="00B42FD7"/>
    <w:rsid w:val="00B4314E"/>
    <w:rsid w:val="00B43217"/>
    <w:rsid w:val="00B4343F"/>
    <w:rsid w:val="00B4357E"/>
    <w:rsid w:val="00B436F4"/>
    <w:rsid w:val="00B437EA"/>
    <w:rsid w:val="00B43C99"/>
    <w:rsid w:val="00B43CDE"/>
    <w:rsid w:val="00B43D18"/>
    <w:rsid w:val="00B43F75"/>
    <w:rsid w:val="00B44509"/>
    <w:rsid w:val="00B445CA"/>
    <w:rsid w:val="00B4465B"/>
    <w:rsid w:val="00B44AFB"/>
    <w:rsid w:val="00B44B9E"/>
    <w:rsid w:val="00B44BA4"/>
    <w:rsid w:val="00B44BFB"/>
    <w:rsid w:val="00B44D74"/>
    <w:rsid w:val="00B4508C"/>
    <w:rsid w:val="00B45129"/>
    <w:rsid w:val="00B4524D"/>
    <w:rsid w:val="00B452EA"/>
    <w:rsid w:val="00B4535A"/>
    <w:rsid w:val="00B453AE"/>
    <w:rsid w:val="00B454D1"/>
    <w:rsid w:val="00B454D2"/>
    <w:rsid w:val="00B4572A"/>
    <w:rsid w:val="00B45B2D"/>
    <w:rsid w:val="00B45B68"/>
    <w:rsid w:val="00B45B95"/>
    <w:rsid w:val="00B45BF3"/>
    <w:rsid w:val="00B45DEA"/>
    <w:rsid w:val="00B45E34"/>
    <w:rsid w:val="00B45EDD"/>
    <w:rsid w:val="00B45EEA"/>
    <w:rsid w:val="00B45F09"/>
    <w:rsid w:val="00B46010"/>
    <w:rsid w:val="00B4645D"/>
    <w:rsid w:val="00B4662F"/>
    <w:rsid w:val="00B46679"/>
    <w:rsid w:val="00B4676E"/>
    <w:rsid w:val="00B467DD"/>
    <w:rsid w:val="00B467E9"/>
    <w:rsid w:val="00B46A03"/>
    <w:rsid w:val="00B46CBA"/>
    <w:rsid w:val="00B46DF4"/>
    <w:rsid w:val="00B46F42"/>
    <w:rsid w:val="00B46FCB"/>
    <w:rsid w:val="00B4720A"/>
    <w:rsid w:val="00B47468"/>
    <w:rsid w:val="00B474F3"/>
    <w:rsid w:val="00B4759D"/>
    <w:rsid w:val="00B4790C"/>
    <w:rsid w:val="00B47A6C"/>
    <w:rsid w:val="00B47BE3"/>
    <w:rsid w:val="00B50108"/>
    <w:rsid w:val="00B5045F"/>
    <w:rsid w:val="00B506CF"/>
    <w:rsid w:val="00B50A34"/>
    <w:rsid w:val="00B50AAD"/>
    <w:rsid w:val="00B50AFD"/>
    <w:rsid w:val="00B50D58"/>
    <w:rsid w:val="00B50E3C"/>
    <w:rsid w:val="00B50F72"/>
    <w:rsid w:val="00B51004"/>
    <w:rsid w:val="00B51086"/>
    <w:rsid w:val="00B51179"/>
    <w:rsid w:val="00B5123A"/>
    <w:rsid w:val="00B512BC"/>
    <w:rsid w:val="00B51348"/>
    <w:rsid w:val="00B514D7"/>
    <w:rsid w:val="00B517BB"/>
    <w:rsid w:val="00B51A67"/>
    <w:rsid w:val="00B51B60"/>
    <w:rsid w:val="00B51BD8"/>
    <w:rsid w:val="00B51BE4"/>
    <w:rsid w:val="00B51C17"/>
    <w:rsid w:val="00B51EEA"/>
    <w:rsid w:val="00B522FA"/>
    <w:rsid w:val="00B524B9"/>
    <w:rsid w:val="00B5278E"/>
    <w:rsid w:val="00B527F3"/>
    <w:rsid w:val="00B529FC"/>
    <w:rsid w:val="00B52A56"/>
    <w:rsid w:val="00B52AF7"/>
    <w:rsid w:val="00B52B15"/>
    <w:rsid w:val="00B52C6E"/>
    <w:rsid w:val="00B52F58"/>
    <w:rsid w:val="00B53050"/>
    <w:rsid w:val="00B5326C"/>
    <w:rsid w:val="00B53312"/>
    <w:rsid w:val="00B53326"/>
    <w:rsid w:val="00B53629"/>
    <w:rsid w:val="00B5376A"/>
    <w:rsid w:val="00B5377E"/>
    <w:rsid w:val="00B537D0"/>
    <w:rsid w:val="00B53952"/>
    <w:rsid w:val="00B539BF"/>
    <w:rsid w:val="00B539F9"/>
    <w:rsid w:val="00B53C87"/>
    <w:rsid w:val="00B53DD1"/>
    <w:rsid w:val="00B53E12"/>
    <w:rsid w:val="00B53FD7"/>
    <w:rsid w:val="00B54011"/>
    <w:rsid w:val="00B5431C"/>
    <w:rsid w:val="00B543A7"/>
    <w:rsid w:val="00B544A5"/>
    <w:rsid w:val="00B54534"/>
    <w:rsid w:val="00B5460C"/>
    <w:rsid w:val="00B54617"/>
    <w:rsid w:val="00B5468E"/>
    <w:rsid w:val="00B5476B"/>
    <w:rsid w:val="00B54895"/>
    <w:rsid w:val="00B5493C"/>
    <w:rsid w:val="00B5493D"/>
    <w:rsid w:val="00B54A5A"/>
    <w:rsid w:val="00B54B7D"/>
    <w:rsid w:val="00B54C47"/>
    <w:rsid w:val="00B54E48"/>
    <w:rsid w:val="00B54EF7"/>
    <w:rsid w:val="00B55053"/>
    <w:rsid w:val="00B550D8"/>
    <w:rsid w:val="00B552D6"/>
    <w:rsid w:val="00B5540A"/>
    <w:rsid w:val="00B55490"/>
    <w:rsid w:val="00B555B2"/>
    <w:rsid w:val="00B5574D"/>
    <w:rsid w:val="00B55A8A"/>
    <w:rsid w:val="00B55D32"/>
    <w:rsid w:val="00B55FAE"/>
    <w:rsid w:val="00B56103"/>
    <w:rsid w:val="00B562C9"/>
    <w:rsid w:val="00B562F2"/>
    <w:rsid w:val="00B56325"/>
    <w:rsid w:val="00B56356"/>
    <w:rsid w:val="00B564F8"/>
    <w:rsid w:val="00B565A6"/>
    <w:rsid w:val="00B5672B"/>
    <w:rsid w:val="00B5696F"/>
    <w:rsid w:val="00B56AD3"/>
    <w:rsid w:val="00B56B02"/>
    <w:rsid w:val="00B56D18"/>
    <w:rsid w:val="00B56D93"/>
    <w:rsid w:val="00B56E52"/>
    <w:rsid w:val="00B56FF9"/>
    <w:rsid w:val="00B57046"/>
    <w:rsid w:val="00B57278"/>
    <w:rsid w:val="00B572AC"/>
    <w:rsid w:val="00B578F3"/>
    <w:rsid w:val="00B57CD5"/>
    <w:rsid w:val="00B60189"/>
    <w:rsid w:val="00B6030A"/>
    <w:rsid w:val="00B603F7"/>
    <w:rsid w:val="00B60418"/>
    <w:rsid w:val="00B60504"/>
    <w:rsid w:val="00B607AC"/>
    <w:rsid w:val="00B60863"/>
    <w:rsid w:val="00B60880"/>
    <w:rsid w:val="00B608E1"/>
    <w:rsid w:val="00B608F3"/>
    <w:rsid w:val="00B6093E"/>
    <w:rsid w:val="00B60946"/>
    <w:rsid w:val="00B60ED3"/>
    <w:rsid w:val="00B60FB0"/>
    <w:rsid w:val="00B60FB8"/>
    <w:rsid w:val="00B60FDA"/>
    <w:rsid w:val="00B61098"/>
    <w:rsid w:val="00B61590"/>
    <w:rsid w:val="00B61BFD"/>
    <w:rsid w:val="00B61C9A"/>
    <w:rsid w:val="00B61D3A"/>
    <w:rsid w:val="00B62144"/>
    <w:rsid w:val="00B62174"/>
    <w:rsid w:val="00B62362"/>
    <w:rsid w:val="00B62393"/>
    <w:rsid w:val="00B626EB"/>
    <w:rsid w:val="00B627E0"/>
    <w:rsid w:val="00B62929"/>
    <w:rsid w:val="00B62A95"/>
    <w:rsid w:val="00B62CDB"/>
    <w:rsid w:val="00B62CFE"/>
    <w:rsid w:val="00B62EB0"/>
    <w:rsid w:val="00B63053"/>
    <w:rsid w:val="00B6329C"/>
    <w:rsid w:val="00B63314"/>
    <w:rsid w:val="00B633B7"/>
    <w:rsid w:val="00B63711"/>
    <w:rsid w:val="00B6378C"/>
    <w:rsid w:val="00B639C1"/>
    <w:rsid w:val="00B63B4C"/>
    <w:rsid w:val="00B63ED1"/>
    <w:rsid w:val="00B641B6"/>
    <w:rsid w:val="00B643A5"/>
    <w:rsid w:val="00B648F6"/>
    <w:rsid w:val="00B64966"/>
    <w:rsid w:val="00B64ACB"/>
    <w:rsid w:val="00B64B97"/>
    <w:rsid w:val="00B64C4C"/>
    <w:rsid w:val="00B64CCE"/>
    <w:rsid w:val="00B650B6"/>
    <w:rsid w:val="00B6512E"/>
    <w:rsid w:val="00B653B8"/>
    <w:rsid w:val="00B6540A"/>
    <w:rsid w:val="00B65437"/>
    <w:rsid w:val="00B654E1"/>
    <w:rsid w:val="00B6555E"/>
    <w:rsid w:val="00B65563"/>
    <w:rsid w:val="00B6557F"/>
    <w:rsid w:val="00B656DD"/>
    <w:rsid w:val="00B65A1F"/>
    <w:rsid w:val="00B65A92"/>
    <w:rsid w:val="00B65C3D"/>
    <w:rsid w:val="00B65C7A"/>
    <w:rsid w:val="00B65D27"/>
    <w:rsid w:val="00B65E8B"/>
    <w:rsid w:val="00B66000"/>
    <w:rsid w:val="00B6609A"/>
    <w:rsid w:val="00B661D4"/>
    <w:rsid w:val="00B661F5"/>
    <w:rsid w:val="00B6623F"/>
    <w:rsid w:val="00B662F8"/>
    <w:rsid w:val="00B663B9"/>
    <w:rsid w:val="00B66583"/>
    <w:rsid w:val="00B6668F"/>
    <w:rsid w:val="00B669D4"/>
    <w:rsid w:val="00B66D5E"/>
    <w:rsid w:val="00B66E1E"/>
    <w:rsid w:val="00B66FC6"/>
    <w:rsid w:val="00B672A5"/>
    <w:rsid w:val="00B6757C"/>
    <w:rsid w:val="00B676C3"/>
    <w:rsid w:val="00B6775F"/>
    <w:rsid w:val="00B677D5"/>
    <w:rsid w:val="00B67876"/>
    <w:rsid w:val="00B67A7D"/>
    <w:rsid w:val="00B67BC8"/>
    <w:rsid w:val="00B67EB8"/>
    <w:rsid w:val="00B70507"/>
    <w:rsid w:val="00B706A3"/>
    <w:rsid w:val="00B706B4"/>
    <w:rsid w:val="00B706BC"/>
    <w:rsid w:val="00B706FA"/>
    <w:rsid w:val="00B70C9D"/>
    <w:rsid w:val="00B70FB3"/>
    <w:rsid w:val="00B713D1"/>
    <w:rsid w:val="00B71765"/>
    <w:rsid w:val="00B71773"/>
    <w:rsid w:val="00B71875"/>
    <w:rsid w:val="00B71C01"/>
    <w:rsid w:val="00B71EC6"/>
    <w:rsid w:val="00B722FE"/>
    <w:rsid w:val="00B724F5"/>
    <w:rsid w:val="00B7265F"/>
    <w:rsid w:val="00B7270E"/>
    <w:rsid w:val="00B727DC"/>
    <w:rsid w:val="00B728C5"/>
    <w:rsid w:val="00B72901"/>
    <w:rsid w:val="00B72B9D"/>
    <w:rsid w:val="00B72F6C"/>
    <w:rsid w:val="00B72FD2"/>
    <w:rsid w:val="00B733DA"/>
    <w:rsid w:val="00B734BB"/>
    <w:rsid w:val="00B73731"/>
    <w:rsid w:val="00B7391D"/>
    <w:rsid w:val="00B73A35"/>
    <w:rsid w:val="00B73ABF"/>
    <w:rsid w:val="00B73B99"/>
    <w:rsid w:val="00B73E1B"/>
    <w:rsid w:val="00B73E6E"/>
    <w:rsid w:val="00B73F05"/>
    <w:rsid w:val="00B73F35"/>
    <w:rsid w:val="00B7403F"/>
    <w:rsid w:val="00B740FF"/>
    <w:rsid w:val="00B74447"/>
    <w:rsid w:val="00B748E4"/>
    <w:rsid w:val="00B74A26"/>
    <w:rsid w:val="00B74A4F"/>
    <w:rsid w:val="00B74C32"/>
    <w:rsid w:val="00B74D1F"/>
    <w:rsid w:val="00B74DC4"/>
    <w:rsid w:val="00B74EB7"/>
    <w:rsid w:val="00B75127"/>
    <w:rsid w:val="00B7513E"/>
    <w:rsid w:val="00B751BA"/>
    <w:rsid w:val="00B751F0"/>
    <w:rsid w:val="00B7548E"/>
    <w:rsid w:val="00B754C6"/>
    <w:rsid w:val="00B754D0"/>
    <w:rsid w:val="00B75842"/>
    <w:rsid w:val="00B75987"/>
    <w:rsid w:val="00B75A75"/>
    <w:rsid w:val="00B75D58"/>
    <w:rsid w:val="00B75F36"/>
    <w:rsid w:val="00B75FE9"/>
    <w:rsid w:val="00B76059"/>
    <w:rsid w:val="00B76318"/>
    <w:rsid w:val="00B76387"/>
    <w:rsid w:val="00B76596"/>
    <w:rsid w:val="00B76599"/>
    <w:rsid w:val="00B766CA"/>
    <w:rsid w:val="00B76729"/>
    <w:rsid w:val="00B7681F"/>
    <w:rsid w:val="00B76A94"/>
    <w:rsid w:val="00B76D5B"/>
    <w:rsid w:val="00B76D5D"/>
    <w:rsid w:val="00B76E0D"/>
    <w:rsid w:val="00B76E76"/>
    <w:rsid w:val="00B76E97"/>
    <w:rsid w:val="00B76F0F"/>
    <w:rsid w:val="00B76FDA"/>
    <w:rsid w:val="00B77040"/>
    <w:rsid w:val="00B77110"/>
    <w:rsid w:val="00B77157"/>
    <w:rsid w:val="00B7715C"/>
    <w:rsid w:val="00B7715E"/>
    <w:rsid w:val="00B772F6"/>
    <w:rsid w:val="00B773E6"/>
    <w:rsid w:val="00B774BB"/>
    <w:rsid w:val="00B7763C"/>
    <w:rsid w:val="00B77A08"/>
    <w:rsid w:val="00B77A34"/>
    <w:rsid w:val="00B77C3A"/>
    <w:rsid w:val="00B77CCE"/>
    <w:rsid w:val="00B77E26"/>
    <w:rsid w:val="00B8035B"/>
    <w:rsid w:val="00B80501"/>
    <w:rsid w:val="00B8053A"/>
    <w:rsid w:val="00B80580"/>
    <w:rsid w:val="00B80AE1"/>
    <w:rsid w:val="00B80AFD"/>
    <w:rsid w:val="00B80B7F"/>
    <w:rsid w:val="00B80C00"/>
    <w:rsid w:val="00B80DFD"/>
    <w:rsid w:val="00B80E14"/>
    <w:rsid w:val="00B80E4A"/>
    <w:rsid w:val="00B80F1C"/>
    <w:rsid w:val="00B80FFA"/>
    <w:rsid w:val="00B81007"/>
    <w:rsid w:val="00B81016"/>
    <w:rsid w:val="00B81132"/>
    <w:rsid w:val="00B811AA"/>
    <w:rsid w:val="00B81208"/>
    <w:rsid w:val="00B81236"/>
    <w:rsid w:val="00B8130C"/>
    <w:rsid w:val="00B8166B"/>
    <w:rsid w:val="00B816ED"/>
    <w:rsid w:val="00B817FE"/>
    <w:rsid w:val="00B81E84"/>
    <w:rsid w:val="00B825C6"/>
    <w:rsid w:val="00B82642"/>
    <w:rsid w:val="00B828DC"/>
    <w:rsid w:val="00B829AB"/>
    <w:rsid w:val="00B82AB4"/>
    <w:rsid w:val="00B82D22"/>
    <w:rsid w:val="00B82F58"/>
    <w:rsid w:val="00B82F9E"/>
    <w:rsid w:val="00B83136"/>
    <w:rsid w:val="00B83409"/>
    <w:rsid w:val="00B83490"/>
    <w:rsid w:val="00B83530"/>
    <w:rsid w:val="00B8370D"/>
    <w:rsid w:val="00B8389D"/>
    <w:rsid w:val="00B83B1D"/>
    <w:rsid w:val="00B83D2C"/>
    <w:rsid w:val="00B83DCA"/>
    <w:rsid w:val="00B83DE4"/>
    <w:rsid w:val="00B83FCD"/>
    <w:rsid w:val="00B84270"/>
    <w:rsid w:val="00B844A5"/>
    <w:rsid w:val="00B84646"/>
    <w:rsid w:val="00B846F1"/>
    <w:rsid w:val="00B84987"/>
    <w:rsid w:val="00B84A53"/>
    <w:rsid w:val="00B84E8D"/>
    <w:rsid w:val="00B84EC7"/>
    <w:rsid w:val="00B84F46"/>
    <w:rsid w:val="00B85316"/>
    <w:rsid w:val="00B85404"/>
    <w:rsid w:val="00B855B2"/>
    <w:rsid w:val="00B8573E"/>
    <w:rsid w:val="00B857C9"/>
    <w:rsid w:val="00B857DB"/>
    <w:rsid w:val="00B85845"/>
    <w:rsid w:val="00B8598C"/>
    <w:rsid w:val="00B859AA"/>
    <w:rsid w:val="00B85A60"/>
    <w:rsid w:val="00B85A89"/>
    <w:rsid w:val="00B85C59"/>
    <w:rsid w:val="00B85C6A"/>
    <w:rsid w:val="00B85EFE"/>
    <w:rsid w:val="00B85FD8"/>
    <w:rsid w:val="00B8600F"/>
    <w:rsid w:val="00B860FB"/>
    <w:rsid w:val="00B86114"/>
    <w:rsid w:val="00B8612E"/>
    <w:rsid w:val="00B86220"/>
    <w:rsid w:val="00B86221"/>
    <w:rsid w:val="00B86263"/>
    <w:rsid w:val="00B86360"/>
    <w:rsid w:val="00B86497"/>
    <w:rsid w:val="00B86548"/>
    <w:rsid w:val="00B867CE"/>
    <w:rsid w:val="00B86996"/>
    <w:rsid w:val="00B86AE2"/>
    <w:rsid w:val="00B86E85"/>
    <w:rsid w:val="00B86F9E"/>
    <w:rsid w:val="00B86FDF"/>
    <w:rsid w:val="00B874AC"/>
    <w:rsid w:val="00B8771A"/>
    <w:rsid w:val="00B877DC"/>
    <w:rsid w:val="00B878D9"/>
    <w:rsid w:val="00B8792C"/>
    <w:rsid w:val="00B87999"/>
    <w:rsid w:val="00B87A37"/>
    <w:rsid w:val="00B87AE6"/>
    <w:rsid w:val="00B87AF2"/>
    <w:rsid w:val="00B87B05"/>
    <w:rsid w:val="00B87C31"/>
    <w:rsid w:val="00B87DDC"/>
    <w:rsid w:val="00B87F51"/>
    <w:rsid w:val="00B90022"/>
    <w:rsid w:val="00B9012E"/>
    <w:rsid w:val="00B90199"/>
    <w:rsid w:val="00B902AF"/>
    <w:rsid w:val="00B9033A"/>
    <w:rsid w:val="00B90349"/>
    <w:rsid w:val="00B9050E"/>
    <w:rsid w:val="00B906BF"/>
    <w:rsid w:val="00B90828"/>
    <w:rsid w:val="00B908A7"/>
    <w:rsid w:val="00B90F64"/>
    <w:rsid w:val="00B911AC"/>
    <w:rsid w:val="00B9133F"/>
    <w:rsid w:val="00B913C7"/>
    <w:rsid w:val="00B917E9"/>
    <w:rsid w:val="00B917EC"/>
    <w:rsid w:val="00B9183E"/>
    <w:rsid w:val="00B918C9"/>
    <w:rsid w:val="00B918E1"/>
    <w:rsid w:val="00B91F3E"/>
    <w:rsid w:val="00B92058"/>
    <w:rsid w:val="00B92070"/>
    <w:rsid w:val="00B921BA"/>
    <w:rsid w:val="00B9222A"/>
    <w:rsid w:val="00B9230C"/>
    <w:rsid w:val="00B92409"/>
    <w:rsid w:val="00B925D5"/>
    <w:rsid w:val="00B92664"/>
    <w:rsid w:val="00B92674"/>
    <w:rsid w:val="00B928F2"/>
    <w:rsid w:val="00B929A7"/>
    <w:rsid w:val="00B92A29"/>
    <w:rsid w:val="00B92C54"/>
    <w:rsid w:val="00B92FB6"/>
    <w:rsid w:val="00B93174"/>
    <w:rsid w:val="00B9320B"/>
    <w:rsid w:val="00B93509"/>
    <w:rsid w:val="00B93779"/>
    <w:rsid w:val="00B939B2"/>
    <w:rsid w:val="00B93A5A"/>
    <w:rsid w:val="00B93C1E"/>
    <w:rsid w:val="00B93EC5"/>
    <w:rsid w:val="00B941E5"/>
    <w:rsid w:val="00B943AA"/>
    <w:rsid w:val="00B943CF"/>
    <w:rsid w:val="00B9450E"/>
    <w:rsid w:val="00B947B0"/>
    <w:rsid w:val="00B947B5"/>
    <w:rsid w:val="00B9481C"/>
    <w:rsid w:val="00B94B87"/>
    <w:rsid w:val="00B94D86"/>
    <w:rsid w:val="00B94F47"/>
    <w:rsid w:val="00B94F9E"/>
    <w:rsid w:val="00B9504A"/>
    <w:rsid w:val="00B952BB"/>
    <w:rsid w:val="00B95476"/>
    <w:rsid w:val="00B956BD"/>
    <w:rsid w:val="00B95733"/>
    <w:rsid w:val="00B95964"/>
    <w:rsid w:val="00B95B6B"/>
    <w:rsid w:val="00B95C7D"/>
    <w:rsid w:val="00B96157"/>
    <w:rsid w:val="00B961DD"/>
    <w:rsid w:val="00B96225"/>
    <w:rsid w:val="00B96798"/>
    <w:rsid w:val="00B967C0"/>
    <w:rsid w:val="00B96822"/>
    <w:rsid w:val="00B968C4"/>
    <w:rsid w:val="00B96E80"/>
    <w:rsid w:val="00B9710A"/>
    <w:rsid w:val="00B97158"/>
    <w:rsid w:val="00B9729D"/>
    <w:rsid w:val="00B97304"/>
    <w:rsid w:val="00B975B9"/>
    <w:rsid w:val="00B97603"/>
    <w:rsid w:val="00B976CE"/>
    <w:rsid w:val="00B9793C"/>
    <w:rsid w:val="00B97AE1"/>
    <w:rsid w:val="00B97C4D"/>
    <w:rsid w:val="00BA008B"/>
    <w:rsid w:val="00BA04D9"/>
    <w:rsid w:val="00BA0504"/>
    <w:rsid w:val="00BA073F"/>
    <w:rsid w:val="00BA0753"/>
    <w:rsid w:val="00BA076F"/>
    <w:rsid w:val="00BA0991"/>
    <w:rsid w:val="00BA09AC"/>
    <w:rsid w:val="00BA0B39"/>
    <w:rsid w:val="00BA0B51"/>
    <w:rsid w:val="00BA0B7F"/>
    <w:rsid w:val="00BA1186"/>
    <w:rsid w:val="00BA11AC"/>
    <w:rsid w:val="00BA1275"/>
    <w:rsid w:val="00BA12EB"/>
    <w:rsid w:val="00BA185F"/>
    <w:rsid w:val="00BA192F"/>
    <w:rsid w:val="00BA1A49"/>
    <w:rsid w:val="00BA1DEF"/>
    <w:rsid w:val="00BA1E96"/>
    <w:rsid w:val="00BA1FA0"/>
    <w:rsid w:val="00BA2008"/>
    <w:rsid w:val="00BA2700"/>
    <w:rsid w:val="00BA283A"/>
    <w:rsid w:val="00BA2848"/>
    <w:rsid w:val="00BA2872"/>
    <w:rsid w:val="00BA2B89"/>
    <w:rsid w:val="00BA2C49"/>
    <w:rsid w:val="00BA3168"/>
    <w:rsid w:val="00BA31FA"/>
    <w:rsid w:val="00BA32B4"/>
    <w:rsid w:val="00BA339E"/>
    <w:rsid w:val="00BA3417"/>
    <w:rsid w:val="00BA3832"/>
    <w:rsid w:val="00BA3AE5"/>
    <w:rsid w:val="00BA3AF0"/>
    <w:rsid w:val="00BA3B08"/>
    <w:rsid w:val="00BA3B0F"/>
    <w:rsid w:val="00BA3B21"/>
    <w:rsid w:val="00BA3DD2"/>
    <w:rsid w:val="00BA3DF7"/>
    <w:rsid w:val="00BA3DF8"/>
    <w:rsid w:val="00BA3E53"/>
    <w:rsid w:val="00BA3E80"/>
    <w:rsid w:val="00BA3EAB"/>
    <w:rsid w:val="00BA41EC"/>
    <w:rsid w:val="00BA4205"/>
    <w:rsid w:val="00BA42EF"/>
    <w:rsid w:val="00BA46BE"/>
    <w:rsid w:val="00BA491D"/>
    <w:rsid w:val="00BA4B4A"/>
    <w:rsid w:val="00BA4BFB"/>
    <w:rsid w:val="00BA4D10"/>
    <w:rsid w:val="00BA4EFC"/>
    <w:rsid w:val="00BA519E"/>
    <w:rsid w:val="00BA52B4"/>
    <w:rsid w:val="00BA537A"/>
    <w:rsid w:val="00BA54EE"/>
    <w:rsid w:val="00BA553E"/>
    <w:rsid w:val="00BA5607"/>
    <w:rsid w:val="00BA5649"/>
    <w:rsid w:val="00BA574F"/>
    <w:rsid w:val="00BA5760"/>
    <w:rsid w:val="00BA5850"/>
    <w:rsid w:val="00BA5D68"/>
    <w:rsid w:val="00BA5F1E"/>
    <w:rsid w:val="00BA5F24"/>
    <w:rsid w:val="00BA5F5D"/>
    <w:rsid w:val="00BA5FA4"/>
    <w:rsid w:val="00BA61C8"/>
    <w:rsid w:val="00BA631B"/>
    <w:rsid w:val="00BA65D4"/>
    <w:rsid w:val="00BA6620"/>
    <w:rsid w:val="00BA6964"/>
    <w:rsid w:val="00BA69F2"/>
    <w:rsid w:val="00BA6A81"/>
    <w:rsid w:val="00BA6C14"/>
    <w:rsid w:val="00BA716A"/>
    <w:rsid w:val="00BA727B"/>
    <w:rsid w:val="00BA72A3"/>
    <w:rsid w:val="00BA7372"/>
    <w:rsid w:val="00BA74D8"/>
    <w:rsid w:val="00BA7641"/>
    <w:rsid w:val="00BA7780"/>
    <w:rsid w:val="00BA79B2"/>
    <w:rsid w:val="00BA7A5D"/>
    <w:rsid w:val="00BA7AF7"/>
    <w:rsid w:val="00BA7BB0"/>
    <w:rsid w:val="00BA7D39"/>
    <w:rsid w:val="00BA7DC6"/>
    <w:rsid w:val="00BA7E8D"/>
    <w:rsid w:val="00BA7F25"/>
    <w:rsid w:val="00BB0031"/>
    <w:rsid w:val="00BB0149"/>
    <w:rsid w:val="00BB025F"/>
    <w:rsid w:val="00BB0296"/>
    <w:rsid w:val="00BB0689"/>
    <w:rsid w:val="00BB07E5"/>
    <w:rsid w:val="00BB148E"/>
    <w:rsid w:val="00BB1834"/>
    <w:rsid w:val="00BB1961"/>
    <w:rsid w:val="00BB1996"/>
    <w:rsid w:val="00BB1A98"/>
    <w:rsid w:val="00BB1D21"/>
    <w:rsid w:val="00BB2070"/>
    <w:rsid w:val="00BB2135"/>
    <w:rsid w:val="00BB226C"/>
    <w:rsid w:val="00BB2276"/>
    <w:rsid w:val="00BB23E8"/>
    <w:rsid w:val="00BB2410"/>
    <w:rsid w:val="00BB285B"/>
    <w:rsid w:val="00BB2ACF"/>
    <w:rsid w:val="00BB2C96"/>
    <w:rsid w:val="00BB310B"/>
    <w:rsid w:val="00BB3218"/>
    <w:rsid w:val="00BB3736"/>
    <w:rsid w:val="00BB3796"/>
    <w:rsid w:val="00BB37B2"/>
    <w:rsid w:val="00BB3A61"/>
    <w:rsid w:val="00BB3B2B"/>
    <w:rsid w:val="00BB3B5A"/>
    <w:rsid w:val="00BB3CB8"/>
    <w:rsid w:val="00BB3D89"/>
    <w:rsid w:val="00BB3E03"/>
    <w:rsid w:val="00BB41D3"/>
    <w:rsid w:val="00BB4492"/>
    <w:rsid w:val="00BB44A8"/>
    <w:rsid w:val="00BB4541"/>
    <w:rsid w:val="00BB4647"/>
    <w:rsid w:val="00BB4654"/>
    <w:rsid w:val="00BB479E"/>
    <w:rsid w:val="00BB48B5"/>
    <w:rsid w:val="00BB4A74"/>
    <w:rsid w:val="00BB4A88"/>
    <w:rsid w:val="00BB4D2A"/>
    <w:rsid w:val="00BB4DF3"/>
    <w:rsid w:val="00BB4F29"/>
    <w:rsid w:val="00BB5649"/>
    <w:rsid w:val="00BB5673"/>
    <w:rsid w:val="00BB5704"/>
    <w:rsid w:val="00BB5849"/>
    <w:rsid w:val="00BB58C1"/>
    <w:rsid w:val="00BB5950"/>
    <w:rsid w:val="00BB59E6"/>
    <w:rsid w:val="00BB5B50"/>
    <w:rsid w:val="00BB5D3B"/>
    <w:rsid w:val="00BB6281"/>
    <w:rsid w:val="00BB6577"/>
    <w:rsid w:val="00BB6631"/>
    <w:rsid w:val="00BB6735"/>
    <w:rsid w:val="00BB68FB"/>
    <w:rsid w:val="00BB6A98"/>
    <w:rsid w:val="00BB6AA8"/>
    <w:rsid w:val="00BB6ADF"/>
    <w:rsid w:val="00BB6DFF"/>
    <w:rsid w:val="00BB6E60"/>
    <w:rsid w:val="00BB6E86"/>
    <w:rsid w:val="00BB6FB1"/>
    <w:rsid w:val="00BB7001"/>
    <w:rsid w:val="00BB70C3"/>
    <w:rsid w:val="00BB73EF"/>
    <w:rsid w:val="00BB73F8"/>
    <w:rsid w:val="00BB7415"/>
    <w:rsid w:val="00BB7465"/>
    <w:rsid w:val="00BB751B"/>
    <w:rsid w:val="00BB7723"/>
    <w:rsid w:val="00BB7A6A"/>
    <w:rsid w:val="00BB7B3E"/>
    <w:rsid w:val="00BB7C44"/>
    <w:rsid w:val="00BB7D71"/>
    <w:rsid w:val="00BB7F54"/>
    <w:rsid w:val="00BC0244"/>
    <w:rsid w:val="00BC05F9"/>
    <w:rsid w:val="00BC06E4"/>
    <w:rsid w:val="00BC074F"/>
    <w:rsid w:val="00BC075D"/>
    <w:rsid w:val="00BC08DC"/>
    <w:rsid w:val="00BC0ADC"/>
    <w:rsid w:val="00BC0ADF"/>
    <w:rsid w:val="00BC0B4C"/>
    <w:rsid w:val="00BC0BCD"/>
    <w:rsid w:val="00BC0DB4"/>
    <w:rsid w:val="00BC1268"/>
    <w:rsid w:val="00BC1842"/>
    <w:rsid w:val="00BC1A1E"/>
    <w:rsid w:val="00BC1A63"/>
    <w:rsid w:val="00BC1B01"/>
    <w:rsid w:val="00BC1D30"/>
    <w:rsid w:val="00BC1E32"/>
    <w:rsid w:val="00BC1F9E"/>
    <w:rsid w:val="00BC2219"/>
    <w:rsid w:val="00BC2490"/>
    <w:rsid w:val="00BC281E"/>
    <w:rsid w:val="00BC2A0C"/>
    <w:rsid w:val="00BC2AA3"/>
    <w:rsid w:val="00BC2E45"/>
    <w:rsid w:val="00BC2F9D"/>
    <w:rsid w:val="00BC3026"/>
    <w:rsid w:val="00BC3148"/>
    <w:rsid w:val="00BC33A4"/>
    <w:rsid w:val="00BC3472"/>
    <w:rsid w:val="00BC34E6"/>
    <w:rsid w:val="00BC35A4"/>
    <w:rsid w:val="00BC37E4"/>
    <w:rsid w:val="00BC380F"/>
    <w:rsid w:val="00BC385A"/>
    <w:rsid w:val="00BC38EB"/>
    <w:rsid w:val="00BC3992"/>
    <w:rsid w:val="00BC3B7D"/>
    <w:rsid w:val="00BC3B81"/>
    <w:rsid w:val="00BC3C64"/>
    <w:rsid w:val="00BC3D6B"/>
    <w:rsid w:val="00BC3E46"/>
    <w:rsid w:val="00BC419D"/>
    <w:rsid w:val="00BC41C1"/>
    <w:rsid w:val="00BC42C5"/>
    <w:rsid w:val="00BC4300"/>
    <w:rsid w:val="00BC4487"/>
    <w:rsid w:val="00BC4499"/>
    <w:rsid w:val="00BC46FE"/>
    <w:rsid w:val="00BC4A27"/>
    <w:rsid w:val="00BC4C6A"/>
    <w:rsid w:val="00BC4CD8"/>
    <w:rsid w:val="00BC4CFD"/>
    <w:rsid w:val="00BC502F"/>
    <w:rsid w:val="00BC5071"/>
    <w:rsid w:val="00BC5171"/>
    <w:rsid w:val="00BC5172"/>
    <w:rsid w:val="00BC525D"/>
    <w:rsid w:val="00BC54A2"/>
    <w:rsid w:val="00BC569A"/>
    <w:rsid w:val="00BC56D1"/>
    <w:rsid w:val="00BC56FC"/>
    <w:rsid w:val="00BC5819"/>
    <w:rsid w:val="00BC58DD"/>
    <w:rsid w:val="00BC59DD"/>
    <w:rsid w:val="00BC5B68"/>
    <w:rsid w:val="00BC5BFA"/>
    <w:rsid w:val="00BC5DAE"/>
    <w:rsid w:val="00BC5FBC"/>
    <w:rsid w:val="00BC610A"/>
    <w:rsid w:val="00BC6252"/>
    <w:rsid w:val="00BC67EB"/>
    <w:rsid w:val="00BC6866"/>
    <w:rsid w:val="00BC6CFD"/>
    <w:rsid w:val="00BC6D4D"/>
    <w:rsid w:val="00BC6DA6"/>
    <w:rsid w:val="00BC6EB9"/>
    <w:rsid w:val="00BC7065"/>
    <w:rsid w:val="00BC72F8"/>
    <w:rsid w:val="00BC7498"/>
    <w:rsid w:val="00BC74AB"/>
    <w:rsid w:val="00BC75F0"/>
    <w:rsid w:val="00BC763A"/>
    <w:rsid w:val="00BC770B"/>
    <w:rsid w:val="00BC77EF"/>
    <w:rsid w:val="00BC7A53"/>
    <w:rsid w:val="00BC7DD7"/>
    <w:rsid w:val="00BC7ECF"/>
    <w:rsid w:val="00BD0094"/>
    <w:rsid w:val="00BD0120"/>
    <w:rsid w:val="00BD01E0"/>
    <w:rsid w:val="00BD0232"/>
    <w:rsid w:val="00BD025F"/>
    <w:rsid w:val="00BD0488"/>
    <w:rsid w:val="00BD04C3"/>
    <w:rsid w:val="00BD0617"/>
    <w:rsid w:val="00BD06E4"/>
    <w:rsid w:val="00BD09C6"/>
    <w:rsid w:val="00BD0A33"/>
    <w:rsid w:val="00BD0B52"/>
    <w:rsid w:val="00BD0BE2"/>
    <w:rsid w:val="00BD0E5B"/>
    <w:rsid w:val="00BD1103"/>
    <w:rsid w:val="00BD11CD"/>
    <w:rsid w:val="00BD1311"/>
    <w:rsid w:val="00BD1478"/>
    <w:rsid w:val="00BD1AA3"/>
    <w:rsid w:val="00BD1B2A"/>
    <w:rsid w:val="00BD1E2F"/>
    <w:rsid w:val="00BD1EBF"/>
    <w:rsid w:val="00BD2088"/>
    <w:rsid w:val="00BD2094"/>
    <w:rsid w:val="00BD22D7"/>
    <w:rsid w:val="00BD2347"/>
    <w:rsid w:val="00BD267D"/>
    <w:rsid w:val="00BD26CC"/>
    <w:rsid w:val="00BD27FE"/>
    <w:rsid w:val="00BD290C"/>
    <w:rsid w:val="00BD2987"/>
    <w:rsid w:val="00BD2DC8"/>
    <w:rsid w:val="00BD3457"/>
    <w:rsid w:val="00BD3598"/>
    <w:rsid w:val="00BD36F4"/>
    <w:rsid w:val="00BD381F"/>
    <w:rsid w:val="00BD38B7"/>
    <w:rsid w:val="00BD3BEC"/>
    <w:rsid w:val="00BD3E1E"/>
    <w:rsid w:val="00BD45E5"/>
    <w:rsid w:val="00BD4638"/>
    <w:rsid w:val="00BD4893"/>
    <w:rsid w:val="00BD48D1"/>
    <w:rsid w:val="00BD4C30"/>
    <w:rsid w:val="00BD4DCA"/>
    <w:rsid w:val="00BD4F4A"/>
    <w:rsid w:val="00BD4FAB"/>
    <w:rsid w:val="00BD5131"/>
    <w:rsid w:val="00BD56AA"/>
    <w:rsid w:val="00BD58AD"/>
    <w:rsid w:val="00BD5B40"/>
    <w:rsid w:val="00BD5B89"/>
    <w:rsid w:val="00BD5BCA"/>
    <w:rsid w:val="00BD5D75"/>
    <w:rsid w:val="00BD5DF9"/>
    <w:rsid w:val="00BD5F53"/>
    <w:rsid w:val="00BD6224"/>
    <w:rsid w:val="00BD62A4"/>
    <w:rsid w:val="00BD62BD"/>
    <w:rsid w:val="00BD67B7"/>
    <w:rsid w:val="00BD6810"/>
    <w:rsid w:val="00BD692B"/>
    <w:rsid w:val="00BD6A8C"/>
    <w:rsid w:val="00BD6C56"/>
    <w:rsid w:val="00BD6D26"/>
    <w:rsid w:val="00BD6DCE"/>
    <w:rsid w:val="00BD6F10"/>
    <w:rsid w:val="00BD6F92"/>
    <w:rsid w:val="00BD7520"/>
    <w:rsid w:val="00BD759B"/>
    <w:rsid w:val="00BD75A5"/>
    <w:rsid w:val="00BD76B6"/>
    <w:rsid w:val="00BD792A"/>
    <w:rsid w:val="00BD7A06"/>
    <w:rsid w:val="00BD7B2E"/>
    <w:rsid w:val="00BD7B34"/>
    <w:rsid w:val="00BD7E74"/>
    <w:rsid w:val="00BD7F7F"/>
    <w:rsid w:val="00BE009D"/>
    <w:rsid w:val="00BE0185"/>
    <w:rsid w:val="00BE01C1"/>
    <w:rsid w:val="00BE01CE"/>
    <w:rsid w:val="00BE026C"/>
    <w:rsid w:val="00BE0403"/>
    <w:rsid w:val="00BE0647"/>
    <w:rsid w:val="00BE0670"/>
    <w:rsid w:val="00BE0840"/>
    <w:rsid w:val="00BE08D4"/>
    <w:rsid w:val="00BE0967"/>
    <w:rsid w:val="00BE09D7"/>
    <w:rsid w:val="00BE0BDF"/>
    <w:rsid w:val="00BE0C8B"/>
    <w:rsid w:val="00BE0EBA"/>
    <w:rsid w:val="00BE0FAF"/>
    <w:rsid w:val="00BE11BF"/>
    <w:rsid w:val="00BE1280"/>
    <w:rsid w:val="00BE16E5"/>
    <w:rsid w:val="00BE1966"/>
    <w:rsid w:val="00BE19A2"/>
    <w:rsid w:val="00BE19B9"/>
    <w:rsid w:val="00BE1A26"/>
    <w:rsid w:val="00BE1A5C"/>
    <w:rsid w:val="00BE1AFA"/>
    <w:rsid w:val="00BE1B00"/>
    <w:rsid w:val="00BE1BEB"/>
    <w:rsid w:val="00BE1DBF"/>
    <w:rsid w:val="00BE1E53"/>
    <w:rsid w:val="00BE1F12"/>
    <w:rsid w:val="00BE2260"/>
    <w:rsid w:val="00BE247F"/>
    <w:rsid w:val="00BE24CD"/>
    <w:rsid w:val="00BE25B7"/>
    <w:rsid w:val="00BE2867"/>
    <w:rsid w:val="00BE2B02"/>
    <w:rsid w:val="00BE2B9E"/>
    <w:rsid w:val="00BE2EC2"/>
    <w:rsid w:val="00BE2F91"/>
    <w:rsid w:val="00BE31E5"/>
    <w:rsid w:val="00BE31ED"/>
    <w:rsid w:val="00BE3316"/>
    <w:rsid w:val="00BE336F"/>
    <w:rsid w:val="00BE33E2"/>
    <w:rsid w:val="00BE3438"/>
    <w:rsid w:val="00BE37BE"/>
    <w:rsid w:val="00BE3815"/>
    <w:rsid w:val="00BE38B6"/>
    <w:rsid w:val="00BE38F3"/>
    <w:rsid w:val="00BE3B1D"/>
    <w:rsid w:val="00BE3E75"/>
    <w:rsid w:val="00BE3E95"/>
    <w:rsid w:val="00BE3F06"/>
    <w:rsid w:val="00BE4722"/>
    <w:rsid w:val="00BE4824"/>
    <w:rsid w:val="00BE4DCA"/>
    <w:rsid w:val="00BE4E2E"/>
    <w:rsid w:val="00BE5165"/>
    <w:rsid w:val="00BE52C5"/>
    <w:rsid w:val="00BE537A"/>
    <w:rsid w:val="00BE54BB"/>
    <w:rsid w:val="00BE5553"/>
    <w:rsid w:val="00BE56FB"/>
    <w:rsid w:val="00BE571F"/>
    <w:rsid w:val="00BE591E"/>
    <w:rsid w:val="00BE5938"/>
    <w:rsid w:val="00BE59CB"/>
    <w:rsid w:val="00BE5E92"/>
    <w:rsid w:val="00BE6064"/>
    <w:rsid w:val="00BE6135"/>
    <w:rsid w:val="00BE6409"/>
    <w:rsid w:val="00BE641F"/>
    <w:rsid w:val="00BE6587"/>
    <w:rsid w:val="00BE677B"/>
    <w:rsid w:val="00BE6787"/>
    <w:rsid w:val="00BE6C35"/>
    <w:rsid w:val="00BE6CAD"/>
    <w:rsid w:val="00BE6E8B"/>
    <w:rsid w:val="00BE7018"/>
    <w:rsid w:val="00BE7130"/>
    <w:rsid w:val="00BE7274"/>
    <w:rsid w:val="00BE72A2"/>
    <w:rsid w:val="00BE7574"/>
    <w:rsid w:val="00BE75D4"/>
    <w:rsid w:val="00BE7635"/>
    <w:rsid w:val="00BE76DD"/>
    <w:rsid w:val="00BE777C"/>
    <w:rsid w:val="00BE77B1"/>
    <w:rsid w:val="00BE77B9"/>
    <w:rsid w:val="00BE7813"/>
    <w:rsid w:val="00BE7AA7"/>
    <w:rsid w:val="00BE7AF4"/>
    <w:rsid w:val="00BE7B01"/>
    <w:rsid w:val="00BE7C42"/>
    <w:rsid w:val="00BE8226"/>
    <w:rsid w:val="00BF030B"/>
    <w:rsid w:val="00BF040D"/>
    <w:rsid w:val="00BF0460"/>
    <w:rsid w:val="00BF0744"/>
    <w:rsid w:val="00BF0782"/>
    <w:rsid w:val="00BF0789"/>
    <w:rsid w:val="00BF0A30"/>
    <w:rsid w:val="00BF0A8A"/>
    <w:rsid w:val="00BF0C8B"/>
    <w:rsid w:val="00BF0CB4"/>
    <w:rsid w:val="00BF0CC5"/>
    <w:rsid w:val="00BF0E6B"/>
    <w:rsid w:val="00BF0EFA"/>
    <w:rsid w:val="00BF104A"/>
    <w:rsid w:val="00BF1207"/>
    <w:rsid w:val="00BF168B"/>
    <w:rsid w:val="00BF1936"/>
    <w:rsid w:val="00BF1969"/>
    <w:rsid w:val="00BF1AE2"/>
    <w:rsid w:val="00BF1DB3"/>
    <w:rsid w:val="00BF2151"/>
    <w:rsid w:val="00BF2337"/>
    <w:rsid w:val="00BF23C7"/>
    <w:rsid w:val="00BF2443"/>
    <w:rsid w:val="00BF2457"/>
    <w:rsid w:val="00BF26F2"/>
    <w:rsid w:val="00BF29B8"/>
    <w:rsid w:val="00BF2A61"/>
    <w:rsid w:val="00BF2C13"/>
    <w:rsid w:val="00BF2CD6"/>
    <w:rsid w:val="00BF323C"/>
    <w:rsid w:val="00BF332B"/>
    <w:rsid w:val="00BF336E"/>
    <w:rsid w:val="00BF36C1"/>
    <w:rsid w:val="00BF3A71"/>
    <w:rsid w:val="00BF3A9F"/>
    <w:rsid w:val="00BF3D02"/>
    <w:rsid w:val="00BF3D2B"/>
    <w:rsid w:val="00BF3D83"/>
    <w:rsid w:val="00BF3DCF"/>
    <w:rsid w:val="00BF3F2F"/>
    <w:rsid w:val="00BF3F70"/>
    <w:rsid w:val="00BF4039"/>
    <w:rsid w:val="00BF40C4"/>
    <w:rsid w:val="00BF427C"/>
    <w:rsid w:val="00BF42FF"/>
    <w:rsid w:val="00BF4305"/>
    <w:rsid w:val="00BF4318"/>
    <w:rsid w:val="00BF4349"/>
    <w:rsid w:val="00BF45F3"/>
    <w:rsid w:val="00BF4915"/>
    <w:rsid w:val="00BF498B"/>
    <w:rsid w:val="00BF4B5B"/>
    <w:rsid w:val="00BF4BF3"/>
    <w:rsid w:val="00BF4F85"/>
    <w:rsid w:val="00BF5352"/>
    <w:rsid w:val="00BF53B7"/>
    <w:rsid w:val="00BF557F"/>
    <w:rsid w:val="00BF55B2"/>
    <w:rsid w:val="00BF5630"/>
    <w:rsid w:val="00BF58E4"/>
    <w:rsid w:val="00BF5A33"/>
    <w:rsid w:val="00BF5B99"/>
    <w:rsid w:val="00BF5C2D"/>
    <w:rsid w:val="00BF5ED1"/>
    <w:rsid w:val="00BF5F80"/>
    <w:rsid w:val="00BF5FD9"/>
    <w:rsid w:val="00BF6075"/>
    <w:rsid w:val="00BF6295"/>
    <w:rsid w:val="00BF62C1"/>
    <w:rsid w:val="00BF63C3"/>
    <w:rsid w:val="00BF66E4"/>
    <w:rsid w:val="00BF676D"/>
    <w:rsid w:val="00BF6777"/>
    <w:rsid w:val="00BF6C30"/>
    <w:rsid w:val="00BF6EBC"/>
    <w:rsid w:val="00BF6F4D"/>
    <w:rsid w:val="00BF6FC3"/>
    <w:rsid w:val="00BF7025"/>
    <w:rsid w:val="00BF75CB"/>
    <w:rsid w:val="00BF7A5D"/>
    <w:rsid w:val="00BF7ED6"/>
    <w:rsid w:val="00C002DE"/>
    <w:rsid w:val="00C00626"/>
    <w:rsid w:val="00C007D4"/>
    <w:rsid w:val="00C00850"/>
    <w:rsid w:val="00C0099A"/>
    <w:rsid w:val="00C00A2D"/>
    <w:rsid w:val="00C00B20"/>
    <w:rsid w:val="00C00C37"/>
    <w:rsid w:val="00C00CA5"/>
    <w:rsid w:val="00C011D9"/>
    <w:rsid w:val="00C01204"/>
    <w:rsid w:val="00C01290"/>
    <w:rsid w:val="00C012ED"/>
    <w:rsid w:val="00C016DB"/>
    <w:rsid w:val="00C01703"/>
    <w:rsid w:val="00C01742"/>
    <w:rsid w:val="00C01939"/>
    <w:rsid w:val="00C01944"/>
    <w:rsid w:val="00C01984"/>
    <w:rsid w:val="00C019CC"/>
    <w:rsid w:val="00C01A73"/>
    <w:rsid w:val="00C01B6B"/>
    <w:rsid w:val="00C01BA0"/>
    <w:rsid w:val="00C01D31"/>
    <w:rsid w:val="00C01F4F"/>
    <w:rsid w:val="00C024E9"/>
    <w:rsid w:val="00C02B3B"/>
    <w:rsid w:val="00C02CC7"/>
    <w:rsid w:val="00C030CC"/>
    <w:rsid w:val="00C035E7"/>
    <w:rsid w:val="00C036D3"/>
    <w:rsid w:val="00C036F1"/>
    <w:rsid w:val="00C0371A"/>
    <w:rsid w:val="00C03767"/>
    <w:rsid w:val="00C038E9"/>
    <w:rsid w:val="00C03991"/>
    <w:rsid w:val="00C039FB"/>
    <w:rsid w:val="00C03A90"/>
    <w:rsid w:val="00C03CD6"/>
    <w:rsid w:val="00C03FD0"/>
    <w:rsid w:val="00C03FD9"/>
    <w:rsid w:val="00C04305"/>
    <w:rsid w:val="00C043DF"/>
    <w:rsid w:val="00C04860"/>
    <w:rsid w:val="00C0493C"/>
    <w:rsid w:val="00C04A52"/>
    <w:rsid w:val="00C04BCB"/>
    <w:rsid w:val="00C04BE1"/>
    <w:rsid w:val="00C04CCA"/>
    <w:rsid w:val="00C04D14"/>
    <w:rsid w:val="00C04D24"/>
    <w:rsid w:val="00C04F59"/>
    <w:rsid w:val="00C05311"/>
    <w:rsid w:val="00C05337"/>
    <w:rsid w:val="00C053D2"/>
    <w:rsid w:val="00C05574"/>
    <w:rsid w:val="00C056E0"/>
    <w:rsid w:val="00C059C2"/>
    <w:rsid w:val="00C05AB8"/>
    <w:rsid w:val="00C05BB3"/>
    <w:rsid w:val="00C05D61"/>
    <w:rsid w:val="00C060B5"/>
    <w:rsid w:val="00C064A3"/>
    <w:rsid w:val="00C064F9"/>
    <w:rsid w:val="00C0654C"/>
    <w:rsid w:val="00C06B30"/>
    <w:rsid w:val="00C06D69"/>
    <w:rsid w:val="00C0700D"/>
    <w:rsid w:val="00C070EB"/>
    <w:rsid w:val="00C07247"/>
    <w:rsid w:val="00C07308"/>
    <w:rsid w:val="00C074BB"/>
    <w:rsid w:val="00C07752"/>
    <w:rsid w:val="00C07827"/>
    <w:rsid w:val="00C07A9A"/>
    <w:rsid w:val="00C07B07"/>
    <w:rsid w:val="00C07D1F"/>
    <w:rsid w:val="00C07D53"/>
    <w:rsid w:val="00C07EC2"/>
    <w:rsid w:val="00C07EE7"/>
    <w:rsid w:val="00C1005C"/>
    <w:rsid w:val="00C10155"/>
    <w:rsid w:val="00C103CE"/>
    <w:rsid w:val="00C10402"/>
    <w:rsid w:val="00C1053F"/>
    <w:rsid w:val="00C1055E"/>
    <w:rsid w:val="00C10888"/>
    <w:rsid w:val="00C109EB"/>
    <w:rsid w:val="00C10B0F"/>
    <w:rsid w:val="00C10B1F"/>
    <w:rsid w:val="00C10C64"/>
    <w:rsid w:val="00C10C8A"/>
    <w:rsid w:val="00C10CB3"/>
    <w:rsid w:val="00C10CD7"/>
    <w:rsid w:val="00C10D4C"/>
    <w:rsid w:val="00C11047"/>
    <w:rsid w:val="00C1131A"/>
    <w:rsid w:val="00C11397"/>
    <w:rsid w:val="00C1156D"/>
    <w:rsid w:val="00C11685"/>
    <w:rsid w:val="00C11785"/>
    <w:rsid w:val="00C11817"/>
    <w:rsid w:val="00C11938"/>
    <w:rsid w:val="00C11AF8"/>
    <w:rsid w:val="00C11BDA"/>
    <w:rsid w:val="00C11D06"/>
    <w:rsid w:val="00C11D8A"/>
    <w:rsid w:val="00C11E26"/>
    <w:rsid w:val="00C12301"/>
    <w:rsid w:val="00C12645"/>
    <w:rsid w:val="00C126FA"/>
    <w:rsid w:val="00C12785"/>
    <w:rsid w:val="00C1279E"/>
    <w:rsid w:val="00C1289B"/>
    <w:rsid w:val="00C12A1B"/>
    <w:rsid w:val="00C12A53"/>
    <w:rsid w:val="00C12B6B"/>
    <w:rsid w:val="00C12B91"/>
    <w:rsid w:val="00C12C03"/>
    <w:rsid w:val="00C12DB7"/>
    <w:rsid w:val="00C12E02"/>
    <w:rsid w:val="00C12EB0"/>
    <w:rsid w:val="00C12F28"/>
    <w:rsid w:val="00C1307E"/>
    <w:rsid w:val="00C13157"/>
    <w:rsid w:val="00C1317D"/>
    <w:rsid w:val="00C1324F"/>
    <w:rsid w:val="00C135BC"/>
    <w:rsid w:val="00C13659"/>
    <w:rsid w:val="00C1366C"/>
    <w:rsid w:val="00C13797"/>
    <w:rsid w:val="00C13AEF"/>
    <w:rsid w:val="00C13C9F"/>
    <w:rsid w:val="00C13DC8"/>
    <w:rsid w:val="00C13DE2"/>
    <w:rsid w:val="00C14531"/>
    <w:rsid w:val="00C14575"/>
    <w:rsid w:val="00C1465C"/>
    <w:rsid w:val="00C1466E"/>
    <w:rsid w:val="00C14A8C"/>
    <w:rsid w:val="00C14BB7"/>
    <w:rsid w:val="00C14C32"/>
    <w:rsid w:val="00C14E8A"/>
    <w:rsid w:val="00C14EBF"/>
    <w:rsid w:val="00C14FA3"/>
    <w:rsid w:val="00C15315"/>
    <w:rsid w:val="00C1577A"/>
    <w:rsid w:val="00C157FF"/>
    <w:rsid w:val="00C159DE"/>
    <w:rsid w:val="00C15AC8"/>
    <w:rsid w:val="00C15ACE"/>
    <w:rsid w:val="00C15C0C"/>
    <w:rsid w:val="00C15FB1"/>
    <w:rsid w:val="00C16116"/>
    <w:rsid w:val="00C16134"/>
    <w:rsid w:val="00C161CE"/>
    <w:rsid w:val="00C1638C"/>
    <w:rsid w:val="00C163CE"/>
    <w:rsid w:val="00C16429"/>
    <w:rsid w:val="00C16494"/>
    <w:rsid w:val="00C164BB"/>
    <w:rsid w:val="00C16506"/>
    <w:rsid w:val="00C165F1"/>
    <w:rsid w:val="00C165FB"/>
    <w:rsid w:val="00C1662B"/>
    <w:rsid w:val="00C16888"/>
    <w:rsid w:val="00C16B51"/>
    <w:rsid w:val="00C16C8F"/>
    <w:rsid w:val="00C16FB5"/>
    <w:rsid w:val="00C17009"/>
    <w:rsid w:val="00C172F1"/>
    <w:rsid w:val="00C173C3"/>
    <w:rsid w:val="00C177DC"/>
    <w:rsid w:val="00C17B2F"/>
    <w:rsid w:val="00C17C13"/>
    <w:rsid w:val="00C17E63"/>
    <w:rsid w:val="00C17EF4"/>
    <w:rsid w:val="00C2024D"/>
    <w:rsid w:val="00C2042D"/>
    <w:rsid w:val="00C2066B"/>
    <w:rsid w:val="00C20695"/>
    <w:rsid w:val="00C206D5"/>
    <w:rsid w:val="00C20CF8"/>
    <w:rsid w:val="00C20D07"/>
    <w:rsid w:val="00C20D94"/>
    <w:rsid w:val="00C20D9C"/>
    <w:rsid w:val="00C20EF9"/>
    <w:rsid w:val="00C214F6"/>
    <w:rsid w:val="00C215F4"/>
    <w:rsid w:val="00C217CC"/>
    <w:rsid w:val="00C2184D"/>
    <w:rsid w:val="00C2193C"/>
    <w:rsid w:val="00C21A7F"/>
    <w:rsid w:val="00C21D80"/>
    <w:rsid w:val="00C21E6B"/>
    <w:rsid w:val="00C220F4"/>
    <w:rsid w:val="00C22493"/>
    <w:rsid w:val="00C22617"/>
    <w:rsid w:val="00C22746"/>
    <w:rsid w:val="00C22748"/>
    <w:rsid w:val="00C227F7"/>
    <w:rsid w:val="00C228C4"/>
    <w:rsid w:val="00C22A1F"/>
    <w:rsid w:val="00C22BE1"/>
    <w:rsid w:val="00C22E21"/>
    <w:rsid w:val="00C22F39"/>
    <w:rsid w:val="00C23085"/>
    <w:rsid w:val="00C2329B"/>
    <w:rsid w:val="00C236D4"/>
    <w:rsid w:val="00C23828"/>
    <w:rsid w:val="00C23878"/>
    <w:rsid w:val="00C23893"/>
    <w:rsid w:val="00C23AB2"/>
    <w:rsid w:val="00C23B92"/>
    <w:rsid w:val="00C23DA1"/>
    <w:rsid w:val="00C24259"/>
    <w:rsid w:val="00C243DB"/>
    <w:rsid w:val="00C2454D"/>
    <w:rsid w:val="00C2460B"/>
    <w:rsid w:val="00C248D0"/>
    <w:rsid w:val="00C24959"/>
    <w:rsid w:val="00C24BEB"/>
    <w:rsid w:val="00C24C17"/>
    <w:rsid w:val="00C255A1"/>
    <w:rsid w:val="00C2564D"/>
    <w:rsid w:val="00C25787"/>
    <w:rsid w:val="00C25891"/>
    <w:rsid w:val="00C25950"/>
    <w:rsid w:val="00C25C16"/>
    <w:rsid w:val="00C25C83"/>
    <w:rsid w:val="00C25F18"/>
    <w:rsid w:val="00C25FD5"/>
    <w:rsid w:val="00C2609B"/>
    <w:rsid w:val="00C26114"/>
    <w:rsid w:val="00C26116"/>
    <w:rsid w:val="00C26184"/>
    <w:rsid w:val="00C26236"/>
    <w:rsid w:val="00C2633B"/>
    <w:rsid w:val="00C2642F"/>
    <w:rsid w:val="00C2651A"/>
    <w:rsid w:val="00C269FC"/>
    <w:rsid w:val="00C26A4A"/>
    <w:rsid w:val="00C26A5A"/>
    <w:rsid w:val="00C26AC1"/>
    <w:rsid w:val="00C26B14"/>
    <w:rsid w:val="00C2701E"/>
    <w:rsid w:val="00C2706B"/>
    <w:rsid w:val="00C2730F"/>
    <w:rsid w:val="00C27633"/>
    <w:rsid w:val="00C2776C"/>
    <w:rsid w:val="00C277B9"/>
    <w:rsid w:val="00C277CB"/>
    <w:rsid w:val="00C2795E"/>
    <w:rsid w:val="00C27A0B"/>
    <w:rsid w:val="00C27B7F"/>
    <w:rsid w:val="00C27BCD"/>
    <w:rsid w:val="00C27BD3"/>
    <w:rsid w:val="00C27CC9"/>
    <w:rsid w:val="00C27D16"/>
    <w:rsid w:val="00C27DF6"/>
    <w:rsid w:val="00C30001"/>
    <w:rsid w:val="00C30212"/>
    <w:rsid w:val="00C305A7"/>
    <w:rsid w:val="00C30632"/>
    <w:rsid w:val="00C307C1"/>
    <w:rsid w:val="00C3081B"/>
    <w:rsid w:val="00C30905"/>
    <w:rsid w:val="00C30A84"/>
    <w:rsid w:val="00C30BAE"/>
    <w:rsid w:val="00C30FA3"/>
    <w:rsid w:val="00C31356"/>
    <w:rsid w:val="00C316C4"/>
    <w:rsid w:val="00C31A58"/>
    <w:rsid w:val="00C31B42"/>
    <w:rsid w:val="00C31C31"/>
    <w:rsid w:val="00C31D0B"/>
    <w:rsid w:val="00C31D30"/>
    <w:rsid w:val="00C31EA0"/>
    <w:rsid w:val="00C31EED"/>
    <w:rsid w:val="00C320AB"/>
    <w:rsid w:val="00C32188"/>
    <w:rsid w:val="00C32195"/>
    <w:rsid w:val="00C32258"/>
    <w:rsid w:val="00C32340"/>
    <w:rsid w:val="00C32351"/>
    <w:rsid w:val="00C32565"/>
    <w:rsid w:val="00C32575"/>
    <w:rsid w:val="00C32597"/>
    <w:rsid w:val="00C325CE"/>
    <w:rsid w:val="00C32897"/>
    <w:rsid w:val="00C328FE"/>
    <w:rsid w:val="00C32C40"/>
    <w:rsid w:val="00C32D7A"/>
    <w:rsid w:val="00C32DFF"/>
    <w:rsid w:val="00C32FC4"/>
    <w:rsid w:val="00C33155"/>
    <w:rsid w:val="00C331BB"/>
    <w:rsid w:val="00C3324D"/>
    <w:rsid w:val="00C333B7"/>
    <w:rsid w:val="00C335A8"/>
    <w:rsid w:val="00C33630"/>
    <w:rsid w:val="00C3376A"/>
    <w:rsid w:val="00C33BED"/>
    <w:rsid w:val="00C33EA3"/>
    <w:rsid w:val="00C33EB7"/>
    <w:rsid w:val="00C34008"/>
    <w:rsid w:val="00C3407F"/>
    <w:rsid w:val="00C3412A"/>
    <w:rsid w:val="00C3415D"/>
    <w:rsid w:val="00C3431E"/>
    <w:rsid w:val="00C34367"/>
    <w:rsid w:val="00C3447E"/>
    <w:rsid w:val="00C34562"/>
    <w:rsid w:val="00C34594"/>
    <w:rsid w:val="00C345C2"/>
    <w:rsid w:val="00C34668"/>
    <w:rsid w:val="00C3484A"/>
    <w:rsid w:val="00C34A7E"/>
    <w:rsid w:val="00C34BFC"/>
    <w:rsid w:val="00C35205"/>
    <w:rsid w:val="00C35535"/>
    <w:rsid w:val="00C35572"/>
    <w:rsid w:val="00C355BF"/>
    <w:rsid w:val="00C356CB"/>
    <w:rsid w:val="00C356CF"/>
    <w:rsid w:val="00C356D6"/>
    <w:rsid w:val="00C356D8"/>
    <w:rsid w:val="00C35F96"/>
    <w:rsid w:val="00C36101"/>
    <w:rsid w:val="00C3617D"/>
    <w:rsid w:val="00C36203"/>
    <w:rsid w:val="00C36861"/>
    <w:rsid w:val="00C36AF0"/>
    <w:rsid w:val="00C36B55"/>
    <w:rsid w:val="00C36F4D"/>
    <w:rsid w:val="00C37028"/>
    <w:rsid w:val="00C37063"/>
    <w:rsid w:val="00C3709F"/>
    <w:rsid w:val="00C37296"/>
    <w:rsid w:val="00C3753E"/>
    <w:rsid w:val="00C37560"/>
    <w:rsid w:val="00C37645"/>
    <w:rsid w:val="00C376C9"/>
    <w:rsid w:val="00C378A5"/>
    <w:rsid w:val="00C3791D"/>
    <w:rsid w:val="00C37B33"/>
    <w:rsid w:val="00C37EAA"/>
    <w:rsid w:val="00C4000F"/>
    <w:rsid w:val="00C4035F"/>
    <w:rsid w:val="00C40440"/>
    <w:rsid w:val="00C40643"/>
    <w:rsid w:val="00C407AB"/>
    <w:rsid w:val="00C4092E"/>
    <w:rsid w:val="00C40A1F"/>
    <w:rsid w:val="00C40B42"/>
    <w:rsid w:val="00C40B9F"/>
    <w:rsid w:val="00C40FB3"/>
    <w:rsid w:val="00C40FF2"/>
    <w:rsid w:val="00C4101F"/>
    <w:rsid w:val="00C41311"/>
    <w:rsid w:val="00C4157F"/>
    <w:rsid w:val="00C41766"/>
    <w:rsid w:val="00C417A1"/>
    <w:rsid w:val="00C417F1"/>
    <w:rsid w:val="00C41D57"/>
    <w:rsid w:val="00C41FDE"/>
    <w:rsid w:val="00C41FE1"/>
    <w:rsid w:val="00C4203E"/>
    <w:rsid w:val="00C425F0"/>
    <w:rsid w:val="00C42685"/>
    <w:rsid w:val="00C42C1F"/>
    <w:rsid w:val="00C430FF"/>
    <w:rsid w:val="00C43195"/>
    <w:rsid w:val="00C432CB"/>
    <w:rsid w:val="00C43361"/>
    <w:rsid w:val="00C433B9"/>
    <w:rsid w:val="00C433D8"/>
    <w:rsid w:val="00C43463"/>
    <w:rsid w:val="00C4361A"/>
    <w:rsid w:val="00C4395C"/>
    <w:rsid w:val="00C43E4B"/>
    <w:rsid w:val="00C441E5"/>
    <w:rsid w:val="00C44299"/>
    <w:rsid w:val="00C445B3"/>
    <w:rsid w:val="00C4463E"/>
    <w:rsid w:val="00C449C1"/>
    <w:rsid w:val="00C449EF"/>
    <w:rsid w:val="00C44A68"/>
    <w:rsid w:val="00C44BF9"/>
    <w:rsid w:val="00C44DB6"/>
    <w:rsid w:val="00C45123"/>
    <w:rsid w:val="00C453F4"/>
    <w:rsid w:val="00C453FD"/>
    <w:rsid w:val="00C45419"/>
    <w:rsid w:val="00C45433"/>
    <w:rsid w:val="00C4550F"/>
    <w:rsid w:val="00C455F1"/>
    <w:rsid w:val="00C456ED"/>
    <w:rsid w:val="00C4571B"/>
    <w:rsid w:val="00C45BD2"/>
    <w:rsid w:val="00C45CEE"/>
    <w:rsid w:val="00C45D01"/>
    <w:rsid w:val="00C460AA"/>
    <w:rsid w:val="00C46291"/>
    <w:rsid w:val="00C463F3"/>
    <w:rsid w:val="00C464AE"/>
    <w:rsid w:val="00C464EF"/>
    <w:rsid w:val="00C466C8"/>
    <w:rsid w:val="00C46787"/>
    <w:rsid w:val="00C46858"/>
    <w:rsid w:val="00C46971"/>
    <w:rsid w:val="00C46B29"/>
    <w:rsid w:val="00C46B9F"/>
    <w:rsid w:val="00C46C9A"/>
    <w:rsid w:val="00C46DE4"/>
    <w:rsid w:val="00C46F66"/>
    <w:rsid w:val="00C4704C"/>
    <w:rsid w:val="00C472A2"/>
    <w:rsid w:val="00C472A9"/>
    <w:rsid w:val="00C472CC"/>
    <w:rsid w:val="00C47366"/>
    <w:rsid w:val="00C473A9"/>
    <w:rsid w:val="00C47451"/>
    <w:rsid w:val="00C474E8"/>
    <w:rsid w:val="00C47565"/>
    <w:rsid w:val="00C4758D"/>
    <w:rsid w:val="00C4759B"/>
    <w:rsid w:val="00C4794A"/>
    <w:rsid w:val="00C47986"/>
    <w:rsid w:val="00C47BDF"/>
    <w:rsid w:val="00C47DA4"/>
    <w:rsid w:val="00C47E45"/>
    <w:rsid w:val="00C47E9F"/>
    <w:rsid w:val="00C47EDA"/>
    <w:rsid w:val="00C500FA"/>
    <w:rsid w:val="00C500FB"/>
    <w:rsid w:val="00C502EA"/>
    <w:rsid w:val="00C504B5"/>
    <w:rsid w:val="00C5055F"/>
    <w:rsid w:val="00C506AD"/>
    <w:rsid w:val="00C5082F"/>
    <w:rsid w:val="00C50913"/>
    <w:rsid w:val="00C50A6F"/>
    <w:rsid w:val="00C50CA0"/>
    <w:rsid w:val="00C50F52"/>
    <w:rsid w:val="00C510CA"/>
    <w:rsid w:val="00C511F6"/>
    <w:rsid w:val="00C51436"/>
    <w:rsid w:val="00C51654"/>
    <w:rsid w:val="00C51AAF"/>
    <w:rsid w:val="00C51DD2"/>
    <w:rsid w:val="00C51E65"/>
    <w:rsid w:val="00C51F88"/>
    <w:rsid w:val="00C51FA8"/>
    <w:rsid w:val="00C51FE1"/>
    <w:rsid w:val="00C5214E"/>
    <w:rsid w:val="00C5236B"/>
    <w:rsid w:val="00C523B0"/>
    <w:rsid w:val="00C5265D"/>
    <w:rsid w:val="00C526CF"/>
    <w:rsid w:val="00C527A8"/>
    <w:rsid w:val="00C52826"/>
    <w:rsid w:val="00C52ABB"/>
    <w:rsid w:val="00C52C87"/>
    <w:rsid w:val="00C52FDE"/>
    <w:rsid w:val="00C531EC"/>
    <w:rsid w:val="00C53239"/>
    <w:rsid w:val="00C53269"/>
    <w:rsid w:val="00C5333F"/>
    <w:rsid w:val="00C53362"/>
    <w:rsid w:val="00C535F8"/>
    <w:rsid w:val="00C53626"/>
    <w:rsid w:val="00C53970"/>
    <w:rsid w:val="00C53CD7"/>
    <w:rsid w:val="00C53CDE"/>
    <w:rsid w:val="00C53E02"/>
    <w:rsid w:val="00C53E48"/>
    <w:rsid w:val="00C5415A"/>
    <w:rsid w:val="00C54266"/>
    <w:rsid w:val="00C543BC"/>
    <w:rsid w:val="00C54467"/>
    <w:rsid w:val="00C546D2"/>
    <w:rsid w:val="00C5482E"/>
    <w:rsid w:val="00C5483F"/>
    <w:rsid w:val="00C5491B"/>
    <w:rsid w:val="00C54CA5"/>
    <w:rsid w:val="00C54EFF"/>
    <w:rsid w:val="00C54F08"/>
    <w:rsid w:val="00C55803"/>
    <w:rsid w:val="00C5595C"/>
    <w:rsid w:val="00C559F5"/>
    <w:rsid w:val="00C55A29"/>
    <w:rsid w:val="00C55A79"/>
    <w:rsid w:val="00C55B12"/>
    <w:rsid w:val="00C55D50"/>
    <w:rsid w:val="00C55E17"/>
    <w:rsid w:val="00C55EDD"/>
    <w:rsid w:val="00C5619C"/>
    <w:rsid w:val="00C568B9"/>
    <w:rsid w:val="00C568F5"/>
    <w:rsid w:val="00C56949"/>
    <w:rsid w:val="00C56A28"/>
    <w:rsid w:val="00C56B5D"/>
    <w:rsid w:val="00C56C41"/>
    <w:rsid w:val="00C56C9F"/>
    <w:rsid w:val="00C56D3C"/>
    <w:rsid w:val="00C56D90"/>
    <w:rsid w:val="00C56EF2"/>
    <w:rsid w:val="00C57085"/>
    <w:rsid w:val="00C57203"/>
    <w:rsid w:val="00C57744"/>
    <w:rsid w:val="00C5789B"/>
    <w:rsid w:val="00C579A1"/>
    <w:rsid w:val="00C57A84"/>
    <w:rsid w:val="00C57FAB"/>
    <w:rsid w:val="00C60135"/>
    <w:rsid w:val="00C60370"/>
    <w:rsid w:val="00C6049A"/>
    <w:rsid w:val="00C6049C"/>
    <w:rsid w:val="00C605B4"/>
    <w:rsid w:val="00C605EE"/>
    <w:rsid w:val="00C60703"/>
    <w:rsid w:val="00C6079B"/>
    <w:rsid w:val="00C60B9B"/>
    <w:rsid w:val="00C60D13"/>
    <w:rsid w:val="00C60DE8"/>
    <w:rsid w:val="00C60DFC"/>
    <w:rsid w:val="00C60F78"/>
    <w:rsid w:val="00C60FF9"/>
    <w:rsid w:val="00C610F1"/>
    <w:rsid w:val="00C61741"/>
    <w:rsid w:val="00C6183D"/>
    <w:rsid w:val="00C61ABA"/>
    <w:rsid w:val="00C61B4E"/>
    <w:rsid w:val="00C61D05"/>
    <w:rsid w:val="00C61DBA"/>
    <w:rsid w:val="00C61F17"/>
    <w:rsid w:val="00C61FD1"/>
    <w:rsid w:val="00C61FEB"/>
    <w:rsid w:val="00C62047"/>
    <w:rsid w:val="00C621AB"/>
    <w:rsid w:val="00C621DD"/>
    <w:rsid w:val="00C6229D"/>
    <w:rsid w:val="00C62423"/>
    <w:rsid w:val="00C62461"/>
    <w:rsid w:val="00C62683"/>
    <w:rsid w:val="00C6269E"/>
    <w:rsid w:val="00C628EA"/>
    <w:rsid w:val="00C62BF9"/>
    <w:rsid w:val="00C62BFD"/>
    <w:rsid w:val="00C62C2F"/>
    <w:rsid w:val="00C631D6"/>
    <w:rsid w:val="00C63306"/>
    <w:rsid w:val="00C6344F"/>
    <w:rsid w:val="00C634F9"/>
    <w:rsid w:val="00C638C6"/>
    <w:rsid w:val="00C63983"/>
    <w:rsid w:val="00C639AB"/>
    <w:rsid w:val="00C63D76"/>
    <w:rsid w:val="00C63E83"/>
    <w:rsid w:val="00C63F3C"/>
    <w:rsid w:val="00C63FE3"/>
    <w:rsid w:val="00C64016"/>
    <w:rsid w:val="00C642E7"/>
    <w:rsid w:val="00C64486"/>
    <w:rsid w:val="00C644AF"/>
    <w:rsid w:val="00C645D0"/>
    <w:rsid w:val="00C647F0"/>
    <w:rsid w:val="00C648CF"/>
    <w:rsid w:val="00C649AE"/>
    <w:rsid w:val="00C64AAF"/>
    <w:rsid w:val="00C64F8C"/>
    <w:rsid w:val="00C65060"/>
    <w:rsid w:val="00C651BE"/>
    <w:rsid w:val="00C65258"/>
    <w:rsid w:val="00C6544D"/>
    <w:rsid w:val="00C65530"/>
    <w:rsid w:val="00C6585A"/>
    <w:rsid w:val="00C659DE"/>
    <w:rsid w:val="00C65A68"/>
    <w:rsid w:val="00C65BB2"/>
    <w:rsid w:val="00C65F65"/>
    <w:rsid w:val="00C65FE0"/>
    <w:rsid w:val="00C65FEF"/>
    <w:rsid w:val="00C66367"/>
    <w:rsid w:val="00C664DC"/>
    <w:rsid w:val="00C665B5"/>
    <w:rsid w:val="00C666EC"/>
    <w:rsid w:val="00C66795"/>
    <w:rsid w:val="00C66B09"/>
    <w:rsid w:val="00C66DD5"/>
    <w:rsid w:val="00C66DE1"/>
    <w:rsid w:val="00C66E2A"/>
    <w:rsid w:val="00C66FA4"/>
    <w:rsid w:val="00C66FBF"/>
    <w:rsid w:val="00C67051"/>
    <w:rsid w:val="00C672BE"/>
    <w:rsid w:val="00C67447"/>
    <w:rsid w:val="00C67530"/>
    <w:rsid w:val="00C675D2"/>
    <w:rsid w:val="00C67663"/>
    <w:rsid w:val="00C676CB"/>
    <w:rsid w:val="00C6772C"/>
    <w:rsid w:val="00C678AB"/>
    <w:rsid w:val="00C67AF1"/>
    <w:rsid w:val="00C67D4C"/>
    <w:rsid w:val="00C70199"/>
    <w:rsid w:val="00C7095F"/>
    <w:rsid w:val="00C70AFC"/>
    <w:rsid w:val="00C70B11"/>
    <w:rsid w:val="00C70B16"/>
    <w:rsid w:val="00C70C77"/>
    <w:rsid w:val="00C70DA1"/>
    <w:rsid w:val="00C71052"/>
    <w:rsid w:val="00C71103"/>
    <w:rsid w:val="00C713AF"/>
    <w:rsid w:val="00C71776"/>
    <w:rsid w:val="00C717D3"/>
    <w:rsid w:val="00C71883"/>
    <w:rsid w:val="00C71AC7"/>
    <w:rsid w:val="00C71E2D"/>
    <w:rsid w:val="00C71F11"/>
    <w:rsid w:val="00C72111"/>
    <w:rsid w:val="00C7214B"/>
    <w:rsid w:val="00C721B5"/>
    <w:rsid w:val="00C721EC"/>
    <w:rsid w:val="00C72400"/>
    <w:rsid w:val="00C72451"/>
    <w:rsid w:val="00C726B6"/>
    <w:rsid w:val="00C727D7"/>
    <w:rsid w:val="00C72803"/>
    <w:rsid w:val="00C72996"/>
    <w:rsid w:val="00C72B44"/>
    <w:rsid w:val="00C72CC9"/>
    <w:rsid w:val="00C72DD1"/>
    <w:rsid w:val="00C72E0F"/>
    <w:rsid w:val="00C72E5C"/>
    <w:rsid w:val="00C730FC"/>
    <w:rsid w:val="00C7336D"/>
    <w:rsid w:val="00C733EE"/>
    <w:rsid w:val="00C73579"/>
    <w:rsid w:val="00C735A2"/>
    <w:rsid w:val="00C737B8"/>
    <w:rsid w:val="00C738BE"/>
    <w:rsid w:val="00C739C1"/>
    <w:rsid w:val="00C73E8B"/>
    <w:rsid w:val="00C744D5"/>
    <w:rsid w:val="00C7461F"/>
    <w:rsid w:val="00C746BB"/>
    <w:rsid w:val="00C746CA"/>
    <w:rsid w:val="00C74784"/>
    <w:rsid w:val="00C747C3"/>
    <w:rsid w:val="00C748AC"/>
    <w:rsid w:val="00C74AB3"/>
    <w:rsid w:val="00C74AD9"/>
    <w:rsid w:val="00C74BAD"/>
    <w:rsid w:val="00C74CFF"/>
    <w:rsid w:val="00C74F56"/>
    <w:rsid w:val="00C74FE4"/>
    <w:rsid w:val="00C75005"/>
    <w:rsid w:val="00C75375"/>
    <w:rsid w:val="00C7545E"/>
    <w:rsid w:val="00C755F2"/>
    <w:rsid w:val="00C75664"/>
    <w:rsid w:val="00C7577F"/>
    <w:rsid w:val="00C759B5"/>
    <w:rsid w:val="00C75A69"/>
    <w:rsid w:val="00C75C00"/>
    <w:rsid w:val="00C75CC1"/>
    <w:rsid w:val="00C75D94"/>
    <w:rsid w:val="00C75E0B"/>
    <w:rsid w:val="00C761A1"/>
    <w:rsid w:val="00C7638A"/>
    <w:rsid w:val="00C76722"/>
    <w:rsid w:val="00C76B8F"/>
    <w:rsid w:val="00C76BE7"/>
    <w:rsid w:val="00C76D00"/>
    <w:rsid w:val="00C76F59"/>
    <w:rsid w:val="00C7719A"/>
    <w:rsid w:val="00C77270"/>
    <w:rsid w:val="00C774D8"/>
    <w:rsid w:val="00C774F8"/>
    <w:rsid w:val="00C77769"/>
    <w:rsid w:val="00C777A1"/>
    <w:rsid w:val="00C7780B"/>
    <w:rsid w:val="00C77E6E"/>
    <w:rsid w:val="00C77ED6"/>
    <w:rsid w:val="00C77F22"/>
    <w:rsid w:val="00C77FAE"/>
    <w:rsid w:val="00C8007D"/>
    <w:rsid w:val="00C802DE"/>
    <w:rsid w:val="00C80565"/>
    <w:rsid w:val="00C805A0"/>
    <w:rsid w:val="00C805DA"/>
    <w:rsid w:val="00C805EE"/>
    <w:rsid w:val="00C80665"/>
    <w:rsid w:val="00C80781"/>
    <w:rsid w:val="00C80AAA"/>
    <w:rsid w:val="00C80BBE"/>
    <w:rsid w:val="00C80FE0"/>
    <w:rsid w:val="00C8134A"/>
    <w:rsid w:val="00C81534"/>
    <w:rsid w:val="00C818A7"/>
    <w:rsid w:val="00C81A4A"/>
    <w:rsid w:val="00C81D23"/>
    <w:rsid w:val="00C81FE4"/>
    <w:rsid w:val="00C82184"/>
    <w:rsid w:val="00C822C6"/>
    <w:rsid w:val="00C82349"/>
    <w:rsid w:val="00C82363"/>
    <w:rsid w:val="00C82394"/>
    <w:rsid w:val="00C823AE"/>
    <w:rsid w:val="00C824B0"/>
    <w:rsid w:val="00C8250E"/>
    <w:rsid w:val="00C8251D"/>
    <w:rsid w:val="00C82602"/>
    <w:rsid w:val="00C826EE"/>
    <w:rsid w:val="00C829ED"/>
    <w:rsid w:val="00C829FA"/>
    <w:rsid w:val="00C82A34"/>
    <w:rsid w:val="00C82AC7"/>
    <w:rsid w:val="00C82B4B"/>
    <w:rsid w:val="00C82EEC"/>
    <w:rsid w:val="00C82F38"/>
    <w:rsid w:val="00C83087"/>
    <w:rsid w:val="00C83150"/>
    <w:rsid w:val="00C83360"/>
    <w:rsid w:val="00C8365D"/>
    <w:rsid w:val="00C8366A"/>
    <w:rsid w:val="00C836A5"/>
    <w:rsid w:val="00C838F5"/>
    <w:rsid w:val="00C83E2E"/>
    <w:rsid w:val="00C8416F"/>
    <w:rsid w:val="00C843A8"/>
    <w:rsid w:val="00C84478"/>
    <w:rsid w:val="00C84697"/>
    <w:rsid w:val="00C846BD"/>
    <w:rsid w:val="00C84712"/>
    <w:rsid w:val="00C8482D"/>
    <w:rsid w:val="00C84895"/>
    <w:rsid w:val="00C84D02"/>
    <w:rsid w:val="00C84ECF"/>
    <w:rsid w:val="00C84EE7"/>
    <w:rsid w:val="00C8513A"/>
    <w:rsid w:val="00C853E7"/>
    <w:rsid w:val="00C855C0"/>
    <w:rsid w:val="00C85690"/>
    <w:rsid w:val="00C85BCF"/>
    <w:rsid w:val="00C85CA6"/>
    <w:rsid w:val="00C85EAE"/>
    <w:rsid w:val="00C85EB4"/>
    <w:rsid w:val="00C860B7"/>
    <w:rsid w:val="00C8617B"/>
    <w:rsid w:val="00C8636A"/>
    <w:rsid w:val="00C865EC"/>
    <w:rsid w:val="00C8671C"/>
    <w:rsid w:val="00C8672F"/>
    <w:rsid w:val="00C86B9D"/>
    <w:rsid w:val="00C86D86"/>
    <w:rsid w:val="00C86DD4"/>
    <w:rsid w:val="00C86DFA"/>
    <w:rsid w:val="00C871CA"/>
    <w:rsid w:val="00C872C3"/>
    <w:rsid w:val="00C8731D"/>
    <w:rsid w:val="00C873ED"/>
    <w:rsid w:val="00C8759B"/>
    <w:rsid w:val="00C875DF"/>
    <w:rsid w:val="00C876E6"/>
    <w:rsid w:val="00C87784"/>
    <w:rsid w:val="00C87832"/>
    <w:rsid w:val="00C87A4F"/>
    <w:rsid w:val="00C87BD6"/>
    <w:rsid w:val="00C87DF6"/>
    <w:rsid w:val="00C87F99"/>
    <w:rsid w:val="00C87FE4"/>
    <w:rsid w:val="00C902D7"/>
    <w:rsid w:val="00C903FF"/>
    <w:rsid w:val="00C9067D"/>
    <w:rsid w:val="00C90A84"/>
    <w:rsid w:val="00C90C1A"/>
    <w:rsid w:val="00C90E29"/>
    <w:rsid w:val="00C912B9"/>
    <w:rsid w:val="00C91465"/>
    <w:rsid w:val="00C91574"/>
    <w:rsid w:val="00C916AF"/>
    <w:rsid w:val="00C916DB"/>
    <w:rsid w:val="00C91875"/>
    <w:rsid w:val="00C91AEA"/>
    <w:rsid w:val="00C91BFB"/>
    <w:rsid w:val="00C91D9A"/>
    <w:rsid w:val="00C91D9D"/>
    <w:rsid w:val="00C91DEA"/>
    <w:rsid w:val="00C91DF5"/>
    <w:rsid w:val="00C91DF8"/>
    <w:rsid w:val="00C91E4B"/>
    <w:rsid w:val="00C9218F"/>
    <w:rsid w:val="00C9222C"/>
    <w:rsid w:val="00C92687"/>
    <w:rsid w:val="00C9292E"/>
    <w:rsid w:val="00C929C1"/>
    <w:rsid w:val="00C92A3B"/>
    <w:rsid w:val="00C92AB7"/>
    <w:rsid w:val="00C92B78"/>
    <w:rsid w:val="00C92C86"/>
    <w:rsid w:val="00C92C9B"/>
    <w:rsid w:val="00C92D51"/>
    <w:rsid w:val="00C92E42"/>
    <w:rsid w:val="00C92E5F"/>
    <w:rsid w:val="00C92FBF"/>
    <w:rsid w:val="00C93006"/>
    <w:rsid w:val="00C9316C"/>
    <w:rsid w:val="00C93230"/>
    <w:rsid w:val="00C932AA"/>
    <w:rsid w:val="00C93362"/>
    <w:rsid w:val="00C934FF"/>
    <w:rsid w:val="00C93551"/>
    <w:rsid w:val="00C936AE"/>
    <w:rsid w:val="00C9393C"/>
    <w:rsid w:val="00C93997"/>
    <w:rsid w:val="00C939C9"/>
    <w:rsid w:val="00C93AA0"/>
    <w:rsid w:val="00C93B0C"/>
    <w:rsid w:val="00C93BB1"/>
    <w:rsid w:val="00C93C1F"/>
    <w:rsid w:val="00C93F02"/>
    <w:rsid w:val="00C94176"/>
    <w:rsid w:val="00C9418D"/>
    <w:rsid w:val="00C944A5"/>
    <w:rsid w:val="00C946D7"/>
    <w:rsid w:val="00C94A80"/>
    <w:rsid w:val="00C94A9E"/>
    <w:rsid w:val="00C94AE9"/>
    <w:rsid w:val="00C94C6B"/>
    <w:rsid w:val="00C94E0D"/>
    <w:rsid w:val="00C94ED5"/>
    <w:rsid w:val="00C9536C"/>
    <w:rsid w:val="00C95458"/>
    <w:rsid w:val="00C955A0"/>
    <w:rsid w:val="00C95923"/>
    <w:rsid w:val="00C959E5"/>
    <w:rsid w:val="00C959F2"/>
    <w:rsid w:val="00C95A02"/>
    <w:rsid w:val="00C95A96"/>
    <w:rsid w:val="00C95CDD"/>
    <w:rsid w:val="00C95EEE"/>
    <w:rsid w:val="00C96669"/>
    <w:rsid w:val="00C96705"/>
    <w:rsid w:val="00C96B62"/>
    <w:rsid w:val="00C96CA0"/>
    <w:rsid w:val="00C96CBF"/>
    <w:rsid w:val="00C96D82"/>
    <w:rsid w:val="00C96DAE"/>
    <w:rsid w:val="00C9719F"/>
    <w:rsid w:val="00C971EB"/>
    <w:rsid w:val="00C9726C"/>
    <w:rsid w:val="00C972FA"/>
    <w:rsid w:val="00C97322"/>
    <w:rsid w:val="00C974CD"/>
    <w:rsid w:val="00C9759B"/>
    <w:rsid w:val="00C97610"/>
    <w:rsid w:val="00C97750"/>
    <w:rsid w:val="00C979AE"/>
    <w:rsid w:val="00C97AEF"/>
    <w:rsid w:val="00C97DB8"/>
    <w:rsid w:val="00C97EF6"/>
    <w:rsid w:val="00C97F22"/>
    <w:rsid w:val="00C97F4A"/>
    <w:rsid w:val="00CA0052"/>
    <w:rsid w:val="00CA050D"/>
    <w:rsid w:val="00CA0C20"/>
    <w:rsid w:val="00CA0E3E"/>
    <w:rsid w:val="00CA0E43"/>
    <w:rsid w:val="00CA0FA8"/>
    <w:rsid w:val="00CA107C"/>
    <w:rsid w:val="00CA1204"/>
    <w:rsid w:val="00CA1245"/>
    <w:rsid w:val="00CA146D"/>
    <w:rsid w:val="00CA1569"/>
    <w:rsid w:val="00CA15AC"/>
    <w:rsid w:val="00CA1C9F"/>
    <w:rsid w:val="00CA1CF9"/>
    <w:rsid w:val="00CA1D78"/>
    <w:rsid w:val="00CA1F2C"/>
    <w:rsid w:val="00CA202C"/>
    <w:rsid w:val="00CA2158"/>
    <w:rsid w:val="00CA22C2"/>
    <w:rsid w:val="00CA239C"/>
    <w:rsid w:val="00CA23E8"/>
    <w:rsid w:val="00CA2444"/>
    <w:rsid w:val="00CA2463"/>
    <w:rsid w:val="00CA26DF"/>
    <w:rsid w:val="00CA2A80"/>
    <w:rsid w:val="00CA2D08"/>
    <w:rsid w:val="00CA2D0E"/>
    <w:rsid w:val="00CA3157"/>
    <w:rsid w:val="00CA325F"/>
    <w:rsid w:val="00CA33D1"/>
    <w:rsid w:val="00CA342F"/>
    <w:rsid w:val="00CA3449"/>
    <w:rsid w:val="00CA35EF"/>
    <w:rsid w:val="00CA36EC"/>
    <w:rsid w:val="00CA3858"/>
    <w:rsid w:val="00CA3BD5"/>
    <w:rsid w:val="00CA3EE1"/>
    <w:rsid w:val="00CA3EE9"/>
    <w:rsid w:val="00CA4172"/>
    <w:rsid w:val="00CA422F"/>
    <w:rsid w:val="00CA44B6"/>
    <w:rsid w:val="00CA49CE"/>
    <w:rsid w:val="00CA4B4B"/>
    <w:rsid w:val="00CA4B58"/>
    <w:rsid w:val="00CA4C84"/>
    <w:rsid w:val="00CA4E83"/>
    <w:rsid w:val="00CA5099"/>
    <w:rsid w:val="00CA53F0"/>
    <w:rsid w:val="00CA55AF"/>
    <w:rsid w:val="00CA55DB"/>
    <w:rsid w:val="00CA593A"/>
    <w:rsid w:val="00CA5D50"/>
    <w:rsid w:val="00CA5EFA"/>
    <w:rsid w:val="00CA60E3"/>
    <w:rsid w:val="00CA6300"/>
    <w:rsid w:val="00CA64E6"/>
    <w:rsid w:val="00CA66EA"/>
    <w:rsid w:val="00CA6707"/>
    <w:rsid w:val="00CA6774"/>
    <w:rsid w:val="00CA67CF"/>
    <w:rsid w:val="00CA68F0"/>
    <w:rsid w:val="00CA69FF"/>
    <w:rsid w:val="00CA6CD9"/>
    <w:rsid w:val="00CA6D4C"/>
    <w:rsid w:val="00CA6D76"/>
    <w:rsid w:val="00CA6D8A"/>
    <w:rsid w:val="00CA6DA2"/>
    <w:rsid w:val="00CA6FB9"/>
    <w:rsid w:val="00CA6FEC"/>
    <w:rsid w:val="00CA7685"/>
    <w:rsid w:val="00CA76BA"/>
    <w:rsid w:val="00CA791C"/>
    <w:rsid w:val="00CA7C1C"/>
    <w:rsid w:val="00CA7C31"/>
    <w:rsid w:val="00CA7EBE"/>
    <w:rsid w:val="00CA7F88"/>
    <w:rsid w:val="00CB00A3"/>
    <w:rsid w:val="00CB021C"/>
    <w:rsid w:val="00CB051E"/>
    <w:rsid w:val="00CB063C"/>
    <w:rsid w:val="00CB0793"/>
    <w:rsid w:val="00CB083F"/>
    <w:rsid w:val="00CB08FB"/>
    <w:rsid w:val="00CB092B"/>
    <w:rsid w:val="00CB0BBE"/>
    <w:rsid w:val="00CB0C6F"/>
    <w:rsid w:val="00CB0E45"/>
    <w:rsid w:val="00CB1287"/>
    <w:rsid w:val="00CB129C"/>
    <w:rsid w:val="00CB150F"/>
    <w:rsid w:val="00CB18E6"/>
    <w:rsid w:val="00CB1903"/>
    <w:rsid w:val="00CB1935"/>
    <w:rsid w:val="00CB1B85"/>
    <w:rsid w:val="00CB1BBE"/>
    <w:rsid w:val="00CB1BCB"/>
    <w:rsid w:val="00CB1BFB"/>
    <w:rsid w:val="00CB20C0"/>
    <w:rsid w:val="00CB24B5"/>
    <w:rsid w:val="00CB2544"/>
    <w:rsid w:val="00CB2798"/>
    <w:rsid w:val="00CB27A5"/>
    <w:rsid w:val="00CB2877"/>
    <w:rsid w:val="00CB2903"/>
    <w:rsid w:val="00CB2A40"/>
    <w:rsid w:val="00CB2DE7"/>
    <w:rsid w:val="00CB333A"/>
    <w:rsid w:val="00CB352C"/>
    <w:rsid w:val="00CB3595"/>
    <w:rsid w:val="00CB36A2"/>
    <w:rsid w:val="00CB3767"/>
    <w:rsid w:val="00CB3825"/>
    <w:rsid w:val="00CB3859"/>
    <w:rsid w:val="00CB3927"/>
    <w:rsid w:val="00CB3BA1"/>
    <w:rsid w:val="00CB3BF4"/>
    <w:rsid w:val="00CB3D20"/>
    <w:rsid w:val="00CB3E43"/>
    <w:rsid w:val="00CB3F88"/>
    <w:rsid w:val="00CB4320"/>
    <w:rsid w:val="00CB436F"/>
    <w:rsid w:val="00CB439B"/>
    <w:rsid w:val="00CB43BE"/>
    <w:rsid w:val="00CB4475"/>
    <w:rsid w:val="00CB460C"/>
    <w:rsid w:val="00CB4C70"/>
    <w:rsid w:val="00CB4CC5"/>
    <w:rsid w:val="00CB4D03"/>
    <w:rsid w:val="00CB4D84"/>
    <w:rsid w:val="00CB4F07"/>
    <w:rsid w:val="00CB4F8E"/>
    <w:rsid w:val="00CB5036"/>
    <w:rsid w:val="00CB514E"/>
    <w:rsid w:val="00CB5423"/>
    <w:rsid w:val="00CB556C"/>
    <w:rsid w:val="00CB5957"/>
    <w:rsid w:val="00CB59AA"/>
    <w:rsid w:val="00CB5AAC"/>
    <w:rsid w:val="00CB5CCC"/>
    <w:rsid w:val="00CB5E2B"/>
    <w:rsid w:val="00CB60EA"/>
    <w:rsid w:val="00CB616D"/>
    <w:rsid w:val="00CB633F"/>
    <w:rsid w:val="00CB638A"/>
    <w:rsid w:val="00CB639F"/>
    <w:rsid w:val="00CB65CD"/>
    <w:rsid w:val="00CB6639"/>
    <w:rsid w:val="00CB67EF"/>
    <w:rsid w:val="00CB686F"/>
    <w:rsid w:val="00CB6B1C"/>
    <w:rsid w:val="00CB6C45"/>
    <w:rsid w:val="00CB6D05"/>
    <w:rsid w:val="00CB6F48"/>
    <w:rsid w:val="00CB712B"/>
    <w:rsid w:val="00CB73E9"/>
    <w:rsid w:val="00CB75F6"/>
    <w:rsid w:val="00CB7784"/>
    <w:rsid w:val="00CB7869"/>
    <w:rsid w:val="00CB78E9"/>
    <w:rsid w:val="00CB7921"/>
    <w:rsid w:val="00CB7933"/>
    <w:rsid w:val="00CB793B"/>
    <w:rsid w:val="00CB7957"/>
    <w:rsid w:val="00CB796E"/>
    <w:rsid w:val="00CB7B46"/>
    <w:rsid w:val="00CB7BA1"/>
    <w:rsid w:val="00CB7C67"/>
    <w:rsid w:val="00CB7E7C"/>
    <w:rsid w:val="00CC0069"/>
    <w:rsid w:val="00CC0196"/>
    <w:rsid w:val="00CC02BC"/>
    <w:rsid w:val="00CC0751"/>
    <w:rsid w:val="00CC085B"/>
    <w:rsid w:val="00CC0924"/>
    <w:rsid w:val="00CC0926"/>
    <w:rsid w:val="00CC0FD6"/>
    <w:rsid w:val="00CC104D"/>
    <w:rsid w:val="00CC1580"/>
    <w:rsid w:val="00CC1603"/>
    <w:rsid w:val="00CC1764"/>
    <w:rsid w:val="00CC17E1"/>
    <w:rsid w:val="00CC199D"/>
    <w:rsid w:val="00CC1A2C"/>
    <w:rsid w:val="00CC1B87"/>
    <w:rsid w:val="00CC1B97"/>
    <w:rsid w:val="00CC1D52"/>
    <w:rsid w:val="00CC1F5E"/>
    <w:rsid w:val="00CC2000"/>
    <w:rsid w:val="00CC21EC"/>
    <w:rsid w:val="00CC2201"/>
    <w:rsid w:val="00CC220F"/>
    <w:rsid w:val="00CC2259"/>
    <w:rsid w:val="00CC25F4"/>
    <w:rsid w:val="00CC2B94"/>
    <w:rsid w:val="00CC2DEF"/>
    <w:rsid w:val="00CC2F65"/>
    <w:rsid w:val="00CC2F71"/>
    <w:rsid w:val="00CC2F72"/>
    <w:rsid w:val="00CC3348"/>
    <w:rsid w:val="00CC33A8"/>
    <w:rsid w:val="00CC34ED"/>
    <w:rsid w:val="00CC38CB"/>
    <w:rsid w:val="00CC3B83"/>
    <w:rsid w:val="00CC3C37"/>
    <w:rsid w:val="00CC3DBD"/>
    <w:rsid w:val="00CC3EE8"/>
    <w:rsid w:val="00CC40F3"/>
    <w:rsid w:val="00CC4461"/>
    <w:rsid w:val="00CC453A"/>
    <w:rsid w:val="00CC4A2D"/>
    <w:rsid w:val="00CC4A94"/>
    <w:rsid w:val="00CC4C21"/>
    <w:rsid w:val="00CC4DAA"/>
    <w:rsid w:val="00CC4DEB"/>
    <w:rsid w:val="00CC4FEE"/>
    <w:rsid w:val="00CC504A"/>
    <w:rsid w:val="00CC5075"/>
    <w:rsid w:val="00CC5174"/>
    <w:rsid w:val="00CC5373"/>
    <w:rsid w:val="00CC543E"/>
    <w:rsid w:val="00CC547C"/>
    <w:rsid w:val="00CC5480"/>
    <w:rsid w:val="00CC562F"/>
    <w:rsid w:val="00CC56CD"/>
    <w:rsid w:val="00CC575F"/>
    <w:rsid w:val="00CC59AF"/>
    <w:rsid w:val="00CC5D41"/>
    <w:rsid w:val="00CC5EE0"/>
    <w:rsid w:val="00CC604E"/>
    <w:rsid w:val="00CC6448"/>
    <w:rsid w:val="00CC64E0"/>
    <w:rsid w:val="00CC683F"/>
    <w:rsid w:val="00CC69DD"/>
    <w:rsid w:val="00CC6C28"/>
    <w:rsid w:val="00CC6F0F"/>
    <w:rsid w:val="00CC7102"/>
    <w:rsid w:val="00CC71A7"/>
    <w:rsid w:val="00CC7512"/>
    <w:rsid w:val="00CC75E0"/>
    <w:rsid w:val="00CC76C4"/>
    <w:rsid w:val="00CC7957"/>
    <w:rsid w:val="00CC7B63"/>
    <w:rsid w:val="00CC7F2D"/>
    <w:rsid w:val="00CD029D"/>
    <w:rsid w:val="00CD0477"/>
    <w:rsid w:val="00CD05B4"/>
    <w:rsid w:val="00CD05E3"/>
    <w:rsid w:val="00CD0948"/>
    <w:rsid w:val="00CD09C7"/>
    <w:rsid w:val="00CD0C0B"/>
    <w:rsid w:val="00CD0F0F"/>
    <w:rsid w:val="00CD0F9B"/>
    <w:rsid w:val="00CD104A"/>
    <w:rsid w:val="00CD11EE"/>
    <w:rsid w:val="00CD13FE"/>
    <w:rsid w:val="00CD1722"/>
    <w:rsid w:val="00CD1784"/>
    <w:rsid w:val="00CD1CC6"/>
    <w:rsid w:val="00CD1D37"/>
    <w:rsid w:val="00CD21BD"/>
    <w:rsid w:val="00CD2284"/>
    <w:rsid w:val="00CD247F"/>
    <w:rsid w:val="00CD24C1"/>
    <w:rsid w:val="00CD2664"/>
    <w:rsid w:val="00CD267F"/>
    <w:rsid w:val="00CD27F6"/>
    <w:rsid w:val="00CD299A"/>
    <w:rsid w:val="00CD29C8"/>
    <w:rsid w:val="00CD2BDE"/>
    <w:rsid w:val="00CD2C1E"/>
    <w:rsid w:val="00CD2E42"/>
    <w:rsid w:val="00CD2E8A"/>
    <w:rsid w:val="00CD2F11"/>
    <w:rsid w:val="00CD3537"/>
    <w:rsid w:val="00CD3852"/>
    <w:rsid w:val="00CD390C"/>
    <w:rsid w:val="00CD3ABF"/>
    <w:rsid w:val="00CD3C73"/>
    <w:rsid w:val="00CD3D83"/>
    <w:rsid w:val="00CD3F66"/>
    <w:rsid w:val="00CD3FC2"/>
    <w:rsid w:val="00CD3FE1"/>
    <w:rsid w:val="00CD4365"/>
    <w:rsid w:val="00CD459F"/>
    <w:rsid w:val="00CD45BA"/>
    <w:rsid w:val="00CD47E5"/>
    <w:rsid w:val="00CD4B67"/>
    <w:rsid w:val="00CD4B95"/>
    <w:rsid w:val="00CD4CB3"/>
    <w:rsid w:val="00CD4CD3"/>
    <w:rsid w:val="00CD4CF4"/>
    <w:rsid w:val="00CD4D17"/>
    <w:rsid w:val="00CD4D46"/>
    <w:rsid w:val="00CD5009"/>
    <w:rsid w:val="00CD51FD"/>
    <w:rsid w:val="00CD556C"/>
    <w:rsid w:val="00CD55CC"/>
    <w:rsid w:val="00CD56AA"/>
    <w:rsid w:val="00CD5731"/>
    <w:rsid w:val="00CD57C2"/>
    <w:rsid w:val="00CD58A3"/>
    <w:rsid w:val="00CD59DD"/>
    <w:rsid w:val="00CD5A7C"/>
    <w:rsid w:val="00CD5A93"/>
    <w:rsid w:val="00CD5AE4"/>
    <w:rsid w:val="00CD5C91"/>
    <w:rsid w:val="00CD5D53"/>
    <w:rsid w:val="00CD5EB0"/>
    <w:rsid w:val="00CD6352"/>
    <w:rsid w:val="00CD6732"/>
    <w:rsid w:val="00CD6741"/>
    <w:rsid w:val="00CD683B"/>
    <w:rsid w:val="00CD6C40"/>
    <w:rsid w:val="00CD6CA2"/>
    <w:rsid w:val="00CD6DD5"/>
    <w:rsid w:val="00CD6E19"/>
    <w:rsid w:val="00CD6FB5"/>
    <w:rsid w:val="00CD6FC5"/>
    <w:rsid w:val="00CD7029"/>
    <w:rsid w:val="00CD714D"/>
    <w:rsid w:val="00CD7465"/>
    <w:rsid w:val="00CD7512"/>
    <w:rsid w:val="00CD779F"/>
    <w:rsid w:val="00CD781A"/>
    <w:rsid w:val="00CD79B2"/>
    <w:rsid w:val="00CD7B93"/>
    <w:rsid w:val="00CD7E3E"/>
    <w:rsid w:val="00CD7F1B"/>
    <w:rsid w:val="00CD7F9C"/>
    <w:rsid w:val="00CE00A8"/>
    <w:rsid w:val="00CE015E"/>
    <w:rsid w:val="00CE037A"/>
    <w:rsid w:val="00CE046B"/>
    <w:rsid w:val="00CE0488"/>
    <w:rsid w:val="00CE0506"/>
    <w:rsid w:val="00CE0746"/>
    <w:rsid w:val="00CE074D"/>
    <w:rsid w:val="00CE080E"/>
    <w:rsid w:val="00CE0A26"/>
    <w:rsid w:val="00CE0AFC"/>
    <w:rsid w:val="00CE0C39"/>
    <w:rsid w:val="00CE0D0A"/>
    <w:rsid w:val="00CE0E5D"/>
    <w:rsid w:val="00CE0E94"/>
    <w:rsid w:val="00CE0FC5"/>
    <w:rsid w:val="00CE1252"/>
    <w:rsid w:val="00CE13BF"/>
    <w:rsid w:val="00CE13DA"/>
    <w:rsid w:val="00CE1486"/>
    <w:rsid w:val="00CE14A8"/>
    <w:rsid w:val="00CE1525"/>
    <w:rsid w:val="00CE1588"/>
    <w:rsid w:val="00CE16DC"/>
    <w:rsid w:val="00CE1706"/>
    <w:rsid w:val="00CE19FF"/>
    <w:rsid w:val="00CE1A07"/>
    <w:rsid w:val="00CE1A25"/>
    <w:rsid w:val="00CE1A72"/>
    <w:rsid w:val="00CE1A9F"/>
    <w:rsid w:val="00CE1B05"/>
    <w:rsid w:val="00CE1C1B"/>
    <w:rsid w:val="00CE1FEE"/>
    <w:rsid w:val="00CE210B"/>
    <w:rsid w:val="00CE247D"/>
    <w:rsid w:val="00CE2659"/>
    <w:rsid w:val="00CE26EB"/>
    <w:rsid w:val="00CE2743"/>
    <w:rsid w:val="00CE29BB"/>
    <w:rsid w:val="00CE2A1C"/>
    <w:rsid w:val="00CE2A3C"/>
    <w:rsid w:val="00CE2CBD"/>
    <w:rsid w:val="00CE304E"/>
    <w:rsid w:val="00CE30CA"/>
    <w:rsid w:val="00CE30F0"/>
    <w:rsid w:val="00CE31CF"/>
    <w:rsid w:val="00CE32BD"/>
    <w:rsid w:val="00CE33D5"/>
    <w:rsid w:val="00CE3543"/>
    <w:rsid w:val="00CE36F8"/>
    <w:rsid w:val="00CE37F4"/>
    <w:rsid w:val="00CE38A8"/>
    <w:rsid w:val="00CE3925"/>
    <w:rsid w:val="00CE3B5C"/>
    <w:rsid w:val="00CE3E3C"/>
    <w:rsid w:val="00CE41C5"/>
    <w:rsid w:val="00CE447E"/>
    <w:rsid w:val="00CE4825"/>
    <w:rsid w:val="00CE48C7"/>
    <w:rsid w:val="00CE4B8C"/>
    <w:rsid w:val="00CE4CDA"/>
    <w:rsid w:val="00CE4DCA"/>
    <w:rsid w:val="00CE4EDD"/>
    <w:rsid w:val="00CE4F88"/>
    <w:rsid w:val="00CE51D6"/>
    <w:rsid w:val="00CE51EF"/>
    <w:rsid w:val="00CE5218"/>
    <w:rsid w:val="00CE5572"/>
    <w:rsid w:val="00CE563D"/>
    <w:rsid w:val="00CE5712"/>
    <w:rsid w:val="00CE5BD8"/>
    <w:rsid w:val="00CE5C4C"/>
    <w:rsid w:val="00CE5E3B"/>
    <w:rsid w:val="00CE5F0C"/>
    <w:rsid w:val="00CE5FC4"/>
    <w:rsid w:val="00CE61F7"/>
    <w:rsid w:val="00CE635F"/>
    <w:rsid w:val="00CE6420"/>
    <w:rsid w:val="00CE64F6"/>
    <w:rsid w:val="00CE6817"/>
    <w:rsid w:val="00CE68CF"/>
    <w:rsid w:val="00CE68EC"/>
    <w:rsid w:val="00CE6A9C"/>
    <w:rsid w:val="00CE6B0C"/>
    <w:rsid w:val="00CE6B39"/>
    <w:rsid w:val="00CE6CBB"/>
    <w:rsid w:val="00CE6D37"/>
    <w:rsid w:val="00CE6D8B"/>
    <w:rsid w:val="00CE6DDE"/>
    <w:rsid w:val="00CE6FB7"/>
    <w:rsid w:val="00CE7029"/>
    <w:rsid w:val="00CE70D2"/>
    <w:rsid w:val="00CE71EB"/>
    <w:rsid w:val="00CE73BA"/>
    <w:rsid w:val="00CE73F3"/>
    <w:rsid w:val="00CE7498"/>
    <w:rsid w:val="00CE75C1"/>
    <w:rsid w:val="00CE76C1"/>
    <w:rsid w:val="00CE77F4"/>
    <w:rsid w:val="00CE7901"/>
    <w:rsid w:val="00CE797C"/>
    <w:rsid w:val="00CE7AA8"/>
    <w:rsid w:val="00CE7AC7"/>
    <w:rsid w:val="00CE7D0B"/>
    <w:rsid w:val="00CE7D83"/>
    <w:rsid w:val="00CE7F5A"/>
    <w:rsid w:val="00CF01E8"/>
    <w:rsid w:val="00CF0253"/>
    <w:rsid w:val="00CF05D9"/>
    <w:rsid w:val="00CF069E"/>
    <w:rsid w:val="00CF0743"/>
    <w:rsid w:val="00CF0AE4"/>
    <w:rsid w:val="00CF0DFE"/>
    <w:rsid w:val="00CF0EDB"/>
    <w:rsid w:val="00CF0F2C"/>
    <w:rsid w:val="00CF12A3"/>
    <w:rsid w:val="00CF12E2"/>
    <w:rsid w:val="00CF14B9"/>
    <w:rsid w:val="00CF17CE"/>
    <w:rsid w:val="00CF181B"/>
    <w:rsid w:val="00CF1B61"/>
    <w:rsid w:val="00CF1BFA"/>
    <w:rsid w:val="00CF1C5C"/>
    <w:rsid w:val="00CF1D7B"/>
    <w:rsid w:val="00CF2148"/>
    <w:rsid w:val="00CF2314"/>
    <w:rsid w:val="00CF23F7"/>
    <w:rsid w:val="00CF2481"/>
    <w:rsid w:val="00CF2675"/>
    <w:rsid w:val="00CF2A42"/>
    <w:rsid w:val="00CF2B94"/>
    <w:rsid w:val="00CF2C4C"/>
    <w:rsid w:val="00CF2DDE"/>
    <w:rsid w:val="00CF2E32"/>
    <w:rsid w:val="00CF2FFE"/>
    <w:rsid w:val="00CF30BC"/>
    <w:rsid w:val="00CF3245"/>
    <w:rsid w:val="00CF324F"/>
    <w:rsid w:val="00CF3407"/>
    <w:rsid w:val="00CF3A0F"/>
    <w:rsid w:val="00CF3A4F"/>
    <w:rsid w:val="00CF3B6F"/>
    <w:rsid w:val="00CF3C95"/>
    <w:rsid w:val="00CF3E39"/>
    <w:rsid w:val="00CF3E9F"/>
    <w:rsid w:val="00CF410E"/>
    <w:rsid w:val="00CF4134"/>
    <w:rsid w:val="00CF41B1"/>
    <w:rsid w:val="00CF4200"/>
    <w:rsid w:val="00CF43CE"/>
    <w:rsid w:val="00CF444B"/>
    <w:rsid w:val="00CF4891"/>
    <w:rsid w:val="00CF4A99"/>
    <w:rsid w:val="00CF4AF9"/>
    <w:rsid w:val="00CF4B01"/>
    <w:rsid w:val="00CF4B38"/>
    <w:rsid w:val="00CF4CBE"/>
    <w:rsid w:val="00CF4CDF"/>
    <w:rsid w:val="00CF4DC6"/>
    <w:rsid w:val="00CF4E69"/>
    <w:rsid w:val="00CF510C"/>
    <w:rsid w:val="00CF51F9"/>
    <w:rsid w:val="00CF5355"/>
    <w:rsid w:val="00CF5420"/>
    <w:rsid w:val="00CF5542"/>
    <w:rsid w:val="00CF5593"/>
    <w:rsid w:val="00CF56E3"/>
    <w:rsid w:val="00CF570E"/>
    <w:rsid w:val="00CF5797"/>
    <w:rsid w:val="00CF590C"/>
    <w:rsid w:val="00CF5B24"/>
    <w:rsid w:val="00CF5B63"/>
    <w:rsid w:val="00CF5BF1"/>
    <w:rsid w:val="00CF5F95"/>
    <w:rsid w:val="00CF623E"/>
    <w:rsid w:val="00CF62B5"/>
    <w:rsid w:val="00CF62E8"/>
    <w:rsid w:val="00CF63FD"/>
    <w:rsid w:val="00CF660D"/>
    <w:rsid w:val="00CF664D"/>
    <w:rsid w:val="00CF6665"/>
    <w:rsid w:val="00CF6841"/>
    <w:rsid w:val="00CF69C0"/>
    <w:rsid w:val="00CF6D51"/>
    <w:rsid w:val="00CF6EDA"/>
    <w:rsid w:val="00CF6F11"/>
    <w:rsid w:val="00CF7084"/>
    <w:rsid w:val="00CF722E"/>
    <w:rsid w:val="00CF7C88"/>
    <w:rsid w:val="00CF7CE1"/>
    <w:rsid w:val="00CF7EE9"/>
    <w:rsid w:val="00CF7FA0"/>
    <w:rsid w:val="00D001F5"/>
    <w:rsid w:val="00D00261"/>
    <w:rsid w:val="00D004D6"/>
    <w:rsid w:val="00D00697"/>
    <w:rsid w:val="00D006EA"/>
    <w:rsid w:val="00D00803"/>
    <w:rsid w:val="00D009AB"/>
    <w:rsid w:val="00D009FC"/>
    <w:rsid w:val="00D00B37"/>
    <w:rsid w:val="00D00BDC"/>
    <w:rsid w:val="00D00CA5"/>
    <w:rsid w:val="00D00CD0"/>
    <w:rsid w:val="00D00CFC"/>
    <w:rsid w:val="00D00E2F"/>
    <w:rsid w:val="00D010B1"/>
    <w:rsid w:val="00D0120D"/>
    <w:rsid w:val="00D01255"/>
    <w:rsid w:val="00D01287"/>
    <w:rsid w:val="00D014FF"/>
    <w:rsid w:val="00D0150A"/>
    <w:rsid w:val="00D01708"/>
    <w:rsid w:val="00D01717"/>
    <w:rsid w:val="00D01788"/>
    <w:rsid w:val="00D01876"/>
    <w:rsid w:val="00D018E0"/>
    <w:rsid w:val="00D01981"/>
    <w:rsid w:val="00D01AE6"/>
    <w:rsid w:val="00D01BFB"/>
    <w:rsid w:val="00D01D3F"/>
    <w:rsid w:val="00D01FCD"/>
    <w:rsid w:val="00D02187"/>
    <w:rsid w:val="00D02368"/>
    <w:rsid w:val="00D023C5"/>
    <w:rsid w:val="00D0251F"/>
    <w:rsid w:val="00D026AA"/>
    <w:rsid w:val="00D02759"/>
    <w:rsid w:val="00D02895"/>
    <w:rsid w:val="00D02A6C"/>
    <w:rsid w:val="00D02AE2"/>
    <w:rsid w:val="00D02CAB"/>
    <w:rsid w:val="00D02CCA"/>
    <w:rsid w:val="00D02E2D"/>
    <w:rsid w:val="00D02EA7"/>
    <w:rsid w:val="00D0305F"/>
    <w:rsid w:val="00D033D9"/>
    <w:rsid w:val="00D0344C"/>
    <w:rsid w:val="00D03491"/>
    <w:rsid w:val="00D0349B"/>
    <w:rsid w:val="00D0377D"/>
    <w:rsid w:val="00D03818"/>
    <w:rsid w:val="00D0397C"/>
    <w:rsid w:val="00D0399A"/>
    <w:rsid w:val="00D039A2"/>
    <w:rsid w:val="00D039B0"/>
    <w:rsid w:val="00D03A19"/>
    <w:rsid w:val="00D03A66"/>
    <w:rsid w:val="00D03C07"/>
    <w:rsid w:val="00D03C14"/>
    <w:rsid w:val="00D03D59"/>
    <w:rsid w:val="00D03FCC"/>
    <w:rsid w:val="00D04062"/>
    <w:rsid w:val="00D04637"/>
    <w:rsid w:val="00D04708"/>
    <w:rsid w:val="00D0498F"/>
    <w:rsid w:val="00D049AF"/>
    <w:rsid w:val="00D04B90"/>
    <w:rsid w:val="00D04BE4"/>
    <w:rsid w:val="00D04C10"/>
    <w:rsid w:val="00D04CC7"/>
    <w:rsid w:val="00D04E1E"/>
    <w:rsid w:val="00D0529D"/>
    <w:rsid w:val="00D0536F"/>
    <w:rsid w:val="00D0541D"/>
    <w:rsid w:val="00D0569A"/>
    <w:rsid w:val="00D056A0"/>
    <w:rsid w:val="00D0572A"/>
    <w:rsid w:val="00D05919"/>
    <w:rsid w:val="00D05A69"/>
    <w:rsid w:val="00D05AE9"/>
    <w:rsid w:val="00D05B63"/>
    <w:rsid w:val="00D05BA2"/>
    <w:rsid w:val="00D05BBE"/>
    <w:rsid w:val="00D05D76"/>
    <w:rsid w:val="00D05E31"/>
    <w:rsid w:val="00D06047"/>
    <w:rsid w:val="00D060AC"/>
    <w:rsid w:val="00D0631C"/>
    <w:rsid w:val="00D06529"/>
    <w:rsid w:val="00D065C4"/>
    <w:rsid w:val="00D06788"/>
    <w:rsid w:val="00D06B13"/>
    <w:rsid w:val="00D06CF9"/>
    <w:rsid w:val="00D06DD6"/>
    <w:rsid w:val="00D070E8"/>
    <w:rsid w:val="00D07294"/>
    <w:rsid w:val="00D074B8"/>
    <w:rsid w:val="00D07601"/>
    <w:rsid w:val="00D07692"/>
    <w:rsid w:val="00D07730"/>
    <w:rsid w:val="00D07935"/>
    <w:rsid w:val="00D07B37"/>
    <w:rsid w:val="00D07B76"/>
    <w:rsid w:val="00D07ECC"/>
    <w:rsid w:val="00D101EB"/>
    <w:rsid w:val="00D10336"/>
    <w:rsid w:val="00D104BD"/>
    <w:rsid w:val="00D10609"/>
    <w:rsid w:val="00D1083E"/>
    <w:rsid w:val="00D108E8"/>
    <w:rsid w:val="00D10A9D"/>
    <w:rsid w:val="00D10AF6"/>
    <w:rsid w:val="00D10C33"/>
    <w:rsid w:val="00D10DF0"/>
    <w:rsid w:val="00D10F7B"/>
    <w:rsid w:val="00D10F8A"/>
    <w:rsid w:val="00D10FC8"/>
    <w:rsid w:val="00D11126"/>
    <w:rsid w:val="00D111C5"/>
    <w:rsid w:val="00D111E2"/>
    <w:rsid w:val="00D112C2"/>
    <w:rsid w:val="00D11657"/>
    <w:rsid w:val="00D11756"/>
    <w:rsid w:val="00D118F9"/>
    <w:rsid w:val="00D1192C"/>
    <w:rsid w:val="00D1195C"/>
    <w:rsid w:val="00D11AC5"/>
    <w:rsid w:val="00D11BAB"/>
    <w:rsid w:val="00D11BD4"/>
    <w:rsid w:val="00D11BEC"/>
    <w:rsid w:val="00D11FB8"/>
    <w:rsid w:val="00D124ED"/>
    <w:rsid w:val="00D124F8"/>
    <w:rsid w:val="00D126AE"/>
    <w:rsid w:val="00D128F7"/>
    <w:rsid w:val="00D12F72"/>
    <w:rsid w:val="00D13052"/>
    <w:rsid w:val="00D13358"/>
    <w:rsid w:val="00D134E2"/>
    <w:rsid w:val="00D13661"/>
    <w:rsid w:val="00D1374D"/>
    <w:rsid w:val="00D13761"/>
    <w:rsid w:val="00D13779"/>
    <w:rsid w:val="00D13887"/>
    <w:rsid w:val="00D139F4"/>
    <w:rsid w:val="00D13AE0"/>
    <w:rsid w:val="00D13DE9"/>
    <w:rsid w:val="00D13ECD"/>
    <w:rsid w:val="00D1418F"/>
    <w:rsid w:val="00D14194"/>
    <w:rsid w:val="00D1444C"/>
    <w:rsid w:val="00D145DC"/>
    <w:rsid w:val="00D14949"/>
    <w:rsid w:val="00D14954"/>
    <w:rsid w:val="00D14ABA"/>
    <w:rsid w:val="00D14DC1"/>
    <w:rsid w:val="00D14F85"/>
    <w:rsid w:val="00D15188"/>
    <w:rsid w:val="00D152FC"/>
    <w:rsid w:val="00D1531B"/>
    <w:rsid w:val="00D153FA"/>
    <w:rsid w:val="00D1591B"/>
    <w:rsid w:val="00D15972"/>
    <w:rsid w:val="00D15A27"/>
    <w:rsid w:val="00D15B61"/>
    <w:rsid w:val="00D15F19"/>
    <w:rsid w:val="00D15F3B"/>
    <w:rsid w:val="00D16245"/>
    <w:rsid w:val="00D162E9"/>
    <w:rsid w:val="00D1644B"/>
    <w:rsid w:val="00D165A1"/>
    <w:rsid w:val="00D1668B"/>
    <w:rsid w:val="00D16734"/>
    <w:rsid w:val="00D16AF7"/>
    <w:rsid w:val="00D16C6E"/>
    <w:rsid w:val="00D16F44"/>
    <w:rsid w:val="00D1715A"/>
    <w:rsid w:val="00D173B2"/>
    <w:rsid w:val="00D1762A"/>
    <w:rsid w:val="00D1766A"/>
    <w:rsid w:val="00D17A9D"/>
    <w:rsid w:val="00D17B86"/>
    <w:rsid w:val="00D17B98"/>
    <w:rsid w:val="00D2003E"/>
    <w:rsid w:val="00D200C7"/>
    <w:rsid w:val="00D200DA"/>
    <w:rsid w:val="00D20169"/>
    <w:rsid w:val="00D20381"/>
    <w:rsid w:val="00D203B5"/>
    <w:rsid w:val="00D208F0"/>
    <w:rsid w:val="00D20C89"/>
    <w:rsid w:val="00D20CB0"/>
    <w:rsid w:val="00D21008"/>
    <w:rsid w:val="00D2124B"/>
    <w:rsid w:val="00D212BE"/>
    <w:rsid w:val="00D21388"/>
    <w:rsid w:val="00D213F6"/>
    <w:rsid w:val="00D2170B"/>
    <w:rsid w:val="00D21762"/>
    <w:rsid w:val="00D21870"/>
    <w:rsid w:val="00D21B13"/>
    <w:rsid w:val="00D21BAB"/>
    <w:rsid w:val="00D21C91"/>
    <w:rsid w:val="00D21C95"/>
    <w:rsid w:val="00D21CD8"/>
    <w:rsid w:val="00D21D40"/>
    <w:rsid w:val="00D21D77"/>
    <w:rsid w:val="00D21E0C"/>
    <w:rsid w:val="00D22103"/>
    <w:rsid w:val="00D222A2"/>
    <w:rsid w:val="00D2230C"/>
    <w:rsid w:val="00D223A0"/>
    <w:rsid w:val="00D224AB"/>
    <w:rsid w:val="00D2264C"/>
    <w:rsid w:val="00D22A98"/>
    <w:rsid w:val="00D22ABB"/>
    <w:rsid w:val="00D22B76"/>
    <w:rsid w:val="00D22BE6"/>
    <w:rsid w:val="00D22E03"/>
    <w:rsid w:val="00D2303D"/>
    <w:rsid w:val="00D231BB"/>
    <w:rsid w:val="00D231DA"/>
    <w:rsid w:val="00D2348F"/>
    <w:rsid w:val="00D23516"/>
    <w:rsid w:val="00D23882"/>
    <w:rsid w:val="00D238D7"/>
    <w:rsid w:val="00D238F3"/>
    <w:rsid w:val="00D2396D"/>
    <w:rsid w:val="00D23A85"/>
    <w:rsid w:val="00D23B15"/>
    <w:rsid w:val="00D23F6A"/>
    <w:rsid w:val="00D2402E"/>
    <w:rsid w:val="00D24121"/>
    <w:rsid w:val="00D242F9"/>
    <w:rsid w:val="00D245AF"/>
    <w:rsid w:val="00D245B9"/>
    <w:rsid w:val="00D2473C"/>
    <w:rsid w:val="00D24913"/>
    <w:rsid w:val="00D249C3"/>
    <w:rsid w:val="00D24AFA"/>
    <w:rsid w:val="00D24AFB"/>
    <w:rsid w:val="00D24AFD"/>
    <w:rsid w:val="00D24D32"/>
    <w:rsid w:val="00D25172"/>
    <w:rsid w:val="00D252E6"/>
    <w:rsid w:val="00D2537E"/>
    <w:rsid w:val="00D25383"/>
    <w:rsid w:val="00D25426"/>
    <w:rsid w:val="00D25C8F"/>
    <w:rsid w:val="00D25E6C"/>
    <w:rsid w:val="00D2602E"/>
    <w:rsid w:val="00D2629C"/>
    <w:rsid w:val="00D262AA"/>
    <w:rsid w:val="00D262AC"/>
    <w:rsid w:val="00D26372"/>
    <w:rsid w:val="00D2680B"/>
    <w:rsid w:val="00D2683B"/>
    <w:rsid w:val="00D26884"/>
    <w:rsid w:val="00D26934"/>
    <w:rsid w:val="00D26B14"/>
    <w:rsid w:val="00D26B71"/>
    <w:rsid w:val="00D26E01"/>
    <w:rsid w:val="00D26E29"/>
    <w:rsid w:val="00D26EC9"/>
    <w:rsid w:val="00D26ECA"/>
    <w:rsid w:val="00D26FD3"/>
    <w:rsid w:val="00D272BE"/>
    <w:rsid w:val="00D272E6"/>
    <w:rsid w:val="00D27596"/>
    <w:rsid w:val="00D27600"/>
    <w:rsid w:val="00D2765A"/>
    <w:rsid w:val="00D27695"/>
    <w:rsid w:val="00D27941"/>
    <w:rsid w:val="00D279D8"/>
    <w:rsid w:val="00D27AA3"/>
    <w:rsid w:val="00D27BA1"/>
    <w:rsid w:val="00D27BAA"/>
    <w:rsid w:val="00D27D8F"/>
    <w:rsid w:val="00D27E32"/>
    <w:rsid w:val="00D27E8B"/>
    <w:rsid w:val="00D27FD6"/>
    <w:rsid w:val="00D3015E"/>
    <w:rsid w:val="00D302BF"/>
    <w:rsid w:val="00D30441"/>
    <w:rsid w:val="00D30568"/>
    <w:rsid w:val="00D309A3"/>
    <w:rsid w:val="00D30DA8"/>
    <w:rsid w:val="00D30EA8"/>
    <w:rsid w:val="00D30FC4"/>
    <w:rsid w:val="00D311AA"/>
    <w:rsid w:val="00D3130F"/>
    <w:rsid w:val="00D31487"/>
    <w:rsid w:val="00D317BE"/>
    <w:rsid w:val="00D31A6B"/>
    <w:rsid w:val="00D31AE4"/>
    <w:rsid w:val="00D31AE9"/>
    <w:rsid w:val="00D31B39"/>
    <w:rsid w:val="00D31D5A"/>
    <w:rsid w:val="00D31F50"/>
    <w:rsid w:val="00D31F5F"/>
    <w:rsid w:val="00D3226A"/>
    <w:rsid w:val="00D32418"/>
    <w:rsid w:val="00D326B8"/>
    <w:rsid w:val="00D32861"/>
    <w:rsid w:val="00D328D6"/>
    <w:rsid w:val="00D32B5E"/>
    <w:rsid w:val="00D32B98"/>
    <w:rsid w:val="00D32F57"/>
    <w:rsid w:val="00D32FFE"/>
    <w:rsid w:val="00D3304D"/>
    <w:rsid w:val="00D33461"/>
    <w:rsid w:val="00D334EE"/>
    <w:rsid w:val="00D334F1"/>
    <w:rsid w:val="00D3353B"/>
    <w:rsid w:val="00D3357C"/>
    <w:rsid w:val="00D33588"/>
    <w:rsid w:val="00D33612"/>
    <w:rsid w:val="00D33B95"/>
    <w:rsid w:val="00D33BBC"/>
    <w:rsid w:val="00D33CC8"/>
    <w:rsid w:val="00D33EBF"/>
    <w:rsid w:val="00D33FED"/>
    <w:rsid w:val="00D34190"/>
    <w:rsid w:val="00D341CA"/>
    <w:rsid w:val="00D341D5"/>
    <w:rsid w:val="00D34265"/>
    <w:rsid w:val="00D34276"/>
    <w:rsid w:val="00D342B5"/>
    <w:rsid w:val="00D3431E"/>
    <w:rsid w:val="00D34A66"/>
    <w:rsid w:val="00D34B91"/>
    <w:rsid w:val="00D34C87"/>
    <w:rsid w:val="00D34FD6"/>
    <w:rsid w:val="00D352A3"/>
    <w:rsid w:val="00D3535B"/>
    <w:rsid w:val="00D3550B"/>
    <w:rsid w:val="00D35556"/>
    <w:rsid w:val="00D355F0"/>
    <w:rsid w:val="00D356D3"/>
    <w:rsid w:val="00D35757"/>
    <w:rsid w:val="00D357F3"/>
    <w:rsid w:val="00D35A67"/>
    <w:rsid w:val="00D3629D"/>
    <w:rsid w:val="00D36368"/>
    <w:rsid w:val="00D366DB"/>
    <w:rsid w:val="00D369BB"/>
    <w:rsid w:val="00D36AC9"/>
    <w:rsid w:val="00D36B32"/>
    <w:rsid w:val="00D36BC2"/>
    <w:rsid w:val="00D36CCB"/>
    <w:rsid w:val="00D36D55"/>
    <w:rsid w:val="00D36D59"/>
    <w:rsid w:val="00D3715B"/>
    <w:rsid w:val="00D37273"/>
    <w:rsid w:val="00D37322"/>
    <w:rsid w:val="00D375E9"/>
    <w:rsid w:val="00D37965"/>
    <w:rsid w:val="00D37D9F"/>
    <w:rsid w:val="00D37E88"/>
    <w:rsid w:val="00D37EAF"/>
    <w:rsid w:val="00D37F00"/>
    <w:rsid w:val="00D40000"/>
    <w:rsid w:val="00D40020"/>
    <w:rsid w:val="00D4013D"/>
    <w:rsid w:val="00D401E8"/>
    <w:rsid w:val="00D4022E"/>
    <w:rsid w:val="00D402BF"/>
    <w:rsid w:val="00D40446"/>
    <w:rsid w:val="00D40497"/>
    <w:rsid w:val="00D40692"/>
    <w:rsid w:val="00D407F8"/>
    <w:rsid w:val="00D40813"/>
    <w:rsid w:val="00D409FE"/>
    <w:rsid w:val="00D40AA7"/>
    <w:rsid w:val="00D40B77"/>
    <w:rsid w:val="00D40CBE"/>
    <w:rsid w:val="00D40E05"/>
    <w:rsid w:val="00D40ED4"/>
    <w:rsid w:val="00D40F27"/>
    <w:rsid w:val="00D40F9F"/>
    <w:rsid w:val="00D41066"/>
    <w:rsid w:val="00D410DF"/>
    <w:rsid w:val="00D4134F"/>
    <w:rsid w:val="00D41948"/>
    <w:rsid w:val="00D41CB7"/>
    <w:rsid w:val="00D41F73"/>
    <w:rsid w:val="00D42314"/>
    <w:rsid w:val="00D42373"/>
    <w:rsid w:val="00D425BC"/>
    <w:rsid w:val="00D42600"/>
    <w:rsid w:val="00D4271B"/>
    <w:rsid w:val="00D427AB"/>
    <w:rsid w:val="00D4286A"/>
    <w:rsid w:val="00D42954"/>
    <w:rsid w:val="00D42AA7"/>
    <w:rsid w:val="00D42DDB"/>
    <w:rsid w:val="00D42E12"/>
    <w:rsid w:val="00D43131"/>
    <w:rsid w:val="00D432DC"/>
    <w:rsid w:val="00D433EA"/>
    <w:rsid w:val="00D43771"/>
    <w:rsid w:val="00D4377A"/>
    <w:rsid w:val="00D43884"/>
    <w:rsid w:val="00D43887"/>
    <w:rsid w:val="00D43A4E"/>
    <w:rsid w:val="00D43B52"/>
    <w:rsid w:val="00D43C1A"/>
    <w:rsid w:val="00D43C2A"/>
    <w:rsid w:val="00D43DCD"/>
    <w:rsid w:val="00D43F16"/>
    <w:rsid w:val="00D4418E"/>
    <w:rsid w:val="00D442C1"/>
    <w:rsid w:val="00D44517"/>
    <w:rsid w:val="00D446B7"/>
    <w:rsid w:val="00D449D3"/>
    <w:rsid w:val="00D4510C"/>
    <w:rsid w:val="00D45184"/>
    <w:rsid w:val="00D45282"/>
    <w:rsid w:val="00D452E0"/>
    <w:rsid w:val="00D453A7"/>
    <w:rsid w:val="00D455C3"/>
    <w:rsid w:val="00D45743"/>
    <w:rsid w:val="00D4578C"/>
    <w:rsid w:val="00D4580B"/>
    <w:rsid w:val="00D45898"/>
    <w:rsid w:val="00D45A8C"/>
    <w:rsid w:val="00D45C99"/>
    <w:rsid w:val="00D45CC2"/>
    <w:rsid w:val="00D4603C"/>
    <w:rsid w:val="00D4626A"/>
    <w:rsid w:val="00D4652D"/>
    <w:rsid w:val="00D4654B"/>
    <w:rsid w:val="00D466C2"/>
    <w:rsid w:val="00D466DC"/>
    <w:rsid w:val="00D46708"/>
    <w:rsid w:val="00D467C6"/>
    <w:rsid w:val="00D46DB2"/>
    <w:rsid w:val="00D46E73"/>
    <w:rsid w:val="00D47111"/>
    <w:rsid w:val="00D471F3"/>
    <w:rsid w:val="00D47260"/>
    <w:rsid w:val="00D473EA"/>
    <w:rsid w:val="00D4767B"/>
    <w:rsid w:val="00D47987"/>
    <w:rsid w:val="00D47AAD"/>
    <w:rsid w:val="00D47AD7"/>
    <w:rsid w:val="00D47CA9"/>
    <w:rsid w:val="00D47D50"/>
    <w:rsid w:val="00D47DDB"/>
    <w:rsid w:val="00D47DE3"/>
    <w:rsid w:val="00D47ECA"/>
    <w:rsid w:val="00D47F72"/>
    <w:rsid w:val="00D500AF"/>
    <w:rsid w:val="00D5018A"/>
    <w:rsid w:val="00D5018D"/>
    <w:rsid w:val="00D5020A"/>
    <w:rsid w:val="00D50399"/>
    <w:rsid w:val="00D503CE"/>
    <w:rsid w:val="00D50956"/>
    <w:rsid w:val="00D509B3"/>
    <w:rsid w:val="00D50A25"/>
    <w:rsid w:val="00D50C2E"/>
    <w:rsid w:val="00D50CA3"/>
    <w:rsid w:val="00D50CE8"/>
    <w:rsid w:val="00D50D01"/>
    <w:rsid w:val="00D51021"/>
    <w:rsid w:val="00D510E3"/>
    <w:rsid w:val="00D51162"/>
    <w:rsid w:val="00D5139D"/>
    <w:rsid w:val="00D51719"/>
    <w:rsid w:val="00D51983"/>
    <w:rsid w:val="00D51B7F"/>
    <w:rsid w:val="00D52057"/>
    <w:rsid w:val="00D52095"/>
    <w:rsid w:val="00D5266E"/>
    <w:rsid w:val="00D526D7"/>
    <w:rsid w:val="00D5271D"/>
    <w:rsid w:val="00D52B4A"/>
    <w:rsid w:val="00D52C27"/>
    <w:rsid w:val="00D52E32"/>
    <w:rsid w:val="00D53157"/>
    <w:rsid w:val="00D53270"/>
    <w:rsid w:val="00D535A6"/>
    <w:rsid w:val="00D5360F"/>
    <w:rsid w:val="00D5371D"/>
    <w:rsid w:val="00D53895"/>
    <w:rsid w:val="00D539D8"/>
    <w:rsid w:val="00D539E0"/>
    <w:rsid w:val="00D539F9"/>
    <w:rsid w:val="00D53B3A"/>
    <w:rsid w:val="00D53B44"/>
    <w:rsid w:val="00D53D1F"/>
    <w:rsid w:val="00D53DF4"/>
    <w:rsid w:val="00D53EB8"/>
    <w:rsid w:val="00D53F26"/>
    <w:rsid w:val="00D53FBF"/>
    <w:rsid w:val="00D54024"/>
    <w:rsid w:val="00D54497"/>
    <w:rsid w:val="00D54805"/>
    <w:rsid w:val="00D54BB2"/>
    <w:rsid w:val="00D550DF"/>
    <w:rsid w:val="00D554E7"/>
    <w:rsid w:val="00D555AE"/>
    <w:rsid w:val="00D5566C"/>
    <w:rsid w:val="00D556A2"/>
    <w:rsid w:val="00D557E4"/>
    <w:rsid w:val="00D55991"/>
    <w:rsid w:val="00D55A5D"/>
    <w:rsid w:val="00D55A8C"/>
    <w:rsid w:val="00D55ABE"/>
    <w:rsid w:val="00D55B0D"/>
    <w:rsid w:val="00D55C2B"/>
    <w:rsid w:val="00D55EBF"/>
    <w:rsid w:val="00D56012"/>
    <w:rsid w:val="00D560A8"/>
    <w:rsid w:val="00D56193"/>
    <w:rsid w:val="00D56320"/>
    <w:rsid w:val="00D56473"/>
    <w:rsid w:val="00D564E4"/>
    <w:rsid w:val="00D564F9"/>
    <w:rsid w:val="00D56701"/>
    <w:rsid w:val="00D567EA"/>
    <w:rsid w:val="00D56B54"/>
    <w:rsid w:val="00D56B95"/>
    <w:rsid w:val="00D56CE7"/>
    <w:rsid w:val="00D571EB"/>
    <w:rsid w:val="00D572B0"/>
    <w:rsid w:val="00D5756F"/>
    <w:rsid w:val="00D57687"/>
    <w:rsid w:val="00D57A30"/>
    <w:rsid w:val="00D57AFD"/>
    <w:rsid w:val="00D57C71"/>
    <w:rsid w:val="00D57D41"/>
    <w:rsid w:val="00D6012D"/>
    <w:rsid w:val="00D60277"/>
    <w:rsid w:val="00D60329"/>
    <w:rsid w:val="00D60343"/>
    <w:rsid w:val="00D6038E"/>
    <w:rsid w:val="00D60557"/>
    <w:rsid w:val="00D608E6"/>
    <w:rsid w:val="00D608FB"/>
    <w:rsid w:val="00D60940"/>
    <w:rsid w:val="00D60965"/>
    <w:rsid w:val="00D60A19"/>
    <w:rsid w:val="00D60B3B"/>
    <w:rsid w:val="00D60C8B"/>
    <w:rsid w:val="00D61019"/>
    <w:rsid w:val="00D6101E"/>
    <w:rsid w:val="00D612A8"/>
    <w:rsid w:val="00D61373"/>
    <w:rsid w:val="00D6158B"/>
    <w:rsid w:val="00D615FF"/>
    <w:rsid w:val="00D61693"/>
    <w:rsid w:val="00D618F7"/>
    <w:rsid w:val="00D619C5"/>
    <w:rsid w:val="00D61A7F"/>
    <w:rsid w:val="00D61CC7"/>
    <w:rsid w:val="00D62036"/>
    <w:rsid w:val="00D620BD"/>
    <w:rsid w:val="00D620CA"/>
    <w:rsid w:val="00D622C7"/>
    <w:rsid w:val="00D6233C"/>
    <w:rsid w:val="00D628B2"/>
    <w:rsid w:val="00D628CE"/>
    <w:rsid w:val="00D629F9"/>
    <w:rsid w:val="00D62BAD"/>
    <w:rsid w:val="00D62E73"/>
    <w:rsid w:val="00D62F4B"/>
    <w:rsid w:val="00D63013"/>
    <w:rsid w:val="00D63088"/>
    <w:rsid w:val="00D630EC"/>
    <w:rsid w:val="00D63852"/>
    <w:rsid w:val="00D638FC"/>
    <w:rsid w:val="00D63B4B"/>
    <w:rsid w:val="00D63D8B"/>
    <w:rsid w:val="00D63E4C"/>
    <w:rsid w:val="00D63FB1"/>
    <w:rsid w:val="00D640FF"/>
    <w:rsid w:val="00D64150"/>
    <w:rsid w:val="00D64185"/>
    <w:rsid w:val="00D64468"/>
    <w:rsid w:val="00D647A8"/>
    <w:rsid w:val="00D64834"/>
    <w:rsid w:val="00D64BB9"/>
    <w:rsid w:val="00D64C9A"/>
    <w:rsid w:val="00D64CB0"/>
    <w:rsid w:val="00D64E7C"/>
    <w:rsid w:val="00D65323"/>
    <w:rsid w:val="00D65409"/>
    <w:rsid w:val="00D657A2"/>
    <w:rsid w:val="00D658D6"/>
    <w:rsid w:val="00D658E0"/>
    <w:rsid w:val="00D65B6B"/>
    <w:rsid w:val="00D65C14"/>
    <w:rsid w:val="00D65D7D"/>
    <w:rsid w:val="00D65DD3"/>
    <w:rsid w:val="00D660FF"/>
    <w:rsid w:val="00D66236"/>
    <w:rsid w:val="00D66277"/>
    <w:rsid w:val="00D6636E"/>
    <w:rsid w:val="00D6643D"/>
    <w:rsid w:val="00D66514"/>
    <w:rsid w:val="00D6668A"/>
    <w:rsid w:val="00D66991"/>
    <w:rsid w:val="00D66D9E"/>
    <w:rsid w:val="00D66E39"/>
    <w:rsid w:val="00D66E40"/>
    <w:rsid w:val="00D671B3"/>
    <w:rsid w:val="00D67240"/>
    <w:rsid w:val="00D67489"/>
    <w:rsid w:val="00D674F7"/>
    <w:rsid w:val="00D67661"/>
    <w:rsid w:val="00D6770F"/>
    <w:rsid w:val="00D67783"/>
    <w:rsid w:val="00D6789A"/>
    <w:rsid w:val="00D678DE"/>
    <w:rsid w:val="00D6797D"/>
    <w:rsid w:val="00D67E17"/>
    <w:rsid w:val="00D67E2D"/>
    <w:rsid w:val="00D67E86"/>
    <w:rsid w:val="00D700C5"/>
    <w:rsid w:val="00D7023C"/>
    <w:rsid w:val="00D704B1"/>
    <w:rsid w:val="00D7062F"/>
    <w:rsid w:val="00D707B0"/>
    <w:rsid w:val="00D709F3"/>
    <w:rsid w:val="00D70AF7"/>
    <w:rsid w:val="00D70B91"/>
    <w:rsid w:val="00D70BA0"/>
    <w:rsid w:val="00D70D68"/>
    <w:rsid w:val="00D70EA2"/>
    <w:rsid w:val="00D71004"/>
    <w:rsid w:val="00D7127A"/>
    <w:rsid w:val="00D714F7"/>
    <w:rsid w:val="00D71B94"/>
    <w:rsid w:val="00D71BCC"/>
    <w:rsid w:val="00D72431"/>
    <w:rsid w:val="00D724EF"/>
    <w:rsid w:val="00D72B51"/>
    <w:rsid w:val="00D72CC4"/>
    <w:rsid w:val="00D72F8A"/>
    <w:rsid w:val="00D72FE3"/>
    <w:rsid w:val="00D7303E"/>
    <w:rsid w:val="00D730E0"/>
    <w:rsid w:val="00D731BC"/>
    <w:rsid w:val="00D7326A"/>
    <w:rsid w:val="00D733E2"/>
    <w:rsid w:val="00D73465"/>
    <w:rsid w:val="00D73729"/>
    <w:rsid w:val="00D739BD"/>
    <w:rsid w:val="00D73A00"/>
    <w:rsid w:val="00D73CC5"/>
    <w:rsid w:val="00D73CE0"/>
    <w:rsid w:val="00D73EB2"/>
    <w:rsid w:val="00D73FCD"/>
    <w:rsid w:val="00D74327"/>
    <w:rsid w:val="00D7459D"/>
    <w:rsid w:val="00D74723"/>
    <w:rsid w:val="00D74894"/>
    <w:rsid w:val="00D748D7"/>
    <w:rsid w:val="00D7491A"/>
    <w:rsid w:val="00D74C89"/>
    <w:rsid w:val="00D74D3E"/>
    <w:rsid w:val="00D74E03"/>
    <w:rsid w:val="00D74F09"/>
    <w:rsid w:val="00D753CE"/>
    <w:rsid w:val="00D754AD"/>
    <w:rsid w:val="00D754EE"/>
    <w:rsid w:val="00D754FE"/>
    <w:rsid w:val="00D7564F"/>
    <w:rsid w:val="00D756AB"/>
    <w:rsid w:val="00D75920"/>
    <w:rsid w:val="00D75CD4"/>
    <w:rsid w:val="00D75CF9"/>
    <w:rsid w:val="00D75DD7"/>
    <w:rsid w:val="00D75F87"/>
    <w:rsid w:val="00D76136"/>
    <w:rsid w:val="00D763F4"/>
    <w:rsid w:val="00D7661D"/>
    <w:rsid w:val="00D76768"/>
    <w:rsid w:val="00D768B6"/>
    <w:rsid w:val="00D7699A"/>
    <w:rsid w:val="00D76D88"/>
    <w:rsid w:val="00D76DF6"/>
    <w:rsid w:val="00D7703A"/>
    <w:rsid w:val="00D7703D"/>
    <w:rsid w:val="00D7724C"/>
    <w:rsid w:val="00D772FD"/>
    <w:rsid w:val="00D77329"/>
    <w:rsid w:val="00D77407"/>
    <w:rsid w:val="00D77874"/>
    <w:rsid w:val="00D77908"/>
    <w:rsid w:val="00D77917"/>
    <w:rsid w:val="00D77CDE"/>
    <w:rsid w:val="00D800E6"/>
    <w:rsid w:val="00D80267"/>
    <w:rsid w:val="00D807BA"/>
    <w:rsid w:val="00D80904"/>
    <w:rsid w:val="00D80B37"/>
    <w:rsid w:val="00D80C8C"/>
    <w:rsid w:val="00D80D2A"/>
    <w:rsid w:val="00D80DF7"/>
    <w:rsid w:val="00D80E8E"/>
    <w:rsid w:val="00D80ECB"/>
    <w:rsid w:val="00D80FD4"/>
    <w:rsid w:val="00D81004"/>
    <w:rsid w:val="00D8117A"/>
    <w:rsid w:val="00D812EE"/>
    <w:rsid w:val="00D8158C"/>
    <w:rsid w:val="00D81597"/>
    <w:rsid w:val="00D816F0"/>
    <w:rsid w:val="00D81B06"/>
    <w:rsid w:val="00D82744"/>
    <w:rsid w:val="00D8294E"/>
    <w:rsid w:val="00D829FA"/>
    <w:rsid w:val="00D82A17"/>
    <w:rsid w:val="00D82D8F"/>
    <w:rsid w:val="00D82E53"/>
    <w:rsid w:val="00D83090"/>
    <w:rsid w:val="00D836DA"/>
    <w:rsid w:val="00D838B5"/>
    <w:rsid w:val="00D839A0"/>
    <w:rsid w:val="00D83CF1"/>
    <w:rsid w:val="00D842D0"/>
    <w:rsid w:val="00D84422"/>
    <w:rsid w:val="00D84455"/>
    <w:rsid w:val="00D84648"/>
    <w:rsid w:val="00D8494F"/>
    <w:rsid w:val="00D849DF"/>
    <w:rsid w:val="00D84ADA"/>
    <w:rsid w:val="00D84B2B"/>
    <w:rsid w:val="00D84EAB"/>
    <w:rsid w:val="00D84F20"/>
    <w:rsid w:val="00D84F9A"/>
    <w:rsid w:val="00D852D9"/>
    <w:rsid w:val="00D85436"/>
    <w:rsid w:val="00D854B0"/>
    <w:rsid w:val="00D855FD"/>
    <w:rsid w:val="00D8568E"/>
    <w:rsid w:val="00D8570D"/>
    <w:rsid w:val="00D85B81"/>
    <w:rsid w:val="00D85B99"/>
    <w:rsid w:val="00D85BB6"/>
    <w:rsid w:val="00D85C6F"/>
    <w:rsid w:val="00D85EB2"/>
    <w:rsid w:val="00D85F05"/>
    <w:rsid w:val="00D85F61"/>
    <w:rsid w:val="00D86035"/>
    <w:rsid w:val="00D861FA"/>
    <w:rsid w:val="00D86379"/>
    <w:rsid w:val="00D86450"/>
    <w:rsid w:val="00D86503"/>
    <w:rsid w:val="00D86692"/>
    <w:rsid w:val="00D868D2"/>
    <w:rsid w:val="00D86A1D"/>
    <w:rsid w:val="00D86AAD"/>
    <w:rsid w:val="00D86C91"/>
    <w:rsid w:val="00D86CB0"/>
    <w:rsid w:val="00D86EF0"/>
    <w:rsid w:val="00D87207"/>
    <w:rsid w:val="00D872D8"/>
    <w:rsid w:val="00D87407"/>
    <w:rsid w:val="00D876BA"/>
    <w:rsid w:val="00D87815"/>
    <w:rsid w:val="00D87967"/>
    <w:rsid w:val="00D8797B"/>
    <w:rsid w:val="00D879F5"/>
    <w:rsid w:val="00D87B2E"/>
    <w:rsid w:val="00D87DCB"/>
    <w:rsid w:val="00D87F00"/>
    <w:rsid w:val="00D87F51"/>
    <w:rsid w:val="00D87FD1"/>
    <w:rsid w:val="00D905ED"/>
    <w:rsid w:val="00D9071D"/>
    <w:rsid w:val="00D9078C"/>
    <w:rsid w:val="00D90942"/>
    <w:rsid w:val="00D90A62"/>
    <w:rsid w:val="00D90F56"/>
    <w:rsid w:val="00D91004"/>
    <w:rsid w:val="00D911B3"/>
    <w:rsid w:val="00D91225"/>
    <w:rsid w:val="00D9162B"/>
    <w:rsid w:val="00D91782"/>
    <w:rsid w:val="00D9178D"/>
    <w:rsid w:val="00D918C7"/>
    <w:rsid w:val="00D918DC"/>
    <w:rsid w:val="00D919CA"/>
    <w:rsid w:val="00D91B35"/>
    <w:rsid w:val="00D91C35"/>
    <w:rsid w:val="00D922D9"/>
    <w:rsid w:val="00D92468"/>
    <w:rsid w:val="00D924DB"/>
    <w:rsid w:val="00D92787"/>
    <w:rsid w:val="00D92805"/>
    <w:rsid w:val="00D92F27"/>
    <w:rsid w:val="00D930F7"/>
    <w:rsid w:val="00D93511"/>
    <w:rsid w:val="00D93553"/>
    <w:rsid w:val="00D9355B"/>
    <w:rsid w:val="00D93575"/>
    <w:rsid w:val="00D938E3"/>
    <w:rsid w:val="00D93A6C"/>
    <w:rsid w:val="00D93D7B"/>
    <w:rsid w:val="00D94474"/>
    <w:rsid w:val="00D9448A"/>
    <w:rsid w:val="00D9481B"/>
    <w:rsid w:val="00D94828"/>
    <w:rsid w:val="00D94943"/>
    <w:rsid w:val="00D94948"/>
    <w:rsid w:val="00D949D4"/>
    <w:rsid w:val="00D94C64"/>
    <w:rsid w:val="00D94CA1"/>
    <w:rsid w:val="00D94CCC"/>
    <w:rsid w:val="00D94E9C"/>
    <w:rsid w:val="00D94EC9"/>
    <w:rsid w:val="00D95190"/>
    <w:rsid w:val="00D95215"/>
    <w:rsid w:val="00D95235"/>
    <w:rsid w:val="00D95B34"/>
    <w:rsid w:val="00D95C82"/>
    <w:rsid w:val="00D95C87"/>
    <w:rsid w:val="00D95CA8"/>
    <w:rsid w:val="00D95F66"/>
    <w:rsid w:val="00D96550"/>
    <w:rsid w:val="00D965A0"/>
    <w:rsid w:val="00D9660D"/>
    <w:rsid w:val="00D96650"/>
    <w:rsid w:val="00D96850"/>
    <w:rsid w:val="00D96B74"/>
    <w:rsid w:val="00D96C6E"/>
    <w:rsid w:val="00D96C94"/>
    <w:rsid w:val="00D96D5B"/>
    <w:rsid w:val="00D970BF"/>
    <w:rsid w:val="00D97163"/>
    <w:rsid w:val="00D971F1"/>
    <w:rsid w:val="00D973F1"/>
    <w:rsid w:val="00D97442"/>
    <w:rsid w:val="00D976AC"/>
    <w:rsid w:val="00D9774A"/>
    <w:rsid w:val="00D979AC"/>
    <w:rsid w:val="00D97AD6"/>
    <w:rsid w:val="00D97BD6"/>
    <w:rsid w:val="00D97F0F"/>
    <w:rsid w:val="00D97FC0"/>
    <w:rsid w:val="00DA009F"/>
    <w:rsid w:val="00DA0185"/>
    <w:rsid w:val="00DA0204"/>
    <w:rsid w:val="00DA023E"/>
    <w:rsid w:val="00DA025A"/>
    <w:rsid w:val="00DA038C"/>
    <w:rsid w:val="00DA0476"/>
    <w:rsid w:val="00DA0496"/>
    <w:rsid w:val="00DA0557"/>
    <w:rsid w:val="00DA059F"/>
    <w:rsid w:val="00DA06CF"/>
    <w:rsid w:val="00DA089C"/>
    <w:rsid w:val="00DA0945"/>
    <w:rsid w:val="00DA0AF5"/>
    <w:rsid w:val="00DA0B0A"/>
    <w:rsid w:val="00DA0B25"/>
    <w:rsid w:val="00DA0C04"/>
    <w:rsid w:val="00DA0C42"/>
    <w:rsid w:val="00DA0C9F"/>
    <w:rsid w:val="00DA0CAE"/>
    <w:rsid w:val="00DA11F4"/>
    <w:rsid w:val="00DA12D5"/>
    <w:rsid w:val="00DA13AD"/>
    <w:rsid w:val="00DA1887"/>
    <w:rsid w:val="00DA1893"/>
    <w:rsid w:val="00DA1EDF"/>
    <w:rsid w:val="00DA1FCA"/>
    <w:rsid w:val="00DA2336"/>
    <w:rsid w:val="00DA234B"/>
    <w:rsid w:val="00DA240C"/>
    <w:rsid w:val="00DA243B"/>
    <w:rsid w:val="00DA2712"/>
    <w:rsid w:val="00DA276B"/>
    <w:rsid w:val="00DA27BB"/>
    <w:rsid w:val="00DA294B"/>
    <w:rsid w:val="00DA2B35"/>
    <w:rsid w:val="00DA2CD1"/>
    <w:rsid w:val="00DA2E53"/>
    <w:rsid w:val="00DA2E5A"/>
    <w:rsid w:val="00DA2F29"/>
    <w:rsid w:val="00DA367A"/>
    <w:rsid w:val="00DA3B11"/>
    <w:rsid w:val="00DA3D63"/>
    <w:rsid w:val="00DA405B"/>
    <w:rsid w:val="00DA4523"/>
    <w:rsid w:val="00DA4761"/>
    <w:rsid w:val="00DA47C2"/>
    <w:rsid w:val="00DA4A04"/>
    <w:rsid w:val="00DA4BA9"/>
    <w:rsid w:val="00DA4CF3"/>
    <w:rsid w:val="00DA4D2F"/>
    <w:rsid w:val="00DA4DBF"/>
    <w:rsid w:val="00DA51A1"/>
    <w:rsid w:val="00DA5689"/>
    <w:rsid w:val="00DA5B58"/>
    <w:rsid w:val="00DA5E7A"/>
    <w:rsid w:val="00DA5F41"/>
    <w:rsid w:val="00DA6094"/>
    <w:rsid w:val="00DA62F7"/>
    <w:rsid w:val="00DA63FD"/>
    <w:rsid w:val="00DA64CC"/>
    <w:rsid w:val="00DA671D"/>
    <w:rsid w:val="00DA678C"/>
    <w:rsid w:val="00DA6949"/>
    <w:rsid w:val="00DA6AD5"/>
    <w:rsid w:val="00DA6C11"/>
    <w:rsid w:val="00DA6C88"/>
    <w:rsid w:val="00DA6CC1"/>
    <w:rsid w:val="00DA70B3"/>
    <w:rsid w:val="00DA7411"/>
    <w:rsid w:val="00DA74D2"/>
    <w:rsid w:val="00DA7538"/>
    <w:rsid w:val="00DA7847"/>
    <w:rsid w:val="00DA78BE"/>
    <w:rsid w:val="00DA79E6"/>
    <w:rsid w:val="00DA7BBE"/>
    <w:rsid w:val="00DA7C34"/>
    <w:rsid w:val="00DA7D7C"/>
    <w:rsid w:val="00DA7F69"/>
    <w:rsid w:val="00DA7F73"/>
    <w:rsid w:val="00DB002D"/>
    <w:rsid w:val="00DB0221"/>
    <w:rsid w:val="00DB0490"/>
    <w:rsid w:val="00DB04AB"/>
    <w:rsid w:val="00DB061C"/>
    <w:rsid w:val="00DB080E"/>
    <w:rsid w:val="00DB085D"/>
    <w:rsid w:val="00DB0870"/>
    <w:rsid w:val="00DB094E"/>
    <w:rsid w:val="00DB0A19"/>
    <w:rsid w:val="00DB0AEA"/>
    <w:rsid w:val="00DB0B7D"/>
    <w:rsid w:val="00DB0B80"/>
    <w:rsid w:val="00DB0E4F"/>
    <w:rsid w:val="00DB0F60"/>
    <w:rsid w:val="00DB0FDA"/>
    <w:rsid w:val="00DB1345"/>
    <w:rsid w:val="00DB1581"/>
    <w:rsid w:val="00DB15B3"/>
    <w:rsid w:val="00DB1633"/>
    <w:rsid w:val="00DB17B0"/>
    <w:rsid w:val="00DB1B9C"/>
    <w:rsid w:val="00DB1CC8"/>
    <w:rsid w:val="00DB1D43"/>
    <w:rsid w:val="00DB1E81"/>
    <w:rsid w:val="00DB1E8D"/>
    <w:rsid w:val="00DB2087"/>
    <w:rsid w:val="00DB2164"/>
    <w:rsid w:val="00DB2313"/>
    <w:rsid w:val="00DB246C"/>
    <w:rsid w:val="00DB2651"/>
    <w:rsid w:val="00DB275D"/>
    <w:rsid w:val="00DB2905"/>
    <w:rsid w:val="00DB2B11"/>
    <w:rsid w:val="00DB2BA1"/>
    <w:rsid w:val="00DB2BCE"/>
    <w:rsid w:val="00DB2C26"/>
    <w:rsid w:val="00DB2DB3"/>
    <w:rsid w:val="00DB308C"/>
    <w:rsid w:val="00DB3148"/>
    <w:rsid w:val="00DB33FF"/>
    <w:rsid w:val="00DB343C"/>
    <w:rsid w:val="00DB34D4"/>
    <w:rsid w:val="00DB3645"/>
    <w:rsid w:val="00DB388F"/>
    <w:rsid w:val="00DB3A72"/>
    <w:rsid w:val="00DB3C6C"/>
    <w:rsid w:val="00DB3CBD"/>
    <w:rsid w:val="00DB3DD9"/>
    <w:rsid w:val="00DB3E3B"/>
    <w:rsid w:val="00DB3EAE"/>
    <w:rsid w:val="00DB41A5"/>
    <w:rsid w:val="00DB42CA"/>
    <w:rsid w:val="00DB4320"/>
    <w:rsid w:val="00DB4391"/>
    <w:rsid w:val="00DB49C3"/>
    <w:rsid w:val="00DB4D33"/>
    <w:rsid w:val="00DB4D85"/>
    <w:rsid w:val="00DB4F9B"/>
    <w:rsid w:val="00DB4FF4"/>
    <w:rsid w:val="00DB527E"/>
    <w:rsid w:val="00DB5357"/>
    <w:rsid w:val="00DB5384"/>
    <w:rsid w:val="00DB53AF"/>
    <w:rsid w:val="00DB53C4"/>
    <w:rsid w:val="00DB542E"/>
    <w:rsid w:val="00DB5457"/>
    <w:rsid w:val="00DB54F5"/>
    <w:rsid w:val="00DB5688"/>
    <w:rsid w:val="00DB59CC"/>
    <w:rsid w:val="00DB5AA0"/>
    <w:rsid w:val="00DB5CDA"/>
    <w:rsid w:val="00DB5D05"/>
    <w:rsid w:val="00DB5F91"/>
    <w:rsid w:val="00DB5FD5"/>
    <w:rsid w:val="00DB60D6"/>
    <w:rsid w:val="00DB61B9"/>
    <w:rsid w:val="00DB625A"/>
    <w:rsid w:val="00DB631D"/>
    <w:rsid w:val="00DB63CE"/>
    <w:rsid w:val="00DB64FE"/>
    <w:rsid w:val="00DB6832"/>
    <w:rsid w:val="00DB6981"/>
    <w:rsid w:val="00DB6A1C"/>
    <w:rsid w:val="00DB6A4D"/>
    <w:rsid w:val="00DB6F88"/>
    <w:rsid w:val="00DB76B0"/>
    <w:rsid w:val="00DB786A"/>
    <w:rsid w:val="00DB7ADD"/>
    <w:rsid w:val="00DB7DA5"/>
    <w:rsid w:val="00DB7DB1"/>
    <w:rsid w:val="00DB7FAC"/>
    <w:rsid w:val="00DC0359"/>
    <w:rsid w:val="00DC03FF"/>
    <w:rsid w:val="00DC06D4"/>
    <w:rsid w:val="00DC080D"/>
    <w:rsid w:val="00DC0953"/>
    <w:rsid w:val="00DC09F3"/>
    <w:rsid w:val="00DC0B09"/>
    <w:rsid w:val="00DC0D70"/>
    <w:rsid w:val="00DC0E29"/>
    <w:rsid w:val="00DC0F36"/>
    <w:rsid w:val="00DC0FA6"/>
    <w:rsid w:val="00DC0FCA"/>
    <w:rsid w:val="00DC116F"/>
    <w:rsid w:val="00DC134E"/>
    <w:rsid w:val="00DC13AE"/>
    <w:rsid w:val="00DC14E2"/>
    <w:rsid w:val="00DC1503"/>
    <w:rsid w:val="00DC1569"/>
    <w:rsid w:val="00DC175D"/>
    <w:rsid w:val="00DC1763"/>
    <w:rsid w:val="00DC19EB"/>
    <w:rsid w:val="00DC1AB1"/>
    <w:rsid w:val="00DC1AF5"/>
    <w:rsid w:val="00DC1DFA"/>
    <w:rsid w:val="00DC1F86"/>
    <w:rsid w:val="00DC203D"/>
    <w:rsid w:val="00DC209D"/>
    <w:rsid w:val="00DC213D"/>
    <w:rsid w:val="00DC2150"/>
    <w:rsid w:val="00DC2188"/>
    <w:rsid w:val="00DC24DC"/>
    <w:rsid w:val="00DC2601"/>
    <w:rsid w:val="00DC27E5"/>
    <w:rsid w:val="00DC282D"/>
    <w:rsid w:val="00DC2A92"/>
    <w:rsid w:val="00DC2D40"/>
    <w:rsid w:val="00DC2FF4"/>
    <w:rsid w:val="00DC3031"/>
    <w:rsid w:val="00DC308D"/>
    <w:rsid w:val="00DC311C"/>
    <w:rsid w:val="00DC3176"/>
    <w:rsid w:val="00DC3323"/>
    <w:rsid w:val="00DC3448"/>
    <w:rsid w:val="00DC355D"/>
    <w:rsid w:val="00DC3710"/>
    <w:rsid w:val="00DC39C0"/>
    <w:rsid w:val="00DC3ABF"/>
    <w:rsid w:val="00DC3BF6"/>
    <w:rsid w:val="00DC3FD5"/>
    <w:rsid w:val="00DC4196"/>
    <w:rsid w:val="00DC427B"/>
    <w:rsid w:val="00DC467D"/>
    <w:rsid w:val="00DC47B0"/>
    <w:rsid w:val="00DC48B5"/>
    <w:rsid w:val="00DC4909"/>
    <w:rsid w:val="00DC4A0D"/>
    <w:rsid w:val="00DC4B98"/>
    <w:rsid w:val="00DC4BEE"/>
    <w:rsid w:val="00DC50B8"/>
    <w:rsid w:val="00DC5284"/>
    <w:rsid w:val="00DC54F7"/>
    <w:rsid w:val="00DC56A0"/>
    <w:rsid w:val="00DC5809"/>
    <w:rsid w:val="00DC58F1"/>
    <w:rsid w:val="00DC5A6C"/>
    <w:rsid w:val="00DC5D21"/>
    <w:rsid w:val="00DC5DA3"/>
    <w:rsid w:val="00DC5E36"/>
    <w:rsid w:val="00DC5E4A"/>
    <w:rsid w:val="00DC6013"/>
    <w:rsid w:val="00DC61F4"/>
    <w:rsid w:val="00DC63C7"/>
    <w:rsid w:val="00DC66A0"/>
    <w:rsid w:val="00DC6701"/>
    <w:rsid w:val="00DC6974"/>
    <w:rsid w:val="00DC6EB0"/>
    <w:rsid w:val="00DC6FCD"/>
    <w:rsid w:val="00DC71CF"/>
    <w:rsid w:val="00DC7203"/>
    <w:rsid w:val="00DC75CB"/>
    <w:rsid w:val="00DC7ADB"/>
    <w:rsid w:val="00DC7BBF"/>
    <w:rsid w:val="00DD0388"/>
    <w:rsid w:val="00DD0620"/>
    <w:rsid w:val="00DD093A"/>
    <w:rsid w:val="00DD09B2"/>
    <w:rsid w:val="00DD0A38"/>
    <w:rsid w:val="00DD0ABB"/>
    <w:rsid w:val="00DD0B28"/>
    <w:rsid w:val="00DD0B8D"/>
    <w:rsid w:val="00DD0C68"/>
    <w:rsid w:val="00DD0F5B"/>
    <w:rsid w:val="00DD1164"/>
    <w:rsid w:val="00DD160B"/>
    <w:rsid w:val="00DD1676"/>
    <w:rsid w:val="00DD16AC"/>
    <w:rsid w:val="00DD1910"/>
    <w:rsid w:val="00DD214D"/>
    <w:rsid w:val="00DD215A"/>
    <w:rsid w:val="00DD2279"/>
    <w:rsid w:val="00DD22AC"/>
    <w:rsid w:val="00DD23C6"/>
    <w:rsid w:val="00DD2427"/>
    <w:rsid w:val="00DD2711"/>
    <w:rsid w:val="00DD281F"/>
    <w:rsid w:val="00DD2950"/>
    <w:rsid w:val="00DD29CC"/>
    <w:rsid w:val="00DD2A54"/>
    <w:rsid w:val="00DD2DD6"/>
    <w:rsid w:val="00DD30C9"/>
    <w:rsid w:val="00DD3152"/>
    <w:rsid w:val="00DD3540"/>
    <w:rsid w:val="00DD36C8"/>
    <w:rsid w:val="00DD37BD"/>
    <w:rsid w:val="00DD38AE"/>
    <w:rsid w:val="00DD39CF"/>
    <w:rsid w:val="00DD39DA"/>
    <w:rsid w:val="00DD3A90"/>
    <w:rsid w:val="00DD3D8D"/>
    <w:rsid w:val="00DD3E53"/>
    <w:rsid w:val="00DD3E65"/>
    <w:rsid w:val="00DD3EB3"/>
    <w:rsid w:val="00DD3F9C"/>
    <w:rsid w:val="00DD4040"/>
    <w:rsid w:val="00DD4376"/>
    <w:rsid w:val="00DD4460"/>
    <w:rsid w:val="00DD46A5"/>
    <w:rsid w:val="00DD4745"/>
    <w:rsid w:val="00DD477C"/>
    <w:rsid w:val="00DD4A8D"/>
    <w:rsid w:val="00DD4B8B"/>
    <w:rsid w:val="00DD4CFE"/>
    <w:rsid w:val="00DD4D1F"/>
    <w:rsid w:val="00DD4DF3"/>
    <w:rsid w:val="00DD5085"/>
    <w:rsid w:val="00DD535A"/>
    <w:rsid w:val="00DD551A"/>
    <w:rsid w:val="00DD553F"/>
    <w:rsid w:val="00DD5588"/>
    <w:rsid w:val="00DD5764"/>
    <w:rsid w:val="00DD57F5"/>
    <w:rsid w:val="00DD580A"/>
    <w:rsid w:val="00DD5867"/>
    <w:rsid w:val="00DD5904"/>
    <w:rsid w:val="00DD5ABE"/>
    <w:rsid w:val="00DD630F"/>
    <w:rsid w:val="00DD648B"/>
    <w:rsid w:val="00DD67F5"/>
    <w:rsid w:val="00DD6A12"/>
    <w:rsid w:val="00DD6ACB"/>
    <w:rsid w:val="00DD6BDE"/>
    <w:rsid w:val="00DD6E37"/>
    <w:rsid w:val="00DD6EF0"/>
    <w:rsid w:val="00DD6F60"/>
    <w:rsid w:val="00DD707B"/>
    <w:rsid w:val="00DD7160"/>
    <w:rsid w:val="00DD7517"/>
    <w:rsid w:val="00DD75B1"/>
    <w:rsid w:val="00DD7A25"/>
    <w:rsid w:val="00DD7BE7"/>
    <w:rsid w:val="00DD7D2E"/>
    <w:rsid w:val="00DD7D94"/>
    <w:rsid w:val="00DD7DCB"/>
    <w:rsid w:val="00DD7EBD"/>
    <w:rsid w:val="00DE0035"/>
    <w:rsid w:val="00DE0197"/>
    <w:rsid w:val="00DE042F"/>
    <w:rsid w:val="00DE054C"/>
    <w:rsid w:val="00DE0655"/>
    <w:rsid w:val="00DE076D"/>
    <w:rsid w:val="00DE0E9D"/>
    <w:rsid w:val="00DE0EC9"/>
    <w:rsid w:val="00DE1264"/>
    <w:rsid w:val="00DE1291"/>
    <w:rsid w:val="00DE1447"/>
    <w:rsid w:val="00DE1605"/>
    <w:rsid w:val="00DE196E"/>
    <w:rsid w:val="00DE19BE"/>
    <w:rsid w:val="00DE1C0F"/>
    <w:rsid w:val="00DE1D71"/>
    <w:rsid w:val="00DE20A1"/>
    <w:rsid w:val="00DE2274"/>
    <w:rsid w:val="00DE22C6"/>
    <w:rsid w:val="00DE235F"/>
    <w:rsid w:val="00DE25F7"/>
    <w:rsid w:val="00DE2650"/>
    <w:rsid w:val="00DE2710"/>
    <w:rsid w:val="00DE2730"/>
    <w:rsid w:val="00DE28C0"/>
    <w:rsid w:val="00DE2AE1"/>
    <w:rsid w:val="00DE2D42"/>
    <w:rsid w:val="00DE3089"/>
    <w:rsid w:val="00DE3143"/>
    <w:rsid w:val="00DE3414"/>
    <w:rsid w:val="00DE350C"/>
    <w:rsid w:val="00DE36BA"/>
    <w:rsid w:val="00DE387A"/>
    <w:rsid w:val="00DE3A18"/>
    <w:rsid w:val="00DE3A19"/>
    <w:rsid w:val="00DE3A82"/>
    <w:rsid w:val="00DE3A83"/>
    <w:rsid w:val="00DE3B89"/>
    <w:rsid w:val="00DE3E30"/>
    <w:rsid w:val="00DE3E39"/>
    <w:rsid w:val="00DE4033"/>
    <w:rsid w:val="00DE4157"/>
    <w:rsid w:val="00DE4398"/>
    <w:rsid w:val="00DE43B4"/>
    <w:rsid w:val="00DE448F"/>
    <w:rsid w:val="00DE4518"/>
    <w:rsid w:val="00DE467C"/>
    <w:rsid w:val="00DE4A07"/>
    <w:rsid w:val="00DE5037"/>
    <w:rsid w:val="00DE528C"/>
    <w:rsid w:val="00DE5341"/>
    <w:rsid w:val="00DE5390"/>
    <w:rsid w:val="00DE539C"/>
    <w:rsid w:val="00DE5709"/>
    <w:rsid w:val="00DE5A35"/>
    <w:rsid w:val="00DE5CD4"/>
    <w:rsid w:val="00DE5D83"/>
    <w:rsid w:val="00DE5DE8"/>
    <w:rsid w:val="00DE5E17"/>
    <w:rsid w:val="00DE5F5C"/>
    <w:rsid w:val="00DE6020"/>
    <w:rsid w:val="00DE60D9"/>
    <w:rsid w:val="00DE611A"/>
    <w:rsid w:val="00DE6361"/>
    <w:rsid w:val="00DE6422"/>
    <w:rsid w:val="00DE65E7"/>
    <w:rsid w:val="00DE6702"/>
    <w:rsid w:val="00DE6A3F"/>
    <w:rsid w:val="00DE6A94"/>
    <w:rsid w:val="00DE6E1C"/>
    <w:rsid w:val="00DE6E84"/>
    <w:rsid w:val="00DE6ED9"/>
    <w:rsid w:val="00DE6EFF"/>
    <w:rsid w:val="00DE718D"/>
    <w:rsid w:val="00DE71B6"/>
    <w:rsid w:val="00DE745D"/>
    <w:rsid w:val="00DE761E"/>
    <w:rsid w:val="00DE7708"/>
    <w:rsid w:val="00DE774D"/>
    <w:rsid w:val="00DE7957"/>
    <w:rsid w:val="00DE7CC1"/>
    <w:rsid w:val="00DE7DD3"/>
    <w:rsid w:val="00DF024A"/>
    <w:rsid w:val="00DF0504"/>
    <w:rsid w:val="00DF0848"/>
    <w:rsid w:val="00DF0880"/>
    <w:rsid w:val="00DF0906"/>
    <w:rsid w:val="00DF0922"/>
    <w:rsid w:val="00DF093A"/>
    <w:rsid w:val="00DF0AA0"/>
    <w:rsid w:val="00DF0CB7"/>
    <w:rsid w:val="00DF0D80"/>
    <w:rsid w:val="00DF0F97"/>
    <w:rsid w:val="00DF0FA6"/>
    <w:rsid w:val="00DF1091"/>
    <w:rsid w:val="00DF10FE"/>
    <w:rsid w:val="00DF1105"/>
    <w:rsid w:val="00DF1AA8"/>
    <w:rsid w:val="00DF1AC5"/>
    <w:rsid w:val="00DF1C90"/>
    <w:rsid w:val="00DF1CC8"/>
    <w:rsid w:val="00DF1E22"/>
    <w:rsid w:val="00DF2142"/>
    <w:rsid w:val="00DF259D"/>
    <w:rsid w:val="00DF2654"/>
    <w:rsid w:val="00DF2703"/>
    <w:rsid w:val="00DF27FE"/>
    <w:rsid w:val="00DF2A5E"/>
    <w:rsid w:val="00DF2CF5"/>
    <w:rsid w:val="00DF2D9B"/>
    <w:rsid w:val="00DF2EB1"/>
    <w:rsid w:val="00DF307B"/>
    <w:rsid w:val="00DF310D"/>
    <w:rsid w:val="00DF322D"/>
    <w:rsid w:val="00DF32F3"/>
    <w:rsid w:val="00DF3527"/>
    <w:rsid w:val="00DF35E6"/>
    <w:rsid w:val="00DF37FB"/>
    <w:rsid w:val="00DF3813"/>
    <w:rsid w:val="00DF393D"/>
    <w:rsid w:val="00DF3998"/>
    <w:rsid w:val="00DF3B30"/>
    <w:rsid w:val="00DF3CBA"/>
    <w:rsid w:val="00DF3D34"/>
    <w:rsid w:val="00DF3D50"/>
    <w:rsid w:val="00DF3E4B"/>
    <w:rsid w:val="00DF3F7B"/>
    <w:rsid w:val="00DF40A9"/>
    <w:rsid w:val="00DF42BD"/>
    <w:rsid w:val="00DF45E9"/>
    <w:rsid w:val="00DF4601"/>
    <w:rsid w:val="00DF465F"/>
    <w:rsid w:val="00DF47F9"/>
    <w:rsid w:val="00DF4A2D"/>
    <w:rsid w:val="00DF4A71"/>
    <w:rsid w:val="00DF4B15"/>
    <w:rsid w:val="00DF4CFE"/>
    <w:rsid w:val="00DF4D16"/>
    <w:rsid w:val="00DF4EC0"/>
    <w:rsid w:val="00DF4F10"/>
    <w:rsid w:val="00DF5007"/>
    <w:rsid w:val="00DF50BB"/>
    <w:rsid w:val="00DF51A2"/>
    <w:rsid w:val="00DF53C7"/>
    <w:rsid w:val="00DF547A"/>
    <w:rsid w:val="00DF58D5"/>
    <w:rsid w:val="00DF5D0F"/>
    <w:rsid w:val="00DF5D54"/>
    <w:rsid w:val="00DF6138"/>
    <w:rsid w:val="00DF6757"/>
    <w:rsid w:val="00DF67B0"/>
    <w:rsid w:val="00DF6952"/>
    <w:rsid w:val="00DF6BE4"/>
    <w:rsid w:val="00DF6C1D"/>
    <w:rsid w:val="00DF6CF0"/>
    <w:rsid w:val="00DF6EBB"/>
    <w:rsid w:val="00DF6EDA"/>
    <w:rsid w:val="00DF6F5F"/>
    <w:rsid w:val="00DF717C"/>
    <w:rsid w:val="00DF7A6A"/>
    <w:rsid w:val="00DF7AFF"/>
    <w:rsid w:val="00DF7B0B"/>
    <w:rsid w:val="00DF7B19"/>
    <w:rsid w:val="00DF7BB8"/>
    <w:rsid w:val="00DF7E25"/>
    <w:rsid w:val="00DF7FCA"/>
    <w:rsid w:val="00E0009A"/>
    <w:rsid w:val="00E00290"/>
    <w:rsid w:val="00E0088F"/>
    <w:rsid w:val="00E0098A"/>
    <w:rsid w:val="00E009F4"/>
    <w:rsid w:val="00E00A7C"/>
    <w:rsid w:val="00E00E66"/>
    <w:rsid w:val="00E01003"/>
    <w:rsid w:val="00E01108"/>
    <w:rsid w:val="00E01133"/>
    <w:rsid w:val="00E0128E"/>
    <w:rsid w:val="00E01361"/>
    <w:rsid w:val="00E01431"/>
    <w:rsid w:val="00E0151C"/>
    <w:rsid w:val="00E01523"/>
    <w:rsid w:val="00E01627"/>
    <w:rsid w:val="00E016BB"/>
    <w:rsid w:val="00E01946"/>
    <w:rsid w:val="00E0197E"/>
    <w:rsid w:val="00E01A7F"/>
    <w:rsid w:val="00E01AB6"/>
    <w:rsid w:val="00E01D67"/>
    <w:rsid w:val="00E02053"/>
    <w:rsid w:val="00E020B9"/>
    <w:rsid w:val="00E0217D"/>
    <w:rsid w:val="00E022F0"/>
    <w:rsid w:val="00E022F2"/>
    <w:rsid w:val="00E0236E"/>
    <w:rsid w:val="00E0253A"/>
    <w:rsid w:val="00E0269C"/>
    <w:rsid w:val="00E027B8"/>
    <w:rsid w:val="00E027F4"/>
    <w:rsid w:val="00E0283E"/>
    <w:rsid w:val="00E02940"/>
    <w:rsid w:val="00E02966"/>
    <w:rsid w:val="00E02E26"/>
    <w:rsid w:val="00E02F14"/>
    <w:rsid w:val="00E02F34"/>
    <w:rsid w:val="00E02F81"/>
    <w:rsid w:val="00E033B0"/>
    <w:rsid w:val="00E03550"/>
    <w:rsid w:val="00E036BD"/>
    <w:rsid w:val="00E037CC"/>
    <w:rsid w:val="00E03A50"/>
    <w:rsid w:val="00E03E1D"/>
    <w:rsid w:val="00E03E84"/>
    <w:rsid w:val="00E03F40"/>
    <w:rsid w:val="00E04046"/>
    <w:rsid w:val="00E044D9"/>
    <w:rsid w:val="00E04574"/>
    <w:rsid w:val="00E04824"/>
    <w:rsid w:val="00E04952"/>
    <w:rsid w:val="00E0496E"/>
    <w:rsid w:val="00E04BD3"/>
    <w:rsid w:val="00E04D2F"/>
    <w:rsid w:val="00E04F5E"/>
    <w:rsid w:val="00E05104"/>
    <w:rsid w:val="00E0517D"/>
    <w:rsid w:val="00E051B5"/>
    <w:rsid w:val="00E054F0"/>
    <w:rsid w:val="00E055C0"/>
    <w:rsid w:val="00E0589E"/>
    <w:rsid w:val="00E0589F"/>
    <w:rsid w:val="00E05C7C"/>
    <w:rsid w:val="00E05CBA"/>
    <w:rsid w:val="00E05CF4"/>
    <w:rsid w:val="00E05DE6"/>
    <w:rsid w:val="00E05E3F"/>
    <w:rsid w:val="00E0641F"/>
    <w:rsid w:val="00E0643C"/>
    <w:rsid w:val="00E064D0"/>
    <w:rsid w:val="00E06588"/>
    <w:rsid w:val="00E06643"/>
    <w:rsid w:val="00E0682C"/>
    <w:rsid w:val="00E06A0A"/>
    <w:rsid w:val="00E06C3F"/>
    <w:rsid w:val="00E06D5F"/>
    <w:rsid w:val="00E06E79"/>
    <w:rsid w:val="00E06E9D"/>
    <w:rsid w:val="00E06F0C"/>
    <w:rsid w:val="00E06F53"/>
    <w:rsid w:val="00E0742D"/>
    <w:rsid w:val="00E07494"/>
    <w:rsid w:val="00E076F3"/>
    <w:rsid w:val="00E078E4"/>
    <w:rsid w:val="00E07A02"/>
    <w:rsid w:val="00E07B00"/>
    <w:rsid w:val="00E07D10"/>
    <w:rsid w:val="00E07D43"/>
    <w:rsid w:val="00E07DBD"/>
    <w:rsid w:val="00E07E58"/>
    <w:rsid w:val="00E10104"/>
    <w:rsid w:val="00E1055F"/>
    <w:rsid w:val="00E10693"/>
    <w:rsid w:val="00E10E19"/>
    <w:rsid w:val="00E10E5B"/>
    <w:rsid w:val="00E10FA5"/>
    <w:rsid w:val="00E1107F"/>
    <w:rsid w:val="00E11522"/>
    <w:rsid w:val="00E1161E"/>
    <w:rsid w:val="00E1196C"/>
    <w:rsid w:val="00E1197E"/>
    <w:rsid w:val="00E11BE2"/>
    <w:rsid w:val="00E11CB0"/>
    <w:rsid w:val="00E11F86"/>
    <w:rsid w:val="00E11FB0"/>
    <w:rsid w:val="00E1201A"/>
    <w:rsid w:val="00E12112"/>
    <w:rsid w:val="00E12172"/>
    <w:rsid w:val="00E122D6"/>
    <w:rsid w:val="00E12304"/>
    <w:rsid w:val="00E125B3"/>
    <w:rsid w:val="00E12661"/>
    <w:rsid w:val="00E1266D"/>
    <w:rsid w:val="00E128DE"/>
    <w:rsid w:val="00E12A23"/>
    <w:rsid w:val="00E12B17"/>
    <w:rsid w:val="00E12CDE"/>
    <w:rsid w:val="00E12DC6"/>
    <w:rsid w:val="00E12E09"/>
    <w:rsid w:val="00E12E9D"/>
    <w:rsid w:val="00E12EEF"/>
    <w:rsid w:val="00E12F19"/>
    <w:rsid w:val="00E132D2"/>
    <w:rsid w:val="00E13495"/>
    <w:rsid w:val="00E135BF"/>
    <w:rsid w:val="00E13673"/>
    <w:rsid w:val="00E136B6"/>
    <w:rsid w:val="00E13810"/>
    <w:rsid w:val="00E13851"/>
    <w:rsid w:val="00E1389B"/>
    <w:rsid w:val="00E13A2E"/>
    <w:rsid w:val="00E13B66"/>
    <w:rsid w:val="00E13FD3"/>
    <w:rsid w:val="00E144A5"/>
    <w:rsid w:val="00E144F4"/>
    <w:rsid w:val="00E14528"/>
    <w:rsid w:val="00E1455D"/>
    <w:rsid w:val="00E14939"/>
    <w:rsid w:val="00E14A42"/>
    <w:rsid w:val="00E14B31"/>
    <w:rsid w:val="00E14E07"/>
    <w:rsid w:val="00E14E6B"/>
    <w:rsid w:val="00E14FE1"/>
    <w:rsid w:val="00E152F0"/>
    <w:rsid w:val="00E15616"/>
    <w:rsid w:val="00E157AC"/>
    <w:rsid w:val="00E159E7"/>
    <w:rsid w:val="00E15A7B"/>
    <w:rsid w:val="00E15BCC"/>
    <w:rsid w:val="00E15C31"/>
    <w:rsid w:val="00E15D29"/>
    <w:rsid w:val="00E16005"/>
    <w:rsid w:val="00E16104"/>
    <w:rsid w:val="00E162A2"/>
    <w:rsid w:val="00E162C3"/>
    <w:rsid w:val="00E16603"/>
    <w:rsid w:val="00E168E8"/>
    <w:rsid w:val="00E16A44"/>
    <w:rsid w:val="00E16A85"/>
    <w:rsid w:val="00E16FB9"/>
    <w:rsid w:val="00E1702B"/>
    <w:rsid w:val="00E17337"/>
    <w:rsid w:val="00E173C8"/>
    <w:rsid w:val="00E175BD"/>
    <w:rsid w:val="00E1770F"/>
    <w:rsid w:val="00E177DC"/>
    <w:rsid w:val="00E178BD"/>
    <w:rsid w:val="00E178F6"/>
    <w:rsid w:val="00E17919"/>
    <w:rsid w:val="00E17A36"/>
    <w:rsid w:val="00E17AAC"/>
    <w:rsid w:val="00E17D21"/>
    <w:rsid w:val="00E17DD5"/>
    <w:rsid w:val="00E17F9C"/>
    <w:rsid w:val="00E20013"/>
    <w:rsid w:val="00E2038A"/>
    <w:rsid w:val="00E2039D"/>
    <w:rsid w:val="00E203B3"/>
    <w:rsid w:val="00E20459"/>
    <w:rsid w:val="00E205B6"/>
    <w:rsid w:val="00E20607"/>
    <w:rsid w:val="00E2087C"/>
    <w:rsid w:val="00E20A7A"/>
    <w:rsid w:val="00E20AB7"/>
    <w:rsid w:val="00E20BF7"/>
    <w:rsid w:val="00E20C98"/>
    <w:rsid w:val="00E20ED6"/>
    <w:rsid w:val="00E2101A"/>
    <w:rsid w:val="00E2121B"/>
    <w:rsid w:val="00E217A6"/>
    <w:rsid w:val="00E2196F"/>
    <w:rsid w:val="00E21A30"/>
    <w:rsid w:val="00E21EE6"/>
    <w:rsid w:val="00E220EB"/>
    <w:rsid w:val="00E223E2"/>
    <w:rsid w:val="00E2256B"/>
    <w:rsid w:val="00E226E9"/>
    <w:rsid w:val="00E2284B"/>
    <w:rsid w:val="00E22AE3"/>
    <w:rsid w:val="00E22E27"/>
    <w:rsid w:val="00E22E67"/>
    <w:rsid w:val="00E2320B"/>
    <w:rsid w:val="00E2326A"/>
    <w:rsid w:val="00E23686"/>
    <w:rsid w:val="00E236A9"/>
    <w:rsid w:val="00E2394A"/>
    <w:rsid w:val="00E23A26"/>
    <w:rsid w:val="00E23BFB"/>
    <w:rsid w:val="00E23C50"/>
    <w:rsid w:val="00E23D43"/>
    <w:rsid w:val="00E23D9E"/>
    <w:rsid w:val="00E243FF"/>
    <w:rsid w:val="00E24570"/>
    <w:rsid w:val="00E24587"/>
    <w:rsid w:val="00E24601"/>
    <w:rsid w:val="00E24788"/>
    <w:rsid w:val="00E24BF0"/>
    <w:rsid w:val="00E24C99"/>
    <w:rsid w:val="00E24EE1"/>
    <w:rsid w:val="00E24EE8"/>
    <w:rsid w:val="00E25113"/>
    <w:rsid w:val="00E252AD"/>
    <w:rsid w:val="00E253B9"/>
    <w:rsid w:val="00E25451"/>
    <w:rsid w:val="00E25459"/>
    <w:rsid w:val="00E256A9"/>
    <w:rsid w:val="00E25944"/>
    <w:rsid w:val="00E25A3E"/>
    <w:rsid w:val="00E25B44"/>
    <w:rsid w:val="00E25B50"/>
    <w:rsid w:val="00E25EB5"/>
    <w:rsid w:val="00E2603A"/>
    <w:rsid w:val="00E261F2"/>
    <w:rsid w:val="00E26212"/>
    <w:rsid w:val="00E2639C"/>
    <w:rsid w:val="00E264FE"/>
    <w:rsid w:val="00E26579"/>
    <w:rsid w:val="00E26719"/>
    <w:rsid w:val="00E2686E"/>
    <w:rsid w:val="00E26AD9"/>
    <w:rsid w:val="00E26B8C"/>
    <w:rsid w:val="00E26BFA"/>
    <w:rsid w:val="00E26C74"/>
    <w:rsid w:val="00E26D0A"/>
    <w:rsid w:val="00E26D5E"/>
    <w:rsid w:val="00E27079"/>
    <w:rsid w:val="00E27586"/>
    <w:rsid w:val="00E276FC"/>
    <w:rsid w:val="00E27753"/>
    <w:rsid w:val="00E27845"/>
    <w:rsid w:val="00E27A4E"/>
    <w:rsid w:val="00E27C70"/>
    <w:rsid w:val="00E27D28"/>
    <w:rsid w:val="00E27EA8"/>
    <w:rsid w:val="00E27F20"/>
    <w:rsid w:val="00E3014F"/>
    <w:rsid w:val="00E302E2"/>
    <w:rsid w:val="00E30490"/>
    <w:rsid w:val="00E304A3"/>
    <w:rsid w:val="00E305A5"/>
    <w:rsid w:val="00E3095C"/>
    <w:rsid w:val="00E3097B"/>
    <w:rsid w:val="00E30BC4"/>
    <w:rsid w:val="00E30C1E"/>
    <w:rsid w:val="00E31052"/>
    <w:rsid w:val="00E31255"/>
    <w:rsid w:val="00E3127E"/>
    <w:rsid w:val="00E31401"/>
    <w:rsid w:val="00E31578"/>
    <w:rsid w:val="00E31641"/>
    <w:rsid w:val="00E319AA"/>
    <w:rsid w:val="00E31A5C"/>
    <w:rsid w:val="00E31BB4"/>
    <w:rsid w:val="00E31D6E"/>
    <w:rsid w:val="00E31DDF"/>
    <w:rsid w:val="00E31DE4"/>
    <w:rsid w:val="00E31E96"/>
    <w:rsid w:val="00E31F70"/>
    <w:rsid w:val="00E31F87"/>
    <w:rsid w:val="00E31FD0"/>
    <w:rsid w:val="00E3208F"/>
    <w:rsid w:val="00E32218"/>
    <w:rsid w:val="00E32622"/>
    <w:rsid w:val="00E328FD"/>
    <w:rsid w:val="00E32996"/>
    <w:rsid w:val="00E32A9E"/>
    <w:rsid w:val="00E3311F"/>
    <w:rsid w:val="00E331D3"/>
    <w:rsid w:val="00E3325F"/>
    <w:rsid w:val="00E333EE"/>
    <w:rsid w:val="00E3378D"/>
    <w:rsid w:val="00E33A75"/>
    <w:rsid w:val="00E33BBA"/>
    <w:rsid w:val="00E33C3A"/>
    <w:rsid w:val="00E33E9C"/>
    <w:rsid w:val="00E33ED7"/>
    <w:rsid w:val="00E34158"/>
    <w:rsid w:val="00E346BD"/>
    <w:rsid w:val="00E34762"/>
    <w:rsid w:val="00E34856"/>
    <w:rsid w:val="00E348BE"/>
    <w:rsid w:val="00E34C41"/>
    <w:rsid w:val="00E34E18"/>
    <w:rsid w:val="00E34EDD"/>
    <w:rsid w:val="00E34F89"/>
    <w:rsid w:val="00E350E0"/>
    <w:rsid w:val="00E352AE"/>
    <w:rsid w:val="00E352FA"/>
    <w:rsid w:val="00E3530C"/>
    <w:rsid w:val="00E35333"/>
    <w:rsid w:val="00E353BB"/>
    <w:rsid w:val="00E35618"/>
    <w:rsid w:val="00E35718"/>
    <w:rsid w:val="00E3578D"/>
    <w:rsid w:val="00E35A17"/>
    <w:rsid w:val="00E35AAC"/>
    <w:rsid w:val="00E35B15"/>
    <w:rsid w:val="00E35BBF"/>
    <w:rsid w:val="00E35C20"/>
    <w:rsid w:val="00E35CDE"/>
    <w:rsid w:val="00E35D53"/>
    <w:rsid w:val="00E35F88"/>
    <w:rsid w:val="00E36154"/>
    <w:rsid w:val="00E362D0"/>
    <w:rsid w:val="00E36425"/>
    <w:rsid w:val="00E3642A"/>
    <w:rsid w:val="00E36473"/>
    <w:rsid w:val="00E36629"/>
    <w:rsid w:val="00E36959"/>
    <w:rsid w:val="00E369A7"/>
    <w:rsid w:val="00E369C1"/>
    <w:rsid w:val="00E36A62"/>
    <w:rsid w:val="00E36B5F"/>
    <w:rsid w:val="00E3726C"/>
    <w:rsid w:val="00E37317"/>
    <w:rsid w:val="00E37352"/>
    <w:rsid w:val="00E3748E"/>
    <w:rsid w:val="00E374F7"/>
    <w:rsid w:val="00E3783B"/>
    <w:rsid w:val="00E37E8F"/>
    <w:rsid w:val="00E40050"/>
    <w:rsid w:val="00E40076"/>
    <w:rsid w:val="00E40302"/>
    <w:rsid w:val="00E40458"/>
    <w:rsid w:val="00E404D9"/>
    <w:rsid w:val="00E40506"/>
    <w:rsid w:val="00E40562"/>
    <w:rsid w:val="00E40920"/>
    <w:rsid w:val="00E40F32"/>
    <w:rsid w:val="00E40F4B"/>
    <w:rsid w:val="00E41519"/>
    <w:rsid w:val="00E4161C"/>
    <w:rsid w:val="00E4164D"/>
    <w:rsid w:val="00E41663"/>
    <w:rsid w:val="00E4177B"/>
    <w:rsid w:val="00E418E6"/>
    <w:rsid w:val="00E42169"/>
    <w:rsid w:val="00E42208"/>
    <w:rsid w:val="00E42697"/>
    <w:rsid w:val="00E428FC"/>
    <w:rsid w:val="00E42BB8"/>
    <w:rsid w:val="00E42BF6"/>
    <w:rsid w:val="00E42C8B"/>
    <w:rsid w:val="00E42E05"/>
    <w:rsid w:val="00E42E74"/>
    <w:rsid w:val="00E42F9F"/>
    <w:rsid w:val="00E4305F"/>
    <w:rsid w:val="00E43067"/>
    <w:rsid w:val="00E43087"/>
    <w:rsid w:val="00E430D2"/>
    <w:rsid w:val="00E4321A"/>
    <w:rsid w:val="00E4323C"/>
    <w:rsid w:val="00E432AB"/>
    <w:rsid w:val="00E43573"/>
    <w:rsid w:val="00E4364D"/>
    <w:rsid w:val="00E43788"/>
    <w:rsid w:val="00E439AA"/>
    <w:rsid w:val="00E43B46"/>
    <w:rsid w:val="00E43C37"/>
    <w:rsid w:val="00E43D4D"/>
    <w:rsid w:val="00E43DE9"/>
    <w:rsid w:val="00E43EA8"/>
    <w:rsid w:val="00E44124"/>
    <w:rsid w:val="00E444B3"/>
    <w:rsid w:val="00E4450A"/>
    <w:rsid w:val="00E44534"/>
    <w:rsid w:val="00E445D5"/>
    <w:rsid w:val="00E447B2"/>
    <w:rsid w:val="00E4480F"/>
    <w:rsid w:val="00E44836"/>
    <w:rsid w:val="00E44C43"/>
    <w:rsid w:val="00E44C47"/>
    <w:rsid w:val="00E44C66"/>
    <w:rsid w:val="00E44FC1"/>
    <w:rsid w:val="00E4518C"/>
    <w:rsid w:val="00E4542A"/>
    <w:rsid w:val="00E45605"/>
    <w:rsid w:val="00E4563F"/>
    <w:rsid w:val="00E4570C"/>
    <w:rsid w:val="00E457C4"/>
    <w:rsid w:val="00E457FE"/>
    <w:rsid w:val="00E45A8C"/>
    <w:rsid w:val="00E45ABD"/>
    <w:rsid w:val="00E45DB6"/>
    <w:rsid w:val="00E45DD6"/>
    <w:rsid w:val="00E46AFE"/>
    <w:rsid w:val="00E4717A"/>
    <w:rsid w:val="00E473C7"/>
    <w:rsid w:val="00E47675"/>
    <w:rsid w:val="00E47922"/>
    <w:rsid w:val="00E47B85"/>
    <w:rsid w:val="00E47D47"/>
    <w:rsid w:val="00E47ECC"/>
    <w:rsid w:val="00E50005"/>
    <w:rsid w:val="00E500D8"/>
    <w:rsid w:val="00E500DA"/>
    <w:rsid w:val="00E5025B"/>
    <w:rsid w:val="00E506A5"/>
    <w:rsid w:val="00E50705"/>
    <w:rsid w:val="00E5076E"/>
    <w:rsid w:val="00E5085F"/>
    <w:rsid w:val="00E50906"/>
    <w:rsid w:val="00E50985"/>
    <w:rsid w:val="00E509BB"/>
    <w:rsid w:val="00E50AD5"/>
    <w:rsid w:val="00E50C0F"/>
    <w:rsid w:val="00E50D8A"/>
    <w:rsid w:val="00E50E4D"/>
    <w:rsid w:val="00E515F2"/>
    <w:rsid w:val="00E51835"/>
    <w:rsid w:val="00E51838"/>
    <w:rsid w:val="00E51930"/>
    <w:rsid w:val="00E51AC8"/>
    <w:rsid w:val="00E51AED"/>
    <w:rsid w:val="00E51ED5"/>
    <w:rsid w:val="00E51FA0"/>
    <w:rsid w:val="00E520F1"/>
    <w:rsid w:val="00E52535"/>
    <w:rsid w:val="00E5262A"/>
    <w:rsid w:val="00E52638"/>
    <w:rsid w:val="00E52823"/>
    <w:rsid w:val="00E52A96"/>
    <w:rsid w:val="00E52BB1"/>
    <w:rsid w:val="00E52C15"/>
    <w:rsid w:val="00E52D73"/>
    <w:rsid w:val="00E52DFD"/>
    <w:rsid w:val="00E52F55"/>
    <w:rsid w:val="00E52F95"/>
    <w:rsid w:val="00E53046"/>
    <w:rsid w:val="00E531FD"/>
    <w:rsid w:val="00E53582"/>
    <w:rsid w:val="00E53718"/>
    <w:rsid w:val="00E539FE"/>
    <w:rsid w:val="00E53B08"/>
    <w:rsid w:val="00E53D5B"/>
    <w:rsid w:val="00E53E5C"/>
    <w:rsid w:val="00E53ED1"/>
    <w:rsid w:val="00E53F91"/>
    <w:rsid w:val="00E5406E"/>
    <w:rsid w:val="00E540C0"/>
    <w:rsid w:val="00E5413A"/>
    <w:rsid w:val="00E542C0"/>
    <w:rsid w:val="00E54425"/>
    <w:rsid w:val="00E544F1"/>
    <w:rsid w:val="00E54587"/>
    <w:rsid w:val="00E5458C"/>
    <w:rsid w:val="00E54B5D"/>
    <w:rsid w:val="00E54D1B"/>
    <w:rsid w:val="00E54D78"/>
    <w:rsid w:val="00E54FD0"/>
    <w:rsid w:val="00E550D1"/>
    <w:rsid w:val="00E55204"/>
    <w:rsid w:val="00E553F7"/>
    <w:rsid w:val="00E5540D"/>
    <w:rsid w:val="00E5545A"/>
    <w:rsid w:val="00E55468"/>
    <w:rsid w:val="00E55538"/>
    <w:rsid w:val="00E557E7"/>
    <w:rsid w:val="00E55AF3"/>
    <w:rsid w:val="00E55B1A"/>
    <w:rsid w:val="00E55C93"/>
    <w:rsid w:val="00E55DD3"/>
    <w:rsid w:val="00E55F54"/>
    <w:rsid w:val="00E5655F"/>
    <w:rsid w:val="00E566BB"/>
    <w:rsid w:val="00E56746"/>
    <w:rsid w:val="00E567ED"/>
    <w:rsid w:val="00E56892"/>
    <w:rsid w:val="00E56949"/>
    <w:rsid w:val="00E5698A"/>
    <w:rsid w:val="00E569B1"/>
    <w:rsid w:val="00E56A29"/>
    <w:rsid w:val="00E56A58"/>
    <w:rsid w:val="00E56AFE"/>
    <w:rsid w:val="00E56B9C"/>
    <w:rsid w:val="00E56FF5"/>
    <w:rsid w:val="00E5704D"/>
    <w:rsid w:val="00E5706F"/>
    <w:rsid w:val="00E57238"/>
    <w:rsid w:val="00E573A9"/>
    <w:rsid w:val="00E574B3"/>
    <w:rsid w:val="00E57588"/>
    <w:rsid w:val="00E57939"/>
    <w:rsid w:val="00E57CA0"/>
    <w:rsid w:val="00E57E33"/>
    <w:rsid w:val="00E57E51"/>
    <w:rsid w:val="00E57F6E"/>
    <w:rsid w:val="00E57F86"/>
    <w:rsid w:val="00E601C4"/>
    <w:rsid w:val="00E60249"/>
    <w:rsid w:val="00E603F5"/>
    <w:rsid w:val="00E6072C"/>
    <w:rsid w:val="00E6074E"/>
    <w:rsid w:val="00E6079B"/>
    <w:rsid w:val="00E608FD"/>
    <w:rsid w:val="00E60941"/>
    <w:rsid w:val="00E60ED8"/>
    <w:rsid w:val="00E6107B"/>
    <w:rsid w:val="00E61101"/>
    <w:rsid w:val="00E61669"/>
    <w:rsid w:val="00E617B5"/>
    <w:rsid w:val="00E61A28"/>
    <w:rsid w:val="00E61CFD"/>
    <w:rsid w:val="00E62135"/>
    <w:rsid w:val="00E62385"/>
    <w:rsid w:val="00E6245C"/>
    <w:rsid w:val="00E62521"/>
    <w:rsid w:val="00E62594"/>
    <w:rsid w:val="00E625B4"/>
    <w:rsid w:val="00E6266F"/>
    <w:rsid w:val="00E6280A"/>
    <w:rsid w:val="00E62DAE"/>
    <w:rsid w:val="00E62E02"/>
    <w:rsid w:val="00E62E3A"/>
    <w:rsid w:val="00E63020"/>
    <w:rsid w:val="00E633E2"/>
    <w:rsid w:val="00E63A36"/>
    <w:rsid w:val="00E6406C"/>
    <w:rsid w:val="00E641B1"/>
    <w:rsid w:val="00E6434E"/>
    <w:rsid w:val="00E64E13"/>
    <w:rsid w:val="00E65175"/>
    <w:rsid w:val="00E651CD"/>
    <w:rsid w:val="00E653F0"/>
    <w:rsid w:val="00E65421"/>
    <w:rsid w:val="00E65459"/>
    <w:rsid w:val="00E6546D"/>
    <w:rsid w:val="00E654AE"/>
    <w:rsid w:val="00E654D0"/>
    <w:rsid w:val="00E65602"/>
    <w:rsid w:val="00E6560F"/>
    <w:rsid w:val="00E6562E"/>
    <w:rsid w:val="00E6574A"/>
    <w:rsid w:val="00E65771"/>
    <w:rsid w:val="00E65885"/>
    <w:rsid w:val="00E65A92"/>
    <w:rsid w:val="00E65BD3"/>
    <w:rsid w:val="00E65F36"/>
    <w:rsid w:val="00E66083"/>
    <w:rsid w:val="00E662D6"/>
    <w:rsid w:val="00E66318"/>
    <w:rsid w:val="00E664ED"/>
    <w:rsid w:val="00E666F9"/>
    <w:rsid w:val="00E66734"/>
    <w:rsid w:val="00E66929"/>
    <w:rsid w:val="00E66BA6"/>
    <w:rsid w:val="00E66E26"/>
    <w:rsid w:val="00E66E2D"/>
    <w:rsid w:val="00E66FE1"/>
    <w:rsid w:val="00E67022"/>
    <w:rsid w:val="00E67106"/>
    <w:rsid w:val="00E6729C"/>
    <w:rsid w:val="00E6738E"/>
    <w:rsid w:val="00E67546"/>
    <w:rsid w:val="00E6755B"/>
    <w:rsid w:val="00E675EA"/>
    <w:rsid w:val="00E67693"/>
    <w:rsid w:val="00E67A97"/>
    <w:rsid w:val="00E67E0C"/>
    <w:rsid w:val="00E67EEE"/>
    <w:rsid w:val="00E67EFD"/>
    <w:rsid w:val="00E67F7F"/>
    <w:rsid w:val="00E700AC"/>
    <w:rsid w:val="00E70113"/>
    <w:rsid w:val="00E70146"/>
    <w:rsid w:val="00E70447"/>
    <w:rsid w:val="00E70473"/>
    <w:rsid w:val="00E705DB"/>
    <w:rsid w:val="00E70AC8"/>
    <w:rsid w:val="00E70EED"/>
    <w:rsid w:val="00E70F3A"/>
    <w:rsid w:val="00E71123"/>
    <w:rsid w:val="00E71127"/>
    <w:rsid w:val="00E71194"/>
    <w:rsid w:val="00E71305"/>
    <w:rsid w:val="00E71346"/>
    <w:rsid w:val="00E71499"/>
    <w:rsid w:val="00E7179A"/>
    <w:rsid w:val="00E718BA"/>
    <w:rsid w:val="00E71948"/>
    <w:rsid w:val="00E71B19"/>
    <w:rsid w:val="00E71C5B"/>
    <w:rsid w:val="00E71E33"/>
    <w:rsid w:val="00E71F07"/>
    <w:rsid w:val="00E72013"/>
    <w:rsid w:val="00E72267"/>
    <w:rsid w:val="00E723BB"/>
    <w:rsid w:val="00E72636"/>
    <w:rsid w:val="00E72AC4"/>
    <w:rsid w:val="00E72B61"/>
    <w:rsid w:val="00E72E62"/>
    <w:rsid w:val="00E73146"/>
    <w:rsid w:val="00E7318E"/>
    <w:rsid w:val="00E733A1"/>
    <w:rsid w:val="00E73477"/>
    <w:rsid w:val="00E736AB"/>
    <w:rsid w:val="00E7393C"/>
    <w:rsid w:val="00E73985"/>
    <w:rsid w:val="00E73C94"/>
    <w:rsid w:val="00E73D20"/>
    <w:rsid w:val="00E73EB0"/>
    <w:rsid w:val="00E74020"/>
    <w:rsid w:val="00E742D4"/>
    <w:rsid w:val="00E742DE"/>
    <w:rsid w:val="00E745C0"/>
    <w:rsid w:val="00E74685"/>
    <w:rsid w:val="00E74695"/>
    <w:rsid w:val="00E74730"/>
    <w:rsid w:val="00E7475A"/>
    <w:rsid w:val="00E749F7"/>
    <w:rsid w:val="00E74A04"/>
    <w:rsid w:val="00E74AB2"/>
    <w:rsid w:val="00E74F36"/>
    <w:rsid w:val="00E75025"/>
    <w:rsid w:val="00E75057"/>
    <w:rsid w:val="00E750DA"/>
    <w:rsid w:val="00E75209"/>
    <w:rsid w:val="00E752A8"/>
    <w:rsid w:val="00E7551D"/>
    <w:rsid w:val="00E755F8"/>
    <w:rsid w:val="00E756EC"/>
    <w:rsid w:val="00E75709"/>
    <w:rsid w:val="00E75C72"/>
    <w:rsid w:val="00E75E42"/>
    <w:rsid w:val="00E75E53"/>
    <w:rsid w:val="00E760EF"/>
    <w:rsid w:val="00E7610D"/>
    <w:rsid w:val="00E76169"/>
    <w:rsid w:val="00E76360"/>
    <w:rsid w:val="00E7638B"/>
    <w:rsid w:val="00E763C2"/>
    <w:rsid w:val="00E76423"/>
    <w:rsid w:val="00E7647B"/>
    <w:rsid w:val="00E76524"/>
    <w:rsid w:val="00E76564"/>
    <w:rsid w:val="00E7665A"/>
    <w:rsid w:val="00E766E6"/>
    <w:rsid w:val="00E76716"/>
    <w:rsid w:val="00E76760"/>
    <w:rsid w:val="00E768C6"/>
    <w:rsid w:val="00E768D3"/>
    <w:rsid w:val="00E768D9"/>
    <w:rsid w:val="00E76B75"/>
    <w:rsid w:val="00E76C2D"/>
    <w:rsid w:val="00E76ECC"/>
    <w:rsid w:val="00E76F20"/>
    <w:rsid w:val="00E76F3F"/>
    <w:rsid w:val="00E77384"/>
    <w:rsid w:val="00E77475"/>
    <w:rsid w:val="00E77668"/>
    <w:rsid w:val="00E77CA9"/>
    <w:rsid w:val="00E77D19"/>
    <w:rsid w:val="00E77DB6"/>
    <w:rsid w:val="00E77E13"/>
    <w:rsid w:val="00E80175"/>
    <w:rsid w:val="00E80519"/>
    <w:rsid w:val="00E8052E"/>
    <w:rsid w:val="00E8058D"/>
    <w:rsid w:val="00E805E0"/>
    <w:rsid w:val="00E8073C"/>
    <w:rsid w:val="00E80816"/>
    <w:rsid w:val="00E80AED"/>
    <w:rsid w:val="00E81109"/>
    <w:rsid w:val="00E81424"/>
    <w:rsid w:val="00E81723"/>
    <w:rsid w:val="00E818E3"/>
    <w:rsid w:val="00E81909"/>
    <w:rsid w:val="00E81968"/>
    <w:rsid w:val="00E82324"/>
    <w:rsid w:val="00E823F7"/>
    <w:rsid w:val="00E82418"/>
    <w:rsid w:val="00E825B3"/>
    <w:rsid w:val="00E826E3"/>
    <w:rsid w:val="00E828AA"/>
    <w:rsid w:val="00E82D64"/>
    <w:rsid w:val="00E831B1"/>
    <w:rsid w:val="00E8320A"/>
    <w:rsid w:val="00E833F3"/>
    <w:rsid w:val="00E83606"/>
    <w:rsid w:val="00E8377F"/>
    <w:rsid w:val="00E838D8"/>
    <w:rsid w:val="00E838E0"/>
    <w:rsid w:val="00E83A72"/>
    <w:rsid w:val="00E83ADA"/>
    <w:rsid w:val="00E83C53"/>
    <w:rsid w:val="00E84445"/>
    <w:rsid w:val="00E84531"/>
    <w:rsid w:val="00E84727"/>
    <w:rsid w:val="00E84AB7"/>
    <w:rsid w:val="00E84B41"/>
    <w:rsid w:val="00E84B96"/>
    <w:rsid w:val="00E84E3C"/>
    <w:rsid w:val="00E84E68"/>
    <w:rsid w:val="00E84F44"/>
    <w:rsid w:val="00E84F5C"/>
    <w:rsid w:val="00E85114"/>
    <w:rsid w:val="00E85365"/>
    <w:rsid w:val="00E8544C"/>
    <w:rsid w:val="00E8562D"/>
    <w:rsid w:val="00E859A5"/>
    <w:rsid w:val="00E85B73"/>
    <w:rsid w:val="00E85F21"/>
    <w:rsid w:val="00E85F4D"/>
    <w:rsid w:val="00E86589"/>
    <w:rsid w:val="00E8667B"/>
    <w:rsid w:val="00E86833"/>
    <w:rsid w:val="00E868B5"/>
    <w:rsid w:val="00E869E6"/>
    <w:rsid w:val="00E86A92"/>
    <w:rsid w:val="00E86D30"/>
    <w:rsid w:val="00E86DF3"/>
    <w:rsid w:val="00E86F25"/>
    <w:rsid w:val="00E87047"/>
    <w:rsid w:val="00E872AD"/>
    <w:rsid w:val="00E87376"/>
    <w:rsid w:val="00E87475"/>
    <w:rsid w:val="00E87485"/>
    <w:rsid w:val="00E87676"/>
    <w:rsid w:val="00E8779D"/>
    <w:rsid w:val="00E87887"/>
    <w:rsid w:val="00E87B6E"/>
    <w:rsid w:val="00E87C76"/>
    <w:rsid w:val="00E87DCA"/>
    <w:rsid w:val="00E87DD8"/>
    <w:rsid w:val="00E87FC9"/>
    <w:rsid w:val="00E90259"/>
    <w:rsid w:val="00E90527"/>
    <w:rsid w:val="00E90612"/>
    <w:rsid w:val="00E9071A"/>
    <w:rsid w:val="00E908FD"/>
    <w:rsid w:val="00E9094D"/>
    <w:rsid w:val="00E90C16"/>
    <w:rsid w:val="00E90C5C"/>
    <w:rsid w:val="00E90E4F"/>
    <w:rsid w:val="00E91108"/>
    <w:rsid w:val="00E916A5"/>
    <w:rsid w:val="00E918F7"/>
    <w:rsid w:val="00E91A5D"/>
    <w:rsid w:val="00E91AC8"/>
    <w:rsid w:val="00E91ADF"/>
    <w:rsid w:val="00E91AEE"/>
    <w:rsid w:val="00E91D6A"/>
    <w:rsid w:val="00E91EDB"/>
    <w:rsid w:val="00E91F8F"/>
    <w:rsid w:val="00E91F9E"/>
    <w:rsid w:val="00E91FEF"/>
    <w:rsid w:val="00E922F2"/>
    <w:rsid w:val="00E92863"/>
    <w:rsid w:val="00E9293F"/>
    <w:rsid w:val="00E92961"/>
    <w:rsid w:val="00E9296C"/>
    <w:rsid w:val="00E929E2"/>
    <w:rsid w:val="00E92E20"/>
    <w:rsid w:val="00E92F3B"/>
    <w:rsid w:val="00E92FBA"/>
    <w:rsid w:val="00E93327"/>
    <w:rsid w:val="00E933A8"/>
    <w:rsid w:val="00E93429"/>
    <w:rsid w:val="00E9342A"/>
    <w:rsid w:val="00E934BF"/>
    <w:rsid w:val="00E93587"/>
    <w:rsid w:val="00E9385B"/>
    <w:rsid w:val="00E93905"/>
    <w:rsid w:val="00E93CA7"/>
    <w:rsid w:val="00E93D18"/>
    <w:rsid w:val="00E93D93"/>
    <w:rsid w:val="00E941E1"/>
    <w:rsid w:val="00E942B4"/>
    <w:rsid w:val="00E94307"/>
    <w:rsid w:val="00E943DC"/>
    <w:rsid w:val="00E94409"/>
    <w:rsid w:val="00E94449"/>
    <w:rsid w:val="00E944F6"/>
    <w:rsid w:val="00E94BD4"/>
    <w:rsid w:val="00E94D0B"/>
    <w:rsid w:val="00E94DEE"/>
    <w:rsid w:val="00E94DF4"/>
    <w:rsid w:val="00E9530D"/>
    <w:rsid w:val="00E95324"/>
    <w:rsid w:val="00E954C4"/>
    <w:rsid w:val="00E95C94"/>
    <w:rsid w:val="00E95C96"/>
    <w:rsid w:val="00E96014"/>
    <w:rsid w:val="00E9618D"/>
    <w:rsid w:val="00E96190"/>
    <w:rsid w:val="00E961E4"/>
    <w:rsid w:val="00E96275"/>
    <w:rsid w:val="00E965AA"/>
    <w:rsid w:val="00E9687C"/>
    <w:rsid w:val="00E969C3"/>
    <w:rsid w:val="00E969D2"/>
    <w:rsid w:val="00E96A55"/>
    <w:rsid w:val="00E96AE5"/>
    <w:rsid w:val="00E96B81"/>
    <w:rsid w:val="00E96D0F"/>
    <w:rsid w:val="00E96F5C"/>
    <w:rsid w:val="00E96F5D"/>
    <w:rsid w:val="00E96F74"/>
    <w:rsid w:val="00E96FCB"/>
    <w:rsid w:val="00E97312"/>
    <w:rsid w:val="00E9743A"/>
    <w:rsid w:val="00E9743E"/>
    <w:rsid w:val="00E976C8"/>
    <w:rsid w:val="00E97AA1"/>
    <w:rsid w:val="00E97BA9"/>
    <w:rsid w:val="00E97EEE"/>
    <w:rsid w:val="00E97F11"/>
    <w:rsid w:val="00EA0166"/>
    <w:rsid w:val="00EA0179"/>
    <w:rsid w:val="00EA040F"/>
    <w:rsid w:val="00EA045C"/>
    <w:rsid w:val="00EA067D"/>
    <w:rsid w:val="00EA0868"/>
    <w:rsid w:val="00EA0A49"/>
    <w:rsid w:val="00EA0CDF"/>
    <w:rsid w:val="00EA0D0A"/>
    <w:rsid w:val="00EA0D2D"/>
    <w:rsid w:val="00EA0E10"/>
    <w:rsid w:val="00EA1025"/>
    <w:rsid w:val="00EA112C"/>
    <w:rsid w:val="00EA12E1"/>
    <w:rsid w:val="00EA1447"/>
    <w:rsid w:val="00EA15C1"/>
    <w:rsid w:val="00EA1660"/>
    <w:rsid w:val="00EA16B1"/>
    <w:rsid w:val="00EA1B06"/>
    <w:rsid w:val="00EA1B52"/>
    <w:rsid w:val="00EA201A"/>
    <w:rsid w:val="00EA207B"/>
    <w:rsid w:val="00EA21A1"/>
    <w:rsid w:val="00EA21AB"/>
    <w:rsid w:val="00EA2422"/>
    <w:rsid w:val="00EA2794"/>
    <w:rsid w:val="00EA2AA6"/>
    <w:rsid w:val="00EA2AE8"/>
    <w:rsid w:val="00EA2E20"/>
    <w:rsid w:val="00EA2FCC"/>
    <w:rsid w:val="00EA301C"/>
    <w:rsid w:val="00EA3094"/>
    <w:rsid w:val="00EA316C"/>
    <w:rsid w:val="00EA31AF"/>
    <w:rsid w:val="00EA337C"/>
    <w:rsid w:val="00EA3491"/>
    <w:rsid w:val="00EA3584"/>
    <w:rsid w:val="00EA361E"/>
    <w:rsid w:val="00EA368B"/>
    <w:rsid w:val="00EA37B0"/>
    <w:rsid w:val="00EA3911"/>
    <w:rsid w:val="00EA394A"/>
    <w:rsid w:val="00EA394C"/>
    <w:rsid w:val="00EA3A43"/>
    <w:rsid w:val="00EA3AA2"/>
    <w:rsid w:val="00EA4237"/>
    <w:rsid w:val="00EA42E3"/>
    <w:rsid w:val="00EA4489"/>
    <w:rsid w:val="00EA45C2"/>
    <w:rsid w:val="00EA45E5"/>
    <w:rsid w:val="00EA46EB"/>
    <w:rsid w:val="00EA4721"/>
    <w:rsid w:val="00EA481B"/>
    <w:rsid w:val="00EA4952"/>
    <w:rsid w:val="00EA497A"/>
    <w:rsid w:val="00EA49A1"/>
    <w:rsid w:val="00EA4AE9"/>
    <w:rsid w:val="00EA4B2E"/>
    <w:rsid w:val="00EA4C7A"/>
    <w:rsid w:val="00EA4FB2"/>
    <w:rsid w:val="00EA5106"/>
    <w:rsid w:val="00EA5293"/>
    <w:rsid w:val="00EA5490"/>
    <w:rsid w:val="00EA56AB"/>
    <w:rsid w:val="00EA5939"/>
    <w:rsid w:val="00EA5C1C"/>
    <w:rsid w:val="00EA6035"/>
    <w:rsid w:val="00EA609D"/>
    <w:rsid w:val="00EA6B04"/>
    <w:rsid w:val="00EA6C7F"/>
    <w:rsid w:val="00EA6F6C"/>
    <w:rsid w:val="00EA71C5"/>
    <w:rsid w:val="00EA72FA"/>
    <w:rsid w:val="00EA73D8"/>
    <w:rsid w:val="00EA7421"/>
    <w:rsid w:val="00EA74A0"/>
    <w:rsid w:val="00EA767B"/>
    <w:rsid w:val="00EA767E"/>
    <w:rsid w:val="00EA799B"/>
    <w:rsid w:val="00EA79B1"/>
    <w:rsid w:val="00EA7A0C"/>
    <w:rsid w:val="00EA7A58"/>
    <w:rsid w:val="00EA7AE7"/>
    <w:rsid w:val="00EA7BD6"/>
    <w:rsid w:val="00EA7C81"/>
    <w:rsid w:val="00EA7EB6"/>
    <w:rsid w:val="00EB0190"/>
    <w:rsid w:val="00EB02A1"/>
    <w:rsid w:val="00EB053C"/>
    <w:rsid w:val="00EB06E7"/>
    <w:rsid w:val="00EB077E"/>
    <w:rsid w:val="00EB07F2"/>
    <w:rsid w:val="00EB0918"/>
    <w:rsid w:val="00EB098F"/>
    <w:rsid w:val="00EB0C82"/>
    <w:rsid w:val="00EB0F43"/>
    <w:rsid w:val="00EB1144"/>
    <w:rsid w:val="00EB11AD"/>
    <w:rsid w:val="00EB1817"/>
    <w:rsid w:val="00EB18F6"/>
    <w:rsid w:val="00EB1B52"/>
    <w:rsid w:val="00EB1BB0"/>
    <w:rsid w:val="00EB1C59"/>
    <w:rsid w:val="00EB20DD"/>
    <w:rsid w:val="00EB2128"/>
    <w:rsid w:val="00EB2278"/>
    <w:rsid w:val="00EB260B"/>
    <w:rsid w:val="00EB268E"/>
    <w:rsid w:val="00EB26A0"/>
    <w:rsid w:val="00EB27F6"/>
    <w:rsid w:val="00EB28F4"/>
    <w:rsid w:val="00EB2FFD"/>
    <w:rsid w:val="00EB3032"/>
    <w:rsid w:val="00EB32E4"/>
    <w:rsid w:val="00EB352C"/>
    <w:rsid w:val="00EB37DC"/>
    <w:rsid w:val="00EB38BC"/>
    <w:rsid w:val="00EB39C1"/>
    <w:rsid w:val="00EB3D26"/>
    <w:rsid w:val="00EB3D7E"/>
    <w:rsid w:val="00EB3EBF"/>
    <w:rsid w:val="00EB3FA3"/>
    <w:rsid w:val="00EB40F3"/>
    <w:rsid w:val="00EB412B"/>
    <w:rsid w:val="00EB4143"/>
    <w:rsid w:val="00EB4279"/>
    <w:rsid w:val="00EB42A9"/>
    <w:rsid w:val="00EB4792"/>
    <w:rsid w:val="00EB4D38"/>
    <w:rsid w:val="00EB4F3F"/>
    <w:rsid w:val="00EB5148"/>
    <w:rsid w:val="00EB51A5"/>
    <w:rsid w:val="00EB51D8"/>
    <w:rsid w:val="00EB5361"/>
    <w:rsid w:val="00EB55B6"/>
    <w:rsid w:val="00EB580B"/>
    <w:rsid w:val="00EB5940"/>
    <w:rsid w:val="00EB5957"/>
    <w:rsid w:val="00EB5B53"/>
    <w:rsid w:val="00EB5C11"/>
    <w:rsid w:val="00EB5C93"/>
    <w:rsid w:val="00EB5D01"/>
    <w:rsid w:val="00EB616E"/>
    <w:rsid w:val="00EB64D0"/>
    <w:rsid w:val="00EB65B2"/>
    <w:rsid w:val="00EB6611"/>
    <w:rsid w:val="00EB6798"/>
    <w:rsid w:val="00EB6987"/>
    <w:rsid w:val="00EB6C72"/>
    <w:rsid w:val="00EB6CA8"/>
    <w:rsid w:val="00EB6E60"/>
    <w:rsid w:val="00EB6FD3"/>
    <w:rsid w:val="00EB70DA"/>
    <w:rsid w:val="00EB711B"/>
    <w:rsid w:val="00EB7147"/>
    <w:rsid w:val="00EB71ED"/>
    <w:rsid w:val="00EB72EB"/>
    <w:rsid w:val="00EB73AE"/>
    <w:rsid w:val="00EB75B2"/>
    <w:rsid w:val="00EB761A"/>
    <w:rsid w:val="00EB780C"/>
    <w:rsid w:val="00EB79E9"/>
    <w:rsid w:val="00EC015B"/>
    <w:rsid w:val="00EC036F"/>
    <w:rsid w:val="00EC039B"/>
    <w:rsid w:val="00EC0430"/>
    <w:rsid w:val="00EC06C2"/>
    <w:rsid w:val="00EC08C0"/>
    <w:rsid w:val="00EC0A41"/>
    <w:rsid w:val="00EC0B6A"/>
    <w:rsid w:val="00EC1132"/>
    <w:rsid w:val="00EC116B"/>
    <w:rsid w:val="00EC11D8"/>
    <w:rsid w:val="00EC1249"/>
    <w:rsid w:val="00EC14FE"/>
    <w:rsid w:val="00EC1545"/>
    <w:rsid w:val="00EC15DB"/>
    <w:rsid w:val="00EC15F5"/>
    <w:rsid w:val="00EC18BD"/>
    <w:rsid w:val="00EC199D"/>
    <w:rsid w:val="00EC1BF7"/>
    <w:rsid w:val="00EC1EB6"/>
    <w:rsid w:val="00EC1ED3"/>
    <w:rsid w:val="00EC1FA4"/>
    <w:rsid w:val="00EC1FBF"/>
    <w:rsid w:val="00EC1FD6"/>
    <w:rsid w:val="00EC2012"/>
    <w:rsid w:val="00EC2091"/>
    <w:rsid w:val="00EC20B0"/>
    <w:rsid w:val="00EC260A"/>
    <w:rsid w:val="00EC26E9"/>
    <w:rsid w:val="00EC2B4A"/>
    <w:rsid w:val="00EC2DC9"/>
    <w:rsid w:val="00EC2E2A"/>
    <w:rsid w:val="00EC2F5F"/>
    <w:rsid w:val="00EC307C"/>
    <w:rsid w:val="00EC32F0"/>
    <w:rsid w:val="00EC3471"/>
    <w:rsid w:val="00EC36E9"/>
    <w:rsid w:val="00EC376B"/>
    <w:rsid w:val="00EC38C8"/>
    <w:rsid w:val="00EC3A5C"/>
    <w:rsid w:val="00EC3CF1"/>
    <w:rsid w:val="00EC3E1E"/>
    <w:rsid w:val="00EC3E4D"/>
    <w:rsid w:val="00EC3E84"/>
    <w:rsid w:val="00EC40CA"/>
    <w:rsid w:val="00EC41E6"/>
    <w:rsid w:val="00EC4208"/>
    <w:rsid w:val="00EC4604"/>
    <w:rsid w:val="00EC47E9"/>
    <w:rsid w:val="00EC480C"/>
    <w:rsid w:val="00EC4F2C"/>
    <w:rsid w:val="00EC4FE9"/>
    <w:rsid w:val="00EC51B6"/>
    <w:rsid w:val="00EC5225"/>
    <w:rsid w:val="00EC53F7"/>
    <w:rsid w:val="00EC54D3"/>
    <w:rsid w:val="00EC56CE"/>
    <w:rsid w:val="00EC57EC"/>
    <w:rsid w:val="00EC5A16"/>
    <w:rsid w:val="00EC5AD8"/>
    <w:rsid w:val="00EC62E4"/>
    <w:rsid w:val="00EC6799"/>
    <w:rsid w:val="00EC682C"/>
    <w:rsid w:val="00EC69AF"/>
    <w:rsid w:val="00EC69CF"/>
    <w:rsid w:val="00EC6C1C"/>
    <w:rsid w:val="00EC6DB6"/>
    <w:rsid w:val="00EC6E8A"/>
    <w:rsid w:val="00EC71C2"/>
    <w:rsid w:val="00EC74EA"/>
    <w:rsid w:val="00EC7783"/>
    <w:rsid w:val="00EC7CF9"/>
    <w:rsid w:val="00EC7D1A"/>
    <w:rsid w:val="00ED0027"/>
    <w:rsid w:val="00ED0193"/>
    <w:rsid w:val="00ED02E2"/>
    <w:rsid w:val="00ED0563"/>
    <w:rsid w:val="00ED0595"/>
    <w:rsid w:val="00ED0660"/>
    <w:rsid w:val="00ED0763"/>
    <w:rsid w:val="00ED0BCD"/>
    <w:rsid w:val="00ED0C31"/>
    <w:rsid w:val="00ED0C6F"/>
    <w:rsid w:val="00ED0E11"/>
    <w:rsid w:val="00ED0E8A"/>
    <w:rsid w:val="00ED1083"/>
    <w:rsid w:val="00ED1104"/>
    <w:rsid w:val="00ED1113"/>
    <w:rsid w:val="00ED11D4"/>
    <w:rsid w:val="00ED123B"/>
    <w:rsid w:val="00ED1339"/>
    <w:rsid w:val="00ED139C"/>
    <w:rsid w:val="00ED1526"/>
    <w:rsid w:val="00ED1726"/>
    <w:rsid w:val="00ED1A81"/>
    <w:rsid w:val="00ED1BB9"/>
    <w:rsid w:val="00ED1CF4"/>
    <w:rsid w:val="00ED1DA3"/>
    <w:rsid w:val="00ED1FE6"/>
    <w:rsid w:val="00ED2007"/>
    <w:rsid w:val="00ED204E"/>
    <w:rsid w:val="00ED217F"/>
    <w:rsid w:val="00ED27B0"/>
    <w:rsid w:val="00ED2896"/>
    <w:rsid w:val="00ED2B0C"/>
    <w:rsid w:val="00ED2C09"/>
    <w:rsid w:val="00ED2C74"/>
    <w:rsid w:val="00ED2CB6"/>
    <w:rsid w:val="00ED3038"/>
    <w:rsid w:val="00ED3087"/>
    <w:rsid w:val="00ED33AB"/>
    <w:rsid w:val="00ED3622"/>
    <w:rsid w:val="00ED3631"/>
    <w:rsid w:val="00ED398B"/>
    <w:rsid w:val="00ED3993"/>
    <w:rsid w:val="00ED3A62"/>
    <w:rsid w:val="00ED3CA5"/>
    <w:rsid w:val="00ED4038"/>
    <w:rsid w:val="00ED41C0"/>
    <w:rsid w:val="00ED4385"/>
    <w:rsid w:val="00ED4495"/>
    <w:rsid w:val="00ED458A"/>
    <w:rsid w:val="00ED4D5B"/>
    <w:rsid w:val="00ED5040"/>
    <w:rsid w:val="00ED5069"/>
    <w:rsid w:val="00ED521E"/>
    <w:rsid w:val="00ED5268"/>
    <w:rsid w:val="00ED548E"/>
    <w:rsid w:val="00ED54E9"/>
    <w:rsid w:val="00ED588E"/>
    <w:rsid w:val="00ED58F9"/>
    <w:rsid w:val="00ED5AE2"/>
    <w:rsid w:val="00ED5B2B"/>
    <w:rsid w:val="00ED5C12"/>
    <w:rsid w:val="00ED5CB8"/>
    <w:rsid w:val="00ED5FD5"/>
    <w:rsid w:val="00ED63D2"/>
    <w:rsid w:val="00ED644B"/>
    <w:rsid w:val="00ED65CE"/>
    <w:rsid w:val="00ED69BC"/>
    <w:rsid w:val="00ED6A9A"/>
    <w:rsid w:val="00ED6B30"/>
    <w:rsid w:val="00ED6B9D"/>
    <w:rsid w:val="00ED6FFF"/>
    <w:rsid w:val="00ED71A6"/>
    <w:rsid w:val="00ED726B"/>
    <w:rsid w:val="00ED72B2"/>
    <w:rsid w:val="00ED7304"/>
    <w:rsid w:val="00ED7361"/>
    <w:rsid w:val="00ED7704"/>
    <w:rsid w:val="00ED7735"/>
    <w:rsid w:val="00ED77A8"/>
    <w:rsid w:val="00ED7811"/>
    <w:rsid w:val="00ED7828"/>
    <w:rsid w:val="00ED7ACF"/>
    <w:rsid w:val="00ED7B21"/>
    <w:rsid w:val="00ED7BAC"/>
    <w:rsid w:val="00ED7C25"/>
    <w:rsid w:val="00ED7F5F"/>
    <w:rsid w:val="00EE0174"/>
    <w:rsid w:val="00EE059F"/>
    <w:rsid w:val="00EE0AC4"/>
    <w:rsid w:val="00EE0BBB"/>
    <w:rsid w:val="00EE0BCC"/>
    <w:rsid w:val="00EE0C93"/>
    <w:rsid w:val="00EE0DDD"/>
    <w:rsid w:val="00EE0DDE"/>
    <w:rsid w:val="00EE0E76"/>
    <w:rsid w:val="00EE0F58"/>
    <w:rsid w:val="00EE104E"/>
    <w:rsid w:val="00EE1109"/>
    <w:rsid w:val="00EE119B"/>
    <w:rsid w:val="00EE14B0"/>
    <w:rsid w:val="00EE14C4"/>
    <w:rsid w:val="00EE163B"/>
    <w:rsid w:val="00EE1C44"/>
    <w:rsid w:val="00EE1D25"/>
    <w:rsid w:val="00EE1FEE"/>
    <w:rsid w:val="00EE202D"/>
    <w:rsid w:val="00EE21C5"/>
    <w:rsid w:val="00EE2580"/>
    <w:rsid w:val="00EE2812"/>
    <w:rsid w:val="00EE28BF"/>
    <w:rsid w:val="00EE2940"/>
    <w:rsid w:val="00EE29B2"/>
    <w:rsid w:val="00EE2A05"/>
    <w:rsid w:val="00EE2B24"/>
    <w:rsid w:val="00EE2C31"/>
    <w:rsid w:val="00EE2D09"/>
    <w:rsid w:val="00EE2EA2"/>
    <w:rsid w:val="00EE2F1D"/>
    <w:rsid w:val="00EE2F1F"/>
    <w:rsid w:val="00EE2F53"/>
    <w:rsid w:val="00EE306A"/>
    <w:rsid w:val="00EE353D"/>
    <w:rsid w:val="00EE380A"/>
    <w:rsid w:val="00EE3942"/>
    <w:rsid w:val="00EE3996"/>
    <w:rsid w:val="00EE3A27"/>
    <w:rsid w:val="00EE3B2E"/>
    <w:rsid w:val="00EE3C03"/>
    <w:rsid w:val="00EE3D21"/>
    <w:rsid w:val="00EE3F6E"/>
    <w:rsid w:val="00EE3FC2"/>
    <w:rsid w:val="00EE4157"/>
    <w:rsid w:val="00EE4289"/>
    <w:rsid w:val="00EE42A1"/>
    <w:rsid w:val="00EE464C"/>
    <w:rsid w:val="00EE4715"/>
    <w:rsid w:val="00EE48FF"/>
    <w:rsid w:val="00EE49FC"/>
    <w:rsid w:val="00EE4AE7"/>
    <w:rsid w:val="00EE4E2B"/>
    <w:rsid w:val="00EE4E70"/>
    <w:rsid w:val="00EE5204"/>
    <w:rsid w:val="00EE537D"/>
    <w:rsid w:val="00EE546D"/>
    <w:rsid w:val="00EE54C7"/>
    <w:rsid w:val="00EE55C2"/>
    <w:rsid w:val="00EE57A3"/>
    <w:rsid w:val="00EE58CD"/>
    <w:rsid w:val="00EE59BE"/>
    <w:rsid w:val="00EE5A73"/>
    <w:rsid w:val="00EE5A9A"/>
    <w:rsid w:val="00EE5AC1"/>
    <w:rsid w:val="00EE5BFB"/>
    <w:rsid w:val="00EE5D26"/>
    <w:rsid w:val="00EE5E0C"/>
    <w:rsid w:val="00EE5F3A"/>
    <w:rsid w:val="00EE60E6"/>
    <w:rsid w:val="00EE612F"/>
    <w:rsid w:val="00EE6281"/>
    <w:rsid w:val="00EE6304"/>
    <w:rsid w:val="00EE6516"/>
    <w:rsid w:val="00EE6631"/>
    <w:rsid w:val="00EE67B8"/>
    <w:rsid w:val="00EE6870"/>
    <w:rsid w:val="00EE696B"/>
    <w:rsid w:val="00EE6C95"/>
    <w:rsid w:val="00EE6E88"/>
    <w:rsid w:val="00EE6FE7"/>
    <w:rsid w:val="00EE709A"/>
    <w:rsid w:val="00EE70A8"/>
    <w:rsid w:val="00EE71BB"/>
    <w:rsid w:val="00EE72BF"/>
    <w:rsid w:val="00EE737E"/>
    <w:rsid w:val="00EE74BD"/>
    <w:rsid w:val="00EE75A5"/>
    <w:rsid w:val="00EE75FD"/>
    <w:rsid w:val="00EE7A20"/>
    <w:rsid w:val="00EE7BAE"/>
    <w:rsid w:val="00EE7F86"/>
    <w:rsid w:val="00EF0045"/>
    <w:rsid w:val="00EF0200"/>
    <w:rsid w:val="00EF0491"/>
    <w:rsid w:val="00EF058D"/>
    <w:rsid w:val="00EF0591"/>
    <w:rsid w:val="00EF07B3"/>
    <w:rsid w:val="00EF07EF"/>
    <w:rsid w:val="00EF08B9"/>
    <w:rsid w:val="00EF0BEE"/>
    <w:rsid w:val="00EF0F24"/>
    <w:rsid w:val="00EF110F"/>
    <w:rsid w:val="00EF12FA"/>
    <w:rsid w:val="00EF1545"/>
    <w:rsid w:val="00EF1686"/>
    <w:rsid w:val="00EF1941"/>
    <w:rsid w:val="00EF19E3"/>
    <w:rsid w:val="00EF1CD5"/>
    <w:rsid w:val="00EF1E78"/>
    <w:rsid w:val="00EF1EB7"/>
    <w:rsid w:val="00EF2204"/>
    <w:rsid w:val="00EF22CA"/>
    <w:rsid w:val="00EF240C"/>
    <w:rsid w:val="00EF2491"/>
    <w:rsid w:val="00EF24A0"/>
    <w:rsid w:val="00EF2858"/>
    <w:rsid w:val="00EF29F9"/>
    <w:rsid w:val="00EF2E37"/>
    <w:rsid w:val="00EF2E60"/>
    <w:rsid w:val="00EF2E6F"/>
    <w:rsid w:val="00EF2F00"/>
    <w:rsid w:val="00EF3147"/>
    <w:rsid w:val="00EF363D"/>
    <w:rsid w:val="00EF3674"/>
    <w:rsid w:val="00EF37EA"/>
    <w:rsid w:val="00EF3B47"/>
    <w:rsid w:val="00EF3DAD"/>
    <w:rsid w:val="00EF3E0F"/>
    <w:rsid w:val="00EF3E6B"/>
    <w:rsid w:val="00EF403D"/>
    <w:rsid w:val="00EF4089"/>
    <w:rsid w:val="00EF452A"/>
    <w:rsid w:val="00EF47BD"/>
    <w:rsid w:val="00EF4D89"/>
    <w:rsid w:val="00EF4E5A"/>
    <w:rsid w:val="00EF4E8C"/>
    <w:rsid w:val="00EF4FA2"/>
    <w:rsid w:val="00EF546D"/>
    <w:rsid w:val="00EF5535"/>
    <w:rsid w:val="00EF5CD5"/>
    <w:rsid w:val="00EF5D29"/>
    <w:rsid w:val="00EF5FB3"/>
    <w:rsid w:val="00EF6119"/>
    <w:rsid w:val="00EF624C"/>
    <w:rsid w:val="00EF6336"/>
    <w:rsid w:val="00EF65CA"/>
    <w:rsid w:val="00EF6614"/>
    <w:rsid w:val="00EF66A5"/>
    <w:rsid w:val="00EF678A"/>
    <w:rsid w:val="00EF67FD"/>
    <w:rsid w:val="00EF68EF"/>
    <w:rsid w:val="00EF697B"/>
    <w:rsid w:val="00EF69F3"/>
    <w:rsid w:val="00EF6D5E"/>
    <w:rsid w:val="00EF6F92"/>
    <w:rsid w:val="00EF70E8"/>
    <w:rsid w:val="00EF7125"/>
    <w:rsid w:val="00EF718D"/>
    <w:rsid w:val="00EF7348"/>
    <w:rsid w:val="00EF7435"/>
    <w:rsid w:val="00EF7658"/>
    <w:rsid w:val="00EF76BB"/>
    <w:rsid w:val="00EF7786"/>
    <w:rsid w:val="00EF79B3"/>
    <w:rsid w:val="00EF79FE"/>
    <w:rsid w:val="00EF7D93"/>
    <w:rsid w:val="00EF7F11"/>
    <w:rsid w:val="00F00442"/>
    <w:rsid w:val="00F0048C"/>
    <w:rsid w:val="00F00690"/>
    <w:rsid w:val="00F00866"/>
    <w:rsid w:val="00F00900"/>
    <w:rsid w:val="00F00964"/>
    <w:rsid w:val="00F009C1"/>
    <w:rsid w:val="00F00C81"/>
    <w:rsid w:val="00F00E1B"/>
    <w:rsid w:val="00F00FF6"/>
    <w:rsid w:val="00F01073"/>
    <w:rsid w:val="00F01076"/>
    <w:rsid w:val="00F0118D"/>
    <w:rsid w:val="00F01275"/>
    <w:rsid w:val="00F01630"/>
    <w:rsid w:val="00F016BD"/>
    <w:rsid w:val="00F019F2"/>
    <w:rsid w:val="00F01DC7"/>
    <w:rsid w:val="00F01E94"/>
    <w:rsid w:val="00F0283D"/>
    <w:rsid w:val="00F029DC"/>
    <w:rsid w:val="00F02AAC"/>
    <w:rsid w:val="00F02CCA"/>
    <w:rsid w:val="00F02DAD"/>
    <w:rsid w:val="00F02F97"/>
    <w:rsid w:val="00F031B7"/>
    <w:rsid w:val="00F033D7"/>
    <w:rsid w:val="00F03464"/>
    <w:rsid w:val="00F03469"/>
    <w:rsid w:val="00F0373D"/>
    <w:rsid w:val="00F0384C"/>
    <w:rsid w:val="00F039AB"/>
    <w:rsid w:val="00F03DD3"/>
    <w:rsid w:val="00F03DEA"/>
    <w:rsid w:val="00F03EB1"/>
    <w:rsid w:val="00F03FAF"/>
    <w:rsid w:val="00F0420C"/>
    <w:rsid w:val="00F044CD"/>
    <w:rsid w:val="00F0452F"/>
    <w:rsid w:val="00F045F9"/>
    <w:rsid w:val="00F04E3A"/>
    <w:rsid w:val="00F04F90"/>
    <w:rsid w:val="00F053E8"/>
    <w:rsid w:val="00F056D3"/>
    <w:rsid w:val="00F05AA6"/>
    <w:rsid w:val="00F05C8A"/>
    <w:rsid w:val="00F0637B"/>
    <w:rsid w:val="00F06442"/>
    <w:rsid w:val="00F06534"/>
    <w:rsid w:val="00F06592"/>
    <w:rsid w:val="00F069FC"/>
    <w:rsid w:val="00F06A05"/>
    <w:rsid w:val="00F06A47"/>
    <w:rsid w:val="00F06ADB"/>
    <w:rsid w:val="00F06D1F"/>
    <w:rsid w:val="00F06EB7"/>
    <w:rsid w:val="00F06EEA"/>
    <w:rsid w:val="00F07123"/>
    <w:rsid w:val="00F07282"/>
    <w:rsid w:val="00F0729F"/>
    <w:rsid w:val="00F07525"/>
    <w:rsid w:val="00F07937"/>
    <w:rsid w:val="00F079A4"/>
    <w:rsid w:val="00F07ACF"/>
    <w:rsid w:val="00F07DE0"/>
    <w:rsid w:val="00F07F43"/>
    <w:rsid w:val="00F07FEF"/>
    <w:rsid w:val="00F102F7"/>
    <w:rsid w:val="00F10300"/>
    <w:rsid w:val="00F103A0"/>
    <w:rsid w:val="00F1040F"/>
    <w:rsid w:val="00F10556"/>
    <w:rsid w:val="00F108C6"/>
    <w:rsid w:val="00F109E8"/>
    <w:rsid w:val="00F10B61"/>
    <w:rsid w:val="00F10C50"/>
    <w:rsid w:val="00F10DC3"/>
    <w:rsid w:val="00F111F8"/>
    <w:rsid w:val="00F11298"/>
    <w:rsid w:val="00F1161E"/>
    <w:rsid w:val="00F119EF"/>
    <w:rsid w:val="00F11AEE"/>
    <w:rsid w:val="00F11BD9"/>
    <w:rsid w:val="00F11C86"/>
    <w:rsid w:val="00F11CD3"/>
    <w:rsid w:val="00F11CDD"/>
    <w:rsid w:val="00F11FF2"/>
    <w:rsid w:val="00F12265"/>
    <w:rsid w:val="00F12423"/>
    <w:rsid w:val="00F12434"/>
    <w:rsid w:val="00F124F8"/>
    <w:rsid w:val="00F1262F"/>
    <w:rsid w:val="00F126A9"/>
    <w:rsid w:val="00F12754"/>
    <w:rsid w:val="00F12968"/>
    <w:rsid w:val="00F12A08"/>
    <w:rsid w:val="00F12C51"/>
    <w:rsid w:val="00F12F0B"/>
    <w:rsid w:val="00F12F76"/>
    <w:rsid w:val="00F12FD1"/>
    <w:rsid w:val="00F12FD5"/>
    <w:rsid w:val="00F130A3"/>
    <w:rsid w:val="00F130B6"/>
    <w:rsid w:val="00F1323B"/>
    <w:rsid w:val="00F13287"/>
    <w:rsid w:val="00F132FA"/>
    <w:rsid w:val="00F133C9"/>
    <w:rsid w:val="00F1352B"/>
    <w:rsid w:val="00F13536"/>
    <w:rsid w:val="00F13566"/>
    <w:rsid w:val="00F135A1"/>
    <w:rsid w:val="00F13788"/>
    <w:rsid w:val="00F138DB"/>
    <w:rsid w:val="00F138F4"/>
    <w:rsid w:val="00F13A62"/>
    <w:rsid w:val="00F13AB6"/>
    <w:rsid w:val="00F13ABA"/>
    <w:rsid w:val="00F13C80"/>
    <w:rsid w:val="00F13D5B"/>
    <w:rsid w:val="00F13F05"/>
    <w:rsid w:val="00F14015"/>
    <w:rsid w:val="00F14311"/>
    <w:rsid w:val="00F1443D"/>
    <w:rsid w:val="00F14568"/>
    <w:rsid w:val="00F145D2"/>
    <w:rsid w:val="00F14605"/>
    <w:rsid w:val="00F147D7"/>
    <w:rsid w:val="00F14840"/>
    <w:rsid w:val="00F1489C"/>
    <w:rsid w:val="00F148E9"/>
    <w:rsid w:val="00F149DB"/>
    <w:rsid w:val="00F14BCA"/>
    <w:rsid w:val="00F14F2E"/>
    <w:rsid w:val="00F151F4"/>
    <w:rsid w:val="00F15447"/>
    <w:rsid w:val="00F1545F"/>
    <w:rsid w:val="00F15475"/>
    <w:rsid w:val="00F154C8"/>
    <w:rsid w:val="00F158D9"/>
    <w:rsid w:val="00F15928"/>
    <w:rsid w:val="00F15A2B"/>
    <w:rsid w:val="00F15A67"/>
    <w:rsid w:val="00F15E96"/>
    <w:rsid w:val="00F15F8E"/>
    <w:rsid w:val="00F160DE"/>
    <w:rsid w:val="00F16353"/>
    <w:rsid w:val="00F1652E"/>
    <w:rsid w:val="00F1661A"/>
    <w:rsid w:val="00F1674D"/>
    <w:rsid w:val="00F167E0"/>
    <w:rsid w:val="00F16A3E"/>
    <w:rsid w:val="00F16BE1"/>
    <w:rsid w:val="00F16E35"/>
    <w:rsid w:val="00F16EA8"/>
    <w:rsid w:val="00F1707B"/>
    <w:rsid w:val="00F171E3"/>
    <w:rsid w:val="00F1738E"/>
    <w:rsid w:val="00F1747F"/>
    <w:rsid w:val="00F177FC"/>
    <w:rsid w:val="00F17919"/>
    <w:rsid w:val="00F17998"/>
    <w:rsid w:val="00F17A3C"/>
    <w:rsid w:val="00F17B6B"/>
    <w:rsid w:val="00F17CF4"/>
    <w:rsid w:val="00F17DCD"/>
    <w:rsid w:val="00F17ECD"/>
    <w:rsid w:val="00F17EF7"/>
    <w:rsid w:val="00F19800"/>
    <w:rsid w:val="00F200EF"/>
    <w:rsid w:val="00F201FB"/>
    <w:rsid w:val="00F202D6"/>
    <w:rsid w:val="00F20566"/>
    <w:rsid w:val="00F206E7"/>
    <w:rsid w:val="00F207E4"/>
    <w:rsid w:val="00F20833"/>
    <w:rsid w:val="00F20A56"/>
    <w:rsid w:val="00F20D95"/>
    <w:rsid w:val="00F20E15"/>
    <w:rsid w:val="00F20E40"/>
    <w:rsid w:val="00F20F46"/>
    <w:rsid w:val="00F2103C"/>
    <w:rsid w:val="00F213BE"/>
    <w:rsid w:val="00F21698"/>
    <w:rsid w:val="00F217F6"/>
    <w:rsid w:val="00F21939"/>
    <w:rsid w:val="00F21C63"/>
    <w:rsid w:val="00F21DCE"/>
    <w:rsid w:val="00F22085"/>
    <w:rsid w:val="00F2212E"/>
    <w:rsid w:val="00F222E6"/>
    <w:rsid w:val="00F223E0"/>
    <w:rsid w:val="00F2285B"/>
    <w:rsid w:val="00F22AD9"/>
    <w:rsid w:val="00F22BBF"/>
    <w:rsid w:val="00F22C58"/>
    <w:rsid w:val="00F22D78"/>
    <w:rsid w:val="00F22D7E"/>
    <w:rsid w:val="00F22DF5"/>
    <w:rsid w:val="00F2310C"/>
    <w:rsid w:val="00F23486"/>
    <w:rsid w:val="00F2349C"/>
    <w:rsid w:val="00F236CD"/>
    <w:rsid w:val="00F2392B"/>
    <w:rsid w:val="00F2394F"/>
    <w:rsid w:val="00F239EF"/>
    <w:rsid w:val="00F23AFD"/>
    <w:rsid w:val="00F23B46"/>
    <w:rsid w:val="00F240A5"/>
    <w:rsid w:val="00F2411E"/>
    <w:rsid w:val="00F2464E"/>
    <w:rsid w:val="00F246A1"/>
    <w:rsid w:val="00F24B00"/>
    <w:rsid w:val="00F24B1D"/>
    <w:rsid w:val="00F24B2A"/>
    <w:rsid w:val="00F24BFC"/>
    <w:rsid w:val="00F24C02"/>
    <w:rsid w:val="00F24C67"/>
    <w:rsid w:val="00F24D71"/>
    <w:rsid w:val="00F24DD1"/>
    <w:rsid w:val="00F24FA4"/>
    <w:rsid w:val="00F253B8"/>
    <w:rsid w:val="00F254C6"/>
    <w:rsid w:val="00F256C9"/>
    <w:rsid w:val="00F257CD"/>
    <w:rsid w:val="00F25A60"/>
    <w:rsid w:val="00F25B06"/>
    <w:rsid w:val="00F25B7E"/>
    <w:rsid w:val="00F260E2"/>
    <w:rsid w:val="00F26166"/>
    <w:rsid w:val="00F2619B"/>
    <w:rsid w:val="00F26293"/>
    <w:rsid w:val="00F264C6"/>
    <w:rsid w:val="00F264ED"/>
    <w:rsid w:val="00F26630"/>
    <w:rsid w:val="00F267BD"/>
    <w:rsid w:val="00F268F3"/>
    <w:rsid w:val="00F26931"/>
    <w:rsid w:val="00F26BD2"/>
    <w:rsid w:val="00F26C8B"/>
    <w:rsid w:val="00F26D97"/>
    <w:rsid w:val="00F26F55"/>
    <w:rsid w:val="00F27180"/>
    <w:rsid w:val="00F271E6"/>
    <w:rsid w:val="00F2767E"/>
    <w:rsid w:val="00F278EA"/>
    <w:rsid w:val="00F279EA"/>
    <w:rsid w:val="00F27ADE"/>
    <w:rsid w:val="00F27AEB"/>
    <w:rsid w:val="00F27DE3"/>
    <w:rsid w:val="00F27E35"/>
    <w:rsid w:val="00F27EB1"/>
    <w:rsid w:val="00F300E4"/>
    <w:rsid w:val="00F30213"/>
    <w:rsid w:val="00F3036B"/>
    <w:rsid w:val="00F3062B"/>
    <w:rsid w:val="00F30672"/>
    <w:rsid w:val="00F306A5"/>
    <w:rsid w:val="00F307B2"/>
    <w:rsid w:val="00F30804"/>
    <w:rsid w:val="00F30ADA"/>
    <w:rsid w:val="00F30BEC"/>
    <w:rsid w:val="00F30D03"/>
    <w:rsid w:val="00F30D13"/>
    <w:rsid w:val="00F31048"/>
    <w:rsid w:val="00F311AB"/>
    <w:rsid w:val="00F311D3"/>
    <w:rsid w:val="00F313A2"/>
    <w:rsid w:val="00F314C8"/>
    <w:rsid w:val="00F315F5"/>
    <w:rsid w:val="00F3182C"/>
    <w:rsid w:val="00F31863"/>
    <w:rsid w:val="00F31ACA"/>
    <w:rsid w:val="00F31DFF"/>
    <w:rsid w:val="00F31F1F"/>
    <w:rsid w:val="00F320C8"/>
    <w:rsid w:val="00F322B0"/>
    <w:rsid w:val="00F324A8"/>
    <w:rsid w:val="00F32638"/>
    <w:rsid w:val="00F32799"/>
    <w:rsid w:val="00F327A3"/>
    <w:rsid w:val="00F327E6"/>
    <w:rsid w:val="00F328AD"/>
    <w:rsid w:val="00F329A6"/>
    <w:rsid w:val="00F32AFC"/>
    <w:rsid w:val="00F32BBE"/>
    <w:rsid w:val="00F32D4C"/>
    <w:rsid w:val="00F32E97"/>
    <w:rsid w:val="00F32FEB"/>
    <w:rsid w:val="00F32FED"/>
    <w:rsid w:val="00F33237"/>
    <w:rsid w:val="00F339BB"/>
    <w:rsid w:val="00F33AE0"/>
    <w:rsid w:val="00F33CF7"/>
    <w:rsid w:val="00F33F1E"/>
    <w:rsid w:val="00F33FF2"/>
    <w:rsid w:val="00F3423B"/>
    <w:rsid w:val="00F34391"/>
    <w:rsid w:val="00F343FD"/>
    <w:rsid w:val="00F3447B"/>
    <w:rsid w:val="00F3452E"/>
    <w:rsid w:val="00F34938"/>
    <w:rsid w:val="00F34987"/>
    <w:rsid w:val="00F34BA0"/>
    <w:rsid w:val="00F34BCF"/>
    <w:rsid w:val="00F34BDA"/>
    <w:rsid w:val="00F34CCC"/>
    <w:rsid w:val="00F34ECA"/>
    <w:rsid w:val="00F350C8"/>
    <w:rsid w:val="00F3528B"/>
    <w:rsid w:val="00F3538D"/>
    <w:rsid w:val="00F354DD"/>
    <w:rsid w:val="00F355AA"/>
    <w:rsid w:val="00F35617"/>
    <w:rsid w:val="00F35738"/>
    <w:rsid w:val="00F35928"/>
    <w:rsid w:val="00F35AF6"/>
    <w:rsid w:val="00F3623F"/>
    <w:rsid w:val="00F36824"/>
    <w:rsid w:val="00F36952"/>
    <w:rsid w:val="00F36B38"/>
    <w:rsid w:val="00F36C59"/>
    <w:rsid w:val="00F36EAA"/>
    <w:rsid w:val="00F3702B"/>
    <w:rsid w:val="00F370B4"/>
    <w:rsid w:val="00F3744D"/>
    <w:rsid w:val="00F374AA"/>
    <w:rsid w:val="00F374F8"/>
    <w:rsid w:val="00F378DB"/>
    <w:rsid w:val="00F37CD5"/>
    <w:rsid w:val="00F37D2E"/>
    <w:rsid w:val="00F37E91"/>
    <w:rsid w:val="00F37F02"/>
    <w:rsid w:val="00F37FED"/>
    <w:rsid w:val="00F401FD"/>
    <w:rsid w:val="00F4025A"/>
    <w:rsid w:val="00F406BF"/>
    <w:rsid w:val="00F4075A"/>
    <w:rsid w:val="00F40851"/>
    <w:rsid w:val="00F40888"/>
    <w:rsid w:val="00F40A27"/>
    <w:rsid w:val="00F40ADF"/>
    <w:rsid w:val="00F40B78"/>
    <w:rsid w:val="00F40FFF"/>
    <w:rsid w:val="00F4115B"/>
    <w:rsid w:val="00F41302"/>
    <w:rsid w:val="00F41749"/>
    <w:rsid w:val="00F419A5"/>
    <w:rsid w:val="00F41A6D"/>
    <w:rsid w:val="00F41B53"/>
    <w:rsid w:val="00F41E5C"/>
    <w:rsid w:val="00F4211D"/>
    <w:rsid w:val="00F42141"/>
    <w:rsid w:val="00F423FA"/>
    <w:rsid w:val="00F4245D"/>
    <w:rsid w:val="00F42618"/>
    <w:rsid w:val="00F4281C"/>
    <w:rsid w:val="00F428BF"/>
    <w:rsid w:val="00F429F9"/>
    <w:rsid w:val="00F42A63"/>
    <w:rsid w:val="00F42ACD"/>
    <w:rsid w:val="00F42C05"/>
    <w:rsid w:val="00F42D85"/>
    <w:rsid w:val="00F42DCC"/>
    <w:rsid w:val="00F42E23"/>
    <w:rsid w:val="00F42E57"/>
    <w:rsid w:val="00F42FB2"/>
    <w:rsid w:val="00F4306E"/>
    <w:rsid w:val="00F43628"/>
    <w:rsid w:val="00F43807"/>
    <w:rsid w:val="00F43870"/>
    <w:rsid w:val="00F438FC"/>
    <w:rsid w:val="00F43956"/>
    <w:rsid w:val="00F43A42"/>
    <w:rsid w:val="00F43BDC"/>
    <w:rsid w:val="00F43C24"/>
    <w:rsid w:val="00F43F5D"/>
    <w:rsid w:val="00F4408A"/>
    <w:rsid w:val="00F440A7"/>
    <w:rsid w:val="00F441FC"/>
    <w:rsid w:val="00F44384"/>
    <w:rsid w:val="00F443F9"/>
    <w:rsid w:val="00F44418"/>
    <w:rsid w:val="00F44B22"/>
    <w:rsid w:val="00F44EF0"/>
    <w:rsid w:val="00F44F04"/>
    <w:rsid w:val="00F450C0"/>
    <w:rsid w:val="00F45261"/>
    <w:rsid w:val="00F453C3"/>
    <w:rsid w:val="00F45447"/>
    <w:rsid w:val="00F4551D"/>
    <w:rsid w:val="00F45659"/>
    <w:rsid w:val="00F457EF"/>
    <w:rsid w:val="00F45962"/>
    <w:rsid w:val="00F45BB7"/>
    <w:rsid w:val="00F45BCD"/>
    <w:rsid w:val="00F45CB4"/>
    <w:rsid w:val="00F45DD1"/>
    <w:rsid w:val="00F45DEA"/>
    <w:rsid w:val="00F45F8D"/>
    <w:rsid w:val="00F469D4"/>
    <w:rsid w:val="00F46B69"/>
    <w:rsid w:val="00F46C49"/>
    <w:rsid w:val="00F46CF7"/>
    <w:rsid w:val="00F46D49"/>
    <w:rsid w:val="00F46E06"/>
    <w:rsid w:val="00F47017"/>
    <w:rsid w:val="00F47079"/>
    <w:rsid w:val="00F471D1"/>
    <w:rsid w:val="00F4725C"/>
    <w:rsid w:val="00F472DA"/>
    <w:rsid w:val="00F4750C"/>
    <w:rsid w:val="00F478D7"/>
    <w:rsid w:val="00F47911"/>
    <w:rsid w:val="00F47CE1"/>
    <w:rsid w:val="00F47D4B"/>
    <w:rsid w:val="00F47EEB"/>
    <w:rsid w:val="00F47FDA"/>
    <w:rsid w:val="00F501D3"/>
    <w:rsid w:val="00F50205"/>
    <w:rsid w:val="00F50475"/>
    <w:rsid w:val="00F504B9"/>
    <w:rsid w:val="00F5068E"/>
    <w:rsid w:val="00F508D8"/>
    <w:rsid w:val="00F509EC"/>
    <w:rsid w:val="00F50A81"/>
    <w:rsid w:val="00F50E6D"/>
    <w:rsid w:val="00F5122A"/>
    <w:rsid w:val="00F512F9"/>
    <w:rsid w:val="00F51369"/>
    <w:rsid w:val="00F5146D"/>
    <w:rsid w:val="00F515B2"/>
    <w:rsid w:val="00F5193A"/>
    <w:rsid w:val="00F51996"/>
    <w:rsid w:val="00F51AA6"/>
    <w:rsid w:val="00F52063"/>
    <w:rsid w:val="00F5206A"/>
    <w:rsid w:val="00F52312"/>
    <w:rsid w:val="00F52487"/>
    <w:rsid w:val="00F524B1"/>
    <w:rsid w:val="00F52565"/>
    <w:rsid w:val="00F525F7"/>
    <w:rsid w:val="00F52698"/>
    <w:rsid w:val="00F52E31"/>
    <w:rsid w:val="00F53027"/>
    <w:rsid w:val="00F53054"/>
    <w:rsid w:val="00F531BE"/>
    <w:rsid w:val="00F5343A"/>
    <w:rsid w:val="00F53540"/>
    <w:rsid w:val="00F535D2"/>
    <w:rsid w:val="00F53638"/>
    <w:rsid w:val="00F5368E"/>
    <w:rsid w:val="00F53B23"/>
    <w:rsid w:val="00F53B80"/>
    <w:rsid w:val="00F53D37"/>
    <w:rsid w:val="00F53F46"/>
    <w:rsid w:val="00F541F6"/>
    <w:rsid w:val="00F5430B"/>
    <w:rsid w:val="00F5466E"/>
    <w:rsid w:val="00F54685"/>
    <w:rsid w:val="00F549E7"/>
    <w:rsid w:val="00F54C45"/>
    <w:rsid w:val="00F54E2E"/>
    <w:rsid w:val="00F5529F"/>
    <w:rsid w:val="00F553C1"/>
    <w:rsid w:val="00F55539"/>
    <w:rsid w:val="00F5567D"/>
    <w:rsid w:val="00F55692"/>
    <w:rsid w:val="00F55729"/>
    <w:rsid w:val="00F55AB2"/>
    <w:rsid w:val="00F55B7C"/>
    <w:rsid w:val="00F55C3C"/>
    <w:rsid w:val="00F55CEA"/>
    <w:rsid w:val="00F55D6C"/>
    <w:rsid w:val="00F55DB3"/>
    <w:rsid w:val="00F55E56"/>
    <w:rsid w:val="00F55EE0"/>
    <w:rsid w:val="00F55F8C"/>
    <w:rsid w:val="00F55FCD"/>
    <w:rsid w:val="00F560C3"/>
    <w:rsid w:val="00F56247"/>
    <w:rsid w:val="00F566C9"/>
    <w:rsid w:val="00F56CBD"/>
    <w:rsid w:val="00F56DD4"/>
    <w:rsid w:val="00F56E8B"/>
    <w:rsid w:val="00F56ECE"/>
    <w:rsid w:val="00F56EF0"/>
    <w:rsid w:val="00F57113"/>
    <w:rsid w:val="00F571D0"/>
    <w:rsid w:val="00F572BF"/>
    <w:rsid w:val="00F574BC"/>
    <w:rsid w:val="00F575DF"/>
    <w:rsid w:val="00F575F6"/>
    <w:rsid w:val="00F5768B"/>
    <w:rsid w:val="00F576D5"/>
    <w:rsid w:val="00F57716"/>
    <w:rsid w:val="00F57C80"/>
    <w:rsid w:val="00F6000E"/>
    <w:rsid w:val="00F60014"/>
    <w:rsid w:val="00F60062"/>
    <w:rsid w:val="00F600B1"/>
    <w:rsid w:val="00F60298"/>
    <w:rsid w:val="00F60435"/>
    <w:rsid w:val="00F6069E"/>
    <w:rsid w:val="00F606C9"/>
    <w:rsid w:val="00F606FD"/>
    <w:rsid w:val="00F607DE"/>
    <w:rsid w:val="00F6091D"/>
    <w:rsid w:val="00F60953"/>
    <w:rsid w:val="00F60A05"/>
    <w:rsid w:val="00F60A58"/>
    <w:rsid w:val="00F60ADA"/>
    <w:rsid w:val="00F60C15"/>
    <w:rsid w:val="00F60D39"/>
    <w:rsid w:val="00F60D67"/>
    <w:rsid w:val="00F614FA"/>
    <w:rsid w:val="00F615F4"/>
    <w:rsid w:val="00F61773"/>
    <w:rsid w:val="00F617B0"/>
    <w:rsid w:val="00F6184A"/>
    <w:rsid w:val="00F61A38"/>
    <w:rsid w:val="00F61EAF"/>
    <w:rsid w:val="00F61ECF"/>
    <w:rsid w:val="00F61FED"/>
    <w:rsid w:val="00F6205C"/>
    <w:rsid w:val="00F62245"/>
    <w:rsid w:val="00F62321"/>
    <w:rsid w:val="00F625E1"/>
    <w:rsid w:val="00F625EC"/>
    <w:rsid w:val="00F62AAA"/>
    <w:rsid w:val="00F62AE7"/>
    <w:rsid w:val="00F62EE5"/>
    <w:rsid w:val="00F62F9C"/>
    <w:rsid w:val="00F6339B"/>
    <w:rsid w:val="00F635FF"/>
    <w:rsid w:val="00F6364D"/>
    <w:rsid w:val="00F636FF"/>
    <w:rsid w:val="00F6370D"/>
    <w:rsid w:val="00F63790"/>
    <w:rsid w:val="00F639B8"/>
    <w:rsid w:val="00F63CD4"/>
    <w:rsid w:val="00F63D3A"/>
    <w:rsid w:val="00F63DB1"/>
    <w:rsid w:val="00F63F01"/>
    <w:rsid w:val="00F63F2A"/>
    <w:rsid w:val="00F640FA"/>
    <w:rsid w:val="00F64136"/>
    <w:rsid w:val="00F64194"/>
    <w:rsid w:val="00F6437D"/>
    <w:rsid w:val="00F6438A"/>
    <w:rsid w:val="00F64429"/>
    <w:rsid w:val="00F645B9"/>
    <w:rsid w:val="00F64603"/>
    <w:rsid w:val="00F646FB"/>
    <w:rsid w:val="00F64894"/>
    <w:rsid w:val="00F64899"/>
    <w:rsid w:val="00F649CF"/>
    <w:rsid w:val="00F64B40"/>
    <w:rsid w:val="00F64EA0"/>
    <w:rsid w:val="00F64F54"/>
    <w:rsid w:val="00F650E9"/>
    <w:rsid w:val="00F65193"/>
    <w:rsid w:val="00F652B8"/>
    <w:rsid w:val="00F6557C"/>
    <w:rsid w:val="00F656CA"/>
    <w:rsid w:val="00F656ED"/>
    <w:rsid w:val="00F659C2"/>
    <w:rsid w:val="00F65A7D"/>
    <w:rsid w:val="00F65B15"/>
    <w:rsid w:val="00F65BF9"/>
    <w:rsid w:val="00F65EA3"/>
    <w:rsid w:val="00F65EBA"/>
    <w:rsid w:val="00F66061"/>
    <w:rsid w:val="00F6613D"/>
    <w:rsid w:val="00F664FC"/>
    <w:rsid w:val="00F666B5"/>
    <w:rsid w:val="00F6677C"/>
    <w:rsid w:val="00F6687A"/>
    <w:rsid w:val="00F6695F"/>
    <w:rsid w:val="00F66A0C"/>
    <w:rsid w:val="00F66A56"/>
    <w:rsid w:val="00F66AF9"/>
    <w:rsid w:val="00F66CE8"/>
    <w:rsid w:val="00F66CF5"/>
    <w:rsid w:val="00F66D48"/>
    <w:rsid w:val="00F66D51"/>
    <w:rsid w:val="00F66E21"/>
    <w:rsid w:val="00F66F3A"/>
    <w:rsid w:val="00F67060"/>
    <w:rsid w:val="00F67087"/>
    <w:rsid w:val="00F67173"/>
    <w:rsid w:val="00F67487"/>
    <w:rsid w:val="00F67545"/>
    <w:rsid w:val="00F676D3"/>
    <w:rsid w:val="00F677CC"/>
    <w:rsid w:val="00F67AC0"/>
    <w:rsid w:val="00F67B2F"/>
    <w:rsid w:val="00F67BF7"/>
    <w:rsid w:val="00F67F7C"/>
    <w:rsid w:val="00F70152"/>
    <w:rsid w:val="00F702D7"/>
    <w:rsid w:val="00F70B79"/>
    <w:rsid w:val="00F70C35"/>
    <w:rsid w:val="00F70C51"/>
    <w:rsid w:val="00F70CC2"/>
    <w:rsid w:val="00F70DB3"/>
    <w:rsid w:val="00F70E8F"/>
    <w:rsid w:val="00F70F6C"/>
    <w:rsid w:val="00F70FC5"/>
    <w:rsid w:val="00F710CC"/>
    <w:rsid w:val="00F7112F"/>
    <w:rsid w:val="00F714DB"/>
    <w:rsid w:val="00F717EF"/>
    <w:rsid w:val="00F71975"/>
    <w:rsid w:val="00F71A2C"/>
    <w:rsid w:val="00F71A5E"/>
    <w:rsid w:val="00F71E07"/>
    <w:rsid w:val="00F71E59"/>
    <w:rsid w:val="00F72002"/>
    <w:rsid w:val="00F720AF"/>
    <w:rsid w:val="00F721D9"/>
    <w:rsid w:val="00F72403"/>
    <w:rsid w:val="00F725C1"/>
    <w:rsid w:val="00F725FD"/>
    <w:rsid w:val="00F725FF"/>
    <w:rsid w:val="00F72C6D"/>
    <w:rsid w:val="00F72F6D"/>
    <w:rsid w:val="00F73002"/>
    <w:rsid w:val="00F73031"/>
    <w:rsid w:val="00F730D9"/>
    <w:rsid w:val="00F7311B"/>
    <w:rsid w:val="00F73145"/>
    <w:rsid w:val="00F731D7"/>
    <w:rsid w:val="00F733BF"/>
    <w:rsid w:val="00F733FB"/>
    <w:rsid w:val="00F73401"/>
    <w:rsid w:val="00F7362A"/>
    <w:rsid w:val="00F736EE"/>
    <w:rsid w:val="00F73989"/>
    <w:rsid w:val="00F73B4D"/>
    <w:rsid w:val="00F73E9C"/>
    <w:rsid w:val="00F73EFA"/>
    <w:rsid w:val="00F73F8F"/>
    <w:rsid w:val="00F74301"/>
    <w:rsid w:val="00F744DC"/>
    <w:rsid w:val="00F745E3"/>
    <w:rsid w:val="00F74778"/>
    <w:rsid w:val="00F74844"/>
    <w:rsid w:val="00F74B0C"/>
    <w:rsid w:val="00F74FF1"/>
    <w:rsid w:val="00F74FFC"/>
    <w:rsid w:val="00F752B1"/>
    <w:rsid w:val="00F7556F"/>
    <w:rsid w:val="00F7586E"/>
    <w:rsid w:val="00F75CCF"/>
    <w:rsid w:val="00F75DEF"/>
    <w:rsid w:val="00F75F1A"/>
    <w:rsid w:val="00F75F33"/>
    <w:rsid w:val="00F76200"/>
    <w:rsid w:val="00F7637B"/>
    <w:rsid w:val="00F76936"/>
    <w:rsid w:val="00F76AE2"/>
    <w:rsid w:val="00F76EDD"/>
    <w:rsid w:val="00F770DB"/>
    <w:rsid w:val="00F772F0"/>
    <w:rsid w:val="00F7731D"/>
    <w:rsid w:val="00F77394"/>
    <w:rsid w:val="00F77429"/>
    <w:rsid w:val="00F7751F"/>
    <w:rsid w:val="00F77FFE"/>
    <w:rsid w:val="00F80186"/>
    <w:rsid w:val="00F801AD"/>
    <w:rsid w:val="00F8027F"/>
    <w:rsid w:val="00F803B0"/>
    <w:rsid w:val="00F8043F"/>
    <w:rsid w:val="00F804D2"/>
    <w:rsid w:val="00F807E7"/>
    <w:rsid w:val="00F8090B"/>
    <w:rsid w:val="00F809EB"/>
    <w:rsid w:val="00F80ABA"/>
    <w:rsid w:val="00F80AE5"/>
    <w:rsid w:val="00F80C9B"/>
    <w:rsid w:val="00F80D3B"/>
    <w:rsid w:val="00F80DBD"/>
    <w:rsid w:val="00F80DCD"/>
    <w:rsid w:val="00F80DFD"/>
    <w:rsid w:val="00F80E62"/>
    <w:rsid w:val="00F80FEF"/>
    <w:rsid w:val="00F81487"/>
    <w:rsid w:val="00F81650"/>
    <w:rsid w:val="00F818C0"/>
    <w:rsid w:val="00F818FB"/>
    <w:rsid w:val="00F81C00"/>
    <w:rsid w:val="00F81D61"/>
    <w:rsid w:val="00F81D73"/>
    <w:rsid w:val="00F81E0A"/>
    <w:rsid w:val="00F82155"/>
    <w:rsid w:val="00F82256"/>
    <w:rsid w:val="00F82554"/>
    <w:rsid w:val="00F82586"/>
    <w:rsid w:val="00F825E8"/>
    <w:rsid w:val="00F82657"/>
    <w:rsid w:val="00F82774"/>
    <w:rsid w:val="00F828EC"/>
    <w:rsid w:val="00F82B06"/>
    <w:rsid w:val="00F82D8B"/>
    <w:rsid w:val="00F82F5D"/>
    <w:rsid w:val="00F830A5"/>
    <w:rsid w:val="00F831EF"/>
    <w:rsid w:val="00F834A2"/>
    <w:rsid w:val="00F834CB"/>
    <w:rsid w:val="00F834E7"/>
    <w:rsid w:val="00F8385A"/>
    <w:rsid w:val="00F83887"/>
    <w:rsid w:val="00F83B5E"/>
    <w:rsid w:val="00F83C27"/>
    <w:rsid w:val="00F83EE6"/>
    <w:rsid w:val="00F84825"/>
    <w:rsid w:val="00F84896"/>
    <w:rsid w:val="00F84D87"/>
    <w:rsid w:val="00F85020"/>
    <w:rsid w:val="00F8506B"/>
    <w:rsid w:val="00F8510E"/>
    <w:rsid w:val="00F85431"/>
    <w:rsid w:val="00F8553F"/>
    <w:rsid w:val="00F85846"/>
    <w:rsid w:val="00F85B2B"/>
    <w:rsid w:val="00F85D42"/>
    <w:rsid w:val="00F85D45"/>
    <w:rsid w:val="00F85DDD"/>
    <w:rsid w:val="00F85EA2"/>
    <w:rsid w:val="00F85EB6"/>
    <w:rsid w:val="00F85EE8"/>
    <w:rsid w:val="00F8615C"/>
    <w:rsid w:val="00F86435"/>
    <w:rsid w:val="00F86481"/>
    <w:rsid w:val="00F86493"/>
    <w:rsid w:val="00F8692E"/>
    <w:rsid w:val="00F86BB2"/>
    <w:rsid w:val="00F86D3C"/>
    <w:rsid w:val="00F86E2C"/>
    <w:rsid w:val="00F86F12"/>
    <w:rsid w:val="00F8719C"/>
    <w:rsid w:val="00F8723C"/>
    <w:rsid w:val="00F87491"/>
    <w:rsid w:val="00F87812"/>
    <w:rsid w:val="00F87AC0"/>
    <w:rsid w:val="00F87AF9"/>
    <w:rsid w:val="00F87CEE"/>
    <w:rsid w:val="00F87D54"/>
    <w:rsid w:val="00F87F4A"/>
    <w:rsid w:val="00F87FA0"/>
    <w:rsid w:val="00F9035D"/>
    <w:rsid w:val="00F9043C"/>
    <w:rsid w:val="00F904C4"/>
    <w:rsid w:val="00F905D8"/>
    <w:rsid w:val="00F9063F"/>
    <w:rsid w:val="00F9072B"/>
    <w:rsid w:val="00F90828"/>
    <w:rsid w:val="00F90895"/>
    <w:rsid w:val="00F908AB"/>
    <w:rsid w:val="00F909F2"/>
    <w:rsid w:val="00F90BEC"/>
    <w:rsid w:val="00F90CE6"/>
    <w:rsid w:val="00F90D71"/>
    <w:rsid w:val="00F90DFD"/>
    <w:rsid w:val="00F911D0"/>
    <w:rsid w:val="00F91399"/>
    <w:rsid w:val="00F913CF"/>
    <w:rsid w:val="00F915E8"/>
    <w:rsid w:val="00F91681"/>
    <w:rsid w:val="00F916E2"/>
    <w:rsid w:val="00F91733"/>
    <w:rsid w:val="00F91A3E"/>
    <w:rsid w:val="00F91AA1"/>
    <w:rsid w:val="00F91D9C"/>
    <w:rsid w:val="00F9245C"/>
    <w:rsid w:val="00F9249C"/>
    <w:rsid w:val="00F9258B"/>
    <w:rsid w:val="00F9262D"/>
    <w:rsid w:val="00F92634"/>
    <w:rsid w:val="00F9270F"/>
    <w:rsid w:val="00F92A6E"/>
    <w:rsid w:val="00F92ACA"/>
    <w:rsid w:val="00F92B43"/>
    <w:rsid w:val="00F92EC8"/>
    <w:rsid w:val="00F93066"/>
    <w:rsid w:val="00F93140"/>
    <w:rsid w:val="00F9327E"/>
    <w:rsid w:val="00F932D9"/>
    <w:rsid w:val="00F93309"/>
    <w:rsid w:val="00F935C3"/>
    <w:rsid w:val="00F93720"/>
    <w:rsid w:val="00F93E16"/>
    <w:rsid w:val="00F93EAF"/>
    <w:rsid w:val="00F93FEC"/>
    <w:rsid w:val="00F94041"/>
    <w:rsid w:val="00F940FB"/>
    <w:rsid w:val="00F94183"/>
    <w:rsid w:val="00F94256"/>
    <w:rsid w:val="00F94270"/>
    <w:rsid w:val="00F9438B"/>
    <w:rsid w:val="00F943B7"/>
    <w:rsid w:val="00F94653"/>
    <w:rsid w:val="00F9480D"/>
    <w:rsid w:val="00F94895"/>
    <w:rsid w:val="00F94A1A"/>
    <w:rsid w:val="00F94DDA"/>
    <w:rsid w:val="00F94DE5"/>
    <w:rsid w:val="00F94F6E"/>
    <w:rsid w:val="00F94FD2"/>
    <w:rsid w:val="00F95319"/>
    <w:rsid w:val="00F95346"/>
    <w:rsid w:val="00F9542D"/>
    <w:rsid w:val="00F9559F"/>
    <w:rsid w:val="00F9563D"/>
    <w:rsid w:val="00F95A48"/>
    <w:rsid w:val="00F95AE6"/>
    <w:rsid w:val="00F95C28"/>
    <w:rsid w:val="00F9604C"/>
    <w:rsid w:val="00F96103"/>
    <w:rsid w:val="00F9623C"/>
    <w:rsid w:val="00F9637C"/>
    <w:rsid w:val="00F966E9"/>
    <w:rsid w:val="00F9671C"/>
    <w:rsid w:val="00F967BD"/>
    <w:rsid w:val="00F96844"/>
    <w:rsid w:val="00F96A1F"/>
    <w:rsid w:val="00F96A33"/>
    <w:rsid w:val="00F96C26"/>
    <w:rsid w:val="00F96F37"/>
    <w:rsid w:val="00F96F79"/>
    <w:rsid w:val="00F97131"/>
    <w:rsid w:val="00F9770A"/>
    <w:rsid w:val="00F9772B"/>
    <w:rsid w:val="00F97A98"/>
    <w:rsid w:val="00F97BE8"/>
    <w:rsid w:val="00FA0336"/>
    <w:rsid w:val="00FA04C6"/>
    <w:rsid w:val="00FA0544"/>
    <w:rsid w:val="00FA0571"/>
    <w:rsid w:val="00FA0674"/>
    <w:rsid w:val="00FA07CC"/>
    <w:rsid w:val="00FA0B06"/>
    <w:rsid w:val="00FA0E08"/>
    <w:rsid w:val="00FA0F92"/>
    <w:rsid w:val="00FA1429"/>
    <w:rsid w:val="00FA17C9"/>
    <w:rsid w:val="00FA1C5E"/>
    <w:rsid w:val="00FA1C70"/>
    <w:rsid w:val="00FA1EE1"/>
    <w:rsid w:val="00FA2088"/>
    <w:rsid w:val="00FA2417"/>
    <w:rsid w:val="00FA25BD"/>
    <w:rsid w:val="00FA28B7"/>
    <w:rsid w:val="00FA2A40"/>
    <w:rsid w:val="00FA2AE4"/>
    <w:rsid w:val="00FA2BA8"/>
    <w:rsid w:val="00FA33ED"/>
    <w:rsid w:val="00FA3456"/>
    <w:rsid w:val="00FA3F54"/>
    <w:rsid w:val="00FA41B8"/>
    <w:rsid w:val="00FA4205"/>
    <w:rsid w:val="00FA443B"/>
    <w:rsid w:val="00FA44F8"/>
    <w:rsid w:val="00FA467D"/>
    <w:rsid w:val="00FA47A6"/>
    <w:rsid w:val="00FA4868"/>
    <w:rsid w:val="00FA4C24"/>
    <w:rsid w:val="00FA4C4A"/>
    <w:rsid w:val="00FA4C5E"/>
    <w:rsid w:val="00FA4D29"/>
    <w:rsid w:val="00FA4D51"/>
    <w:rsid w:val="00FA4EDA"/>
    <w:rsid w:val="00FA4F17"/>
    <w:rsid w:val="00FA4F93"/>
    <w:rsid w:val="00FA50F4"/>
    <w:rsid w:val="00FA5199"/>
    <w:rsid w:val="00FA51C5"/>
    <w:rsid w:val="00FA532C"/>
    <w:rsid w:val="00FA542E"/>
    <w:rsid w:val="00FA5625"/>
    <w:rsid w:val="00FA566B"/>
    <w:rsid w:val="00FA5872"/>
    <w:rsid w:val="00FA5933"/>
    <w:rsid w:val="00FA5A66"/>
    <w:rsid w:val="00FA5B18"/>
    <w:rsid w:val="00FA5BC8"/>
    <w:rsid w:val="00FA5BEF"/>
    <w:rsid w:val="00FA5C3E"/>
    <w:rsid w:val="00FA5C6D"/>
    <w:rsid w:val="00FA5CA4"/>
    <w:rsid w:val="00FA5DAC"/>
    <w:rsid w:val="00FA5DD4"/>
    <w:rsid w:val="00FA5E05"/>
    <w:rsid w:val="00FA5FC1"/>
    <w:rsid w:val="00FA602B"/>
    <w:rsid w:val="00FA63F9"/>
    <w:rsid w:val="00FA645D"/>
    <w:rsid w:val="00FA64E5"/>
    <w:rsid w:val="00FA6666"/>
    <w:rsid w:val="00FA687B"/>
    <w:rsid w:val="00FA688A"/>
    <w:rsid w:val="00FA6A55"/>
    <w:rsid w:val="00FA6AA9"/>
    <w:rsid w:val="00FA6DA0"/>
    <w:rsid w:val="00FA6F54"/>
    <w:rsid w:val="00FA70AE"/>
    <w:rsid w:val="00FA70C4"/>
    <w:rsid w:val="00FA7639"/>
    <w:rsid w:val="00FA76A9"/>
    <w:rsid w:val="00FA76C0"/>
    <w:rsid w:val="00FA7901"/>
    <w:rsid w:val="00FA7BF1"/>
    <w:rsid w:val="00FA7C2C"/>
    <w:rsid w:val="00FA7CB3"/>
    <w:rsid w:val="00FA7D73"/>
    <w:rsid w:val="00FA7FFC"/>
    <w:rsid w:val="00FAFDDA"/>
    <w:rsid w:val="00FB0058"/>
    <w:rsid w:val="00FB006A"/>
    <w:rsid w:val="00FB0207"/>
    <w:rsid w:val="00FB0346"/>
    <w:rsid w:val="00FB0383"/>
    <w:rsid w:val="00FB05C2"/>
    <w:rsid w:val="00FB0628"/>
    <w:rsid w:val="00FB0AC3"/>
    <w:rsid w:val="00FB0CB0"/>
    <w:rsid w:val="00FB0D08"/>
    <w:rsid w:val="00FB0E3F"/>
    <w:rsid w:val="00FB0ED4"/>
    <w:rsid w:val="00FB0EEC"/>
    <w:rsid w:val="00FB1016"/>
    <w:rsid w:val="00FB1058"/>
    <w:rsid w:val="00FB1114"/>
    <w:rsid w:val="00FB115D"/>
    <w:rsid w:val="00FB11D7"/>
    <w:rsid w:val="00FB1687"/>
    <w:rsid w:val="00FB17DA"/>
    <w:rsid w:val="00FB1822"/>
    <w:rsid w:val="00FB1864"/>
    <w:rsid w:val="00FB1965"/>
    <w:rsid w:val="00FB1A65"/>
    <w:rsid w:val="00FB1A9E"/>
    <w:rsid w:val="00FB1AFC"/>
    <w:rsid w:val="00FB1B51"/>
    <w:rsid w:val="00FB1D74"/>
    <w:rsid w:val="00FB1DCB"/>
    <w:rsid w:val="00FB1F01"/>
    <w:rsid w:val="00FB1F71"/>
    <w:rsid w:val="00FB2030"/>
    <w:rsid w:val="00FB20E5"/>
    <w:rsid w:val="00FB2202"/>
    <w:rsid w:val="00FB2372"/>
    <w:rsid w:val="00FB2376"/>
    <w:rsid w:val="00FB237D"/>
    <w:rsid w:val="00FB2385"/>
    <w:rsid w:val="00FB23AE"/>
    <w:rsid w:val="00FB2470"/>
    <w:rsid w:val="00FB28A3"/>
    <w:rsid w:val="00FB2A7F"/>
    <w:rsid w:val="00FB2AC4"/>
    <w:rsid w:val="00FB2AE4"/>
    <w:rsid w:val="00FB2B70"/>
    <w:rsid w:val="00FB2D45"/>
    <w:rsid w:val="00FB2EE9"/>
    <w:rsid w:val="00FB3040"/>
    <w:rsid w:val="00FB31F1"/>
    <w:rsid w:val="00FB358C"/>
    <w:rsid w:val="00FB35B9"/>
    <w:rsid w:val="00FB3ABF"/>
    <w:rsid w:val="00FB3BA7"/>
    <w:rsid w:val="00FB3CEC"/>
    <w:rsid w:val="00FB3E6A"/>
    <w:rsid w:val="00FB4078"/>
    <w:rsid w:val="00FB410A"/>
    <w:rsid w:val="00FB4248"/>
    <w:rsid w:val="00FB4362"/>
    <w:rsid w:val="00FB44BA"/>
    <w:rsid w:val="00FB4605"/>
    <w:rsid w:val="00FB46CF"/>
    <w:rsid w:val="00FB477C"/>
    <w:rsid w:val="00FB479D"/>
    <w:rsid w:val="00FB48CA"/>
    <w:rsid w:val="00FB4DAA"/>
    <w:rsid w:val="00FB4E21"/>
    <w:rsid w:val="00FB4FFF"/>
    <w:rsid w:val="00FB5024"/>
    <w:rsid w:val="00FB5168"/>
    <w:rsid w:val="00FB5285"/>
    <w:rsid w:val="00FB53BD"/>
    <w:rsid w:val="00FB53CB"/>
    <w:rsid w:val="00FB56A9"/>
    <w:rsid w:val="00FB5727"/>
    <w:rsid w:val="00FB5746"/>
    <w:rsid w:val="00FB5792"/>
    <w:rsid w:val="00FB57E6"/>
    <w:rsid w:val="00FB583B"/>
    <w:rsid w:val="00FB58B7"/>
    <w:rsid w:val="00FB5912"/>
    <w:rsid w:val="00FB59F4"/>
    <w:rsid w:val="00FB59F8"/>
    <w:rsid w:val="00FB5C5B"/>
    <w:rsid w:val="00FB5DAB"/>
    <w:rsid w:val="00FB5EA2"/>
    <w:rsid w:val="00FB5F06"/>
    <w:rsid w:val="00FB6069"/>
    <w:rsid w:val="00FB60F5"/>
    <w:rsid w:val="00FB6115"/>
    <w:rsid w:val="00FB66FC"/>
    <w:rsid w:val="00FB67F5"/>
    <w:rsid w:val="00FB684A"/>
    <w:rsid w:val="00FB6919"/>
    <w:rsid w:val="00FB693E"/>
    <w:rsid w:val="00FB6B4F"/>
    <w:rsid w:val="00FB6BCA"/>
    <w:rsid w:val="00FB7189"/>
    <w:rsid w:val="00FB75FB"/>
    <w:rsid w:val="00FB77C4"/>
    <w:rsid w:val="00FB7855"/>
    <w:rsid w:val="00FB78E8"/>
    <w:rsid w:val="00FB790B"/>
    <w:rsid w:val="00FB7B8A"/>
    <w:rsid w:val="00FB7C6F"/>
    <w:rsid w:val="00FB7D9A"/>
    <w:rsid w:val="00FB7EE2"/>
    <w:rsid w:val="00FC007C"/>
    <w:rsid w:val="00FC036B"/>
    <w:rsid w:val="00FC05B4"/>
    <w:rsid w:val="00FC0AC2"/>
    <w:rsid w:val="00FC0AD9"/>
    <w:rsid w:val="00FC0F67"/>
    <w:rsid w:val="00FC1054"/>
    <w:rsid w:val="00FC1251"/>
    <w:rsid w:val="00FC12A6"/>
    <w:rsid w:val="00FC12DE"/>
    <w:rsid w:val="00FC17B6"/>
    <w:rsid w:val="00FC1A22"/>
    <w:rsid w:val="00FC1C2E"/>
    <w:rsid w:val="00FC1ED4"/>
    <w:rsid w:val="00FC1FBD"/>
    <w:rsid w:val="00FC21BD"/>
    <w:rsid w:val="00FC23A7"/>
    <w:rsid w:val="00FC25E8"/>
    <w:rsid w:val="00FC260F"/>
    <w:rsid w:val="00FC28BB"/>
    <w:rsid w:val="00FC28C7"/>
    <w:rsid w:val="00FC2907"/>
    <w:rsid w:val="00FC2999"/>
    <w:rsid w:val="00FC2E4B"/>
    <w:rsid w:val="00FC303B"/>
    <w:rsid w:val="00FC30A3"/>
    <w:rsid w:val="00FC311B"/>
    <w:rsid w:val="00FC320F"/>
    <w:rsid w:val="00FC32D5"/>
    <w:rsid w:val="00FC3334"/>
    <w:rsid w:val="00FC3369"/>
    <w:rsid w:val="00FC38F8"/>
    <w:rsid w:val="00FC3901"/>
    <w:rsid w:val="00FC3A8D"/>
    <w:rsid w:val="00FC3B0C"/>
    <w:rsid w:val="00FC3B6A"/>
    <w:rsid w:val="00FC3C01"/>
    <w:rsid w:val="00FC3E54"/>
    <w:rsid w:val="00FC3E6E"/>
    <w:rsid w:val="00FC3F62"/>
    <w:rsid w:val="00FC4007"/>
    <w:rsid w:val="00FC405F"/>
    <w:rsid w:val="00FC40AC"/>
    <w:rsid w:val="00FC420B"/>
    <w:rsid w:val="00FC427A"/>
    <w:rsid w:val="00FC42A2"/>
    <w:rsid w:val="00FC43FD"/>
    <w:rsid w:val="00FC48C7"/>
    <w:rsid w:val="00FC4BBA"/>
    <w:rsid w:val="00FC5487"/>
    <w:rsid w:val="00FC572E"/>
    <w:rsid w:val="00FC5754"/>
    <w:rsid w:val="00FC589B"/>
    <w:rsid w:val="00FC58FC"/>
    <w:rsid w:val="00FC598C"/>
    <w:rsid w:val="00FC5BDE"/>
    <w:rsid w:val="00FC5DFE"/>
    <w:rsid w:val="00FC5F37"/>
    <w:rsid w:val="00FC5F48"/>
    <w:rsid w:val="00FC5FCC"/>
    <w:rsid w:val="00FC6062"/>
    <w:rsid w:val="00FC6183"/>
    <w:rsid w:val="00FC6452"/>
    <w:rsid w:val="00FC6578"/>
    <w:rsid w:val="00FC671C"/>
    <w:rsid w:val="00FC6779"/>
    <w:rsid w:val="00FC67C0"/>
    <w:rsid w:val="00FC6851"/>
    <w:rsid w:val="00FC6B63"/>
    <w:rsid w:val="00FC6E48"/>
    <w:rsid w:val="00FC7261"/>
    <w:rsid w:val="00FC7344"/>
    <w:rsid w:val="00FC7354"/>
    <w:rsid w:val="00FC737A"/>
    <w:rsid w:val="00FC73D2"/>
    <w:rsid w:val="00FC7637"/>
    <w:rsid w:val="00FC76C8"/>
    <w:rsid w:val="00FC77C5"/>
    <w:rsid w:val="00FC7926"/>
    <w:rsid w:val="00FC7AF1"/>
    <w:rsid w:val="00FD009D"/>
    <w:rsid w:val="00FD05C2"/>
    <w:rsid w:val="00FD05EA"/>
    <w:rsid w:val="00FD0768"/>
    <w:rsid w:val="00FD07D2"/>
    <w:rsid w:val="00FD0A22"/>
    <w:rsid w:val="00FD0C6D"/>
    <w:rsid w:val="00FD0CEB"/>
    <w:rsid w:val="00FD0DDD"/>
    <w:rsid w:val="00FD0E7E"/>
    <w:rsid w:val="00FD1222"/>
    <w:rsid w:val="00FD1288"/>
    <w:rsid w:val="00FD13B3"/>
    <w:rsid w:val="00FD13D8"/>
    <w:rsid w:val="00FD1434"/>
    <w:rsid w:val="00FD1465"/>
    <w:rsid w:val="00FD162F"/>
    <w:rsid w:val="00FD19B5"/>
    <w:rsid w:val="00FD1C0F"/>
    <w:rsid w:val="00FD1CC4"/>
    <w:rsid w:val="00FD1EF0"/>
    <w:rsid w:val="00FD204A"/>
    <w:rsid w:val="00FD20DE"/>
    <w:rsid w:val="00FD23AA"/>
    <w:rsid w:val="00FD2441"/>
    <w:rsid w:val="00FD27D5"/>
    <w:rsid w:val="00FD293B"/>
    <w:rsid w:val="00FD2BB4"/>
    <w:rsid w:val="00FD2D82"/>
    <w:rsid w:val="00FD308B"/>
    <w:rsid w:val="00FD336E"/>
    <w:rsid w:val="00FD347C"/>
    <w:rsid w:val="00FD3608"/>
    <w:rsid w:val="00FD3705"/>
    <w:rsid w:val="00FD37C2"/>
    <w:rsid w:val="00FD398F"/>
    <w:rsid w:val="00FD3BEC"/>
    <w:rsid w:val="00FD3CB4"/>
    <w:rsid w:val="00FD3CCC"/>
    <w:rsid w:val="00FD3D0A"/>
    <w:rsid w:val="00FD3DA8"/>
    <w:rsid w:val="00FD4189"/>
    <w:rsid w:val="00FD4208"/>
    <w:rsid w:val="00FD442D"/>
    <w:rsid w:val="00FD4546"/>
    <w:rsid w:val="00FD4745"/>
    <w:rsid w:val="00FD479E"/>
    <w:rsid w:val="00FD487F"/>
    <w:rsid w:val="00FD48C2"/>
    <w:rsid w:val="00FD4C71"/>
    <w:rsid w:val="00FD4FD0"/>
    <w:rsid w:val="00FD52C3"/>
    <w:rsid w:val="00FD56E2"/>
    <w:rsid w:val="00FD5742"/>
    <w:rsid w:val="00FD5972"/>
    <w:rsid w:val="00FD5AB6"/>
    <w:rsid w:val="00FD5B94"/>
    <w:rsid w:val="00FD5C03"/>
    <w:rsid w:val="00FD5ECE"/>
    <w:rsid w:val="00FD604E"/>
    <w:rsid w:val="00FD61AC"/>
    <w:rsid w:val="00FD62CB"/>
    <w:rsid w:val="00FD632A"/>
    <w:rsid w:val="00FD633B"/>
    <w:rsid w:val="00FD63E6"/>
    <w:rsid w:val="00FD672E"/>
    <w:rsid w:val="00FD6731"/>
    <w:rsid w:val="00FD6897"/>
    <w:rsid w:val="00FD6979"/>
    <w:rsid w:val="00FD6B08"/>
    <w:rsid w:val="00FD6D5D"/>
    <w:rsid w:val="00FD6E77"/>
    <w:rsid w:val="00FD6F6B"/>
    <w:rsid w:val="00FD6FE3"/>
    <w:rsid w:val="00FD70E7"/>
    <w:rsid w:val="00FD7103"/>
    <w:rsid w:val="00FD72D2"/>
    <w:rsid w:val="00FD74CC"/>
    <w:rsid w:val="00FD76FC"/>
    <w:rsid w:val="00FD78B7"/>
    <w:rsid w:val="00FD7D0F"/>
    <w:rsid w:val="00FD7D2E"/>
    <w:rsid w:val="00FD7E5C"/>
    <w:rsid w:val="00FD7F55"/>
    <w:rsid w:val="00FE010A"/>
    <w:rsid w:val="00FE020D"/>
    <w:rsid w:val="00FE0283"/>
    <w:rsid w:val="00FE0307"/>
    <w:rsid w:val="00FE030E"/>
    <w:rsid w:val="00FE05AE"/>
    <w:rsid w:val="00FE069F"/>
    <w:rsid w:val="00FE0798"/>
    <w:rsid w:val="00FE0A5B"/>
    <w:rsid w:val="00FE0D60"/>
    <w:rsid w:val="00FE0EEB"/>
    <w:rsid w:val="00FE0F71"/>
    <w:rsid w:val="00FE10B1"/>
    <w:rsid w:val="00FE12C3"/>
    <w:rsid w:val="00FE13C0"/>
    <w:rsid w:val="00FE144E"/>
    <w:rsid w:val="00FE1531"/>
    <w:rsid w:val="00FE155D"/>
    <w:rsid w:val="00FE157E"/>
    <w:rsid w:val="00FE1687"/>
    <w:rsid w:val="00FE16EF"/>
    <w:rsid w:val="00FE17D2"/>
    <w:rsid w:val="00FE1871"/>
    <w:rsid w:val="00FE1C99"/>
    <w:rsid w:val="00FE1CB4"/>
    <w:rsid w:val="00FE2100"/>
    <w:rsid w:val="00FE2122"/>
    <w:rsid w:val="00FE21E0"/>
    <w:rsid w:val="00FE2233"/>
    <w:rsid w:val="00FE24F0"/>
    <w:rsid w:val="00FE2573"/>
    <w:rsid w:val="00FE2752"/>
    <w:rsid w:val="00FE2A91"/>
    <w:rsid w:val="00FE2B9B"/>
    <w:rsid w:val="00FE2C43"/>
    <w:rsid w:val="00FE2CBE"/>
    <w:rsid w:val="00FE2CDB"/>
    <w:rsid w:val="00FE2E2C"/>
    <w:rsid w:val="00FE2ED1"/>
    <w:rsid w:val="00FE31DB"/>
    <w:rsid w:val="00FE349F"/>
    <w:rsid w:val="00FE375E"/>
    <w:rsid w:val="00FE3786"/>
    <w:rsid w:val="00FE37D8"/>
    <w:rsid w:val="00FE38CB"/>
    <w:rsid w:val="00FE38F0"/>
    <w:rsid w:val="00FE3905"/>
    <w:rsid w:val="00FE3A0E"/>
    <w:rsid w:val="00FE3B66"/>
    <w:rsid w:val="00FE3CE5"/>
    <w:rsid w:val="00FE3D20"/>
    <w:rsid w:val="00FE3D97"/>
    <w:rsid w:val="00FE3ECF"/>
    <w:rsid w:val="00FE3F2B"/>
    <w:rsid w:val="00FE4240"/>
    <w:rsid w:val="00FE429F"/>
    <w:rsid w:val="00FE486D"/>
    <w:rsid w:val="00FE4A15"/>
    <w:rsid w:val="00FE4AE3"/>
    <w:rsid w:val="00FE4B26"/>
    <w:rsid w:val="00FE4B93"/>
    <w:rsid w:val="00FE4E4A"/>
    <w:rsid w:val="00FE4F2D"/>
    <w:rsid w:val="00FE4F6A"/>
    <w:rsid w:val="00FE503B"/>
    <w:rsid w:val="00FE5075"/>
    <w:rsid w:val="00FE50AD"/>
    <w:rsid w:val="00FE52FE"/>
    <w:rsid w:val="00FE5396"/>
    <w:rsid w:val="00FE542F"/>
    <w:rsid w:val="00FE57E8"/>
    <w:rsid w:val="00FE5A1E"/>
    <w:rsid w:val="00FE5AEB"/>
    <w:rsid w:val="00FE5DD0"/>
    <w:rsid w:val="00FE5DD6"/>
    <w:rsid w:val="00FE5DDF"/>
    <w:rsid w:val="00FE5EF3"/>
    <w:rsid w:val="00FE60CA"/>
    <w:rsid w:val="00FE6258"/>
    <w:rsid w:val="00FE657D"/>
    <w:rsid w:val="00FE6815"/>
    <w:rsid w:val="00FE6884"/>
    <w:rsid w:val="00FE68EB"/>
    <w:rsid w:val="00FE69F9"/>
    <w:rsid w:val="00FE6D48"/>
    <w:rsid w:val="00FE6D5A"/>
    <w:rsid w:val="00FE6DD7"/>
    <w:rsid w:val="00FE6EED"/>
    <w:rsid w:val="00FE6F49"/>
    <w:rsid w:val="00FE7004"/>
    <w:rsid w:val="00FE71E1"/>
    <w:rsid w:val="00FE7251"/>
    <w:rsid w:val="00FE7341"/>
    <w:rsid w:val="00FE7452"/>
    <w:rsid w:val="00FE7488"/>
    <w:rsid w:val="00FE74F3"/>
    <w:rsid w:val="00FE75C7"/>
    <w:rsid w:val="00FE76BD"/>
    <w:rsid w:val="00FE76CA"/>
    <w:rsid w:val="00FE77C2"/>
    <w:rsid w:val="00FE7837"/>
    <w:rsid w:val="00FE78C1"/>
    <w:rsid w:val="00FE794D"/>
    <w:rsid w:val="00FE7970"/>
    <w:rsid w:val="00FE7A09"/>
    <w:rsid w:val="00FE7B5B"/>
    <w:rsid w:val="00FE7ED3"/>
    <w:rsid w:val="00FE7FB4"/>
    <w:rsid w:val="00FF0204"/>
    <w:rsid w:val="00FF02A7"/>
    <w:rsid w:val="00FF030D"/>
    <w:rsid w:val="00FF042B"/>
    <w:rsid w:val="00FF047C"/>
    <w:rsid w:val="00FF0562"/>
    <w:rsid w:val="00FF07C8"/>
    <w:rsid w:val="00FF0BAD"/>
    <w:rsid w:val="00FF0C11"/>
    <w:rsid w:val="00FF0DFD"/>
    <w:rsid w:val="00FF0E60"/>
    <w:rsid w:val="00FF0F24"/>
    <w:rsid w:val="00FF1082"/>
    <w:rsid w:val="00FF1185"/>
    <w:rsid w:val="00FF11AE"/>
    <w:rsid w:val="00FF1225"/>
    <w:rsid w:val="00FF1270"/>
    <w:rsid w:val="00FF137E"/>
    <w:rsid w:val="00FF142C"/>
    <w:rsid w:val="00FF14CF"/>
    <w:rsid w:val="00FF156D"/>
    <w:rsid w:val="00FF1651"/>
    <w:rsid w:val="00FF16EF"/>
    <w:rsid w:val="00FF1A00"/>
    <w:rsid w:val="00FF1D92"/>
    <w:rsid w:val="00FF1DCE"/>
    <w:rsid w:val="00FF223E"/>
    <w:rsid w:val="00FF22E5"/>
    <w:rsid w:val="00FF2968"/>
    <w:rsid w:val="00FF2D09"/>
    <w:rsid w:val="00FF2E6F"/>
    <w:rsid w:val="00FF36D4"/>
    <w:rsid w:val="00FF372D"/>
    <w:rsid w:val="00FF38B3"/>
    <w:rsid w:val="00FF3B15"/>
    <w:rsid w:val="00FF3BED"/>
    <w:rsid w:val="00FF3C80"/>
    <w:rsid w:val="00FF3EE2"/>
    <w:rsid w:val="00FF3F51"/>
    <w:rsid w:val="00FF41AE"/>
    <w:rsid w:val="00FF43D7"/>
    <w:rsid w:val="00FF46F3"/>
    <w:rsid w:val="00FF4748"/>
    <w:rsid w:val="00FF4A92"/>
    <w:rsid w:val="00FF4DF3"/>
    <w:rsid w:val="00FF4E0A"/>
    <w:rsid w:val="00FF4FF9"/>
    <w:rsid w:val="00FF511F"/>
    <w:rsid w:val="00FF5211"/>
    <w:rsid w:val="00FF52B7"/>
    <w:rsid w:val="00FF5414"/>
    <w:rsid w:val="00FF5700"/>
    <w:rsid w:val="00FF58B5"/>
    <w:rsid w:val="00FF59F1"/>
    <w:rsid w:val="00FF5A8A"/>
    <w:rsid w:val="00FF5ACE"/>
    <w:rsid w:val="00FF5BFE"/>
    <w:rsid w:val="00FF5CEF"/>
    <w:rsid w:val="00FF5D65"/>
    <w:rsid w:val="00FF5FF1"/>
    <w:rsid w:val="00FF6027"/>
    <w:rsid w:val="00FF6038"/>
    <w:rsid w:val="00FF616D"/>
    <w:rsid w:val="00FF62A2"/>
    <w:rsid w:val="00FF62AE"/>
    <w:rsid w:val="00FF6519"/>
    <w:rsid w:val="00FF65D7"/>
    <w:rsid w:val="00FF66D9"/>
    <w:rsid w:val="00FF6AD4"/>
    <w:rsid w:val="00FF6B7C"/>
    <w:rsid w:val="00FF6DF2"/>
    <w:rsid w:val="00FF71CD"/>
    <w:rsid w:val="00FF7288"/>
    <w:rsid w:val="00FF72B1"/>
    <w:rsid w:val="00FF739A"/>
    <w:rsid w:val="00FF7425"/>
    <w:rsid w:val="00FF758E"/>
    <w:rsid w:val="00FF770B"/>
    <w:rsid w:val="00FF7750"/>
    <w:rsid w:val="00FF77D5"/>
    <w:rsid w:val="00FF78A9"/>
    <w:rsid w:val="00FF7BB9"/>
    <w:rsid w:val="00FF7BF3"/>
    <w:rsid w:val="00FF7BFA"/>
    <w:rsid w:val="00FF7C67"/>
    <w:rsid w:val="00FF7C90"/>
    <w:rsid w:val="00FF7D5D"/>
    <w:rsid w:val="00FF7DC3"/>
    <w:rsid w:val="00FF7E99"/>
    <w:rsid w:val="0115A813"/>
    <w:rsid w:val="015767E5"/>
    <w:rsid w:val="019554A9"/>
    <w:rsid w:val="01C1970A"/>
    <w:rsid w:val="01D09661"/>
    <w:rsid w:val="01E6C396"/>
    <w:rsid w:val="0246207F"/>
    <w:rsid w:val="02518036"/>
    <w:rsid w:val="02673924"/>
    <w:rsid w:val="02831E22"/>
    <w:rsid w:val="0288081C"/>
    <w:rsid w:val="02A7A7BD"/>
    <w:rsid w:val="03059FE2"/>
    <w:rsid w:val="03AB2B78"/>
    <w:rsid w:val="04316194"/>
    <w:rsid w:val="04430B38"/>
    <w:rsid w:val="04664BCE"/>
    <w:rsid w:val="04AD2821"/>
    <w:rsid w:val="04C8EC43"/>
    <w:rsid w:val="05193E58"/>
    <w:rsid w:val="05ADD954"/>
    <w:rsid w:val="05AE48BC"/>
    <w:rsid w:val="05E92CD3"/>
    <w:rsid w:val="06E5DEED"/>
    <w:rsid w:val="070A0723"/>
    <w:rsid w:val="07149C33"/>
    <w:rsid w:val="0730A2A2"/>
    <w:rsid w:val="07AFE4D0"/>
    <w:rsid w:val="07CA8889"/>
    <w:rsid w:val="07DC616E"/>
    <w:rsid w:val="081F0B3B"/>
    <w:rsid w:val="08F64DA5"/>
    <w:rsid w:val="0913D534"/>
    <w:rsid w:val="0929CB1F"/>
    <w:rsid w:val="0948AFFF"/>
    <w:rsid w:val="0A00588A"/>
    <w:rsid w:val="0A284634"/>
    <w:rsid w:val="0A2D383C"/>
    <w:rsid w:val="0A3CB142"/>
    <w:rsid w:val="0A3CC9C7"/>
    <w:rsid w:val="0A5DC370"/>
    <w:rsid w:val="0A6F2DF1"/>
    <w:rsid w:val="0A98C2D0"/>
    <w:rsid w:val="0AC65C08"/>
    <w:rsid w:val="0B25B8BA"/>
    <w:rsid w:val="0B6D68C2"/>
    <w:rsid w:val="0BC2E428"/>
    <w:rsid w:val="0BDCA4AF"/>
    <w:rsid w:val="0C639D16"/>
    <w:rsid w:val="0C90F350"/>
    <w:rsid w:val="0CB01FEA"/>
    <w:rsid w:val="0CB083C6"/>
    <w:rsid w:val="0D2024F9"/>
    <w:rsid w:val="0D268071"/>
    <w:rsid w:val="0D2C683C"/>
    <w:rsid w:val="0D3F85E3"/>
    <w:rsid w:val="0D543809"/>
    <w:rsid w:val="0D97E9C2"/>
    <w:rsid w:val="0DBC3A14"/>
    <w:rsid w:val="0E17CA11"/>
    <w:rsid w:val="0E2753F0"/>
    <w:rsid w:val="0E49655C"/>
    <w:rsid w:val="0E518772"/>
    <w:rsid w:val="0E686F78"/>
    <w:rsid w:val="0EFBB32B"/>
    <w:rsid w:val="0F35DA87"/>
    <w:rsid w:val="0F38B398"/>
    <w:rsid w:val="0FA144AA"/>
    <w:rsid w:val="0FBA20AB"/>
    <w:rsid w:val="0FEDD22D"/>
    <w:rsid w:val="10452624"/>
    <w:rsid w:val="105A4098"/>
    <w:rsid w:val="10D712BC"/>
    <w:rsid w:val="10E5BF4F"/>
    <w:rsid w:val="1111981F"/>
    <w:rsid w:val="112AE589"/>
    <w:rsid w:val="1155CDA3"/>
    <w:rsid w:val="1245DA54"/>
    <w:rsid w:val="129BA365"/>
    <w:rsid w:val="129D7B33"/>
    <w:rsid w:val="12A1D17C"/>
    <w:rsid w:val="12B842FE"/>
    <w:rsid w:val="12D4874D"/>
    <w:rsid w:val="12D7FE73"/>
    <w:rsid w:val="12DDA88A"/>
    <w:rsid w:val="1320D298"/>
    <w:rsid w:val="139287E3"/>
    <w:rsid w:val="13DFDADE"/>
    <w:rsid w:val="13EEF7AF"/>
    <w:rsid w:val="146BFF62"/>
    <w:rsid w:val="146E8F56"/>
    <w:rsid w:val="14CD4B5D"/>
    <w:rsid w:val="14CFB18F"/>
    <w:rsid w:val="14E5327C"/>
    <w:rsid w:val="15701B5C"/>
    <w:rsid w:val="15C6D363"/>
    <w:rsid w:val="15D3AB40"/>
    <w:rsid w:val="15D5C6F5"/>
    <w:rsid w:val="15D9E33C"/>
    <w:rsid w:val="15EB75F5"/>
    <w:rsid w:val="16146D21"/>
    <w:rsid w:val="16193F6F"/>
    <w:rsid w:val="168A28D0"/>
    <w:rsid w:val="16908047"/>
    <w:rsid w:val="16DEED87"/>
    <w:rsid w:val="16F5EAF8"/>
    <w:rsid w:val="170FC14F"/>
    <w:rsid w:val="173B3D55"/>
    <w:rsid w:val="173BFCF8"/>
    <w:rsid w:val="175EB82B"/>
    <w:rsid w:val="17743065"/>
    <w:rsid w:val="17878F8D"/>
    <w:rsid w:val="17A5AC17"/>
    <w:rsid w:val="17A5BEC9"/>
    <w:rsid w:val="17A7BFED"/>
    <w:rsid w:val="18410FF8"/>
    <w:rsid w:val="18502EC4"/>
    <w:rsid w:val="186DE35E"/>
    <w:rsid w:val="1923C8F1"/>
    <w:rsid w:val="1947F345"/>
    <w:rsid w:val="19AAA0FD"/>
    <w:rsid w:val="19BF995F"/>
    <w:rsid w:val="1A0FF5DC"/>
    <w:rsid w:val="1A1CC425"/>
    <w:rsid w:val="1A229729"/>
    <w:rsid w:val="1A3F3223"/>
    <w:rsid w:val="1A6A9B04"/>
    <w:rsid w:val="1A6ED744"/>
    <w:rsid w:val="1A767004"/>
    <w:rsid w:val="1ABDC6A6"/>
    <w:rsid w:val="1ABF25C9"/>
    <w:rsid w:val="1B34EFDD"/>
    <w:rsid w:val="1B3FA5FA"/>
    <w:rsid w:val="1B598EAA"/>
    <w:rsid w:val="1B60E2D4"/>
    <w:rsid w:val="1BEADAEB"/>
    <w:rsid w:val="1BFE08DC"/>
    <w:rsid w:val="1C0B263A"/>
    <w:rsid w:val="1C339F22"/>
    <w:rsid w:val="1D155EE5"/>
    <w:rsid w:val="1D1DA704"/>
    <w:rsid w:val="1D3CF3E9"/>
    <w:rsid w:val="1D4B04AD"/>
    <w:rsid w:val="1D673C87"/>
    <w:rsid w:val="1DA2A4B0"/>
    <w:rsid w:val="1DB1C68E"/>
    <w:rsid w:val="1E02F60E"/>
    <w:rsid w:val="1E1EDB63"/>
    <w:rsid w:val="1E2EE286"/>
    <w:rsid w:val="1E4BB543"/>
    <w:rsid w:val="1E4F4359"/>
    <w:rsid w:val="1ECCBB48"/>
    <w:rsid w:val="1EEF5ACF"/>
    <w:rsid w:val="1F3B7453"/>
    <w:rsid w:val="1F47F0DA"/>
    <w:rsid w:val="1F61B8F2"/>
    <w:rsid w:val="1F81CD41"/>
    <w:rsid w:val="1F8FD4CF"/>
    <w:rsid w:val="1FA832C5"/>
    <w:rsid w:val="1FC10950"/>
    <w:rsid w:val="202630E4"/>
    <w:rsid w:val="203B574B"/>
    <w:rsid w:val="203B75C9"/>
    <w:rsid w:val="2043391D"/>
    <w:rsid w:val="204D246B"/>
    <w:rsid w:val="20539A7B"/>
    <w:rsid w:val="2106DEB5"/>
    <w:rsid w:val="210BE2A0"/>
    <w:rsid w:val="210C2619"/>
    <w:rsid w:val="22193FBA"/>
    <w:rsid w:val="221BB2E5"/>
    <w:rsid w:val="22E27294"/>
    <w:rsid w:val="230B0548"/>
    <w:rsid w:val="2327DD09"/>
    <w:rsid w:val="23562F1D"/>
    <w:rsid w:val="23BA5032"/>
    <w:rsid w:val="23BCC5A0"/>
    <w:rsid w:val="23D633FD"/>
    <w:rsid w:val="23FB040F"/>
    <w:rsid w:val="24360585"/>
    <w:rsid w:val="2437DA21"/>
    <w:rsid w:val="246E284A"/>
    <w:rsid w:val="2490B8F9"/>
    <w:rsid w:val="24E1EE36"/>
    <w:rsid w:val="24F85371"/>
    <w:rsid w:val="24F8ACDA"/>
    <w:rsid w:val="2543A089"/>
    <w:rsid w:val="25B3B993"/>
    <w:rsid w:val="25CCD2E6"/>
    <w:rsid w:val="25D85D03"/>
    <w:rsid w:val="25F510A7"/>
    <w:rsid w:val="26106999"/>
    <w:rsid w:val="2624CAF9"/>
    <w:rsid w:val="269C20C9"/>
    <w:rsid w:val="26A3177D"/>
    <w:rsid w:val="275ED846"/>
    <w:rsid w:val="2774B537"/>
    <w:rsid w:val="27B7EE8A"/>
    <w:rsid w:val="27DEA67C"/>
    <w:rsid w:val="280B4A96"/>
    <w:rsid w:val="280EDC63"/>
    <w:rsid w:val="28379A3F"/>
    <w:rsid w:val="286E10E0"/>
    <w:rsid w:val="28D4B9C3"/>
    <w:rsid w:val="28D5F259"/>
    <w:rsid w:val="28DBB617"/>
    <w:rsid w:val="292457B8"/>
    <w:rsid w:val="296CBE09"/>
    <w:rsid w:val="2972E4AD"/>
    <w:rsid w:val="298F672C"/>
    <w:rsid w:val="29A3FF0C"/>
    <w:rsid w:val="2A16668E"/>
    <w:rsid w:val="2A373F09"/>
    <w:rsid w:val="2A3DF03E"/>
    <w:rsid w:val="2A7A4121"/>
    <w:rsid w:val="2A946FF6"/>
    <w:rsid w:val="2AB0FC17"/>
    <w:rsid w:val="2AE05705"/>
    <w:rsid w:val="2AED3154"/>
    <w:rsid w:val="2AF79B78"/>
    <w:rsid w:val="2B95B9B7"/>
    <w:rsid w:val="2BFC854D"/>
    <w:rsid w:val="2C6E4BDF"/>
    <w:rsid w:val="2C777DCC"/>
    <w:rsid w:val="2C843A3C"/>
    <w:rsid w:val="2C9E6380"/>
    <w:rsid w:val="2CEA9830"/>
    <w:rsid w:val="2CF401B3"/>
    <w:rsid w:val="2D0684FA"/>
    <w:rsid w:val="2D2B6CE9"/>
    <w:rsid w:val="2DC50A07"/>
    <w:rsid w:val="2E5A035C"/>
    <w:rsid w:val="2E777C02"/>
    <w:rsid w:val="2EC8E889"/>
    <w:rsid w:val="2EF18951"/>
    <w:rsid w:val="2F81DC45"/>
    <w:rsid w:val="2FB9B1F6"/>
    <w:rsid w:val="2FDE7052"/>
    <w:rsid w:val="2FE808BB"/>
    <w:rsid w:val="30453E9A"/>
    <w:rsid w:val="306DB17C"/>
    <w:rsid w:val="30E047E9"/>
    <w:rsid w:val="311F3909"/>
    <w:rsid w:val="328CE321"/>
    <w:rsid w:val="32A851CC"/>
    <w:rsid w:val="32C25856"/>
    <w:rsid w:val="331EBD90"/>
    <w:rsid w:val="333674D4"/>
    <w:rsid w:val="334FA5FB"/>
    <w:rsid w:val="337E8674"/>
    <w:rsid w:val="339719C9"/>
    <w:rsid w:val="33A86543"/>
    <w:rsid w:val="33F80ABA"/>
    <w:rsid w:val="34006CFF"/>
    <w:rsid w:val="342C1142"/>
    <w:rsid w:val="344DCA97"/>
    <w:rsid w:val="345744AF"/>
    <w:rsid w:val="34808B55"/>
    <w:rsid w:val="348C659C"/>
    <w:rsid w:val="34926E2C"/>
    <w:rsid w:val="34CE4572"/>
    <w:rsid w:val="34E4F38B"/>
    <w:rsid w:val="353B9418"/>
    <w:rsid w:val="353E7C68"/>
    <w:rsid w:val="3553DC8D"/>
    <w:rsid w:val="3554CA28"/>
    <w:rsid w:val="3578EB58"/>
    <w:rsid w:val="357F3FA7"/>
    <w:rsid w:val="35ECFAAA"/>
    <w:rsid w:val="366C99AD"/>
    <w:rsid w:val="36A68D1C"/>
    <w:rsid w:val="36AF0C56"/>
    <w:rsid w:val="36F5A0A9"/>
    <w:rsid w:val="37000B82"/>
    <w:rsid w:val="373067F9"/>
    <w:rsid w:val="37BD4A40"/>
    <w:rsid w:val="3821DDD7"/>
    <w:rsid w:val="3850274C"/>
    <w:rsid w:val="389CC17E"/>
    <w:rsid w:val="38A8E2BF"/>
    <w:rsid w:val="39587582"/>
    <w:rsid w:val="39967D23"/>
    <w:rsid w:val="39AC14FE"/>
    <w:rsid w:val="3A3F4C06"/>
    <w:rsid w:val="3A61BB18"/>
    <w:rsid w:val="3A756CDF"/>
    <w:rsid w:val="3AC40E5D"/>
    <w:rsid w:val="3B133351"/>
    <w:rsid w:val="3B18BC6B"/>
    <w:rsid w:val="3B45FC2E"/>
    <w:rsid w:val="3B4DBBB3"/>
    <w:rsid w:val="3BB4BF97"/>
    <w:rsid w:val="3BF015F2"/>
    <w:rsid w:val="3C1C49F0"/>
    <w:rsid w:val="3C31C03F"/>
    <w:rsid w:val="3C59A3E9"/>
    <w:rsid w:val="3CAD167A"/>
    <w:rsid w:val="3D96B966"/>
    <w:rsid w:val="3D983A5D"/>
    <w:rsid w:val="3D99AE05"/>
    <w:rsid w:val="3DCE18B8"/>
    <w:rsid w:val="3DDC2B36"/>
    <w:rsid w:val="3DF011F0"/>
    <w:rsid w:val="3E0E5935"/>
    <w:rsid w:val="3E82DE28"/>
    <w:rsid w:val="3E9E7604"/>
    <w:rsid w:val="3EA1DC61"/>
    <w:rsid w:val="3EA6CAA5"/>
    <w:rsid w:val="3F3918CE"/>
    <w:rsid w:val="3F755A0A"/>
    <w:rsid w:val="3FB739EB"/>
    <w:rsid w:val="3FED4053"/>
    <w:rsid w:val="4053C8A9"/>
    <w:rsid w:val="405F95CD"/>
    <w:rsid w:val="406DE4A6"/>
    <w:rsid w:val="40716992"/>
    <w:rsid w:val="40749274"/>
    <w:rsid w:val="408F79E0"/>
    <w:rsid w:val="40AB8E09"/>
    <w:rsid w:val="40AC984E"/>
    <w:rsid w:val="412DCBA6"/>
    <w:rsid w:val="41525A13"/>
    <w:rsid w:val="42042679"/>
    <w:rsid w:val="420E2F72"/>
    <w:rsid w:val="42ECAC12"/>
    <w:rsid w:val="4329697D"/>
    <w:rsid w:val="43991734"/>
    <w:rsid w:val="43A1AEAE"/>
    <w:rsid w:val="43D03AC5"/>
    <w:rsid w:val="43D76AE7"/>
    <w:rsid w:val="43DA89FD"/>
    <w:rsid w:val="43EC3086"/>
    <w:rsid w:val="43ED0153"/>
    <w:rsid w:val="44206A0A"/>
    <w:rsid w:val="442326BE"/>
    <w:rsid w:val="450C7A97"/>
    <w:rsid w:val="4511D039"/>
    <w:rsid w:val="4525B5C0"/>
    <w:rsid w:val="459627E5"/>
    <w:rsid w:val="45A8EA8B"/>
    <w:rsid w:val="462CCA3E"/>
    <w:rsid w:val="46692F64"/>
    <w:rsid w:val="46B4FE14"/>
    <w:rsid w:val="46BECC50"/>
    <w:rsid w:val="46E17AE7"/>
    <w:rsid w:val="470E65CB"/>
    <w:rsid w:val="472E1D7E"/>
    <w:rsid w:val="476E6070"/>
    <w:rsid w:val="47ED4EFD"/>
    <w:rsid w:val="4821F20F"/>
    <w:rsid w:val="485DEAF7"/>
    <w:rsid w:val="48BFC377"/>
    <w:rsid w:val="48FF21DD"/>
    <w:rsid w:val="49744A0A"/>
    <w:rsid w:val="4A00D96D"/>
    <w:rsid w:val="4A0F1691"/>
    <w:rsid w:val="4A1B716A"/>
    <w:rsid w:val="4AAC4CF6"/>
    <w:rsid w:val="4B09535A"/>
    <w:rsid w:val="4B3BBE5E"/>
    <w:rsid w:val="4B73842D"/>
    <w:rsid w:val="4B86C587"/>
    <w:rsid w:val="4BD7C160"/>
    <w:rsid w:val="4C21CF97"/>
    <w:rsid w:val="4C7A478E"/>
    <w:rsid w:val="4C9A1D43"/>
    <w:rsid w:val="4C9B82EC"/>
    <w:rsid w:val="4D4F3D78"/>
    <w:rsid w:val="4D576AF5"/>
    <w:rsid w:val="4D676AF7"/>
    <w:rsid w:val="4D7DD71D"/>
    <w:rsid w:val="4D83F689"/>
    <w:rsid w:val="4DA744C4"/>
    <w:rsid w:val="4E39F175"/>
    <w:rsid w:val="4E587CEB"/>
    <w:rsid w:val="4EA728B5"/>
    <w:rsid w:val="4EC8ED3D"/>
    <w:rsid w:val="4F606064"/>
    <w:rsid w:val="4FF4D4FB"/>
    <w:rsid w:val="50481EF7"/>
    <w:rsid w:val="509EB7CB"/>
    <w:rsid w:val="50B3CC82"/>
    <w:rsid w:val="50BA1170"/>
    <w:rsid w:val="50F3A86A"/>
    <w:rsid w:val="511385F8"/>
    <w:rsid w:val="5136FEC7"/>
    <w:rsid w:val="513F7425"/>
    <w:rsid w:val="515DBDA9"/>
    <w:rsid w:val="517CAFCD"/>
    <w:rsid w:val="517F8FB1"/>
    <w:rsid w:val="5193028C"/>
    <w:rsid w:val="51C10B0F"/>
    <w:rsid w:val="521C6CFB"/>
    <w:rsid w:val="525231AC"/>
    <w:rsid w:val="52E6312D"/>
    <w:rsid w:val="532468F8"/>
    <w:rsid w:val="537F8EAC"/>
    <w:rsid w:val="5384D4AE"/>
    <w:rsid w:val="53B9557D"/>
    <w:rsid w:val="54487596"/>
    <w:rsid w:val="54529738"/>
    <w:rsid w:val="54C322E1"/>
    <w:rsid w:val="55031BD6"/>
    <w:rsid w:val="55A76B68"/>
    <w:rsid w:val="55A942F6"/>
    <w:rsid w:val="55DFF352"/>
    <w:rsid w:val="562C2994"/>
    <w:rsid w:val="566EB138"/>
    <w:rsid w:val="568431D7"/>
    <w:rsid w:val="56999933"/>
    <w:rsid w:val="56E77E5A"/>
    <w:rsid w:val="5709FBD6"/>
    <w:rsid w:val="57731330"/>
    <w:rsid w:val="577D37B7"/>
    <w:rsid w:val="5794994C"/>
    <w:rsid w:val="57B2C4B4"/>
    <w:rsid w:val="57B967D0"/>
    <w:rsid w:val="57BE51E4"/>
    <w:rsid w:val="57C6BC7E"/>
    <w:rsid w:val="57D3C7A0"/>
    <w:rsid w:val="58FA5BFF"/>
    <w:rsid w:val="59074C47"/>
    <w:rsid w:val="5926954F"/>
    <w:rsid w:val="5984EA23"/>
    <w:rsid w:val="59A4903A"/>
    <w:rsid w:val="59CDFEEC"/>
    <w:rsid w:val="59D112C4"/>
    <w:rsid w:val="59F565DC"/>
    <w:rsid w:val="5A419902"/>
    <w:rsid w:val="5AA6C4C6"/>
    <w:rsid w:val="5B0CE308"/>
    <w:rsid w:val="5B2A18BE"/>
    <w:rsid w:val="5B2CC808"/>
    <w:rsid w:val="5B5653F0"/>
    <w:rsid w:val="5B80B45C"/>
    <w:rsid w:val="5B84DC9F"/>
    <w:rsid w:val="5B9A7FF7"/>
    <w:rsid w:val="5BDFCF4E"/>
    <w:rsid w:val="5C6EA439"/>
    <w:rsid w:val="5C93ED6A"/>
    <w:rsid w:val="5CE672B7"/>
    <w:rsid w:val="5CFAD4EE"/>
    <w:rsid w:val="5D31A782"/>
    <w:rsid w:val="5D3EFA92"/>
    <w:rsid w:val="5E4A3E59"/>
    <w:rsid w:val="5E4F86D3"/>
    <w:rsid w:val="5EBA8F9B"/>
    <w:rsid w:val="5F08ACA4"/>
    <w:rsid w:val="5F705349"/>
    <w:rsid w:val="5F8B0900"/>
    <w:rsid w:val="5F92C0C3"/>
    <w:rsid w:val="601F64F5"/>
    <w:rsid w:val="603C07C9"/>
    <w:rsid w:val="606382F3"/>
    <w:rsid w:val="606E7030"/>
    <w:rsid w:val="6126495F"/>
    <w:rsid w:val="6126F4B7"/>
    <w:rsid w:val="615773E0"/>
    <w:rsid w:val="61D486BC"/>
    <w:rsid w:val="6234C4F4"/>
    <w:rsid w:val="62A612E9"/>
    <w:rsid w:val="62B952B5"/>
    <w:rsid w:val="630157E8"/>
    <w:rsid w:val="6311D093"/>
    <w:rsid w:val="63439170"/>
    <w:rsid w:val="6357E8BE"/>
    <w:rsid w:val="63D16A82"/>
    <w:rsid w:val="6429A6D2"/>
    <w:rsid w:val="6455C1FC"/>
    <w:rsid w:val="645768D9"/>
    <w:rsid w:val="64B75934"/>
    <w:rsid w:val="6523633A"/>
    <w:rsid w:val="65456896"/>
    <w:rsid w:val="65BC80F2"/>
    <w:rsid w:val="65F4C822"/>
    <w:rsid w:val="66251B50"/>
    <w:rsid w:val="663FDFA9"/>
    <w:rsid w:val="665FD501"/>
    <w:rsid w:val="668B2633"/>
    <w:rsid w:val="669DCCD0"/>
    <w:rsid w:val="6709C709"/>
    <w:rsid w:val="670FE9F0"/>
    <w:rsid w:val="67738CB0"/>
    <w:rsid w:val="6782FAF7"/>
    <w:rsid w:val="6790DB52"/>
    <w:rsid w:val="67F1A69A"/>
    <w:rsid w:val="683DFD6F"/>
    <w:rsid w:val="686C505D"/>
    <w:rsid w:val="68CCFBCA"/>
    <w:rsid w:val="68E8C22E"/>
    <w:rsid w:val="68ED2180"/>
    <w:rsid w:val="68F5B8B7"/>
    <w:rsid w:val="691FAB81"/>
    <w:rsid w:val="692396A1"/>
    <w:rsid w:val="695A3374"/>
    <w:rsid w:val="696E35F7"/>
    <w:rsid w:val="69A8DFB4"/>
    <w:rsid w:val="6A367A77"/>
    <w:rsid w:val="6A551278"/>
    <w:rsid w:val="6AB1669B"/>
    <w:rsid w:val="6AE4ACD6"/>
    <w:rsid w:val="6B025EE0"/>
    <w:rsid w:val="6BFA0114"/>
    <w:rsid w:val="6C02F755"/>
    <w:rsid w:val="6C196B33"/>
    <w:rsid w:val="6CD37A99"/>
    <w:rsid w:val="6D20A93D"/>
    <w:rsid w:val="6D3A939F"/>
    <w:rsid w:val="6D3C208D"/>
    <w:rsid w:val="6DE0D675"/>
    <w:rsid w:val="6DE63FBB"/>
    <w:rsid w:val="6DEA3AAB"/>
    <w:rsid w:val="6E95FA7A"/>
    <w:rsid w:val="6EF179F2"/>
    <w:rsid w:val="6F01DF18"/>
    <w:rsid w:val="6F197385"/>
    <w:rsid w:val="6F75B5DA"/>
    <w:rsid w:val="6FEB46DB"/>
    <w:rsid w:val="702D5322"/>
    <w:rsid w:val="705387FB"/>
    <w:rsid w:val="711536C3"/>
    <w:rsid w:val="71D989AF"/>
    <w:rsid w:val="720088C8"/>
    <w:rsid w:val="72189E6F"/>
    <w:rsid w:val="722DDE01"/>
    <w:rsid w:val="7233CAE1"/>
    <w:rsid w:val="7261428A"/>
    <w:rsid w:val="729EC686"/>
    <w:rsid w:val="72CF90DE"/>
    <w:rsid w:val="72FF93C0"/>
    <w:rsid w:val="730127D5"/>
    <w:rsid w:val="730E5477"/>
    <w:rsid w:val="734AA97A"/>
    <w:rsid w:val="7353660F"/>
    <w:rsid w:val="73607605"/>
    <w:rsid w:val="7378129B"/>
    <w:rsid w:val="737E2396"/>
    <w:rsid w:val="738FF5D1"/>
    <w:rsid w:val="7396521E"/>
    <w:rsid w:val="73D7DAB7"/>
    <w:rsid w:val="73EDECF8"/>
    <w:rsid w:val="74494E0F"/>
    <w:rsid w:val="747AB068"/>
    <w:rsid w:val="74BDCB5E"/>
    <w:rsid w:val="74D4746A"/>
    <w:rsid w:val="74EE9D2A"/>
    <w:rsid w:val="751EE93A"/>
    <w:rsid w:val="754D54CF"/>
    <w:rsid w:val="7590F088"/>
    <w:rsid w:val="7595D2B1"/>
    <w:rsid w:val="75A57D7B"/>
    <w:rsid w:val="75C9D5BF"/>
    <w:rsid w:val="75DB7D97"/>
    <w:rsid w:val="75FAD651"/>
    <w:rsid w:val="7642DAEB"/>
    <w:rsid w:val="7675CE10"/>
    <w:rsid w:val="77042815"/>
    <w:rsid w:val="7788C19F"/>
    <w:rsid w:val="77C8EED3"/>
    <w:rsid w:val="77CE222C"/>
    <w:rsid w:val="77D40CF3"/>
    <w:rsid w:val="7831F9FA"/>
    <w:rsid w:val="7870F129"/>
    <w:rsid w:val="790C3FF9"/>
    <w:rsid w:val="790E216A"/>
    <w:rsid w:val="792933CA"/>
    <w:rsid w:val="794E4CF0"/>
    <w:rsid w:val="798A3EDD"/>
    <w:rsid w:val="79C61E96"/>
    <w:rsid w:val="79FECEBE"/>
    <w:rsid w:val="7A027DBB"/>
    <w:rsid w:val="7A033C24"/>
    <w:rsid w:val="7A3793A1"/>
    <w:rsid w:val="7A3C77F0"/>
    <w:rsid w:val="7A65397B"/>
    <w:rsid w:val="7AE7EA9D"/>
    <w:rsid w:val="7AF8DFA0"/>
    <w:rsid w:val="7B014F2E"/>
    <w:rsid w:val="7B52B893"/>
    <w:rsid w:val="7B882CD7"/>
    <w:rsid w:val="7BD839C2"/>
    <w:rsid w:val="7C823267"/>
    <w:rsid w:val="7CBA3796"/>
    <w:rsid w:val="7CF2C7BE"/>
    <w:rsid w:val="7D168DED"/>
    <w:rsid w:val="7D302E0E"/>
    <w:rsid w:val="7D32E53A"/>
    <w:rsid w:val="7D589628"/>
    <w:rsid w:val="7D7299AE"/>
    <w:rsid w:val="7DBB4FDC"/>
    <w:rsid w:val="7DCC7A2D"/>
    <w:rsid w:val="7E241415"/>
    <w:rsid w:val="7E53E604"/>
    <w:rsid w:val="7E8394D0"/>
    <w:rsid w:val="7EA68C81"/>
    <w:rsid w:val="7EDF8802"/>
    <w:rsid w:val="7F39C04F"/>
    <w:rsid w:val="7F85AF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DC7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
    <w:semiHidden/>
    <w:unhideWhenUsed/>
    <w:qFormat/>
    <w:rsid w:val="00CA7C31"/>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CA7C31"/>
    <w:pPr>
      <w:keepNext/>
      <w:keepLines/>
      <w:spacing w:before="0"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40ED7"/>
    <w:pPr>
      <w:numPr>
        <w:numId w:val="1"/>
      </w:numPr>
      <w:tabs>
        <w:tab w:val="num" w:pos="360"/>
      </w:tabs>
      <w:ind w:left="0" w:firstLine="0"/>
    </w:pPr>
    <w:rPr>
      <w:rFonts w:eastAsia="Times New Roman"/>
      <w:lang w:eastAsia="de-DE"/>
    </w:rPr>
  </w:style>
  <w:style w:type="paragraph" w:styleId="ListNumber">
    <w:name w:val="List Number"/>
    <w:basedOn w:val="Normal"/>
    <w:rsid w:val="00440ED7"/>
    <w:pPr>
      <w:numPr>
        <w:numId w:val="5"/>
      </w:numPr>
      <w:ind w:left="0" w:firstLine="0"/>
    </w:pPr>
    <w:rPr>
      <w:rFonts w:eastAsia="Times New Roman"/>
      <w:lang w:eastAsia="de-DE"/>
    </w:rPr>
  </w:style>
  <w:style w:type="paragraph" w:customStyle="1" w:styleId="ListBullet1">
    <w:name w:val="List Bullet 1"/>
    <w:basedOn w:val="Normal"/>
    <w:rsid w:val="00440ED7"/>
    <w:pPr>
      <w:tabs>
        <w:tab w:val="num" w:pos="360"/>
        <w:tab w:val="num" w:pos="1134"/>
        <w:tab w:val="num" w:pos="1492"/>
      </w:tabs>
      <w:ind w:left="1492" w:hanging="360"/>
    </w:pPr>
    <w:rPr>
      <w:rFonts w:eastAsia="Times New Roman"/>
      <w:lang w:eastAsia="de-DE"/>
    </w:rPr>
  </w:style>
  <w:style w:type="paragraph" w:customStyle="1" w:styleId="ListDash">
    <w:name w:val="List Dash"/>
    <w:basedOn w:val="Normal"/>
    <w:rsid w:val="00440ED7"/>
    <w:pPr>
      <w:numPr>
        <w:numId w:val="2"/>
      </w:numPr>
      <w:ind w:left="0" w:firstLine="0"/>
    </w:pPr>
    <w:rPr>
      <w:rFonts w:eastAsia="Times New Roman"/>
      <w:lang w:eastAsia="de-DE"/>
    </w:rPr>
  </w:style>
  <w:style w:type="paragraph" w:customStyle="1" w:styleId="ListDash1">
    <w:name w:val="List Dash 1"/>
    <w:basedOn w:val="Normal"/>
    <w:rsid w:val="00440ED7"/>
    <w:pPr>
      <w:numPr>
        <w:numId w:val="3"/>
      </w:numPr>
      <w:ind w:left="0" w:firstLine="0"/>
    </w:pPr>
    <w:rPr>
      <w:rFonts w:eastAsia="Times New Roman"/>
      <w:lang w:eastAsia="de-DE"/>
    </w:rPr>
  </w:style>
  <w:style w:type="paragraph" w:customStyle="1" w:styleId="ListDash2">
    <w:name w:val="List Dash 2"/>
    <w:basedOn w:val="Normal"/>
    <w:rsid w:val="00440ED7"/>
    <w:pPr>
      <w:numPr>
        <w:numId w:val="4"/>
      </w:numPr>
      <w:ind w:left="0" w:firstLine="0"/>
    </w:pPr>
    <w:rPr>
      <w:rFonts w:eastAsia="Times New Roman"/>
      <w:lang w:eastAsia="de-DE"/>
    </w:rPr>
  </w:style>
  <w:style w:type="paragraph" w:customStyle="1" w:styleId="ListNumberLevel2">
    <w:name w:val="List Number (Level 2)"/>
    <w:basedOn w:val="Normal"/>
    <w:rsid w:val="00440ED7"/>
    <w:pPr>
      <w:numPr>
        <w:ilvl w:val="1"/>
        <w:numId w:val="5"/>
      </w:numPr>
      <w:tabs>
        <w:tab w:val="clear" w:pos="1417"/>
      </w:tabs>
      <w:ind w:left="0" w:firstLine="0"/>
    </w:pPr>
    <w:rPr>
      <w:rFonts w:eastAsia="Times New Roman"/>
      <w:lang w:eastAsia="de-DE"/>
    </w:rPr>
  </w:style>
  <w:style w:type="paragraph" w:customStyle="1" w:styleId="ListNumberLevel3">
    <w:name w:val="List Number (Level 3)"/>
    <w:basedOn w:val="Normal"/>
    <w:rsid w:val="00440ED7"/>
    <w:pPr>
      <w:numPr>
        <w:ilvl w:val="2"/>
        <w:numId w:val="5"/>
      </w:numPr>
      <w:tabs>
        <w:tab w:val="clear" w:pos="2126"/>
      </w:tabs>
      <w:ind w:left="0" w:firstLine="0"/>
    </w:pPr>
    <w:rPr>
      <w:rFonts w:eastAsia="Times New Roman"/>
      <w:lang w:eastAsia="de-DE"/>
    </w:rPr>
  </w:style>
  <w:style w:type="paragraph" w:customStyle="1" w:styleId="ListNumberLevel4">
    <w:name w:val="List Number (Level 4)"/>
    <w:basedOn w:val="Normal"/>
    <w:rsid w:val="00440ED7"/>
    <w:pPr>
      <w:numPr>
        <w:ilvl w:val="3"/>
        <w:numId w:val="5"/>
      </w:numPr>
      <w:tabs>
        <w:tab w:val="clear" w:pos="2835"/>
      </w:tabs>
      <w:ind w:left="0" w:firstLine="0"/>
    </w:pPr>
    <w:rPr>
      <w:rFonts w:eastAsia="Times New Roman"/>
      <w:lang w:eastAsia="de-DE"/>
    </w:rPr>
  </w:style>
  <w:style w:type="table" w:styleId="TableGrid">
    <w:name w:val="Table Grid"/>
    <w:basedOn w:val="TableNormal"/>
    <w:uiPriority w:val="39"/>
    <w:rsid w:val="00440E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40ED7"/>
    <w:rPr>
      <w:color w:val="0000FF"/>
      <w:u w:val="single"/>
    </w:rPr>
  </w:style>
  <w:style w:type="paragraph" w:styleId="ListBullet">
    <w:name w:val="List Bullet"/>
    <w:basedOn w:val="Normal"/>
    <w:rsid w:val="00440ED7"/>
    <w:pPr>
      <w:numPr>
        <w:numId w:val="6"/>
      </w:numPr>
      <w:ind w:left="0" w:firstLine="0"/>
    </w:pPr>
    <w:rPr>
      <w:rFonts w:eastAsia="Times New Roman"/>
      <w:lang w:eastAsia="en-GB"/>
    </w:rPr>
  </w:style>
  <w:style w:type="paragraph" w:styleId="ListBullet2">
    <w:name w:val="List Bullet 2"/>
    <w:basedOn w:val="Normal"/>
    <w:rsid w:val="00440ED7"/>
    <w:pPr>
      <w:numPr>
        <w:numId w:val="7"/>
      </w:numPr>
      <w:ind w:left="0" w:firstLine="0"/>
    </w:pPr>
    <w:rPr>
      <w:rFonts w:eastAsia="Times New Roman"/>
      <w:lang w:eastAsia="en-GB"/>
    </w:rPr>
  </w:style>
  <w:style w:type="paragraph" w:styleId="ListBullet3">
    <w:name w:val="List Bullet 3"/>
    <w:basedOn w:val="Normal"/>
    <w:rsid w:val="00440ED7"/>
    <w:pPr>
      <w:numPr>
        <w:numId w:val="8"/>
      </w:numPr>
      <w:tabs>
        <w:tab w:val="clear" w:pos="1134"/>
      </w:tabs>
      <w:ind w:left="0" w:firstLine="0"/>
    </w:pPr>
    <w:rPr>
      <w:rFonts w:eastAsia="Times New Roman"/>
      <w:lang w:eastAsia="en-GB"/>
    </w:rPr>
  </w:style>
  <w:style w:type="paragraph" w:styleId="ListNumber2">
    <w:name w:val="List Number 2"/>
    <w:basedOn w:val="Normal"/>
    <w:rsid w:val="00440ED7"/>
    <w:pPr>
      <w:numPr>
        <w:numId w:val="10"/>
      </w:numPr>
    </w:pPr>
    <w:rPr>
      <w:rFonts w:eastAsia="Times New Roman"/>
      <w:lang w:eastAsia="en-GB"/>
    </w:rPr>
  </w:style>
  <w:style w:type="paragraph" w:styleId="ListNumber3">
    <w:name w:val="List Number 3"/>
    <w:basedOn w:val="Normal"/>
    <w:rsid w:val="00440ED7"/>
    <w:pPr>
      <w:numPr>
        <w:numId w:val="11"/>
      </w:numPr>
      <w:ind w:left="0" w:firstLine="0"/>
    </w:pPr>
    <w:rPr>
      <w:rFonts w:eastAsia="Times New Roman"/>
      <w:lang w:eastAsia="en-GB"/>
    </w:rPr>
  </w:style>
  <w:style w:type="paragraph" w:styleId="ListNumber4">
    <w:name w:val="List Number 4"/>
    <w:basedOn w:val="Normal"/>
    <w:rsid w:val="00440ED7"/>
    <w:pPr>
      <w:numPr>
        <w:numId w:val="12"/>
      </w:numPr>
      <w:ind w:left="0" w:firstLine="0"/>
    </w:pPr>
    <w:rPr>
      <w:rFonts w:eastAsia="Times New Roman"/>
      <w:lang w:eastAsia="en-GB"/>
    </w:rPr>
  </w:style>
  <w:style w:type="paragraph" w:customStyle="1" w:styleId="ListDash3">
    <w:name w:val="List Dash 3"/>
    <w:basedOn w:val="Normal"/>
    <w:rsid w:val="00440ED7"/>
    <w:pPr>
      <w:tabs>
        <w:tab w:val="num" w:pos="-2546"/>
        <w:tab w:val="num" w:pos="850"/>
      </w:tabs>
      <w:ind w:left="-2546" w:hanging="850"/>
    </w:pPr>
    <w:rPr>
      <w:rFonts w:eastAsia="Times New Roman"/>
      <w:lang w:eastAsia="en-GB"/>
    </w:rPr>
  </w:style>
  <w:style w:type="paragraph" w:customStyle="1" w:styleId="ListDash4">
    <w:name w:val="List Dash 4"/>
    <w:basedOn w:val="Normal"/>
    <w:rsid w:val="00440ED7"/>
    <w:pPr>
      <w:numPr>
        <w:numId w:val="9"/>
      </w:numPr>
      <w:ind w:left="0" w:firstLine="0"/>
    </w:pPr>
    <w:rPr>
      <w:rFonts w:eastAsia="Times New Roman"/>
      <w:lang w:eastAsia="en-GB"/>
    </w:rPr>
  </w:style>
  <w:style w:type="paragraph" w:customStyle="1" w:styleId="ListNumber1">
    <w:name w:val="List Number 1"/>
    <w:basedOn w:val="Text1"/>
    <w:uiPriority w:val="1"/>
    <w:rsid w:val="00440ED7"/>
    <w:pPr>
      <w:tabs>
        <w:tab w:val="num" w:pos="850"/>
      </w:tabs>
      <w:ind w:left="1560" w:hanging="709"/>
    </w:pPr>
    <w:rPr>
      <w:rFonts w:eastAsia="Times New Roman"/>
      <w:lang w:eastAsia="en-GB"/>
    </w:rPr>
  </w:style>
  <w:style w:type="paragraph" w:customStyle="1" w:styleId="ListNumber1Level2">
    <w:name w:val="List Number 1 (Level 2)"/>
    <w:basedOn w:val="Text1"/>
    <w:uiPriority w:val="1"/>
    <w:rsid w:val="00440ED7"/>
    <w:pPr>
      <w:tabs>
        <w:tab w:val="num" w:pos="850"/>
      </w:tabs>
      <w:ind w:left="2268" w:hanging="708"/>
    </w:pPr>
    <w:rPr>
      <w:rFonts w:eastAsia="Times New Roman"/>
      <w:lang w:eastAsia="en-GB"/>
    </w:rPr>
  </w:style>
  <w:style w:type="paragraph" w:customStyle="1" w:styleId="ListNumber2Level2">
    <w:name w:val="List Number 2 (Level 2)"/>
    <w:basedOn w:val="Text2"/>
    <w:rsid w:val="00440ED7"/>
    <w:pPr>
      <w:numPr>
        <w:ilvl w:val="1"/>
        <w:numId w:val="10"/>
      </w:numPr>
      <w:tabs>
        <w:tab w:val="clear" w:pos="2268"/>
      </w:tabs>
      <w:ind w:left="0" w:firstLine="0"/>
    </w:pPr>
    <w:rPr>
      <w:rFonts w:eastAsia="Times New Roman"/>
      <w:lang w:eastAsia="en-GB"/>
    </w:rPr>
  </w:style>
  <w:style w:type="paragraph" w:customStyle="1" w:styleId="ListNumber3Level2">
    <w:name w:val="List Number 3 (Level 2)"/>
    <w:basedOn w:val="Text3"/>
    <w:rsid w:val="00440ED7"/>
    <w:pPr>
      <w:numPr>
        <w:ilvl w:val="1"/>
        <w:numId w:val="11"/>
      </w:numPr>
      <w:tabs>
        <w:tab w:val="clear" w:pos="2268"/>
      </w:tabs>
      <w:ind w:left="0" w:firstLine="0"/>
    </w:pPr>
    <w:rPr>
      <w:rFonts w:eastAsia="Times New Roman"/>
      <w:lang w:eastAsia="en-GB"/>
    </w:rPr>
  </w:style>
  <w:style w:type="paragraph" w:customStyle="1" w:styleId="ListNumber4Level2">
    <w:name w:val="List Number 4 (Level 2)"/>
    <w:basedOn w:val="Text4"/>
    <w:rsid w:val="00440ED7"/>
    <w:pPr>
      <w:numPr>
        <w:ilvl w:val="1"/>
        <w:numId w:val="12"/>
      </w:numPr>
      <w:tabs>
        <w:tab w:val="clear" w:pos="2268"/>
      </w:tabs>
      <w:ind w:left="0" w:firstLine="0"/>
    </w:pPr>
    <w:rPr>
      <w:rFonts w:eastAsia="Times New Roman"/>
      <w:lang w:eastAsia="en-GB"/>
    </w:rPr>
  </w:style>
  <w:style w:type="paragraph" w:customStyle="1" w:styleId="ListNumber1Level3">
    <w:name w:val="List Number 1 (Level 3)"/>
    <w:basedOn w:val="Text1"/>
    <w:uiPriority w:val="1"/>
    <w:rsid w:val="00440ED7"/>
    <w:pPr>
      <w:tabs>
        <w:tab w:val="num" w:pos="850"/>
      </w:tabs>
      <w:ind w:left="2977" w:hanging="709"/>
    </w:pPr>
    <w:rPr>
      <w:rFonts w:eastAsia="Times New Roman"/>
      <w:lang w:eastAsia="en-GB"/>
    </w:rPr>
  </w:style>
  <w:style w:type="paragraph" w:customStyle="1" w:styleId="ListNumber2Level3">
    <w:name w:val="List Number 2 (Level 3)"/>
    <w:basedOn w:val="Text2"/>
    <w:rsid w:val="00440ED7"/>
    <w:pPr>
      <w:numPr>
        <w:ilvl w:val="2"/>
        <w:numId w:val="10"/>
      </w:numPr>
      <w:tabs>
        <w:tab w:val="clear" w:pos="2977"/>
      </w:tabs>
      <w:ind w:left="0" w:firstLine="0"/>
    </w:pPr>
    <w:rPr>
      <w:rFonts w:eastAsia="Times New Roman"/>
      <w:lang w:eastAsia="en-GB"/>
    </w:rPr>
  </w:style>
  <w:style w:type="paragraph" w:customStyle="1" w:styleId="ListNumber3Level3">
    <w:name w:val="List Number 3 (Level 3)"/>
    <w:basedOn w:val="Text3"/>
    <w:rsid w:val="00440ED7"/>
    <w:pPr>
      <w:numPr>
        <w:ilvl w:val="2"/>
        <w:numId w:val="11"/>
      </w:numPr>
      <w:tabs>
        <w:tab w:val="clear" w:pos="2977"/>
      </w:tabs>
      <w:ind w:left="0" w:firstLine="0"/>
    </w:pPr>
    <w:rPr>
      <w:rFonts w:eastAsia="Times New Roman"/>
      <w:lang w:eastAsia="en-GB"/>
    </w:rPr>
  </w:style>
  <w:style w:type="paragraph" w:customStyle="1" w:styleId="ListNumber4Level3">
    <w:name w:val="List Number 4 (Level 3)"/>
    <w:basedOn w:val="Text4"/>
    <w:rsid w:val="00440ED7"/>
    <w:pPr>
      <w:numPr>
        <w:ilvl w:val="2"/>
        <w:numId w:val="12"/>
      </w:numPr>
      <w:tabs>
        <w:tab w:val="clear" w:pos="2977"/>
      </w:tabs>
      <w:ind w:left="0" w:firstLine="0"/>
    </w:pPr>
    <w:rPr>
      <w:rFonts w:eastAsia="Times New Roman"/>
      <w:lang w:eastAsia="en-GB"/>
    </w:rPr>
  </w:style>
  <w:style w:type="paragraph" w:customStyle="1" w:styleId="ListNumber1Level4">
    <w:name w:val="List Number 1 (Level 4)"/>
    <w:basedOn w:val="Text1"/>
    <w:uiPriority w:val="1"/>
    <w:rsid w:val="00440ED7"/>
    <w:pPr>
      <w:tabs>
        <w:tab w:val="num" w:pos="850"/>
      </w:tabs>
      <w:ind w:left="3686" w:hanging="709"/>
    </w:pPr>
    <w:rPr>
      <w:rFonts w:eastAsia="Times New Roman"/>
      <w:lang w:eastAsia="en-GB"/>
    </w:rPr>
  </w:style>
  <w:style w:type="paragraph" w:customStyle="1" w:styleId="ListNumber2Level4">
    <w:name w:val="List Number 2 (Level 4)"/>
    <w:basedOn w:val="Text2"/>
    <w:rsid w:val="00440ED7"/>
    <w:pPr>
      <w:numPr>
        <w:ilvl w:val="3"/>
        <w:numId w:val="10"/>
      </w:numPr>
      <w:tabs>
        <w:tab w:val="clear" w:pos="3686"/>
      </w:tabs>
      <w:ind w:left="0" w:firstLine="0"/>
    </w:pPr>
    <w:rPr>
      <w:rFonts w:eastAsia="Times New Roman"/>
      <w:lang w:eastAsia="en-GB"/>
    </w:rPr>
  </w:style>
  <w:style w:type="paragraph" w:customStyle="1" w:styleId="ListNumber3Level4">
    <w:name w:val="List Number 3 (Level 4)"/>
    <w:basedOn w:val="Text3"/>
    <w:rsid w:val="00440ED7"/>
    <w:pPr>
      <w:numPr>
        <w:ilvl w:val="3"/>
        <w:numId w:val="11"/>
      </w:numPr>
      <w:tabs>
        <w:tab w:val="clear" w:pos="3686"/>
      </w:tabs>
      <w:ind w:left="0" w:firstLine="0"/>
    </w:pPr>
    <w:rPr>
      <w:rFonts w:eastAsia="Times New Roman"/>
      <w:lang w:eastAsia="en-GB"/>
    </w:rPr>
  </w:style>
  <w:style w:type="paragraph" w:customStyle="1" w:styleId="ListNumber4Level4">
    <w:name w:val="List Number 4 (Level 4)"/>
    <w:basedOn w:val="Text4"/>
    <w:rsid w:val="00440ED7"/>
    <w:pPr>
      <w:numPr>
        <w:ilvl w:val="3"/>
        <w:numId w:val="12"/>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40ED7"/>
    <w:pPr>
      <w:jc w:val="center"/>
    </w:pPr>
    <w:rPr>
      <w:rFonts w:eastAsia="Times New Roman"/>
      <w:b/>
      <w:u w:val="single"/>
      <w:lang w:eastAsia="en-GB"/>
    </w:rPr>
  </w:style>
  <w:style w:type="paragraph" w:customStyle="1" w:styleId="Annexetitreexposglobal">
    <w:name w:val="Annexe titre (exposé global)"/>
    <w:basedOn w:val="Normal"/>
    <w:next w:val="Normal"/>
    <w:rsid w:val="00440ED7"/>
    <w:pPr>
      <w:jc w:val="center"/>
    </w:pPr>
    <w:rPr>
      <w:rFonts w:eastAsia="Times New Roman"/>
      <w:b/>
      <w:u w:val="single"/>
      <w:lang w:eastAsia="en-GB"/>
    </w:rPr>
  </w:style>
  <w:style w:type="paragraph" w:customStyle="1" w:styleId="Annexetitrefichefinacte">
    <w:name w:val="Annexe titre (fiche fin. acte)"/>
    <w:basedOn w:val="Normal"/>
    <w:next w:val="Normal"/>
    <w:rsid w:val="00440ED7"/>
    <w:pPr>
      <w:jc w:val="center"/>
    </w:pPr>
    <w:rPr>
      <w:rFonts w:eastAsia="Times New Roman"/>
      <w:b/>
      <w:u w:val="single"/>
      <w:lang w:eastAsia="en-GB"/>
    </w:rPr>
  </w:style>
  <w:style w:type="paragraph" w:customStyle="1" w:styleId="Annexetitrefichefinglobale">
    <w:name w:val="Annexe titre (fiche fin. globale)"/>
    <w:basedOn w:val="Normal"/>
    <w:next w:val="Normal"/>
    <w:rsid w:val="00440ED7"/>
    <w:pPr>
      <w:jc w:val="center"/>
    </w:pPr>
    <w:rPr>
      <w:rFonts w:eastAsia="Times New Roman"/>
      <w:b/>
      <w:u w:val="single"/>
      <w:lang w:eastAsia="en-GB"/>
    </w:rPr>
  </w:style>
  <w:style w:type="paragraph" w:customStyle="1" w:styleId="Annexetitreglobale">
    <w:name w:val="Annexe titre (globale)"/>
    <w:basedOn w:val="Normal"/>
    <w:next w:val="Normal"/>
    <w:rsid w:val="00440ED7"/>
    <w:pPr>
      <w:jc w:val="center"/>
    </w:pPr>
    <w:rPr>
      <w:rFonts w:eastAsia="Times New Roman"/>
      <w:b/>
      <w:u w:val="single"/>
      <w:lang w:eastAsia="en-GB"/>
    </w:rPr>
  </w:style>
  <w:style w:type="paragraph" w:customStyle="1" w:styleId="Exposdesmotifstitreglobal">
    <w:name w:val="Exposé des motifs titre (global)"/>
    <w:basedOn w:val="Normal"/>
    <w:next w:val="Normal"/>
    <w:rsid w:val="00440ED7"/>
    <w:pPr>
      <w:jc w:val="center"/>
    </w:pPr>
    <w:rPr>
      <w:rFonts w:eastAsia="Times New Roman"/>
      <w:b/>
      <w:u w:val="single"/>
      <w:lang w:eastAsia="en-GB"/>
    </w:rPr>
  </w:style>
  <w:style w:type="paragraph" w:customStyle="1" w:styleId="Langueoriginale">
    <w:name w:val="Langue originale"/>
    <w:basedOn w:val="Normal"/>
    <w:rsid w:val="00440ED7"/>
    <w:pPr>
      <w:spacing w:before="360"/>
      <w:jc w:val="center"/>
    </w:pPr>
    <w:rPr>
      <w:rFonts w:eastAsia="Times New Roman"/>
      <w:caps/>
      <w:lang w:eastAsia="en-GB"/>
    </w:rPr>
  </w:style>
  <w:style w:type="paragraph" w:customStyle="1" w:styleId="Phrasefinale">
    <w:name w:val="Phrase finale"/>
    <w:basedOn w:val="Normal"/>
    <w:next w:val="Normal"/>
    <w:rsid w:val="00440ED7"/>
    <w:pPr>
      <w:spacing w:before="360" w:after="0"/>
      <w:jc w:val="center"/>
    </w:pPr>
    <w:rPr>
      <w:rFonts w:eastAsia="Times New Roman"/>
      <w:lang w:eastAsia="en-GB"/>
    </w:rPr>
  </w:style>
  <w:style w:type="paragraph" w:customStyle="1" w:styleId="Prliminairetitre">
    <w:name w:val="Préliminaire titre"/>
    <w:basedOn w:val="Normal"/>
    <w:next w:val="Normal"/>
    <w:rsid w:val="00440ED7"/>
    <w:pPr>
      <w:spacing w:before="360" w:after="360"/>
      <w:jc w:val="center"/>
    </w:pPr>
    <w:rPr>
      <w:rFonts w:eastAsia="Times New Roman"/>
      <w:b/>
      <w:lang w:eastAsia="en-GB"/>
    </w:rPr>
  </w:style>
  <w:style w:type="paragraph" w:customStyle="1" w:styleId="Prliminairetype">
    <w:name w:val="Préliminaire type"/>
    <w:basedOn w:val="Normal"/>
    <w:next w:val="Normal"/>
    <w:rsid w:val="00440E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40E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40E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40ED7"/>
    <w:pPr>
      <w:spacing w:before="0" w:after="0"/>
      <w:ind w:left="5103"/>
      <w:jc w:val="left"/>
    </w:pPr>
    <w:rPr>
      <w:rFonts w:eastAsia="Times New Roman"/>
      <w:lang w:eastAsia="en-GB"/>
    </w:rPr>
  </w:style>
  <w:style w:type="paragraph" w:customStyle="1" w:styleId="Sous-titreobjetprliminaire">
    <w:name w:val="Sous-titre objet (préliminaire)"/>
    <w:basedOn w:val="Normal"/>
    <w:rsid w:val="00440ED7"/>
    <w:pPr>
      <w:spacing w:before="0" w:after="0"/>
      <w:jc w:val="center"/>
    </w:pPr>
    <w:rPr>
      <w:rFonts w:eastAsia="Times New Roman"/>
      <w:b/>
      <w:lang w:eastAsia="en-GB"/>
    </w:rPr>
  </w:style>
  <w:style w:type="paragraph" w:customStyle="1" w:styleId="Statutprliminaire">
    <w:name w:val="Statut (préliminaire)"/>
    <w:basedOn w:val="Normal"/>
    <w:next w:val="Normal"/>
    <w:rsid w:val="00440ED7"/>
    <w:pPr>
      <w:spacing w:before="360" w:after="0"/>
      <w:jc w:val="center"/>
    </w:pPr>
    <w:rPr>
      <w:rFonts w:eastAsia="Times New Roman"/>
      <w:lang w:eastAsia="en-GB"/>
    </w:rPr>
  </w:style>
  <w:style w:type="paragraph" w:customStyle="1" w:styleId="Titreobjetprliminaire">
    <w:name w:val="Titre objet (préliminaire)"/>
    <w:basedOn w:val="Normal"/>
    <w:next w:val="Normal"/>
    <w:rsid w:val="00440E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40E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40E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40ED7"/>
    <w:pPr>
      <w:jc w:val="center"/>
    </w:pPr>
    <w:rPr>
      <w:rFonts w:eastAsia="Times New Roman"/>
      <w:b/>
      <w:u w:val="single"/>
      <w:lang w:eastAsia="en-GB"/>
    </w:rPr>
  </w:style>
  <w:style w:type="paragraph" w:customStyle="1" w:styleId="Fichefinanciretravailtitre">
    <w:name w:val="Fiche financière (travail) titre"/>
    <w:basedOn w:val="Normal"/>
    <w:next w:val="Normal"/>
    <w:rsid w:val="00440E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40E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40E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40ED7"/>
    <w:pPr>
      <w:jc w:val="center"/>
    </w:pPr>
    <w:rPr>
      <w:rFonts w:eastAsia="Times New Roman"/>
      <w:b/>
      <w:u w:val="single"/>
      <w:lang w:eastAsia="en-GB"/>
    </w:rPr>
  </w:style>
  <w:style w:type="character" w:styleId="CommentReference">
    <w:name w:val="annotation reference"/>
    <w:uiPriority w:val="99"/>
    <w:rsid w:val="00440ED7"/>
    <w:rPr>
      <w:rFonts w:cs="Times New Roman"/>
      <w:sz w:val="16"/>
      <w:szCs w:val="16"/>
    </w:rPr>
  </w:style>
  <w:style w:type="paragraph" w:styleId="CommentText">
    <w:name w:val="annotation text"/>
    <w:basedOn w:val="Normal"/>
    <w:link w:val="CommentTextChar"/>
    <w:uiPriority w:val="99"/>
    <w:rsid w:val="00440ED7"/>
    <w:rPr>
      <w:rFonts w:eastAsia="Times New Roman"/>
      <w:sz w:val="20"/>
      <w:szCs w:val="20"/>
      <w:lang w:eastAsia="en-GB"/>
    </w:rPr>
  </w:style>
  <w:style w:type="character" w:customStyle="1" w:styleId="CommentTextChar">
    <w:name w:val="Comment Text Char"/>
    <w:basedOn w:val="DefaultParagraphFont"/>
    <w:link w:val="CommentText"/>
    <w:uiPriority w:val="99"/>
    <w:rsid w:val="00440E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440ED7"/>
    <w:rPr>
      <w:b/>
      <w:bCs/>
    </w:rPr>
  </w:style>
  <w:style w:type="character" w:customStyle="1" w:styleId="CommentSubjectChar">
    <w:name w:val="Comment Subject Char"/>
    <w:basedOn w:val="CommentTextChar"/>
    <w:link w:val="CommentSubject"/>
    <w:uiPriority w:val="99"/>
    <w:rsid w:val="00440E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40ED7"/>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40ED7"/>
    <w:rPr>
      <w:rFonts w:ascii="Tahoma" w:eastAsia="Times New Roman" w:hAnsi="Tahoma" w:cs="Tahoma"/>
      <w:sz w:val="16"/>
      <w:szCs w:val="16"/>
      <w:lang w:val="fr-FR" w:eastAsia="en-GB"/>
    </w:rPr>
  </w:style>
  <w:style w:type="paragraph" w:styleId="Caption">
    <w:name w:val="caption"/>
    <w:basedOn w:val="Normal"/>
    <w:next w:val="Normal"/>
    <w:qFormat/>
    <w:rsid w:val="00440ED7"/>
    <w:rPr>
      <w:rFonts w:eastAsia="Times New Roman"/>
      <w:b/>
      <w:bCs/>
      <w:sz w:val="20"/>
      <w:szCs w:val="20"/>
      <w:lang w:eastAsia="en-GB"/>
    </w:rPr>
  </w:style>
  <w:style w:type="paragraph" w:styleId="TableofFigures">
    <w:name w:val="table of figures"/>
    <w:basedOn w:val="Normal"/>
    <w:next w:val="Normal"/>
    <w:rsid w:val="00440ED7"/>
    <w:rPr>
      <w:rFonts w:eastAsia="Times New Roman"/>
      <w:lang w:eastAsia="en-GB"/>
    </w:rPr>
  </w:style>
  <w:style w:type="character" w:styleId="PageNumber">
    <w:name w:val="page number"/>
    <w:rsid w:val="00440ED7"/>
  </w:style>
  <w:style w:type="character" w:customStyle="1" w:styleId="tw4winMark">
    <w:name w:val="tw4winMark"/>
    <w:rsid w:val="00440ED7"/>
    <w:rPr>
      <w:vanish/>
      <w:color w:val="800080"/>
      <w:vertAlign w:val="subscript"/>
    </w:rPr>
  </w:style>
  <w:style w:type="character" w:styleId="FollowedHyperlink">
    <w:name w:val="FollowedHyperlink"/>
    <w:uiPriority w:val="99"/>
    <w:rsid w:val="00440ED7"/>
    <w:rPr>
      <w:color w:val="800080"/>
      <w:u w:val="single"/>
    </w:rPr>
  </w:style>
  <w:style w:type="paragraph" w:customStyle="1" w:styleId="Sous-titreobjet">
    <w:name w:val="Sous-titre objet"/>
    <w:basedOn w:val="Normal"/>
    <w:rsid w:val="00440E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40ED7"/>
  </w:style>
  <w:style w:type="paragraph" w:styleId="Revision">
    <w:name w:val="Revision"/>
    <w:hidden/>
    <w:uiPriority w:val="99"/>
    <w:semiHidden/>
    <w:rsid w:val="00440ED7"/>
    <w:rPr>
      <w:rFonts w:ascii="Calibri" w:eastAsia="Calibri" w:hAnsi="Calibri" w:cs="Times New Roman"/>
      <w:sz w:val="24"/>
      <w:lang w:eastAsia="en-GB"/>
    </w:rPr>
  </w:style>
  <w:style w:type="paragraph" w:customStyle="1" w:styleId="FooterCoverPage">
    <w:name w:val="Footer Cover Page"/>
    <w:basedOn w:val="Normal"/>
    <w:link w:val="FooterCoverPageChar"/>
    <w:rsid w:val="00440E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40ED7"/>
    <w:rPr>
      <w:rFonts w:ascii="Times New Roman" w:hAnsi="Times New Roman" w:cs="Times New Roman"/>
      <w:b/>
      <w:sz w:val="28"/>
      <w:lang w:val="fr-FR"/>
    </w:rPr>
  </w:style>
  <w:style w:type="character" w:customStyle="1" w:styleId="FooterCoverPageChar">
    <w:name w:val="Footer Cover Page Char"/>
    <w:link w:val="FooterCoverPage"/>
    <w:rsid w:val="00440E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440E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40ED7"/>
    <w:rPr>
      <w:rFonts w:ascii="Times New Roman" w:eastAsia="Calibri" w:hAnsi="Times New Roman" w:cs="Times New Roman"/>
      <w:sz w:val="24"/>
      <w:lang w:val="fr-FR" w:eastAsia="en-GB"/>
    </w:rPr>
  </w:style>
  <w:style w:type="character" w:customStyle="1" w:styleId="FooterSensitivityChar">
    <w:name w:val="Footer Sensitivity Char"/>
    <w:rsid w:val="00440ED7"/>
    <w:rPr>
      <w:rFonts w:ascii="Times New Roman" w:hAnsi="Times New Roman" w:cs="Times New Roman"/>
      <w:b/>
      <w:sz w:val="32"/>
      <w:lang w:val="fr-FR"/>
    </w:rPr>
  </w:style>
  <w:style w:type="character" w:customStyle="1" w:styleId="HeaderSensitivityChar">
    <w:name w:val="Header Sensitivity Char"/>
    <w:rsid w:val="00440ED7"/>
    <w:rPr>
      <w:rFonts w:ascii="Times New Roman" w:hAnsi="Times New Roman" w:cs="Times New Roman"/>
      <w:b/>
      <w:sz w:val="32"/>
      <w:lang w:val="fr-FR"/>
    </w:rPr>
  </w:style>
  <w:style w:type="character" w:customStyle="1" w:styleId="HeaderSensitivityRightChar">
    <w:name w:val="Header Sensitivity Right Char"/>
    <w:rsid w:val="00440ED7"/>
    <w:rPr>
      <w:rFonts w:ascii="Times New Roman" w:hAnsi="Times New Roman" w:cs="Times New Roman"/>
      <w:sz w:val="28"/>
      <w:lang w:val="fr-FR"/>
    </w:rPr>
  </w:style>
  <w:style w:type="paragraph" w:customStyle="1" w:styleId="LegalNumPar">
    <w:name w:val="LegalNumPar"/>
    <w:basedOn w:val="Normal"/>
    <w:rsid w:val="00440ED7"/>
    <w:pPr>
      <w:numPr>
        <w:numId w:val="13"/>
      </w:numPr>
      <w:spacing w:line="360" w:lineRule="auto"/>
      <w:ind w:left="0" w:firstLine="0"/>
    </w:pPr>
    <w:rPr>
      <w:rFonts w:eastAsia="Times New Roman"/>
      <w:lang w:eastAsia="en-GB"/>
    </w:rPr>
  </w:style>
  <w:style w:type="paragraph" w:customStyle="1" w:styleId="LegalNumPar2">
    <w:name w:val="LegalNumPar2"/>
    <w:basedOn w:val="Normal"/>
    <w:rsid w:val="00440ED7"/>
    <w:pPr>
      <w:numPr>
        <w:ilvl w:val="1"/>
        <w:numId w:val="13"/>
      </w:numPr>
      <w:spacing w:line="360" w:lineRule="auto"/>
      <w:ind w:left="0" w:firstLine="0"/>
    </w:pPr>
    <w:rPr>
      <w:rFonts w:eastAsia="Times New Roman"/>
      <w:lang w:eastAsia="en-GB"/>
    </w:rPr>
  </w:style>
  <w:style w:type="paragraph" w:customStyle="1" w:styleId="LegalNumPar3">
    <w:name w:val="LegalNumPar3"/>
    <w:basedOn w:val="Normal"/>
    <w:rsid w:val="00440ED7"/>
    <w:pPr>
      <w:numPr>
        <w:ilvl w:val="2"/>
        <w:numId w:val="13"/>
      </w:numPr>
      <w:spacing w:line="360" w:lineRule="auto"/>
      <w:ind w:left="0" w:firstLine="0"/>
    </w:pPr>
    <w:rPr>
      <w:rFonts w:eastAsia="Times New Roman"/>
      <w:lang w:eastAsia="en-GB"/>
    </w:rPr>
  </w:style>
  <w:style w:type="paragraph" w:styleId="ListParagraph">
    <w:name w:val="List Paragraph"/>
    <w:aliases w:val="EC,Paragraphe de liste11,Paragraphe de liste1,Puce,Colorful List Accent 1,List Paragraph (numbered (a)),List_Paragraph,Multilevel para_II,List Paragraph1,Rec para,Dot pt,F5 List Paragraph,No Spacing1,List Paragraph Char Char Char,L,3"/>
    <w:basedOn w:val="Normal"/>
    <w:link w:val="ListParagraphChar"/>
    <w:uiPriority w:val="34"/>
    <w:qFormat/>
    <w:rsid w:val="00440ED7"/>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440ED7"/>
    <w:rPr>
      <w:color w:val="605E5C"/>
      <w:shd w:val="clear" w:color="auto" w:fill="E1DFDD"/>
    </w:rPr>
  </w:style>
  <w:style w:type="character" w:styleId="Strong">
    <w:name w:val="Strong"/>
    <w:basedOn w:val="DefaultParagraphFont"/>
    <w:uiPriority w:val="22"/>
    <w:qFormat/>
    <w:rsid w:val="00440ED7"/>
    <w:rPr>
      <w:b/>
      <w:bCs/>
    </w:rPr>
  </w:style>
  <w:style w:type="character" w:styleId="Emphasis">
    <w:name w:val="Emphasis"/>
    <w:basedOn w:val="DefaultParagraphFont"/>
    <w:uiPriority w:val="20"/>
    <w:qFormat/>
    <w:rsid w:val="00440ED7"/>
    <w:rPr>
      <w:i/>
      <w:iCs/>
    </w:rPr>
  </w:style>
  <w:style w:type="character" w:customStyle="1" w:styleId="Mention1">
    <w:name w:val="Mention1"/>
    <w:basedOn w:val="DefaultParagraphFont"/>
    <w:uiPriority w:val="99"/>
    <w:unhideWhenUsed/>
    <w:rsid w:val="00440ED7"/>
    <w:rPr>
      <w:color w:val="2B579A"/>
      <w:shd w:val="clear" w:color="auto" w:fill="E1DFDD"/>
    </w:rPr>
  </w:style>
  <w:style w:type="character" w:customStyle="1" w:styleId="normaltextrun">
    <w:name w:val="normaltextrun"/>
    <w:basedOn w:val="DefaultParagraphFont"/>
    <w:rsid w:val="00440ED7"/>
  </w:style>
  <w:style w:type="character" w:customStyle="1" w:styleId="eop">
    <w:name w:val="eop"/>
    <w:basedOn w:val="DefaultParagraphFont"/>
    <w:rsid w:val="00440ED7"/>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FE7970"/>
    <w:pPr>
      <w:spacing w:before="0" w:after="160" w:line="240" w:lineRule="exact"/>
    </w:pPr>
    <w:rPr>
      <w:rFonts w:asciiTheme="minorHAnsi" w:hAnsiTheme="minorHAnsi" w:cstheme="minorBidi"/>
      <w:sz w:val="22"/>
      <w:vertAlign w:val="superscript"/>
    </w:rPr>
  </w:style>
  <w:style w:type="paragraph" w:customStyle="1" w:styleId="Norml">
    <w:name w:val="Norml"/>
    <w:basedOn w:val="Text1"/>
    <w:rsid w:val="00F201FB"/>
  </w:style>
  <w:style w:type="character" w:customStyle="1" w:styleId="Heading8Char">
    <w:name w:val="Heading 8 Char"/>
    <w:basedOn w:val="DefaultParagraphFont"/>
    <w:link w:val="Heading8"/>
    <w:uiPriority w:val="9"/>
    <w:semiHidden/>
    <w:rsid w:val="00CA7C31"/>
    <w:rPr>
      <w:rFonts w:eastAsiaTheme="majorEastAsia" w:cstheme="majorBidi"/>
      <w:i/>
      <w:iCs/>
      <w:color w:val="272727" w:themeColor="text1" w:themeTint="D8"/>
      <w:kern w:val="2"/>
      <w:sz w:val="24"/>
      <w:szCs w:val="24"/>
      <w:lang w:val="fr-FR"/>
      <w14:ligatures w14:val="standardContextual"/>
    </w:rPr>
  </w:style>
  <w:style w:type="character" w:customStyle="1" w:styleId="Heading9Char">
    <w:name w:val="Heading 9 Char"/>
    <w:basedOn w:val="DefaultParagraphFont"/>
    <w:link w:val="Heading9"/>
    <w:uiPriority w:val="9"/>
    <w:semiHidden/>
    <w:rsid w:val="00CA7C31"/>
    <w:rPr>
      <w:rFonts w:eastAsiaTheme="majorEastAsia" w:cstheme="majorBidi"/>
      <w:color w:val="272727" w:themeColor="text1" w:themeTint="D8"/>
      <w:kern w:val="2"/>
      <w:sz w:val="24"/>
      <w:szCs w:val="24"/>
      <w:lang w:val="fr-FR"/>
      <w14:ligatures w14:val="standardContextual"/>
    </w:rPr>
  </w:style>
  <w:style w:type="character" w:customStyle="1" w:styleId="ListParagraphChar">
    <w:name w:val="List Paragraph Char"/>
    <w:aliases w:val="EC Char,Paragraphe de liste11 Char,Paragraphe de liste1 Char,Puce Char,Colorful List Accent 1 Char,List Paragraph (numbered (a)) Char,List_Paragraph Char,Multilevel para_II Char,List Paragraph1 Char,Rec para Char,Dot pt Char,L Char"/>
    <w:link w:val="ListParagraph"/>
    <w:uiPriority w:val="34"/>
    <w:qFormat/>
    <w:locked/>
    <w:rsid w:val="00CA7C31"/>
    <w:rPr>
      <w:rFonts w:ascii="Times New Roman" w:eastAsia="Times New Roman" w:hAnsi="Times New Roman" w:cs="Times New Roman"/>
      <w:sz w:val="24"/>
      <w:lang w:val="fr-FR" w:eastAsia="en-GB"/>
    </w:rPr>
  </w:style>
  <w:style w:type="paragraph" w:customStyle="1" w:styleId="NumPar0">
    <w:name w:val="NumPar 0"/>
    <w:basedOn w:val="NumPar1"/>
    <w:rsid w:val="00CA7C31"/>
    <w:pPr>
      <w:numPr>
        <w:numId w:val="0"/>
      </w:numPr>
    </w:pPr>
  </w:style>
  <w:style w:type="paragraph" w:customStyle="1" w:styleId="Nu">
    <w:name w:val="Nu"/>
    <w:basedOn w:val="Normal"/>
    <w:rsid w:val="00CA7C31"/>
  </w:style>
  <w:style w:type="paragraph" w:styleId="NormalWeb">
    <w:name w:val="Normal (Web)"/>
    <w:basedOn w:val="Normal"/>
    <w:uiPriority w:val="99"/>
    <w:unhideWhenUsed/>
    <w:rsid w:val="00CA7C31"/>
    <w:pPr>
      <w:spacing w:before="100" w:beforeAutospacing="1" w:after="100" w:afterAutospacing="1"/>
      <w:jc w:val="left"/>
    </w:pPr>
    <w:rPr>
      <w:rFonts w:eastAsia="Times New Roman"/>
      <w:szCs w:val="24"/>
      <w:lang w:eastAsia="en-IE"/>
    </w:rPr>
  </w:style>
  <w:style w:type="paragraph" w:styleId="Title">
    <w:name w:val="Title"/>
    <w:basedOn w:val="Normal"/>
    <w:next w:val="Normal"/>
    <w:link w:val="TitleChar"/>
    <w:uiPriority w:val="10"/>
    <w:qFormat/>
    <w:rsid w:val="00CA7C31"/>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A7C31"/>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CA7C31"/>
    <w:pPr>
      <w:numPr>
        <w:ilvl w:val="1"/>
      </w:numPr>
      <w:spacing w:before="0"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A7C31"/>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CA7C31"/>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CA7C31"/>
    <w:rPr>
      <w:i/>
      <w:iCs/>
      <w:color w:val="404040" w:themeColor="text1" w:themeTint="BF"/>
      <w:kern w:val="2"/>
      <w:sz w:val="24"/>
      <w:szCs w:val="24"/>
      <w:lang w:val="fr-FR"/>
      <w14:ligatures w14:val="standardContextual"/>
    </w:rPr>
  </w:style>
  <w:style w:type="character" w:styleId="IntenseEmphasis">
    <w:name w:val="Intense Emphasis"/>
    <w:basedOn w:val="DefaultParagraphFont"/>
    <w:uiPriority w:val="21"/>
    <w:qFormat/>
    <w:rsid w:val="00CA7C31"/>
    <w:rPr>
      <w:i/>
      <w:iCs/>
      <w:color w:val="365F91" w:themeColor="accent1" w:themeShade="BF"/>
    </w:rPr>
  </w:style>
  <w:style w:type="paragraph" w:styleId="IntenseQuote">
    <w:name w:val="Intense Quote"/>
    <w:basedOn w:val="Normal"/>
    <w:next w:val="Normal"/>
    <w:link w:val="IntenseQuoteChar"/>
    <w:uiPriority w:val="30"/>
    <w:qFormat/>
    <w:rsid w:val="00CA7C3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CA7C31"/>
    <w:rPr>
      <w:i/>
      <w:iCs/>
      <w:color w:val="365F91" w:themeColor="accent1" w:themeShade="BF"/>
      <w:kern w:val="2"/>
      <w:sz w:val="24"/>
      <w:szCs w:val="24"/>
      <w:lang w:val="fr-FR"/>
      <w14:ligatures w14:val="standardContextual"/>
    </w:rPr>
  </w:style>
  <w:style w:type="character" w:styleId="IntenseReference">
    <w:name w:val="Intense Reference"/>
    <w:basedOn w:val="DefaultParagraphFont"/>
    <w:uiPriority w:val="32"/>
    <w:qFormat/>
    <w:rsid w:val="00CA7C31"/>
    <w:rPr>
      <w:b/>
      <w:bCs/>
      <w:smallCaps/>
      <w:color w:val="365F91" w:themeColor="accent1" w:themeShade="BF"/>
      <w:spacing w:val="5"/>
    </w:rPr>
  </w:style>
  <w:style w:type="paragraph" w:customStyle="1" w:styleId="oj-normal">
    <w:name w:val="oj-normal"/>
    <w:basedOn w:val="Normal"/>
    <w:rsid w:val="00CA7C31"/>
    <w:pPr>
      <w:spacing w:before="100" w:beforeAutospacing="1" w:after="100" w:afterAutospacing="1"/>
      <w:jc w:val="left"/>
    </w:pPr>
    <w:rPr>
      <w:rFonts w:eastAsia="Times New Roman"/>
      <w:szCs w:val="24"/>
      <w:lang w:eastAsia="en-IE"/>
    </w:rPr>
  </w:style>
  <w:style w:type="paragraph" w:customStyle="1" w:styleId="pf0">
    <w:name w:val="pf0"/>
    <w:basedOn w:val="Normal"/>
    <w:rsid w:val="00CA7C31"/>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CA7C31"/>
    <w:rPr>
      <w:rFonts w:ascii="Segoe UI" w:hAnsi="Segoe UI" w:cs="Segoe UI" w:hint="default"/>
      <w:sz w:val="18"/>
      <w:szCs w:val="18"/>
    </w:rPr>
  </w:style>
  <w:style w:type="paragraph" w:customStyle="1" w:styleId="title-bold">
    <w:name w:val="title-bold"/>
    <w:basedOn w:val="Normal"/>
    <w:rsid w:val="00CA7C31"/>
    <w:pPr>
      <w:spacing w:before="100" w:beforeAutospacing="1" w:after="100" w:afterAutospacing="1"/>
      <w:jc w:val="left"/>
    </w:pPr>
    <w:rPr>
      <w:rFonts w:eastAsia="Times New Roman"/>
      <w:szCs w:val="24"/>
      <w:lang w:eastAsia="en-IE"/>
    </w:rPr>
  </w:style>
  <w:style w:type="paragraph" w:customStyle="1" w:styleId="Titrrearticle">
    <w:name w:val="Titrre article"/>
    <w:basedOn w:val="Normal"/>
    <w:rsid w:val="00CA7C31"/>
  </w:style>
  <w:style w:type="paragraph" w:customStyle="1" w:styleId="Article">
    <w:name w:val="Article"/>
    <w:basedOn w:val="Normal"/>
    <w:link w:val="ArticleChar"/>
    <w:qFormat/>
    <w:rsid w:val="00CA7C31"/>
    <w:pPr>
      <w:numPr>
        <w:numId w:val="15"/>
      </w:numPr>
      <w:spacing w:before="240" w:after="0"/>
      <w:ind w:left="0" w:firstLine="0"/>
      <w:jc w:val="center"/>
    </w:pPr>
    <w:rPr>
      <w:rFonts w:ascii="Times" w:hAnsi="Times" w:cs="Times"/>
      <w:i/>
    </w:rPr>
  </w:style>
  <w:style w:type="character" w:customStyle="1" w:styleId="ArticleChar">
    <w:name w:val="Article Char"/>
    <w:basedOn w:val="DefaultParagraphFont"/>
    <w:link w:val="Article"/>
    <w:rsid w:val="00CA7C31"/>
    <w:rPr>
      <w:rFonts w:ascii="Times" w:hAnsi="Times" w:cs="Times"/>
      <w:i/>
      <w:sz w:val="24"/>
      <w:lang w:val="fr-FR"/>
    </w:rPr>
  </w:style>
  <w:style w:type="paragraph" w:customStyle="1" w:styleId="NumPar">
    <w:name w:val="NumPar"/>
    <w:basedOn w:val="ManualNumPar1"/>
    <w:rsid w:val="00CA7C31"/>
    <w:pPr>
      <w:ind w:left="0" w:firstLine="0"/>
    </w:pPr>
  </w:style>
  <w:style w:type="numbering" w:customStyle="1" w:styleId="NoList1">
    <w:name w:val="No List1"/>
    <w:next w:val="NoList"/>
    <w:uiPriority w:val="99"/>
    <w:semiHidden/>
    <w:unhideWhenUsed/>
    <w:rsid w:val="00CA7C31"/>
  </w:style>
  <w:style w:type="paragraph" w:customStyle="1" w:styleId="paragraph">
    <w:name w:val="paragraph"/>
    <w:basedOn w:val="Normal"/>
    <w:rsid w:val="00CA7C31"/>
    <w:pPr>
      <w:spacing w:before="100" w:beforeAutospacing="1" w:after="100" w:afterAutospacing="1"/>
      <w:jc w:val="left"/>
    </w:pPr>
    <w:rPr>
      <w:rFonts w:eastAsia="Times New Roman"/>
      <w:szCs w:val="24"/>
      <w:lang w:eastAsia="en-IE"/>
    </w:rPr>
  </w:style>
  <w:style w:type="numbering" w:customStyle="1" w:styleId="CurrentList1">
    <w:name w:val="Current List1"/>
    <w:uiPriority w:val="99"/>
    <w:rsid w:val="00CA7C31"/>
  </w:style>
  <w:style w:type="paragraph" w:customStyle="1" w:styleId="Point">
    <w:name w:val="Point"/>
    <w:basedOn w:val="Bullet0"/>
    <w:rsid w:val="00CA7C31"/>
    <w:pPr>
      <w:numPr>
        <w:numId w:val="16"/>
      </w:numPr>
      <w:spacing w:before="0"/>
      <w:ind w:left="0" w:firstLine="0"/>
    </w:pPr>
  </w:style>
  <w:style w:type="paragraph" w:customStyle="1" w:styleId="Nurmpar1">
    <w:name w:val="Nurm par1"/>
    <w:basedOn w:val="Normal"/>
    <w:rsid w:val="00CA7C31"/>
    <w:pPr>
      <w:spacing w:before="0" w:after="0"/>
      <w:ind w:left="360"/>
      <w:contextualSpacing/>
    </w:pPr>
    <w:rPr>
      <w:rFonts w:ascii="Times" w:hAnsi="Times" w:cs="Times"/>
    </w:rPr>
  </w:style>
  <w:style w:type="paragraph" w:customStyle="1" w:styleId="NumPar20">
    <w:name w:val="Num Par 2"/>
    <w:basedOn w:val="NumPar2"/>
    <w:rsid w:val="00CA7C31"/>
    <w:pPr>
      <w:numPr>
        <w:ilvl w:val="0"/>
        <w:numId w:val="0"/>
      </w:numPr>
      <w:tabs>
        <w:tab w:val="num" w:pos="1492"/>
      </w:tabs>
      <w:ind w:left="1492" w:hanging="360"/>
    </w:pPr>
  </w:style>
  <w:style w:type="paragraph" w:styleId="NoSpacing">
    <w:name w:val="No Spacing"/>
    <w:uiPriority w:val="1"/>
    <w:qFormat/>
    <w:rsid w:val="00CA7C31"/>
    <w:pPr>
      <w:spacing w:after="0" w:line="240" w:lineRule="auto"/>
      <w:jc w:val="both"/>
    </w:pPr>
    <w:rPr>
      <w:rFonts w:ascii="Times New Roman" w:hAnsi="Times New Roman" w:cs="Times New Roman"/>
      <w:sz w:val="24"/>
    </w:rPr>
  </w:style>
  <w:style w:type="paragraph" w:customStyle="1" w:styleId="NumPar10">
    <w:name w:val="NumPar1"/>
    <w:basedOn w:val="Normal"/>
    <w:rsid w:val="00CA7C31"/>
  </w:style>
  <w:style w:type="paragraph" w:customStyle="1" w:styleId="NumPar11">
    <w:name w:val="Num Par 1"/>
    <w:basedOn w:val="Normal"/>
    <w:rsid w:val="00CA7C31"/>
  </w:style>
  <w:style w:type="paragraph" w:customStyle="1" w:styleId="NumPar00">
    <w:name w:val="Num Par 0"/>
    <w:basedOn w:val="Normal"/>
    <w:rsid w:val="002D7B2F"/>
  </w:style>
  <w:style w:type="paragraph" w:customStyle="1" w:styleId="NumPa">
    <w:name w:val="NumPa"/>
    <w:basedOn w:val="Normal"/>
    <w:rsid w:val="00185603"/>
  </w:style>
  <w:style w:type="paragraph" w:customStyle="1" w:styleId="Text0">
    <w:name w:val="Text 0"/>
    <w:basedOn w:val="Normal"/>
    <w:rsid w:val="00BE1F12"/>
  </w:style>
  <w:style w:type="paragraph" w:customStyle="1" w:styleId="Point0numer">
    <w:name w:val="Point 0 (numer)"/>
    <w:basedOn w:val="Point0number"/>
    <w:rsid w:val="00425E8E"/>
    <w:pPr>
      <w:numPr>
        <w:numId w:val="18"/>
      </w:numPr>
      <w:tabs>
        <w:tab w:val="num" w:pos="850"/>
      </w:tabs>
      <w:ind w:left="850" w:hanging="850"/>
    </w:pPr>
  </w:style>
  <w:style w:type="paragraph" w:customStyle="1" w:styleId="NumPara1">
    <w:name w:val="NumPara 1"/>
    <w:basedOn w:val="Normal"/>
    <w:rsid w:val="002E467C"/>
    <w:pPr>
      <w:numPr>
        <w:numId w:val="19"/>
      </w:numPr>
    </w:pPr>
  </w:style>
  <w:style w:type="paragraph" w:customStyle="1" w:styleId="Num">
    <w:name w:val="Num"/>
    <w:basedOn w:val="Point0letter"/>
    <w:rsid w:val="00230E22"/>
    <w:pPr>
      <w:numPr>
        <w:ilvl w:val="0"/>
        <w:numId w:val="0"/>
      </w:numPr>
      <w:ind w:left="850"/>
    </w:pPr>
  </w:style>
  <w:style w:type="paragraph" w:customStyle="1" w:styleId="RTitre">
    <w:name w:val="RTitre"/>
    <w:basedOn w:val="Normal"/>
    <w:rsid w:val="00066CDB"/>
  </w:style>
  <w:style w:type="paragraph" w:customStyle="1" w:styleId="Point4number">
    <w:name w:val="Point 4 (number)"/>
    <w:basedOn w:val="Point4letter"/>
    <w:rsid w:val="00463B19"/>
    <w:pPr>
      <w:numPr>
        <w:numId w:val="20"/>
      </w:numPr>
      <w:ind w:left="3118"/>
    </w:pPr>
  </w:style>
  <w:style w:type="paragraph" w:customStyle="1" w:styleId="NumPara10">
    <w:name w:val="Num Para 1"/>
    <w:basedOn w:val="ManualNumPar1"/>
    <w:rsid w:val="000D0C3E"/>
    <w:rPr>
      <w:noProof/>
    </w:rPr>
  </w:style>
  <w:style w:type="character" w:customStyle="1" w:styleId="UnresolvedMention">
    <w:name w:val="Unresolved Mention"/>
    <w:basedOn w:val="DefaultParagraphFont"/>
    <w:uiPriority w:val="99"/>
    <w:semiHidden/>
    <w:unhideWhenUsed/>
    <w:rsid w:val="00B07534"/>
    <w:rPr>
      <w:color w:val="605E5C"/>
      <w:shd w:val="clear" w:color="auto" w:fill="E1DFDD"/>
    </w:rPr>
  </w:style>
  <w:style w:type="character" w:customStyle="1" w:styleId="HeaderChar">
    <w:name w:val="Header Char"/>
    <w:basedOn w:val="DefaultParagraphFont"/>
    <w:link w:val="Header"/>
    <w:uiPriority w:val="99"/>
    <w:rsid w:val="0017255A"/>
    <w:rPr>
      <w:rFonts w:ascii="Times New Roman" w:hAnsi="Times New Roman" w:cs="Times New Roman"/>
      <w:sz w:val="24"/>
      <w:lang w:val="fr-FR"/>
    </w:rPr>
  </w:style>
  <w:style w:type="character" w:customStyle="1" w:styleId="FooterChar">
    <w:name w:val="Footer Char"/>
    <w:basedOn w:val="DefaultParagraphFont"/>
    <w:link w:val="Footer"/>
    <w:uiPriority w:val="99"/>
    <w:rsid w:val="0017255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SUPERS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17255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7255A"/>
    <w:pPr>
      <w:spacing w:before="0"/>
      <w:jc w:val="right"/>
    </w:pPr>
    <w:rPr>
      <w:sz w:val="28"/>
    </w:rPr>
  </w:style>
  <w:style w:type="paragraph" w:customStyle="1" w:styleId="FooterSensitivity">
    <w:name w:val="Footer Sensitivity"/>
    <w:basedOn w:val="Normal"/>
    <w:rsid w:val="0017255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tabs>
        <w:tab w:val="num" w:pos="1417"/>
      </w:tabs>
      <w:ind w:left="1417" w:hanging="567"/>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7255A"/>
    <w:pPr>
      <w:tabs>
        <w:tab w:val="center" w:pos="4535"/>
        <w:tab w:val="right" w:pos="9071"/>
      </w:tabs>
      <w:spacing w:before="0"/>
    </w:pPr>
  </w:style>
  <w:style w:type="paragraph" w:customStyle="1" w:styleId="HeaderLandscape">
    <w:name w:val="HeaderLandscape"/>
    <w:basedOn w:val="Normal"/>
    <w:rsid w:val="0017255A"/>
    <w:pPr>
      <w:tabs>
        <w:tab w:val="center" w:pos="7285"/>
        <w:tab w:val="right" w:pos="14003"/>
      </w:tabs>
      <w:spacing w:before="0"/>
    </w:pPr>
  </w:style>
  <w:style w:type="paragraph" w:styleId="Footer">
    <w:name w:val="footer"/>
    <w:basedOn w:val="Normal"/>
    <w:link w:val="FooterChar"/>
    <w:uiPriority w:val="99"/>
    <w:unhideWhenUsed/>
    <w:rsid w:val="0017255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7255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6098">
      <w:bodyDiv w:val="1"/>
      <w:marLeft w:val="0"/>
      <w:marRight w:val="0"/>
      <w:marTop w:val="0"/>
      <w:marBottom w:val="0"/>
      <w:divBdr>
        <w:top w:val="none" w:sz="0" w:space="0" w:color="auto"/>
        <w:left w:val="none" w:sz="0" w:space="0" w:color="auto"/>
        <w:bottom w:val="none" w:sz="0" w:space="0" w:color="auto"/>
        <w:right w:val="none" w:sz="0" w:space="0" w:color="auto"/>
      </w:divBdr>
    </w:div>
    <w:div w:id="88932680">
      <w:bodyDiv w:val="1"/>
      <w:marLeft w:val="0"/>
      <w:marRight w:val="0"/>
      <w:marTop w:val="0"/>
      <w:marBottom w:val="0"/>
      <w:divBdr>
        <w:top w:val="none" w:sz="0" w:space="0" w:color="auto"/>
        <w:left w:val="none" w:sz="0" w:space="0" w:color="auto"/>
        <w:bottom w:val="none" w:sz="0" w:space="0" w:color="auto"/>
        <w:right w:val="none" w:sz="0" w:space="0" w:color="auto"/>
      </w:divBdr>
    </w:div>
    <w:div w:id="147523364">
      <w:bodyDiv w:val="1"/>
      <w:marLeft w:val="0"/>
      <w:marRight w:val="0"/>
      <w:marTop w:val="0"/>
      <w:marBottom w:val="0"/>
      <w:divBdr>
        <w:top w:val="none" w:sz="0" w:space="0" w:color="auto"/>
        <w:left w:val="none" w:sz="0" w:space="0" w:color="auto"/>
        <w:bottom w:val="none" w:sz="0" w:space="0" w:color="auto"/>
        <w:right w:val="none" w:sz="0" w:space="0" w:color="auto"/>
      </w:divBdr>
    </w:div>
    <w:div w:id="165286107">
      <w:bodyDiv w:val="1"/>
      <w:marLeft w:val="0"/>
      <w:marRight w:val="0"/>
      <w:marTop w:val="0"/>
      <w:marBottom w:val="0"/>
      <w:divBdr>
        <w:top w:val="none" w:sz="0" w:space="0" w:color="auto"/>
        <w:left w:val="none" w:sz="0" w:space="0" w:color="auto"/>
        <w:bottom w:val="none" w:sz="0" w:space="0" w:color="auto"/>
        <w:right w:val="none" w:sz="0" w:space="0" w:color="auto"/>
      </w:divBdr>
    </w:div>
    <w:div w:id="186799027">
      <w:bodyDiv w:val="1"/>
      <w:marLeft w:val="0"/>
      <w:marRight w:val="0"/>
      <w:marTop w:val="0"/>
      <w:marBottom w:val="0"/>
      <w:divBdr>
        <w:top w:val="none" w:sz="0" w:space="0" w:color="auto"/>
        <w:left w:val="none" w:sz="0" w:space="0" w:color="auto"/>
        <w:bottom w:val="none" w:sz="0" w:space="0" w:color="auto"/>
        <w:right w:val="none" w:sz="0" w:space="0" w:color="auto"/>
      </w:divBdr>
      <w:divsChild>
        <w:div w:id="80034429">
          <w:marLeft w:val="0"/>
          <w:marRight w:val="0"/>
          <w:marTop w:val="0"/>
          <w:marBottom w:val="0"/>
          <w:divBdr>
            <w:top w:val="none" w:sz="0" w:space="0" w:color="auto"/>
            <w:left w:val="none" w:sz="0" w:space="0" w:color="auto"/>
            <w:bottom w:val="none" w:sz="0" w:space="0" w:color="auto"/>
            <w:right w:val="none" w:sz="0" w:space="0" w:color="auto"/>
          </w:divBdr>
          <w:divsChild>
            <w:div w:id="169707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597">
      <w:bodyDiv w:val="1"/>
      <w:marLeft w:val="0"/>
      <w:marRight w:val="0"/>
      <w:marTop w:val="0"/>
      <w:marBottom w:val="0"/>
      <w:divBdr>
        <w:top w:val="none" w:sz="0" w:space="0" w:color="auto"/>
        <w:left w:val="none" w:sz="0" w:space="0" w:color="auto"/>
        <w:bottom w:val="none" w:sz="0" w:space="0" w:color="auto"/>
        <w:right w:val="none" w:sz="0" w:space="0" w:color="auto"/>
      </w:divBdr>
    </w:div>
    <w:div w:id="273682927">
      <w:bodyDiv w:val="1"/>
      <w:marLeft w:val="0"/>
      <w:marRight w:val="0"/>
      <w:marTop w:val="0"/>
      <w:marBottom w:val="0"/>
      <w:divBdr>
        <w:top w:val="none" w:sz="0" w:space="0" w:color="auto"/>
        <w:left w:val="none" w:sz="0" w:space="0" w:color="auto"/>
        <w:bottom w:val="none" w:sz="0" w:space="0" w:color="auto"/>
        <w:right w:val="none" w:sz="0" w:space="0" w:color="auto"/>
      </w:divBdr>
    </w:div>
    <w:div w:id="289021511">
      <w:bodyDiv w:val="1"/>
      <w:marLeft w:val="0"/>
      <w:marRight w:val="0"/>
      <w:marTop w:val="0"/>
      <w:marBottom w:val="0"/>
      <w:divBdr>
        <w:top w:val="none" w:sz="0" w:space="0" w:color="auto"/>
        <w:left w:val="none" w:sz="0" w:space="0" w:color="auto"/>
        <w:bottom w:val="none" w:sz="0" w:space="0" w:color="auto"/>
        <w:right w:val="none" w:sz="0" w:space="0" w:color="auto"/>
      </w:divBdr>
    </w:div>
    <w:div w:id="290668911">
      <w:bodyDiv w:val="1"/>
      <w:marLeft w:val="0"/>
      <w:marRight w:val="0"/>
      <w:marTop w:val="0"/>
      <w:marBottom w:val="0"/>
      <w:divBdr>
        <w:top w:val="none" w:sz="0" w:space="0" w:color="auto"/>
        <w:left w:val="none" w:sz="0" w:space="0" w:color="auto"/>
        <w:bottom w:val="none" w:sz="0" w:space="0" w:color="auto"/>
        <w:right w:val="none" w:sz="0" w:space="0" w:color="auto"/>
      </w:divBdr>
    </w:div>
    <w:div w:id="318651196">
      <w:bodyDiv w:val="1"/>
      <w:marLeft w:val="0"/>
      <w:marRight w:val="0"/>
      <w:marTop w:val="0"/>
      <w:marBottom w:val="0"/>
      <w:divBdr>
        <w:top w:val="none" w:sz="0" w:space="0" w:color="auto"/>
        <w:left w:val="none" w:sz="0" w:space="0" w:color="auto"/>
        <w:bottom w:val="none" w:sz="0" w:space="0" w:color="auto"/>
        <w:right w:val="none" w:sz="0" w:space="0" w:color="auto"/>
      </w:divBdr>
    </w:div>
    <w:div w:id="471286543">
      <w:bodyDiv w:val="1"/>
      <w:marLeft w:val="0"/>
      <w:marRight w:val="0"/>
      <w:marTop w:val="0"/>
      <w:marBottom w:val="0"/>
      <w:divBdr>
        <w:top w:val="none" w:sz="0" w:space="0" w:color="auto"/>
        <w:left w:val="none" w:sz="0" w:space="0" w:color="auto"/>
        <w:bottom w:val="none" w:sz="0" w:space="0" w:color="auto"/>
        <w:right w:val="none" w:sz="0" w:space="0" w:color="auto"/>
      </w:divBdr>
    </w:div>
    <w:div w:id="476726544">
      <w:bodyDiv w:val="1"/>
      <w:marLeft w:val="0"/>
      <w:marRight w:val="0"/>
      <w:marTop w:val="0"/>
      <w:marBottom w:val="0"/>
      <w:divBdr>
        <w:top w:val="none" w:sz="0" w:space="0" w:color="auto"/>
        <w:left w:val="none" w:sz="0" w:space="0" w:color="auto"/>
        <w:bottom w:val="none" w:sz="0" w:space="0" w:color="auto"/>
        <w:right w:val="none" w:sz="0" w:space="0" w:color="auto"/>
      </w:divBdr>
      <w:divsChild>
        <w:div w:id="1262952509">
          <w:marLeft w:val="0"/>
          <w:marRight w:val="0"/>
          <w:marTop w:val="0"/>
          <w:marBottom w:val="0"/>
          <w:divBdr>
            <w:top w:val="none" w:sz="0" w:space="0" w:color="auto"/>
            <w:left w:val="none" w:sz="0" w:space="0" w:color="auto"/>
            <w:bottom w:val="none" w:sz="0" w:space="0" w:color="auto"/>
            <w:right w:val="none" w:sz="0" w:space="0" w:color="auto"/>
          </w:divBdr>
          <w:divsChild>
            <w:div w:id="81010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623616">
      <w:bodyDiv w:val="1"/>
      <w:marLeft w:val="0"/>
      <w:marRight w:val="0"/>
      <w:marTop w:val="0"/>
      <w:marBottom w:val="0"/>
      <w:divBdr>
        <w:top w:val="none" w:sz="0" w:space="0" w:color="auto"/>
        <w:left w:val="none" w:sz="0" w:space="0" w:color="auto"/>
        <w:bottom w:val="none" w:sz="0" w:space="0" w:color="auto"/>
        <w:right w:val="none" w:sz="0" w:space="0" w:color="auto"/>
      </w:divBdr>
    </w:div>
    <w:div w:id="497811940">
      <w:bodyDiv w:val="1"/>
      <w:marLeft w:val="0"/>
      <w:marRight w:val="0"/>
      <w:marTop w:val="0"/>
      <w:marBottom w:val="0"/>
      <w:divBdr>
        <w:top w:val="none" w:sz="0" w:space="0" w:color="auto"/>
        <w:left w:val="none" w:sz="0" w:space="0" w:color="auto"/>
        <w:bottom w:val="none" w:sz="0" w:space="0" w:color="auto"/>
        <w:right w:val="none" w:sz="0" w:space="0" w:color="auto"/>
      </w:divBdr>
    </w:div>
    <w:div w:id="525749218">
      <w:bodyDiv w:val="1"/>
      <w:marLeft w:val="0"/>
      <w:marRight w:val="0"/>
      <w:marTop w:val="0"/>
      <w:marBottom w:val="0"/>
      <w:divBdr>
        <w:top w:val="none" w:sz="0" w:space="0" w:color="auto"/>
        <w:left w:val="none" w:sz="0" w:space="0" w:color="auto"/>
        <w:bottom w:val="none" w:sz="0" w:space="0" w:color="auto"/>
        <w:right w:val="none" w:sz="0" w:space="0" w:color="auto"/>
      </w:divBdr>
      <w:divsChild>
        <w:div w:id="526522266">
          <w:marLeft w:val="0"/>
          <w:marRight w:val="0"/>
          <w:marTop w:val="0"/>
          <w:marBottom w:val="0"/>
          <w:divBdr>
            <w:top w:val="none" w:sz="0" w:space="0" w:color="auto"/>
            <w:left w:val="none" w:sz="0" w:space="0" w:color="auto"/>
            <w:bottom w:val="none" w:sz="0" w:space="0" w:color="auto"/>
            <w:right w:val="none" w:sz="0" w:space="0" w:color="auto"/>
          </w:divBdr>
          <w:divsChild>
            <w:div w:id="154169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7051">
      <w:bodyDiv w:val="1"/>
      <w:marLeft w:val="0"/>
      <w:marRight w:val="0"/>
      <w:marTop w:val="0"/>
      <w:marBottom w:val="0"/>
      <w:divBdr>
        <w:top w:val="none" w:sz="0" w:space="0" w:color="auto"/>
        <w:left w:val="none" w:sz="0" w:space="0" w:color="auto"/>
        <w:bottom w:val="none" w:sz="0" w:space="0" w:color="auto"/>
        <w:right w:val="none" w:sz="0" w:space="0" w:color="auto"/>
      </w:divBdr>
      <w:divsChild>
        <w:div w:id="1492915880">
          <w:marLeft w:val="0"/>
          <w:marRight w:val="0"/>
          <w:marTop w:val="0"/>
          <w:marBottom w:val="0"/>
          <w:divBdr>
            <w:top w:val="none" w:sz="0" w:space="0" w:color="auto"/>
            <w:left w:val="none" w:sz="0" w:space="0" w:color="auto"/>
            <w:bottom w:val="none" w:sz="0" w:space="0" w:color="auto"/>
            <w:right w:val="none" w:sz="0" w:space="0" w:color="auto"/>
          </w:divBdr>
          <w:divsChild>
            <w:div w:id="2065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072469">
      <w:bodyDiv w:val="1"/>
      <w:marLeft w:val="0"/>
      <w:marRight w:val="0"/>
      <w:marTop w:val="0"/>
      <w:marBottom w:val="0"/>
      <w:divBdr>
        <w:top w:val="none" w:sz="0" w:space="0" w:color="auto"/>
        <w:left w:val="none" w:sz="0" w:space="0" w:color="auto"/>
        <w:bottom w:val="none" w:sz="0" w:space="0" w:color="auto"/>
        <w:right w:val="none" w:sz="0" w:space="0" w:color="auto"/>
      </w:divBdr>
    </w:div>
    <w:div w:id="788474285">
      <w:bodyDiv w:val="1"/>
      <w:marLeft w:val="0"/>
      <w:marRight w:val="0"/>
      <w:marTop w:val="0"/>
      <w:marBottom w:val="0"/>
      <w:divBdr>
        <w:top w:val="none" w:sz="0" w:space="0" w:color="auto"/>
        <w:left w:val="none" w:sz="0" w:space="0" w:color="auto"/>
        <w:bottom w:val="none" w:sz="0" w:space="0" w:color="auto"/>
        <w:right w:val="none" w:sz="0" w:space="0" w:color="auto"/>
      </w:divBdr>
    </w:div>
    <w:div w:id="803893551">
      <w:bodyDiv w:val="1"/>
      <w:marLeft w:val="0"/>
      <w:marRight w:val="0"/>
      <w:marTop w:val="0"/>
      <w:marBottom w:val="0"/>
      <w:divBdr>
        <w:top w:val="none" w:sz="0" w:space="0" w:color="auto"/>
        <w:left w:val="none" w:sz="0" w:space="0" w:color="auto"/>
        <w:bottom w:val="none" w:sz="0" w:space="0" w:color="auto"/>
        <w:right w:val="none" w:sz="0" w:space="0" w:color="auto"/>
      </w:divBdr>
      <w:divsChild>
        <w:div w:id="1391611245">
          <w:marLeft w:val="0"/>
          <w:marRight w:val="0"/>
          <w:marTop w:val="0"/>
          <w:marBottom w:val="0"/>
          <w:divBdr>
            <w:top w:val="none" w:sz="0" w:space="0" w:color="auto"/>
            <w:left w:val="none" w:sz="0" w:space="0" w:color="auto"/>
            <w:bottom w:val="none" w:sz="0" w:space="0" w:color="auto"/>
            <w:right w:val="none" w:sz="0" w:space="0" w:color="auto"/>
          </w:divBdr>
          <w:divsChild>
            <w:div w:id="4996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950799">
      <w:bodyDiv w:val="1"/>
      <w:marLeft w:val="0"/>
      <w:marRight w:val="0"/>
      <w:marTop w:val="0"/>
      <w:marBottom w:val="0"/>
      <w:divBdr>
        <w:top w:val="none" w:sz="0" w:space="0" w:color="auto"/>
        <w:left w:val="none" w:sz="0" w:space="0" w:color="auto"/>
        <w:bottom w:val="none" w:sz="0" w:space="0" w:color="auto"/>
        <w:right w:val="none" w:sz="0" w:space="0" w:color="auto"/>
      </w:divBdr>
    </w:div>
    <w:div w:id="861161570">
      <w:bodyDiv w:val="1"/>
      <w:marLeft w:val="0"/>
      <w:marRight w:val="0"/>
      <w:marTop w:val="0"/>
      <w:marBottom w:val="0"/>
      <w:divBdr>
        <w:top w:val="none" w:sz="0" w:space="0" w:color="auto"/>
        <w:left w:val="none" w:sz="0" w:space="0" w:color="auto"/>
        <w:bottom w:val="none" w:sz="0" w:space="0" w:color="auto"/>
        <w:right w:val="none" w:sz="0" w:space="0" w:color="auto"/>
      </w:divBdr>
      <w:divsChild>
        <w:div w:id="1050615016">
          <w:marLeft w:val="0"/>
          <w:marRight w:val="0"/>
          <w:marTop w:val="0"/>
          <w:marBottom w:val="0"/>
          <w:divBdr>
            <w:top w:val="none" w:sz="0" w:space="0" w:color="auto"/>
            <w:left w:val="none" w:sz="0" w:space="0" w:color="auto"/>
            <w:bottom w:val="none" w:sz="0" w:space="0" w:color="auto"/>
            <w:right w:val="none" w:sz="0" w:space="0" w:color="auto"/>
          </w:divBdr>
          <w:divsChild>
            <w:div w:id="13466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064">
      <w:bodyDiv w:val="1"/>
      <w:marLeft w:val="0"/>
      <w:marRight w:val="0"/>
      <w:marTop w:val="0"/>
      <w:marBottom w:val="0"/>
      <w:divBdr>
        <w:top w:val="none" w:sz="0" w:space="0" w:color="auto"/>
        <w:left w:val="none" w:sz="0" w:space="0" w:color="auto"/>
        <w:bottom w:val="none" w:sz="0" w:space="0" w:color="auto"/>
        <w:right w:val="none" w:sz="0" w:space="0" w:color="auto"/>
      </w:divBdr>
    </w:div>
    <w:div w:id="921334901">
      <w:bodyDiv w:val="1"/>
      <w:marLeft w:val="0"/>
      <w:marRight w:val="0"/>
      <w:marTop w:val="0"/>
      <w:marBottom w:val="0"/>
      <w:divBdr>
        <w:top w:val="none" w:sz="0" w:space="0" w:color="auto"/>
        <w:left w:val="none" w:sz="0" w:space="0" w:color="auto"/>
        <w:bottom w:val="none" w:sz="0" w:space="0" w:color="auto"/>
        <w:right w:val="none" w:sz="0" w:space="0" w:color="auto"/>
      </w:divBdr>
    </w:div>
    <w:div w:id="1046295285">
      <w:bodyDiv w:val="1"/>
      <w:marLeft w:val="0"/>
      <w:marRight w:val="0"/>
      <w:marTop w:val="0"/>
      <w:marBottom w:val="0"/>
      <w:divBdr>
        <w:top w:val="none" w:sz="0" w:space="0" w:color="auto"/>
        <w:left w:val="none" w:sz="0" w:space="0" w:color="auto"/>
        <w:bottom w:val="none" w:sz="0" w:space="0" w:color="auto"/>
        <w:right w:val="none" w:sz="0" w:space="0" w:color="auto"/>
      </w:divBdr>
    </w:div>
    <w:div w:id="1063482237">
      <w:bodyDiv w:val="1"/>
      <w:marLeft w:val="0"/>
      <w:marRight w:val="0"/>
      <w:marTop w:val="0"/>
      <w:marBottom w:val="0"/>
      <w:divBdr>
        <w:top w:val="none" w:sz="0" w:space="0" w:color="auto"/>
        <w:left w:val="none" w:sz="0" w:space="0" w:color="auto"/>
        <w:bottom w:val="none" w:sz="0" w:space="0" w:color="auto"/>
        <w:right w:val="none" w:sz="0" w:space="0" w:color="auto"/>
      </w:divBdr>
    </w:div>
    <w:div w:id="1087923710">
      <w:bodyDiv w:val="1"/>
      <w:marLeft w:val="0"/>
      <w:marRight w:val="0"/>
      <w:marTop w:val="0"/>
      <w:marBottom w:val="0"/>
      <w:divBdr>
        <w:top w:val="none" w:sz="0" w:space="0" w:color="auto"/>
        <w:left w:val="none" w:sz="0" w:space="0" w:color="auto"/>
        <w:bottom w:val="none" w:sz="0" w:space="0" w:color="auto"/>
        <w:right w:val="none" w:sz="0" w:space="0" w:color="auto"/>
      </w:divBdr>
    </w:div>
    <w:div w:id="1110317445">
      <w:bodyDiv w:val="1"/>
      <w:marLeft w:val="0"/>
      <w:marRight w:val="0"/>
      <w:marTop w:val="0"/>
      <w:marBottom w:val="0"/>
      <w:divBdr>
        <w:top w:val="none" w:sz="0" w:space="0" w:color="auto"/>
        <w:left w:val="none" w:sz="0" w:space="0" w:color="auto"/>
        <w:bottom w:val="none" w:sz="0" w:space="0" w:color="auto"/>
        <w:right w:val="none" w:sz="0" w:space="0" w:color="auto"/>
      </w:divBdr>
    </w:div>
    <w:div w:id="1140002142">
      <w:bodyDiv w:val="1"/>
      <w:marLeft w:val="0"/>
      <w:marRight w:val="0"/>
      <w:marTop w:val="0"/>
      <w:marBottom w:val="0"/>
      <w:divBdr>
        <w:top w:val="none" w:sz="0" w:space="0" w:color="auto"/>
        <w:left w:val="none" w:sz="0" w:space="0" w:color="auto"/>
        <w:bottom w:val="none" w:sz="0" w:space="0" w:color="auto"/>
        <w:right w:val="none" w:sz="0" w:space="0" w:color="auto"/>
      </w:divBdr>
    </w:div>
    <w:div w:id="1151598672">
      <w:bodyDiv w:val="1"/>
      <w:marLeft w:val="0"/>
      <w:marRight w:val="0"/>
      <w:marTop w:val="0"/>
      <w:marBottom w:val="0"/>
      <w:divBdr>
        <w:top w:val="none" w:sz="0" w:space="0" w:color="auto"/>
        <w:left w:val="none" w:sz="0" w:space="0" w:color="auto"/>
        <w:bottom w:val="none" w:sz="0" w:space="0" w:color="auto"/>
        <w:right w:val="none" w:sz="0" w:space="0" w:color="auto"/>
      </w:divBdr>
    </w:div>
    <w:div w:id="1256087802">
      <w:bodyDiv w:val="1"/>
      <w:marLeft w:val="0"/>
      <w:marRight w:val="0"/>
      <w:marTop w:val="0"/>
      <w:marBottom w:val="0"/>
      <w:divBdr>
        <w:top w:val="none" w:sz="0" w:space="0" w:color="auto"/>
        <w:left w:val="none" w:sz="0" w:space="0" w:color="auto"/>
        <w:bottom w:val="none" w:sz="0" w:space="0" w:color="auto"/>
        <w:right w:val="none" w:sz="0" w:space="0" w:color="auto"/>
      </w:divBdr>
    </w:div>
    <w:div w:id="1257859029">
      <w:bodyDiv w:val="1"/>
      <w:marLeft w:val="0"/>
      <w:marRight w:val="0"/>
      <w:marTop w:val="0"/>
      <w:marBottom w:val="0"/>
      <w:divBdr>
        <w:top w:val="none" w:sz="0" w:space="0" w:color="auto"/>
        <w:left w:val="none" w:sz="0" w:space="0" w:color="auto"/>
        <w:bottom w:val="none" w:sz="0" w:space="0" w:color="auto"/>
        <w:right w:val="none" w:sz="0" w:space="0" w:color="auto"/>
      </w:divBdr>
    </w:div>
    <w:div w:id="1302878756">
      <w:bodyDiv w:val="1"/>
      <w:marLeft w:val="0"/>
      <w:marRight w:val="0"/>
      <w:marTop w:val="0"/>
      <w:marBottom w:val="0"/>
      <w:divBdr>
        <w:top w:val="none" w:sz="0" w:space="0" w:color="auto"/>
        <w:left w:val="none" w:sz="0" w:space="0" w:color="auto"/>
        <w:bottom w:val="none" w:sz="0" w:space="0" w:color="auto"/>
        <w:right w:val="none" w:sz="0" w:space="0" w:color="auto"/>
      </w:divBdr>
    </w:div>
    <w:div w:id="1424186086">
      <w:bodyDiv w:val="1"/>
      <w:marLeft w:val="0"/>
      <w:marRight w:val="0"/>
      <w:marTop w:val="0"/>
      <w:marBottom w:val="0"/>
      <w:divBdr>
        <w:top w:val="none" w:sz="0" w:space="0" w:color="auto"/>
        <w:left w:val="none" w:sz="0" w:space="0" w:color="auto"/>
        <w:bottom w:val="none" w:sz="0" w:space="0" w:color="auto"/>
        <w:right w:val="none" w:sz="0" w:space="0" w:color="auto"/>
      </w:divBdr>
    </w:div>
    <w:div w:id="1437947740">
      <w:bodyDiv w:val="1"/>
      <w:marLeft w:val="0"/>
      <w:marRight w:val="0"/>
      <w:marTop w:val="0"/>
      <w:marBottom w:val="0"/>
      <w:divBdr>
        <w:top w:val="none" w:sz="0" w:space="0" w:color="auto"/>
        <w:left w:val="none" w:sz="0" w:space="0" w:color="auto"/>
        <w:bottom w:val="none" w:sz="0" w:space="0" w:color="auto"/>
        <w:right w:val="none" w:sz="0" w:space="0" w:color="auto"/>
      </w:divBdr>
    </w:div>
    <w:div w:id="1475024811">
      <w:bodyDiv w:val="1"/>
      <w:marLeft w:val="0"/>
      <w:marRight w:val="0"/>
      <w:marTop w:val="0"/>
      <w:marBottom w:val="0"/>
      <w:divBdr>
        <w:top w:val="none" w:sz="0" w:space="0" w:color="auto"/>
        <w:left w:val="none" w:sz="0" w:space="0" w:color="auto"/>
        <w:bottom w:val="none" w:sz="0" w:space="0" w:color="auto"/>
        <w:right w:val="none" w:sz="0" w:space="0" w:color="auto"/>
      </w:divBdr>
    </w:div>
    <w:div w:id="1475371559">
      <w:bodyDiv w:val="1"/>
      <w:marLeft w:val="0"/>
      <w:marRight w:val="0"/>
      <w:marTop w:val="0"/>
      <w:marBottom w:val="0"/>
      <w:divBdr>
        <w:top w:val="none" w:sz="0" w:space="0" w:color="auto"/>
        <w:left w:val="none" w:sz="0" w:space="0" w:color="auto"/>
        <w:bottom w:val="none" w:sz="0" w:space="0" w:color="auto"/>
        <w:right w:val="none" w:sz="0" w:space="0" w:color="auto"/>
      </w:divBdr>
    </w:div>
    <w:div w:id="1572737147">
      <w:bodyDiv w:val="1"/>
      <w:marLeft w:val="0"/>
      <w:marRight w:val="0"/>
      <w:marTop w:val="0"/>
      <w:marBottom w:val="0"/>
      <w:divBdr>
        <w:top w:val="none" w:sz="0" w:space="0" w:color="auto"/>
        <w:left w:val="none" w:sz="0" w:space="0" w:color="auto"/>
        <w:bottom w:val="none" w:sz="0" w:space="0" w:color="auto"/>
        <w:right w:val="none" w:sz="0" w:space="0" w:color="auto"/>
      </w:divBdr>
    </w:div>
    <w:div w:id="1589461057">
      <w:bodyDiv w:val="1"/>
      <w:marLeft w:val="0"/>
      <w:marRight w:val="0"/>
      <w:marTop w:val="0"/>
      <w:marBottom w:val="0"/>
      <w:divBdr>
        <w:top w:val="none" w:sz="0" w:space="0" w:color="auto"/>
        <w:left w:val="none" w:sz="0" w:space="0" w:color="auto"/>
        <w:bottom w:val="none" w:sz="0" w:space="0" w:color="auto"/>
        <w:right w:val="none" w:sz="0" w:space="0" w:color="auto"/>
      </w:divBdr>
    </w:div>
    <w:div w:id="1605966229">
      <w:bodyDiv w:val="1"/>
      <w:marLeft w:val="0"/>
      <w:marRight w:val="0"/>
      <w:marTop w:val="0"/>
      <w:marBottom w:val="0"/>
      <w:divBdr>
        <w:top w:val="none" w:sz="0" w:space="0" w:color="auto"/>
        <w:left w:val="none" w:sz="0" w:space="0" w:color="auto"/>
        <w:bottom w:val="none" w:sz="0" w:space="0" w:color="auto"/>
        <w:right w:val="none" w:sz="0" w:space="0" w:color="auto"/>
      </w:divBdr>
    </w:div>
    <w:div w:id="1652833516">
      <w:bodyDiv w:val="1"/>
      <w:marLeft w:val="0"/>
      <w:marRight w:val="0"/>
      <w:marTop w:val="0"/>
      <w:marBottom w:val="0"/>
      <w:divBdr>
        <w:top w:val="none" w:sz="0" w:space="0" w:color="auto"/>
        <w:left w:val="none" w:sz="0" w:space="0" w:color="auto"/>
        <w:bottom w:val="none" w:sz="0" w:space="0" w:color="auto"/>
        <w:right w:val="none" w:sz="0" w:space="0" w:color="auto"/>
      </w:divBdr>
    </w:div>
    <w:div w:id="1678536174">
      <w:bodyDiv w:val="1"/>
      <w:marLeft w:val="0"/>
      <w:marRight w:val="0"/>
      <w:marTop w:val="0"/>
      <w:marBottom w:val="0"/>
      <w:divBdr>
        <w:top w:val="none" w:sz="0" w:space="0" w:color="auto"/>
        <w:left w:val="none" w:sz="0" w:space="0" w:color="auto"/>
        <w:bottom w:val="none" w:sz="0" w:space="0" w:color="auto"/>
        <w:right w:val="none" w:sz="0" w:space="0" w:color="auto"/>
      </w:divBdr>
    </w:div>
    <w:div w:id="1682931284">
      <w:bodyDiv w:val="1"/>
      <w:marLeft w:val="0"/>
      <w:marRight w:val="0"/>
      <w:marTop w:val="0"/>
      <w:marBottom w:val="0"/>
      <w:divBdr>
        <w:top w:val="none" w:sz="0" w:space="0" w:color="auto"/>
        <w:left w:val="none" w:sz="0" w:space="0" w:color="auto"/>
        <w:bottom w:val="none" w:sz="0" w:space="0" w:color="auto"/>
        <w:right w:val="none" w:sz="0" w:space="0" w:color="auto"/>
      </w:divBdr>
    </w:div>
    <w:div w:id="1726639406">
      <w:bodyDiv w:val="1"/>
      <w:marLeft w:val="0"/>
      <w:marRight w:val="0"/>
      <w:marTop w:val="0"/>
      <w:marBottom w:val="0"/>
      <w:divBdr>
        <w:top w:val="none" w:sz="0" w:space="0" w:color="auto"/>
        <w:left w:val="none" w:sz="0" w:space="0" w:color="auto"/>
        <w:bottom w:val="none" w:sz="0" w:space="0" w:color="auto"/>
        <w:right w:val="none" w:sz="0" w:space="0" w:color="auto"/>
      </w:divBdr>
    </w:div>
    <w:div w:id="1751737170">
      <w:bodyDiv w:val="1"/>
      <w:marLeft w:val="0"/>
      <w:marRight w:val="0"/>
      <w:marTop w:val="0"/>
      <w:marBottom w:val="0"/>
      <w:divBdr>
        <w:top w:val="none" w:sz="0" w:space="0" w:color="auto"/>
        <w:left w:val="none" w:sz="0" w:space="0" w:color="auto"/>
        <w:bottom w:val="none" w:sz="0" w:space="0" w:color="auto"/>
        <w:right w:val="none" w:sz="0" w:space="0" w:color="auto"/>
      </w:divBdr>
    </w:div>
    <w:div w:id="1813863204">
      <w:bodyDiv w:val="1"/>
      <w:marLeft w:val="0"/>
      <w:marRight w:val="0"/>
      <w:marTop w:val="0"/>
      <w:marBottom w:val="0"/>
      <w:divBdr>
        <w:top w:val="none" w:sz="0" w:space="0" w:color="auto"/>
        <w:left w:val="none" w:sz="0" w:space="0" w:color="auto"/>
        <w:bottom w:val="none" w:sz="0" w:space="0" w:color="auto"/>
        <w:right w:val="none" w:sz="0" w:space="0" w:color="auto"/>
      </w:divBdr>
    </w:div>
    <w:div w:id="1916743601">
      <w:bodyDiv w:val="1"/>
      <w:marLeft w:val="0"/>
      <w:marRight w:val="0"/>
      <w:marTop w:val="0"/>
      <w:marBottom w:val="0"/>
      <w:divBdr>
        <w:top w:val="none" w:sz="0" w:space="0" w:color="auto"/>
        <w:left w:val="none" w:sz="0" w:space="0" w:color="auto"/>
        <w:bottom w:val="none" w:sz="0" w:space="0" w:color="auto"/>
        <w:right w:val="none" w:sz="0" w:space="0" w:color="auto"/>
      </w:divBdr>
    </w:div>
    <w:div w:id="1934779968">
      <w:bodyDiv w:val="1"/>
      <w:marLeft w:val="0"/>
      <w:marRight w:val="0"/>
      <w:marTop w:val="0"/>
      <w:marBottom w:val="0"/>
      <w:divBdr>
        <w:top w:val="none" w:sz="0" w:space="0" w:color="auto"/>
        <w:left w:val="none" w:sz="0" w:space="0" w:color="auto"/>
        <w:bottom w:val="none" w:sz="0" w:space="0" w:color="auto"/>
        <w:right w:val="none" w:sz="0" w:space="0" w:color="auto"/>
      </w:divBdr>
    </w:div>
    <w:div w:id="1953170691">
      <w:bodyDiv w:val="1"/>
      <w:marLeft w:val="0"/>
      <w:marRight w:val="0"/>
      <w:marTop w:val="0"/>
      <w:marBottom w:val="0"/>
      <w:divBdr>
        <w:top w:val="none" w:sz="0" w:space="0" w:color="auto"/>
        <w:left w:val="none" w:sz="0" w:space="0" w:color="auto"/>
        <w:bottom w:val="none" w:sz="0" w:space="0" w:color="auto"/>
        <w:right w:val="none" w:sz="0" w:space="0" w:color="auto"/>
      </w:divBdr>
    </w:div>
    <w:div w:id="1956134331">
      <w:bodyDiv w:val="1"/>
      <w:marLeft w:val="0"/>
      <w:marRight w:val="0"/>
      <w:marTop w:val="0"/>
      <w:marBottom w:val="0"/>
      <w:divBdr>
        <w:top w:val="none" w:sz="0" w:space="0" w:color="auto"/>
        <w:left w:val="none" w:sz="0" w:space="0" w:color="auto"/>
        <w:bottom w:val="none" w:sz="0" w:space="0" w:color="auto"/>
        <w:right w:val="none" w:sz="0" w:space="0" w:color="auto"/>
      </w:divBdr>
    </w:div>
    <w:div w:id="1983578510">
      <w:bodyDiv w:val="1"/>
      <w:marLeft w:val="0"/>
      <w:marRight w:val="0"/>
      <w:marTop w:val="0"/>
      <w:marBottom w:val="0"/>
      <w:divBdr>
        <w:top w:val="none" w:sz="0" w:space="0" w:color="auto"/>
        <w:left w:val="none" w:sz="0" w:space="0" w:color="auto"/>
        <w:bottom w:val="none" w:sz="0" w:space="0" w:color="auto"/>
        <w:right w:val="none" w:sz="0" w:space="0" w:color="auto"/>
      </w:divBdr>
    </w:div>
    <w:div w:id="2061633072">
      <w:bodyDiv w:val="1"/>
      <w:marLeft w:val="0"/>
      <w:marRight w:val="0"/>
      <w:marTop w:val="0"/>
      <w:marBottom w:val="0"/>
      <w:divBdr>
        <w:top w:val="none" w:sz="0" w:space="0" w:color="auto"/>
        <w:left w:val="none" w:sz="0" w:space="0" w:color="auto"/>
        <w:bottom w:val="none" w:sz="0" w:space="0" w:color="auto"/>
        <w:right w:val="none" w:sz="0" w:space="0" w:color="auto"/>
      </w:divBdr>
    </w:div>
    <w:div w:id="2068605114">
      <w:bodyDiv w:val="1"/>
      <w:marLeft w:val="0"/>
      <w:marRight w:val="0"/>
      <w:marTop w:val="0"/>
      <w:marBottom w:val="0"/>
      <w:divBdr>
        <w:top w:val="none" w:sz="0" w:space="0" w:color="auto"/>
        <w:left w:val="none" w:sz="0" w:space="0" w:color="auto"/>
        <w:bottom w:val="none" w:sz="0" w:space="0" w:color="auto"/>
        <w:right w:val="none" w:sz="0" w:space="0" w:color="auto"/>
      </w:divBdr>
    </w:div>
    <w:div w:id="2106218861">
      <w:bodyDiv w:val="1"/>
      <w:marLeft w:val="0"/>
      <w:marRight w:val="0"/>
      <w:marTop w:val="0"/>
      <w:marBottom w:val="0"/>
      <w:divBdr>
        <w:top w:val="none" w:sz="0" w:space="0" w:color="auto"/>
        <w:left w:val="none" w:sz="0" w:space="0" w:color="auto"/>
        <w:bottom w:val="none" w:sz="0" w:space="0" w:color="auto"/>
        <w:right w:val="none" w:sz="0" w:space="0" w:color="auto"/>
      </w:divBdr>
    </w:div>
    <w:div w:id="214153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eur-lex.europa.eu/eli/reg/2024/1735/oj/e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op.europa.eu/en/web/eu-vocabularies/concept-scheme/-/resource?uri=http://data.europa.eu/7yx/cofo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3" Type="http://schemas.openxmlformats.org/officeDocument/2006/relationships/hyperlink" Target="https://webgate.ec.europa.eu/procurementbuyers/fr/%23/" TargetMode="External"/><Relationship Id="rId18" Type="http://schemas.openxmlformats.org/officeDocument/2006/relationships/hyperlink" Target="http://data.europa.eu/eli/reg_impl/2018/2066/oj" TargetMode="External"/><Relationship Id="rId26" Type="http://schemas.openxmlformats.org/officeDocument/2006/relationships/hyperlink" Target="http://data.europa.eu/eli/dir/2003/96/oj" TargetMode="External"/><Relationship Id="rId3" Type="http://schemas.openxmlformats.org/officeDocument/2006/relationships/hyperlink" Target="https://ec.europa.eu/eurostat/databrowser/view/nama_10_a10__custom_20259318/bookmark/table?bookmarkId=b792f798-6b97-46f9-be49-5ae815f955a5&amp;c=1772016300000" TargetMode="External"/><Relationship Id="rId21" Type="http://schemas.openxmlformats.org/officeDocument/2006/relationships/hyperlink" Target="http://data.europa.eu/eli/dir/2014/23/oj" TargetMode="External"/><Relationship Id="rId7" Type="http://schemas.openxmlformats.org/officeDocument/2006/relationships/hyperlink" Target="https://www.oecd.org/content/dam/oecd/en/publications/reports/2025/06/a-comprehensive-overview-of-the-energy-intensive-industries-ecosystem_ceb6bd58/bbf7d4c2-en.pdf" TargetMode="External"/><Relationship Id="rId12" Type="http://schemas.openxmlformats.org/officeDocument/2006/relationships/hyperlink" Target="https://www.mckinsey.com/industries/automotive-and-assembly/our-insights/european-automotive-industry-what-it-takes-to-regain-competitiveness" TargetMode="External"/><Relationship Id="rId17" Type="http://schemas.openxmlformats.org/officeDocument/2006/relationships/hyperlink" Target="http://data.europa.eu/eli/reg_del/2019/331/oj" TargetMode="External"/><Relationship Id="rId25" Type="http://schemas.openxmlformats.org/officeDocument/2006/relationships/hyperlink" Target="http://data.europa.eu/eli/reg/2018/1724/oj" TargetMode="External"/><Relationship Id="rId2" Type="http://schemas.openxmlformats.org/officeDocument/2006/relationships/hyperlink" Target="https://ec.europa.eu/eurostat/databrowser/view/sbs_ovw_act__custom_20259000/bookmark/table?bookmarkId=dfae4e97-c268-47b6-8e6d-49849ca8199d&amp;c=1772015837000" TargetMode="External"/><Relationship Id="rId16" Type="http://schemas.openxmlformats.org/officeDocument/2006/relationships/hyperlink" Target="http://data.europa.eu/eli/reg/2024/1781/oj" TargetMode="External"/><Relationship Id="rId20" Type="http://schemas.openxmlformats.org/officeDocument/2006/relationships/hyperlink" Target="http://data.europa.eu/eli/dir/2003/87/oj" TargetMode="External"/><Relationship Id="rId29" Type="http://schemas.openxmlformats.org/officeDocument/2006/relationships/hyperlink" Target="https://eur-lex.europa.eu/legal-content/FR/AUTO/?uri=OJ:L:2004:024:TOC" TargetMode="External"/><Relationship Id="rId1" Type="http://schemas.openxmlformats.org/officeDocument/2006/relationships/hyperlink" Target="https://eur-lex.europa.eu/legal-content/FR/TXT/?uri=CELEX%3A52025JC0977&amp;qid=1765098839644" TargetMode="External"/><Relationship Id="rId6"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 Type="http://schemas.openxmlformats.org/officeDocument/2006/relationships/hyperlink" Target="https://www.mckinsey.com/industries/automotive-and-assembly/our-insights/european-automotive-industry-what-it-takes-to-regain-competitiveness" TargetMode="External"/><Relationship Id="rId24" Type="http://schemas.openxmlformats.org/officeDocument/2006/relationships/hyperlink" Target="http://data.europa.eu/eli/reg/2011/182/oj" TargetMode="External"/><Relationship Id="rId5" Type="http://schemas.openxmlformats.org/officeDocument/2006/relationships/hyperlink" Target="https://ec.europa.eu/eurostat/databrowser/view/nama_10_a10__custom_20259318/bookmark/table?bookmarkId=b792f798-6b97-46f9-be49-5ae815f955a5&amp;c=1772016300000" TargetMode="External"/><Relationship Id="rId15" Type="http://schemas.openxmlformats.org/officeDocument/2006/relationships/hyperlink" Target="http://data.europa.eu/eli/reg/2024/3110/oj" TargetMode="External"/><Relationship Id="rId23" Type="http://schemas.openxmlformats.org/officeDocument/2006/relationships/hyperlink" Target="http://data.europa.eu/eli/reg/2019/452/oj" TargetMode="External"/><Relationship Id="rId28" Type="http://schemas.openxmlformats.org/officeDocument/2006/relationships/hyperlink" Target="http://data.europa.eu/eli/dir/2014/25/oj" TargetMode="External"/><Relationship Id="rId10" Type="http://schemas.openxmlformats.org/officeDocument/2006/relationships/hyperlink" Target="https://eur-lex.europa.eu/legal-content/FR/TXT/?uri=celex:52025DC0074" TargetMode="External"/><Relationship Id="rId19" Type="http://schemas.openxmlformats.org/officeDocument/2006/relationships/hyperlink" Target="http://data.europa.eu/eli/reg/2023/956/oj" TargetMode="External"/><Relationship Id="rId4" Type="http://schemas.openxmlformats.org/officeDocument/2006/relationships/hyperlink" Target="https://ec.europa.eu/eurostat/databrowser/view/env_ac_ainah_r2__custom_20259376/bookmark/table?bookmarkId=b20c5e66-e1cd-4c34-b032-97ecb8d6db1c&amp;c=1772016444000" TargetMode="External"/><Relationship Id="rId9" Type="http://schemas.openxmlformats.org/officeDocument/2006/relationships/hyperlink" Target="https://eur-lex.europa.eu/resource.html?uri=cellar:6c154426-c5a6-11ee-95d9-01aa75ed71a1.0001.02/DOC_3&amp;format=PDF" TargetMode="External"/><Relationship Id="rId14" Type="http://schemas.openxmlformats.org/officeDocument/2006/relationships/hyperlink" Target="https://www.wto.org/french/docs_f/legal_f/rev-gpr-94_01_f.pdf" TargetMode="External"/><Relationship Id="rId22" Type="http://schemas.openxmlformats.org/officeDocument/2006/relationships/hyperlink" Target="http://data.europa.eu/eli/dir/2014/24/oj" TargetMode="External"/><Relationship Id="rId27" Type="http://schemas.openxmlformats.org/officeDocument/2006/relationships/hyperlink" Target="http://data.europa.eu/eli/dir/2014/24/oj" TargetMode="External"/><Relationship Id="rId30" Type="http://schemas.openxmlformats.org/officeDocument/2006/relationships/hyperlink" Target="http://data.europa.eu/eli/reg_impl/2018/20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632e263fa9720dffe86f3e7860e047ab">
  <xsd:schema xmlns:xsd="http://www.w3.org/2001/XMLSchema" xmlns:xs="http://www.w3.org/2001/XMLSchema" xmlns:p="http://schemas.microsoft.com/office/2006/metadata/properties" xmlns:ns2="7c2df423-21e3-4881-a08a-095b88bfd823" targetNamespace="http://schemas.microsoft.com/office/2006/metadata/properties" ma:root="true" ma:fieldsID="83612f83e4b5760fcaa6923e0a35cf50"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FCE78-8BBA-4EC0-A255-0D9D85387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72ABD-4D13-4817-96FA-2079CFFE9A7B}">
  <ds:schemaRefs>
    <ds:schemaRef ds:uri="http://schemas.microsoft.com/sharepoint/v3/contenttype/forms"/>
  </ds:schemaRefs>
</ds:datastoreItem>
</file>

<file path=customXml/itemProps3.xml><?xml version="1.0" encoding="utf-8"?>
<ds:datastoreItem xmlns:ds="http://schemas.openxmlformats.org/officeDocument/2006/customXml" ds:itemID="{5FD3C5F1-0F80-4316-9946-606C757C7A01}">
  <ds:schemaRefs>
    <ds:schemaRef ds:uri="7c2df423-21e3-4881-a08a-095b88bfd823"/>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EC3CC05-EAAE-4CD4-9C25-E38D2C0C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26</Pages>
  <Words>44833</Words>
  <Characters>255551</Characters>
  <Application>Microsoft Office Word</Application>
  <DocSecurity>0</DocSecurity>
  <Lines>2129</Lines>
  <Paragraphs>599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299785</CharactersWithSpaces>
  <SharedDoc>false</SharedDoc>
  <HLinks>
    <vt:vector size="186" baseType="variant">
      <vt:variant>
        <vt:i4>65559</vt:i4>
      </vt:variant>
      <vt:variant>
        <vt:i4>3</vt:i4>
      </vt:variant>
      <vt:variant>
        <vt:i4>0</vt:i4>
      </vt:variant>
      <vt:variant>
        <vt:i4>5</vt:i4>
      </vt:variant>
      <vt:variant>
        <vt:lpwstr>https://op.europa.eu/en/web/eu-vocabularies/concept-scheme/-/resource?uri=http://data.europa.eu/7yx/cofog</vt:lpwstr>
      </vt:variant>
      <vt:variant>
        <vt:lpwstr/>
      </vt:variant>
      <vt:variant>
        <vt:i4>5701734</vt:i4>
      </vt:variant>
      <vt:variant>
        <vt:i4>0</vt:i4>
      </vt:variant>
      <vt:variant>
        <vt:i4>0</vt:i4>
      </vt:variant>
      <vt:variant>
        <vt:i4>5</vt:i4>
      </vt:variant>
      <vt:variant>
        <vt:lpwstr>https://eur-lex.europa.eu/eli/reg/2024/1735/oj/eng</vt:lpwstr>
      </vt:variant>
      <vt:variant>
        <vt:lpwstr>ntr57-L_202401735EN.000101-E0057</vt:lpwstr>
      </vt:variant>
      <vt:variant>
        <vt:i4>1572921</vt:i4>
      </vt:variant>
      <vt:variant>
        <vt:i4>84</vt:i4>
      </vt:variant>
      <vt:variant>
        <vt:i4>0</vt:i4>
      </vt:variant>
      <vt:variant>
        <vt:i4>5</vt:i4>
      </vt:variant>
      <vt:variant>
        <vt:lpwstr>http://data.europa.eu/eli/reg_impl/2018/2067/oj</vt:lpwstr>
      </vt:variant>
      <vt:variant>
        <vt:lpwstr/>
      </vt:variant>
      <vt:variant>
        <vt:i4>7340157</vt:i4>
      </vt:variant>
      <vt:variant>
        <vt:i4>81</vt:i4>
      </vt:variant>
      <vt:variant>
        <vt:i4>0</vt:i4>
      </vt:variant>
      <vt:variant>
        <vt:i4>5</vt:i4>
      </vt:variant>
      <vt:variant>
        <vt:lpwstr>https://eur-lex.europa.eu/legal-content/EN/AUTO/?uri=OJ:L:2004:024:TOC</vt:lpwstr>
      </vt:variant>
      <vt:variant>
        <vt:lpwstr/>
      </vt:variant>
      <vt:variant>
        <vt:i4>5374041</vt:i4>
      </vt:variant>
      <vt:variant>
        <vt:i4>78</vt:i4>
      </vt:variant>
      <vt:variant>
        <vt:i4>0</vt:i4>
      </vt:variant>
      <vt:variant>
        <vt:i4>5</vt:i4>
      </vt:variant>
      <vt:variant>
        <vt:lpwstr>http://data.europa.eu/eli/dir/2014/25/oj</vt:lpwstr>
      </vt:variant>
      <vt:variant>
        <vt:lpwstr/>
      </vt:variant>
      <vt:variant>
        <vt:i4>5374040</vt:i4>
      </vt:variant>
      <vt:variant>
        <vt:i4>75</vt:i4>
      </vt:variant>
      <vt:variant>
        <vt:i4>0</vt:i4>
      </vt:variant>
      <vt:variant>
        <vt:i4>5</vt:i4>
      </vt:variant>
      <vt:variant>
        <vt:lpwstr>http://data.europa.eu/eli/dir/2014/24/oj</vt:lpwstr>
      </vt:variant>
      <vt:variant>
        <vt:lpwstr/>
      </vt:variant>
      <vt:variant>
        <vt:i4>6160475</vt:i4>
      </vt:variant>
      <vt:variant>
        <vt:i4>72</vt:i4>
      </vt:variant>
      <vt:variant>
        <vt:i4>0</vt:i4>
      </vt:variant>
      <vt:variant>
        <vt:i4>5</vt:i4>
      </vt:variant>
      <vt:variant>
        <vt:lpwstr>http://data.europa.eu/eli/dir/2003/96/oj</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4194327</vt:i4>
      </vt:variant>
      <vt:variant>
        <vt:i4>66</vt:i4>
      </vt:variant>
      <vt:variant>
        <vt:i4>0</vt:i4>
      </vt:variant>
      <vt:variant>
        <vt:i4>5</vt:i4>
      </vt:variant>
      <vt:variant>
        <vt:lpwstr>http://data.europa.eu/eli/reg/2011/182/oj</vt:lpwstr>
      </vt:variant>
      <vt:variant>
        <vt:lpwstr/>
      </vt:variant>
      <vt:variant>
        <vt:i4>5046298</vt:i4>
      </vt:variant>
      <vt:variant>
        <vt:i4>63</vt:i4>
      </vt:variant>
      <vt:variant>
        <vt:i4>0</vt:i4>
      </vt:variant>
      <vt:variant>
        <vt:i4>5</vt:i4>
      </vt:variant>
      <vt:variant>
        <vt:lpwstr>http://data.europa.eu/eli/reg/2019/452/oj</vt:lpwstr>
      </vt:variant>
      <vt:variant>
        <vt:lpwstr/>
      </vt:variant>
      <vt:variant>
        <vt:i4>5374040</vt:i4>
      </vt:variant>
      <vt:variant>
        <vt:i4>60</vt:i4>
      </vt:variant>
      <vt:variant>
        <vt:i4>0</vt:i4>
      </vt:variant>
      <vt:variant>
        <vt:i4>5</vt:i4>
      </vt:variant>
      <vt:variant>
        <vt:lpwstr>http://data.europa.eu/eli/dir/2014/24/oj</vt:lpwstr>
      </vt:variant>
      <vt:variant>
        <vt:lpwstr/>
      </vt:variant>
      <vt:variant>
        <vt:i4>5374047</vt:i4>
      </vt:variant>
      <vt:variant>
        <vt:i4>57</vt:i4>
      </vt:variant>
      <vt:variant>
        <vt:i4>0</vt:i4>
      </vt:variant>
      <vt:variant>
        <vt:i4>5</vt:i4>
      </vt:variant>
      <vt:variant>
        <vt:lpwstr>http://data.europa.eu/eli/dir/2014/23/oj</vt:lpwstr>
      </vt:variant>
      <vt:variant>
        <vt:lpwstr/>
      </vt:variant>
      <vt:variant>
        <vt:i4>6226010</vt:i4>
      </vt:variant>
      <vt:variant>
        <vt:i4>54</vt:i4>
      </vt:variant>
      <vt:variant>
        <vt:i4>0</vt:i4>
      </vt:variant>
      <vt:variant>
        <vt:i4>5</vt:i4>
      </vt:variant>
      <vt:variant>
        <vt:lpwstr>http://data.europa.eu/eli/dir/2003/87/oj</vt:lpwstr>
      </vt:variant>
      <vt:variant>
        <vt:lpwstr/>
      </vt:variant>
      <vt:variant>
        <vt:i4>5111833</vt:i4>
      </vt:variant>
      <vt:variant>
        <vt:i4>51</vt:i4>
      </vt:variant>
      <vt:variant>
        <vt:i4>0</vt:i4>
      </vt:variant>
      <vt:variant>
        <vt:i4>5</vt:i4>
      </vt:variant>
      <vt:variant>
        <vt:lpwstr>http://data.europa.eu/eli/reg/2023/956/oj</vt:lpwstr>
      </vt:variant>
      <vt:variant>
        <vt:lpwstr/>
      </vt:variant>
      <vt:variant>
        <vt:i4>1638457</vt:i4>
      </vt:variant>
      <vt:variant>
        <vt:i4>48</vt:i4>
      </vt:variant>
      <vt:variant>
        <vt:i4>0</vt:i4>
      </vt:variant>
      <vt:variant>
        <vt:i4>5</vt:i4>
      </vt:variant>
      <vt:variant>
        <vt:lpwstr>http://data.europa.eu/eli/reg_impl/2018/2066/oj</vt:lpwstr>
      </vt:variant>
      <vt:variant>
        <vt:lpwstr/>
      </vt:variant>
      <vt:variant>
        <vt:i4>7536660</vt:i4>
      </vt:variant>
      <vt:variant>
        <vt:i4>45</vt:i4>
      </vt:variant>
      <vt:variant>
        <vt:i4>0</vt:i4>
      </vt:variant>
      <vt:variant>
        <vt:i4>5</vt:i4>
      </vt:variant>
      <vt:variant>
        <vt:lpwstr>http://data.europa.eu/eli/reg_del/2019/331/oj</vt:lpwstr>
      </vt:variant>
      <vt:variant>
        <vt:lpwstr/>
      </vt:variant>
      <vt:variant>
        <vt:i4>6619242</vt:i4>
      </vt:variant>
      <vt:variant>
        <vt:i4>42</vt:i4>
      </vt:variant>
      <vt:variant>
        <vt:i4>0</vt:i4>
      </vt:variant>
      <vt:variant>
        <vt:i4>5</vt:i4>
      </vt:variant>
      <vt:variant>
        <vt:lpwstr>http://data.europa.eu/eli/reg/2024/1781/oj</vt:lpwstr>
      </vt:variant>
      <vt:variant>
        <vt:lpwstr/>
      </vt:variant>
      <vt:variant>
        <vt:i4>7209069</vt:i4>
      </vt:variant>
      <vt:variant>
        <vt:i4>39</vt:i4>
      </vt:variant>
      <vt:variant>
        <vt:i4>0</vt:i4>
      </vt:variant>
      <vt:variant>
        <vt:i4>5</vt:i4>
      </vt:variant>
      <vt:variant>
        <vt:lpwstr>http://data.europa.eu/eli/reg/2024/3110/oj</vt:lpwstr>
      </vt:variant>
      <vt:variant>
        <vt:lpwstr/>
      </vt:variant>
      <vt:variant>
        <vt:i4>6226004</vt:i4>
      </vt:variant>
      <vt:variant>
        <vt:i4>36</vt:i4>
      </vt:variant>
      <vt:variant>
        <vt:i4>0</vt:i4>
      </vt:variant>
      <vt:variant>
        <vt:i4>5</vt:i4>
      </vt:variant>
      <vt:variant>
        <vt:lpwstr>https://www.wto.org/english/docs_e/legal_e/rev-gpr-94_01_e.pdf</vt:lpwstr>
      </vt:variant>
      <vt:variant>
        <vt:lpwstr/>
      </vt:variant>
      <vt:variant>
        <vt:i4>3538983</vt:i4>
      </vt:variant>
      <vt:variant>
        <vt:i4>33</vt:i4>
      </vt:variant>
      <vt:variant>
        <vt:i4>0</vt:i4>
      </vt:variant>
      <vt:variant>
        <vt:i4>5</vt:i4>
      </vt:variant>
      <vt:variant>
        <vt:lpwstr>https://webgate.ec.europa.eu/procurementbuyers/en/</vt:lpwstr>
      </vt:variant>
      <vt:variant>
        <vt:lpwstr>/procumementlocation</vt:lpwstr>
      </vt:variant>
      <vt:variant>
        <vt:i4>4980831</vt:i4>
      </vt:variant>
      <vt:variant>
        <vt:i4>30</vt:i4>
      </vt:variant>
      <vt:variant>
        <vt:i4>0</vt:i4>
      </vt:variant>
      <vt:variant>
        <vt:i4>5</vt:i4>
      </vt:variant>
      <vt:variant>
        <vt:lpwstr>https://www.mckinsey.com/industries/automotive-and-assembly/our-insights/european-automotive-industry-what-it-takes-to-regain-competitiveness</vt:lpwstr>
      </vt:variant>
      <vt:variant>
        <vt:lpwstr/>
      </vt:variant>
      <vt:variant>
        <vt:i4>458769</vt:i4>
      </vt:variant>
      <vt:variant>
        <vt:i4>27</vt:i4>
      </vt:variant>
      <vt:variant>
        <vt:i4>0</vt:i4>
      </vt:variant>
      <vt:variant>
        <vt:i4>5</vt:i4>
      </vt:variant>
      <vt:variant>
        <vt:lpwstr>https://eur-lex.europa.eu/legal-content/EN/TXT/?uri=celex:52025DC0074</vt:lpwstr>
      </vt:variant>
      <vt:variant>
        <vt:lpwstr/>
      </vt:variant>
      <vt:variant>
        <vt:i4>6881356</vt:i4>
      </vt:variant>
      <vt:variant>
        <vt:i4>24</vt:i4>
      </vt:variant>
      <vt:variant>
        <vt:i4>0</vt:i4>
      </vt:variant>
      <vt:variant>
        <vt:i4>5</vt:i4>
      </vt:variant>
      <vt:variant>
        <vt:lpwstr>https://eur-lex.europa.eu/resource.html?uri=cellar:6c154426-c5a6-11ee-95d9-01aa75ed71a1.0001.02/DOC_3&amp;format=PDF</vt:lpwstr>
      </vt:variant>
      <vt:variant>
        <vt:lpwstr/>
      </vt:variant>
      <vt:variant>
        <vt:i4>2162783</vt:i4>
      </vt:variant>
      <vt:variant>
        <vt:i4>21</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3735631</vt:i4>
      </vt:variant>
      <vt:variant>
        <vt:i4>18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2162783</vt:i4>
      </vt:variant>
      <vt:variant>
        <vt:i4>15</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2293868</vt:i4>
      </vt:variant>
      <vt:variant>
        <vt:i4>12</vt:i4>
      </vt:variant>
      <vt:variant>
        <vt:i4>0</vt:i4>
      </vt:variant>
      <vt:variant>
        <vt:i4>5</vt:i4>
      </vt:variant>
      <vt:variant>
        <vt:lpwstr>https://ec.europa.eu/eurostat/databrowser/bookmark/b792f798-6b97-46f9-be49-5ae815f955a5?lang=en&amp;createdAt=2026-02-25T10:45:00Z</vt:lpwstr>
      </vt:variant>
      <vt:variant>
        <vt:lpwstr/>
      </vt:variant>
      <vt:variant>
        <vt:i4>2162744</vt:i4>
      </vt:variant>
      <vt:variant>
        <vt:i4>9</vt:i4>
      </vt:variant>
      <vt:variant>
        <vt:i4>0</vt:i4>
      </vt:variant>
      <vt:variant>
        <vt:i4>5</vt:i4>
      </vt:variant>
      <vt:variant>
        <vt:lpwstr>https://ec.europa.eu/eurostat/databrowser/bookmark/b20c5e66-e1cd-4c34-b032-97ecb8d6db1c?lang=en&amp;createdAt=2026-02-25T10:47:24Z</vt:lpwstr>
      </vt:variant>
      <vt:variant>
        <vt:lpwstr/>
      </vt:variant>
      <vt:variant>
        <vt:i4>2293868</vt:i4>
      </vt:variant>
      <vt:variant>
        <vt:i4>6</vt:i4>
      </vt:variant>
      <vt:variant>
        <vt:i4>0</vt:i4>
      </vt:variant>
      <vt:variant>
        <vt:i4>5</vt:i4>
      </vt:variant>
      <vt:variant>
        <vt:lpwstr>https://ec.europa.eu/eurostat/databrowser/bookmark/b792f798-6b97-46f9-be49-5ae815f955a5?lang=en&amp;createdAt=2026-02-25T10:45:00Z</vt:lpwstr>
      </vt:variant>
      <vt:variant>
        <vt:lpwstr/>
      </vt:variant>
      <vt:variant>
        <vt:i4>2424933</vt:i4>
      </vt:variant>
      <vt:variant>
        <vt:i4>3</vt:i4>
      </vt:variant>
      <vt:variant>
        <vt:i4>0</vt:i4>
      </vt:variant>
      <vt:variant>
        <vt:i4>5</vt:i4>
      </vt:variant>
      <vt:variant>
        <vt:lpwstr>https://ec.europa.eu/eurostat/databrowser/bookmark/dfae4e97-c268-47b6-8e6d-49849ca8199d?lang=en&amp;createdAt=2026-02-25T10:37:17Z</vt:lpwstr>
      </vt:variant>
      <vt:variant>
        <vt:lpwstr/>
      </vt:variant>
      <vt:variant>
        <vt:i4>720899</vt:i4>
      </vt:variant>
      <vt:variant>
        <vt:i4>0</vt:i4>
      </vt:variant>
      <vt:variant>
        <vt:i4>0</vt:i4>
      </vt:variant>
      <vt:variant>
        <vt:i4>5</vt:i4>
      </vt:variant>
      <vt:variant>
        <vt:lpwstr>https://eur-lex.europa.eu/legal-content/EN/TXT/?uri=CELEX%3A52025JC0977&amp;qid=1765098839644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2026-03-04T07:37:00Z</dcterms:created>
  <dcterms:modified xsi:type="dcterms:W3CDTF">2026-04-24T07:56:00Z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2026-03-01T19:28:42Z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8f36be6d-1e22-4ba9-93a9-b6f4d8a66591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0x01010082EF9373D7657549B6CD127E08569206</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y fmtid="{D5CDD505-2E9C-101B-9397-08002B2CF9AE}" pid="17" name="DQCStatus">
    <vt:lpwstr>Green (DQC version 03)</vt:lpwstr>
  </property>
</Properties>
</file>