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AA0FC7" w14:textId="70D1393B" w:rsidR="00B059D3" w:rsidRPr="00B17201" w:rsidRDefault="00E7440A" w:rsidP="00E7440A">
      <w:pPr>
        <w:pStyle w:val="Pagedecouverture"/>
        <w:rPr>
          <w:noProof/>
        </w:rPr>
      </w:pPr>
      <w:r>
        <w:rPr>
          <w:noProof/>
        </w:rPr>
        <w:pict w14:anchorId="108236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ADC55E4-DF0E-4326-9822-6FD1C65285C9" style="width:455.25pt;height:396pt">
            <v:imagedata r:id="rId11" o:title=""/>
          </v:shape>
        </w:pict>
      </w:r>
    </w:p>
    <w:p w14:paraId="242C3ADC" w14:textId="77777777" w:rsidR="00364393" w:rsidRPr="00B17201" w:rsidRDefault="00364393" w:rsidP="00364393">
      <w:pPr>
        <w:pStyle w:val="Pagedecouverture"/>
        <w:rPr>
          <w:noProof/>
        </w:rPr>
        <w:sectPr w:rsidR="00364393" w:rsidRPr="00B17201" w:rsidSect="00E7440A">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730BDCC7" w14:textId="77777777" w:rsidR="00901425" w:rsidRPr="00B17201" w:rsidRDefault="00901425" w:rsidP="00901425">
      <w:pPr>
        <w:pStyle w:val="TOCHeading"/>
        <w:rPr>
          <w:noProof/>
        </w:rPr>
      </w:pPr>
      <w:bookmarkStart w:id="0" w:name="_GoBack"/>
      <w:bookmarkEnd w:id="0"/>
      <w:r w:rsidRPr="00B17201">
        <w:rPr>
          <w:noProof/>
        </w:rPr>
        <w:lastRenderedPageBreak/>
        <w:t>TABLE DES MATIÈRES</w:t>
      </w:r>
    </w:p>
    <w:p w14:paraId="11F5FE5B" w14:textId="4319D72F" w:rsidR="00901425" w:rsidRPr="00B17201" w:rsidRDefault="00901425" w:rsidP="00901425">
      <w:pPr>
        <w:pStyle w:val="TOC5"/>
        <w:rPr>
          <w:noProof/>
        </w:rPr>
      </w:pPr>
      <w:r w:rsidRPr="00B17201">
        <w:rPr>
          <w:noProof/>
        </w:rPr>
        <w:t xml:space="preserve">ANNEXE I </w:t>
      </w:r>
      <w:r w:rsidRPr="00B17201">
        <w:rPr>
          <w:noProof/>
        </w:rPr>
        <w:br/>
        <w:t>Secteurs stratégiques pour les zones d’industrialisation prioritaire</w:t>
      </w:r>
      <w:r w:rsidRPr="00B17201">
        <w:rPr>
          <w:noProof/>
        </w:rPr>
        <w:tab/>
      </w:r>
      <w:r w:rsidRPr="00B17201">
        <w:rPr>
          <w:noProof/>
        </w:rPr>
        <w:fldChar w:fldCharType="begin"/>
      </w:r>
      <w:r w:rsidRPr="00B17201">
        <w:rPr>
          <w:noProof/>
        </w:rPr>
        <w:instrText xml:space="preserve"> PAGEREF \h _TocB8B830563AB44505965AD59E2CAFC3DE \* MERGEFORMAT </w:instrText>
      </w:r>
      <w:r w:rsidRPr="00B17201">
        <w:rPr>
          <w:noProof/>
        </w:rPr>
      </w:r>
      <w:r w:rsidRPr="00B17201">
        <w:rPr>
          <w:noProof/>
        </w:rPr>
        <w:fldChar w:fldCharType="separate"/>
      </w:r>
      <w:r w:rsidRPr="00B17201">
        <w:rPr>
          <w:noProof/>
        </w:rPr>
        <w:t>2</w:t>
      </w:r>
      <w:r w:rsidRPr="00B17201">
        <w:rPr>
          <w:noProof/>
        </w:rPr>
        <w:fldChar w:fldCharType="end"/>
      </w:r>
    </w:p>
    <w:p w14:paraId="21A9250D" w14:textId="104F50CE" w:rsidR="00901425" w:rsidRPr="00B17201" w:rsidRDefault="00901425" w:rsidP="00901425">
      <w:pPr>
        <w:pStyle w:val="TOC5"/>
        <w:rPr>
          <w:noProof/>
        </w:rPr>
      </w:pPr>
      <w:r w:rsidRPr="00B17201">
        <w:rPr>
          <w:noProof/>
        </w:rPr>
        <w:t xml:space="preserve">ANNEXE II </w:t>
      </w:r>
      <w:r w:rsidRPr="00B17201">
        <w:rPr>
          <w:noProof/>
        </w:rPr>
        <w:br/>
        <w:t xml:space="preserve">Exigences en matière de faibles émissions de carbone et d’origine de l’Union pour les industries grandes consommatrices d’énergie </w:t>
      </w:r>
      <w:r w:rsidRPr="00B17201">
        <w:rPr>
          <w:noProof/>
        </w:rPr>
        <w:tab/>
      </w:r>
      <w:r w:rsidRPr="00B17201">
        <w:rPr>
          <w:noProof/>
        </w:rPr>
        <w:fldChar w:fldCharType="begin"/>
      </w:r>
      <w:r w:rsidRPr="00B17201">
        <w:rPr>
          <w:noProof/>
        </w:rPr>
        <w:instrText xml:space="preserve"> PAGEREF \h _Toc7EBBCFB0C80F4BAFB4B808BE2D320AF1 \* MERGEFORMAT </w:instrText>
      </w:r>
      <w:r w:rsidRPr="00B17201">
        <w:rPr>
          <w:noProof/>
        </w:rPr>
      </w:r>
      <w:r w:rsidRPr="00B17201">
        <w:rPr>
          <w:noProof/>
        </w:rPr>
        <w:fldChar w:fldCharType="separate"/>
      </w:r>
      <w:r w:rsidRPr="00B17201">
        <w:rPr>
          <w:noProof/>
        </w:rPr>
        <w:t>2</w:t>
      </w:r>
      <w:r w:rsidRPr="00B17201">
        <w:rPr>
          <w:noProof/>
        </w:rPr>
        <w:fldChar w:fldCharType="end"/>
      </w:r>
    </w:p>
    <w:p w14:paraId="66748FE2" w14:textId="7F3C19BB" w:rsidR="00901425" w:rsidRPr="00B17201" w:rsidRDefault="00901425" w:rsidP="00901425">
      <w:pPr>
        <w:pStyle w:val="TOC2"/>
        <w:rPr>
          <w:noProof/>
        </w:rPr>
      </w:pPr>
      <w:r w:rsidRPr="00B17201">
        <w:rPr>
          <w:noProof/>
        </w:rPr>
        <w:t>Partie I – Procédures de passation de marchés publics</w:t>
      </w:r>
      <w:r w:rsidRPr="00B17201">
        <w:rPr>
          <w:noProof/>
        </w:rPr>
        <w:tab/>
      </w:r>
      <w:r w:rsidRPr="00B17201">
        <w:rPr>
          <w:noProof/>
        </w:rPr>
        <w:fldChar w:fldCharType="begin"/>
      </w:r>
      <w:r w:rsidRPr="00B17201">
        <w:rPr>
          <w:noProof/>
        </w:rPr>
        <w:instrText xml:space="preserve"> PAGEREF \h _Toc48424C2CA3B14FECA75386738B8410AE \* MERGEFORMAT </w:instrText>
      </w:r>
      <w:r w:rsidRPr="00B17201">
        <w:rPr>
          <w:noProof/>
        </w:rPr>
      </w:r>
      <w:r w:rsidRPr="00B17201">
        <w:rPr>
          <w:noProof/>
        </w:rPr>
        <w:fldChar w:fldCharType="separate"/>
      </w:r>
      <w:r w:rsidRPr="00B17201">
        <w:rPr>
          <w:noProof/>
        </w:rPr>
        <w:t>2</w:t>
      </w:r>
      <w:r w:rsidRPr="00B17201">
        <w:rPr>
          <w:noProof/>
        </w:rPr>
        <w:fldChar w:fldCharType="end"/>
      </w:r>
    </w:p>
    <w:p w14:paraId="3AEF289F" w14:textId="78CA3EC1" w:rsidR="00901425" w:rsidRPr="00B17201" w:rsidRDefault="00901425" w:rsidP="00901425">
      <w:pPr>
        <w:pStyle w:val="TOC2"/>
        <w:rPr>
          <w:noProof/>
        </w:rPr>
      </w:pPr>
      <w:r w:rsidRPr="00B17201">
        <w:rPr>
          <w:noProof/>
        </w:rPr>
        <w:t>Partie II – Autres formes d’intervention publique</w:t>
      </w:r>
      <w:r w:rsidRPr="00B17201">
        <w:rPr>
          <w:noProof/>
        </w:rPr>
        <w:tab/>
      </w:r>
      <w:r w:rsidRPr="00B17201">
        <w:rPr>
          <w:noProof/>
        </w:rPr>
        <w:fldChar w:fldCharType="begin"/>
      </w:r>
      <w:r w:rsidRPr="00B17201">
        <w:rPr>
          <w:noProof/>
        </w:rPr>
        <w:instrText xml:space="preserve"> PAGEREF \h _Toc6D7F6BDAF5894AA39BE74B9DA97F987B \* MERGEFORMAT </w:instrText>
      </w:r>
      <w:r w:rsidRPr="00B17201">
        <w:rPr>
          <w:noProof/>
        </w:rPr>
      </w:r>
      <w:r w:rsidRPr="00B17201">
        <w:rPr>
          <w:noProof/>
        </w:rPr>
        <w:fldChar w:fldCharType="separate"/>
      </w:r>
      <w:r w:rsidRPr="00B17201">
        <w:rPr>
          <w:noProof/>
        </w:rPr>
        <w:t>2</w:t>
      </w:r>
      <w:r w:rsidRPr="00B17201">
        <w:rPr>
          <w:noProof/>
        </w:rPr>
        <w:fldChar w:fldCharType="end"/>
      </w:r>
    </w:p>
    <w:p w14:paraId="6C5AEB7B" w14:textId="1BE0B41C" w:rsidR="00901425" w:rsidRPr="00B17201" w:rsidRDefault="00901425" w:rsidP="00901425">
      <w:pPr>
        <w:pStyle w:val="TOC5"/>
        <w:rPr>
          <w:noProof/>
        </w:rPr>
      </w:pPr>
      <w:r w:rsidRPr="00B17201">
        <w:rPr>
          <w:noProof/>
        </w:rPr>
        <w:t xml:space="preserve">ANNEXE III </w:t>
      </w:r>
      <w:r w:rsidRPr="00B17201">
        <w:rPr>
          <w:noProof/>
        </w:rPr>
        <w:br/>
        <w:t>Exigences en matière d’origine UE pour les véhicules</w:t>
      </w:r>
      <w:r w:rsidRPr="00B17201">
        <w:rPr>
          <w:noProof/>
        </w:rPr>
        <w:tab/>
      </w:r>
      <w:r w:rsidRPr="00B17201">
        <w:rPr>
          <w:noProof/>
        </w:rPr>
        <w:fldChar w:fldCharType="begin"/>
      </w:r>
      <w:r w:rsidRPr="00B17201">
        <w:rPr>
          <w:noProof/>
        </w:rPr>
        <w:instrText xml:space="preserve"> PAGEREF \h _TocD71C84F4FBD1462EB08F66799B80DBAF \* MERGEFORMAT </w:instrText>
      </w:r>
      <w:r w:rsidRPr="00B17201">
        <w:rPr>
          <w:noProof/>
        </w:rPr>
      </w:r>
      <w:r w:rsidRPr="00B17201">
        <w:rPr>
          <w:noProof/>
        </w:rPr>
        <w:fldChar w:fldCharType="separate"/>
      </w:r>
      <w:r w:rsidRPr="00B17201">
        <w:rPr>
          <w:noProof/>
        </w:rPr>
        <w:t>4</w:t>
      </w:r>
      <w:r w:rsidRPr="00B17201">
        <w:rPr>
          <w:noProof/>
        </w:rPr>
        <w:fldChar w:fldCharType="end"/>
      </w:r>
    </w:p>
    <w:p w14:paraId="09731167" w14:textId="05C6776D" w:rsidR="00901425" w:rsidRPr="00B17201" w:rsidRDefault="00901425" w:rsidP="00901425">
      <w:pPr>
        <w:pStyle w:val="TOC2"/>
        <w:rPr>
          <w:noProof/>
        </w:rPr>
      </w:pPr>
      <w:r w:rsidRPr="00B17201">
        <w:rPr>
          <w:noProof/>
        </w:rPr>
        <w:t>Partie I – Procédures de passation de marchés publics pour les véhicules électriques</w:t>
      </w:r>
      <w:r w:rsidRPr="00B17201">
        <w:rPr>
          <w:noProof/>
        </w:rPr>
        <w:tab/>
      </w:r>
      <w:r w:rsidRPr="00B17201">
        <w:rPr>
          <w:noProof/>
        </w:rPr>
        <w:fldChar w:fldCharType="begin"/>
      </w:r>
      <w:r w:rsidRPr="00B17201">
        <w:rPr>
          <w:noProof/>
        </w:rPr>
        <w:instrText xml:space="preserve"> PAGEREF \h _Toc702AC8927B944820A600B849101BA877 \* MERGEFORMAT </w:instrText>
      </w:r>
      <w:r w:rsidRPr="00B17201">
        <w:rPr>
          <w:noProof/>
        </w:rPr>
      </w:r>
      <w:r w:rsidRPr="00B17201">
        <w:rPr>
          <w:noProof/>
        </w:rPr>
        <w:fldChar w:fldCharType="separate"/>
      </w:r>
      <w:r w:rsidRPr="00B17201">
        <w:rPr>
          <w:noProof/>
        </w:rPr>
        <w:t>4</w:t>
      </w:r>
      <w:r w:rsidRPr="00B17201">
        <w:rPr>
          <w:noProof/>
        </w:rPr>
        <w:fldChar w:fldCharType="end"/>
      </w:r>
    </w:p>
    <w:p w14:paraId="69C23E65" w14:textId="194A797A" w:rsidR="00901425" w:rsidRPr="00B17201" w:rsidRDefault="00901425" w:rsidP="00901425">
      <w:pPr>
        <w:pStyle w:val="TOC2"/>
        <w:rPr>
          <w:noProof/>
        </w:rPr>
      </w:pPr>
      <w:r w:rsidRPr="00B17201">
        <w:rPr>
          <w:noProof/>
        </w:rPr>
        <w:t>Partie II – Autres formes d’intervention publique et soutien financier en faveur des véhicules d’entreprise</w:t>
      </w:r>
      <w:r w:rsidRPr="00B17201">
        <w:rPr>
          <w:noProof/>
        </w:rPr>
        <w:tab/>
      </w:r>
      <w:r w:rsidRPr="00B17201">
        <w:rPr>
          <w:noProof/>
        </w:rPr>
        <w:fldChar w:fldCharType="begin"/>
      </w:r>
      <w:r w:rsidRPr="00B17201">
        <w:rPr>
          <w:noProof/>
        </w:rPr>
        <w:instrText xml:space="preserve"> PAGEREF \h _TocF1CF0729A7384EFD89B3F73621D06C4A \* MERGEFORMAT </w:instrText>
      </w:r>
      <w:r w:rsidRPr="00B17201">
        <w:rPr>
          <w:noProof/>
        </w:rPr>
      </w:r>
      <w:r w:rsidRPr="00B17201">
        <w:rPr>
          <w:noProof/>
        </w:rPr>
        <w:fldChar w:fldCharType="separate"/>
      </w:r>
      <w:r w:rsidRPr="00B17201">
        <w:rPr>
          <w:noProof/>
        </w:rPr>
        <w:t>5</w:t>
      </w:r>
      <w:r w:rsidRPr="00B17201">
        <w:rPr>
          <w:noProof/>
        </w:rPr>
        <w:fldChar w:fldCharType="end"/>
      </w:r>
    </w:p>
    <w:p w14:paraId="3A009CEA" w14:textId="2E653DCC" w:rsidR="00901425" w:rsidRPr="00B17201" w:rsidRDefault="00901425" w:rsidP="00901425">
      <w:pPr>
        <w:pStyle w:val="TOC2"/>
        <w:rPr>
          <w:noProof/>
        </w:rPr>
      </w:pPr>
      <w:r w:rsidRPr="00B17201">
        <w:rPr>
          <w:noProof/>
        </w:rPr>
        <w:t>Partie III – Bonifications pour les petits véhicules à émission nulle</w:t>
      </w:r>
      <w:r w:rsidRPr="00B17201">
        <w:rPr>
          <w:noProof/>
        </w:rPr>
        <w:tab/>
      </w:r>
      <w:r w:rsidRPr="00B17201">
        <w:rPr>
          <w:noProof/>
        </w:rPr>
        <w:fldChar w:fldCharType="begin"/>
      </w:r>
      <w:r w:rsidRPr="00B17201">
        <w:rPr>
          <w:noProof/>
        </w:rPr>
        <w:instrText xml:space="preserve"> PAGEREF \h _Toc1592EFAD495F4BEEA007173ACD19D6B2 \* MERGEFORMAT </w:instrText>
      </w:r>
      <w:r w:rsidRPr="00B17201">
        <w:rPr>
          <w:noProof/>
        </w:rPr>
      </w:r>
      <w:r w:rsidRPr="00B17201">
        <w:rPr>
          <w:noProof/>
        </w:rPr>
        <w:fldChar w:fldCharType="separate"/>
      </w:r>
      <w:r w:rsidRPr="00B17201">
        <w:rPr>
          <w:noProof/>
        </w:rPr>
        <w:t>6</w:t>
      </w:r>
      <w:r w:rsidRPr="00B17201">
        <w:rPr>
          <w:noProof/>
        </w:rPr>
        <w:fldChar w:fldCharType="end"/>
      </w:r>
    </w:p>
    <w:p w14:paraId="24FBB27E" w14:textId="18CC920F" w:rsidR="00901425" w:rsidRPr="00B17201" w:rsidRDefault="00901425" w:rsidP="00901425">
      <w:pPr>
        <w:pStyle w:val="TOC5"/>
        <w:rPr>
          <w:noProof/>
        </w:rPr>
      </w:pPr>
      <w:r w:rsidRPr="00B17201">
        <w:rPr>
          <w:noProof/>
        </w:rPr>
        <w:t xml:space="preserve">ANNEXE IV </w:t>
      </w:r>
      <w:r w:rsidRPr="00B17201">
        <w:rPr>
          <w:noProof/>
        </w:rPr>
        <w:br/>
        <w:t>Modification du règlement (UE) 2018/1724</w:t>
      </w:r>
      <w:r w:rsidRPr="00B17201">
        <w:rPr>
          <w:noProof/>
        </w:rPr>
        <w:tab/>
      </w:r>
      <w:r w:rsidRPr="00B17201">
        <w:rPr>
          <w:noProof/>
        </w:rPr>
        <w:fldChar w:fldCharType="begin"/>
      </w:r>
      <w:r w:rsidRPr="00B17201">
        <w:rPr>
          <w:noProof/>
        </w:rPr>
        <w:instrText xml:space="preserve"> PAGEREF \h _Toc72C3D5F66D804A559BEF6B5DB6500FFA \* MERGEFORMAT </w:instrText>
      </w:r>
      <w:r w:rsidRPr="00B17201">
        <w:rPr>
          <w:noProof/>
        </w:rPr>
      </w:r>
      <w:r w:rsidRPr="00B17201">
        <w:rPr>
          <w:noProof/>
        </w:rPr>
        <w:fldChar w:fldCharType="separate"/>
      </w:r>
      <w:r w:rsidRPr="00B17201">
        <w:rPr>
          <w:noProof/>
        </w:rPr>
        <w:t>7</w:t>
      </w:r>
      <w:r w:rsidRPr="00B17201">
        <w:rPr>
          <w:noProof/>
        </w:rPr>
        <w:fldChar w:fldCharType="end"/>
      </w:r>
    </w:p>
    <w:p w14:paraId="0E1C1436" w14:textId="77777777" w:rsidR="00901425" w:rsidRPr="00B17201" w:rsidRDefault="00901425" w:rsidP="00901425">
      <w:pPr>
        <w:rPr>
          <w:noProof/>
        </w:rPr>
        <w:sectPr w:rsidR="00901425" w:rsidRPr="00B17201" w:rsidSect="00E7440A">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pPr>
    </w:p>
    <w:p w14:paraId="407291C1" w14:textId="71A1FE30" w:rsidR="00E8575F" w:rsidRPr="00B17201" w:rsidRDefault="00E8575F" w:rsidP="00A66A4A">
      <w:pPr>
        <w:pStyle w:val="Annexetitre"/>
        <w:rPr>
          <w:b w:val="0"/>
          <w:bCs/>
          <w:i/>
          <w:iCs/>
          <w:noProof/>
          <w:u w:val="none"/>
        </w:rPr>
      </w:pPr>
      <w:bookmarkStart w:id="1" w:name="_TocB8B830563AB44505965AD59E2CAFC3DE"/>
      <w:r w:rsidRPr="00B17201">
        <w:rPr>
          <w:b w:val="0"/>
          <w:i/>
          <w:noProof/>
          <w:u w:val="none"/>
        </w:rPr>
        <w:t>ANNEXE I</w:t>
      </w:r>
      <w:r w:rsidRPr="00B17201">
        <w:rPr>
          <w:noProof/>
        </w:rPr>
        <w:t xml:space="preserve"> </w:t>
      </w:r>
      <w:r w:rsidRPr="00B17201">
        <w:rPr>
          <w:noProof/>
        </w:rPr>
        <w:br/>
      </w:r>
      <w:r w:rsidRPr="00B17201">
        <w:rPr>
          <w:noProof/>
          <w:u w:val="none"/>
        </w:rPr>
        <w:t>Secteurs stratégiques</w:t>
      </w:r>
      <w:bookmarkEnd w:id="1"/>
      <w:r w:rsidRPr="00B17201">
        <w:rPr>
          <w:noProof/>
          <w:u w:val="none"/>
        </w:rPr>
        <w:t xml:space="preserve"> pour les zones d’industrialisation prioritaire</w:t>
      </w:r>
    </w:p>
    <w:p w14:paraId="064E635F" w14:textId="77777777" w:rsidR="00AD1CF0" w:rsidRPr="00B17201" w:rsidRDefault="00AD1CF0" w:rsidP="00472582">
      <w:pPr>
        <w:pStyle w:val="NumPar1"/>
        <w:numPr>
          <w:ilvl w:val="0"/>
          <w:numId w:val="14"/>
        </w:numPr>
        <w:rPr>
          <w:noProof/>
        </w:rPr>
      </w:pPr>
      <w:r w:rsidRPr="00B17201">
        <w:rPr>
          <w:noProof/>
        </w:rPr>
        <w:t>Industries grandes consommatrices d’énergie:</w:t>
      </w:r>
    </w:p>
    <w:p w14:paraId="0846E737" w14:textId="77777777" w:rsidR="00AD1CF0" w:rsidRPr="00B17201" w:rsidRDefault="00AD1CF0" w:rsidP="00472582">
      <w:pPr>
        <w:pStyle w:val="Point1letter"/>
        <w:numPr>
          <w:ilvl w:val="3"/>
          <w:numId w:val="15"/>
        </w:numPr>
        <w:rPr>
          <w:noProof/>
        </w:rPr>
      </w:pPr>
      <w:r w:rsidRPr="00B17201">
        <w:rPr>
          <w:noProof/>
        </w:rPr>
        <w:t>industrie du papier et du carton, qui relève du code NACE C.17;</w:t>
      </w:r>
    </w:p>
    <w:p w14:paraId="2320E932" w14:textId="77777777" w:rsidR="00AD1CF0" w:rsidRPr="00B17201" w:rsidRDefault="00AD1CF0" w:rsidP="00AD1CF0">
      <w:pPr>
        <w:pStyle w:val="Point1letter"/>
        <w:rPr>
          <w:noProof/>
        </w:rPr>
      </w:pPr>
      <w:r w:rsidRPr="00B17201">
        <w:rPr>
          <w:noProof/>
        </w:rPr>
        <w:t>cokéfaction et raffinage, qui relève du code NACE C.19;</w:t>
      </w:r>
    </w:p>
    <w:p w14:paraId="409EF031" w14:textId="77777777" w:rsidR="00AD1CF0" w:rsidRPr="00B17201" w:rsidRDefault="00AD1CF0" w:rsidP="00AD1CF0">
      <w:pPr>
        <w:pStyle w:val="Point1letter"/>
        <w:rPr>
          <w:noProof/>
        </w:rPr>
      </w:pPr>
      <w:r w:rsidRPr="00B17201">
        <w:rPr>
          <w:noProof/>
        </w:rPr>
        <w:t>industrie chimique, qui relève du code NACE C.20;</w:t>
      </w:r>
    </w:p>
    <w:p w14:paraId="2C715727" w14:textId="77777777" w:rsidR="00AD1CF0" w:rsidRPr="00B17201" w:rsidRDefault="00AD1CF0" w:rsidP="00AD1CF0">
      <w:pPr>
        <w:pStyle w:val="Point1letter"/>
        <w:rPr>
          <w:noProof/>
        </w:rPr>
      </w:pPr>
      <w:r w:rsidRPr="00B17201">
        <w:rPr>
          <w:noProof/>
        </w:rPr>
        <w:t>fabrication de produits en caoutchouc et en plastique, qui relève du code NACE C.22;</w:t>
      </w:r>
    </w:p>
    <w:p w14:paraId="1329345C" w14:textId="77777777" w:rsidR="00AD1CF0" w:rsidRPr="00B17201" w:rsidRDefault="00AD1CF0" w:rsidP="00AD1CF0">
      <w:pPr>
        <w:pStyle w:val="Point1letter"/>
        <w:rPr>
          <w:noProof/>
        </w:rPr>
      </w:pPr>
      <w:r w:rsidRPr="00B17201">
        <w:rPr>
          <w:noProof/>
        </w:rPr>
        <w:t>fabrication d’autres produits minéraux non métalliques, qui relève du code NACE C.23;</w:t>
      </w:r>
    </w:p>
    <w:p w14:paraId="2ECA61F3" w14:textId="77777777" w:rsidR="00A32E4D" w:rsidRPr="00B17201" w:rsidDel="00A32E4D" w:rsidRDefault="00A32E4D" w:rsidP="00A32E4D">
      <w:pPr>
        <w:pStyle w:val="Point1letter"/>
        <w:rPr>
          <w:noProof/>
        </w:rPr>
      </w:pPr>
      <w:r w:rsidRPr="00B17201">
        <w:rPr>
          <w:noProof/>
        </w:rPr>
        <w:t>métallurgie, qui relève du code NACE C.24.</w:t>
      </w:r>
    </w:p>
    <w:p w14:paraId="251C676B" w14:textId="77777777" w:rsidR="00E8575F" w:rsidRPr="00B17201" w:rsidRDefault="00E8575F" w:rsidP="00472582">
      <w:pPr>
        <w:pStyle w:val="NumPar1"/>
        <w:numPr>
          <w:ilvl w:val="0"/>
          <w:numId w:val="14"/>
        </w:numPr>
        <w:rPr>
          <w:noProof/>
        </w:rPr>
      </w:pPr>
      <w:r w:rsidRPr="00B17201">
        <w:rPr>
          <w:noProof/>
        </w:rPr>
        <w:t xml:space="preserve">Industrie automobile, qui relève du code NACE C.29. </w:t>
      </w:r>
    </w:p>
    <w:p w14:paraId="2F9332EF" w14:textId="17184BB8" w:rsidR="00224300" w:rsidRPr="00B17201" w:rsidRDefault="008B21C2" w:rsidP="00E85412">
      <w:pPr>
        <w:pStyle w:val="NumPar1"/>
        <w:rPr>
          <w:noProof/>
        </w:rPr>
      </w:pPr>
      <w:r w:rsidRPr="00B17201">
        <w:rPr>
          <w:noProof/>
        </w:rPr>
        <w:t>Les technologies «zéro net» visées à l’article 4, paragraphe 1, du règlement (UE) 2024/1735.</w:t>
      </w:r>
    </w:p>
    <w:p w14:paraId="3D15BBA3" w14:textId="2D2750C1" w:rsidR="00C7409A" w:rsidRPr="00B17201" w:rsidRDefault="00C7409A" w:rsidP="00C7409A">
      <w:pPr>
        <w:pStyle w:val="Annexetitre"/>
        <w:rPr>
          <w:noProof/>
          <w:color w:val="0000FF"/>
          <w:u w:val="none"/>
        </w:rPr>
      </w:pPr>
      <w:bookmarkStart w:id="2" w:name="_Toc7EBBCFB0C80F4BAFB4B808BE2D320AF1"/>
      <w:r w:rsidRPr="00B17201">
        <w:rPr>
          <w:b w:val="0"/>
          <w:i/>
          <w:noProof/>
          <w:u w:val="none"/>
        </w:rPr>
        <w:t>ANNEXE II</w:t>
      </w:r>
      <w:r w:rsidRPr="00B17201">
        <w:rPr>
          <w:noProof/>
        </w:rPr>
        <w:t xml:space="preserve"> </w:t>
      </w:r>
      <w:r w:rsidRPr="00B17201">
        <w:rPr>
          <w:noProof/>
        </w:rPr>
        <w:br/>
      </w:r>
      <w:r w:rsidRPr="00B17201">
        <w:rPr>
          <w:noProof/>
          <w:u w:val="none"/>
        </w:rPr>
        <w:t xml:space="preserve">Exigences en matière de faibles émissions de carbone et d’origine UE pour les industries grandes consommatrices d’énergie </w:t>
      </w:r>
      <w:bookmarkEnd w:id="2"/>
    </w:p>
    <w:p w14:paraId="05CC3AA1" w14:textId="0852A114" w:rsidR="00C7409A" w:rsidRPr="00B17201" w:rsidRDefault="00C7409A" w:rsidP="00BA35E7">
      <w:pPr>
        <w:pStyle w:val="ManualHeading2"/>
        <w:rPr>
          <w:noProof/>
        </w:rPr>
      </w:pPr>
      <w:bookmarkStart w:id="3" w:name="_Toc48424C2CA3B14FECA75386738B8410AE"/>
      <w:r w:rsidRPr="00B17201">
        <w:rPr>
          <w:noProof/>
        </w:rPr>
        <w:t>Partie I – Procédures de passation de marchés publics</w:t>
      </w:r>
      <w:bookmarkEnd w:id="3"/>
    </w:p>
    <w:p w14:paraId="06F1E0DF" w14:textId="77777777" w:rsidR="00C7409A" w:rsidRPr="00B17201" w:rsidRDefault="00C7409A" w:rsidP="00C7409A">
      <w:pPr>
        <w:rPr>
          <w:noProof/>
        </w:rPr>
      </w:pPr>
      <w:r w:rsidRPr="00B17201">
        <w:rPr>
          <w:noProof/>
        </w:rPr>
        <w:t>Dans le cadre des procédures de passation de marchés publics lancées à compter du 1</w:t>
      </w:r>
      <w:r w:rsidRPr="00B17201">
        <w:rPr>
          <w:noProof/>
          <w:vertAlign w:val="superscript"/>
        </w:rPr>
        <w:t>er</w:t>
      </w:r>
      <w:r w:rsidRPr="00B17201">
        <w:rPr>
          <w:noProof/>
        </w:rPr>
        <w:t xml:space="preserve"> janvier 2029 et relevant du champ d’application des directives 2014/23/UE, 2014/24/UE ou 2014/25/UE, lorsque les marchés, les marchés de travaux ou les concessions de travaux portent sur l’acquisition de produits provenant d’industries grandes consommatrices d’énergie, les pouvoirs adjudicateurs exigent les pourcentages minimaux suivants:  </w:t>
      </w:r>
    </w:p>
    <w:p w14:paraId="084C8F33" w14:textId="551209BC" w:rsidR="00C7409A" w:rsidRPr="00B17201" w:rsidRDefault="00C7409A" w:rsidP="00472582">
      <w:pPr>
        <w:pStyle w:val="Point1letter"/>
        <w:numPr>
          <w:ilvl w:val="3"/>
          <w:numId w:val="10"/>
        </w:numPr>
        <w:rPr>
          <w:noProof/>
        </w:rPr>
      </w:pPr>
      <w:r w:rsidRPr="00B17201">
        <w:rPr>
          <w:noProof/>
        </w:rPr>
        <w:t xml:space="preserve">acier et tout produit dont les performances dépendent principalement de l’acier, destinés à être utilisés dans des bâtiments, des infrastructures et des véhicules à moteur à usage civil: au moins 25 % du volume total d’acier utilisé doit être bas carbone; </w:t>
      </w:r>
    </w:p>
    <w:p w14:paraId="7C1E563D" w14:textId="63AF0A9F" w:rsidR="00C7409A" w:rsidRPr="00B17201" w:rsidRDefault="00C7409A" w:rsidP="00472582">
      <w:pPr>
        <w:pStyle w:val="Point1letter"/>
        <w:numPr>
          <w:ilvl w:val="3"/>
          <w:numId w:val="10"/>
        </w:numPr>
        <w:rPr>
          <w:noProof/>
        </w:rPr>
      </w:pPr>
      <w:r w:rsidRPr="00B17201">
        <w:rPr>
          <w:noProof/>
        </w:rPr>
        <w:t xml:space="preserve">béton et mortier, ainsi que tout produit dont les performances dépendent principalement du béton et du mortier, destinés à être utilisés dans des bâtiments et des infrastructures à usage civil: au moins 5 % du volume total de béton et de mortier utilisés, y compris le clinker et le ciment servant à leur fabrication, doivent être bas carbone et d’origine UE; </w:t>
      </w:r>
    </w:p>
    <w:p w14:paraId="32DF63A3" w14:textId="56C9537A" w:rsidR="00C7409A" w:rsidRPr="00B17201" w:rsidRDefault="00C7409A" w:rsidP="00472582">
      <w:pPr>
        <w:pStyle w:val="Point1letter"/>
        <w:numPr>
          <w:ilvl w:val="3"/>
          <w:numId w:val="10"/>
        </w:numPr>
        <w:rPr>
          <w:noProof/>
        </w:rPr>
      </w:pPr>
      <w:r w:rsidRPr="00B17201">
        <w:rPr>
          <w:noProof/>
        </w:rPr>
        <w:t>aluminium et tout produit dont les performances dépendent principalement de l’aluminium, destinés à être utilisés dans des bâtiments, des infrastructures et des véhicules à moteur à usage civil: au moins 25 % du volume total d’aluminium utilisé doit être bas carbone et d’origine UE.</w:t>
      </w:r>
    </w:p>
    <w:p w14:paraId="2C1554E6" w14:textId="49D6B720" w:rsidR="00C7409A" w:rsidRPr="00B17201" w:rsidRDefault="00C7409A" w:rsidP="00BA35E7">
      <w:pPr>
        <w:pStyle w:val="ManualHeading2"/>
        <w:rPr>
          <w:noProof/>
        </w:rPr>
      </w:pPr>
      <w:bookmarkStart w:id="4" w:name="_Toc6D7F6BDAF5894AA39BE74B9DA97F987B"/>
      <w:r w:rsidRPr="00B17201">
        <w:rPr>
          <w:noProof/>
        </w:rPr>
        <w:t>Partie II – Autres formes d’intervention publique</w:t>
      </w:r>
      <w:bookmarkEnd w:id="4"/>
    </w:p>
    <w:p w14:paraId="4966C283" w14:textId="04944365" w:rsidR="00C7409A" w:rsidRPr="00B17201" w:rsidRDefault="00C7409A" w:rsidP="00C7409A">
      <w:pPr>
        <w:rPr>
          <w:noProof/>
        </w:rPr>
      </w:pPr>
      <w:r w:rsidRPr="00B17201">
        <w:rPr>
          <w:noProof/>
        </w:rPr>
        <w:t>En ce qui concerne les régimes établis ou mis à jour à compter du 1</w:t>
      </w:r>
      <w:r w:rsidRPr="00B17201">
        <w:rPr>
          <w:noProof/>
          <w:vertAlign w:val="superscript"/>
        </w:rPr>
        <w:t>er</w:t>
      </w:r>
      <w:r w:rsidRPr="00B17201">
        <w:rPr>
          <w:noProof/>
        </w:rPr>
        <w:t> janvier 2029 qui profitent aux ménages ou aux entreprises et qui visent principalement à soutenir la construction ou la rénovation de bâtiments à usage résidentiel et commercial ainsi que d’infrastructures, et la location et l’achat de véhicules à moteur à usage civil, les États membres, les autorités régionales ou locales, les organismes de droit public ou les associations constituées par une ou plusieurs de ces autorités ou par un ou plusieurs de ces organismes de droit public veillent à ce que les bénéficiaires qui satisfont aux exigences minimales suivantes soient les seuls éligibles:</w:t>
      </w:r>
    </w:p>
    <w:p w14:paraId="06410458" w14:textId="5FC60CA8" w:rsidR="00C7409A" w:rsidRPr="00B17201" w:rsidRDefault="00C7409A" w:rsidP="00472582">
      <w:pPr>
        <w:pStyle w:val="Point1letter"/>
        <w:numPr>
          <w:ilvl w:val="3"/>
          <w:numId w:val="11"/>
        </w:numPr>
        <w:rPr>
          <w:noProof/>
        </w:rPr>
      </w:pPr>
      <w:r w:rsidRPr="00B17201">
        <w:rPr>
          <w:noProof/>
        </w:rPr>
        <w:t>acier et tout produit dont les performances dépendent principalement de l’acier: au moins 25 % du volume total d’acier utilisé dans le produit ou le projet bénéficiant d’un soutien doit être bas carbone;</w:t>
      </w:r>
    </w:p>
    <w:p w14:paraId="075054E7" w14:textId="46EA2586" w:rsidR="00C7409A" w:rsidRPr="00B17201" w:rsidRDefault="00C7409A" w:rsidP="00472582">
      <w:pPr>
        <w:pStyle w:val="Point1letter"/>
        <w:numPr>
          <w:ilvl w:val="3"/>
          <w:numId w:val="11"/>
        </w:numPr>
        <w:rPr>
          <w:noProof/>
        </w:rPr>
      </w:pPr>
      <w:r w:rsidRPr="00B17201">
        <w:rPr>
          <w:noProof/>
        </w:rPr>
        <w:t>béton et mortier, ainsi que tout produit dont les performances dépendent principalement du béton et du mortier: au moins 5 % du volume total de béton et de mortier utilisés, y compris le clinker et le ciment servant à leur fabrication, dans le produit ou le projet bénéficiant d’un soutien doivent être bas carbone et d’origine UE;</w:t>
      </w:r>
    </w:p>
    <w:p w14:paraId="2FD5C67C" w14:textId="52F9DA5C" w:rsidR="00C7409A" w:rsidRPr="00B17201" w:rsidRDefault="00C7409A" w:rsidP="00472582">
      <w:pPr>
        <w:pStyle w:val="Point1letter"/>
        <w:numPr>
          <w:ilvl w:val="3"/>
          <w:numId w:val="11"/>
        </w:numPr>
        <w:rPr>
          <w:noProof/>
        </w:rPr>
      </w:pPr>
      <w:r w:rsidRPr="00B17201">
        <w:rPr>
          <w:noProof/>
        </w:rPr>
        <w:t>aluminium et tout produit dont les performances dépendent principalement de l’aluminium: au moins 25 % du volume total d’aluminium utilisé dans le produit ou le projet bénéficiant d’un soutien doit être bas carbone et d’origine UE.</w:t>
      </w:r>
    </w:p>
    <w:p w14:paraId="66DBBEB9" w14:textId="0E4FBDEA" w:rsidR="00F30021" w:rsidRPr="00B17201" w:rsidRDefault="00F30021" w:rsidP="002C5790">
      <w:pPr>
        <w:pStyle w:val="Point1letter"/>
        <w:rPr>
          <w:noProof/>
        </w:rPr>
        <w:sectPr w:rsidR="00F30021" w:rsidRPr="00B17201" w:rsidSect="00E7440A">
          <w:pgSz w:w="11907" w:h="16839"/>
          <w:pgMar w:top="1134" w:right="1417" w:bottom="1134" w:left="1417" w:header="709" w:footer="709" w:gutter="0"/>
          <w:cols w:space="720"/>
          <w:docGrid w:linePitch="360"/>
        </w:sectPr>
      </w:pPr>
    </w:p>
    <w:p w14:paraId="1730AD21" w14:textId="1A2E3573" w:rsidR="00C7409A" w:rsidRPr="00B17201" w:rsidRDefault="00C7409A" w:rsidP="00C7409A">
      <w:pPr>
        <w:pStyle w:val="Annexetitre"/>
        <w:rPr>
          <w:noProof/>
          <w:color w:val="0000FF"/>
        </w:rPr>
      </w:pPr>
      <w:bookmarkStart w:id="5" w:name="_TocD71C84F4FBD1462EB08F66799B80DBAF"/>
      <w:r w:rsidRPr="00B17201">
        <w:rPr>
          <w:b w:val="0"/>
          <w:i/>
          <w:noProof/>
          <w:u w:val="none"/>
        </w:rPr>
        <w:t>ANNEXE III</w:t>
      </w:r>
      <w:r w:rsidRPr="00B17201">
        <w:rPr>
          <w:noProof/>
        </w:rPr>
        <w:t xml:space="preserve"> </w:t>
      </w:r>
      <w:r w:rsidRPr="00B17201">
        <w:rPr>
          <w:noProof/>
        </w:rPr>
        <w:br/>
      </w:r>
      <w:r w:rsidRPr="00B17201">
        <w:rPr>
          <w:noProof/>
          <w:u w:val="none"/>
        </w:rPr>
        <w:t>Exigences en matière d’origine UE pour les véhicules</w:t>
      </w:r>
      <w:bookmarkEnd w:id="5"/>
    </w:p>
    <w:p w14:paraId="416E905F" w14:textId="485946F0" w:rsidR="00C7409A" w:rsidRPr="00B17201" w:rsidRDefault="00C7409A" w:rsidP="00BA35E7">
      <w:pPr>
        <w:pStyle w:val="ManualHeading2"/>
        <w:rPr>
          <w:noProof/>
        </w:rPr>
      </w:pPr>
      <w:bookmarkStart w:id="6" w:name="_Toc702AC8927B944820A600B849101BA877"/>
      <w:r w:rsidRPr="00B17201">
        <w:rPr>
          <w:noProof/>
        </w:rPr>
        <w:t>Partie I – Procédures de passation de marchés publics</w:t>
      </w:r>
      <w:bookmarkEnd w:id="6"/>
      <w:r w:rsidRPr="00B17201">
        <w:rPr>
          <w:noProof/>
        </w:rPr>
        <w:t xml:space="preserve"> pour les véhicules électriques</w:t>
      </w:r>
    </w:p>
    <w:p w14:paraId="49A56DFE" w14:textId="77777777" w:rsidR="00C7409A" w:rsidRPr="00B17201" w:rsidRDefault="00C7409A" w:rsidP="00C7409A">
      <w:pPr>
        <w:rPr>
          <w:noProof/>
        </w:rPr>
      </w:pPr>
      <w:r w:rsidRPr="00B17201">
        <w:rPr>
          <w:noProof/>
        </w:rPr>
        <w:t>Les véhicules électriques purs (VEP), les véhicules hybrides électriques rechargeables de l’extérieur (VHE-RE) ou les véhicules à pile à combustible (VPC) neufs faisant l’objet d’un contrat d’achat, de location, de crédit-bail ou de location-vente, dans le cadre de procédures de passation de marchés publics relevant du champ d’application de la directive 2014/24/UE ou de la directive 2014/25/UE, lancées à compter du [OP: Please insert the date = six months after the date of entry into force of this Regulation] doivent satisfaire aux exigences en matière d’origine UE énoncées dans la présente annexe.</w:t>
      </w:r>
    </w:p>
    <w:p w14:paraId="6A798F2C" w14:textId="77777777" w:rsidR="00C7409A" w:rsidRPr="00B17201" w:rsidRDefault="000F4E9A" w:rsidP="00C7409A">
      <w:pPr>
        <w:rPr>
          <w:noProof/>
        </w:rPr>
      </w:pPr>
      <w:r w:rsidRPr="00B17201">
        <w:rPr>
          <w:noProof/>
        </w:rPr>
        <w:t>Les VEP, VHE-RE et VPC neufs utilisés pour la prestation de services faisant l’objet de procédures de passation de marchés publics relevant du champ d’application de la directive 2014/24/UE ou de la directive 2014/25/UE doivent satisfaire aux exigences en matière d’origine de l’Union énoncées dans la présente annexe.</w:t>
      </w:r>
    </w:p>
    <w:p w14:paraId="54768C62" w14:textId="77777777" w:rsidR="00C7409A" w:rsidRPr="00B17201" w:rsidRDefault="00C7409A" w:rsidP="00C7409A">
      <w:pPr>
        <w:rPr>
          <w:noProof/>
        </w:rPr>
      </w:pPr>
      <w:r w:rsidRPr="00B17201">
        <w:rPr>
          <w:noProof/>
        </w:rPr>
        <w:t>Les véhicules visés aux premier et deuxième alinéas doivent satisfaire aux exigences suivantes en matière d’origine UE:</w:t>
      </w:r>
    </w:p>
    <w:p w14:paraId="62F4800A" w14:textId="77777777" w:rsidR="00C7409A" w:rsidRPr="00B17201" w:rsidRDefault="00C7409A" w:rsidP="00472582">
      <w:pPr>
        <w:pStyle w:val="Point1letter"/>
        <w:numPr>
          <w:ilvl w:val="3"/>
          <w:numId w:val="9"/>
        </w:numPr>
        <w:rPr>
          <w:noProof/>
        </w:rPr>
      </w:pPr>
      <w:r w:rsidRPr="00B17201">
        <w:rPr>
          <w:noProof/>
        </w:rPr>
        <w:t>le véhicule est monté dans l’Union;</w:t>
      </w:r>
    </w:p>
    <w:p w14:paraId="58E0E3D0" w14:textId="496022CD" w:rsidR="00C7409A" w:rsidRPr="00B17201" w:rsidRDefault="00C7409A" w:rsidP="00C7409A">
      <w:pPr>
        <w:pStyle w:val="Point1letter"/>
        <w:rPr>
          <w:noProof/>
        </w:rPr>
      </w:pPr>
      <w:r w:rsidRPr="00B17201">
        <w:rPr>
          <w:noProof/>
        </w:rPr>
        <w:t>le rapport entre le prix total départ usine des composants du véhicule, sans compter la batterie, d’origine UE et le prix total départ usine de l’ensemble des composants, sans compter la batterie, est d’au moins 70 %;</w:t>
      </w:r>
    </w:p>
    <w:p w14:paraId="469076C8" w14:textId="1A12C0C3" w:rsidR="00C7409A" w:rsidRPr="00B17201" w:rsidRDefault="00C7409A" w:rsidP="00C7409A">
      <w:pPr>
        <w:pStyle w:val="Point1letter"/>
        <w:rPr>
          <w:noProof/>
        </w:rPr>
      </w:pPr>
      <w:r w:rsidRPr="00B17201">
        <w:rPr>
          <w:noProof/>
        </w:rPr>
        <w:t>la batterie de traction du véhicule contient au moins trois composants spécifiques principaux d’origine UE, dont les cellules de batterie;</w:t>
      </w:r>
    </w:p>
    <w:p w14:paraId="2F29B6CA" w14:textId="5C79AC2A" w:rsidR="00C7409A" w:rsidRPr="00B17201" w:rsidRDefault="00C7409A" w:rsidP="00C7409A">
      <w:pPr>
        <w:pStyle w:val="Point1letter"/>
        <w:rPr>
          <w:noProof/>
        </w:rPr>
      </w:pPr>
      <w:r w:rsidRPr="00B17201">
        <w:rPr>
          <w:noProof/>
        </w:rPr>
        <w:t>la batterie de traction du véhicule contient au moins cinq composants spécifiques principaux d’origine UE, dont les cellules de batterie, la matière active cathodique et le système de gestion de la batterie;</w:t>
      </w:r>
    </w:p>
    <w:p w14:paraId="6E563EF1" w14:textId="77777777" w:rsidR="00C57928" w:rsidRPr="00B17201" w:rsidRDefault="00C57928" w:rsidP="00C57928">
      <w:pPr>
        <w:pStyle w:val="Point1letter"/>
        <w:rPr>
          <w:noProof/>
        </w:rPr>
      </w:pPr>
      <w:r w:rsidRPr="00B17201">
        <w:rPr>
          <w:noProof/>
        </w:rPr>
        <w:t>le rapport entre le prix total départ usine des composants de groupe motopropulseur électrique d’origine UE et le prix total départ usine de l’ensemble des composants de groupe motopropulseur électrique est d’au moins 50 %;</w:t>
      </w:r>
    </w:p>
    <w:p w14:paraId="7DB9A267" w14:textId="77777777" w:rsidR="00C57928" w:rsidRPr="00B17201" w:rsidRDefault="00C57928" w:rsidP="00C57928">
      <w:pPr>
        <w:pStyle w:val="Point1letter"/>
        <w:rPr>
          <w:noProof/>
        </w:rPr>
      </w:pPr>
      <w:r w:rsidRPr="00B17201">
        <w:rPr>
          <w:noProof/>
        </w:rPr>
        <w:t>le rapport entre le prix total départ usine des principaux systèmes électroniques d’origine UE et le prix total départ usine de l’ensemble des principaux systèmes électroniques est égal ou supérieur à 50 %.</w:t>
      </w:r>
    </w:p>
    <w:p w14:paraId="55983730" w14:textId="77777777" w:rsidR="00C7409A" w:rsidRPr="00B17201" w:rsidRDefault="5365471D" w:rsidP="00C7409A">
      <w:pPr>
        <w:rPr>
          <w:noProof/>
        </w:rPr>
      </w:pPr>
      <w:r w:rsidRPr="00B17201">
        <w:rPr>
          <w:noProof/>
        </w:rPr>
        <w:t>Les exigences énoncées aux points d), e) et f) s’appliquent à compter du [OP: please insert date 3 years after the date of entry into force of this Regulation].</w:t>
      </w:r>
    </w:p>
    <w:p w14:paraId="4B8A0A53" w14:textId="77777777" w:rsidR="40817FB6" w:rsidRPr="00B17201" w:rsidRDefault="004E7DBA">
      <w:pPr>
        <w:rPr>
          <w:noProof/>
        </w:rPr>
      </w:pPr>
      <w:r w:rsidRPr="00B17201">
        <w:rPr>
          <w:noProof/>
        </w:rPr>
        <w:t>Par dérogation aux exigences énoncées ci-dessus, les petits véhicules électriques de la sous-catégorie M1E, tels que définis dans le règlement (UE) 2018/858, doivent satisfaire aux exigences suivantes en matière d’origine UE:</w:t>
      </w:r>
    </w:p>
    <w:p w14:paraId="09BADC7C" w14:textId="77777777" w:rsidR="7B76B141" w:rsidRPr="00B17201" w:rsidRDefault="7B76B141" w:rsidP="00472582">
      <w:pPr>
        <w:pStyle w:val="NumPar1"/>
        <w:numPr>
          <w:ilvl w:val="0"/>
          <w:numId w:val="21"/>
        </w:numPr>
        <w:rPr>
          <w:noProof/>
        </w:rPr>
      </w:pPr>
      <w:r w:rsidRPr="00B17201">
        <w:rPr>
          <w:noProof/>
        </w:rPr>
        <w:t>le véhicule est monté dans l’Union;</w:t>
      </w:r>
    </w:p>
    <w:p w14:paraId="60A93BB7" w14:textId="77777777" w:rsidR="7B76B141" w:rsidRPr="00B17201" w:rsidRDefault="7B76B141" w:rsidP="73939D44">
      <w:pPr>
        <w:pStyle w:val="NumPar1"/>
        <w:rPr>
          <w:noProof/>
        </w:rPr>
      </w:pPr>
      <w:r w:rsidRPr="00B17201">
        <w:rPr>
          <w:noProof/>
        </w:rPr>
        <w:t>et un des deux critères suivants:</w:t>
      </w:r>
    </w:p>
    <w:p w14:paraId="5764BDEF" w14:textId="0CCB9A3E" w:rsidR="7B76B141" w:rsidRPr="00B17201" w:rsidRDefault="7B76B141" w:rsidP="00472582">
      <w:pPr>
        <w:pStyle w:val="Point1letter"/>
        <w:numPr>
          <w:ilvl w:val="3"/>
          <w:numId w:val="22"/>
        </w:numPr>
        <w:rPr>
          <w:noProof/>
        </w:rPr>
      </w:pPr>
      <w:r w:rsidRPr="00B17201">
        <w:rPr>
          <w:noProof/>
        </w:rPr>
        <w:t xml:space="preserve">le rapport entre le prix total départ usine des composants du véhicule, sans compter la batterie, d’origine de l’UE et le prix total départ usine de l’ensemble des composants, sans compter la batterie, est égal ou supérieur 70 %; ou </w:t>
      </w:r>
    </w:p>
    <w:p w14:paraId="4ED76D96" w14:textId="0622D35D" w:rsidR="73939D44" w:rsidRPr="00B17201" w:rsidRDefault="7B76B141" w:rsidP="002C1CA8">
      <w:pPr>
        <w:pStyle w:val="Point1letter"/>
        <w:rPr>
          <w:noProof/>
        </w:rPr>
      </w:pPr>
      <w:r w:rsidRPr="00B17201">
        <w:rPr>
          <w:noProof/>
        </w:rPr>
        <w:t>la batterie de traction du véhicule contient au moins trois composants spécifiques principaux d’origine UE, dont les cellules de batterie.</w:t>
      </w:r>
    </w:p>
    <w:p w14:paraId="399405AF" w14:textId="4434D443" w:rsidR="684F1013" w:rsidRPr="00B17201" w:rsidRDefault="684F1013" w:rsidP="114DF7A8">
      <w:pPr>
        <w:rPr>
          <w:noProof/>
        </w:rPr>
      </w:pPr>
      <w:r w:rsidRPr="00B17201">
        <w:rPr>
          <w:noProof/>
        </w:rPr>
        <w:t>À la demande d’un constructeur, tous les VEP, VHE-RE ou VPC de ce constructeur peuvent être considérés comme conformes, pendant une période de douze mois, aux exigences en matière d’origine UE si le constructeur prouve que le nombre total de tous les VEP, VHE-RE ou VPC conformes aux exigences en matière d’origine UE qui ont été assemblés par ce constructeur au cours de la période comprise entre le 1</w:t>
      </w:r>
      <w:r w:rsidRPr="00B17201">
        <w:rPr>
          <w:noProof/>
          <w:vertAlign w:val="superscript"/>
        </w:rPr>
        <w:t>er</w:t>
      </w:r>
      <w:r w:rsidRPr="00B17201">
        <w:rPr>
          <w:noProof/>
        </w:rPr>
        <w:t xml:space="preserve"> janvier et le 31 décembre (inclus) de l’année précédente représente un pourcentage égal ou supérieur à 85 % du nombre total de VEP, VHE-RE ou VPC du même constructeur qui ont été immatriculés dans l’Union au cours de la même période.  </w:t>
      </w:r>
    </w:p>
    <w:p w14:paraId="7EAADD84" w14:textId="77777777" w:rsidR="00C7409A" w:rsidRPr="00B17201" w:rsidRDefault="00C7409A" w:rsidP="00B43868">
      <w:pPr>
        <w:rPr>
          <w:noProof/>
          <w:color w:val="0000FF"/>
        </w:rPr>
      </w:pPr>
      <w:r w:rsidRPr="00B17201">
        <w:rPr>
          <w:noProof/>
        </w:rPr>
        <w:t>Lorsque les procédures de passation de marchés publics portent sur les marchés publics de services visés au deuxième alinéa, les véhicules déjà immatriculés dans l’Union sont réputés conformes aux exigences énoncées dans la présente annexe jusqu’au 31 décembre 2035.</w:t>
      </w:r>
    </w:p>
    <w:p w14:paraId="5C446767" w14:textId="2B054CFA" w:rsidR="00C7409A" w:rsidRPr="00B17201" w:rsidRDefault="00C7409A" w:rsidP="00BA35E7">
      <w:pPr>
        <w:pStyle w:val="ManualHeading2"/>
        <w:rPr>
          <w:noProof/>
        </w:rPr>
      </w:pPr>
      <w:bookmarkStart w:id="7" w:name="_TocF1CF0729A7384EFD89B3F73621D06C4A"/>
      <w:r w:rsidRPr="00B17201">
        <w:rPr>
          <w:noProof/>
        </w:rPr>
        <w:t xml:space="preserve">Partie II – </w:t>
      </w:r>
      <w:bookmarkEnd w:id="7"/>
      <w:r w:rsidRPr="00B17201">
        <w:rPr>
          <w:noProof/>
        </w:rPr>
        <w:t>Autres formes d’intervention publique et soutien financier en faveur des véhicules d’entreprise</w:t>
      </w:r>
    </w:p>
    <w:p w14:paraId="1360CD78" w14:textId="2C66B9DD" w:rsidR="00F6125F" w:rsidRPr="00B17201" w:rsidRDefault="00F6125F" w:rsidP="00F6125F">
      <w:pPr>
        <w:rPr>
          <w:noProof/>
        </w:rPr>
      </w:pPr>
      <w:r w:rsidRPr="00B17201">
        <w:rPr>
          <w:noProof/>
        </w:rPr>
        <w:t>Pour les régimes établis ou mis à jour à compter du [OP: Please insert the date = six months after the date of entry into force of this Regulation] qui favorisent l’achat, le crédit-bail, la location ou la location-vente de VEP, VHE-RE ou VPC, les États membres, les autorités régionales ou locales, les organismes de droit public ou les associations constituées par une ou plusieurs de ces autorités ou par un ou plusieurs de ces organismes de droit public veillent à ce que les bénéficiaires qui satisfont aux exigences en matière d’origine UE minimales suivantes soient les seuls éligibles.</w:t>
      </w:r>
    </w:p>
    <w:p w14:paraId="27C961F3" w14:textId="661FEBCD" w:rsidR="000D55DA" w:rsidRPr="00B17201" w:rsidRDefault="000D55DA" w:rsidP="0044685E">
      <w:pPr>
        <w:rPr>
          <w:rFonts w:eastAsia="Times New Roman"/>
          <w:noProof/>
          <w:szCs w:val="24"/>
        </w:rPr>
      </w:pPr>
      <w:r w:rsidRPr="00B17201">
        <w:rPr>
          <w:noProof/>
        </w:rPr>
        <w:t>Aux fins de la qualification des voitures et des camionnettes d’entreprise «fabriquées dans l’Union européenne» conformément à l’article 4 de la [proposition de règlement du 16 décembre 2025 sur les véhicules d’entreprise propres], les exigences suivantes s’appliquent:</w:t>
      </w:r>
    </w:p>
    <w:p w14:paraId="728B72CB" w14:textId="77777777" w:rsidR="00C7409A" w:rsidRPr="00B17201" w:rsidRDefault="00C7409A" w:rsidP="00A547DE">
      <w:pPr>
        <w:pStyle w:val="Point1letter"/>
        <w:numPr>
          <w:ilvl w:val="3"/>
          <w:numId w:val="24"/>
        </w:numPr>
        <w:rPr>
          <w:noProof/>
        </w:rPr>
      </w:pPr>
      <w:r w:rsidRPr="00B17201">
        <w:rPr>
          <w:noProof/>
        </w:rPr>
        <w:t>le véhicule est monté dans l’Union;</w:t>
      </w:r>
    </w:p>
    <w:p w14:paraId="6ABFBAE6" w14:textId="7248A386" w:rsidR="00C7409A" w:rsidRPr="00B17201" w:rsidRDefault="00C7409A" w:rsidP="00472582">
      <w:pPr>
        <w:pStyle w:val="Point1letter"/>
        <w:numPr>
          <w:ilvl w:val="3"/>
          <w:numId w:val="12"/>
        </w:numPr>
        <w:rPr>
          <w:noProof/>
        </w:rPr>
      </w:pPr>
      <w:r w:rsidRPr="00B17201">
        <w:rPr>
          <w:noProof/>
        </w:rPr>
        <w:t>le rapport entre le prix total départ usine des composants du véhicule, sans compter la batterie, d’origine UE et le prix total départ usine de l’ensemble des composants, sans compter la batterie, est égal ou supérieur 70 %;</w:t>
      </w:r>
    </w:p>
    <w:p w14:paraId="5871EBC9" w14:textId="387D9549" w:rsidR="00C7409A" w:rsidRPr="00B17201" w:rsidRDefault="00C7409A" w:rsidP="00472582">
      <w:pPr>
        <w:pStyle w:val="Point1letter"/>
        <w:numPr>
          <w:ilvl w:val="3"/>
          <w:numId w:val="12"/>
        </w:numPr>
        <w:rPr>
          <w:noProof/>
        </w:rPr>
      </w:pPr>
      <w:r w:rsidRPr="00B17201">
        <w:rPr>
          <w:noProof/>
        </w:rPr>
        <w:t>la batterie de traction du véhicule contient au moins trois composants spécifiques principaux d’origine UE, dont les cellules de batterie;</w:t>
      </w:r>
    </w:p>
    <w:p w14:paraId="256F5CE1" w14:textId="44D4DD7F" w:rsidR="00C7409A" w:rsidRPr="00B17201" w:rsidRDefault="00C7409A" w:rsidP="00472582">
      <w:pPr>
        <w:pStyle w:val="Point1letter"/>
        <w:numPr>
          <w:ilvl w:val="3"/>
          <w:numId w:val="12"/>
        </w:numPr>
        <w:rPr>
          <w:noProof/>
        </w:rPr>
      </w:pPr>
      <w:r w:rsidRPr="00B17201">
        <w:rPr>
          <w:noProof/>
        </w:rPr>
        <w:t>la batterie de traction du véhicule contient au moins cinq composants spécifiques principaux d’origine UE, dont les cellules de batterie, la matière active cathodique et le système de gestion de la batterie;</w:t>
      </w:r>
    </w:p>
    <w:p w14:paraId="3C4AFBEE" w14:textId="77777777" w:rsidR="00FF2A3A" w:rsidRPr="00B17201" w:rsidRDefault="00FF2A3A" w:rsidP="357E98EA">
      <w:pPr>
        <w:pStyle w:val="Point1letter"/>
        <w:rPr>
          <w:noProof/>
        </w:rPr>
      </w:pPr>
      <w:r w:rsidRPr="00B17201">
        <w:rPr>
          <w:noProof/>
        </w:rPr>
        <w:t>le rapport entre le prix total départ usine des composants de groupe motopropulseur électrique d’origine UE et le prix total départ usine de l’ensemble des composants de groupe motopropulseur électrique est égal ou supérieur 50 %;</w:t>
      </w:r>
    </w:p>
    <w:p w14:paraId="23AFAB49" w14:textId="77777777" w:rsidR="00FF2A3A" w:rsidRPr="00B17201" w:rsidRDefault="00FF2A3A" w:rsidP="357E98EA">
      <w:pPr>
        <w:pStyle w:val="Point1letter"/>
        <w:rPr>
          <w:noProof/>
        </w:rPr>
      </w:pPr>
      <w:r w:rsidRPr="00B17201">
        <w:rPr>
          <w:noProof/>
        </w:rPr>
        <w:t>le rapport entre le prix total départ usine des principaux systèmes électroniques d’origine UE et le prix total départ usine de l’ensemble des principaux systèmes électroniques est égal ou supérieur à 50 %.</w:t>
      </w:r>
    </w:p>
    <w:p w14:paraId="254AD07C" w14:textId="77777777" w:rsidR="00C7409A" w:rsidRPr="00B17201" w:rsidRDefault="5365471D" w:rsidP="00B43868">
      <w:pPr>
        <w:rPr>
          <w:noProof/>
        </w:rPr>
      </w:pPr>
      <w:r w:rsidRPr="00B17201">
        <w:rPr>
          <w:noProof/>
        </w:rPr>
        <w:t>Les exigences énoncées aux points d), e) et f) s’appliquent à compter du [OP: please insert date three years after the date of entry into force of this Regulation].</w:t>
      </w:r>
    </w:p>
    <w:p w14:paraId="422CEB08" w14:textId="0F790113" w:rsidR="6F61A6C7" w:rsidRPr="00B17201" w:rsidRDefault="00F30021">
      <w:pPr>
        <w:rPr>
          <w:noProof/>
        </w:rPr>
      </w:pPr>
      <w:r w:rsidRPr="00B17201">
        <w:rPr>
          <w:noProof/>
        </w:rPr>
        <w:t>Par dérogation aux exigences énoncées ci-dessus, les petits véhicules électriques de la sous-catégorie M1E, tels que définis dans le règlement (UE) 2018/858, doivent satisfaire aux exigences suivantes en matière d’origine UE:</w:t>
      </w:r>
    </w:p>
    <w:p w14:paraId="50415E68" w14:textId="77777777" w:rsidR="6F61A6C7" w:rsidRPr="00B17201" w:rsidRDefault="6F61A6C7">
      <w:pPr>
        <w:rPr>
          <w:noProof/>
        </w:rPr>
      </w:pPr>
      <w:r w:rsidRPr="00B17201">
        <w:rPr>
          <w:noProof/>
        </w:rPr>
        <w:t>1.</w:t>
      </w:r>
      <w:r w:rsidRPr="00B17201">
        <w:rPr>
          <w:noProof/>
        </w:rPr>
        <w:tab/>
        <w:t xml:space="preserve">le véhicule est monté dans l’Union; </w:t>
      </w:r>
    </w:p>
    <w:p w14:paraId="76CFA713" w14:textId="77777777" w:rsidR="007F5D50" w:rsidRPr="00B17201" w:rsidRDefault="6F61A6C7" w:rsidP="007F5D50">
      <w:pPr>
        <w:rPr>
          <w:noProof/>
        </w:rPr>
      </w:pPr>
      <w:r w:rsidRPr="00B17201">
        <w:rPr>
          <w:noProof/>
        </w:rPr>
        <w:t>2.</w:t>
      </w:r>
      <w:r w:rsidRPr="00B17201">
        <w:rPr>
          <w:noProof/>
        </w:rPr>
        <w:tab/>
        <w:t>et un des deux critères suivants:</w:t>
      </w:r>
    </w:p>
    <w:p w14:paraId="1749884E" w14:textId="2A2122CE" w:rsidR="007F5D50" w:rsidRPr="00B17201" w:rsidRDefault="007F5D50" w:rsidP="00472582">
      <w:pPr>
        <w:pStyle w:val="Point1letter"/>
        <w:numPr>
          <w:ilvl w:val="3"/>
          <w:numId w:val="20"/>
        </w:numPr>
        <w:rPr>
          <w:noProof/>
        </w:rPr>
      </w:pPr>
      <w:r w:rsidRPr="00B17201">
        <w:rPr>
          <w:noProof/>
        </w:rPr>
        <w:t xml:space="preserve">le rapport entre le prix total départ usine des composants du véhicule, sans compter la batterie, d’origine UE et le prix total départ usine de l’ensemble des composants, sans compter la batterie, est égal ou supérieur 70 %; ou </w:t>
      </w:r>
    </w:p>
    <w:p w14:paraId="7AFECA4F" w14:textId="56D56B94" w:rsidR="007F5D50" w:rsidRPr="00B17201" w:rsidRDefault="007F5D50" w:rsidP="00472582">
      <w:pPr>
        <w:pStyle w:val="Point1letter"/>
        <w:numPr>
          <w:ilvl w:val="3"/>
          <w:numId w:val="20"/>
        </w:numPr>
        <w:rPr>
          <w:noProof/>
        </w:rPr>
      </w:pPr>
      <w:r w:rsidRPr="00B17201">
        <w:rPr>
          <w:noProof/>
        </w:rPr>
        <w:t>la batterie de traction du véhicule contient au moins trois composants spécifiques principaux d’origine de l’Union, dont les cellules de batterie.</w:t>
      </w:r>
    </w:p>
    <w:p w14:paraId="2B2EA522" w14:textId="7C791045" w:rsidR="00D22960" w:rsidRPr="00B17201" w:rsidRDefault="4B35227F" w:rsidP="00AE7908">
      <w:pPr>
        <w:rPr>
          <w:noProof/>
        </w:rPr>
      </w:pPr>
      <w:r w:rsidRPr="00B17201">
        <w:rPr>
          <w:noProof/>
        </w:rPr>
        <w:t>À la demande d’un constructeur, tous les VEP, VHE-RE ou VPC de ce constructeur peuvent être considérés comme conformes, pendant une période de douze mois, aux exigences en matière d’origine UE si le constructeur prouve que le nombre total de tous les VEP, VHE-RE ou VPC conformes aux exigences en matière d’origine de l’Union qui ont été assemblés par ce constructeur au cours de la période comprise entre le 1</w:t>
      </w:r>
      <w:r w:rsidRPr="00B17201">
        <w:rPr>
          <w:noProof/>
          <w:vertAlign w:val="superscript"/>
        </w:rPr>
        <w:t>er</w:t>
      </w:r>
      <w:r w:rsidRPr="00B17201">
        <w:rPr>
          <w:noProof/>
        </w:rPr>
        <w:t xml:space="preserve"> janvier et le 31 décembre (inclus) de l’année précédente représente un pourcentage égal ou supérieur à 85 % du nombre total de VEP, VHE-RE ou VPC du même constructeur qui ont été immatriculés dans l’Union au cours de la même période. </w:t>
      </w:r>
    </w:p>
    <w:p w14:paraId="070ADD87" w14:textId="2F7B78C1" w:rsidR="00127E30" w:rsidRPr="00B17201" w:rsidRDefault="018DE982" w:rsidP="00BA35E7">
      <w:pPr>
        <w:pStyle w:val="ManualHeading2"/>
        <w:rPr>
          <w:noProof/>
        </w:rPr>
      </w:pPr>
      <w:bookmarkStart w:id="8" w:name="_Toc1592EFAD495F4BEEA007173ACD19D6B2"/>
      <w:r w:rsidRPr="00B17201">
        <w:rPr>
          <w:noProof/>
        </w:rPr>
        <w:t>Partie III – Bonifications pour les petits véhicules à émission nulle</w:t>
      </w:r>
      <w:bookmarkEnd w:id="8"/>
    </w:p>
    <w:p w14:paraId="46E13259" w14:textId="77777777" w:rsidR="00127E30" w:rsidRPr="00B17201" w:rsidRDefault="018DE982" w:rsidP="0022594C">
      <w:pPr>
        <w:rPr>
          <w:rFonts w:eastAsia="Times New Roman"/>
          <w:noProof/>
          <w:szCs w:val="24"/>
        </w:rPr>
      </w:pPr>
      <w:r w:rsidRPr="00B17201">
        <w:rPr>
          <w:noProof/>
        </w:rPr>
        <w:t>Aux fins de la qualification des véhicules comme «fabriqués dans l’UE» conformément à l’article 5 du règlement (UE) 2019/631 [tel que modifié par la proposition de règlement du 16 décembre 2025 modifiant le règlement (UE) 2019/631 en ce qui concerne les normes de performance en matière d’émissions de CO</w:t>
      </w:r>
      <w:r w:rsidRPr="00B17201">
        <w:rPr>
          <w:noProof/>
          <w:vertAlign w:val="subscript"/>
        </w:rPr>
        <w:t>2</w:t>
      </w:r>
      <w:r w:rsidRPr="00B17201">
        <w:rPr>
          <w:noProof/>
        </w:rPr>
        <w:t xml:space="preserve"> pour les véhicules utilitaires légers neufs et l’étiquetage des véhicules], les critères suivants s’appliquent:</w:t>
      </w:r>
    </w:p>
    <w:p w14:paraId="485563E9" w14:textId="77777777" w:rsidR="00127E30" w:rsidRPr="00B17201" w:rsidRDefault="018DE982" w:rsidP="00472582">
      <w:pPr>
        <w:pStyle w:val="NumPar1"/>
        <w:numPr>
          <w:ilvl w:val="0"/>
          <w:numId w:val="13"/>
        </w:numPr>
        <w:rPr>
          <w:noProof/>
        </w:rPr>
      </w:pPr>
      <w:r w:rsidRPr="00B17201">
        <w:rPr>
          <w:noProof/>
        </w:rPr>
        <w:t>le véhicule est monté dans l’Union;</w:t>
      </w:r>
    </w:p>
    <w:p w14:paraId="0EE6CAD9" w14:textId="77777777" w:rsidR="00127E30" w:rsidRPr="00B17201" w:rsidRDefault="018DE982" w:rsidP="00472582">
      <w:pPr>
        <w:pStyle w:val="NumPar1"/>
        <w:numPr>
          <w:ilvl w:val="0"/>
          <w:numId w:val="13"/>
        </w:numPr>
        <w:rPr>
          <w:noProof/>
        </w:rPr>
      </w:pPr>
      <w:r w:rsidRPr="00B17201">
        <w:rPr>
          <w:noProof/>
        </w:rPr>
        <w:t>et un des deux critères suivants:</w:t>
      </w:r>
    </w:p>
    <w:p w14:paraId="47009B35" w14:textId="47A2B736" w:rsidR="00127E30" w:rsidRPr="00B17201" w:rsidRDefault="018DE982" w:rsidP="00472582">
      <w:pPr>
        <w:pStyle w:val="Point1letter"/>
        <w:numPr>
          <w:ilvl w:val="3"/>
          <w:numId w:val="23"/>
        </w:numPr>
        <w:rPr>
          <w:noProof/>
        </w:rPr>
      </w:pPr>
      <w:r w:rsidRPr="00B17201">
        <w:rPr>
          <w:noProof/>
        </w:rPr>
        <w:t xml:space="preserve">le rapport entre le prix total départ usine des composants du véhicule, sans compter la batterie, d’origine UE et le prix total départ usine de l’ensemble des composants, sans compter la batterie, est égal ou supérieur 70 %; ou </w:t>
      </w:r>
    </w:p>
    <w:p w14:paraId="5E77FE96" w14:textId="35423205" w:rsidR="087444E5" w:rsidRPr="00B17201" w:rsidRDefault="018DE982" w:rsidP="007B2378">
      <w:pPr>
        <w:pStyle w:val="Point1letter"/>
        <w:rPr>
          <w:noProof/>
        </w:rPr>
      </w:pPr>
      <w:r w:rsidRPr="00B17201">
        <w:rPr>
          <w:noProof/>
        </w:rPr>
        <w:t>la batterie de traction du véhicule contient au moins trois composants spécifiques principaux d’origine UE, dont les cellules de batterie.</w:t>
      </w:r>
    </w:p>
    <w:p w14:paraId="3C6EB9A7" w14:textId="77777777" w:rsidR="00C25227" w:rsidRPr="00B17201" w:rsidRDefault="00C25227" w:rsidP="00B43868">
      <w:pPr>
        <w:rPr>
          <w:noProof/>
        </w:rPr>
        <w:sectPr w:rsidR="00C25227" w:rsidRPr="00B17201" w:rsidSect="00E7440A">
          <w:pgSz w:w="11907" w:h="16839"/>
          <w:pgMar w:top="1134" w:right="1417" w:bottom="1134" w:left="1417" w:header="709" w:footer="709" w:gutter="0"/>
          <w:cols w:space="720"/>
          <w:docGrid w:linePitch="360"/>
        </w:sectPr>
      </w:pPr>
    </w:p>
    <w:p w14:paraId="0EA0316A" w14:textId="19512A5B" w:rsidR="00D17F53" w:rsidRPr="00B17201" w:rsidRDefault="00D17F53" w:rsidP="00D51FF2">
      <w:pPr>
        <w:pStyle w:val="Annexetitre"/>
        <w:rPr>
          <w:noProof/>
        </w:rPr>
      </w:pPr>
      <w:bookmarkStart w:id="9" w:name="_Toc72C3D5F66D804A559BEF6B5DB6500FFA"/>
      <w:r w:rsidRPr="00B17201">
        <w:rPr>
          <w:b w:val="0"/>
          <w:i/>
          <w:noProof/>
          <w:u w:val="none"/>
        </w:rPr>
        <w:t>ANNEXE IV</w:t>
      </w:r>
      <w:r w:rsidRPr="00B17201">
        <w:rPr>
          <w:noProof/>
        </w:rPr>
        <w:t xml:space="preserve"> </w:t>
      </w:r>
      <w:r w:rsidRPr="00B17201">
        <w:rPr>
          <w:noProof/>
        </w:rPr>
        <w:br/>
      </w:r>
      <w:r w:rsidRPr="00B17201">
        <w:rPr>
          <w:noProof/>
          <w:u w:val="none"/>
        </w:rPr>
        <w:t>Modification du règlement (UE) 2018/1724</w:t>
      </w:r>
      <w:bookmarkEnd w:id="9"/>
    </w:p>
    <w:p w14:paraId="32945DE4" w14:textId="77777777" w:rsidR="0047726A" w:rsidRPr="00B17201" w:rsidRDefault="0047726A" w:rsidP="00AA2CD6">
      <w:pPr>
        <w:rPr>
          <w:rFonts w:ascii="Times" w:hAnsi="Times" w:cs="Times"/>
          <w:noProof/>
        </w:rPr>
      </w:pPr>
      <w:r w:rsidRPr="00B17201">
        <w:rPr>
          <w:rFonts w:ascii="Times" w:hAnsi="Times"/>
          <w:noProof/>
        </w:rPr>
        <w:t>Les annexes I et II sont modifiées comme suit:</w:t>
      </w:r>
    </w:p>
    <w:p w14:paraId="00E2B804" w14:textId="77777777" w:rsidR="0047726A" w:rsidRPr="00B17201" w:rsidRDefault="0047726A" w:rsidP="00472582">
      <w:pPr>
        <w:pStyle w:val="NumPar1"/>
        <w:numPr>
          <w:ilvl w:val="0"/>
          <w:numId w:val="17"/>
        </w:numPr>
        <w:rPr>
          <w:noProof/>
        </w:rPr>
      </w:pPr>
      <w:r w:rsidRPr="00B17201">
        <w:rPr>
          <w:noProof/>
        </w:rPr>
        <w:t>L’annexe I est modifiée comme suit:</w:t>
      </w:r>
    </w:p>
    <w:p w14:paraId="14BA302C" w14:textId="77777777" w:rsidR="0047726A" w:rsidRPr="00B17201" w:rsidRDefault="0047726A" w:rsidP="00472582">
      <w:pPr>
        <w:pStyle w:val="Point1letter"/>
        <w:numPr>
          <w:ilvl w:val="3"/>
          <w:numId w:val="18"/>
        </w:numPr>
        <w:rPr>
          <w:noProof/>
        </w:rPr>
      </w:pPr>
      <w:r w:rsidRPr="00B17201">
        <w:rPr>
          <w:noProof/>
        </w:rPr>
        <w:t>la ligne suivante, «Procédures d’octroi de permis», est ajoutée au tableau «Domaines d’information se rapportant aux entreprises» avant la ligne «AJ. Projets liés aux matières premières critiques»:</w:t>
      </w:r>
    </w:p>
    <w:tbl>
      <w:tblPr>
        <w:tblStyle w:val="TableGrid"/>
        <w:tblW w:w="0" w:type="auto"/>
        <w:tblInd w:w="360" w:type="dxa"/>
        <w:tblLook w:val="04A0" w:firstRow="1" w:lastRow="0" w:firstColumn="1" w:lastColumn="0" w:noHBand="0" w:noVBand="1"/>
      </w:tblPr>
      <w:tblGrid>
        <w:gridCol w:w="4461"/>
        <w:gridCol w:w="4468"/>
      </w:tblGrid>
      <w:tr w:rsidR="0047726A" w:rsidRPr="00B17201" w14:paraId="33441EDA" w14:textId="77777777">
        <w:tc>
          <w:tcPr>
            <w:tcW w:w="4621" w:type="dxa"/>
          </w:tcPr>
          <w:p w14:paraId="45D6BCBC" w14:textId="77777777" w:rsidR="0047726A" w:rsidRPr="00B17201" w:rsidRDefault="0047726A">
            <w:pPr>
              <w:spacing w:before="0" w:after="0"/>
              <w:rPr>
                <w:rFonts w:ascii="Times" w:eastAsia="Aptos" w:hAnsi="Times" w:cs="Times"/>
                <w:noProof/>
              </w:rPr>
            </w:pPr>
            <w:r w:rsidRPr="00B17201">
              <w:rPr>
                <w:rFonts w:ascii="Times" w:hAnsi="Times"/>
                <w:noProof/>
              </w:rPr>
              <w:t>«Procédure d’octroi de permis</w:t>
            </w:r>
          </w:p>
        </w:tc>
        <w:tc>
          <w:tcPr>
            <w:tcW w:w="4621" w:type="dxa"/>
          </w:tcPr>
          <w:p w14:paraId="5A1358D7" w14:textId="77777777" w:rsidR="0047726A" w:rsidRPr="00B17201" w:rsidRDefault="0047726A">
            <w:pPr>
              <w:spacing w:before="0" w:after="0"/>
              <w:rPr>
                <w:rFonts w:ascii="Times" w:eastAsia="Aptos" w:hAnsi="Times" w:cs="Times"/>
                <w:noProof/>
              </w:rPr>
            </w:pPr>
            <w:r w:rsidRPr="00B17201">
              <w:rPr>
                <w:rFonts w:ascii="Times" w:hAnsi="Times"/>
                <w:noProof/>
              </w:rPr>
              <w:t>Informations concernant les procédures d’octroi de permis pour les projets de fabrication industrielle, y compris les projets liés à la fabrication de technologies “zéro net” et aux matières premières critiques.»;</w:t>
            </w:r>
          </w:p>
        </w:tc>
      </w:tr>
    </w:tbl>
    <w:p w14:paraId="57605681" w14:textId="77777777" w:rsidR="0047726A" w:rsidRPr="00B17201" w:rsidRDefault="0047726A" w:rsidP="0047726A">
      <w:pPr>
        <w:pStyle w:val="Point1letter"/>
        <w:rPr>
          <w:noProof/>
        </w:rPr>
      </w:pPr>
      <w:r w:rsidRPr="00B17201">
        <w:rPr>
          <w:noProof/>
        </w:rPr>
        <w:t xml:space="preserve">à la ligne «R. Projets liés à la fabrication de technologies “zéro net”», dans la deuxième colonne, le point 1 est supprimé; </w:t>
      </w:r>
    </w:p>
    <w:p w14:paraId="25E36D61" w14:textId="77777777" w:rsidR="0047726A" w:rsidRPr="00B17201" w:rsidRDefault="0047726A" w:rsidP="0047726A">
      <w:pPr>
        <w:pStyle w:val="Point1letter"/>
        <w:rPr>
          <w:noProof/>
        </w:rPr>
      </w:pPr>
      <w:r w:rsidRPr="00B17201">
        <w:rPr>
          <w:noProof/>
        </w:rPr>
        <w:t xml:space="preserve">à la ligne «AJ. Projets liés aux matières premières critiques», dans la deuxième colonne, le point 2 est supprimé; </w:t>
      </w:r>
    </w:p>
    <w:p w14:paraId="20E7E5E7" w14:textId="77777777" w:rsidR="0047726A" w:rsidRPr="00B17201" w:rsidRDefault="0047726A" w:rsidP="00472582">
      <w:pPr>
        <w:pStyle w:val="NumPar1"/>
        <w:numPr>
          <w:ilvl w:val="0"/>
          <w:numId w:val="13"/>
        </w:numPr>
        <w:rPr>
          <w:noProof/>
        </w:rPr>
      </w:pPr>
      <w:r w:rsidRPr="00B17201">
        <w:rPr>
          <w:noProof/>
        </w:rPr>
        <w:t>L’annexe II est modifiée comme suit:</w:t>
      </w:r>
    </w:p>
    <w:p w14:paraId="7B6B8337" w14:textId="77777777" w:rsidR="0047726A" w:rsidRPr="00B17201" w:rsidRDefault="0047726A" w:rsidP="00472582">
      <w:pPr>
        <w:pStyle w:val="Point1letter"/>
        <w:numPr>
          <w:ilvl w:val="3"/>
          <w:numId w:val="19"/>
        </w:numPr>
        <w:rPr>
          <w:noProof/>
        </w:rPr>
      </w:pPr>
      <w:r w:rsidRPr="00B17201">
        <w:rPr>
          <w:noProof/>
        </w:rPr>
        <w:t>la ligne «Démarrage et gestion d’une entreprise, et cessation d’activité» est modifiée comme suit:</w:t>
      </w:r>
    </w:p>
    <w:p w14:paraId="6695CCF0" w14:textId="77777777" w:rsidR="0047726A" w:rsidRPr="00B17201" w:rsidRDefault="0047726A" w:rsidP="00472582">
      <w:pPr>
        <w:pStyle w:val="Point2letter"/>
        <w:numPr>
          <w:ilvl w:val="5"/>
          <w:numId w:val="16"/>
        </w:numPr>
        <w:ind w:left="1701"/>
        <w:rPr>
          <w:noProof/>
        </w:rPr>
      </w:pPr>
      <w:r w:rsidRPr="00B17201">
        <w:rPr>
          <w:noProof/>
        </w:rPr>
        <w:t>dans la deuxième colonne, le deuxième alinéa suivant est ajouté:</w:t>
      </w:r>
    </w:p>
    <w:p w14:paraId="1BE40C0D" w14:textId="77777777" w:rsidR="0047726A" w:rsidRPr="00B17201" w:rsidRDefault="0047726A" w:rsidP="0047726A">
      <w:pPr>
        <w:pStyle w:val="Text3"/>
        <w:rPr>
          <w:noProof/>
        </w:rPr>
      </w:pPr>
      <w:r w:rsidRPr="00B17201">
        <w:rPr>
          <w:noProof/>
        </w:rPr>
        <w:t>«Autorisation d’exercer une activité économique, y compris les procédures relatives à tous les permis nécessaires à la construction et à l’exploitation de projets liés aux matières premières critiques</w:t>
      </w:r>
      <w:r w:rsidRPr="00B17201">
        <w:rPr>
          <w:rStyle w:val="FootnoteReference"/>
          <w:noProof/>
        </w:rPr>
        <w:footnoteReference w:id="2"/>
      </w:r>
      <w:r w:rsidRPr="00B17201">
        <w:rPr>
          <w:noProof/>
        </w:rPr>
        <w:t>, les procédures relatives à tous les permis nécessaires à la construction, à l’extension, à la conversion et à l’exploitation de projets de fabrication de technologies “zéro net”</w:t>
      </w:r>
      <w:r w:rsidRPr="00B17201">
        <w:rPr>
          <w:rStyle w:val="FootnoteReference"/>
          <w:noProof/>
        </w:rPr>
        <w:footnoteReference w:id="3"/>
      </w:r>
      <w:r w:rsidRPr="00B17201">
        <w:rPr>
          <w:noProof/>
        </w:rPr>
        <w:t xml:space="preserve">, ainsi que les procédures relatives aux projets de fabrication industrielle.»;  </w:t>
      </w:r>
    </w:p>
    <w:p w14:paraId="16AF01AD" w14:textId="77777777" w:rsidR="0047726A" w:rsidRPr="00B17201" w:rsidRDefault="0047726A" w:rsidP="00472582">
      <w:pPr>
        <w:pStyle w:val="Point2letter"/>
        <w:numPr>
          <w:ilvl w:val="5"/>
          <w:numId w:val="16"/>
        </w:numPr>
        <w:ind w:left="1701"/>
        <w:rPr>
          <w:noProof/>
        </w:rPr>
      </w:pPr>
      <w:r w:rsidRPr="00B17201">
        <w:rPr>
          <w:noProof/>
        </w:rPr>
        <w:t xml:space="preserve">dans la troisième colonne, le deuxième alinéa suivant est ajouté: </w:t>
      </w:r>
    </w:p>
    <w:p w14:paraId="52E0111B" w14:textId="77777777" w:rsidR="0047726A" w:rsidRPr="00B17201" w:rsidRDefault="0047726A" w:rsidP="0047726A">
      <w:pPr>
        <w:pStyle w:val="Text3"/>
        <w:rPr>
          <w:noProof/>
        </w:rPr>
      </w:pPr>
      <w:r w:rsidRPr="00B17201">
        <w:rPr>
          <w:noProof/>
        </w:rPr>
        <w:t xml:space="preserve">«Confirmation de la demande d’autorisation d’exercer une activité économique, ainsi que tous les documents relatifs aux procédures concernant les matières premières critiques, la fabrication de technologies “zéro net” et les projets de l’industrie manufacturière (allant de l’accusé de réception indiquant que la demande est complète à la notification de la décision finale sur l’issue de la procédure, y compris par le point de contact désigné).»; </w:t>
      </w:r>
    </w:p>
    <w:p w14:paraId="1E42ED2E" w14:textId="64C9F87C" w:rsidR="00D17F53" w:rsidRPr="00B17201" w:rsidRDefault="0047726A">
      <w:pPr>
        <w:pStyle w:val="Point1letter"/>
        <w:numPr>
          <w:ilvl w:val="3"/>
          <w:numId w:val="19"/>
        </w:numPr>
        <w:rPr>
          <w:noProof/>
        </w:rPr>
      </w:pPr>
      <w:r w:rsidRPr="00B17201">
        <w:rPr>
          <w:noProof/>
        </w:rPr>
        <w:t>les lignes «Projets liés aux matières premières critiques» et «Projets liés à la fabrication de technologies “zéro net”» sont supprimées.</w:t>
      </w:r>
    </w:p>
    <w:sectPr w:rsidR="00D17F53" w:rsidRPr="00B17201" w:rsidSect="00E7440A">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C5A1DE" w14:textId="77777777" w:rsidR="006A238F" w:rsidRDefault="006A238F" w:rsidP="00B059D3">
      <w:pPr>
        <w:spacing w:before="0" w:after="0"/>
      </w:pPr>
      <w:r>
        <w:separator/>
      </w:r>
    </w:p>
    <w:p w14:paraId="46DFC12D" w14:textId="77777777" w:rsidR="006A238F" w:rsidRDefault="006A238F"/>
  </w:endnote>
  <w:endnote w:type="continuationSeparator" w:id="0">
    <w:p w14:paraId="30CDFA06" w14:textId="77777777" w:rsidR="006A238F" w:rsidRDefault="006A238F" w:rsidP="00B059D3">
      <w:pPr>
        <w:spacing w:before="0" w:after="0"/>
      </w:pPr>
      <w:r>
        <w:continuationSeparator/>
      </w:r>
    </w:p>
    <w:p w14:paraId="68FD8308" w14:textId="77777777" w:rsidR="006A238F" w:rsidRDefault="006A238F"/>
  </w:endnote>
  <w:endnote w:type="continuationNotice" w:id="1">
    <w:p w14:paraId="5D7229AA" w14:textId="77777777" w:rsidR="006A238F" w:rsidRDefault="006A238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753700" w14:textId="6D2EEA8B" w:rsidR="00E7440A" w:rsidRPr="00E7440A" w:rsidRDefault="00E7440A" w:rsidP="00E7440A">
    <w:pPr>
      <w:pStyle w:val="Footer"/>
      <w:rPr>
        <w:rFonts w:ascii="Arial" w:hAnsi="Arial" w:cs="Arial"/>
        <w:b/>
        <w:sz w:val="48"/>
      </w:rPr>
    </w:pPr>
    <w:r w:rsidRPr="00E7440A">
      <w:rPr>
        <w:rFonts w:ascii="Arial" w:hAnsi="Arial" w:cs="Arial"/>
        <w:b/>
        <w:sz w:val="48"/>
      </w:rPr>
      <w:t>FR</w:t>
    </w:r>
    <w:r w:rsidRPr="00E7440A">
      <w:rPr>
        <w:rFonts w:ascii="Arial" w:hAnsi="Arial" w:cs="Arial"/>
        <w:b/>
        <w:sz w:val="48"/>
      </w:rPr>
      <w:tab/>
    </w:r>
    <w:r w:rsidRPr="00E7440A">
      <w:rPr>
        <w:rFonts w:ascii="Arial" w:hAnsi="Arial" w:cs="Arial"/>
        <w:b/>
        <w:sz w:val="48"/>
      </w:rPr>
      <w:tab/>
    </w:r>
    <w:r w:rsidRPr="00E7440A">
      <w:tab/>
    </w:r>
    <w:r w:rsidRPr="00E7440A">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725326" w14:textId="5FAF5D33" w:rsidR="00E7440A" w:rsidRPr="00E7440A" w:rsidRDefault="00E7440A" w:rsidP="00E7440A">
    <w:pPr>
      <w:pStyle w:val="Footer"/>
      <w:rPr>
        <w:rFonts w:ascii="Arial" w:hAnsi="Arial" w:cs="Arial"/>
        <w:b/>
        <w:sz w:val="48"/>
      </w:rPr>
    </w:pPr>
    <w:r w:rsidRPr="00E7440A">
      <w:rPr>
        <w:rFonts w:ascii="Arial" w:hAnsi="Arial" w:cs="Arial"/>
        <w:b/>
        <w:sz w:val="48"/>
      </w:rPr>
      <w:t>FR</w:t>
    </w:r>
    <w:r w:rsidRPr="00E7440A">
      <w:rPr>
        <w:rFonts w:ascii="Arial" w:hAnsi="Arial" w:cs="Arial"/>
        <w:b/>
        <w:sz w:val="48"/>
      </w:rPr>
      <w:tab/>
    </w:r>
    <w:r w:rsidRPr="00E7440A">
      <w:rPr>
        <w:rFonts w:ascii="Arial" w:hAnsi="Arial" w:cs="Arial"/>
        <w:b/>
        <w:sz w:val="48"/>
      </w:rPr>
      <w:tab/>
    </w:r>
    <w:r w:rsidRPr="00E7440A">
      <w:tab/>
    </w:r>
    <w:r w:rsidRPr="00E7440A">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13BF4" w14:textId="77777777" w:rsidR="00E7440A" w:rsidRPr="00E7440A" w:rsidRDefault="00E7440A" w:rsidP="00E7440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670D43" w14:textId="77777777" w:rsidR="00E7440A" w:rsidRDefault="00E7440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90F0C1" w14:textId="1CD8AAF1" w:rsidR="00E7440A" w:rsidRPr="00E7440A" w:rsidRDefault="00E7440A" w:rsidP="00E7440A">
    <w:pPr>
      <w:pStyle w:val="Footer"/>
      <w:rPr>
        <w:rFonts w:ascii="Arial" w:hAnsi="Arial" w:cs="Arial"/>
        <w:b/>
        <w:sz w:val="48"/>
      </w:rPr>
    </w:pPr>
    <w:r w:rsidRPr="00E7440A">
      <w:rPr>
        <w:rFonts w:ascii="Arial" w:hAnsi="Arial" w:cs="Arial"/>
        <w:b/>
        <w:sz w:val="48"/>
      </w:rPr>
      <w:t>FR</w:t>
    </w:r>
    <w:r w:rsidRPr="00E7440A">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rsidRPr="00E7440A">
      <w:tab/>
    </w:r>
    <w:r w:rsidRPr="00E7440A">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35B9A" w14:textId="77777777" w:rsidR="00E7440A" w:rsidRDefault="00E7440A" w:rsidP="00E744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BD00F2" w14:textId="77777777" w:rsidR="006A238F" w:rsidRDefault="006A238F" w:rsidP="00B059D3">
      <w:pPr>
        <w:spacing w:before="0" w:after="0"/>
      </w:pPr>
      <w:r>
        <w:separator/>
      </w:r>
    </w:p>
    <w:p w14:paraId="7CDA3055" w14:textId="77777777" w:rsidR="006A238F" w:rsidRDefault="006A238F"/>
  </w:footnote>
  <w:footnote w:type="continuationSeparator" w:id="0">
    <w:p w14:paraId="3142FB72" w14:textId="77777777" w:rsidR="006A238F" w:rsidRDefault="006A238F" w:rsidP="00B059D3">
      <w:pPr>
        <w:spacing w:before="0" w:after="0"/>
      </w:pPr>
      <w:r>
        <w:continuationSeparator/>
      </w:r>
    </w:p>
    <w:p w14:paraId="71B50A65" w14:textId="77777777" w:rsidR="006A238F" w:rsidRDefault="006A238F"/>
  </w:footnote>
  <w:footnote w:type="continuationNotice" w:id="1">
    <w:p w14:paraId="04FAADF6" w14:textId="77777777" w:rsidR="006A238F" w:rsidRDefault="006A238F">
      <w:pPr>
        <w:spacing w:before="0" w:after="0"/>
      </w:pPr>
    </w:p>
  </w:footnote>
  <w:footnote w:id="2">
    <w:p w14:paraId="28222115" w14:textId="77777777" w:rsidR="00F9138B" w:rsidRPr="000A6009" w:rsidRDefault="00F9138B">
      <w:pPr>
        <w:pStyle w:val="FootnoteText"/>
        <w:rPr>
          <w:lang w:val="fr-BE"/>
        </w:rPr>
      </w:pPr>
      <w:r>
        <w:rPr>
          <w:rStyle w:val="FootnoteReference"/>
        </w:rPr>
        <w:footnoteRef/>
      </w:r>
      <w:r w:rsidRPr="000A6009">
        <w:rPr>
          <w:lang w:val="fr-BE"/>
        </w:rPr>
        <w:tab/>
        <w:t>Procédure concernant l’ensemble des autorisations pour construire et exploiter des projets dans le secteur des matières premières critiques, dont les permis de construction, les autorisations d’utilisation de produits chimiques et les autorisations de raccordement au réseau, ainsi que les évaluations et autorisations environnementales lorsqu’elles sont requises, et englobant toutes les demandes et procédures, depuis la reconnaissance du fait que la demande est complète jusqu’à la notification, par le point unique de contact concerné, de la décision globale sur l’issue de la procédure; conformément à l’article 9 du règlement (UE) 2024/1252.</w:t>
      </w:r>
    </w:p>
  </w:footnote>
  <w:footnote w:id="3">
    <w:p w14:paraId="405BEEAE" w14:textId="77777777" w:rsidR="00F9138B" w:rsidRPr="000A6009" w:rsidRDefault="00F9138B">
      <w:pPr>
        <w:pStyle w:val="FootnoteText"/>
        <w:rPr>
          <w:lang w:val="fr-BE"/>
        </w:rPr>
      </w:pPr>
      <w:r>
        <w:rPr>
          <w:rStyle w:val="FootnoteReference"/>
        </w:rPr>
        <w:footnoteRef/>
      </w:r>
      <w:r w:rsidRPr="000A6009">
        <w:rPr>
          <w:lang w:val="fr-BE"/>
        </w:rPr>
        <w:tab/>
        <w:t xml:space="preserve">Procédures pour tous les permis pertinents pour construire, étendre, convertir et exploiter des projets de production de technologies «zéro net», et des projets stratégiques «zéro net», y compris les permis de construction, les autorisations d’utilisation de produits chimiques et les permis de raccordement au réseau, les évaluations et autorisations environnementales lorsqu’elles sont requises, et englobant toutes les demandes et procédures.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F273F" w14:textId="77777777" w:rsidR="00E7440A" w:rsidRPr="00E7440A" w:rsidRDefault="00E7440A" w:rsidP="00E744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9DD3C" w14:textId="77777777" w:rsidR="00E7440A" w:rsidRPr="00E7440A" w:rsidRDefault="00E7440A" w:rsidP="00E744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ED133" w14:textId="77777777" w:rsidR="00E7440A" w:rsidRPr="00E7440A" w:rsidRDefault="00E7440A" w:rsidP="00E7440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37A983" w14:textId="77777777" w:rsidR="00E7440A" w:rsidRDefault="00E7440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470051" w14:textId="77777777" w:rsidR="00E7440A" w:rsidRDefault="00E744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1A260B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7C727DA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F6B41ED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DF10068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054C56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E2B6EA3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F69E9768"/>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C58405DA"/>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24 09:57:0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à"/>
    <w:docVar w:name="LW_ACCOMPAGNANT.CP" w:val="à"/>
    <w:docVar w:name="LW_ANNEX_NBR_FIRST" w:val="1"/>
    <w:docVar w:name="LW_ANNEX_NBR_LAST" w:val="4"/>
    <w:docVar w:name="LW_ANNEX_UNIQUE" w:val="0"/>
    <w:docVar w:name="LW_CORRIGENDUM" w:val="&lt;UNUSED&gt;"/>
    <w:docVar w:name="LW_COVERPAGE_EXISTS" w:val="True"/>
    <w:docVar w:name="LW_COVERPAGE_GUID" w:val="DADC55E4-DF0E-4326-9822-6FD1C65285C9"/>
    <w:docVar w:name="LW_COVERPAGE_TYPE" w:val="1"/>
    <w:docVar w:name="LW_CreatedUtc" w:val="2025-12-22T09:09:43.6020246Z"/>
    <w:docVar w:name="LW_CROSSREFERENCE" w:val="{SEC(2026) 70 final} - {SWD(2026) 70 final} - {SWD(2026) 71 final} - {SWD(2026) 72 final}"/>
    <w:docVar w:name="LW_DocType" w:val="ANNEX"/>
    <w:docVar w:name="LW_EMISSION" w:val="4.3.2026"/>
    <w:docVar w:name="LW_EMISSION_ISODATE" w:val="2026-03-04"/>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établissant un cadre de mesures d\u8217?accélération du développement des capacités industrielles et de la décarbonation dans des secteurs stratégiques et modifiant les règlements (UE) 2018/1724, (UE) 2024/1735 et (UE) 2024/3110"/>
    <w:docVar w:name="LW_OBJETACTEPRINCIPAL.CP" w:val="établissant un cadre de mesures d\u8217?accélération du développement des capacités industrielles et de la décarbonation dans des secteurs stratégiques et modifiant les règlements (UE) 2018/1724, (UE) 2024/1735 et (UE) 2024/3110"/>
    <w:docVar w:name="LW_PART_NBR" w:val="&lt;UNUSED&gt;"/>
    <w:docVar w:name="LW_PART_NBR_TOTAL" w:val="&lt;UNUSED&gt;"/>
    <w:docVar w:name="LW_REF.INST.NEW" w:val="COM"/>
    <w:docVar w:name="LW_REF.INST.NEW_ADOPTED" w:val="final"/>
    <w:docVar w:name="LW_REF.INST.NEW_TEXT" w:val="(2026) 10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S"/>
    <w:docVar w:name="LW_TYPE.DOC.CP" w:val="ANNEXES"/>
    <w:docVar w:name="LW_TYPEACTEPRINCIPAL" w:val="la proposition de RÈGLEMENT DU PARLEMENT EUROPÉEN ET DU CONSEIL"/>
    <w:docVar w:name="LW_TYPEACTEPRINCIPAL.CP" w:val="la proposition de RÈGLEMENT DU PARLEMENT EUROPÉEN ET DU CONSEIL"/>
    <w:docVar w:name="LwApiVersions" w:val="LW4CoDe 1.24.5.0; LW 9.2, Build 20251112"/>
  </w:docVars>
  <w:rsids>
    <w:rsidRoot w:val="00B059D3"/>
    <w:rsid w:val="00000AB6"/>
    <w:rsid w:val="00001485"/>
    <w:rsid w:val="00002569"/>
    <w:rsid w:val="0000332E"/>
    <w:rsid w:val="00003CD4"/>
    <w:rsid w:val="00003D3D"/>
    <w:rsid w:val="000050B9"/>
    <w:rsid w:val="000079B6"/>
    <w:rsid w:val="000114C6"/>
    <w:rsid w:val="00012020"/>
    <w:rsid w:val="00013C07"/>
    <w:rsid w:val="000140E1"/>
    <w:rsid w:val="000148EF"/>
    <w:rsid w:val="000153FD"/>
    <w:rsid w:val="0001558D"/>
    <w:rsid w:val="00017CFC"/>
    <w:rsid w:val="000205EB"/>
    <w:rsid w:val="0002108A"/>
    <w:rsid w:val="000217DD"/>
    <w:rsid w:val="0002231B"/>
    <w:rsid w:val="000226D7"/>
    <w:rsid w:val="00023F1B"/>
    <w:rsid w:val="00024A73"/>
    <w:rsid w:val="00024FB8"/>
    <w:rsid w:val="00025E75"/>
    <w:rsid w:val="00025F49"/>
    <w:rsid w:val="00026866"/>
    <w:rsid w:val="00026F50"/>
    <w:rsid w:val="00027812"/>
    <w:rsid w:val="0003135A"/>
    <w:rsid w:val="000314E2"/>
    <w:rsid w:val="0003587B"/>
    <w:rsid w:val="00036241"/>
    <w:rsid w:val="00036E5A"/>
    <w:rsid w:val="0003796E"/>
    <w:rsid w:val="00037CB6"/>
    <w:rsid w:val="00040957"/>
    <w:rsid w:val="00041DD8"/>
    <w:rsid w:val="0004390A"/>
    <w:rsid w:val="00044CAB"/>
    <w:rsid w:val="0004579C"/>
    <w:rsid w:val="00054336"/>
    <w:rsid w:val="0005554B"/>
    <w:rsid w:val="00055B4C"/>
    <w:rsid w:val="000561B9"/>
    <w:rsid w:val="000561F5"/>
    <w:rsid w:val="00056369"/>
    <w:rsid w:val="000608CC"/>
    <w:rsid w:val="00061147"/>
    <w:rsid w:val="0006114D"/>
    <w:rsid w:val="00062591"/>
    <w:rsid w:val="00064F2D"/>
    <w:rsid w:val="000652CC"/>
    <w:rsid w:val="0006552B"/>
    <w:rsid w:val="00066C91"/>
    <w:rsid w:val="00067F4A"/>
    <w:rsid w:val="00070446"/>
    <w:rsid w:val="000711E6"/>
    <w:rsid w:val="0007290B"/>
    <w:rsid w:val="00073B0A"/>
    <w:rsid w:val="0007432E"/>
    <w:rsid w:val="000745E1"/>
    <w:rsid w:val="00075D13"/>
    <w:rsid w:val="00076A0B"/>
    <w:rsid w:val="000772B6"/>
    <w:rsid w:val="00081A35"/>
    <w:rsid w:val="0008272B"/>
    <w:rsid w:val="00082FD2"/>
    <w:rsid w:val="00083789"/>
    <w:rsid w:val="00083AF2"/>
    <w:rsid w:val="00084E01"/>
    <w:rsid w:val="000851C2"/>
    <w:rsid w:val="0008573D"/>
    <w:rsid w:val="0008631A"/>
    <w:rsid w:val="0008789C"/>
    <w:rsid w:val="000903E4"/>
    <w:rsid w:val="000905ED"/>
    <w:rsid w:val="00091CDD"/>
    <w:rsid w:val="00091DAA"/>
    <w:rsid w:val="00092372"/>
    <w:rsid w:val="00093752"/>
    <w:rsid w:val="00093A72"/>
    <w:rsid w:val="00093E27"/>
    <w:rsid w:val="00093EC0"/>
    <w:rsid w:val="0009598F"/>
    <w:rsid w:val="00096C5F"/>
    <w:rsid w:val="00097972"/>
    <w:rsid w:val="000A040C"/>
    <w:rsid w:val="000A1347"/>
    <w:rsid w:val="000A37B5"/>
    <w:rsid w:val="000A535B"/>
    <w:rsid w:val="000A5E54"/>
    <w:rsid w:val="000A6009"/>
    <w:rsid w:val="000A6A11"/>
    <w:rsid w:val="000A6B72"/>
    <w:rsid w:val="000A6B9F"/>
    <w:rsid w:val="000A7E12"/>
    <w:rsid w:val="000B1CAE"/>
    <w:rsid w:val="000B4315"/>
    <w:rsid w:val="000B434A"/>
    <w:rsid w:val="000B6EA1"/>
    <w:rsid w:val="000C00C0"/>
    <w:rsid w:val="000C1384"/>
    <w:rsid w:val="000C154C"/>
    <w:rsid w:val="000C1DAE"/>
    <w:rsid w:val="000C1F91"/>
    <w:rsid w:val="000C2B94"/>
    <w:rsid w:val="000C3441"/>
    <w:rsid w:val="000C3622"/>
    <w:rsid w:val="000C4CE1"/>
    <w:rsid w:val="000C55B0"/>
    <w:rsid w:val="000D044B"/>
    <w:rsid w:val="000D07CF"/>
    <w:rsid w:val="000D0968"/>
    <w:rsid w:val="000D161C"/>
    <w:rsid w:val="000D181E"/>
    <w:rsid w:val="000D1A62"/>
    <w:rsid w:val="000D2725"/>
    <w:rsid w:val="000D427B"/>
    <w:rsid w:val="000D45BC"/>
    <w:rsid w:val="000D55C4"/>
    <w:rsid w:val="000D55DA"/>
    <w:rsid w:val="000D581D"/>
    <w:rsid w:val="000E119E"/>
    <w:rsid w:val="000E1582"/>
    <w:rsid w:val="000E274D"/>
    <w:rsid w:val="000E34AE"/>
    <w:rsid w:val="000E3921"/>
    <w:rsid w:val="000E46B9"/>
    <w:rsid w:val="000E676B"/>
    <w:rsid w:val="000E6D65"/>
    <w:rsid w:val="000F127A"/>
    <w:rsid w:val="000F13DF"/>
    <w:rsid w:val="000F19EE"/>
    <w:rsid w:val="000F22BF"/>
    <w:rsid w:val="000F2AD3"/>
    <w:rsid w:val="000F301E"/>
    <w:rsid w:val="000F4085"/>
    <w:rsid w:val="000F4E9A"/>
    <w:rsid w:val="001013EB"/>
    <w:rsid w:val="0010158C"/>
    <w:rsid w:val="00101AA6"/>
    <w:rsid w:val="00102285"/>
    <w:rsid w:val="001026EA"/>
    <w:rsid w:val="0010359B"/>
    <w:rsid w:val="00104858"/>
    <w:rsid w:val="0010549D"/>
    <w:rsid w:val="00105FB7"/>
    <w:rsid w:val="0010792E"/>
    <w:rsid w:val="001103E8"/>
    <w:rsid w:val="001122B0"/>
    <w:rsid w:val="00113012"/>
    <w:rsid w:val="0011455E"/>
    <w:rsid w:val="00114CA8"/>
    <w:rsid w:val="001162B3"/>
    <w:rsid w:val="00116C53"/>
    <w:rsid w:val="001173A0"/>
    <w:rsid w:val="00117753"/>
    <w:rsid w:val="00121DBD"/>
    <w:rsid w:val="00123CA9"/>
    <w:rsid w:val="00123E08"/>
    <w:rsid w:val="00125FC8"/>
    <w:rsid w:val="00127DAD"/>
    <w:rsid w:val="00127E30"/>
    <w:rsid w:val="001306B7"/>
    <w:rsid w:val="00130BD4"/>
    <w:rsid w:val="001318D7"/>
    <w:rsid w:val="0013199D"/>
    <w:rsid w:val="00133246"/>
    <w:rsid w:val="001342E1"/>
    <w:rsid w:val="00134B45"/>
    <w:rsid w:val="00135AA3"/>
    <w:rsid w:val="0013707B"/>
    <w:rsid w:val="001404C2"/>
    <w:rsid w:val="0014267A"/>
    <w:rsid w:val="001428BB"/>
    <w:rsid w:val="00144A85"/>
    <w:rsid w:val="00144FE9"/>
    <w:rsid w:val="00145354"/>
    <w:rsid w:val="00145D79"/>
    <w:rsid w:val="0014702B"/>
    <w:rsid w:val="00147741"/>
    <w:rsid w:val="00153AEF"/>
    <w:rsid w:val="00154677"/>
    <w:rsid w:val="0015488E"/>
    <w:rsid w:val="00154BBE"/>
    <w:rsid w:val="00155A56"/>
    <w:rsid w:val="001606EB"/>
    <w:rsid w:val="00162C80"/>
    <w:rsid w:val="001633AC"/>
    <w:rsid w:val="00163F12"/>
    <w:rsid w:val="00164BBC"/>
    <w:rsid w:val="00165C4F"/>
    <w:rsid w:val="0016624E"/>
    <w:rsid w:val="00166410"/>
    <w:rsid w:val="001709B4"/>
    <w:rsid w:val="00171F9B"/>
    <w:rsid w:val="0017229B"/>
    <w:rsid w:val="001728A3"/>
    <w:rsid w:val="001728C2"/>
    <w:rsid w:val="00172EAD"/>
    <w:rsid w:val="00173FFA"/>
    <w:rsid w:val="00175EDD"/>
    <w:rsid w:val="001760BA"/>
    <w:rsid w:val="00176B89"/>
    <w:rsid w:val="001828A8"/>
    <w:rsid w:val="001829A6"/>
    <w:rsid w:val="00187AF0"/>
    <w:rsid w:val="00187CF0"/>
    <w:rsid w:val="001906B3"/>
    <w:rsid w:val="00190962"/>
    <w:rsid w:val="00190A3E"/>
    <w:rsid w:val="00191846"/>
    <w:rsid w:val="00192CA6"/>
    <w:rsid w:val="001942D1"/>
    <w:rsid w:val="0019524C"/>
    <w:rsid w:val="00195B88"/>
    <w:rsid w:val="0019692B"/>
    <w:rsid w:val="00196D3A"/>
    <w:rsid w:val="001978A8"/>
    <w:rsid w:val="001A2618"/>
    <w:rsid w:val="001A355C"/>
    <w:rsid w:val="001A39CE"/>
    <w:rsid w:val="001A40CF"/>
    <w:rsid w:val="001B0700"/>
    <w:rsid w:val="001B2B6A"/>
    <w:rsid w:val="001B42C3"/>
    <w:rsid w:val="001B53EC"/>
    <w:rsid w:val="001B56A4"/>
    <w:rsid w:val="001B63BF"/>
    <w:rsid w:val="001C0D22"/>
    <w:rsid w:val="001C1301"/>
    <w:rsid w:val="001C148B"/>
    <w:rsid w:val="001C4158"/>
    <w:rsid w:val="001C48BD"/>
    <w:rsid w:val="001C54C1"/>
    <w:rsid w:val="001C579C"/>
    <w:rsid w:val="001C641A"/>
    <w:rsid w:val="001C7732"/>
    <w:rsid w:val="001D2829"/>
    <w:rsid w:val="001D30D7"/>
    <w:rsid w:val="001D3C03"/>
    <w:rsid w:val="001D469B"/>
    <w:rsid w:val="001D5C78"/>
    <w:rsid w:val="001E05CC"/>
    <w:rsid w:val="001E0958"/>
    <w:rsid w:val="001E0E49"/>
    <w:rsid w:val="001E3070"/>
    <w:rsid w:val="001E49FF"/>
    <w:rsid w:val="001E55C6"/>
    <w:rsid w:val="001E5E58"/>
    <w:rsid w:val="001E6D76"/>
    <w:rsid w:val="001E78E0"/>
    <w:rsid w:val="001E798A"/>
    <w:rsid w:val="001E7C37"/>
    <w:rsid w:val="001F062C"/>
    <w:rsid w:val="001F069C"/>
    <w:rsid w:val="001F1B65"/>
    <w:rsid w:val="001F2449"/>
    <w:rsid w:val="001F343E"/>
    <w:rsid w:val="001F497D"/>
    <w:rsid w:val="001F7994"/>
    <w:rsid w:val="001F7FDF"/>
    <w:rsid w:val="002015C8"/>
    <w:rsid w:val="00201E68"/>
    <w:rsid w:val="00202796"/>
    <w:rsid w:val="00202EAD"/>
    <w:rsid w:val="0020549A"/>
    <w:rsid w:val="00205903"/>
    <w:rsid w:val="00207D99"/>
    <w:rsid w:val="00210919"/>
    <w:rsid w:val="00210EDA"/>
    <w:rsid w:val="00210F60"/>
    <w:rsid w:val="002121CA"/>
    <w:rsid w:val="00213842"/>
    <w:rsid w:val="00214378"/>
    <w:rsid w:val="00214A0B"/>
    <w:rsid w:val="00220B91"/>
    <w:rsid w:val="00221066"/>
    <w:rsid w:val="00221D2F"/>
    <w:rsid w:val="00222E43"/>
    <w:rsid w:val="002230E3"/>
    <w:rsid w:val="0022426B"/>
    <w:rsid w:val="00224300"/>
    <w:rsid w:val="0022594C"/>
    <w:rsid w:val="00226D9E"/>
    <w:rsid w:val="002312BE"/>
    <w:rsid w:val="00231A75"/>
    <w:rsid w:val="00231D32"/>
    <w:rsid w:val="00232970"/>
    <w:rsid w:val="00234635"/>
    <w:rsid w:val="0023477A"/>
    <w:rsid w:val="002348C5"/>
    <w:rsid w:val="00234F60"/>
    <w:rsid w:val="00236219"/>
    <w:rsid w:val="002375E5"/>
    <w:rsid w:val="00240556"/>
    <w:rsid w:val="00241BA1"/>
    <w:rsid w:val="00241C60"/>
    <w:rsid w:val="00244B25"/>
    <w:rsid w:val="00247DE9"/>
    <w:rsid w:val="002508A2"/>
    <w:rsid w:val="00252690"/>
    <w:rsid w:val="00253414"/>
    <w:rsid w:val="0025369F"/>
    <w:rsid w:val="00253862"/>
    <w:rsid w:val="00254E9C"/>
    <w:rsid w:val="00255E95"/>
    <w:rsid w:val="00256700"/>
    <w:rsid w:val="00256B40"/>
    <w:rsid w:val="0025742A"/>
    <w:rsid w:val="00260DA4"/>
    <w:rsid w:val="00261265"/>
    <w:rsid w:val="00261582"/>
    <w:rsid w:val="00261AF2"/>
    <w:rsid w:val="0026440C"/>
    <w:rsid w:val="00264655"/>
    <w:rsid w:val="00264F68"/>
    <w:rsid w:val="00265933"/>
    <w:rsid w:val="00265B1D"/>
    <w:rsid w:val="0027010F"/>
    <w:rsid w:val="002703C8"/>
    <w:rsid w:val="0027155A"/>
    <w:rsid w:val="00271990"/>
    <w:rsid w:val="00272801"/>
    <w:rsid w:val="00273E4A"/>
    <w:rsid w:val="00275F87"/>
    <w:rsid w:val="00276AF0"/>
    <w:rsid w:val="002818A3"/>
    <w:rsid w:val="00282402"/>
    <w:rsid w:val="00282C1C"/>
    <w:rsid w:val="0028448A"/>
    <w:rsid w:val="00286A85"/>
    <w:rsid w:val="00286EFB"/>
    <w:rsid w:val="00287D5B"/>
    <w:rsid w:val="0029018B"/>
    <w:rsid w:val="00290E64"/>
    <w:rsid w:val="002911F1"/>
    <w:rsid w:val="0029175B"/>
    <w:rsid w:val="00292D12"/>
    <w:rsid w:val="00293ACA"/>
    <w:rsid w:val="002955F2"/>
    <w:rsid w:val="00296663"/>
    <w:rsid w:val="00296D3A"/>
    <w:rsid w:val="00297919"/>
    <w:rsid w:val="002A0249"/>
    <w:rsid w:val="002A1C95"/>
    <w:rsid w:val="002A2083"/>
    <w:rsid w:val="002A2392"/>
    <w:rsid w:val="002A2DCE"/>
    <w:rsid w:val="002A2E43"/>
    <w:rsid w:val="002A3F23"/>
    <w:rsid w:val="002A5EB7"/>
    <w:rsid w:val="002A6ADF"/>
    <w:rsid w:val="002A711C"/>
    <w:rsid w:val="002A7365"/>
    <w:rsid w:val="002A7A71"/>
    <w:rsid w:val="002B09FF"/>
    <w:rsid w:val="002B0D0E"/>
    <w:rsid w:val="002B1245"/>
    <w:rsid w:val="002B1B72"/>
    <w:rsid w:val="002B23D1"/>
    <w:rsid w:val="002B2432"/>
    <w:rsid w:val="002B25A0"/>
    <w:rsid w:val="002B4649"/>
    <w:rsid w:val="002B4A99"/>
    <w:rsid w:val="002B58BD"/>
    <w:rsid w:val="002B592D"/>
    <w:rsid w:val="002B5F41"/>
    <w:rsid w:val="002B7A30"/>
    <w:rsid w:val="002B7E38"/>
    <w:rsid w:val="002C1A74"/>
    <w:rsid w:val="002C1CA8"/>
    <w:rsid w:val="002C389D"/>
    <w:rsid w:val="002C3A5F"/>
    <w:rsid w:val="002C3BB3"/>
    <w:rsid w:val="002C4B02"/>
    <w:rsid w:val="002C5790"/>
    <w:rsid w:val="002C6B23"/>
    <w:rsid w:val="002C6FC1"/>
    <w:rsid w:val="002C721F"/>
    <w:rsid w:val="002D1B8D"/>
    <w:rsid w:val="002D7793"/>
    <w:rsid w:val="002E198A"/>
    <w:rsid w:val="002E2FCC"/>
    <w:rsid w:val="002E3BDC"/>
    <w:rsid w:val="002E4D72"/>
    <w:rsid w:val="002E7CD5"/>
    <w:rsid w:val="002F28EA"/>
    <w:rsid w:val="002F2BEB"/>
    <w:rsid w:val="002F39D6"/>
    <w:rsid w:val="002F50DD"/>
    <w:rsid w:val="002F66D9"/>
    <w:rsid w:val="002F77BE"/>
    <w:rsid w:val="00300ACD"/>
    <w:rsid w:val="00300FB3"/>
    <w:rsid w:val="00301AF8"/>
    <w:rsid w:val="003026A3"/>
    <w:rsid w:val="003036C9"/>
    <w:rsid w:val="00304106"/>
    <w:rsid w:val="00304C9F"/>
    <w:rsid w:val="003050DC"/>
    <w:rsid w:val="003051B0"/>
    <w:rsid w:val="00306BD4"/>
    <w:rsid w:val="00311DA7"/>
    <w:rsid w:val="00313214"/>
    <w:rsid w:val="0031368B"/>
    <w:rsid w:val="0031560D"/>
    <w:rsid w:val="00315CCC"/>
    <w:rsid w:val="003171E5"/>
    <w:rsid w:val="00317BCB"/>
    <w:rsid w:val="0032090D"/>
    <w:rsid w:val="00320FAE"/>
    <w:rsid w:val="00322D58"/>
    <w:rsid w:val="00323C9A"/>
    <w:rsid w:val="003243BF"/>
    <w:rsid w:val="003244E8"/>
    <w:rsid w:val="00326383"/>
    <w:rsid w:val="00326B82"/>
    <w:rsid w:val="003276B7"/>
    <w:rsid w:val="003309F1"/>
    <w:rsid w:val="0033116F"/>
    <w:rsid w:val="00331BE4"/>
    <w:rsid w:val="003335FB"/>
    <w:rsid w:val="00336664"/>
    <w:rsid w:val="0033668C"/>
    <w:rsid w:val="00336843"/>
    <w:rsid w:val="00336D0E"/>
    <w:rsid w:val="00340CA2"/>
    <w:rsid w:val="0034384B"/>
    <w:rsid w:val="00343A2B"/>
    <w:rsid w:val="00343D55"/>
    <w:rsid w:val="00345753"/>
    <w:rsid w:val="00347B38"/>
    <w:rsid w:val="00347D75"/>
    <w:rsid w:val="00347F13"/>
    <w:rsid w:val="0035230E"/>
    <w:rsid w:val="00355162"/>
    <w:rsid w:val="0035526C"/>
    <w:rsid w:val="003568A5"/>
    <w:rsid w:val="00361503"/>
    <w:rsid w:val="00362405"/>
    <w:rsid w:val="003627C6"/>
    <w:rsid w:val="003629E1"/>
    <w:rsid w:val="003634CE"/>
    <w:rsid w:val="00364393"/>
    <w:rsid w:val="00364E80"/>
    <w:rsid w:val="003669D6"/>
    <w:rsid w:val="00366E57"/>
    <w:rsid w:val="003678DC"/>
    <w:rsid w:val="00370116"/>
    <w:rsid w:val="0037053F"/>
    <w:rsid w:val="00370BD7"/>
    <w:rsid w:val="00371342"/>
    <w:rsid w:val="00371E33"/>
    <w:rsid w:val="0037211F"/>
    <w:rsid w:val="003727D7"/>
    <w:rsid w:val="00373BF8"/>
    <w:rsid w:val="00374261"/>
    <w:rsid w:val="00376522"/>
    <w:rsid w:val="00380AC6"/>
    <w:rsid w:val="003833CA"/>
    <w:rsid w:val="0038340D"/>
    <w:rsid w:val="003849B6"/>
    <w:rsid w:val="003864A9"/>
    <w:rsid w:val="003869A1"/>
    <w:rsid w:val="00387714"/>
    <w:rsid w:val="00387DFD"/>
    <w:rsid w:val="0039022D"/>
    <w:rsid w:val="00390FA8"/>
    <w:rsid w:val="003936A4"/>
    <w:rsid w:val="003943E6"/>
    <w:rsid w:val="00394811"/>
    <w:rsid w:val="00394FE6"/>
    <w:rsid w:val="00395470"/>
    <w:rsid w:val="003A019E"/>
    <w:rsid w:val="003A0487"/>
    <w:rsid w:val="003A0DEF"/>
    <w:rsid w:val="003A1D95"/>
    <w:rsid w:val="003A2AC7"/>
    <w:rsid w:val="003A325E"/>
    <w:rsid w:val="003A41D2"/>
    <w:rsid w:val="003A54B7"/>
    <w:rsid w:val="003A590B"/>
    <w:rsid w:val="003A6917"/>
    <w:rsid w:val="003A6DBA"/>
    <w:rsid w:val="003A70DB"/>
    <w:rsid w:val="003A73A2"/>
    <w:rsid w:val="003B0D35"/>
    <w:rsid w:val="003B1273"/>
    <w:rsid w:val="003B1E0D"/>
    <w:rsid w:val="003B1E62"/>
    <w:rsid w:val="003B204E"/>
    <w:rsid w:val="003B20F3"/>
    <w:rsid w:val="003B29A9"/>
    <w:rsid w:val="003B5235"/>
    <w:rsid w:val="003B5FDB"/>
    <w:rsid w:val="003B6080"/>
    <w:rsid w:val="003B7888"/>
    <w:rsid w:val="003C0AFA"/>
    <w:rsid w:val="003C116A"/>
    <w:rsid w:val="003C1A84"/>
    <w:rsid w:val="003C1C71"/>
    <w:rsid w:val="003C3953"/>
    <w:rsid w:val="003C3EE3"/>
    <w:rsid w:val="003C421C"/>
    <w:rsid w:val="003C48CF"/>
    <w:rsid w:val="003C5533"/>
    <w:rsid w:val="003D092E"/>
    <w:rsid w:val="003D107D"/>
    <w:rsid w:val="003D136C"/>
    <w:rsid w:val="003D2E5D"/>
    <w:rsid w:val="003D3EDD"/>
    <w:rsid w:val="003D596D"/>
    <w:rsid w:val="003D5C77"/>
    <w:rsid w:val="003D5D81"/>
    <w:rsid w:val="003E0687"/>
    <w:rsid w:val="003E194C"/>
    <w:rsid w:val="003E2D43"/>
    <w:rsid w:val="003E3C50"/>
    <w:rsid w:val="003E4B81"/>
    <w:rsid w:val="003E4DA7"/>
    <w:rsid w:val="003E5207"/>
    <w:rsid w:val="003E59FE"/>
    <w:rsid w:val="003E5C38"/>
    <w:rsid w:val="003E6306"/>
    <w:rsid w:val="003E65A9"/>
    <w:rsid w:val="003E7696"/>
    <w:rsid w:val="003F35E5"/>
    <w:rsid w:val="003F3DB6"/>
    <w:rsid w:val="003F5A62"/>
    <w:rsid w:val="003F5E66"/>
    <w:rsid w:val="003F66C9"/>
    <w:rsid w:val="003F74A4"/>
    <w:rsid w:val="003F76D8"/>
    <w:rsid w:val="00401229"/>
    <w:rsid w:val="00402633"/>
    <w:rsid w:val="00402CDE"/>
    <w:rsid w:val="00402DB2"/>
    <w:rsid w:val="00402F45"/>
    <w:rsid w:val="00406A78"/>
    <w:rsid w:val="004076E9"/>
    <w:rsid w:val="00407E33"/>
    <w:rsid w:val="00411928"/>
    <w:rsid w:val="00411B9E"/>
    <w:rsid w:val="00411F27"/>
    <w:rsid w:val="00413D11"/>
    <w:rsid w:val="00413F91"/>
    <w:rsid w:val="0041452F"/>
    <w:rsid w:val="00415CDF"/>
    <w:rsid w:val="004168AF"/>
    <w:rsid w:val="00416E03"/>
    <w:rsid w:val="004179E3"/>
    <w:rsid w:val="00417BD1"/>
    <w:rsid w:val="0042000D"/>
    <w:rsid w:val="00420D24"/>
    <w:rsid w:val="00420E44"/>
    <w:rsid w:val="00423DC5"/>
    <w:rsid w:val="00424284"/>
    <w:rsid w:val="0042460B"/>
    <w:rsid w:val="00424B41"/>
    <w:rsid w:val="00424C51"/>
    <w:rsid w:val="00427C7E"/>
    <w:rsid w:val="00430337"/>
    <w:rsid w:val="00432496"/>
    <w:rsid w:val="00433785"/>
    <w:rsid w:val="004340C8"/>
    <w:rsid w:val="00434566"/>
    <w:rsid w:val="0044252E"/>
    <w:rsid w:val="0044393F"/>
    <w:rsid w:val="004466E9"/>
    <w:rsid w:val="004467FF"/>
    <w:rsid w:val="0044685E"/>
    <w:rsid w:val="00446F44"/>
    <w:rsid w:val="00447BBB"/>
    <w:rsid w:val="00450D58"/>
    <w:rsid w:val="004519EF"/>
    <w:rsid w:val="00451ED1"/>
    <w:rsid w:val="0045247F"/>
    <w:rsid w:val="00452628"/>
    <w:rsid w:val="0045330A"/>
    <w:rsid w:val="00453E44"/>
    <w:rsid w:val="00455228"/>
    <w:rsid w:val="00455DB7"/>
    <w:rsid w:val="004573A3"/>
    <w:rsid w:val="00460190"/>
    <w:rsid w:val="00460431"/>
    <w:rsid w:val="00461B47"/>
    <w:rsid w:val="0046211E"/>
    <w:rsid w:val="00462264"/>
    <w:rsid w:val="0046349C"/>
    <w:rsid w:val="00464A19"/>
    <w:rsid w:val="004662D4"/>
    <w:rsid w:val="004701E9"/>
    <w:rsid w:val="004706A8"/>
    <w:rsid w:val="00471B65"/>
    <w:rsid w:val="00471BA3"/>
    <w:rsid w:val="00472582"/>
    <w:rsid w:val="00474E5D"/>
    <w:rsid w:val="00475A84"/>
    <w:rsid w:val="00475D0D"/>
    <w:rsid w:val="0047607A"/>
    <w:rsid w:val="004768C1"/>
    <w:rsid w:val="0047726A"/>
    <w:rsid w:val="00481126"/>
    <w:rsid w:val="00481B50"/>
    <w:rsid w:val="00482C2C"/>
    <w:rsid w:val="00483A0C"/>
    <w:rsid w:val="00485305"/>
    <w:rsid w:val="00485AFC"/>
    <w:rsid w:val="00486C35"/>
    <w:rsid w:val="0048704E"/>
    <w:rsid w:val="00490605"/>
    <w:rsid w:val="00491C84"/>
    <w:rsid w:val="00492EB7"/>
    <w:rsid w:val="00493D8F"/>
    <w:rsid w:val="00494E5A"/>
    <w:rsid w:val="004958ED"/>
    <w:rsid w:val="00496FD3"/>
    <w:rsid w:val="004A1ABE"/>
    <w:rsid w:val="004A1D06"/>
    <w:rsid w:val="004A2868"/>
    <w:rsid w:val="004A4621"/>
    <w:rsid w:val="004A5C48"/>
    <w:rsid w:val="004A78D6"/>
    <w:rsid w:val="004B013B"/>
    <w:rsid w:val="004B0A2E"/>
    <w:rsid w:val="004B0D30"/>
    <w:rsid w:val="004B168C"/>
    <w:rsid w:val="004B1D61"/>
    <w:rsid w:val="004B26D8"/>
    <w:rsid w:val="004B3F39"/>
    <w:rsid w:val="004B6FDC"/>
    <w:rsid w:val="004B78A5"/>
    <w:rsid w:val="004B7F6D"/>
    <w:rsid w:val="004C1190"/>
    <w:rsid w:val="004C232C"/>
    <w:rsid w:val="004C2E91"/>
    <w:rsid w:val="004C498B"/>
    <w:rsid w:val="004C5CBE"/>
    <w:rsid w:val="004D1F83"/>
    <w:rsid w:val="004D2341"/>
    <w:rsid w:val="004D277F"/>
    <w:rsid w:val="004D34E6"/>
    <w:rsid w:val="004D4039"/>
    <w:rsid w:val="004D43AE"/>
    <w:rsid w:val="004D5EEB"/>
    <w:rsid w:val="004E0672"/>
    <w:rsid w:val="004E091E"/>
    <w:rsid w:val="004E208C"/>
    <w:rsid w:val="004E20B9"/>
    <w:rsid w:val="004E25F9"/>
    <w:rsid w:val="004E3396"/>
    <w:rsid w:val="004E3662"/>
    <w:rsid w:val="004E36A7"/>
    <w:rsid w:val="004E4B97"/>
    <w:rsid w:val="004E539A"/>
    <w:rsid w:val="004E578D"/>
    <w:rsid w:val="004E6C81"/>
    <w:rsid w:val="004E7843"/>
    <w:rsid w:val="004E7DBA"/>
    <w:rsid w:val="004F0C55"/>
    <w:rsid w:val="004F22F2"/>
    <w:rsid w:val="004F2C8C"/>
    <w:rsid w:val="004F306B"/>
    <w:rsid w:val="004F3817"/>
    <w:rsid w:val="004F4067"/>
    <w:rsid w:val="004F4E56"/>
    <w:rsid w:val="004F55DB"/>
    <w:rsid w:val="004F57AD"/>
    <w:rsid w:val="004F5A63"/>
    <w:rsid w:val="004F6BA5"/>
    <w:rsid w:val="004F6DEE"/>
    <w:rsid w:val="004F7210"/>
    <w:rsid w:val="0050006B"/>
    <w:rsid w:val="0050044D"/>
    <w:rsid w:val="005009D9"/>
    <w:rsid w:val="00501DC4"/>
    <w:rsid w:val="00501FDC"/>
    <w:rsid w:val="005020A1"/>
    <w:rsid w:val="00502361"/>
    <w:rsid w:val="00502897"/>
    <w:rsid w:val="00503602"/>
    <w:rsid w:val="005048F1"/>
    <w:rsid w:val="0050683A"/>
    <w:rsid w:val="00507B59"/>
    <w:rsid w:val="0051293A"/>
    <w:rsid w:val="00513B93"/>
    <w:rsid w:val="005140E4"/>
    <w:rsid w:val="005141B6"/>
    <w:rsid w:val="00515FCC"/>
    <w:rsid w:val="00517D14"/>
    <w:rsid w:val="005207B7"/>
    <w:rsid w:val="0052118A"/>
    <w:rsid w:val="0052163C"/>
    <w:rsid w:val="00521F09"/>
    <w:rsid w:val="00521F1F"/>
    <w:rsid w:val="00522A72"/>
    <w:rsid w:val="00530143"/>
    <w:rsid w:val="0053032D"/>
    <w:rsid w:val="00530529"/>
    <w:rsid w:val="005316D9"/>
    <w:rsid w:val="005322AD"/>
    <w:rsid w:val="005328F9"/>
    <w:rsid w:val="00536D43"/>
    <w:rsid w:val="0053793D"/>
    <w:rsid w:val="00540C6C"/>
    <w:rsid w:val="00541156"/>
    <w:rsid w:val="00542D21"/>
    <w:rsid w:val="00544C18"/>
    <w:rsid w:val="00544C80"/>
    <w:rsid w:val="0054525F"/>
    <w:rsid w:val="00545CCB"/>
    <w:rsid w:val="00547AAD"/>
    <w:rsid w:val="0055439F"/>
    <w:rsid w:val="00555B9D"/>
    <w:rsid w:val="005568EA"/>
    <w:rsid w:val="005577C3"/>
    <w:rsid w:val="00560207"/>
    <w:rsid w:val="005612DB"/>
    <w:rsid w:val="00561D39"/>
    <w:rsid w:val="00561D9A"/>
    <w:rsid w:val="00563C46"/>
    <w:rsid w:val="00564627"/>
    <w:rsid w:val="00565CC3"/>
    <w:rsid w:val="00566862"/>
    <w:rsid w:val="005668C3"/>
    <w:rsid w:val="00567344"/>
    <w:rsid w:val="00570628"/>
    <w:rsid w:val="005711BD"/>
    <w:rsid w:val="0057295F"/>
    <w:rsid w:val="00573BA4"/>
    <w:rsid w:val="00573D56"/>
    <w:rsid w:val="00574209"/>
    <w:rsid w:val="00574E2B"/>
    <w:rsid w:val="005752A5"/>
    <w:rsid w:val="005753CD"/>
    <w:rsid w:val="005760CD"/>
    <w:rsid w:val="0057739F"/>
    <w:rsid w:val="00577418"/>
    <w:rsid w:val="0057767D"/>
    <w:rsid w:val="00577AEB"/>
    <w:rsid w:val="00577C94"/>
    <w:rsid w:val="00580117"/>
    <w:rsid w:val="005816A7"/>
    <w:rsid w:val="005817B8"/>
    <w:rsid w:val="00583247"/>
    <w:rsid w:val="005846E7"/>
    <w:rsid w:val="005867A6"/>
    <w:rsid w:val="00587BDD"/>
    <w:rsid w:val="00590394"/>
    <w:rsid w:val="00591D09"/>
    <w:rsid w:val="00593C9C"/>
    <w:rsid w:val="00596807"/>
    <w:rsid w:val="005A052A"/>
    <w:rsid w:val="005A06A3"/>
    <w:rsid w:val="005A36D3"/>
    <w:rsid w:val="005A46B3"/>
    <w:rsid w:val="005A4CA5"/>
    <w:rsid w:val="005A529A"/>
    <w:rsid w:val="005A5387"/>
    <w:rsid w:val="005A538C"/>
    <w:rsid w:val="005A5C0B"/>
    <w:rsid w:val="005A5C59"/>
    <w:rsid w:val="005A5EB4"/>
    <w:rsid w:val="005A6BF5"/>
    <w:rsid w:val="005A792B"/>
    <w:rsid w:val="005A7AA7"/>
    <w:rsid w:val="005A7B30"/>
    <w:rsid w:val="005A7E2D"/>
    <w:rsid w:val="005B007B"/>
    <w:rsid w:val="005B00D1"/>
    <w:rsid w:val="005B0E8B"/>
    <w:rsid w:val="005B1646"/>
    <w:rsid w:val="005B16D5"/>
    <w:rsid w:val="005B1742"/>
    <w:rsid w:val="005B21CC"/>
    <w:rsid w:val="005B45ED"/>
    <w:rsid w:val="005B4D57"/>
    <w:rsid w:val="005B54F2"/>
    <w:rsid w:val="005B70E4"/>
    <w:rsid w:val="005C0798"/>
    <w:rsid w:val="005C097F"/>
    <w:rsid w:val="005C223A"/>
    <w:rsid w:val="005C2A4C"/>
    <w:rsid w:val="005C34B1"/>
    <w:rsid w:val="005C56B3"/>
    <w:rsid w:val="005C6BC6"/>
    <w:rsid w:val="005C76FF"/>
    <w:rsid w:val="005D0417"/>
    <w:rsid w:val="005D0666"/>
    <w:rsid w:val="005D0AD4"/>
    <w:rsid w:val="005D44E5"/>
    <w:rsid w:val="005D48A9"/>
    <w:rsid w:val="005D5C2F"/>
    <w:rsid w:val="005D5E7A"/>
    <w:rsid w:val="005D60DA"/>
    <w:rsid w:val="005D6EE3"/>
    <w:rsid w:val="005D7F3A"/>
    <w:rsid w:val="005E1569"/>
    <w:rsid w:val="005E224E"/>
    <w:rsid w:val="005E260B"/>
    <w:rsid w:val="005E2680"/>
    <w:rsid w:val="005E2DC9"/>
    <w:rsid w:val="005E3362"/>
    <w:rsid w:val="005E3415"/>
    <w:rsid w:val="005E45C9"/>
    <w:rsid w:val="005E5911"/>
    <w:rsid w:val="005E7644"/>
    <w:rsid w:val="005E7F10"/>
    <w:rsid w:val="005F0452"/>
    <w:rsid w:val="005F145B"/>
    <w:rsid w:val="005F217C"/>
    <w:rsid w:val="005F3ADA"/>
    <w:rsid w:val="005F49E6"/>
    <w:rsid w:val="005F4DC4"/>
    <w:rsid w:val="005F5892"/>
    <w:rsid w:val="005F61DE"/>
    <w:rsid w:val="006006C4"/>
    <w:rsid w:val="0060157A"/>
    <w:rsid w:val="006021A3"/>
    <w:rsid w:val="00604D77"/>
    <w:rsid w:val="006052DB"/>
    <w:rsid w:val="006053E5"/>
    <w:rsid w:val="006054D4"/>
    <w:rsid w:val="00605942"/>
    <w:rsid w:val="00605AB9"/>
    <w:rsid w:val="00606301"/>
    <w:rsid w:val="00606EE6"/>
    <w:rsid w:val="00606F21"/>
    <w:rsid w:val="00606FEC"/>
    <w:rsid w:val="006121D5"/>
    <w:rsid w:val="00612F42"/>
    <w:rsid w:val="006155EE"/>
    <w:rsid w:val="00615A86"/>
    <w:rsid w:val="006160EE"/>
    <w:rsid w:val="0061677C"/>
    <w:rsid w:val="006173ED"/>
    <w:rsid w:val="006201E1"/>
    <w:rsid w:val="0062036B"/>
    <w:rsid w:val="00620ABD"/>
    <w:rsid w:val="006235FB"/>
    <w:rsid w:val="00624A4B"/>
    <w:rsid w:val="006252C7"/>
    <w:rsid w:val="0062530D"/>
    <w:rsid w:val="00626C42"/>
    <w:rsid w:val="00626E37"/>
    <w:rsid w:val="006270AF"/>
    <w:rsid w:val="006328E0"/>
    <w:rsid w:val="00633398"/>
    <w:rsid w:val="00633B85"/>
    <w:rsid w:val="00633EA3"/>
    <w:rsid w:val="00633F3C"/>
    <w:rsid w:val="00634260"/>
    <w:rsid w:val="00635B49"/>
    <w:rsid w:val="0063684F"/>
    <w:rsid w:val="006373CD"/>
    <w:rsid w:val="006400BB"/>
    <w:rsid w:val="00641091"/>
    <w:rsid w:val="00641D1D"/>
    <w:rsid w:val="006431C1"/>
    <w:rsid w:val="0064530C"/>
    <w:rsid w:val="006462EC"/>
    <w:rsid w:val="006464E0"/>
    <w:rsid w:val="006472CB"/>
    <w:rsid w:val="00650898"/>
    <w:rsid w:val="00651DA5"/>
    <w:rsid w:val="006533D1"/>
    <w:rsid w:val="00653635"/>
    <w:rsid w:val="006547A3"/>
    <w:rsid w:val="00655C8D"/>
    <w:rsid w:val="00655E77"/>
    <w:rsid w:val="0065788C"/>
    <w:rsid w:val="00660719"/>
    <w:rsid w:val="0066156B"/>
    <w:rsid w:val="00661DFA"/>
    <w:rsid w:val="00662184"/>
    <w:rsid w:val="006633A3"/>
    <w:rsid w:val="00664F46"/>
    <w:rsid w:val="0066537B"/>
    <w:rsid w:val="00665786"/>
    <w:rsid w:val="006674C8"/>
    <w:rsid w:val="006678C9"/>
    <w:rsid w:val="00671969"/>
    <w:rsid w:val="00671FD9"/>
    <w:rsid w:val="00672AC3"/>
    <w:rsid w:val="00672ED3"/>
    <w:rsid w:val="006736F5"/>
    <w:rsid w:val="00673840"/>
    <w:rsid w:val="00674477"/>
    <w:rsid w:val="006749F6"/>
    <w:rsid w:val="0067501F"/>
    <w:rsid w:val="006804EC"/>
    <w:rsid w:val="00680C20"/>
    <w:rsid w:val="00681E5F"/>
    <w:rsid w:val="00683D53"/>
    <w:rsid w:val="006842E1"/>
    <w:rsid w:val="00685D78"/>
    <w:rsid w:val="00686EA8"/>
    <w:rsid w:val="0068715A"/>
    <w:rsid w:val="006877AA"/>
    <w:rsid w:val="00690465"/>
    <w:rsid w:val="00690577"/>
    <w:rsid w:val="0069170C"/>
    <w:rsid w:val="00691F28"/>
    <w:rsid w:val="00692AF4"/>
    <w:rsid w:val="00692AF8"/>
    <w:rsid w:val="006933A3"/>
    <w:rsid w:val="00695BA5"/>
    <w:rsid w:val="00697406"/>
    <w:rsid w:val="006A20B1"/>
    <w:rsid w:val="006A238F"/>
    <w:rsid w:val="006A2DCD"/>
    <w:rsid w:val="006A3C7D"/>
    <w:rsid w:val="006A463C"/>
    <w:rsid w:val="006A469D"/>
    <w:rsid w:val="006A5E5B"/>
    <w:rsid w:val="006A5E6E"/>
    <w:rsid w:val="006A60AA"/>
    <w:rsid w:val="006A6B97"/>
    <w:rsid w:val="006A6BCB"/>
    <w:rsid w:val="006A77A9"/>
    <w:rsid w:val="006B00CB"/>
    <w:rsid w:val="006B05FA"/>
    <w:rsid w:val="006B24C2"/>
    <w:rsid w:val="006B47BA"/>
    <w:rsid w:val="006B4DB1"/>
    <w:rsid w:val="006B5D86"/>
    <w:rsid w:val="006B6C6F"/>
    <w:rsid w:val="006B7B1E"/>
    <w:rsid w:val="006C0A90"/>
    <w:rsid w:val="006C0B7F"/>
    <w:rsid w:val="006C1466"/>
    <w:rsid w:val="006C1D1F"/>
    <w:rsid w:val="006C2422"/>
    <w:rsid w:val="006C2CA7"/>
    <w:rsid w:val="006C3B90"/>
    <w:rsid w:val="006C5EFC"/>
    <w:rsid w:val="006C6D08"/>
    <w:rsid w:val="006C73D8"/>
    <w:rsid w:val="006C7544"/>
    <w:rsid w:val="006D0713"/>
    <w:rsid w:val="006D3BF2"/>
    <w:rsid w:val="006D3C22"/>
    <w:rsid w:val="006D4530"/>
    <w:rsid w:val="006D540C"/>
    <w:rsid w:val="006D5C5D"/>
    <w:rsid w:val="006D5DF4"/>
    <w:rsid w:val="006D608C"/>
    <w:rsid w:val="006D6147"/>
    <w:rsid w:val="006D6739"/>
    <w:rsid w:val="006D6917"/>
    <w:rsid w:val="006D7079"/>
    <w:rsid w:val="006D7126"/>
    <w:rsid w:val="006D71E4"/>
    <w:rsid w:val="006D7EC8"/>
    <w:rsid w:val="006E08D1"/>
    <w:rsid w:val="006E11D2"/>
    <w:rsid w:val="006E131D"/>
    <w:rsid w:val="006E1694"/>
    <w:rsid w:val="006E289C"/>
    <w:rsid w:val="006E2918"/>
    <w:rsid w:val="006E2BB0"/>
    <w:rsid w:val="006E2F54"/>
    <w:rsid w:val="006E4AC7"/>
    <w:rsid w:val="006E5057"/>
    <w:rsid w:val="006E69D8"/>
    <w:rsid w:val="006E6C5D"/>
    <w:rsid w:val="006E6F51"/>
    <w:rsid w:val="006F03AF"/>
    <w:rsid w:val="006F1453"/>
    <w:rsid w:val="006F1C56"/>
    <w:rsid w:val="006F3E45"/>
    <w:rsid w:val="006F4BAE"/>
    <w:rsid w:val="006F5022"/>
    <w:rsid w:val="006F5C2C"/>
    <w:rsid w:val="006F6BB9"/>
    <w:rsid w:val="006F6BC7"/>
    <w:rsid w:val="006F6E27"/>
    <w:rsid w:val="00700F37"/>
    <w:rsid w:val="00700FF5"/>
    <w:rsid w:val="00701D00"/>
    <w:rsid w:val="00702114"/>
    <w:rsid w:val="00702697"/>
    <w:rsid w:val="007028A0"/>
    <w:rsid w:val="00702AAF"/>
    <w:rsid w:val="007030E4"/>
    <w:rsid w:val="00703CD7"/>
    <w:rsid w:val="00704C9C"/>
    <w:rsid w:val="00704F15"/>
    <w:rsid w:val="00705210"/>
    <w:rsid w:val="007077C9"/>
    <w:rsid w:val="00707F56"/>
    <w:rsid w:val="00710E85"/>
    <w:rsid w:val="00711F30"/>
    <w:rsid w:val="0071265B"/>
    <w:rsid w:val="00715574"/>
    <w:rsid w:val="00715769"/>
    <w:rsid w:val="0071625B"/>
    <w:rsid w:val="00716761"/>
    <w:rsid w:val="00716FEE"/>
    <w:rsid w:val="00720F81"/>
    <w:rsid w:val="00721759"/>
    <w:rsid w:val="00725DBC"/>
    <w:rsid w:val="0073124F"/>
    <w:rsid w:val="0073163E"/>
    <w:rsid w:val="00731FAE"/>
    <w:rsid w:val="00732EDE"/>
    <w:rsid w:val="00734155"/>
    <w:rsid w:val="007346C6"/>
    <w:rsid w:val="0073551F"/>
    <w:rsid w:val="007357C0"/>
    <w:rsid w:val="00740205"/>
    <w:rsid w:val="0074024F"/>
    <w:rsid w:val="00741682"/>
    <w:rsid w:val="007429B2"/>
    <w:rsid w:val="00742AFE"/>
    <w:rsid w:val="0074368F"/>
    <w:rsid w:val="007446D1"/>
    <w:rsid w:val="0074508D"/>
    <w:rsid w:val="00746F0C"/>
    <w:rsid w:val="00747DCD"/>
    <w:rsid w:val="00750A73"/>
    <w:rsid w:val="0075395D"/>
    <w:rsid w:val="00755447"/>
    <w:rsid w:val="00755C71"/>
    <w:rsid w:val="00756262"/>
    <w:rsid w:val="00760051"/>
    <w:rsid w:val="007612E9"/>
    <w:rsid w:val="00761337"/>
    <w:rsid w:val="0076199C"/>
    <w:rsid w:val="00762517"/>
    <w:rsid w:val="0076344E"/>
    <w:rsid w:val="00763D68"/>
    <w:rsid w:val="007642C1"/>
    <w:rsid w:val="0076486E"/>
    <w:rsid w:val="00764D7D"/>
    <w:rsid w:val="00766105"/>
    <w:rsid w:val="00766D13"/>
    <w:rsid w:val="00766D17"/>
    <w:rsid w:val="00766DCC"/>
    <w:rsid w:val="00767295"/>
    <w:rsid w:val="007708C2"/>
    <w:rsid w:val="00771CDB"/>
    <w:rsid w:val="007736CB"/>
    <w:rsid w:val="00775A64"/>
    <w:rsid w:val="00776A73"/>
    <w:rsid w:val="007771CD"/>
    <w:rsid w:val="00780119"/>
    <w:rsid w:val="0078098A"/>
    <w:rsid w:val="007812FF"/>
    <w:rsid w:val="00781AD8"/>
    <w:rsid w:val="0078320D"/>
    <w:rsid w:val="00783AF0"/>
    <w:rsid w:val="00786960"/>
    <w:rsid w:val="007876F4"/>
    <w:rsid w:val="00787A2C"/>
    <w:rsid w:val="0079479F"/>
    <w:rsid w:val="00795A3E"/>
    <w:rsid w:val="00795C10"/>
    <w:rsid w:val="00795D46"/>
    <w:rsid w:val="007960CF"/>
    <w:rsid w:val="007969B2"/>
    <w:rsid w:val="00796A50"/>
    <w:rsid w:val="007972B4"/>
    <w:rsid w:val="007A2087"/>
    <w:rsid w:val="007A3AE4"/>
    <w:rsid w:val="007A3AFA"/>
    <w:rsid w:val="007A4694"/>
    <w:rsid w:val="007A52C2"/>
    <w:rsid w:val="007A5ABE"/>
    <w:rsid w:val="007A6635"/>
    <w:rsid w:val="007A710A"/>
    <w:rsid w:val="007B1F19"/>
    <w:rsid w:val="007B2378"/>
    <w:rsid w:val="007B2CFA"/>
    <w:rsid w:val="007B4390"/>
    <w:rsid w:val="007B5394"/>
    <w:rsid w:val="007B622B"/>
    <w:rsid w:val="007B7B53"/>
    <w:rsid w:val="007C18FC"/>
    <w:rsid w:val="007C1E06"/>
    <w:rsid w:val="007C267C"/>
    <w:rsid w:val="007C28FD"/>
    <w:rsid w:val="007C31E4"/>
    <w:rsid w:val="007C4274"/>
    <w:rsid w:val="007C476F"/>
    <w:rsid w:val="007C588E"/>
    <w:rsid w:val="007C68E3"/>
    <w:rsid w:val="007C7F46"/>
    <w:rsid w:val="007D0512"/>
    <w:rsid w:val="007D0AC5"/>
    <w:rsid w:val="007D2E26"/>
    <w:rsid w:val="007D351B"/>
    <w:rsid w:val="007D5F7F"/>
    <w:rsid w:val="007D6B52"/>
    <w:rsid w:val="007E196B"/>
    <w:rsid w:val="007E1C80"/>
    <w:rsid w:val="007E29AB"/>
    <w:rsid w:val="007E3123"/>
    <w:rsid w:val="007E474D"/>
    <w:rsid w:val="007E49B3"/>
    <w:rsid w:val="007E4E11"/>
    <w:rsid w:val="007E5576"/>
    <w:rsid w:val="007E58C5"/>
    <w:rsid w:val="007E70BD"/>
    <w:rsid w:val="007E7AED"/>
    <w:rsid w:val="007F27B9"/>
    <w:rsid w:val="007F3F24"/>
    <w:rsid w:val="007F5D50"/>
    <w:rsid w:val="007F64EE"/>
    <w:rsid w:val="007F6E8A"/>
    <w:rsid w:val="00800AA1"/>
    <w:rsid w:val="0080122E"/>
    <w:rsid w:val="00801D35"/>
    <w:rsid w:val="00802407"/>
    <w:rsid w:val="008035F6"/>
    <w:rsid w:val="00803A82"/>
    <w:rsid w:val="00804990"/>
    <w:rsid w:val="00805019"/>
    <w:rsid w:val="008055D9"/>
    <w:rsid w:val="00806057"/>
    <w:rsid w:val="00806BE5"/>
    <w:rsid w:val="00806CE1"/>
    <w:rsid w:val="00807A67"/>
    <w:rsid w:val="00810192"/>
    <w:rsid w:val="00811B92"/>
    <w:rsid w:val="00813949"/>
    <w:rsid w:val="008143A3"/>
    <w:rsid w:val="00816974"/>
    <w:rsid w:val="00816C88"/>
    <w:rsid w:val="00817173"/>
    <w:rsid w:val="00820537"/>
    <w:rsid w:val="0082167C"/>
    <w:rsid w:val="00823958"/>
    <w:rsid w:val="00823E80"/>
    <w:rsid w:val="00824031"/>
    <w:rsid w:val="00824141"/>
    <w:rsid w:val="00824260"/>
    <w:rsid w:val="008244E7"/>
    <w:rsid w:val="00825201"/>
    <w:rsid w:val="00825EE4"/>
    <w:rsid w:val="008263CA"/>
    <w:rsid w:val="008278D9"/>
    <w:rsid w:val="00830FB5"/>
    <w:rsid w:val="008316E3"/>
    <w:rsid w:val="00831A1B"/>
    <w:rsid w:val="0083383B"/>
    <w:rsid w:val="00834298"/>
    <w:rsid w:val="008370B6"/>
    <w:rsid w:val="00840B67"/>
    <w:rsid w:val="0084186A"/>
    <w:rsid w:val="008434F0"/>
    <w:rsid w:val="00845A77"/>
    <w:rsid w:val="00846340"/>
    <w:rsid w:val="008464FF"/>
    <w:rsid w:val="00847CEA"/>
    <w:rsid w:val="00847D4B"/>
    <w:rsid w:val="00850A1A"/>
    <w:rsid w:val="0085119A"/>
    <w:rsid w:val="008512BC"/>
    <w:rsid w:val="00851665"/>
    <w:rsid w:val="00851DA5"/>
    <w:rsid w:val="0085304C"/>
    <w:rsid w:val="008536C8"/>
    <w:rsid w:val="008551DF"/>
    <w:rsid w:val="00855731"/>
    <w:rsid w:val="00856967"/>
    <w:rsid w:val="00857105"/>
    <w:rsid w:val="00860099"/>
    <w:rsid w:val="008602D5"/>
    <w:rsid w:val="00862935"/>
    <w:rsid w:val="008637EA"/>
    <w:rsid w:val="00863E33"/>
    <w:rsid w:val="00864AFE"/>
    <w:rsid w:val="0086514F"/>
    <w:rsid w:val="008708EC"/>
    <w:rsid w:val="008717F5"/>
    <w:rsid w:val="00871A6E"/>
    <w:rsid w:val="00871AA2"/>
    <w:rsid w:val="008724C2"/>
    <w:rsid w:val="008747D0"/>
    <w:rsid w:val="00875616"/>
    <w:rsid w:val="00875B59"/>
    <w:rsid w:val="00877009"/>
    <w:rsid w:val="0087706D"/>
    <w:rsid w:val="00877572"/>
    <w:rsid w:val="0088024D"/>
    <w:rsid w:val="00880CB2"/>
    <w:rsid w:val="00880D95"/>
    <w:rsid w:val="00883018"/>
    <w:rsid w:val="00883A99"/>
    <w:rsid w:val="00883BF1"/>
    <w:rsid w:val="00884072"/>
    <w:rsid w:val="008846DF"/>
    <w:rsid w:val="0088590A"/>
    <w:rsid w:val="00885DAF"/>
    <w:rsid w:val="00886683"/>
    <w:rsid w:val="00887C64"/>
    <w:rsid w:val="00887E05"/>
    <w:rsid w:val="00890FFB"/>
    <w:rsid w:val="00891839"/>
    <w:rsid w:val="0089238D"/>
    <w:rsid w:val="00892391"/>
    <w:rsid w:val="00892CB8"/>
    <w:rsid w:val="008947AE"/>
    <w:rsid w:val="00896675"/>
    <w:rsid w:val="00896BFA"/>
    <w:rsid w:val="00897C96"/>
    <w:rsid w:val="008A1C93"/>
    <w:rsid w:val="008A285F"/>
    <w:rsid w:val="008A2A22"/>
    <w:rsid w:val="008A3E6B"/>
    <w:rsid w:val="008A4221"/>
    <w:rsid w:val="008A4882"/>
    <w:rsid w:val="008A4E32"/>
    <w:rsid w:val="008A59A0"/>
    <w:rsid w:val="008A5E92"/>
    <w:rsid w:val="008A60DC"/>
    <w:rsid w:val="008A7886"/>
    <w:rsid w:val="008B21C2"/>
    <w:rsid w:val="008B24CB"/>
    <w:rsid w:val="008B393A"/>
    <w:rsid w:val="008B3B6F"/>
    <w:rsid w:val="008B46E0"/>
    <w:rsid w:val="008B48DC"/>
    <w:rsid w:val="008B4E15"/>
    <w:rsid w:val="008B5880"/>
    <w:rsid w:val="008B6009"/>
    <w:rsid w:val="008C0822"/>
    <w:rsid w:val="008C139C"/>
    <w:rsid w:val="008C230E"/>
    <w:rsid w:val="008C5443"/>
    <w:rsid w:val="008C6BC4"/>
    <w:rsid w:val="008C6CCD"/>
    <w:rsid w:val="008C7BA3"/>
    <w:rsid w:val="008C7C7F"/>
    <w:rsid w:val="008D0B50"/>
    <w:rsid w:val="008D3A2D"/>
    <w:rsid w:val="008D3FC9"/>
    <w:rsid w:val="008D4F2B"/>
    <w:rsid w:val="008D6103"/>
    <w:rsid w:val="008D6398"/>
    <w:rsid w:val="008D68B3"/>
    <w:rsid w:val="008D7D97"/>
    <w:rsid w:val="008E0809"/>
    <w:rsid w:val="008E1553"/>
    <w:rsid w:val="008E1959"/>
    <w:rsid w:val="008E1C18"/>
    <w:rsid w:val="008E7BFD"/>
    <w:rsid w:val="008E7FAC"/>
    <w:rsid w:val="008F04DE"/>
    <w:rsid w:val="008F1D97"/>
    <w:rsid w:val="008F24E4"/>
    <w:rsid w:val="008F2580"/>
    <w:rsid w:val="008F2584"/>
    <w:rsid w:val="008F314B"/>
    <w:rsid w:val="008F35E6"/>
    <w:rsid w:val="008F3D5F"/>
    <w:rsid w:val="008F5607"/>
    <w:rsid w:val="008F67C6"/>
    <w:rsid w:val="00900E59"/>
    <w:rsid w:val="0090106F"/>
    <w:rsid w:val="00901425"/>
    <w:rsid w:val="00901D8D"/>
    <w:rsid w:val="009027AD"/>
    <w:rsid w:val="0090369C"/>
    <w:rsid w:val="0090495D"/>
    <w:rsid w:val="00904C84"/>
    <w:rsid w:val="00905CA4"/>
    <w:rsid w:val="00905CFB"/>
    <w:rsid w:val="00905D22"/>
    <w:rsid w:val="00912776"/>
    <w:rsid w:val="00912AE5"/>
    <w:rsid w:val="00912D15"/>
    <w:rsid w:val="00913663"/>
    <w:rsid w:val="0091627D"/>
    <w:rsid w:val="00916385"/>
    <w:rsid w:val="009165BF"/>
    <w:rsid w:val="00916853"/>
    <w:rsid w:val="009171F4"/>
    <w:rsid w:val="009176D6"/>
    <w:rsid w:val="00920357"/>
    <w:rsid w:val="00920FF2"/>
    <w:rsid w:val="0092254F"/>
    <w:rsid w:val="00922D67"/>
    <w:rsid w:val="00923AED"/>
    <w:rsid w:val="00924D32"/>
    <w:rsid w:val="0092519A"/>
    <w:rsid w:val="00925DF2"/>
    <w:rsid w:val="009269DF"/>
    <w:rsid w:val="00927051"/>
    <w:rsid w:val="00927DE4"/>
    <w:rsid w:val="00930327"/>
    <w:rsid w:val="00930404"/>
    <w:rsid w:val="0093044B"/>
    <w:rsid w:val="0093086E"/>
    <w:rsid w:val="00930F17"/>
    <w:rsid w:val="00931EA3"/>
    <w:rsid w:val="00933225"/>
    <w:rsid w:val="00933510"/>
    <w:rsid w:val="00935DD8"/>
    <w:rsid w:val="00936684"/>
    <w:rsid w:val="00936E48"/>
    <w:rsid w:val="0093724E"/>
    <w:rsid w:val="00937687"/>
    <w:rsid w:val="009377A0"/>
    <w:rsid w:val="009410A7"/>
    <w:rsid w:val="00941924"/>
    <w:rsid w:val="009421C4"/>
    <w:rsid w:val="0094436E"/>
    <w:rsid w:val="009444A4"/>
    <w:rsid w:val="00944E05"/>
    <w:rsid w:val="009455BE"/>
    <w:rsid w:val="00945A4A"/>
    <w:rsid w:val="00947116"/>
    <w:rsid w:val="0095150D"/>
    <w:rsid w:val="0095214B"/>
    <w:rsid w:val="00953995"/>
    <w:rsid w:val="00954029"/>
    <w:rsid w:val="0095426F"/>
    <w:rsid w:val="009556C7"/>
    <w:rsid w:val="00955C19"/>
    <w:rsid w:val="009567E1"/>
    <w:rsid w:val="00956BC0"/>
    <w:rsid w:val="00956FC6"/>
    <w:rsid w:val="009607A6"/>
    <w:rsid w:val="00961602"/>
    <w:rsid w:val="00961CB2"/>
    <w:rsid w:val="009622BD"/>
    <w:rsid w:val="009626F4"/>
    <w:rsid w:val="00963E51"/>
    <w:rsid w:val="00964C0C"/>
    <w:rsid w:val="00964C35"/>
    <w:rsid w:val="00964CC4"/>
    <w:rsid w:val="00966FD1"/>
    <w:rsid w:val="009704E1"/>
    <w:rsid w:val="00971F64"/>
    <w:rsid w:val="0097218F"/>
    <w:rsid w:val="00972B35"/>
    <w:rsid w:val="00972E2E"/>
    <w:rsid w:val="00973B0E"/>
    <w:rsid w:val="00975690"/>
    <w:rsid w:val="009759D5"/>
    <w:rsid w:val="0097625C"/>
    <w:rsid w:val="00977235"/>
    <w:rsid w:val="009772C6"/>
    <w:rsid w:val="009775DD"/>
    <w:rsid w:val="009807E7"/>
    <w:rsid w:val="00982A39"/>
    <w:rsid w:val="0098387D"/>
    <w:rsid w:val="00983F34"/>
    <w:rsid w:val="00984ACD"/>
    <w:rsid w:val="00985FDD"/>
    <w:rsid w:val="00987072"/>
    <w:rsid w:val="00987F86"/>
    <w:rsid w:val="00990738"/>
    <w:rsid w:val="00991352"/>
    <w:rsid w:val="00991F03"/>
    <w:rsid w:val="00992B71"/>
    <w:rsid w:val="00994899"/>
    <w:rsid w:val="00994D5E"/>
    <w:rsid w:val="009965E0"/>
    <w:rsid w:val="00997B96"/>
    <w:rsid w:val="00997EAB"/>
    <w:rsid w:val="009A107E"/>
    <w:rsid w:val="009A6769"/>
    <w:rsid w:val="009B24C6"/>
    <w:rsid w:val="009B28F2"/>
    <w:rsid w:val="009B2B92"/>
    <w:rsid w:val="009B4B20"/>
    <w:rsid w:val="009B4B6F"/>
    <w:rsid w:val="009B4EFB"/>
    <w:rsid w:val="009B5C77"/>
    <w:rsid w:val="009B756F"/>
    <w:rsid w:val="009B7F95"/>
    <w:rsid w:val="009C17A2"/>
    <w:rsid w:val="009C22A9"/>
    <w:rsid w:val="009C3251"/>
    <w:rsid w:val="009C4AA4"/>
    <w:rsid w:val="009C6253"/>
    <w:rsid w:val="009D00DD"/>
    <w:rsid w:val="009D128D"/>
    <w:rsid w:val="009D23DB"/>
    <w:rsid w:val="009D3DC0"/>
    <w:rsid w:val="009D506C"/>
    <w:rsid w:val="009D50BA"/>
    <w:rsid w:val="009D5575"/>
    <w:rsid w:val="009D56E4"/>
    <w:rsid w:val="009D644E"/>
    <w:rsid w:val="009D6B06"/>
    <w:rsid w:val="009D6C97"/>
    <w:rsid w:val="009D713E"/>
    <w:rsid w:val="009D7AA6"/>
    <w:rsid w:val="009E0868"/>
    <w:rsid w:val="009E4BAE"/>
    <w:rsid w:val="009E5805"/>
    <w:rsid w:val="009F0094"/>
    <w:rsid w:val="009F2165"/>
    <w:rsid w:val="009F3712"/>
    <w:rsid w:val="009F6817"/>
    <w:rsid w:val="00A005A9"/>
    <w:rsid w:val="00A00CF9"/>
    <w:rsid w:val="00A01312"/>
    <w:rsid w:val="00A01A67"/>
    <w:rsid w:val="00A0292D"/>
    <w:rsid w:val="00A056D4"/>
    <w:rsid w:val="00A06B7B"/>
    <w:rsid w:val="00A06BE8"/>
    <w:rsid w:val="00A102C4"/>
    <w:rsid w:val="00A12C33"/>
    <w:rsid w:val="00A12F6E"/>
    <w:rsid w:val="00A135C8"/>
    <w:rsid w:val="00A144DB"/>
    <w:rsid w:val="00A1609E"/>
    <w:rsid w:val="00A16D63"/>
    <w:rsid w:val="00A16F9A"/>
    <w:rsid w:val="00A1707D"/>
    <w:rsid w:val="00A206B1"/>
    <w:rsid w:val="00A212EB"/>
    <w:rsid w:val="00A22D1A"/>
    <w:rsid w:val="00A23CFC"/>
    <w:rsid w:val="00A2454A"/>
    <w:rsid w:val="00A24F60"/>
    <w:rsid w:val="00A25CB7"/>
    <w:rsid w:val="00A26F15"/>
    <w:rsid w:val="00A270FA"/>
    <w:rsid w:val="00A2762B"/>
    <w:rsid w:val="00A27753"/>
    <w:rsid w:val="00A3038A"/>
    <w:rsid w:val="00A309A8"/>
    <w:rsid w:val="00A31BB4"/>
    <w:rsid w:val="00A32303"/>
    <w:rsid w:val="00A325FF"/>
    <w:rsid w:val="00A32E4D"/>
    <w:rsid w:val="00A34047"/>
    <w:rsid w:val="00A347DE"/>
    <w:rsid w:val="00A36665"/>
    <w:rsid w:val="00A36BDE"/>
    <w:rsid w:val="00A40538"/>
    <w:rsid w:val="00A415AC"/>
    <w:rsid w:val="00A42B63"/>
    <w:rsid w:val="00A44EFE"/>
    <w:rsid w:val="00A468FA"/>
    <w:rsid w:val="00A46B98"/>
    <w:rsid w:val="00A47120"/>
    <w:rsid w:val="00A472C9"/>
    <w:rsid w:val="00A50C12"/>
    <w:rsid w:val="00A50E1F"/>
    <w:rsid w:val="00A5121F"/>
    <w:rsid w:val="00A51E71"/>
    <w:rsid w:val="00A52144"/>
    <w:rsid w:val="00A52952"/>
    <w:rsid w:val="00A52989"/>
    <w:rsid w:val="00A52ED8"/>
    <w:rsid w:val="00A547DE"/>
    <w:rsid w:val="00A55F7D"/>
    <w:rsid w:val="00A562E8"/>
    <w:rsid w:val="00A57E88"/>
    <w:rsid w:val="00A6243B"/>
    <w:rsid w:val="00A624D3"/>
    <w:rsid w:val="00A635DD"/>
    <w:rsid w:val="00A63AC9"/>
    <w:rsid w:val="00A63E1D"/>
    <w:rsid w:val="00A6448F"/>
    <w:rsid w:val="00A64716"/>
    <w:rsid w:val="00A64FB3"/>
    <w:rsid w:val="00A66A4A"/>
    <w:rsid w:val="00A67D1F"/>
    <w:rsid w:val="00A67E44"/>
    <w:rsid w:val="00A70504"/>
    <w:rsid w:val="00A7089C"/>
    <w:rsid w:val="00A71836"/>
    <w:rsid w:val="00A71F6D"/>
    <w:rsid w:val="00A72A3E"/>
    <w:rsid w:val="00A72A8F"/>
    <w:rsid w:val="00A73526"/>
    <w:rsid w:val="00A7378C"/>
    <w:rsid w:val="00A73B34"/>
    <w:rsid w:val="00A75771"/>
    <w:rsid w:val="00A75B9E"/>
    <w:rsid w:val="00A75E45"/>
    <w:rsid w:val="00A77D96"/>
    <w:rsid w:val="00A800B9"/>
    <w:rsid w:val="00A8080C"/>
    <w:rsid w:val="00A82787"/>
    <w:rsid w:val="00A84D19"/>
    <w:rsid w:val="00A85F99"/>
    <w:rsid w:val="00A86C78"/>
    <w:rsid w:val="00A86F08"/>
    <w:rsid w:val="00A874B9"/>
    <w:rsid w:val="00A90DD9"/>
    <w:rsid w:val="00A92696"/>
    <w:rsid w:val="00A936D6"/>
    <w:rsid w:val="00A93726"/>
    <w:rsid w:val="00A93D8B"/>
    <w:rsid w:val="00A9497D"/>
    <w:rsid w:val="00A94AD6"/>
    <w:rsid w:val="00A95AA3"/>
    <w:rsid w:val="00A97822"/>
    <w:rsid w:val="00AA055A"/>
    <w:rsid w:val="00AA0E6A"/>
    <w:rsid w:val="00AA2CD6"/>
    <w:rsid w:val="00AA30BB"/>
    <w:rsid w:val="00AA3B9B"/>
    <w:rsid w:val="00AA3F7A"/>
    <w:rsid w:val="00AA5561"/>
    <w:rsid w:val="00AA5D2D"/>
    <w:rsid w:val="00AA6CE1"/>
    <w:rsid w:val="00AB10C0"/>
    <w:rsid w:val="00AB1EDD"/>
    <w:rsid w:val="00AB26E2"/>
    <w:rsid w:val="00AB2998"/>
    <w:rsid w:val="00AB33DE"/>
    <w:rsid w:val="00AB4B71"/>
    <w:rsid w:val="00AB4D4D"/>
    <w:rsid w:val="00AC00B8"/>
    <w:rsid w:val="00AC18DE"/>
    <w:rsid w:val="00AC2415"/>
    <w:rsid w:val="00AC3523"/>
    <w:rsid w:val="00AC395C"/>
    <w:rsid w:val="00AC4B3B"/>
    <w:rsid w:val="00AC597A"/>
    <w:rsid w:val="00AC5ADD"/>
    <w:rsid w:val="00AC6A85"/>
    <w:rsid w:val="00AC795D"/>
    <w:rsid w:val="00AD1CF0"/>
    <w:rsid w:val="00AD3166"/>
    <w:rsid w:val="00AD3649"/>
    <w:rsid w:val="00AD3BE4"/>
    <w:rsid w:val="00AD5D71"/>
    <w:rsid w:val="00AD60BF"/>
    <w:rsid w:val="00AD6D75"/>
    <w:rsid w:val="00AD759F"/>
    <w:rsid w:val="00AE0841"/>
    <w:rsid w:val="00AE6275"/>
    <w:rsid w:val="00AE65D5"/>
    <w:rsid w:val="00AE6BA4"/>
    <w:rsid w:val="00AE6E39"/>
    <w:rsid w:val="00AE6FFA"/>
    <w:rsid w:val="00AE7908"/>
    <w:rsid w:val="00AF1939"/>
    <w:rsid w:val="00AF25AA"/>
    <w:rsid w:val="00AF5210"/>
    <w:rsid w:val="00AF79E7"/>
    <w:rsid w:val="00B007C5"/>
    <w:rsid w:val="00B01ABB"/>
    <w:rsid w:val="00B021C8"/>
    <w:rsid w:val="00B02496"/>
    <w:rsid w:val="00B02979"/>
    <w:rsid w:val="00B02B0A"/>
    <w:rsid w:val="00B03E05"/>
    <w:rsid w:val="00B04714"/>
    <w:rsid w:val="00B059D3"/>
    <w:rsid w:val="00B102CE"/>
    <w:rsid w:val="00B10383"/>
    <w:rsid w:val="00B13B4A"/>
    <w:rsid w:val="00B13F48"/>
    <w:rsid w:val="00B14DC1"/>
    <w:rsid w:val="00B1562E"/>
    <w:rsid w:val="00B15D5C"/>
    <w:rsid w:val="00B16904"/>
    <w:rsid w:val="00B16FAA"/>
    <w:rsid w:val="00B17201"/>
    <w:rsid w:val="00B205B5"/>
    <w:rsid w:val="00B207FD"/>
    <w:rsid w:val="00B20BD2"/>
    <w:rsid w:val="00B20F86"/>
    <w:rsid w:val="00B21DB5"/>
    <w:rsid w:val="00B22D3F"/>
    <w:rsid w:val="00B22F04"/>
    <w:rsid w:val="00B23C95"/>
    <w:rsid w:val="00B2414C"/>
    <w:rsid w:val="00B245D0"/>
    <w:rsid w:val="00B26269"/>
    <w:rsid w:val="00B26A5B"/>
    <w:rsid w:val="00B3166D"/>
    <w:rsid w:val="00B332DE"/>
    <w:rsid w:val="00B35EC9"/>
    <w:rsid w:val="00B363DE"/>
    <w:rsid w:val="00B37FBA"/>
    <w:rsid w:val="00B40895"/>
    <w:rsid w:val="00B43471"/>
    <w:rsid w:val="00B43868"/>
    <w:rsid w:val="00B43CF9"/>
    <w:rsid w:val="00B453C6"/>
    <w:rsid w:val="00B479D6"/>
    <w:rsid w:val="00B508E4"/>
    <w:rsid w:val="00B5292D"/>
    <w:rsid w:val="00B52F80"/>
    <w:rsid w:val="00B538CE"/>
    <w:rsid w:val="00B53C97"/>
    <w:rsid w:val="00B558A3"/>
    <w:rsid w:val="00B561EC"/>
    <w:rsid w:val="00B56519"/>
    <w:rsid w:val="00B61CA4"/>
    <w:rsid w:val="00B62414"/>
    <w:rsid w:val="00B626CF"/>
    <w:rsid w:val="00B62B5C"/>
    <w:rsid w:val="00B63458"/>
    <w:rsid w:val="00B63754"/>
    <w:rsid w:val="00B641BA"/>
    <w:rsid w:val="00B64CE6"/>
    <w:rsid w:val="00B65217"/>
    <w:rsid w:val="00B65A62"/>
    <w:rsid w:val="00B661FD"/>
    <w:rsid w:val="00B670CD"/>
    <w:rsid w:val="00B6CF0B"/>
    <w:rsid w:val="00B715E1"/>
    <w:rsid w:val="00B72A60"/>
    <w:rsid w:val="00B7529E"/>
    <w:rsid w:val="00B754A9"/>
    <w:rsid w:val="00B75901"/>
    <w:rsid w:val="00B812F7"/>
    <w:rsid w:val="00B8162D"/>
    <w:rsid w:val="00B82105"/>
    <w:rsid w:val="00B82854"/>
    <w:rsid w:val="00B8319C"/>
    <w:rsid w:val="00B83B40"/>
    <w:rsid w:val="00B85E62"/>
    <w:rsid w:val="00B8747E"/>
    <w:rsid w:val="00B8775D"/>
    <w:rsid w:val="00B877AF"/>
    <w:rsid w:val="00B87C5C"/>
    <w:rsid w:val="00B91089"/>
    <w:rsid w:val="00B9112E"/>
    <w:rsid w:val="00B925C3"/>
    <w:rsid w:val="00B94098"/>
    <w:rsid w:val="00B947C3"/>
    <w:rsid w:val="00B95EB7"/>
    <w:rsid w:val="00B96C52"/>
    <w:rsid w:val="00B972F9"/>
    <w:rsid w:val="00B97AFB"/>
    <w:rsid w:val="00BA14AC"/>
    <w:rsid w:val="00BA1B85"/>
    <w:rsid w:val="00BA35E7"/>
    <w:rsid w:val="00BA3D02"/>
    <w:rsid w:val="00BA4B64"/>
    <w:rsid w:val="00BA4B6A"/>
    <w:rsid w:val="00BA4F3C"/>
    <w:rsid w:val="00BA5213"/>
    <w:rsid w:val="00BA5669"/>
    <w:rsid w:val="00BA6A96"/>
    <w:rsid w:val="00BA7A8D"/>
    <w:rsid w:val="00BA7EBF"/>
    <w:rsid w:val="00BB1194"/>
    <w:rsid w:val="00BB20C2"/>
    <w:rsid w:val="00BB2938"/>
    <w:rsid w:val="00BB2AC8"/>
    <w:rsid w:val="00BB30BC"/>
    <w:rsid w:val="00BB3A61"/>
    <w:rsid w:val="00BB40CF"/>
    <w:rsid w:val="00BB5A7B"/>
    <w:rsid w:val="00BB718E"/>
    <w:rsid w:val="00BB7343"/>
    <w:rsid w:val="00BB7C26"/>
    <w:rsid w:val="00BB7E8C"/>
    <w:rsid w:val="00BC16A7"/>
    <w:rsid w:val="00BC24A5"/>
    <w:rsid w:val="00BC2E8A"/>
    <w:rsid w:val="00BC3FFE"/>
    <w:rsid w:val="00BC48A2"/>
    <w:rsid w:val="00BC5BD6"/>
    <w:rsid w:val="00BC6814"/>
    <w:rsid w:val="00BD022F"/>
    <w:rsid w:val="00BD15FD"/>
    <w:rsid w:val="00BD1CEC"/>
    <w:rsid w:val="00BD34F1"/>
    <w:rsid w:val="00BD435D"/>
    <w:rsid w:val="00BD5CA8"/>
    <w:rsid w:val="00BE0D23"/>
    <w:rsid w:val="00BE2BB6"/>
    <w:rsid w:val="00BE3754"/>
    <w:rsid w:val="00BE3D0E"/>
    <w:rsid w:val="00BE3D14"/>
    <w:rsid w:val="00BE3E80"/>
    <w:rsid w:val="00BE544B"/>
    <w:rsid w:val="00BE6B02"/>
    <w:rsid w:val="00BE6C99"/>
    <w:rsid w:val="00BE7D8C"/>
    <w:rsid w:val="00BF09E4"/>
    <w:rsid w:val="00BF27D7"/>
    <w:rsid w:val="00BF2F33"/>
    <w:rsid w:val="00BF4689"/>
    <w:rsid w:val="00BF5383"/>
    <w:rsid w:val="00BF57C3"/>
    <w:rsid w:val="00BF6A07"/>
    <w:rsid w:val="00BF7456"/>
    <w:rsid w:val="00C00A53"/>
    <w:rsid w:val="00C00CE9"/>
    <w:rsid w:val="00C00DDC"/>
    <w:rsid w:val="00C03A67"/>
    <w:rsid w:val="00C04AB8"/>
    <w:rsid w:val="00C0571E"/>
    <w:rsid w:val="00C06504"/>
    <w:rsid w:val="00C06D68"/>
    <w:rsid w:val="00C102B8"/>
    <w:rsid w:val="00C12307"/>
    <w:rsid w:val="00C12C35"/>
    <w:rsid w:val="00C13756"/>
    <w:rsid w:val="00C13C23"/>
    <w:rsid w:val="00C162F1"/>
    <w:rsid w:val="00C167E5"/>
    <w:rsid w:val="00C173A8"/>
    <w:rsid w:val="00C17641"/>
    <w:rsid w:val="00C204A9"/>
    <w:rsid w:val="00C2062C"/>
    <w:rsid w:val="00C2162B"/>
    <w:rsid w:val="00C21FEB"/>
    <w:rsid w:val="00C2242F"/>
    <w:rsid w:val="00C24500"/>
    <w:rsid w:val="00C2470B"/>
    <w:rsid w:val="00C24C2B"/>
    <w:rsid w:val="00C25227"/>
    <w:rsid w:val="00C2625D"/>
    <w:rsid w:val="00C27669"/>
    <w:rsid w:val="00C27E0D"/>
    <w:rsid w:val="00C3031F"/>
    <w:rsid w:val="00C309F7"/>
    <w:rsid w:val="00C316FA"/>
    <w:rsid w:val="00C33FE0"/>
    <w:rsid w:val="00C34370"/>
    <w:rsid w:val="00C34942"/>
    <w:rsid w:val="00C35039"/>
    <w:rsid w:val="00C35284"/>
    <w:rsid w:val="00C35576"/>
    <w:rsid w:val="00C3597D"/>
    <w:rsid w:val="00C36D39"/>
    <w:rsid w:val="00C404C9"/>
    <w:rsid w:val="00C40D3B"/>
    <w:rsid w:val="00C40F9B"/>
    <w:rsid w:val="00C41322"/>
    <w:rsid w:val="00C421CD"/>
    <w:rsid w:val="00C42CDC"/>
    <w:rsid w:val="00C42DF2"/>
    <w:rsid w:val="00C43A7E"/>
    <w:rsid w:val="00C44672"/>
    <w:rsid w:val="00C4483C"/>
    <w:rsid w:val="00C45E56"/>
    <w:rsid w:val="00C462DE"/>
    <w:rsid w:val="00C46DFC"/>
    <w:rsid w:val="00C5018A"/>
    <w:rsid w:val="00C50DC2"/>
    <w:rsid w:val="00C52590"/>
    <w:rsid w:val="00C56199"/>
    <w:rsid w:val="00C56869"/>
    <w:rsid w:val="00C56B0F"/>
    <w:rsid w:val="00C57928"/>
    <w:rsid w:val="00C57CD7"/>
    <w:rsid w:val="00C602A4"/>
    <w:rsid w:val="00C60CAE"/>
    <w:rsid w:val="00C6156D"/>
    <w:rsid w:val="00C61FEA"/>
    <w:rsid w:val="00C62203"/>
    <w:rsid w:val="00C62A3E"/>
    <w:rsid w:val="00C65B4A"/>
    <w:rsid w:val="00C66C8D"/>
    <w:rsid w:val="00C672CD"/>
    <w:rsid w:val="00C7148C"/>
    <w:rsid w:val="00C714DE"/>
    <w:rsid w:val="00C71F74"/>
    <w:rsid w:val="00C73B6A"/>
    <w:rsid w:val="00C73DDC"/>
    <w:rsid w:val="00C7409A"/>
    <w:rsid w:val="00C74AC6"/>
    <w:rsid w:val="00C75380"/>
    <w:rsid w:val="00C75457"/>
    <w:rsid w:val="00C76342"/>
    <w:rsid w:val="00C8152A"/>
    <w:rsid w:val="00C817C4"/>
    <w:rsid w:val="00C81AEB"/>
    <w:rsid w:val="00C81B64"/>
    <w:rsid w:val="00C82E35"/>
    <w:rsid w:val="00C8537C"/>
    <w:rsid w:val="00C85C85"/>
    <w:rsid w:val="00C8683F"/>
    <w:rsid w:val="00C86AF1"/>
    <w:rsid w:val="00C86B95"/>
    <w:rsid w:val="00C872C7"/>
    <w:rsid w:val="00C878D5"/>
    <w:rsid w:val="00C902D2"/>
    <w:rsid w:val="00C90F1C"/>
    <w:rsid w:val="00C91018"/>
    <w:rsid w:val="00C918C7"/>
    <w:rsid w:val="00C919A5"/>
    <w:rsid w:val="00C9248D"/>
    <w:rsid w:val="00C92866"/>
    <w:rsid w:val="00C92CCA"/>
    <w:rsid w:val="00C938BB"/>
    <w:rsid w:val="00C94171"/>
    <w:rsid w:val="00C953CA"/>
    <w:rsid w:val="00C95A58"/>
    <w:rsid w:val="00C968B7"/>
    <w:rsid w:val="00C97AA3"/>
    <w:rsid w:val="00CA03C3"/>
    <w:rsid w:val="00CA2307"/>
    <w:rsid w:val="00CA26C7"/>
    <w:rsid w:val="00CA270B"/>
    <w:rsid w:val="00CA417C"/>
    <w:rsid w:val="00CA44CB"/>
    <w:rsid w:val="00CA4A10"/>
    <w:rsid w:val="00CA5CEE"/>
    <w:rsid w:val="00CA76D8"/>
    <w:rsid w:val="00CB01B0"/>
    <w:rsid w:val="00CB03E5"/>
    <w:rsid w:val="00CB0C17"/>
    <w:rsid w:val="00CB144B"/>
    <w:rsid w:val="00CB1544"/>
    <w:rsid w:val="00CB1823"/>
    <w:rsid w:val="00CB1A10"/>
    <w:rsid w:val="00CB234E"/>
    <w:rsid w:val="00CB2F53"/>
    <w:rsid w:val="00CB4BD9"/>
    <w:rsid w:val="00CB51CF"/>
    <w:rsid w:val="00CC006C"/>
    <w:rsid w:val="00CC1915"/>
    <w:rsid w:val="00CC2493"/>
    <w:rsid w:val="00CC2508"/>
    <w:rsid w:val="00CC2BA7"/>
    <w:rsid w:val="00CC3042"/>
    <w:rsid w:val="00CC3C37"/>
    <w:rsid w:val="00CC3CC1"/>
    <w:rsid w:val="00CC4F60"/>
    <w:rsid w:val="00CC537D"/>
    <w:rsid w:val="00CC5BA4"/>
    <w:rsid w:val="00CC6F27"/>
    <w:rsid w:val="00CD04C3"/>
    <w:rsid w:val="00CD11B8"/>
    <w:rsid w:val="00CD1412"/>
    <w:rsid w:val="00CD1F91"/>
    <w:rsid w:val="00CD2533"/>
    <w:rsid w:val="00CD2A91"/>
    <w:rsid w:val="00CD3F66"/>
    <w:rsid w:val="00CD46D6"/>
    <w:rsid w:val="00CD6D9B"/>
    <w:rsid w:val="00CE0030"/>
    <w:rsid w:val="00CE0964"/>
    <w:rsid w:val="00CE0AAC"/>
    <w:rsid w:val="00CE1433"/>
    <w:rsid w:val="00CE35B2"/>
    <w:rsid w:val="00CE46D4"/>
    <w:rsid w:val="00CE5068"/>
    <w:rsid w:val="00CE52E8"/>
    <w:rsid w:val="00CE52F2"/>
    <w:rsid w:val="00CE580B"/>
    <w:rsid w:val="00CE5DA7"/>
    <w:rsid w:val="00CE7CD0"/>
    <w:rsid w:val="00CF078B"/>
    <w:rsid w:val="00CF11F7"/>
    <w:rsid w:val="00CF147B"/>
    <w:rsid w:val="00CF4668"/>
    <w:rsid w:val="00CF4D7B"/>
    <w:rsid w:val="00CF5C93"/>
    <w:rsid w:val="00CF5D62"/>
    <w:rsid w:val="00D0100F"/>
    <w:rsid w:val="00D01FB2"/>
    <w:rsid w:val="00D025E5"/>
    <w:rsid w:val="00D0315A"/>
    <w:rsid w:val="00D03B75"/>
    <w:rsid w:val="00D03C82"/>
    <w:rsid w:val="00D04E19"/>
    <w:rsid w:val="00D04F98"/>
    <w:rsid w:val="00D05798"/>
    <w:rsid w:val="00D06D03"/>
    <w:rsid w:val="00D0736E"/>
    <w:rsid w:val="00D11652"/>
    <w:rsid w:val="00D11D38"/>
    <w:rsid w:val="00D12692"/>
    <w:rsid w:val="00D13BD5"/>
    <w:rsid w:val="00D14391"/>
    <w:rsid w:val="00D14B38"/>
    <w:rsid w:val="00D17F53"/>
    <w:rsid w:val="00D22960"/>
    <w:rsid w:val="00D22C81"/>
    <w:rsid w:val="00D22CB1"/>
    <w:rsid w:val="00D23AB0"/>
    <w:rsid w:val="00D24180"/>
    <w:rsid w:val="00D24BE0"/>
    <w:rsid w:val="00D25C46"/>
    <w:rsid w:val="00D27678"/>
    <w:rsid w:val="00D316A4"/>
    <w:rsid w:val="00D328C4"/>
    <w:rsid w:val="00D3303B"/>
    <w:rsid w:val="00D33986"/>
    <w:rsid w:val="00D36D65"/>
    <w:rsid w:val="00D40B12"/>
    <w:rsid w:val="00D412C3"/>
    <w:rsid w:val="00D426B6"/>
    <w:rsid w:val="00D42A29"/>
    <w:rsid w:val="00D443E6"/>
    <w:rsid w:val="00D44ADE"/>
    <w:rsid w:val="00D45024"/>
    <w:rsid w:val="00D47EAD"/>
    <w:rsid w:val="00D5011A"/>
    <w:rsid w:val="00D50C11"/>
    <w:rsid w:val="00D51CFC"/>
    <w:rsid w:val="00D51FF2"/>
    <w:rsid w:val="00D521D1"/>
    <w:rsid w:val="00D532F6"/>
    <w:rsid w:val="00D53F8A"/>
    <w:rsid w:val="00D54CFB"/>
    <w:rsid w:val="00D550CB"/>
    <w:rsid w:val="00D55D45"/>
    <w:rsid w:val="00D56D99"/>
    <w:rsid w:val="00D57C6D"/>
    <w:rsid w:val="00D6026B"/>
    <w:rsid w:val="00D608E2"/>
    <w:rsid w:val="00D61C1D"/>
    <w:rsid w:val="00D703BC"/>
    <w:rsid w:val="00D708CD"/>
    <w:rsid w:val="00D713E9"/>
    <w:rsid w:val="00D7212E"/>
    <w:rsid w:val="00D72DDA"/>
    <w:rsid w:val="00D738B6"/>
    <w:rsid w:val="00D74178"/>
    <w:rsid w:val="00D74476"/>
    <w:rsid w:val="00D75A8A"/>
    <w:rsid w:val="00D766A9"/>
    <w:rsid w:val="00D771F4"/>
    <w:rsid w:val="00D77662"/>
    <w:rsid w:val="00D80F64"/>
    <w:rsid w:val="00D8134D"/>
    <w:rsid w:val="00D8191E"/>
    <w:rsid w:val="00D84E8C"/>
    <w:rsid w:val="00D853BC"/>
    <w:rsid w:val="00D86496"/>
    <w:rsid w:val="00D87562"/>
    <w:rsid w:val="00D902B6"/>
    <w:rsid w:val="00D9089C"/>
    <w:rsid w:val="00D91B8B"/>
    <w:rsid w:val="00D92C14"/>
    <w:rsid w:val="00D9301C"/>
    <w:rsid w:val="00D94951"/>
    <w:rsid w:val="00D94F9C"/>
    <w:rsid w:val="00D9611E"/>
    <w:rsid w:val="00D961DC"/>
    <w:rsid w:val="00D976AC"/>
    <w:rsid w:val="00D97DF3"/>
    <w:rsid w:val="00DA0352"/>
    <w:rsid w:val="00DA0B0B"/>
    <w:rsid w:val="00DA164A"/>
    <w:rsid w:val="00DA446A"/>
    <w:rsid w:val="00DA4C45"/>
    <w:rsid w:val="00DA5EDA"/>
    <w:rsid w:val="00DA7078"/>
    <w:rsid w:val="00DA79FC"/>
    <w:rsid w:val="00DB05A7"/>
    <w:rsid w:val="00DB0C47"/>
    <w:rsid w:val="00DB2547"/>
    <w:rsid w:val="00DB2FA9"/>
    <w:rsid w:val="00DB49A1"/>
    <w:rsid w:val="00DB5550"/>
    <w:rsid w:val="00DC02B0"/>
    <w:rsid w:val="00DC06D4"/>
    <w:rsid w:val="00DC0F38"/>
    <w:rsid w:val="00DC274A"/>
    <w:rsid w:val="00DC340C"/>
    <w:rsid w:val="00DC4F41"/>
    <w:rsid w:val="00DC7291"/>
    <w:rsid w:val="00DC7A7A"/>
    <w:rsid w:val="00DC7F95"/>
    <w:rsid w:val="00DD032B"/>
    <w:rsid w:val="00DD0678"/>
    <w:rsid w:val="00DD0F6F"/>
    <w:rsid w:val="00DD2427"/>
    <w:rsid w:val="00DD3BF3"/>
    <w:rsid w:val="00DD40AE"/>
    <w:rsid w:val="00DD416B"/>
    <w:rsid w:val="00DD4B6F"/>
    <w:rsid w:val="00DD530E"/>
    <w:rsid w:val="00DD59C3"/>
    <w:rsid w:val="00DD6411"/>
    <w:rsid w:val="00DE0FFD"/>
    <w:rsid w:val="00DE1BED"/>
    <w:rsid w:val="00DE1D22"/>
    <w:rsid w:val="00DE2B19"/>
    <w:rsid w:val="00DE2F90"/>
    <w:rsid w:val="00DE33C2"/>
    <w:rsid w:val="00DE3547"/>
    <w:rsid w:val="00DE574C"/>
    <w:rsid w:val="00DE58BB"/>
    <w:rsid w:val="00DE60AE"/>
    <w:rsid w:val="00DE62FF"/>
    <w:rsid w:val="00DE76A0"/>
    <w:rsid w:val="00DF038C"/>
    <w:rsid w:val="00DF3876"/>
    <w:rsid w:val="00DF3B98"/>
    <w:rsid w:val="00DF3CC2"/>
    <w:rsid w:val="00DF5E14"/>
    <w:rsid w:val="00DF5FE0"/>
    <w:rsid w:val="00DF724A"/>
    <w:rsid w:val="00DF770B"/>
    <w:rsid w:val="00DF7D5A"/>
    <w:rsid w:val="00E025D5"/>
    <w:rsid w:val="00E02AB7"/>
    <w:rsid w:val="00E03498"/>
    <w:rsid w:val="00E054D0"/>
    <w:rsid w:val="00E05886"/>
    <w:rsid w:val="00E06404"/>
    <w:rsid w:val="00E072C1"/>
    <w:rsid w:val="00E07D56"/>
    <w:rsid w:val="00E07FB9"/>
    <w:rsid w:val="00E1032B"/>
    <w:rsid w:val="00E1095F"/>
    <w:rsid w:val="00E119FE"/>
    <w:rsid w:val="00E125A3"/>
    <w:rsid w:val="00E1279A"/>
    <w:rsid w:val="00E12E9D"/>
    <w:rsid w:val="00E13A1C"/>
    <w:rsid w:val="00E14A0E"/>
    <w:rsid w:val="00E1783F"/>
    <w:rsid w:val="00E17BF9"/>
    <w:rsid w:val="00E206FC"/>
    <w:rsid w:val="00E2249E"/>
    <w:rsid w:val="00E23864"/>
    <w:rsid w:val="00E238C8"/>
    <w:rsid w:val="00E2463B"/>
    <w:rsid w:val="00E24985"/>
    <w:rsid w:val="00E30205"/>
    <w:rsid w:val="00E312B6"/>
    <w:rsid w:val="00E31C3B"/>
    <w:rsid w:val="00E32325"/>
    <w:rsid w:val="00E33939"/>
    <w:rsid w:val="00E3485F"/>
    <w:rsid w:val="00E3571A"/>
    <w:rsid w:val="00E378D9"/>
    <w:rsid w:val="00E37CA0"/>
    <w:rsid w:val="00E411F8"/>
    <w:rsid w:val="00E42E8F"/>
    <w:rsid w:val="00E42FFF"/>
    <w:rsid w:val="00E434B0"/>
    <w:rsid w:val="00E43596"/>
    <w:rsid w:val="00E437AA"/>
    <w:rsid w:val="00E439FE"/>
    <w:rsid w:val="00E4406E"/>
    <w:rsid w:val="00E4420B"/>
    <w:rsid w:val="00E445BC"/>
    <w:rsid w:val="00E452A9"/>
    <w:rsid w:val="00E4535D"/>
    <w:rsid w:val="00E457C0"/>
    <w:rsid w:val="00E45837"/>
    <w:rsid w:val="00E45AAA"/>
    <w:rsid w:val="00E47162"/>
    <w:rsid w:val="00E47AFF"/>
    <w:rsid w:val="00E47D74"/>
    <w:rsid w:val="00E504D3"/>
    <w:rsid w:val="00E516D1"/>
    <w:rsid w:val="00E52638"/>
    <w:rsid w:val="00E534F6"/>
    <w:rsid w:val="00E5362F"/>
    <w:rsid w:val="00E53C10"/>
    <w:rsid w:val="00E54B5C"/>
    <w:rsid w:val="00E57C23"/>
    <w:rsid w:val="00E6047A"/>
    <w:rsid w:val="00E60828"/>
    <w:rsid w:val="00E60980"/>
    <w:rsid w:val="00E616AF"/>
    <w:rsid w:val="00E616B6"/>
    <w:rsid w:val="00E62007"/>
    <w:rsid w:val="00E62393"/>
    <w:rsid w:val="00E64FF2"/>
    <w:rsid w:val="00E65CE1"/>
    <w:rsid w:val="00E66C59"/>
    <w:rsid w:val="00E6739E"/>
    <w:rsid w:val="00E67ABA"/>
    <w:rsid w:val="00E71ECF"/>
    <w:rsid w:val="00E7245F"/>
    <w:rsid w:val="00E72AAE"/>
    <w:rsid w:val="00E7328E"/>
    <w:rsid w:val="00E7440A"/>
    <w:rsid w:val="00E7450D"/>
    <w:rsid w:val="00E74527"/>
    <w:rsid w:val="00E74BC3"/>
    <w:rsid w:val="00E75313"/>
    <w:rsid w:val="00E770D4"/>
    <w:rsid w:val="00E770F1"/>
    <w:rsid w:val="00E848E7"/>
    <w:rsid w:val="00E85412"/>
    <w:rsid w:val="00E8555D"/>
    <w:rsid w:val="00E8575F"/>
    <w:rsid w:val="00E858D8"/>
    <w:rsid w:val="00E86663"/>
    <w:rsid w:val="00E87B1B"/>
    <w:rsid w:val="00E9258B"/>
    <w:rsid w:val="00E93E79"/>
    <w:rsid w:val="00E940A6"/>
    <w:rsid w:val="00E95267"/>
    <w:rsid w:val="00E97AAC"/>
    <w:rsid w:val="00E97DD0"/>
    <w:rsid w:val="00E97F57"/>
    <w:rsid w:val="00EA0DD7"/>
    <w:rsid w:val="00EA2273"/>
    <w:rsid w:val="00EA2F69"/>
    <w:rsid w:val="00EA36AC"/>
    <w:rsid w:val="00EA7F53"/>
    <w:rsid w:val="00EB19E2"/>
    <w:rsid w:val="00EB1AA9"/>
    <w:rsid w:val="00EB25AB"/>
    <w:rsid w:val="00EB2CD7"/>
    <w:rsid w:val="00EB2D0E"/>
    <w:rsid w:val="00EB3412"/>
    <w:rsid w:val="00EB35DF"/>
    <w:rsid w:val="00EB4387"/>
    <w:rsid w:val="00EB62D0"/>
    <w:rsid w:val="00EC066B"/>
    <w:rsid w:val="00EC0AB4"/>
    <w:rsid w:val="00EC1093"/>
    <w:rsid w:val="00EC155D"/>
    <w:rsid w:val="00EC1B91"/>
    <w:rsid w:val="00EC28D4"/>
    <w:rsid w:val="00EC41C7"/>
    <w:rsid w:val="00EC4490"/>
    <w:rsid w:val="00EC454A"/>
    <w:rsid w:val="00EC4E33"/>
    <w:rsid w:val="00EC769D"/>
    <w:rsid w:val="00EC7A8F"/>
    <w:rsid w:val="00ED1CF2"/>
    <w:rsid w:val="00ED227B"/>
    <w:rsid w:val="00ED3C2F"/>
    <w:rsid w:val="00ED694E"/>
    <w:rsid w:val="00EE1425"/>
    <w:rsid w:val="00EE20A7"/>
    <w:rsid w:val="00EE2C72"/>
    <w:rsid w:val="00EE2DEF"/>
    <w:rsid w:val="00EE30DD"/>
    <w:rsid w:val="00EE3B99"/>
    <w:rsid w:val="00EE5262"/>
    <w:rsid w:val="00EE6037"/>
    <w:rsid w:val="00EE7230"/>
    <w:rsid w:val="00EF05B3"/>
    <w:rsid w:val="00EF210C"/>
    <w:rsid w:val="00EF213F"/>
    <w:rsid w:val="00EF2CAC"/>
    <w:rsid w:val="00EF522E"/>
    <w:rsid w:val="00EF5712"/>
    <w:rsid w:val="00EF624C"/>
    <w:rsid w:val="00EF6C41"/>
    <w:rsid w:val="00EF7856"/>
    <w:rsid w:val="00EF7BD9"/>
    <w:rsid w:val="00F002FF"/>
    <w:rsid w:val="00F016BD"/>
    <w:rsid w:val="00F029F8"/>
    <w:rsid w:val="00F0363E"/>
    <w:rsid w:val="00F039A9"/>
    <w:rsid w:val="00F04058"/>
    <w:rsid w:val="00F04C88"/>
    <w:rsid w:val="00F04D15"/>
    <w:rsid w:val="00F0505C"/>
    <w:rsid w:val="00F05C9C"/>
    <w:rsid w:val="00F072AA"/>
    <w:rsid w:val="00F101F2"/>
    <w:rsid w:val="00F106DA"/>
    <w:rsid w:val="00F10BF2"/>
    <w:rsid w:val="00F115B4"/>
    <w:rsid w:val="00F129A1"/>
    <w:rsid w:val="00F13256"/>
    <w:rsid w:val="00F13F03"/>
    <w:rsid w:val="00F15958"/>
    <w:rsid w:val="00F16F6B"/>
    <w:rsid w:val="00F17A9B"/>
    <w:rsid w:val="00F21C42"/>
    <w:rsid w:val="00F22E1D"/>
    <w:rsid w:val="00F238B3"/>
    <w:rsid w:val="00F239E8"/>
    <w:rsid w:val="00F23DE7"/>
    <w:rsid w:val="00F25CEB"/>
    <w:rsid w:val="00F30021"/>
    <w:rsid w:val="00F3178A"/>
    <w:rsid w:val="00F324E7"/>
    <w:rsid w:val="00F33793"/>
    <w:rsid w:val="00F33C4D"/>
    <w:rsid w:val="00F34AA3"/>
    <w:rsid w:val="00F34BEF"/>
    <w:rsid w:val="00F36A2B"/>
    <w:rsid w:val="00F42274"/>
    <w:rsid w:val="00F430AC"/>
    <w:rsid w:val="00F43B67"/>
    <w:rsid w:val="00F44087"/>
    <w:rsid w:val="00F44244"/>
    <w:rsid w:val="00F442BF"/>
    <w:rsid w:val="00F45CB4"/>
    <w:rsid w:val="00F45DDB"/>
    <w:rsid w:val="00F47FB4"/>
    <w:rsid w:val="00F5073E"/>
    <w:rsid w:val="00F51A23"/>
    <w:rsid w:val="00F53105"/>
    <w:rsid w:val="00F547B8"/>
    <w:rsid w:val="00F5507D"/>
    <w:rsid w:val="00F55668"/>
    <w:rsid w:val="00F55CCD"/>
    <w:rsid w:val="00F55D38"/>
    <w:rsid w:val="00F56391"/>
    <w:rsid w:val="00F57707"/>
    <w:rsid w:val="00F57760"/>
    <w:rsid w:val="00F61254"/>
    <w:rsid w:val="00F6125F"/>
    <w:rsid w:val="00F617DF"/>
    <w:rsid w:val="00F62062"/>
    <w:rsid w:val="00F63B8E"/>
    <w:rsid w:val="00F658D9"/>
    <w:rsid w:val="00F65AF2"/>
    <w:rsid w:val="00F6677C"/>
    <w:rsid w:val="00F66791"/>
    <w:rsid w:val="00F66B8F"/>
    <w:rsid w:val="00F7024E"/>
    <w:rsid w:val="00F70884"/>
    <w:rsid w:val="00F719C3"/>
    <w:rsid w:val="00F72C3C"/>
    <w:rsid w:val="00F72D2C"/>
    <w:rsid w:val="00F7309C"/>
    <w:rsid w:val="00F731DB"/>
    <w:rsid w:val="00F7779F"/>
    <w:rsid w:val="00F805C8"/>
    <w:rsid w:val="00F818B2"/>
    <w:rsid w:val="00F82260"/>
    <w:rsid w:val="00F83AEE"/>
    <w:rsid w:val="00F842DA"/>
    <w:rsid w:val="00F843C4"/>
    <w:rsid w:val="00F84575"/>
    <w:rsid w:val="00F84803"/>
    <w:rsid w:val="00F85338"/>
    <w:rsid w:val="00F85992"/>
    <w:rsid w:val="00F85F22"/>
    <w:rsid w:val="00F86B0C"/>
    <w:rsid w:val="00F86CC2"/>
    <w:rsid w:val="00F8736C"/>
    <w:rsid w:val="00F87D33"/>
    <w:rsid w:val="00F90DF4"/>
    <w:rsid w:val="00F9124B"/>
    <w:rsid w:val="00F9138B"/>
    <w:rsid w:val="00F93097"/>
    <w:rsid w:val="00F9727D"/>
    <w:rsid w:val="00FA0ACC"/>
    <w:rsid w:val="00FA0C7C"/>
    <w:rsid w:val="00FA0CA4"/>
    <w:rsid w:val="00FA1E53"/>
    <w:rsid w:val="00FA2A7E"/>
    <w:rsid w:val="00FA345B"/>
    <w:rsid w:val="00FA460F"/>
    <w:rsid w:val="00FA4F07"/>
    <w:rsid w:val="00FA5422"/>
    <w:rsid w:val="00FA62C9"/>
    <w:rsid w:val="00FA6759"/>
    <w:rsid w:val="00FA6876"/>
    <w:rsid w:val="00FA7B02"/>
    <w:rsid w:val="00FB0343"/>
    <w:rsid w:val="00FB08E2"/>
    <w:rsid w:val="00FB1901"/>
    <w:rsid w:val="00FB1913"/>
    <w:rsid w:val="00FB3242"/>
    <w:rsid w:val="00FB4E5B"/>
    <w:rsid w:val="00FB6F47"/>
    <w:rsid w:val="00FB7886"/>
    <w:rsid w:val="00FC00D2"/>
    <w:rsid w:val="00FC0227"/>
    <w:rsid w:val="00FC0BC0"/>
    <w:rsid w:val="00FC0ED7"/>
    <w:rsid w:val="00FC1520"/>
    <w:rsid w:val="00FC1CED"/>
    <w:rsid w:val="00FC3943"/>
    <w:rsid w:val="00FC4687"/>
    <w:rsid w:val="00FC541D"/>
    <w:rsid w:val="00FC5ADD"/>
    <w:rsid w:val="00FC5EB4"/>
    <w:rsid w:val="00FC657B"/>
    <w:rsid w:val="00FC6A90"/>
    <w:rsid w:val="00FC7C5A"/>
    <w:rsid w:val="00FD0717"/>
    <w:rsid w:val="00FD16D6"/>
    <w:rsid w:val="00FD1A51"/>
    <w:rsid w:val="00FD2441"/>
    <w:rsid w:val="00FD4992"/>
    <w:rsid w:val="00FD4B20"/>
    <w:rsid w:val="00FD4F81"/>
    <w:rsid w:val="00FD57C8"/>
    <w:rsid w:val="00FD61A4"/>
    <w:rsid w:val="00FD7192"/>
    <w:rsid w:val="00FD7503"/>
    <w:rsid w:val="00FE0B59"/>
    <w:rsid w:val="00FE17D2"/>
    <w:rsid w:val="00FE1C8A"/>
    <w:rsid w:val="00FE2CDB"/>
    <w:rsid w:val="00FE2D3C"/>
    <w:rsid w:val="00FE3F7E"/>
    <w:rsid w:val="00FE435B"/>
    <w:rsid w:val="00FE50C1"/>
    <w:rsid w:val="00FE594F"/>
    <w:rsid w:val="00FE6A70"/>
    <w:rsid w:val="00FE6D48"/>
    <w:rsid w:val="00FF12A9"/>
    <w:rsid w:val="00FF167F"/>
    <w:rsid w:val="00FF2A3A"/>
    <w:rsid w:val="00FF2CAD"/>
    <w:rsid w:val="00FF38C0"/>
    <w:rsid w:val="00FF3E5F"/>
    <w:rsid w:val="00FF466A"/>
    <w:rsid w:val="00FF5C83"/>
    <w:rsid w:val="00FF6E2B"/>
    <w:rsid w:val="00FF70A2"/>
    <w:rsid w:val="00FF7669"/>
    <w:rsid w:val="00FF786A"/>
    <w:rsid w:val="01629912"/>
    <w:rsid w:val="018DE982"/>
    <w:rsid w:val="01E54318"/>
    <w:rsid w:val="020E0D43"/>
    <w:rsid w:val="0476FE83"/>
    <w:rsid w:val="04D3EE66"/>
    <w:rsid w:val="087444E5"/>
    <w:rsid w:val="08BBADCD"/>
    <w:rsid w:val="0DAA7547"/>
    <w:rsid w:val="0E44CF7C"/>
    <w:rsid w:val="10193356"/>
    <w:rsid w:val="105186B8"/>
    <w:rsid w:val="10D95F98"/>
    <w:rsid w:val="114DF7A8"/>
    <w:rsid w:val="1195C366"/>
    <w:rsid w:val="128097DD"/>
    <w:rsid w:val="12B2B1C3"/>
    <w:rsid w:val="1395DD58"/>
    <w:rsid w:val="13BD3C8E"/>
    <w:rsid w:val="14E1C00D"/>
    <w:rsid w:val="159D8157"/>
    <w:rsid w:val="1687A71C"/>
    <w:rsid w:val="182E6DAA"/>
    <w:rsid w:val="1B0D7123"/>
    <w:rsid w:val="1B6280D9"/>
    <w:rsid w:val="1B846214"/>
    <w:rsid w:val="1DEA680E"/>
    <w:rsid w:val="1DECA684"/>
    <w:rsid w:val="1E0A95B3"/>
    <w:rsid w:val="29D45617"/>
    <w:rsid w:val="2EC434D5"/>
    <w:rsid w:val="2F01A63F"/>
    <w:rsid w:val="324F8DCC"/>
    <w:rsid w:val="329BE857"/>
    <w:rsid w:val="333D3E28"/>
    <w:rsid w:val="3397C0B2"/>
    <w:rsid w:val="357E98EA"/>
    <w:rsid w:val="374F3585"/>
    <w:rsid w:val="3B366DFD"/>
    <w:rsid w:val="3BDB5384"/>
    <w:rsid w:val="3BF1F0BC"/>
    <w:rsid w:val="3FBFF719"/>
    <w:rsid w:val="4000982C"/>
    <w:rsid w:val="40817FB6"/>
    <w:rsid w:val="43886B04"/>
    <w:rsid w:val="43AD019C"/>
    <w:rsid w:val="44D002B1"/>
    <w:rsid w:val="453608FB"/>
    <w:rsid w:val="456408EE"/>
    <w:rsid w:val="458317E7"/>
    <w:rsid w:val="47438530"/>
    <w:rsid w:val="4797B53A"/>
    <w:rsid w:val="4944252C"/>
    <w:rsid w:val="4A725781"/>
    <w:rsid w:val="4B35227F"/>
    <w:rsid w:val="4B572318"/>
    <w:rsid w:val="4C40BFCD"/>
    <w:rsid w:val="4C787BAE"/>
    <w:rsid w:val="4D11AF9F"/>
    <w:rsid w:val="4F903298"/>
    <w:rsid w:val="52D08E5F"/>
    <w:rsid w:val="52D4F9EC"/>
    <w:rsid w:val="5365471D"/>
    <w:rsid w:val="5454B4EA"/>
    <w:rsid w:val="56848750"/>
    <w:rsid w:val="572B922A"/>
    <w:rsid w:val="5BB0B583"/>
    <w:rsid w:val="5DDFA91D"/>
    <w:rsid w:val="5E0CE46E"/>
    <w:rsid w:val="5F3C63D9"/>
    <w:rsid w:val="6012516D"/>
    <w:rsid w:val="605936BC"/>
    <w:rsid w:val="60AA2D21"/>
    <w:rsid w:val="621D7EB4"/>
    <w:rsid w:val="631667CF"/>
    <w:rsid w:val="63E1114F"/>
    <w:rsid w:val="6454FD19"/>
    <w:rsid w:val="656C7C5C"/>
    <w:rsid w:val="662651B6"/>
    <w:rsid w:val="66B3FED9"/>
    <w:rsid w:val="671A2533"/>
    <w:rsid w:val="671C438B"/>
    <w:rsid w:val="67DD7C53"/>
    <w:rsid w:val="684F1013"/>
    <w:rsid w:val="69995408"/>
    <w:rsid w:val="69A4B6EE"/>
    <w:rsid w:val="69AACA65"/>
    <w:rsid w:val="6BA55D25"/>
    <w:rsid w:val="6BBF376C"/>
    <w:rsid w:val="6C46BBA5"/>
    <w:rsid w:val="6D75F316"/>
    <w:rsid w:val="6DC3CA87"/>
    <w:rsid w:val="6EAEEE66"/>
    <w:rsid w:val="6F61A6C7"/>
    <w:rsid w:val="70194A8F"/>
    <w:rsid w:val="70E2AEE9"/>
    <w:rsid w:val="715DBF36"/>
    <w:rsid w:val="732E6EB8"/>
    <w:rsid w:val="73939D44"/>
    <w:rsid w:val="73B42C83"/>
    <w:rsid w:val="73FD583B"/>
    <w:rsid w:val="754AD6BF"/>
    <w:rsid w:val="75B13979"/>
    <w:rsid w:val="76E1A236"/>
    <w:rsid w:val="7A2DD0EC"/>
    <w:rsid w:val="7B76B141"/>
    <w:rsid w:val="7B829A23"/>
    <w:rsid w:val="7BDE197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4935DEA"/>
  <w15:docId w15:val="{455980E3-17EC-4466-86C7-C9D3A065B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F5073E"/>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F5073E"/>
    <w:pPr>
      <w:spacing w:after="0"/>
    </w:pPr>
  </w:style>
  <w:style w:type="paragraph" w:styleId="ListBullet">
    <w:name w:val="List Bullet"/>
    <w:basedOn w:val="Normal"/>
    <w:uiPriority w:val="99"/>
    <w:unhideWhenUsed/>
    <w:rsid w:val="00F5073E"/>
    <w:pPr>
      <w:numPr>
        <w:numId w:val="1"/>
      </w:numPr>
      <w:contextualSpacing/>
    </w:pPr>
  </w:style>
  <w:style w:type="paragraph" w:styleId="ListBullet2">
    <w:name w:val="List Bullet 2"/>
    <w:basedOn w:val="Normal"/>
    <w:uiPriority w:val="99"/>
    <w:semiHidden/>
    <w:unhideWhenUsed/>
    <w:rsid w:val="00F5073E"/>
    <w:pPr>
      <w:numPr>
        <w:numId w:val="2"/>
      </w:numPr>
      <w:contextualSpacing/>
    </w:pPr>
  </w:style>
  <w:style w:type="paragraph" w:styleId="ListBullet3">
    <w:name w:val="List Bullet 3"/>
    <w:basedOn w:val="Normal"/>
    <w:uiPriority w:val="99"/>
    <w:semiHidden/>
    <w:unhideWhenUsed/>
    <w:rsid w:val="00F5073E"/>
    <w:pPr>
      <w:numPr>
        <w:numId w:val="3"/>
      </w:numPr>
      <w:contextualSpacing/>
    </w:pPr>
  </w:style>
  <w:style w:type="paragraph" w:styleId="ListBullet4">
    <w:name w:val="List Bullet 4"/>
    <w:basedOn w:val="Normal"/>
    <w:uiPriority w:val="99"/>
    <w:semiHidden/>
    <w:unhideWhenUsed/>
    <w:rsid w:val="00F5073E"/>
    <w:pPr>
      <w:numPr>
        <w:numId w:val="4"/>
      </w:numPr>
      <w:contextualSpacing/>
    </w:pPr>
  </w:style>
  <w:style w:type="paragraph" w:styleId="ListNumber">
    <w:name w:val="List Number"/>
    <w:basedOn w:val="Normal"/>
    <w:uiPriority w:val="99"/>
    <w:semiHidden/>
    <w:unhideWhenUsed/>
    <w:rsid w:val="00F5073E"/>
    <w:pPr>
      <w:numPr>
        <w:numId w:val="5"/>
      </w:numPr>
      <w:contextualSpacing/>
    </w:pPr>
  </w:style>
  <w:style w:type="paragraph" w:styleId="ListNumber2">
    <w:name w:val="List Number 2"/>
    <w:basedOn w:val="Normal"/>
    <w:uiPriority w:val="99"/>
    <w:semiHidden/>
    <w:unhideWhenUsed/>
    <w:rsid w:val="00F5073E"/>
    <w:pPr>
      <w:numPr>
        <w:numId w:val="6"/>
      </w:numPr>
      <w:contextualSpacing/>
    </w:pPr>
  </w:style>
  <w:style w:type="paragraph" w:styleId="ListNumber3">
    <w:name w:val="List Number 3"/>
    <w:basedOn w:val="Normal"/>
    <w:uiPriority w:val="99"/>
    <w:semiHidden/>
    <w:unhideWhenUsed/>
    <w:rsid w:val="00F5073E"/>
    <w:pPr>
      <w:numPr>
        <w:numId w:val="7"/>
      </w:numPr>
      <w:contextualSpacing/>
    </w:pPr>
  </w:style>
  <w:style w:type="paragraph" w:styleId="ListNumber4">
    <w:name w:val="List Number 4"/>
    <w:basedOn w:val="Normal"/>
    <w:uiPriority w:val="99"/>
    <w:semiHidden/>
    <w:unhideWhenUsed/>
    <w:rsid w:val="00F5073E"/>
    <w:pPr>
      <w:numPr>
        <w:numId w:val="8"/>
      </w:numPr>
      <w:contextualSpacing/>
    </w:pPr>
  </w:style>
  <w:style w:type="character" w:styleId="Hyperlink">
    <w:name w:val="Hyperlink"/>
    <w:basedOn w:val="DefaultParagraphFont"/>
    <w:uiPriority w:val="99"/>
    <w:unhideWhenUsed/>
    <w:rsid w:val="00E437AA"/>
    <w:rPr>
      <w:color w:val="0000FF" w:themeColor="hyperlink"/>
      <w:u w:val="single"/>
    </w:rPr>
  </w:style>
  <w:style w:type="character" w:styleId="CommentReference">
    <w:name w:val="annotation reference"/>
    <w:basedOn w:val="DefaultParagraphFont"/>
    <w:uiPriority w:val="99"/>
    <w:unhideWhenUsed/>
    <w:rsid w:val="00E437AA"/>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character" w:customStyle="1" w:styleId="UnresolvedMention1">
    <w:name w:val="Unresolved Mention1"/>
    <w:basedOn w:val="DefaultParagraphFont"/>
    <w:uiPriority w:val="99"/>
    <w:semiHidden/>
    <w:unhideWhenUsed/>
    <w:rsid w:val="007C4274"/>
    <w:rPr>
      <w:color w:val="605E5C"/>
      <w:shd w:val="clear" w:color="auto" w:fill="E1DFDD"/>
    </w:rPr>
  </w:style>
  <w:style w:type="paragraph" w:styleId="Revision">
    <w:name w:val="Revision"/>
    <w:hidden/>
    <w:uiPriority w:val="99"/>
    <w:semiHidden/>
    <w:rsid w:val="00C75457"/>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3B7888"/>
    <w:rPr>
      <w:b/>
      <w:bCs/>
    </w:rPr>
  </w:style>
  <w:style w:type="character" w:customStyle="1" w:styleId="CommentSubjectChar">
    <w:name w:val="Comment Subject Char"/>
    <w:basedOn w:val="CommentTextChar"/>
    <w:link w:val="CommentSubject"/>
    <w:uiPriority w:val="99"/>
    <w:semiHidden/>
    <w:rsid w:val="003B7888"/>
    <w:rPr>
      <w:rFonts w:ascii="Times New Roman" w:hAnsi="Times New Roman" w:cs="Times New Roman"/>
      <w:b/>
      <w:bCs/>
      <w:sz w:val="20"/>
      <w:szCs w:val="20"/>
      <w:lang w:val="fr-FR"/>
    </w:rPr>
  </w:style>
  <w:style w:type="paragraph" w:customStyle="1" w:styleId="Titreannexe">
    <w:name w:val="Titre annexe"/>
    <w:basedOn w:val="Point0number"/>
    <w:rsid w:val="00CA4A10"/>
    <w:pPr>
      <w:numPr>
        <w:numId w:val="0"/>
      </w:numPr>
      <w:jc w:val="center"/>
    </w:pPr>
  </w:style>
  <w:style w:type="paragraph" w:customStyle="1" w:styleId="paragraph">
    <w:name w:val="paragraph"/>
    <w:basedOn w:val="Normal"/>
    <w:rsid w:val="00994D5E"/>
    <w:pPr>
      <w:spacing w:before="100" w:beforeAutospacing="1" w:after="100" w:afterAutospacing="1"/>
      <w:jc w:val="left"/>
    </w:pPr>
    <w:rPr>
      <w:rFonts w:eastAsia="Times New Roman"/>
      <w:szCs w:val="24"/>
      <w:lang w:eastAsia="en-IE"/>
    </w:rPr>
  </w:style>
  <w:style w:type="character" w:customStyle="1" w:styleId="Mention1">
    <w:name w:val="Mention1"/>
    <w:basedOn w:val="DefaultParagraphFont"/>
    <w:uiPriority w:val="99"/>
    <w:unhideWhenUsed/>
    <w:rsid w:val="00A102C4"/>
    <w:rPr>
      <w:color w:val="2B579A"/>
      <w:shd w:val="clear" w:color="auto" w:fill="E1DFDD"/>
    </w:rPr>
  </w:style>
  <w:style w:type="paragraph" w:styleId="ListParagraph">
    <w:name w:val="List Paragraph"/>
    <w:basedOn w:val="Normal"/>
    <w:uiPriority w:val="34"/>
    <w:qFormat/>
    <w:rsid w:val="00A12C33"/>
    <w:pPr>
      <w:ind w:left="720"/>
      <w:contextualSpacing/>
    </w:pPr>
  </w:style>
  <w:style w:type="table" w:styleId="TableGrid">
    <w:name w:val="Table Grid"/>
    <w:basedOn w:val="TableNormal"/>
    <w:uiPriority w:val="39"/>
    <w:rsid w:val="0047726A"/>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nnexetitre"/>
    <w:link w:val="Style1Char"/>
    <w:qFormat/>
    <w:rsid w:val="00A67E44"/>
    <w:rPr>
      <w:b w:val="0"/>
      <w:bCs/>
      <w:i/>
      <w:iCs/>
      <w:u w:val="none"/>
    </w:rPr>
  </w:style>
  <w:style w:type="character" w:customStyle="1" w:styleId="AnnexetitreChar">
    <w:name w:val="Annexe titre Char"/>
    <w:basedOn w:val="DefaultParagraphFont"/>
    <w:rsid w:val="00A67E44"/>
    <w:rPr>
      <w:rFonts w:ascii="Times New Roman" w:hAnsi="Times New Roman" w:cs="Times New Roman"/>
      <w:b/>
      <w:sz w:val="24"/>
      <w:u w:val="single"/>
      <w:lang w:val="fr-FR"/>
    </w:rPr>
  </w:style>
  <w:style w:type="character" w:customStyle="1" w:styleId="Style1Char">
    <w:name w:val="Style1 Char"/>
    <w:basedOn w:val="AnnexetitreChar"/>
    <w:link w:val="Style1"/>
    <w:rsid w:val="00A67E44"/>
    <w:rPr>
      <w:rFonts w:ascii="Times New Roman" w:hAnsi="Times New Roman" w:cs="Times New Roman"/>
      <w:b w:val="0"/>
      <w:bCs/>
      <w:i/>
      <w:iCs/>
      <w:sz w:val="24"/>
      <w:u w:val="single"/>
      <w:lang w:val="fr-FR"/>
    </w:rPr>
  </w:style>
  <w:style w:type="paragraph" w:customStyle="1" w:styleId="Text0">
    <w:name w:val="Text 0"/>
    <w:basedOn w:val="Normal"/>
    <w:rsid w:val="00EC1B91"/>
  </w:style>
  <w:style w:type="character" w:customStyle="1" w:styleId="HeaderChar">
    <w:name w:val="Header Char"/>
    <w:basedOn w:val="DefaultParagraphFont"/>
    <w:link w:val="Header"/>
    <w:uiPriority w:val="99"/>
    <w:rsid w:val="00E7440A"/>
    <w:rPr>
      <w:rFonts w:ascii="Times New Roman" w:hAnsi="Times New Roman" w:cs="Times New Roman"/>
      <w:sz w:val="24"/>
      <w:lang w:val="fr-FR"/>
    </w:rPr>
  </w:style>
  <w:style w:type="character" w:customStyle="1" w:styleId="FooterChar">
    <w:name w:val="Footer Char"/>
    <w:basedOn w:val="DefaultParagraphFont"/>
    <w:link w:val="Footer"/>
    <w:uiPriority w:val="99"/>
    <w:rsid w:val="00E7440A"/>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7440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7440A"/>
    <w:pPr>
      <w:spacing w:before="0"/>
      <w:jc w:val="right"/>
    </w:pPr>
    <w:rPr>
      <w:sz w:val="28"/>
    </w:rPr>
  </w:style>
  <w:style w:type="paragraph" w:customStyle="1" w:styleId="FooterSensitivity">
    <w:name w:val="Footer Sensitivity"/>
    <w:basedOn w:val="Normal"/>
    <w:rsid w:val="00E7440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E7440A"/>
    <w:pPr>
      <w:tabs>
        <w:tab w:val="center" w:pos="4535"/>
        <w:tab w:val="right" w:pos="9071"/>
      </w:tabs>
      <w:spacing w:before="0"/>
    </w:pPr>
  </w:style>
  <w:style w:type="paragraph" w:customStyle="1" w:styleId="HeaderLandscape">
    <w:name w:val="HeaderLandscape"/>
    <w:basedOn w:val="Normal"/>
    <w:rsid w:val="00E7440A"/>
    <w:pPr>
      <w:tabs>
        <w:tab w:val="center" w:pos="7285"/>
        <w:tab w:val="right" w:pos="14003"/>
      </w:tabs>
      <w:spacing w:before="0"/>
    </w:pPr>
  </w:style>
  <w:style w:type="paragraph" w:styleId="Footer">
    <w:name w:val="footer"/>
    <w:basedOn w:val="Normal"/>
    <w:link w:val="FooterChar"/>
    <w:uiPriority w:val="99"/>
    <w:unhideWhenUsed/>
    <w:rsid w:val="00E7440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7440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879603">
      <w:bodyDiv w:val="1"/>
      <w:marLeft w:val="0"/>
      <w:marRight w:val="0"/>
      <w:marTop w:val="0"/>
      <w:marBottom w:val="0"/>
      <w:divBdr>
        <w:top w:val="none" w:sz="0" w:space="0" w:color="auto"/>
        <w:left w:val="none" w:sz="0" w:space="0" w:color="auto"/>
        <w:bottom w:val="none" w:sz="0" w:space="0" w:color="auto"/>
        <w:right w:val="none" w:sz="0" w:space="0" w:color="auto"/>
      </w:divBdr>
    </w:div>
    <w:div w:id="515457984">
      <w:bodyDiv w:val="1"/>
      <w:marLeft w:val="0"/>
      <w:marRight w:val="0"/>
      <w:marTop w:val="0"/>
      <w:marBottom w:val="0"/>
      <w:divBdr>
        <w:top w:val="none" w:sz="0" w:space="0" w:color="auto"/>
        <w:left w:val="none" w:sz="0" w:space="0" w:color="auto"/>
        <w:bottom w:val="none" w:sz="0" w:space="0" w:color="auto"/>
        <w:right w:val="none" w:sz="0" w:space="0" w:color="auto"/>
      </w:divBdr>
    </w:div>
    <w:div w:id="560555177">
      <w:bodyDiv w:val="1"/>
      <w:marLeft w:val="0"/>
      <w:marRight w:val="0"/>
      <w:marTop w:val="0"/>
      <w:marBottom w:val="0"/>
      <w:divBdr>
        <w:top w:val="none" w:sz="0" w:space="0" w:color="auto"/>
        <w:left w:val="none" w:sz="0" w:space="0" w:color="auto"/>
        <w:bottom w:val="none" w:sz="0" w:space="0" w:color="auto"/>
        <w:right w:val="none" w:sz="0" w:space="0" w:color="auto"/>
      </w:divBdr>
    </w:div>
    <w:div w:id="1046492711">
      <w:bodyDiv w:val="1"/>
      <w:marLeft w:val="0"/>
      <w:marRight w:val="0"/>
      <w:marTop w:val="0"/>
      <w:marBottom w:val="0"/>
      <w:divBdr>
        <w:top w:val="none" w:sz="0" w:space="0" w:color="auto"/>
        <w:left w:val="none" w:sz="0" w:space="0" w:color="auto"/>
        <w:bottom w:val="none" w:sz="0" w:space="0" w:color="auto"/>
        <w:right w:val="none" w:sz="0" w:space="0" w:color="auto"/>
      </w:divBdr>
    </w:div>
    <w:div w:id="1672566515">
      <w:bodyDiv w:val="1"/>
      <w:marLeft w:val="0"/>
      <w:marRight w:val="0"/>
      <w:marTop w:val="0"/>
      <w:marBottom w:val="0"/>
      <w:divBdr>
        <w:top w:val="none" w:sz="0" w:space="0" w:color="auto"/>
        <w:left w:val="none" w:sz="0" w:space="0" w:color="auto"/>
        <w:bottom w:val="none" w:sz="0" w:space="0" w:color="auto"/>
        <w:right w:val="none" w:sz="0" w:space="0" w:color="auto"/>
      </w:divBdr>
    </w:div>
    <w:div w:id="1789426153">
      <w:bodyDiv w:val="1"/>
      <w:marLeft w:val="0"/>
      <w:marRight w:val="0"/>
      <w:marTop w:val="0"/>
      <w:marBottom w:val="0"/>
      <w:divBdr>
        <w:top w:val="none" w:sz="0" w:space="0" w:color="auto"/>
        <w:left w:val="none" w:sz="0" w:space="0" w:color="auto"/>
        <w:bottom w:val="none" w:sz="0" w:space="0" w:color="auto"/>
        <w:right w:val="none" w:sz="0" w:space="0" w:color="auto"/>
      </w:divBdr>
    </w:div>
    <w:div w:id="1925648936">
      <w:bodyDiv w:val="1"/>
      <w:marLeft w:val="0"/>
      <w:marRight w:val="0"/>
      <w:marTop w:val="0"/>
      <w:marBottom w:val="0"/>
      <w:divBdr>
        <w:top w:val="none" w:sz="0" w:space="0" w:color="auto"/>
        <w:left w:val="none" w:sz="0" w:space="0" w:color="auto"/>
        <w:bottom w:val="none" w:sz="0" w:space="0" w:color="auto"/>
        <w:right w:val="none" w:sz="0" w:space="0" w:color="auto"/>
      </w:divBdr>
    </w:div>
    <w:div w:id="2104841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2EF9373D7657549B6CD127E08569206" ma:contentTypeVersion="4" ma:contentTypeDescription="Create a new document." ma:contentTypeScope="" ma:versionID="632e263fa9720dffe86f3e7860e047ab">
  <xsd:schema xmlns:xsd="http://www.w3.org/2001/XMLSchema" xmlns:xs="http://www.w3.org/2001/XMLSchema" xmlns:p="http://schemas.microsoft.com/office/2006/metadata/properties" xmlns:ns2="7c2df423-21e3-4881-a08a-095b88bfd823" targetNamespace="http://schemas.microsoft.com/office/2006/metadata/properties" ma:root="true" ma:fieldsID="83612f83e4b5760fcaa6923e0a35cf50" ns2:_="">
    <xsd:import namespace="7c2df423-21e3-4881-a08a-095b88bfd8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2df423-21e3-4881-a08a-095b88bfd8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4C9987-3780-4730-B4B1-2EFB008403D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9F2466F-78BD-42A8-9FE2-468993C5301F}">
  <ds:schemaRefs>
    <ds:schemaRef ds:uri="http://schemas.microsoft.com/sharepoint/v3/contenttype/forms"/>
  </ds:schemaRefs>
</ds:datastoreItem>
</file>

<file path=customXml/itemProps3.xml><?xml version="1.0" encoding="utf-8"?>
<ds:datastoreItem xmlns:ds="http://schemas.openxmlformats.org/officeDocument/2006/customXml" ds:itemID="{E6857E0A-0267-4637-BAFE-7F0AF8E99A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2df423-21e3-4881-a08a-095b88bfd8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81E3FE-EB5E-493D-B671-1E488DB5D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10</TotalTime>
  <Pages>9</Pages>
  <Words>2322</Words>
  <Characters>13236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10</cp:revision>
  <dcterms:created xsi:type="dcterms:W3CDTF">2026-03-04T07:42:00Z</dcterms:created>
  <dcterms:modified xsi:type="dcterms:W3CDTF">2026-04-24T07:57:00Z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2026-03-01T22:39:18Z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b6b5751d-58ef-4864-bae1-36c5d1338c7c</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COM/ANNEX</vt:lpwstr>
  </property>
  <property fmtid="{D5CDD505-2E9C-101B-9397-08002B2CF9AE}" pid="12" name="Level of sensitivity">
    <vt:lpwstr>Standard treatment</vt:lpwstr>
  </property>
  <property fmtid="{D5CDD505-2E9C-101B-9397-08002B2CF9AE}" pid="13" name="First annex">
    <vt:lpwstr>1</vt:lpwstr>
  </property>
  <property fmtid="{D5CDD505-2E9C-101B-9397-08002B2CF9AE}" pid="14" name="Last annex">
    <vt:lpwstr>4</vt:lpwstr>
  </property>
  <property fmtid="{D5CDD505-2E9C-101B-9397-08002B2CF9AE}" pid="15" name="Unique annex">
    <vt:lpwstr>0</vt:lpwstr>
  </property>
  <property fmtid="{D5CDD505-2E9C-101B-9397-08002B2CF9AE}" pid="16" name="Part">
    <vt:lpwstr>&lt;UNUSED&gt;</vt:lpwstr>
  </property>
  <property fmtid="{D5CDD505-2E9C-101B-9397-08002B2CF9AE}" pid="17" name="Total parts">
    <vt:lpwstr>&lt;UNUSED&gt;</vt:lpwstr>
  </property>
  <property fmtid="{D5CDD505-2E9C-101B-9397-08002B2CF9AE}" pid="18" name="LWTemplateID">
    <vt:lpwstr>SG-017</vt:lpwstr>
  </property>
  <property fmtid="{D5CDD505-2E9C-101B-9397-08002B2CF9AE}" pid="19" name="ContentTypeId">
    <vt:lpwstr>0x01010082EF9373D7657549B6CD127E08569206</vt:lpwstr>
  </property>
  <property fmtid="{D5CDD505-2E9C-101B-9397-08002B2CF9AE}" pid="20" name="DQCStatus">
    <vt:lpwstr>Green (DQC version 03)</vt:lpwstr>
  </property>
</Properties>
</file>